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3589B" w14:textId="77777777" w:rsidR="005833B2" w:rsidRPr="005833B2" w:rsidRDefault="005833B2" w:rsidP="005833B2">
      <w:pPr>
        <w:spacing w:line="360" w:lineRule="auto"/>
        <w:jc w:val="right"/>
        <w:rPr>
          <w:rFonts w:asciiTheme="majorBidi" w:hAnsiTheme="majorBidi" w:cstheme="majorBidi"/>
          <w:sz w:val="24"/>
          <w:szCs w:val="24"/>
        </w:rPr>
      </w:pPr>
      <w:r w:rsidRPr="005833B2">
        <w:rPr>
          <w:rFonts w:asciiTheme="majorBidi" w:hAnsiTheme="majorBidi" w:cstheme="majorBidi"/>
          <w:sz w:val="24"/>
          <w:szCs w:val="24"/>
        </w:rPr>
        <w:t>Original Research Article</w:t>
      </w:r>
    </w:p>
    <w:p w14:paraId="10FB1EBC" w14:textId="77777777" w:rsidR="006C0BE8" w:rsidRDefault="006C0BE8" w:rsidP="00D1669A">
      <w:pPr>
        <w:spacing w:line="360" w:lineRule="auto"/>
        <w:jc w:val="both"/>
        <w:rPr>
          <w:rFonts w:asciiTheme="majorBidi" w:hAnsiTheme="majorBidi" w:cstheme="majorBidi"/>
          <w:b/>
          <w:bCs/>
          <w:sz w:val="28"/>
          <w:szCs w:val="28"/>
        </w:rPr>
      </w:pPr>
      <w:r w:rsidRPr="006C0BE8">
        <w:rPr>
          <w:rFonts w:asciiTheme="majorBidi" w:hAnsiTheme="majorBidi" w:cstheme="majorBidi"/>
          <w:b/>
          <w:bCs/>
          <w:sz w:val="28"/>
          <w:szCs w:val="28"/>
        </w:rPr>
        <w:t>Multivariate Dissection of Phenotypic Variation and Genetic Divergence in Advanced Groundnut Lines Under Rainy Season</w:t>
      </w:r>
    </w:p>
    <w:p w14:paraId="0CD6BF68" w14:textId="77777777" w:rsidR="0076583D" w:rsidRDefault="0076583D" w:rsidP="00605556">
      <w:pPr>
        <w:spacing w:line="360" w:lineRule="auto"/>
        <w:jc w:val="both"/>
        <w:rPr>
          <w:rFonts w:asciiTheme="majorBidi" w:hAnsiTheme="majorBidi" w:cstheme="majorBidi"/>
          <w:b/>
          <w:bCs/>
          <w:sz w:val="24"/>
          <w:szCs w:val="24"/>
        </w:rPr>
      </w:pPr>
      <w:r w:rsidRPr="0076583D">
        <w:rPr>
          <w:rFonts w:asciiTheme="majorBidi" w:hAnsiTheme="majorBidi" w:cstheme="majorBidi"/>
          <w:b/>
          <w:bCs/>
          <w:sz w:val="24"/>
          <w:szCs w:val="24"/>
        </w:rPr>
        <w:t xml:space="preserve">Abstract </w:t>
      </w:r>
    </w:p>
    <w:p w14:paraId="2579B999" w14:textId="77777777" w:rsidR="0076583D" w:rsidRDefault="00E00C7E" w:rsidP="00605556">
      <w:pPr>
        <w:spacing w:line="360" w:lineRule="auto"/>
        <w:jc w:val="both"/>
        <w:rPr>
          <w:rFonts w:asciiTheme="majorBidi" w:hAnsiTheme="majorBidi" w:cstheme="majorBidi"/>
          <w:sz w:val="24"/>
          <w:szCs w:val="24"/>
        </w:rPr>
      </w:pPr>
      <w:r w:rsidRPr="00E00C7E">
        <w:rPr>
          <w:rFonts w:asciiTheme="majorBidi" w:hAnsiTheme="majorBidi" w:cstheme="majorBidi"/>
          <w:sz w:val="24"/>
          <w:szCs w:val="24"/>
        </w:rPr>
        <w:t>Groundnut (</w:t>
      </w:r>
      <w:r w:rsidRPr="00E00C7E">
        <w:rPr>
          <w:rFonts w:asciiTheme="majorBidi" w:hAnsiTheme="majorBidi" w:cstheme="majorBidi"/>
          <w:i/>
          <w:iCs/>
          <w:sz w:val="24"/>
          <w:szCs w:val="24"/>
        </w:rPr>
        <w:t>Arachis hypogaea</w:t>
      </w:r>
      <w:r w:rsidRPr="00E00C7E">
        <w:rPr>
          <w:rFonts w:asciiTheme="majorBidi" w:hAnsiTheme="majorBidi" w:cstheme="majorBidi"/>
          <w:sz w:val="24"/>
          <w:szCs w:val="24"/>
        </w:rPr>
        <w:t xml:space="preserve"> L.) is </w:t>
      </w:r>
      <w:r w:rsidR="00E42001" w:rsidRPr="00E00C7E">
        <w:rPr>
          <w:rFonts w:asciiTheme="majorBidi" w:hAnsiTheme="majorBidi" w:cstheme="majorBidi"/>
          <w:sz w:val="24"/>
          <w:szCs w:val="24"/>
        </w:rPr>
        <w:t>an</w:t>
      </w:r>
      <w:r w:rsidRPr="00E00C7E">
        <w:rPr>
          <w:rFonts w:asciiTheme="majorBidi" w:hAnsiTheme="majorBidi" w:cstheme="majorBidi"/>
          <w:sz w:val="24"/>
          <w:szCs w:val="24"/>
        </w:rPr>
        <w:t xml:space="preserve"> </w:t>
      </w:r>
      <w:r w:rsidR="00E42001">
        <w:rPr>
          <w:rFonts w:asciiTheme="majorBidi" w:hAnsiTheme="majorBidi" w:cstheme="majorBidi"/>
          <w:sz w:val="24"/>
          <w:szCs w:val="24"/>
        </w:rPr>
        <w:t>important</w:t>
      </w:r>
      <w:r w:rsidRPr="00E00C7E">
        <w:rPr>
          <w:rFonts w:asciiTheme="majorBidi" w:hAnsiTheme="majorBidi" w:cstheme="majorBidi"/>
          <w:sz w:val="24"/>
          <w:szCs w:val="24"/>
        </w:rPr>
        <w:t xml:space="preserve"> oilseed and </w:t>
      </w:r>
      <w:r>
        <w:rPr>
          <w:rFonts w:asciiTheme="majorBidi" w:hAnsiTheme="majorBidi" w:cstheme="majorBidi"/>
          <w:sz w:val="24"/>
          <w:szCs w:val="24"/>
        </w:rPr>
        <w:t>legume</w:t>
      </w:r>
      <w:r w:rsidRPr="00E00C7E">
        <w:rPr>
          <w:rFonts w:asciiTheme="majorBidi" w:hAnsiTheme="majorBidi" w:cstheme="majorBidi"/>
          <w:sz w:val="24"/>
          <w:szCs w:val="24"/>
        </w:rPr>
        <w:t xml:space="preserve"> crop for global food security, yet its genetic advancement remains constrained by a narrow genetic </w:t>
      </w:r>
      <w:r w:rsidR="00E42001">
        <w:rPr>
          <w:rFonts w:asciiTheme="majorBidi" w:hAnsiTheme="majorBidi" w:cstheme="majorBidi"/>
          <w:sz w:val="24"/>
          <w:szCs w:val="24"/>
        </w:rPr>
        <w:t>base</w:t>
      </w:r>
      <w:r w:rsidRPr="00E00C7E">
        <w:rPr>
          <w:rFonts w:asciiTheme="majorBidi" w:hAnsiTheme="majorBidi" w:cstheme="majorBidi"/>
          <w:sz w:val="24"/>
          <w:szCs w:val="24"/>
        </w:rPr>
        <w:t xml:space="preserve">. </w:t>
      </w:r>
      <w:r w:rsidR="003510D4">
        <w:rPr>
          <w:rFonts w:asciiTheme="majorBidi" w:hAnsiTheme="majorBidi" w:cstheme="majorBidi"/>
          <w:sz w:val="24"/>
          <w:szCs w:val="24"/>
        </w:rPr>
        <w:t>Improving pod yield and kernel quality by systematically exploiting available genetic variability is</w:t>
      </w:r>
      <w:r w:rsidRPr="00E00C7E">
        <w:rPr>
          <w:rFonts w:asciiTheme="majorBidi" w:hAnsiTheme="majorBidi" w:cstheme="majorBidi"/>
          <w:sz w:val="24"/>
          <w:szCs w:val="24"/>
        </w:rPr>
        <w:t xml:space="preserve"> a primary objective in groundnut breeding. In this study, </w:t>
      </w:r>
      <w:r w:rsidR="003510D4">
        <w:rPr>
          <w:rFonts w:asciiTheme="majorBidi" w:hAnsiTheme="majorBidi" w:cstheme="majorBidi"/>
          <w:sz w:val="24"/>
          <w:szCs w:val="24"/>
        </w:rPr>
        <w:t xml:space="preserve">we evaluated </w:t>
      </w:r>
      <w:r>
        <w:rPr>
          <w:rFonts w:asciiTheme="majorBidi" w:hAnsiTheme="majorBidi" w:cstheme="majorBidi"/>
          <w:sz w:val="24"/>
          <w:szCs w:val="24"/>
          <w:highlight w:val="yellow"/>
        </w:rPr>
        <w:t>35 groundnut accessions, comprising 30 advanced breeding lines (ICGV series) and five commercial checks</w:t>
      </w:r>
      <w:r>
        <w:rPr>
          <w:rFonts w:asciiTheme="majorBidi" w:hAnsiTheme="majorBidi" w:cstheme="majorBidi"/>
          <w:sz w:val="24"/>
          <w:szCs w:val="24"/>
        </w:rPr>
        <w:t xml:space="preserve"> </w:t>
      </w:r>
      <w:r w:rsidR="003510D4">
        <w:rPr>
          <w:rFonts w:ascii="Times New Roman" w:hAnsi="Times New Roman" w:cs="Times New Roman"/>
          <w:sz w:val="24"/>
          <w:szCs w:val="24"/>
        </w:rPr>
        <w:t xml:space="preserve">during the rainy season </w:t>
      </w:r>
      <w:r w:rsidR="00E42001">
        <w:rPr>
          <w:rFonts w:ascii="Times New Roman" w:hAnsi="Times New Roman" w:cs="Times New Roman"/>
          <w:sz w:val="24"/>
          <w:szCs w:val="24"/>
        </w:rPr>
        <w:t xml:space="preserve">of </w:t>
      </w:r>
      <w:r w:rsidR="003510D4">
        <w:rPr>
          <w:rFonts w:ascii="Times New Roman" w:hAnsi="Times New Roman" w:cs="Times New Roman"/>
          <w:sz w:val="24"/>
          <w:szCs w:val="24"/>
        </w:rPr>
        <w:t xml:space="preserve">2024 </w:t>
      </w:r>
      <w:r>
        <w:rPr>
          <w:rFonts w:ascii="Times New Roman" w:hAnsi="Times New Roman" w:cs="Times New Roman"/>
          <w:sz w:val="24"/>
          <w:szCs w:val="24"/>
          <w:highlight w:val="yellow"/>
        </w:rPr>
        <w:t>using an Augmented Randomised Block Design</w:t>
      </w:r>
      <w:r w:rsidR="003510D4" w:rsidRPr="00C8760A">
        <w:rPr>
          <w:rFonts w:ascii="Times New Roman" w:hAnsi="Times New Roman" w:cs="Times New Roman"/>
          <w:sz w:val="24"/>
          <w:szCs w:val="24"/>
        </w:rPr>
        <w:t xml:space="preserve"> (Augmented RBD)</w:t>
      </w:r>
      <w:r w:rsidR="003510D4">
        <w:rPr>
          <w:rFonts w:ascii="Times New Roman" w:hAnsi="Times New Roman" w:cs="Times New Roman"/>
          <w:sz w:val="24"/>
          <w:szCs w:val="24"/>
        </w:rPr>
        <w:t xml:space="preserve"> </w:t>
      </w:r>
      <w:r w:rsidR="003510D4" w:rsidRPr="003510D4">
        <w:rPr>
          <w:rFonts w:asciiTheme="majorBidi" w:hAnsiTheme="majorBidi" w:cstheme="majorBidi"/>
          <w:sz w:val="24"/>
          <w:szCs w:val="24"/>
        </w:rPr>
        <w:t xml:space="preserve">at </w:t>
      </w:r>
      <w:r w:rsidR="003510D4">
        <w:rPr>
          <w:rFonts w:asciiTheme="majorBidi" w:hAnsiTheme="majorBidi" w:cstheme="majorBidi"/>
          <w:sz w:val="24"/>
          <w:szCs w:val="24"/>
        </w:rPr>
        <w:t xml:space="preserve">the </w:t>
      </w:r>
      <w:r w:rsidR="003510D4" w:rsidRPr="003510D4">
        <w:rPr>
          <w:rFonts w:asciiTheme="majorBidi" w:hAnsiTheme="majorBidi" w:cstheme="majorBidi"/>
          <w:sz w:val="24"/>
          <w:szCs w:val="24"/>
        </w:rPr>
        <w:t xml:space="preserve">Seed Research and Technology Centre (SRTC), </w:t>
      </w:r>
      <w:r w:rsidR="003510D4">
        <w:rPr>
          <w:rFonts w:asciiTheme="majorBidi" w:hAnsiTheme="majorBidi" w:cstheme="majorBidi"/>
          <w:sz w:val="24"/>
          <w:szCs w:val="24"/>
        </w:rPr>
        <w:t xml:space="preserve">PJTAU. </w:t>
      </w:r>
      <w:r w:rsidR="003510D4" w:rsidRPr="00C8760A">
        <w:rPr>
          <w:rFonts w:ascii="Times New Roman" w:hAnsi="Times New Roman" w:cs="Times New Roman"/>
          <w:sz w:val="24"/>
          <w:szCs w:val="24"/>
        </w:rPr>
        <w:t>A total of 11 quantitative morphological and agronomic traits were recorded</w:t>
      </w:r>
      <w:r w:rsidR="003510D4">
        <w:rPr>
          <w:rFonts w:ascii="Times New Roman" w:hAnsi="Times New Roman" w:cs="Times New Roman"/>
          <w:sz w:val="24"/>
          <w:szCs w:val="24"/>
        </w:rPr>
        <w:t xml:space="preserve"> and subjected to multivariate analysis. </w:t>
      </w:r>
      <w:r>
        <w:rPr>
          <w:rFonts w:ascii="Times New Roman" w:hAnsi="Times New Roman" w:cs="Times New Roman"/>
          <w:sz w:val="24"/>
          <w:szCs w:val="24"/>
          <w:highlight w:val="yellow"/>
        </w:rPr>
        <w:t>Hierarchical cluster analysis using Euclidean distance</w:t>
      </w:r>
      <w:r w:rsidR="00983693" w:rsidRPr="00983693">
        <w:rPr>
          <w:rFonts w:asciiTheme="majorBidi" w:hAnsiTheme="majorBidi" w:cstheme="majorBidi"/>
          <w:sz w:val="24"/>
          <w:szCs w:val="24"/>
        </w:rPr>
        <w:t xml:space="preserve"> and Ward’s minimum variance method (Ward.D2) partitioned the </w:t>
      </w:r>
      <w:r w:rsidR="00983693">
        <w:rPr>
          <w:rFonts w:asciiTheme="majorBidi" w:hAnsiTheme="majorBidi" w:cstheme="majorBidi"/>
          <w:sz w:val="24"/>
          <w:szCs w:val="24"/>
        </w:rPr>
        <w:t>genotypes</w:t>
      </w:r>
      <w:r w:rsidR="00983693" w:rsidRPr="00983693">
        <w:rPr>
          <w:rFonts w:asciiTheme="majorBidi" w:hAnsiTheme="majorBidi" w:cstheme="majorBidi"/>
          <w:sz w:val="24"/>
          <w:szCs w:val="24"/>
        </w:rPr>
        <w:t xml:space="preserve"> into four distinct clusters. Cluster II was the largest </w:t>
      </w:r>
      <w:r>
        <w:rPr>
          <w:rFonts w:asciiTheme="majorBidi" w:hAnsiTheme="majorBidi" w:cstheme="majorBidi"/>
          <w:sz w:val="24"/>
          <w:szCs w:val="24"/>
          <w:highlight w:val="yellow"/>
        </w:rPr>
        <w:t>(n = 22), comprised lines with a low average yield</w:t>
      </w:r>
      <w:r>
        <w:rPr>
          <w:rFonts w:asciiTheme="majorBidi" w:hAnsiTheme="majorBidi" w:cstheme="majorBidi"/>
          <w:sz w:val="24"/>
          <w:szCs w:val="24"/>
        </w:rPr>
        <w:t xml:space="preserve"> (2,589.30 kg ha</w:t>
      </w:r>
      <w:r w:rsidR="00983693" w:rsidRPr="00D24269">
        <w:rPr>
          <w:rFonts w:asciiTheme="majorBidi" w:hAnsiTheme="majorBidi" w:cstheme="majorBidi"/>
          <w:sz w:val="24"/>
          <w:szCs w:val="24"/>
          <w:vertAlign w:val="superscript"/>
        </w:rPr>
        <w:t>-1</w:t>
      </w:r>
      <w:r w:rsidR="00983693" w:rsidRPr="00983693">
        <w:rPr>
          <w:rFonts w:asciiTheme="majorBidi" w:hAnsiTheme="majorBidi" w:cstheme="majorBidi"/>
          <w:sz w:val="24"/>
          <w:szCs w:val="24"/>
        </w:rPr>
        <w:t xml:space="preserve">) </w:t>
      </w:r>
      <w:r>
        <w:rPr>
          <w:rFonts w:asciiTheme="majorBidi" w:hAnsiTheme="majorBidi" w:cstheme="majorBidi"/>
          <w:sz w:val="24"/>
          <w:szCs w:val="24"/>
          <w:highlight w:val="yellow"/>
        </w:rPr>
        <w:t>and seed weight, whereas Cluster III</w:t>
      </w:r>
      <w:r w:rsidR="00983693" w:rsidRPr="00983693">
        <w:rPr>
          <w:rFonts w:asciiTheme="majorBidi" w:hAnsiTheme="majorBidi" w:cstheme="majorBidi"/>
          <w:sz w:val="24"/>
          <w:szCs w:val="24"/>
        </w:rPr>
        <w:t xml:space="preserve"> (n = 2) </w:t>
      </w:r>
      <w:r>
        <w:rPr>
          <w:rFonts w:asciiTheme="majorBidi" w:hAnsiTheme="majorBidi" w:cstheme="majorBidi"/>
          <w:sz w:val="24"/>
          <w:szCs w:val="24"/>
          <w:highlight w:val="yellow"/>
        </w:rPr>
        <w:t>exhibited the maximum plant height</w:t>
      </w:r>
      <w:r>
        <w:rPr>
          <w:rFonts w:asciiTheme="majorBidi" w:hAnsiTheme="majorBidi" w:cstheme="majorBidi"/>
          <w:sz w:val="24"/>
          <w:szCs w:val="24"/>
        </w:rPr>
        <w:t xml:space="preserve"> (56.29</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cm) and 100-seed weight (58.80</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 xml:space="preserve">g), </w:t>
      </w:r>
      <w:r>
        <w:rPr>
          <w:rFonts w:asciiTheme="majorBidi" w:hAnsiTheme="majorBidi" w:cstheme="majorBidi"/>
          <w:sz w:val="24"/>
          <w:szCs w:val="24"/>
          <w:highlight w:val="yellow"/>
        </w:rPr>
        <w:t>but fewer pods per plant</w:t>
      </w:r>
      <w:r>
        <w:rPr>
          <w:rFonts w:asciiTheme="majorBidi" w:hAnsiTheme="majorBidi" w:cstheme="majorBidi"/>
          <w:sz w:val="24"/>
          <w:szCs w:val="24"/>
        </w:rPr>
        <w:t xml:space="preserve"> (8.60), </w:t>
      </w:r>
      <w:r>
        <w:rPr>
          <w:rFonts w:asciiTheme="majorBidi" w:hAnsiTheme="majorBidi" w:cstheme="majorBidi"/>
          <w:sz w:val="24"/>
          <w:szCs w:val="24"/>
          <w:highlight w:val="yellow"/>
        </w:rPr>
        <w:t>suggesting a trade-off</w:t>
      </w:r>
      <w:r>
        <w:rPr>
          <w:rFonts w:asciiTheme="majorBidi" w:hAnsiTheme="majorBidi" w:cstheme="majorBidi"/>
          <w:sz w:val="24"/>
          <w:szCs w:val="24"/>
        </w:rPr>
        <w:t xml:space="preserve"> between seed size and pod proliferation. Cluster IV (n = 3</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including K6, JCG 2141, and G5) demonstrated superior agronomic performance, combining early maturity (110</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 xml:space="preserve">days) with </w:t>
      </w:r>
      <w:r w:rsidR="00D24269">
        <w:rPr>
          <w:rFonts w:asciiTheme="majorBidi" w:hAnsiTheme="majorBidi" w:cstheme="majorBidi"/>
          <w:sz w:val="24"/>
          <w:szCs w:val="24"/>
        </w:rPr>
        <w:t xml:space="preserve">the </w:t>
      </w:r>
      <w:r w:rsidR="00983693" w:rsidRPr="00983693">
        <w:rPr>
          <w:rFonts w:asciiTheme="majorBidi" w:hAnsiTheme="majorBidi" w:cstheme="majorBidi"/>
          <w:sz w:val="24"/>
          <w:szCs w:val="24"/>
        </w:rPr>
        <w:t>highest pod yield (5,215.28</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kg ha</w:t>
      </w:r>
      <w:r w:rsidR="00983693" w:rsidRPr="00D24269">
        <w:rPr>
          <w:rFonts w:asciiTheme="majorBidi" w:hAnsiTheme="majorBidi" w:cstheme="majorBidi"/>
          <w:sz w:val="24"/>
          <w:szCs w:val="24"/>
          <w:vertAlign w:val="superscript"/>
        </w:rPr>
        <w:t>-1</w:t>
      </w:r>
      <w:r w:rsidR="00983693" w:rsidRPr="00983693">
        <w:rPr>
          <w:rFonts w:asciiTheme="majorBidi" w:hAnsiTheme="majorBidi" w:cstheme="majorBidi"/>
          <w:sz w:val="24"/>
          <w:szCs w:val="24"/>
        </w:rPr>
        <w:t xml:space="preserve">). </w:t>
      </w:r>
      <w:r>
        <w:rPr>
          <w:rFonts w:asciiTheme="majorBidi" w:hAnsiTheme="majorBidi" w:cstheme="majorBidi"/>
          <w:sz w:val="24"/>
          <w:szCs w:val="24"/>
          <w:highlight w:val="yellow"/>
        </w:rPr>
        <w:t>The maximum inter-cluster distance occurred</w:t>
      </w:r>
      <w:r>
        <w:rPr>
          <w:rFonts w:asciiTheme="majorBidi" w:hAnsiTheme="majorBidi" w:cstheme="majorBidi"/>
          <w:sz w:val="24"/>
          <w:szCs w:val="24"/>
        </w:rPr>
        <w:t xml:space="preserve"> between Clusters II and III (6.32), followed by Clusters III and IV (6.10), highlighting substantial genetic divergence. </w:t>
      </w:r>
      <w:r>
        <w:rPr>
          <w:rFonts w:asciiTheme="majorBidi" w:hAnsiTheme="majorBidi" w:cstheme="majorBidi"/>
          <w:sz w:val="24"/>
          <w:szCs w:val="24"/>
          <w:highlight w:val="yellow"/>
        </w:rPr>
        <w:t>Principal component analysis (PCA) identified</w:t>
      </w:r>
      <w:r>
        <w:rPr>
          <w:rFonts w:asciiTheme="majorBidi" w:hAnsiTheme="majorBidi" w:cstheme="majorBidi"/>
          <w:sz w:val="24"/>
          <w:szCs w:val="24"/>
        </w:rPr>
        <w:t xml:space="preserve"> four principal components (</w:t>
      </w:r>
      <w:r w:rsidR="00D24269">
        <w:rPr>
          <w:rFonts w:asciiTheme="majorBidi" w:hAnsiTheme="majorBidi" w:cstheme="majorBidi"/>
          <w:sz w:val="24"/>
          <w:szCs w:val="24"/>
        </w:rPr>
        <w:t xml:space="preserve">λ </w:t>
      </w:r>
      <w:r w:rsidR="00983693" w:rsidRPr="00983693">
        <w:rPr>
          <w:rFonts w:asciiTheme="majorBidi" w:hAnsiTheme="majorBidi" w:cstheme="majorBidi"/>
          <w:sz w:val="24"/>
          <w:szCs w:val="24"/>
        </w:rPr>
        <w:t xml:space="preserve">&gt; 1.0) </w:t>
      </w:r>
      <w:r>
        <w:rPr>
          <w:rFonts w:asciiTheme="majorBidi" w:hAnsiTheme="majorBidi" w:cstheme="majorBidi"/>
          <w:sz w:val="24"/>
          <w:szCs w:val="24"/>
          <w:highlight w:val="yellow"/>
        </w:rPr>
        <w:t>accounting for 76.81% of the total phenotypic variation</w:t>
      </w:r>
      <w:r>
        <w:rPr>
          <w:rFonts w:asciiTheme="majorBidi" w:hAnsiTheme="majorBidi" w:cstheme="majorBidi"/>
          <w:sz w:val="24"/>
          <w:szCs w:val="24"/>
        </w:rPr>
        <w:t xml:space="preserve">, with PC1 (33.74%) dominated by 100-seed weight, pod wall thickness, kernel diameter, and pod yield. </w:t>
      </w:r>
      <w:r>
        <w:rPr>
          <w:rFonts w:asciiTheme="majorBidi" w:hAnsiTheme="majorBidi" w:cstheme="majorBidi"/>
          <w:sz w:val="24"/>
          <w:szCs w:val="24"/>
          <w:highlight w:val="yellow"/>
        </w:rPr>
        <w:t>Crossing genotypes from Cluster IV with those from Cluster III offers the potential</w:t>
      </w:r>
      <w:r>
        <w:rPr>
          <w:rFonts w:asciiTheme="majorBidi" w:hAnsiTheme="majorBidi" w:cstheme="majorBidi"/>
          <w:sz w:val="24"/>
          <w:szCs w:val="24"/>
        </w:rPr>
        <w:t xml:space="preserve"> to combine large kernel traits with early maturity and high pod yield, facilitating transgressive segregation in future groundnut </w:t>
      </w:r>
      <w:r>
        <w:rPr>
          <w:rFonts w:asciiTheme="majorBidi" w:hAnsiTheme="majorBidi" w:cstheme="majorBidi"/>
          <w:sz w:val="24"/>
          <w:szCs w:val="24"/>
          <w:highlight w:val="yellow"/>
        </w:rPr>
        <w:t>improvement programmes</w:t>
      </w:r>
      <w:r>
        <w:rPr>
          <w:rFonts w:asciiTheme="majorBidi" w:hAnsiTheme="majorBidi" w:cstheme="majorBidi"/>
          <w:sz w:val="24"/>
          <w:szCs w:val="24"/>
        </w:rPr>
        <w:t>.</w:t>
      </w:r>
      <w:r w:rsidR="00BE4E37">
        <w:rPr>
          <w:rFonts w:asciiTheme="majorBidi" w:hAnsiTheme="majorBidi" w:cstheme="majorBidi"/>
          <w:sz w:val="24"/>
          <w:szCs w:val="24"/>
        </w:rPr>
        <w:t xml:space="preserve"> </w:t>
      </w:r>
      <w:r>
        <w:rPr>
          <w:rFonts w:asciiTheme="majorBidi" w:hAnsiTheme="majorBidi" w:cstheme="majorBidi"/>
          <w:sz w:val="24"/>
          <w:szCs w:val="24"/>
          <w:highlight w:val="yellow"/>
        </w:rPr>
        <w:t>Furthermore, targeted hybridisation</w:t>
      </w:r>
      <w:r>
        <w:rPr>
          <w:rFonts w:asciiTheme="majorBidi" w:hAnsiTheme="majorBidi" w:cstheme="majorBidi"/>
          <w:sz w:val="24"/>
          <w:szCs w:val="24"/>
        </w:rPr>
        <w:t xml:space="preserve"> between the high-yielding, early-maturing lines of Cluster IV and the bold-seeded lines of Cluster III </w:t>
      </w:r>
      <w:r>
        <w:rPr>
          <w:rFonts w:asciiTheme="majorBidi" w:hAnsiTheme="majorBidi" w:cstheme="majorBidi"/>
          <w:sz w:val="24"/>
          <w:szCs w:val="24"/>
          <w:highlight w:val="yellow"/>
        </w:rPr>
        <w:t>may help to overcome</w:t>
      </w:r>
      <w:r w:rsidR="00BE4E37">
        <w:rPr>
          <w:rFonts w:asciiTheme="majorBidi" w:hAnsiTheme="majorBidi" w:cstheme="majorBidi"/>
          <w:sz w:val="24"/>
          <w:szCs w:val="24"/>
        </w:rPr>
        <w:t xml:space="preserve"> the physiological </w:t>
      </w:r>
      <w:r w:rsidR="005148AC">
        <w:rPr>
          <w:rFonts w:asciiTheme="majorBidi" w:hAnsiTheme="majorBidi" w:cstheme="majorBidi"/>
          <w:sz w:val="24"/>
          <w:szCs w:val="24"/>
        </w:rPr>
        <w:t>trade-off</w:t>
      </w:r>
      <w:r w:rsidR="00BE4E37">
        <w:rPr>
          <w:rFonts w:asciiTheme="majorBidi" w:hAnsiTheme="majorBidi" w:cstheme="majorBidi"/>
          <w:sz w:val="24"/>
          <w:szCs w:val="24"/>
        </w:rPr>
        <w:t xml:space="preserve"> between kernel mass and pod density, </w:t>
      </w:r>
      <w:r w:rsidR="005148AC">
        <w:rPr>
          <w:rFonts w:asciiTheme="majorBidi" w:hAnsiTheme="majorBidi" w:cstheme="majorBidi"/>
          <w:sz w:val="24"/>
          <w:szCs w:val="24"/>
        </w:rPr>
        <w:t>establishing</w:t>
      </w:r>
      <w:r w:rsidR="00BE4E37">
        <w:rPr>
          <w:rFonts w:asciiTheme="majorBidi" w:hAnsiTheme="majorBidi" w:cstheme="majorBidi"/>
          <w:sz w:val="24"/>
          <w:szCs w:val="24"/>
        </w:rPr>
        <w:t xml:space="preserve"> a strategic foundation for</w:t>
      </w:r>
      <w:r w:rsidR="005148AC">
        <w:rPr>
          <w:rFonts w:asciiTheme="majorBidi" w:hAnsiTheme="majorBidi" w:cstheme="majorBidi"/>
          <w:sz w:val="24"/>
          <w:szCs w:val="24"/>
        </w:rPr>
        <w:t xml:space="preserve"> </w:t>
      </w:r>
      <w:r>
        <w:rPr>
          <w:rFonts w:asciiTheme="majorBidi" w:hAnsiTheme="majorBidi" w:cstheme="majorBidi"/>
          <w:sz w:val="24"/>
          <w:szCs w:val="24"/>
          <w:highlight w:val="yellow"/>
        </w:rPr>
        <w:t>future high-yielding</w:t>
      </w:r>
      <w:r>
        <w:rPr>
          <w:rFonts w:asciiTheme="majorBidi" w:hAnsiTheme="majorBidi" w:cstheme="majorBidi"/>
          <w:sz w:val="24"/>
          <w:szCs w:val="24"/>
        </w:rPr>
        <w:t xml:space="preserve"> groundnut cultivars. </w:t>
      </w:r>
    </w:p>
    <w:p w14:paraId="3EDAF835" w14:textId="77777777" w:rsidR="00C33796" w:rsidRDefault="00E120A4" w:rsidP="00C33796">
      <w:pPr>
        <w:pStyle w:val="NormalWeb"/>
      </w:pPr>
      <w:r w:rsidRPr="00E120A4">
        <w:rPr>
          <w:rFonts w:asciiTheme="majorBidi" w:hAnsiTheme="majorBidi" w:cstheme="majorBidi"/>
          <w:i/>
          <w:iCs/>
        </w:rPr>
        <w:lastRenderedPageBreak/>
        <w:t xml:space="preserve">Keywords: </w:t>
      </w:r>
      <w:r w:rsidR="00C33796">
        <w:t xml:space="preserve">Groundnut; </w:t>
      </w:r>
      <w:r w:rsidR="00C33796" w:rsidRPr="00BC0E04">
        <w:rPr>
          <w:i/>
          <w:iCs/>
        </w:rPr>
        <w:t>Arachis hypogaea</w:t>
      </w:r>
      <w:r w:rsidR="00C33796">
        <w:t xml:space="preserve"> L.; advanced breeding lines; phenotypic diversity; hierarchical clustering; principal component analysis; Ward's method; pod yield; 100-seed weight; parental selection.</w:t>
      </w:r>
    </w:p>
    <w:p w14:paraId="14A5CB21" w14:textId="77777777" w:rsidR="00C33796" w:rsidRDefault="00C33796" w:rsidP="00C33796">
      <w:pPr>
        <w:spacing w:line="360" w:lineRule="auto"/>
        <w:jc w:val="both"/>
        <w:rPr>
          <w:rFonts w:asciiTheme="majorBidi" w:hAnsiTheme="majorBidi" w:cstheme="majorBidi"/>
          <w:b/>
          <w:bCs/>
          <w:sz w:val="24"/>
          <w:szCs w:val="24"/>
        </w:rPr>
      </w:pPr>
    </w:p>
    <w:p w14:paraId="12BD273C" w14:textId="7DADEE8E" w:rsidR="003F4A47" w:rsidRDefault="007A559C" w:rsidP="00C3379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1. </w:t>
      </w:r>
      <w:r w:rsidR="00C61FB4" w:rsidRPr="00C61FB4">
        <w:rPr>
          <w:rFonts w:asciiTheme="majorBidi" w:hAnsiTheme="majorBidi" w:cstheme="majorBidi"/>
          <w:b/>
          <w:bCs/>
          <w:sz w:val="24"/>
          <w:szCs w:val="24"/>
        </w:rPr>
        <w:t>Introduction</w:t>
      </w:r>
    </w:p>
    <w:p w14:paraId="7D96ECFA" w14:textId="77777777" w:rsidR="007A559C" w:rsidRDefault="00C60BFB" w:rsidP="00552E28">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221D16" w:rsidRPr="00221D16">
        <w:rPr>
          <w:rFonts w:asciiTheme="majorBidi" w:hAnsiTheme="majorBidi" w:cstheme="majorBidi"/>
          <w:sz w:val="24"/>
          <w:szCs w:val="24"/>
        </w:rPr>
        <w:t>Groundnut (</w:t>
      </w:r>
      <w:r w:rsidR="00221D16" w:rsidRPr="00221D16">
        <w:rPr>
          <w:rFonts w:asciiTheme="majorBidi" w:hAnsiTheme="majorBidi" w:cstheme="majorBidi"/>
          <w:i/>
          <w:iCs/>
          <w:sz w:val="24"/>
          <w:szCs w:val="24"/>
        </w:rPr>
        <w:t>Arachis hypogaea</w:t>
      </w:r>
      <w:r w:rsidR="00221D16" w:rsidRPr="00221D16">
        <w:rPr>
          <w:rFonts w:asciiTheme="majorBidi" w:hAnsiTheme="majorBidi" w:cstheme="majorBidi"/>
          <w:sz w:val="24"/>
          <w:szCs w:val="24"/>
        </w:rPr>
        <w:t xml:space="preserve"> L.), commonly known as peanut, is a self-pollinated allotetraploid (2n = 4x = 40) legume and one of the most widely cultivated oilseed crops in tropical and subtropical regions globally</w:t>
      </w:r>
      <w:r w:rsidR="00221D16">
        <w:rPr>
          <w:rFonts w:asciiTheme="majorBidi" w:hAnsiTheme="majorBidi" w:cstheme="majorBidi"/>
          <w:sz w:val="24"/>
          <w:szCs w:val="24"/>
        </w:rPr>
        <w:t xml:space="preserve">. </w:t>
      </w:r>
      <w:r w:rsidR="00221D16" w:rsidRPr="00221D16">
        <w:rPr>
          <w:rFonts w:asciiTheme="majorBidi" w:hAnsiTheme="majorBidi" w:cstheme="majorBidi"/>
          <w:sz w:val="24"/>
          <w:szCs w:val="24"/>
        </w:rPr>
        <w:t xml:space="preserve">It ranks fourth among the most economically important </w:t>
      </w:r>
      <w:r>
        <w:rPr>
          <w:rFonts w:asciiTheme="majorBidi" w:hAnsiTheme="majorBidi" w:cstheme="majorBidi"/>
          <w:sz w:val="24"/>
          <w:szCs w:val="24"/>
          <w:highlight w:val="yellow"/>
        </w:rPr>
        <w:t>oil crops</w:t>
      </w:r>
      <w:r>
        <w:rPr>
          <w:rFonts w:asciiTheme="majorBidi" w:hAnsiTheme="majorBidi" w:cstheme="majorBidi"/>
          <w:sz w:val="24"/>
          <w:szCs w:val="24"/>
        </w:rPr>
        <w:t xml:space="preserve"> worldwide and is cultivated across more than 100 countries</w:t>
      </w:r>
      <w:r w:rsidR="00221D16">
        <w:rPr>
          <w:rFonts w:asciiTheme="majorBidi" w:hAnsiTheme="majorBidi" w:cstheme="majorBidi"/>
          <w:sz w:val="24"/>
          <w:szCs w:val="24"/>
        </w:rPr>
        <w:t xml:space="preserve"> </w:t>
      </w:r>
      <w:r w:rsidR="007857E0">
        <w:rPr>
          <w:rFonts w:asciiTheme="majorBidi" w:hAnsiTheme="majorBidi" w:cstheme="majorBidi"/>
          <w:sz w:val="24"/>
          <w:szCs w:val="24"/>
        </w:rPr>
        <w:t>(</w:t>
      </w:r>
      <w:r w:rsidR="007857E0" w:rsidRPr="00444913">
        <w:rPr>
          <w:rFonts w:asciiTheme="majorBidi" w:hAnsiTheme="majorBidi" w:cstheme="majorBidi"/>
          <w:sz w:val="24"/>
          <w:szCs w:val="24"/>
        </w:rPr>
        <w:t>Machado</w:t>
      </w:r>
      <w:r w:rsidR="007857E0">
        <w:rPr>
          <w:rFonts w:asciiTheme="majorBidi" w:hAnsiTheme="majorBidi" w:cstheme="majorBidi"/>
          <w:sz w:val="24"/>
          <w:szCs w:val="24"/>
        </w:rPr>
        <w:t xml:space="preserve"> </w:t>
      </w:r>
      <w:r w:rsidR="007857E0" w:rsidRPr="007857E0">
        <w:rPr>
          <w:rFonts w:asciiTheme="majorBidi" w:hAnsiTheme="majorBidi" w:cstheme="majorBidi"/>
          <w:i/>
          <w:iCs/>
          <w:sz w:val="24"/>
          <w:szCs w:val="24"/>
        </w:rPr>
        <w:t>et al</w:t>
      </w:r>
      <w:r w:rsidR="007857E0">
        <w:rPr>
          <w:rFonts w:asciiTheme="majorBidi" w:hAnsiTheme="majorBidi" w:cstheme="majorBidi"/>
          <w:sz w:val="24"/>
          <w:szCs w:val="24"/>
        </w:rPr>
        <w:t>., 2025)</w:t>
      </w:r>
      <w:r>
        <w:rPr>
          <w:rFonts w:asciiTheme="majorBidi" w:hAnsiTheme="majorBidi" w:cstheme="majorBidi"/>
          <w:sz w:val="24"/>
          <w:szCs w:val="24"/>
        </w:rPr>
        <w:t xml:space="preserve">. </w:t>
      </w:r>
      <w:r w:rsidR="00221D16" w:rsidRPr="00221D16">
        <w:rPr>
          <w:rFonts w:asciiTheme="majorBidi" w:hAnsiTheme="majorBidi" w:cstheme="majorBidi"/>
          <w:sz w:val="24"/>
          <w:szCs w:val="24"/>
        </w:rPr>
        <w:t>Although native to South America, groundnut is extensively grown throughout the semi-arid tropics of Asia, Africa, and Latin America due to its high adaptability and economic value as a multi-purpose oilseed, food, and fodder crop</w:t>
      </w:r>
      <w:r w:rsidR="00221D16">
        <w:rPr>
          <w:rFonts w:asciiTheme="majorBidi" w:hAnsiTheme="majorBidi" w:cstheme="majorBidi"/>
          <w:sz w:val="24"/>
          <w:szCs w:val="24"/>
        </w:rPr>
        <w:t xml:space="preserve"> </w:t>
      </w:r>
      <w:r>
        <w:rPr>
          <w:rFonts w:asciiTheme="majorBidi" w:hAnsiTheme="majorBidi" w:cstheme="majorBidi"/>
          <w:sz w:val="24"/>
          <w:szCs w:val="24"/>
          <w:highlight w:val="yellow"/>
        </w:rPr>
        <w:t>(Food and Agriculture Organization of the United Nations, 2024)</w:t>
      </w:r>
      <w:r>
        <w:rPr>
          <w:rFonts w:asciiTheme="majorBidi" w:hAnsiTheme="majorBidi" w:cstheme="majorBidi"/>
          <w:sz w:val="24"/>
          <w:szCs w:val="24"/>
        </w:rPr>
        <w:t xml:space="preserve">. </w:t>
      </w:r>
      <w:r w:rsidR="00221D16" w:rsidRPr="00221D16">
        <w:rPr>
          <w:rFonts w:asciiTheme="majorBidi" w:hAnsiTheme="majorBidi" w:cstheme="majorBidi"/>
          <w:sz w:val="24"/>
          <w:szCs w:val="24"/>
        </w:rPr>
        <w:t>In India, groundnut occupies a central position in the agricultural economy, spanning an area of 53.51 lakh hectares with a total production of 120.91 lakh tonnes and an average productivity of 2,260 kg ha⁻¹</w:t>
      </w:r>
      <w:r>
        <w:rPr>
          <w:rFonts w:asciiTheme="majorBidi" w:hAnsiTheme="majorBidi" w:cstheme="majorBidi"/>
          <w:sz w:val="24"/>
          <w:szCs w:val="24"/>
        </w:rPr>
        <w:t xml:space="preserve"> </w:t>
      </w:r>
      <w:r>
        <w:rPr>
          <w:rFonts w:asciiTheme="majorBidi" w:hAnsiTheme="majorBidi" w:cstheme="majorBidi"/>
          <w:sz w:val="24"/>
          <w:szCs w:val="24"/>
          <w:highlight w:val="yellow"/>
        </w:rPr>
        <w:t>(IndiaStat, 2026)</w:t>
      </w:r>
      <w:r>
        <w:rPr>
          <w:rFonts w:asciiTheme="majorBidi" w:hAnsiTheme="majorBidi" w:cstheme="majorBidi"/>
          <w:sz w:val="24"/>
          <w:szCs w:val="24"/>
        </w:rPr>
        <w:t xml:space="preserve">. </w:t>
      </w:r>
      <w:r w:rsidR="00583213" w:rsidRPr="00583213">
        <w:rPr>
          <w:rFonts w:asciiTheme="majorBidi" w:hAnsiTheme="majorBidi" w:cstheme="majorBidi"/>
          <w:sz w:val="24"/>
          <w:szCs w:val="24"/>
        </w:rPr>
        <w:t xml:space="preserve">The seeds are nutritionally rich, containing </w:t>
      </w:r>
      <w:r>
        <w:rPr>
          <w:rFonts w:asciiTheme="majorBidi" w:hAnsiTheme="majorBidi" w:cstheme="majorBidi"/>
          <w:sz w:val="24"/>
          <w:szCs w:val="24"/>
          <w:highlight w:val="yellow"/>
        </w:rPr>
        <w:t>40–50%</w:t>
      </w:r>
      <w:r w:rsidR="00583213" w:rsidRPr="00583213">
        <w:rPr>
          <w:rFonts w:asciiTheme="majorBidi" w:hAnsiTheme="majorBidi" w:cstheme="majorBidi"/>
          <w:sz w:val="24"/>
          <w:szCs w:val="24"/>
        </w:rPr>
        <w:t xml:space="preserve"> high-quality edible oil, approximately 25% digestible protein, and significant concentrations of essential micronutrients including vitamin E, niacin, calcium, phosphorus, magnesium, zinc, iron, riboflavin, thiamine, and potassium</w:t>
      </w:r>
      <w:r w:rsidR="00583213">
        <w:rPr>
          <w:rFonts w:asciiTheme="majorBidi" w:hAnsiTheme="majorBidi" w:cstheme="majorBidi"/>
          <w:sz w:val="24"/>
          <w:szCs w:val="24"/>
        </w:rPr>
        <w:t xml:space="preserve"> </w:t>
      </w:r>
      <w:r>
        <w:rPr>
          <w:rFonts w:asciiTheme="majorBidi" w:hAnsiTheme="majorBidi" w:cstheme="majorBidi"/>
          <w:sz w:val="24"/>
          <w:szCs w:val="24"/>
          <w:highlight w:val="yellow"/>
        </w:rPr>
        <w:t>(Savage &amp; Keenan, 1994)</w:t>
      </w:r>
      <w:r>
        <w:rPr>
          <w:rFonts w:asciiTheme="majorBidi" w:hAnsiTheme="majorBidi" w:cstheme="majorBidi"/>
          <w:sz w:val="24"/>
          <w:szCs w:val="24"/>
        </w:rPr>
        <w:t>.</w:t>
      </w:r>
      <w:r w:rsidR="007857E0">
        <w:rPr>
          <w:rFonts w:asciiTheme="majorBidi" w:hAnsiTheme="majorBidi" w:cstheme="majorBidi"/>
          <w:sz w:val="24"/>
          <w:szCs w:val="24"/>
        </w:rPr>
        <w:t xml:space="preserve"> </w:t>
      </w:r>
      <w:r w:rsidRPr="00C453F1">
        <w:rPr>
          <w:bCs/>
          <w:highlight w:val="yellow"/>
        </w:rPr>
        <w:t>Furthermore, recent genomic analysis of peanut has identified structural variation associated with seed size and weight, highlighting the relevance of these traits to breeding (Zhao et al., 2025).</w:t>
      </w:r>
    </w:p>
    <w:p w14:paraId="220E3E44" w14:textId="77777777" w:rsidR="00A6697C" w:rsidRPr="00C453F1" w:rsidRDefault="00C2285C" w:rsidP="00C2285C">
      <w:pPr>
        <w:spacing w:line="360" w:lineRule="auto"/>
        <w:jc w:val="both"/>
        <w:rPr>
          <w:rFonts w:asciiTheme="majorBidi" w:hAnsiTheme="majorBidi" w:cstheme="majorBidi"/>
          <w:bCs/>
          <w:sz w:val="24"/>
          <w:szCs w:val="24"/>
        </w:rPr>
      </w:pPr>
      <w:r>
        <w:rPr>
          <w:rFonts w:asciiTheme="majorBidi" w:hAnsiTheme="majorBidi" w:cstheme="majorBidi"/>
          <w:sz w:val="24"/>
          <w:szCs w:val="24"/>
        </w:rPr>
        <w:tab/>
      </w:r>
      <w:r w:rsidRPr="00C2285C">
        <w:rPr>
          <w:rFonts w:asciiTheme="majorBidi" w:hAnsiTheme="majorBidi" w:cstheme="majorBidi"/>
          <w:sz w:val="24"/>
          <w:szCs w:val="24"/>
        </w:rPr>
        <w:t xml:space="preserve">Enhancement of yield potential, alongside the integration of desirable agronomic and end-use kernel quality attributes, constitutes the primary objective of groundnut </w:t>
      </w:r>
      <w:r>
        <w:rPr>
          <w:rFonts w:asciiTheme="majorBidi" w:hAnsiTheme="majorBidi" w:cstheme="majorBidi"/>
          <w:sz w:val="24"/>
          <w:szCs w:val="24"/>
          <w:highlight w:val="yellow"/>
        </w:rPr>
        <w:t>improvement programmes</w:t>
      </w:r>
      <w:r>
        <w:rPr>
          <w:rFonts w:asciiTheme="majorBidi" w:hAnsiTheme="majorBidi" w:cstheme="majorBidi"/>
          <w:sz w:val="24"/>
          <w:szCs w:val="24"/>
        </w:rPr>
        <w:t>. Maximizing genetic gains for these economically vital characteristics depends largely on the effective utilization of functional genetic variance present within breeding germplasm. However, progress in genetic enhancement remains substantially constrained by the narrow genetic base and limited variation for critical economic traits in the cultivated germplasm pool. This inherent genetic bottleneck is further compounded by pronounced genotype-by-environment (G</w:t>
      </w:r>
      <w:r w:rsidR="00F03E9C">
        <w:rPr>
          <w:rFonts w:asciiTheme="majorBidi" w:hAnsiTheme="majorBidi" w:cstheme="majorBidi"/>
          <w:sz w:val="24"/>
          <w:szCs w:val="24"/>
        </w:rPr>
        <w:t xml:space="preserve"> × </w:t>
      </w:r>
      <w:r w:rsidRPr="00C2285C">
        <w:rPr>
          <w:rFonts w:asciiTheme="majorBidi" w:hAnsiTheme="majorBidi" w:cstheme="majorBidi"/>
          <w:sz w:val="24"/>
          <w:szCs w:val="24"/>
        </w:rPr>
        <w:t>E) interactions and yield instabilities driven by the complex interplay of synergistic biotic stresses (e.g., foliar diseases, insect pests) and abiotic constraints (e.g., terminal drought, thermal stress).</w:t>
      </w:r>
      <w:r>
        <w:t xml:space="preserve"> </w:t>
      </w:r>
      <w:r w:rsidRPr="00C453F1">
        <w:rPr>
          <w:bCs/>
          <w:highlight w:val="yellow"/>
        </w:rPr>
        <w:t xml:space="preserve">Studies of advanced groundnut breeding lines have documented variability in pod yield, pod number, and kernel weight, supporting the assessment of these traits when evaluating breeding materials (Susmitha et al., 2024). Evaluations of ICRISAT </w:t>
      </w:r>
      <w:r w:rsidRPr="00C453F1">
        <w:rPr>
          <w:bCs/>
          <w:highlight w:val="yellow"/>
        </w:rPr>
        <w:lastRenderedPageBreak/>
        <w:t>groundnut breeding materials have also considered gains in pod yield alongside related yield attributes across seasonal trials (Behera et al., 2025).</w:t>
      </w:r>
    </w:p>
    <w:p w14:paraId="17776B88" w14:textId="77777777" w:rsidR="00C02F43" w:rsidRPr="00C8760A" w:rsidRDefault="00C33500" w:rsidP="00C02F43">
      <w:pPr>
        <w:spacing w:line="360" w:lineRule="auto"/>
        <w:jc w:val="both"/>
        <w:rPr>
          <w:rFonts w:ascii="Times New Roman" w:hAnsi="Times New Roman" w:cs="Times New Roman"/>
          <w:sz w:val="24"/>
          <w:szCs w:val="24"/>
        </w:rPr>
      </w:pPr>
      <w:r>
        <w:rPr>
          <w:rFonts w:asciiTheme="majorBidi" w:hAnsiTheme="majorBidi" w:cstheme="majorBidi"/>
          <w:sz w:val="24"/>
          <w:szCs w:val="24"/>
        </w:rPr>
        <w:tab/>
      </w:r>
      <w:r w:rsidRPr="00C33500">
        <w:rPr>
          <w:rFonts w:asciiTheme="majorBidi" w:hAnsiTheme="majorBidi" w:cstheme="majorBidi"/>
          <w:sz w:val="24"/>
          <w:szCs w:val="24"/>
        </w:rPr>
        <w:t xml:space="preserve">To overcome these constraints and design effective breeding strategies, </w:t>
      </w:r>
      <w:r>
        <w:rPr>
          <w:rFonts w:asciiTheme="majorBidi" w:hAnsiTheme="majorBidi" w:cstheme="majorBidi"/>
          <w:sz w:val="24"/>
          <w:szCs w:val="24"/>
          <w:highlight w:val="yellow"/>
        </w:rPr>
        <w:t>characterisation and quantification</w:t>
      </w:r>
      <w:r>
        <w:rPr>
          <w:rFonts w:asciiTheme="majorBidi" w:hAnsiTheme="majorBidi" w:cstheme="majorBidi"/>
          <w:sz w:val="24"/>
          <w:szCs w:val="24"/>
        </w:rPr>
        <w:t xml:space="preserve"> of existing genetic diversity among advanced breeding lines are essential prerequisites. Selection based solely on yield is often inefficient due to </w:t>
      </w:r>
      <w:r w:rsidR="00C02F43">
        <w:rPr>
          <w:rFonts w:asciiTheme="majorBidi" w:hAnsiTheme="majorBidi" w:cstheme="majorBidi"/>
          <w:sz w:val="24"/>
          <w:szCs w:val="24"/>
        </w:rPr>
        <w:t xml:space="preserve">its </w:t>
      </w:r>
      <w:r w:rsidRPr="00C33500">
        <w:rPr>
          <w:rFonts w:asciiTheme="majorBidi" w:hAnsiTheme="majorBidi" w:cstheme="majorBidi"/>
          <w:sz w:val="24"/>
          <w:szCs w:val="24"/>
        </w:rPr>
        <w:t>low heritability</w:t>
      </w:r>
      <w:r w:rsidR="00C02F43">
        <w:rPr>
          <w:rFonts w:asciiTheme="majorBidi" w:hAnsiTheme="majorBidi" w:cstheme="majorBidi"/>
          <w:sz w:val="24"/>
          <w:szCs w:val="24"/>
        </w:rPr>
        <w:t>;</w:t>
      </w:r>
      <w:r w:rsidRPr="00C33500">
        <w:rPr>
          <w:rFonts w:asciiTheme="majorBidi" w:hAnsiTheme="majorBidi" w:cstheme="majorBidi"/>
          <w:sz w:val="24"/>
          <w:szCs w:val="24"/>
        </w:rPr>
        <w:t xml:space="preserve"> </w:t>
      </w:r>
      <w:r w:rsidR="00C02F43">
        <w:rPr>
          <w:rFonts w:asciiTheme="majorBidi" w:hAnsiTheme="majorBidi" w:cstheme="majorBidi"/>
          <w:sz w:val="24"/>
          <w:szCs w:val="24"/>
        </w:rPr>
        <w:t>hence,</w:t>
      </w:r>
      <w:r w:rsidRPr="00C33500">
        <w:rPr>
          <w:rFonts w:asciiTheme="majorBidi" w:hAnsiTheme="majorBidi" w:cstheme="majorBidi"/>
          <w:sz w:val="24"/>
          <w:szCs w:val="24"/>
        </w:rPr>
        <w:t xml:space="preserve"> </w:t>
      </w:r>
      <w:r w:rsidR="00C02F43">
        <w:rPr>
          <w:rFonts w:asciiTheme="majorBidi" w:hAnsiTheme="majorBidi" w:cstheme="majorBidi"/>
          <w:sz w:val="24"/>
          <w:szCs w:val="24"/>
        </w:rPr>
        <w:t>m</w:t>
      </w:r>
      <w:r w:rsidRPr="00C33500">
        <w:rPr>
          <w:rFonts w:asciiTheme="majorBidi" w:hAnsiTheme="majorBidi" w:cstheme="majorBidi"/>
          <w:sz w:val="24"/>
          <w:szCs w:val="24"/>
        </w:rPr>
        <w:t>ultivariate analytical techniques</w:t>
      </w:r>
      <w:r>
        <w:rPr>
          <w:rFonts w:asciiTheme="majorBidi" w:hAnsiTheme="majorBidi" w:cstheme="majorBidi"/>
          <w:sz w:val="24"/>
          <w:szCs w:val="24"/>
        </w:rPr>
        <w:t xml:space="preserve"> </w:t>
      </w:r>
      <w:r w:rsidRPr="00C33500">
        <w:rPr>
          <w:rFonts w:asciiTheme="majorBidi" w:hAnsiTheme="majorBidi" w:cstheme="majorBidi"/>
          <w:sz w:val="24"/>
          <w:szCs w:val="24"/>
        </w:rPr>
        <w:t xml:space="preserve">such as </w:t>
      </w:r>
      <w:r>
        <w:rPr>
          <w:rFonts w:asciiTheme="majorBidi" w:hAnsiTheme="majorBidi" w:cstheme="majorBidi"/>
          <w:sz w:val="24"/>
          <w:szCs w:val="24"/>
          <w:highlight w:val="yellow"/>
        </w:rPr>
        <w:t>principal component analysis (PCA) and hierarchical cluster analysis</w:t>
      </w:r>
      <w:r w:rsidRPr="00C33500">
        <w:rPr>
          <w:rFonts w:asciiTheme="majorBidi" w:hAnsiTheme="majorBidi" w:cstheme="majorBidi"/>
          <w:sz w:val="24"/>
          <w:szCs w:val="24"/>
        </w:rPr>
        <w:t xml:space="preserve"> provide robust statistical frameworks for evaluating complex germplasm sets. These approaches enable breeders to</w:t>
      </w:r>
      <w:r>
        <w:rPr>
          <w:rFonts w:asciiTheme="majorBidi" w:hAnsiTheme="majorBidi" w:cstheme="majorBidi"/>
          <w:sz w:val="24"/>
          <w:szCs w:val="24"/>
        </w:rPr>
        <w:t xml:space="preserve"> </w:t>
      </w:r>
      <w:r>
        <w:rPr>
          <w:rFonts w:asciiTheme="majorBidi" w:hAnsiTheme="majorBidi" w:cstheme="majorBidi"/>
          <w:sz w:val="24"/>
          <w:szCs w:val="24"/>
          <w:highlight w:val="yellow"/>
        </w:rPr>
        <w:t>examine multi-trait associations</w:t>
      </w:r>
      <w:r w:rsidRPr="00C33500">
        <w:rPr>
          <w:rFonts w:asciiTheme="majorBidi" w:hAnsiTheme="majorBidi" w:cstheme="majorBidi"/>
          <w:sz w:val="24"/>
          <w:szCs w:val="24"/>
        </w:rPr>
        <w:t xml:space="preserve"> and identify key morpho-agronomic traits contributing to total phenotypic variance</w:t>
      </w:r>
      <w:r w:rsidR="00C02F43">
        <w:rPr>
          <w:rFonts w:asciiTheme="majorBidi" w:hAnsiTheme="majorBidi" w:cstheme="majorBidi"/>
          <w:sz w:val="24"/>
          <w:szCs w:val="24"/>
        </w:rPr>
        <w:t xml:space="preserve">. </w:t>
      </w:r>
      <w:r>
        <w:rPr>
          <w:rFonts w:ascii="Times New Roman" w:hAnsi="Times New Roman" w:cs="Times New Roman"/>
          <w:sz w:val="24"/>
          <w:szCs w:val="24"/>
          <w:highlight w:val="yellow"/>
        </w:rPr>
        <w:t>Furthermore, advanced breeding lines</w:t>
      </w:r>
      <w:r w:rsidR="00C02F43" w:rsidRPr="00C8760A">
        <w:rPr>
          <w:rFonts w:ascii="Times New Roman" w:hAnsi="Times New Roman" w:cs="Times New Roman"/>
          <w:sz w:val="24"/>
          <w:szCs w:val="24"/>
        </w:rPr>
        <w:t xml:space="preserve"> can be </w:t>
      </w:r>
      <w:r w:rsidR="00C02F43">
        <w:rPr>
          <w:rFonts w:ascii="Times New Roman" w:hAnsi="Times New Roman" w:cs="Times New Roman"/>
          <w:sz w:val="24"/>
          <w:szCs w:val="24"/>
        </w:rPr>
        <w:t>grouped, and</w:t>
      </w:r>
      <w:r w:rsidR="00C02F43" w:rsidRPr="00C8760A">
        <w:rPr>
          <w:rFonts w:ascii="Times New Roman" w:hAnsi="Times New Roman" w:cs="Times New Roman"/>
          <w:sz w:val="24"/>
          <w:szCs w:val="24"/>
        </w:rPr>
        <w:t xml:space="preserve"> parental lines </w:t>
      </w:r>
      <w:r>
        <w:rPr>
          <w:rFonts w:ascii="Times New Roman" w:hAnsi="Times New Roman" w:cs="Times New Roman"/>
          <w:sz w:val="24"/>
          <w:szCs w:val="24"/>
          <w:highlight w:val="yellow"/>
        </w:rPr>
        <w:t>from diverse groups</w:t>
      </w:r>
      <w:r>
        <w:rPr>
          <w:rFonts w:ascii="Times New Roman" w:hAnsi="Times New Roman" w:cs="Times New Roman"/>
          <w:sz w:val="24"/>
          <w:szCs w:val="24"/>
        </w:rPr>
        <w:t xml:space="preserve"> </w:t>
      </w:r>
      <w:r w:rsidR="00C02F43" w:rsidRPr="00C8760A">
        <w:rPr>
          <w:rFonts w:ascii="Times New Roman" w:hAnsi="Times New Roman" w:cs="Times New Roman"/>
          <w:sz w:val="24"/>
          <w:szCs w:val="24"/>
        </w:rPr>
        <w:t xml:space="preserve">can be identified for </w:t>
      </w:r>
      <w:r>
        <w:rPr>
          <w:rFonts w:ascii="Times New Roman" w:hAnsi="Times New Roman" w:cs="Times New Roman"/>
          <w:sz w:val="24"/>
          <w:szCs w:val="24"/>
          <w:highlight w:val="yellow"/>
        </w:rPr>
        <w:t>hybridisation</w:t>
      </w:r>
      <w:r>
        <w:rPr>
          <w:rFonts w:ascii="Times New Roman" w:hAnsi="Times New Roman" w:cs="Times New Roman"/>
          <w:sz w:val="24"/>
          <w:szCs w:val="24"/>
        </w:rPr>
        <w:t xml:space="preserve"> </w:t>
      </w:r>
      <w:r w:rsidR="00C02F43">
        <w:rPr>
          <w:rFonts w:ascii="Times New Roman" w:hAnsi="Times New Roman" w:cs="Times New Roman"/>
          <w:sz w:val="24"/>
          <w:szCs w:val="24"/>
        </w:rPr>
        <w:t>to attain maximum</w:t>
      </w:r>
      <w:r w:rsidR="00C02F43" w:rsidRPr="00C8760A">
        <w:rPr>
          <w:rFonts w:ascii="Times New Roman" w:hAnsi="Times New Roman" w:cs="Times New Roman"/>
          <w:sz w:val="24"/>
          <w:szCs w:val="24"/>
        </w:rPr>
        <w:t xml:space="preserve"> heterosis. </w:t>
      </w:r>
      <w:r w:rsidRPr="00C453F1">
        <w:rPr>
          <w:bCs/>
          <w:highlight w:val="yellow"/>
        </w:rPr>
        <w:t>Recent multivariate analysis of peanut cultivars has combined principal component analysis and hierarchical clustering to examine differences in yield and quality traits (Beycioglu, 2026).</w:t>
      </w:r>
    </w:p>
    <w:p w14:paraId="5B64F60E" w14:textId="77777777" w:rsidR="00E31335" w:rsidRDefault="0021681C" w:rsidP="00C02F43">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Multivariate statistical techniques, particularly </w:t>
      </w:r>
      <w:r>
        <w:rPr>
          <w:rFonts w:asciiTheme="majorBidi" w:hAnsiTheme="majorBidi" w:cstheme="majorBidi"/>
          <w:sz w:val="24"/>
          <w:szCs w:val="24"/>
          <w:highlight w:val="yellow"/>
        </w:rPr>
        <w:t>principal component analysis (PCA)</w:t>
      </w:r>
      <w:r>
        <w:rPr>
          <w:rFonts w:asciiTheme="majorBidi" w:hAnsiTheme="majorBidi" w:cstheme="majorBidi"/>
          <w:sz w:val="24"/>
          <w:szCs w:val="24"/>
        </w:rPr>
        <w:t xml:space="preserve"> and cluster analysis based on Euclidean distance using Ward’s minimum-variance method (Ward.D2), are widely used to assess genetic divergence and classify germplasm collections. PCA reduces dataset dimensionality by transforming interrelated morpho-agronomic variables into a smaller set of uncorrelated principal components that capture the maximum proportion of total variance, thereby pinpointing the key traits driving phenotypic diversity (Jolliffe &amp; Cadima, 2016). Complementarily, Euclidean distance quantifies dissimilarity among genotypes across multiple traits, whereas Ward's hierarchical clustering groups lines by </w:t>
      </w:r>
      <w:r>
        <w:rPr>
          <w:rFonts w:asciiTheme="majorBidi" w:hAnsiTheme="majorBidi" w:cstheme="majorBidi"/>
          <w:sz w:val="24"/>
          <w:szCs w:val="24"/>
          <w:highlight w:val="yellow"/>
        </w:rPr>
        <w:t>minimising intra-cluster variance and maximising inter-cluster divergence</w:t>
      </w:r>
      <w:r>
        <w:rPr>
          <w:rFonts w:asciiTheme="majorBidi" w:hAnsiTheme="majorBidi" w:cstheme="majorBidi"/>
          <w:sz w:val="24"/>
          <w:szCs w:val="24"/>
        </w:rPr>
        <w:t xml:space="preserve">. Integrating PCA with Euclidean distance-based clustering </w:t>
      </w:r>
      <w:r w:rsidR="004A54BD">
        <w:rPr>
          <w:rFonts w:asciiTheme="majorBidi" w:hAnsiTheme="majorBidi" w:cstheme="majorBidi"/>
          <w:sz w:val="24"/>
          <w:szCs w:val="24"/>
        </w:rPr>
        <w:t xml:space="preserve">is </w:t>
      </w:r>
      <w:r>
        <w:rPr>
          <w:rFonts w:asciiTheme="majorBidi" w:hAnsiTheme="majorBidi" w:cstheme="majorBidi"/>
          <w:sz w:val="24"/>
          <w:szCs w:val="24"/>
        </w:rPr>
        <w:t>effective in legume germplasm</w:t>
      </w:r>
      <w:r w:rsidR="004A54BD">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sz w:val="24"/>
          <w:szCs w:val="24"/>
          <w:highlight w:val="yellow"/>
        </w:rPr>
        <w:t>thereby helping to understand</w:t>
      </w:r>
      <w:r>
        <w:rPr>
          <w:rFonts w:asciiTheme="majorBidi" w:hAnsiTheme="majorBidi" w:cstheme="majorBidi"/>
          <w:sz w:val="24"/>
          <w:szCs w:val="24"/>
        </w:rPr>
        <w:t xml:space="preserve"> the population structure, identifying complementary parental lines, and enhancing selection efficiency in crop improvement programmes (Kumar </w:t>
      </w:r>
      <w:r w:rsidRPr="004A54BD">
        <w:rPr>
          <w:rFonts w:asciiTheme="majorBidi" w:hAnsiTheme="majorBidi" w:cstheme="majorBidi"/>
          <w:i/>
          <w:iCs/>
          <w:sz w:val="24"/>
          <w:szCs w:val="24"/>
        </w:rPr>
        <w:t>et al</w:t>
      </w:r>
      <w:r>
        <w:rPr>
          <w:rFonts w:asciiTheme="majorBidi" w:hAnsiTheme="majorBidi" w:cstheme="majorBidi"/>
          <w:sz w:val="24"/>
          <w:szCs w:val="24"/>
        </w:rPr>
        <w:t xml:space="preserve">., </w:t>
      </w:r>
      <w:r>
        <w:rPr>
          <w:rFonts w:asciiTheme="majorBidi" w:hAnsiTheme="majorBidi" w:cstheme="majorBidi"/>
          <w:sz w:val="24"/>
          <w:szCs w:val="24"/>
          <w:highlight w:val="yellow"/>
        </w:rPr>
        <w:t>2025</w:t>
      </w:r>
      <w:r>
        <w:rPr>
          <w:rFonts w:asciiTheme="majorBidi" w:hAnsiTheme="majorBidi" w:cstheme="majorBidi"/>
          <w:sz w:val="24"/>
          <w:szCs w:val="24"/>
        </w:rPr>
        <w:t xml:space="preserve">; </w:t>
      </w:r>
      <w:proofErr w:type="spellStart"/>
      <w:r>
        <w:rPr>
          <w:rFonts w:asciiTheme="majorBidi" w:hAnsiTheme="majorBidi" w:cstheme="majorBidi"/>
          <w:sz w:val="24"/>
          <w:szCs w:val="24"/>
        </w:rPr>
        <w:t>Qulmamatova</w:t>
      </w:r>
      <w:proofErr w:type="spellEnd"/>
      <w:r>
        <w:rPr>
          <w:rFonts w:asciiTheme="majorBidi" w:hAnsiTheme="majorBidi" w:cstheme="majorBidi"/>
          <w:sz w:val="24"/>
          <w:szCs w:val="24"/>
        </w:rPr>
        <w:t xml:space="preserve">, 2023; Sharifi </w:t>
      </w:r>
      <w:r w:rsidRPr="004A54BD">
        <w:rPr>
          <w:rFonts w:asciiTheme="majorBidi" w:hAnsiTheme="majorBidi" w:cstheme="majorBidi"/>
          <w:i/>
          <w:iCs/>
          <w:sz w:val="24"/>
          <w:szCs w:val="24"/>
        </w:rPr>
        <w:t>et al</w:t>
      </w:r>
      <w:r>
        <w:rPr>
          <w:rFonts w:asciiTheme="majorBidi" w:hAnsiTheme="majorBidi" w:cstheme="majorBidi"/>
          <w:sz w:val="24"/>
          <w:szCs w:val="24"/>
        </w:rPr>
        <w:t>., 2018).</w:t>
      </w:r>
      <w:r>
        <w:t xml:space="preserve"> </w:t>
      </w:r>
      <w:r w:rsidRPr="00C453F1">
        <w:rPr>
          <w:bCs/>
          <w:highlight w:val="yellow"/>
        </w:rPr>
        <w:t>Comparable cluster-based evaluation of yield-related traits in mungbean has identified divergent groups for potential use in parental selection (Saini et al., 2026).</w:t>
      </w:r>
      <w:r w:rsidRPr="00C453F1">
        <w:rPr>
          <w:bCs/>
        </w:rPr>
        <w:t xml:space="preserve"> </w:t>
      </w:r>
      <w:r w:rsidRPr="00C453F1">
        <w:rPr>
          <w:bCs/>
          <w:highlight w:val="yellow"/>
        </w:rPr>
        <w:t>Nevertheless, the relative contributions of phenological, pod, seed, and yield traits to phenotypic variation, and the grouping of the 30 advanced ICGV lines relative to five commercial checks, remain to be characterised for the rainy-season material evaluated in this study.</w:t>
      </w:r>
      <w:r>
        <w:t xml:space="preserve"> Therefore, this study aimed to elucidate the genetic architecture, trait associations, and principal components of the selected advanced groundnut breeding lines under study.</w:t>
      </w:r>
    </w:p>
    <w:p w14:paraId="4B405306" w14:textId="77777777" w:rsidR="00120850" w:rsidRDefault="00626AC6" w:rsidP="00C2285C">
      <w:pPr>
        <w:spacing w:line="360" w:lineRule="auto"/>
        <w:jc w:val="both"/>
        <w:rPr>
          <w:rFonts w:asciiTheme="majorBidi" w:hAnsiTheme="majorBidi" w:cstheme="majorBidi"/>
          <w:b/>
          <w:bCs/>
          <w:sz w:val="24"/>
          <w:szCs w:val="24"/>
        </w:rPr>
      </w:pPr>
      <w:r w:rsidRPr="00626AC6">
        <w:rPr>
          <w:rFonts w:asciiTheme="majorBidi" w:hAnsiTheme="majorBidi" w:cstheme="majorBidi"/>
          <w:b/>
          <w:bCs/>
          <w:sz w:val="24"/>
          <w:szCs w:val="24"/>
        </w:rPr>
        <w:t xml:space="preserve">2. </w:t>
      </w:r>
      <w:r>
        <w:rPr>
          <w:rFonts w:asciiTheme="majorBidi" w:hAnsiTheme="majorBidi" w:cstheme="majorBidi"/>
          <w:b/>
          <w:bCs/>
          <w:sz w:val="24"/>
          <w:szCs w:val="24"/>
        </w:rPr>
        <w:t>Materials</w:t>
      </w:r>
      <w:r w:rsidRPr="00626AC6">
        <w:rPr>
          <w:rFonts w:asciiTheme="majorBidi" w:hAnsiTheme="majorBidi" w:cstheme="majorBidi"/>
          <w:b/>
          <w:bCs/>
          <w:sz w:val="24"/>
          <w:szCs w:val="24"/>
        </w:rPr>
        <w:t xml:space="preserve"> and Methods </w:t>
      </w:r>
    </w:p>
    <w:p w14:paraId="7DBDE225" w14:textId="77777777" w:rsidR="00B6446C" w:rsidRDefault="00B6446C" w:rsidP="00C2285C">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2.1 Plant Material </w:t>
      </w:r>
    </w:p>
    <w:p w14:paraId="7899A4E4" w14:textId="77777777" w:rsidR="00CF4797" w:rsidRPr="00EE0CB3" w:rsidRDefault="00B6446C" w:rsidP="00EE0CB3">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highlight w:val="yellow"/>
        </w:rPr>
        <w:t>The experimental material comprised</w:t>
      </w:r>
      <w:r>
        <w:rPr>
          <w:rFonts w:asciiTheme="majorBidi" w:hAnsiTheme="majorBidi" w:cstheme="majorBidi"/>
          <w:sz w:val="24"/>
          <w:szCs w:val="24"/>
        </w:rPr>
        <w:t xml:space="preserve"> 30 advanced breeding lines designated as ICGV (ICRISAT Groundnut Variety), obtained from the Groundnut Breeding Section at ICRISAT, Hyderabad (Table 1), along with five widely grown commercial cultivars used as checks. </w:t>
      </w:r>
    </w:p>
    <w:p w14:paraId="3957BDFB" w14:textId="77777777" w:rsidR="0021681C" w:rsidRDefault="0021681C" w:rsidP="00CF4797">
      <w:pPr>
        <w:spacing w:line="360" w:lineRule="auto"/>
        <w:jc w:val="both"/>
        <w:rPr>
          <w:rFonts w:asciiTheme="majorBidi" w:hAnsiTheme="majorBidi" w:cstheme="majorBidi"/>
          <w:b/>
          <w:bCs/>
          <w:sz w:val="24"/>
          <w:szCs w:val="24"/>
        </w:rPr>
      </w:pPr>
      <w:r w:rsidRPr="0021681C">
        <w:rPr>
          <w:rFonts w:asciiTheme="majorBidi" w:hAnsiTheme="majorBidi" w:cstheme="majorBidi"/>
          <w:b/>
          <w:bCs/>
          <w:sz w:val="24"/>
          <w:szCs w:val="24"/>
        </w:rPr>
        <w:t xml:space="preserve">2.2 Experimental Conditions and Field Evaluation </w:t>
      </w:r>
    </w:p>
    <w:p w14:paraId="76202976" w14:textId="77777777" w:rsidR="00CF4797" w:rsidRDefault="0021681C" w:rsidP="00CF4797">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sidR="00CF4797" w:rsidRPr="00CF4797">
        <w:rPr>
          <w:rFonts w:asciiTheme="majorBidi" w:hAnsiTheme="majorBidi" w:cstheme="majorBidi"/>
          <w:sz w:val="24"/>
          <w:szCs w:val="24"/>
        </w:rPr>
        <w:t xml:space="preserve">The field trial was conducted during the </w:t>
      </w:r>
      <w:r w:rsidR="00CF4797" w:rsidRPr="00CF4797">
        <w:rPr>
          <w:rFonts w:asciiTheme="majorBidi" w:hAnsiTheme="majorBidi" w:cstheme="majorBidi"/>
          <w:i/>
          <w:iCs/>
          <w:sz w:val="24"/>
          <w:szCs w:val="24"/>
        </w:rPr>
        <w:t>Kharif</w:t>
      </w:r>
      <w:r w:rsidR="00CF4797" w:rsidRPr="00CF4797">
        <w:rPr>
          <w:rFonts w:asciiTheme="majorBidi" w:hAnsiTheme="majorBidi" w:cstheme="majorBidi"/>
          <w:sz w:val="24"/>
          <w:szCs w:val="24"/>
        </w:rPr>
        <w:t xml:space="preserve"> (rainy) season of 2024 at the Seed Research and Technology Centre (SRTC), Professor Jayashankar Telangana Agricultural University (PJTAU), Rajendranagar, Hyderabad. </w:t>
      </w:r>
      <w:r>
        <w:rPr>
          <w:rFonts w:asciiTheme="majorBidi" w:hAnsiTheme="majorBidi" w:cstheme="majorBidi"/>
          <w:sz w:val="24"/>
          <w:szCs w:val="24"/>
          <w:highlight w:val="yellow"/>
        </w:rPr>
        <w:t>The experimental material, comprising 30 advanced breeding lines and five commercial checks, was evaluated</w:t>
      </w:r>
      <w:r w:rsidR="00CF4797" w:rsidRPr="00CF4797">
        <w:rPr>
          <w:rFonts w:asciiTheme="majorBidi" w:hAnsiTheme="majorBidi" w:cstheme="majorBidi"/>
          <w:sz w:val="24"/>
          <w:szCs w:val="24"/>
        </w:rPr>
        <w:t xml:space="preserve"> using an </w:t>
      </w:r>
      <w:r>
        <w:rPr>
          <w:rFonts w:asciiTheme="majorBidi" w:hAnsiTheme="majorBidi" w:cstheme="majorBidi"/>
          <w:sz w:val="24"/>
          <w:szCs w:val="24"/>
          <w:highlight w:val="yellow"/>
        </w:rPr>
        <w:t>Augmented Randomised Block Design</w:t>
      </w:r>
      <w:r>
        <w:rPr>
          <w:rFonts w:asciiTheme="majorBidi" w:hAnsiTheme="majorBidi" w:cstheme="majorBidi"/>
          <w:sz w:val="24"/>
          <w:szCs w:val="24"/>
        </w:rPr>
        <w:t xml:space="preserve"> (Augmented RBD), </w:t>
      </w:r>
      <w:r>
        <w:rPr>
          <w:rFonts w:asciiTheme="majorBidi" w:hAnsiTheme="majorBidi" w:cstheme="majorBidi"/>
          <w:sz w:val="24"/>
          <w:szCs w:val="24"/>
          <w:highlight w:val="yellow"/>
        </w:rPr>
        <w:t>in which the five check cultivars</w:t>
      </w:r>
      <w:r>
        <w:rPr>
          <w:rFonts w:asciiTheme="majorBidi" w:hAnsiTheme="majorBidi" w:cstheme="majorBidi"/>
          <w:sz w:val="24"/>
          <w:szCs w:val="24"/>
        </w:rPr>
        <w:t xml:space="preserve"> were replicated randomly across each block to account for soil heterogeneity. </w:t>
      </w:r>
      <w:r>
        <w:rPr>
          <w:rFonts w:asciiTheme="majorBidi" w:hAnsiTheme="majorBidi" w:cstheme="majorBidi"/>
          <w:sz w:val="24"/>
          <w:szCs w:val="24"/>
          <w:highlight w:val="yellow"/>
        </w:rPr>
        <w:t>Each entry was sown in four-row plots, each 4 m long, on a well-prepared seedbed</w:t>
      </w:r>
      <w:r>
        <w:rPr>
          <w:rFonts w:asciiTheme="majorBidi" w:hAnsiTheme="majorBidi" w:cstheme="majorBidi"/>
          <w:sz w:val="24"/>
          <w:szCs w:val="24"/>
        </w:rPr>
        <w:t xml:space="preserve">, maintaining a row-to-row spacing of 30 cm and a plant-to-plant distance of 10 cm. Standard crop management practices and </w:t>
      </w:r>
      <w:r w:rsidR="00505A6A">
        <w:rPr>
          <w:rFonts w:asciiTheme="majorBidi" w:hAnsiTheme="majorBidi" w:cstheme="majorBidi"/>
          <w:sz w:val="24"/>
          <w:szCs w:val="24"/>
        </w:rPr>
        <w:t>need-based</w:t>
      </w:r>
      <w:r w:rsidR="00CF4797" w:rsidRPr="00CF4797">
        <w:rPr>
          <w:rFonts w:asciiTheme="majorBidi" w:hAnsiTheme="majorBidi" w:cstheme="majorBidi"/>
          <w:sz w:val="24"/>
          <w:szCs w:val="24"/>
        </w:rPr>
        <w:t xml:space="preserve"> plant protection measures were strictly followed </w:t>
      </w:r>
      <w:r>
        <w:rPr>
          <w:rFonts w:asciiTheme="majorBidi" w:hAnsiTheme="majorBidi" w:cstheme="majorBidi"/>
          <w:sz w:val="24"/>
          <w:szCs w:val="24"/>
          <w:highlight w:val="yellow"/>
        </w:rPr>
        <w:t>to maintain a healthy and uniform crop</w:t>
      </w:r>
      <w:r>
        <w:rPr>
          <w:rFonts w:asciiTheme="majorBidi" w:hAnsiTheme="majorBidi" w:cstheme="majorBidi"/>
          <w:sz w:val="24"/>
          <w:szCs w:val="24"/>
        </w:rPr>
        <w:t>.</w:t>
      </w:r>
    </w:p>
    <w:p w14:paraId="4AE3878E" w14:textId="77777777" w:rsidR="00CF4797" w:rsidRDefault="00CF4797" w:rsidP="00CF4797">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EF1997" w:rsidRPr="00EF1997">
        <w:rPr>
          <w:rFonts w:asciiTheme="majorBidi" w:hAnsiTheme="majorBidi" w:cstheme="majorBidi"/>
          <w:sz w:val="24"/>
          <w:szCs w:val="24"/>
        </w:rPr>
        <w:t xml:space="preserve">Phenotypic data were recorded across key morpho-agronomic and yield-related traits. </w:t>
      </w:r>
      <w:r>
        <w:rPr>
          <w:rFonts w:asciiTheme="majorBidi" w:hAnsiTheme="majorBidi" w:cstheme="majorBidi"/>
          <w:sz w:val="24"/>
          <w:szCs w:val="24"/>
          <w:highlight w:val="yellow"/>
        </w:rPr>
        <w:t>Traits such as</w:t>
      </w:r>
      <w:r w:rsidR="00EF1997" w:rsidRPr="00EF1997">
        <w:rPr>
          <w:rFonts w:asciiTheme="majorBidi" w:hAnsiTheme="majorBidi" w:cstheme="majorBidi"/>
          <w:sz w:val="24"/>
          <w:szCs w:val="24"/>
        </w:rPr>
        <w:t xml:space="preserve"> plant height (cm),</w:t>
      </w:r>
      <w:r w:rsidR="00EF1997">
        <w:rPr>
          <w:rFonts w:asciiTheme="majorBidi" w:hAnsiTheme="majorBidi" w:cstheme="majorBidi"/>
          <w:sz w:val="24"/>
          <w:szCs w:val="24"/>
        </w:rPr>
        <w:t xml:space="preserve"> </w:t>
      </w:r>
      <w:r w:rsidR="00EF1997" w:rsidRPr="00EF1997">
        <w:rPr>
          <w:rFonts w:asciiTheme="majorBidi" w:hAnsiTheme="majorBidi" w:cstheme="majorBidi"/>
          <w:sz w:val="24"/>
          <w:szCs w:val="24"/>
        </w:rPr>
        <w:t>pod wall thickness (mm), kernel diameter (mm), and number of pods per plant</w:t>
      </w:r>
      <w:r w:rsidR="00505A6A">
        <w:rPr>
          <w:rFonts w:asciiTheme="majorBidi" w:hAnsiTheme="majorBidi" w:cstheme="majorBidi"/>
          <w:sz w:val="24"/>
          <w:szCs w:val="24"/>
        </w:rPr>
        <w:t xml:space="preserve"> </w:t>
      </w:r>
      <w:r>
        <w:rPr>
          <w:rFonts w:asciiTheme="majorBidi" w:hAnsiTheme="majorBidi" w:cstheme="majorBidi"/>
          <w:sz w:val="24"/>
          <w:szCs w:val="24"/>
          <w:highlight w:val="yellow"/>
        </w:rPr>
        <w:t>were recorded from five representative plants</w:t>
      </w:r>
      <w:r w:rsidR="00EF1997" w:rsidRPr="00EF1997">
        <w:rPr>
          <w:rFonts w:asciiTheme="majorBidi" w:hAnsiTheme="majorBidi" w:cstheme="majorBidi"/>
          <w:sz w:val="24"/>
          <w:szCs w:val="24"/>
        </w:rPr>
        <w:t xml:space="preserve"> </w:t>
      </w:r>
      <w:r>
        <w:rPr>
          <w:rFonts w:asciiTheme="majorBidi" w:hAnsiTheme="majorBidi" w:cstheme="majorBidi"/>
          <w:sz w:val="24"/>
          <w:szCs w:val="24"/>
          <w:highlight w:val="yellow"/>
        </w:rPr>
        <w:t>randomly selected from the main row</w:t>
      </w:r>
      <w:r w:rsidR="00505A6A">
        <w:rPr>
          <w:rFonts w:asciiTheme="majorBidi" w:hAnsiTheme="majorBidi" w:cstheme="majorBidi"/>
          <w:sz w:val="24"/>
          <w:szCs w:val="24"/>
        </w:rPr>
        <w:t xml:space="preserve"> of each experimental </w:t>
      </w:r>
      <w:r w:rsidR="00EF1997" w:rsidRPr="00EF1997">
        <w:rPr>
          <w:rFonts w:asciiTheme="majorBidi" w:hAnsiTheme="majorBidi" w:cstheme="majorBidi"/>
          <w:sz w:val="24"/>
          <w:szCs w:val="24"/>
        </w:rPr>
        <w:t xml:space="preserve">plot. </w:t>
      </w:r>
      <w:r>
        <w:rPr>
          <w:rFonts w:asciiTheme="majorBidi" w:hAnsiTheme="majorBidi" w:cstheme="majorBidi"/>
          <w:sz w:val="24"/>
          <w:szCs w:val="24"/>
          <w:highlight w:val="yellow"/>
        </w:rPr>
        <w:t>In contrast, phenological and plot-level yield traits</w:t>
      </w:r>
      <w:r w:rsidR="00EF1997">
        <w:rPr>
          <w:rFonts w:asciiTheme="majorBidi" w:hAnsiTheme="majorBidi" w:cstheme="majorBidi"/>
          <w:sz w:val="24"/>
          <w:szCs w:val="24"/>
        </w:rPr>
        <w:t xml:space="preserve"> </w:t>
      </w:r>
      <w:r w:rsidR="00EF1997" w:rsidRPr="00EF1997">
        <w:rPr>
          <w:rFonts w:asciiTheme="majorBidi" w:hAnsiTheme="majorBidi" w:cstheme="majorBidi"/>
          <w:sz w:val="24"/>
          <w:szCs w:val="24"/>
        </w:rPr>
        <w:t>such as days to 50% flowering, days to maturity, 100-pod weight (g), 100-seed weight (g), and total pod yield per plot (kg)</w:t>
      </w:r>
      <w:r w:rsidR="00EF1997">
        <w:rPr>
          <w:rFonts w:asciiTheme="majorBidi" w:hAnsiTheme="majorBidi" w:cstheme="majorBidi"/>
          <w:sz w:val="24"/>
          <w:szCs w:val="24"/>
        </w:rPr>
        <w:t xml:space="preserve"> </w:t>
      </w:r>
      <w:r w:rsidR="00EF1997" w:rsidRPr="00EF1997">
        <w:rPr>
          <w:rFonts w:asciiTheme="majorBidi" w:hAnsiTheme="majorBidi" w:cstheme="majorBidi"/>
          <w:sz w:val="24"/>
          <w:szCs w:val="24"/>
        </w:rPr>
        <w:t>were evaluated on a full-plot basis.</w:t>
      </w:r>
    </w:p>
    <w:p w14:paraId="15D43DD0" w14:textId="77777777" w:rsidR="009F1DDA" w:rsidRDefault="009F1DDA" w:rsidP="00CF4797">
      <w:pPr>
        <w:spacing w:line="360" w:lineRule="auto"/>
        <w:jc w:val="both"/>
        <w:rPr>
          <w:rFonts w:asciiTheme="majorBidi" w:hAnsiTheme="majorBidi" w:cstheme="majorBidi"/>
          <w:b/>
          <w:bCs/>
          <w:sz w:val="24"/>
          <w:szCs w:val="24"/>
        </w:rPr>
      </w:pPr>
      <w:r w:rsidRPr="009F1DDA">
        <w:rPr>
          <w:rFonts w:asciiTheme="majorBidi" w:hAnsiTheme="majorBidi" w:cstheme="majorBidi"/>
          <w:b/>
          <w:bCs/>
          <w:sz w:val="24"/>
          <w:szCs w:val="24"/>
        </w:rPr>
        <w:t>Table 1: List of groundnut advanced breeding lines used in the study</w:t>
      </w:r>
    </w:p>
    <w:tbl>
      <w:tblPr>
        <w:tblStyle w:val="ListTable2-Accent1"/>
        <w:tblW w:w="0" w:type="auto"/>
        <w:jc w:val="center"/>
        <w:tblLook w:val="04A0" w:firstRow="1" w:lastRow="0" w:firstColumn="1" w:lastColumn="0" w:noHBand="0" w:noVBand="1"/>
      </w:tblPr>
      <w:tblGrid>
        <w:gridCol w:w="1356"/>
        <w:gridCol w:w="2512"/>
        <w:gridCol w:w="3691"/>
      </w:tblGrid>
      <w:tr w:rsidR="009F1DDA" w:rsidRPr="002C7E84" w14:paraId="4E4F9C4B" w14:textId="77777777" w:rsidTr="00B00D65">
        <w:trPr>
          <w:cnfStyle w:val="100000000000" w:firstRow="1" w:lastRow="0" w:firstColumn="0" w:lastColumn="0" w:oddVBand="0" w:evenVBand="0" w:oddHBand="0"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A540545" w14:textId="77777777" w:rsidR="009F1DDA" w:rsidRPr="002C7E84" w:rsidRDefault="009F1DDA" w:rsidP="00B00D65">
            <w:pPr>
              <w:spacing w:line="360" w:lineRule="auto"/>
              <w:jc w:val="center"/>
              <w:rPr>
                <w:rFonts w:asciiTheme="majorBidi" w:hAnsiTheme="majorBidi" w:cstheme="majorBidi"/>
                <w:sz w:val="24"/>
                <w:szCs w:val="24"/>
              </w:rPr>
            </w:pPr>
            <w:r w:rsidRPr="002C7E84">
              <w:rPr>
                <w:rFonts w:asciiTheme="majorBidi" w:hAnsiTheme="majorBidi" w:cstheme="majorBidi"/>
                <w:sz w:val="24"/>
                <w:szCs w:val="24"/>
              </w:rPr>
              <w:t>Sr. No.</w:t>
            </w:r>
          </w:p>
        </w:tc>
        <w:tc>
          <w:tcPr>
            <w:tcW w:w="2512" w:type="dxa"/>
            <w:vAlign w:val="center"/>
          </w:tcPr>
          <w:p w14:paraId="545ADE17" w14:textId="77777777" w:rsidR="009F1DDA" w:rsidRPr="002C7E84" w:rsidRDefault="009F1DDA" w:rsidP="00B00D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2C7E84">
              <w:rPr>
                <w:rFonts w:asciiTheme="majorBidi" w:hAnsiTheme="majorBidi" w:cstheme="majorBidi"/>
                <w:sz w:val="24"/>
                <w:szCs w:val="24"/>
              </w:rPr>
              <w:t xml:space="preserve">ICGV </w:t>
            </w:r>
            <w:r w:rsidR="00291ED7" w:rsidRPr="002C7E84">
              <w:rPr>
                <w:rFonts w:asciiTheme="majorBidi" w:hAnsiTheme="majorBidi" w:cstheme="majorBidi"/>
                <w:sz w:val="24"/>
                <w:szCs w:val="24"/>
              </w:rPr>
              <w:t>N</w:t>
            </w:r>
            <w:r w:rsidRPr="002C7E84">
              <w:rPr>
                <w:rFonts w:asciiTheme="majorBidi" w:hAnsiTheme="majorBidi" w:cstheme="majorBidi"/>
                <w:sz w:val="24"/>
                <w:szCs w:val="24"/>
              </w:rPr>
              <w:t>umber</w:t>
            </w:r>
          </w:p>
        </w:tc>
        <w:tc>
          <w:tcPr>
            <w:tcW w:w="3691" w:type="dxa"/>
            <w:vAlign w:val="center"/>
          </w:tcPr>
          <w:p w14:paraId="3D06F0C5" w14:textId="77777777" w:rsidR="009F1DDA" w:rsidRPr="002C7E84" w:rsidRDefault="009F1DDA" w:rsidP="00B00D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2C7E84">
              <w:rPr>
                <w:rFonts w:asciiTheme="majorBidi" w:hAnsiTheme="majorBidi" w:cstheme="majorBidi"/>
                <w:sz w:val="24"/>
                <w:szCs w:val="24"/>
              </w:rPr>
              <w:t>Type</w:t>
            </w:r>
          </w:p>
        </w:tc>
      </w:tr>
      <w:tr w:rsidR="00386655" w14:paraId="670BEE12"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5F2BC435"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w:t>
            </w:r>
          </w:p>
        </w:tc>
        <w:tc>
          <w:tcPr>
            <w:tcW w:w="2512" w:type="dxa"/>
            <w:vAlign w:val="center"/>
          </w:tcPr>
          <w:p w14:paraId="2D1312BA"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02266</w:t>
            </w:r>
          </w:p>
        </w:tc>
        <w:tc>
          <w:tcPr>
            <w:tcW w:w="3691" w:type="dxa"/>
            <w:vAlign w:val="center"/>
          </w:tcPr>
          <w:p w14:paraId="4FC22B82"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Advanced Breeding Line</w:t>
            </w:r>
          </w:p>
        </w:tc>
      </w:tr>
      <w:tr w:rsidR="00386655" w14:paraId="20A61A0F"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FB90C31"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w:t>
            </w:r>
          </w:p>
        </w:tc>
        <w:tc>
          <w:tcPr>
            <w:tcW w:w="2512" w:type="dxa"/>
            <w:vAlign w:val="center"/>
          </w:tcPr>
          <w:p w14:paraId="0915A3F9"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06189</w:t>
            </w:r>
          </w:p>
        </w:tc>
        <w:tc>
          <w:tcPr>
            <w:tcW w:w="3691" w:type="dxa"/>
            <w:vAlign w:val="center"/>
          </w:tcPr>
          <w:p w14:paraId="1E4037B7"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1E5ECB4B"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1F427C3B"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w:t>
            </w:r>
          </w:p>
        </w:tc>
        <w:tc>
          <w:tcPr>
            <w:tcW w:w="2512" w:type="dxa"/>
            <w:vAlign w:val="center"/>
          </w:tcPr>
          <w:p w14:paraId="54A4A18C"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06420</w:t>
            </w:r>
          </w:p>
        </w:tc>
        <w:tc>
          <w:tcPr>
            <w:tcW w:w="3691" w:type="dxa"/>
            <w:vAlign w:val="center"/>
          </w:tcPr>
          <w:p w14:paraId="4AD667F4"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0312AAF0"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5A9B2F2"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4</w:t>
            </w:r>
          </w:p>
        </w:tc>
        <w:tc>
          <w:tcPr>
            <w:tcW w:w="2512" w:type="dxa"/>
            <w:vAlign w:val="center"/>
          </w:tcPr>
          <w:p w14:paraId="4A42B851"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171002</w:t>
            </w:r>
          </w:p>
        </w:tc>
        <w:tc>
          <w:tcPr>
            <w:tcW w:w="3691" w:type="dxa"/>
            <w:vAlign w:val="center"/>
          </w:tcPr>
          <w:p w14:paraId="7CA5E36C"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DF962A5"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7E3460AC"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5</w:t>
            </w:r>
          </w:p>
        </w:tc>
        <w:tc>
          <w:tcPr>
            <w:tcW w:w="2512" w:type="dxa"/>
            <w:vAlign w:val="center"/>
          </w:tcPr>
          <w:p w14:paraId="3A6D9C20"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171008</w:t>
            </w:r>
          </w:p>
        </w:tc>
        <w:tc>
          <w:tcPr>
            <w:tcW w:w="3691" w:type="dxa"/>
            <w:vAlign w:val="center"/>
          </w:tcPr>
          <w:p w14:paraId="1A0B48ED"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2201F8EA"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34A36C6"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6</w:t>
            </w:r>
          </w:p>
        </w:tc>
        <w:tc>
          <w:tcPr>
            <w:tcW w:w="2512" w:type="dxa"/>
            <w:vAlign w:val="center"/>
          </w:tcPr>
          <w:p w14:paraId="712413CE"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171010</w:t>
            </w:r>
          </w:p>
        </w:tc>
        <w:tc>
          <w:tcPr>
            <w:tcW w:w="3691" w:type="dxa"/>
            <w:vAlign w:val="center"/>
          </w:tcPr>
          <w:p w14:paraId="1018C9CA"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5208CF4"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0B6FB21"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7</w:t>
            </w:r>
          </w:p>
        </w:tc>
        <w:tc>
          <w:tcPr>
            <w:tcW w:w="2512" w:type="dxa"/>
            <w:vAlign w:val="center"/>
          </w:tcPr>
          <w:p w14:paraId="46CCFDD3"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171015</w:t>
            </w:r>
          </w:p>
        </w:tc>
        <w:tc>
          <w:tcPr>
            <w:tcW w:w="3691" w:type="dxa"/>
            <w:vAlign w:val="center"/>
          </w:tcPr>
          <w:p w14:paraId="41326384"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1D05CD21"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CCC49DB"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8</w:t>
            </w:r>
          </w:p>
        </w:tc>
        <w:tc>
          <w:tcPr>
            <w:tcW w:w="2512" w:type="dxa"/>
            <w:vAlign w:val="center"/>
          </w:tcPr>
          <w:p w14:paraId="143A088A"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171021</w:t>
            </w:r>
          </w:p>
        </w:tc>
        <w:tc>
          <w:tcPr>
            <w:tcW w:w="3691" w:type="dxa"/>
            <w:vAlign w:val="center"/>
          </w:tcPr>
          <w:p w14:paraId="11664F88"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12B3670B"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29B31BA"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lastRenderedPageBreak/>
              <w:t>9</w:t>
            </w:r>
          </w:p>
        </w:tc>
        <w:tc>
          <w:tcPr>
            <w:tcW w:w="2512" w:type="dxa"/>
            <w:vAlign w:val="center"/>
          </w:tcPr>
          <w:p w14:paraId="16CF4BAB"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171024</w:t>
            </w:r>
          </w:p>
        </w:tc>
        <w:tc>
          <w:tcPr>
            <w:tcW w:w="3691" w:type="dxa"/>
            <w:vAlign w:val="center"/>
          </w:tcPr>
          <w:p w14:paraId="2996A136"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072F45B1"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784BCFC"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10</w:t>
            </w:r>
          </w:p>
        </w:tc>
        <w:tc>
          <w:tcPr>
            <w:tcW w:w="2512" w:type="dxa"/>
            <w:vAlign w:val="center"/>
          </w:tcPr>
          <w:p w14:paraId="0A52B491"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181065</w:t>
            </w:r>
          </w:p>
        </w:tc>
        <w:tc>
          <w:tcPr>
            <w:tcW w:w="3691" w:type="dxa"/>
            <w:vAlign w:val="center"/>
          </w:tcPr>
          <w:p w14:paraId="21E5C7D0"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BD61606"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B914396"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11</w:t>
            </w:r>
          </w:p>
        </w:tc>
        <w:tc>
          <w:tcPr>
            <w:tcW w:w="2512" w:type="dxa"/>
            <w:vAlign w:val="center"/>
          </w:tcPr>
          <w:p w14:paraId="4EDA9261"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201006</w:t>
            </w:r>
          </w:p>
        </w:tc>
        <w:tc>
          <w:tcPr>
            <w:tcW w:w="3691" w:type="dxa"/>
            <w:vAlign w:val="center"/>
          </w:tcPr>
          <w:p w14:paraId="322E789E"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2F8DE01D"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1F17A8BE"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12</w:t>
            </w:r>
          </w:p>
        </w:tc>
        <w:tc>
          <w:tcPr>
            <w:tcW w:w="2512" w:type="dxa"/>
            <w:vAlign w:val="center"/>
          </w:tcPr>
          <w:p w14:paraId="69B13C37"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201024</w:t>
            </w:r>
          </w:p>
        </w:tc>
        <w:tc>
          <w:tcPr>
            <w:tcW w:w="3691" w:type="dxa"/>
            <w:vAlign w:val="center"/>
          </w:tcPr>
          <w:p w14:paraId="4F5FF6DA"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4A83865"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70DB86FC"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13</w:t>
            </w:r>
          </w:p>
        </w:tc>
        <w:tc>
          <w:tcPr>
            <w:tcW w:w="2512" w:type="dxa"/>
            <w:vAlign w:val="center"/>
          </w:tcPr>
          <w:p w14:paraId="30D65235"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201041</w:t>
            </w:r>
          </w:p>
        </w:tc>
        <w:tc>
          <w:tcPr>
            <w:tcW w:w="3691" w:type="dxa"/>
            <w:vAlign w:val="center"/>
          </w:tcPr>
          <w:p w14:paraId="291C7B05"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6D9CA8DB"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48862C5"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14</w:t>
            </w:r>
          </w:p>
        </w:tc>
        <w:tc>
          <w:tcPr>
            <w:tcW w:w="2512" w:type="dxa"/>
            <w:vAlign w:val="center"/>
          </w:tcPr>
          <w:p w14:paraId="7F41DE81"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201179</w:t>
            </w:r>
          </w:p>
        </w:tc>
        <w:tc>
          <w:tcPr>
            <w:tcW w:w="3691" w:type="dxa"/>
            <w:vAlign w:val="center"/>
          </w:tcPr>
          <w:p w14:paraId="1D01EAE2"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70051719"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E06C1B6"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15</w:t>
            </w:r>
          </w:p>
        </w:tc>
        <w:tc>
          <w:tcPr>
            <w:tcW w:w="2512" w:type="dxa"/>
            <w:vAlign w:val="center"/>
          </w:tcPr>
          <w:p w14:paraId="5442292D"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201181</w:t>
            </w:r>
          </w:p>
        </w:tc>
        <w:tc>
          <w:tcPr>
            <w:tcW w:w="3691" w:type="dxa"/>
            <w:vAlign w:val="center"/>
          </w:tcPr>
          <w:p w14:paraId="093276D2"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1B4E365"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E541EDC"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16</w:t>
            </w:r>
          </w:p>
        </w:tc>
        <w:tc>
          <w:tcPr>
            <w:tcW w:w="2512" w:type="dxa"/>
            <w:vAlign w:val="center"/>
          </w:tcPr>
          <w:p w14:paraId="4C308C4D"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201235</w:t>
            </w:r>
          </w:p>
        </w:tc>
        <w:tc>
          <w:tcPr>
            <w:tcW w:w="3691" w:type="dxa"/>
            <w:vAlign w:val="center"/>
          </w:tcPr>
          <w:p w14:paraId="7D835084"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67B60E8"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38474E2"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17</w:t>
            </w:r>
          </w:p>
        </w:tc>
        <w:tc>
          <w:tcPr>
            <w:tcW w:w="2512" w:type="dxa"/>
            <w:vAlign w:val="center"/>
          </w:tcPr>
          <w:p w14:paraId="0B84B7C1"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211009</w:t>
            </w:r>
          </w:p>
        </w:tc>
        <w:tc>
          <w:tcPr>
            <w:tcW w:w="3691" w:type="dxa"/>
            <w:vAlign w:val="center"/>
          </w:tcPr>
          <w:p w14:paraId="7D8A1CAF"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5D276895"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6417D86"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18</w:t>
            </w:r>
          </w:p>
        </w:tc>
        <w:tc>
          <w:tcPr>
            <w:tcW w:w="2512" w:type="dxa"/>
            <w:vAlign w:val="center"/>
          </w:tcPr>
          <w:p w14:paraId="09793DF9"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211010</w:t>
            </w:r>
          </w:p>
        </w:tc>
        <w:tc>
          <w:tcPr>
            <w:tcW w:w="3691" w:type="dxa"/>
            <w:vAlign w:val="center"/>
          </w:tcPr>
          <w:p w14:paraId="0B4B2718"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13DAF91"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BE4040E"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19</w:t>
            </w:r>
          </w:p>
        </w:tc>
        <w:tc>
          <w:tcPr>
            <w:tcW w:w="2512" w:type="dxa"/>
            <w:vAlign w:val="center"/>
          </w:tcPr>
          <w:p w14:paraId="057C6475"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211020</w:t>
            </w:r>
          </w:p>
        </w:tc>
        <w:tc>
          <w:tcPr>
            <w:tcW w:w="3691" w:type="dxa"/>
            <w:vAlign w:val="center"/>
          </w:tcPr>
          <w:p w14:paraId="1026880A"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00DE04B"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6850F8A"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20</w:t>
            </w:r>
          </w:p>
        </w:tc>
        <w:tc>
          <w:tcPr>
            <w:tcW w:w="2512" w:type="dxa"/>
            <w:vAlign w:val="center"/>
          </w:tcPr>
          <w:p w14:paraId="59B1EE02"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211021</w:t>
            </w:r>
          </w:p>
        </w:tc>
        <w:tc>
          <w:tcPr>
            <w:tcW w:w="3691" w:type="dxa"/>
            <w:vAlign w:val="center"/>
          </w:tcPr>
          <w:p w14:paraId="1A04AA81"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2C7BBF95"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6F627762"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21</w:t>
            </w:r>
          </w:p>
        </w:tc>
        <w:tc>
          <w:tcPr>
            <w:tcW w:w="2512" w:type="dxa"/>
            <w:vAlign w:val="center"/>
          </w:tcPr>
          <w:p w14:paraId="2F8AD826"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211029</w:t>
            </w:r>
          </w:p>
        </w:tc>
        <w:tc>
          <w:tcPr>
            <w:tcW w:w="3691" w:type="dxa"/>
            <w:vAlign w:val="center"/>
          </w:tcPr>
          <w:p w14:paraId="7C92F2DB"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4679633"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2719311"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22</w:t>
            </w:r>
          </w:p>
        </w:tc>
        <w:tc>
          <w:tcPr>
            <w:tcW w:w="2512" w:type="dxa"/>
            <w:vAlign w:val="center"/>
          </w:tcPr>
          <w:p w14:paraId="7A23C824"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211033</w:t>
            </w:r>
          </w:p>
        </w:tc>
        <w:tc>
          <w:tcPr>
            <w:tcW w:w="3691" w:type="dxa"/>
            <w:vAlign w:val="center"/>
          </w:tcPr>
          <w:p w14:paraId="49C20C88"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29555AF8"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4F9DF60"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23</w:t>
            </w:r>
          </w:p>
        </w:tc>
        <w:tc>
          <w:tcPr>
            <w:tcW w:w="2512" w:type="dxa"/>
            <w:vAlign w:val="center"/>
          </w:tcPr>
          <w:p w14:paraId="00FB05E0"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211036</w:t>
            </w:r>
          </w:p>
        </w:tc>
        <w:tc>
          <w:tcPr>
            <w:tcW w:w="3691" w:type="dxa"/>
            <w:vAlign w:val="center"/>
          </w:tcPr>
          <w:p w14:paraId="391D04FE"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243C68E7"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A8FA11A"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24</w:t>
            </w:r>
          </w:p>
        </w:tc>
        <w:tc>
          <w:tcPr>
            <w:tcW w:w="2512" w:type="dxa"/>
            <w:vAlign w:val="center"/>
          </w:tcPr>
          <w:p w14:paraId="03244774"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211037</w:t>
            </w:r>
          </w:p>
        </w:tc>
        <w:tc>
          <w:tcPr>
            <w:tcW w:w="3691" w:type="dxa"/>
            <w:vAlign w:val="center"/>
          </w:tcPr>
          <w:p w14:paraId="21D5DAED"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00DD40A4"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C91363E"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25</w:t>
            </w:r>
          </w:p>
        </w:tc>
        <w:tc>
          <w:tcPr>
            <w:tcW w:w="2512" w:type="dxa"/>
            <w:vAlign w:val="center"/>
          </w:tcPr>
          <w:p w14:paraId="29DAB793"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211040</w:t>
            </w:r>
          </w:p>
        </w:tc>
        <w:tc>
          <w:tcPr>
            <w:tcW w:w="3691" w:type="dxa"/>
            <w:vAlign w:val="center"/>
          </w:tcPr>
          <w:p w14:paraId="46C14E14"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5C78494C"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3059238"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26</w:t>
            </w:r>
          </w:p>
        </w:tc>
        <w:tc>
          <w:tcPr>
            <w:tcW w:w="2512" w:type="dxa"/>
            <w:vAlign w:val="center"/>
          </w:tcPr>
          <w:p w14:paraId="47C7427D"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211043</w:t>
            </w:r>
          </w:p>
        </w:tc>
        <w:tc>
          <w:tcPr>
            <w:tcW w:w="3691" w:type="dxa"/>
            <w:vAlign w:val="center"/>
          </w:tcPr>
          <w:p w14:paraId="424E9A0A"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84F35DB"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DA0D662"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27</w:t>
            </w:r>
          </w:p>
        </w:tc>
        <w:tc>
          <w:tcPr>
            <w:tcW w:w="2512" w:type="dxa"/>
            <w:vAlign w:val="center"/>
          </w:tcPr>
          <w:p w14:paraId="6E4D250C"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211047</w:t>
            </w:r>
          </w:p>
        </w:tc>
        <w:tc>
          <w:tcPr>
            <w:tcW w:w="3691" w:type="dxa"/>
            <w:vAlign w:val="center"/>
          </w:tcPr>
          <w:p w14:paraId="20932716"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D8C22C1"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1D1FB9C"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28</w:t>
            </w:r>
          </w:p>
        </w:tc>
        <w:tc>
          <w:tcPr>
            <w:tcW w:w="2512" w:type="dxa"/>
            <w:vAlign w:val="center"/>
          </w:tcPr>
          <w:p w14:paraId="0FAE5C7A"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211062</w:t>
            </w:r>
          </w:p>
        </w:tc>
        <w:tc>
          <w:tcPr>
            <w:tcW w:w="3691" w:type="dxa"/>
            <w:vAlign w:val="center"/>
          </w:tcPr>
          <w:p w14:paraId="2F1E6EC4"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768A2B29"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41E1FE1"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29</w:t>
            </w:r>
          </w:p>
        </w:tc>
        <w:tc>
          <w:tcPr>
            <w:tcW w:w="2512" w:type="dxa"/>
            <w:vAlign w:val="center"/>
          </w:tcPr>
          <w:p w14:paraId="52B9C571"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211069</w:t>
            </w:r>
          </w:p>
        </w:tc>
        <w:tc>
          <w:tcPr>
            <w:tcW w:w="3691" w:type="dxa"/>
            <w:vAlign w:val="center"/>
          </w:tcPr>
          <w:p w14:paraId="3BD85D90"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5BC23F6E"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DA6B989"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30</w:t>
            </w:r>
          </w:p>
        </w:tc>
        <w:tc>
          <w:tcPr>
            <w:tcW w:w="2512" w:type="dxa"/>
            <w:vAlign w:val="center"/>
          </w:tcPr>
          <w:p w14:paraId="70287723"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211089</w:t>
            </w:r>
          </w:p>
        </w:tc>
        <w:tc>
          <w:tcPr>
            <w:tcW w:w="3691" w:type="dxa"/>
            <w:vAlign w:val="center"/>
          </w:tcPr>
          <w:p w14:paraId="5B6F66A9"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86AEB59"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608373A"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31</w:t>
            </w:r>
          </w:p>
        </w:tc>
        <w:tc>
          <w:tcPr>
            <w:tcW w:w="2512" w:type="dxa"/>
            <w:vAlign w:val="center"/>
          </w:tcPr>
          <w:p w14:paraId="443B84DC"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K6</w:t>
            </w:r>
          </w:p>
        </w:tc>
        <w:tc>
          <w:tcPr>
            <w:tcW w:w="3691" w:type="dxa"/>
            <w:vAlign w:val="center"/>
          </w:tcPr>
          <w:p w14:paraId="3A64CF21"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r w:rsidR="00386655" w14:paraId="355AE9D7"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8D37E50"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32</w:t>
            </w:r>
          </w:p>
        </w:tc>
        <w:tc>
          <w:tcPr>
            <w:tcW w:w="2512" w:type="dxa"/>
            <w:vAlign w:val="center"/>
          </w:tcPr>
          <w:p w14:paraId="74A199C0"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JCG 2141</w:t>
            </w:r>
          </w:p>
        </w:tc>
        <w:tc>
          <w:tcPr>
            <w:tcW w:w="3691" w:type="dxa"/>
            <w:vAlign w:val="center"/>
          </w:tcPr>
          <w:p w14:paraId="76946105"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r w:rsidR="00386655" w14:paraId="49049443"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7BC99BAB"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33</w:t>
            </w:r>
          </w:p>
        </w:tc>
        <w:tc>
          <w:tcPr>
            <w:tcW w:w="2512" w:type="dxa"/>
            <w:vAlign w:val="center"/>
          </w:tcPr>
          <w:p w14:paraId="0065E2AA"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G5</w:t>
            </w:r>
          </w:p>
        </w:tc>
        <w:tc>
          <w:tcPr>
            <w:tcW w:w="3691" w:type="dxa"/>
            <w:vAlign w:val="center"/>
          </w:tcPr>
          <w:p w14:paraId="5FB54AD4"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r w:rsidR="00386655" w14:paraId="4BAFAA11"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FB8B01F"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34</w:t>
            </w:r>
          </w:p>
        </w:tc>
        <w:tc>
          <w:tcPr>
            <w:tcW w:w="2512" w:type="dxa"/>
            <w:vAlign w:val="center"/>
          </w:tcPr>
          <w:p w14:paraId="7B4970AC" w14:textId="7777777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GG40</w:t>
            </w:r>
          </w:p>
        </w:tc>
        <w:tc>
          <w:tcPr>
            <w:tcW w:w="3691" w:type="dxa"/>
            <w:vAlign w:val="center"/>
          </w:tcPr>
          <w:p w14:paraId="4B746767" w14:textId="7777777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r w:rsidR="00386655" w14:paraId="701A9C65"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D1C2B3D" w14:textId="7777777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35</w:t>
            </w:r>
          </w:p>
        </w:tc>
        <w:tc>
          <w:tcPr>
            <w:tcW w:w="2512" w:type="dxa"/>
            <w:vAlign w:val="center"/>
          </w:tcPr>
          <w:p w14:paraId="2CB38D91" w14:textId="77777777"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JL24</w:t>
            </w:r>
          </w:p>
        </w:tc>
        <w:tc>
          <w:tcPr>
            <w:tcW w:w="3691" w:type="dxa"/>
            <w:vAlign w:val="center"/>
          </w:tcPr>
          <w:p w14:paraId="7F4AB54F" w14:textId="7777777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bl>
    <w:p w14:paraId="47EEC2E8" w14:textId="77777777" w:rsidR="009F1DDA" w:rsidRPr="009F1DDA" w:rsidRDefault="009F1DDA" w:rsidP="00C2285C">
      <w:pPr>
        <w:spacing w:line="360" w:lineRule="auto"/>
        <w:jc w:val="both"/>
        <w:rPr>
          <w:rFonts w:asciiTheme="majorBidi" w:hAnsiTheme="majorBidi" w:cstheme="majorBidi"/>
          <w:sz w:val="24"/>
          <w:szCs w:val="24"/>
        </w:rPr>
      </w:pPr>
    </w:p>
    <w:p w14:paraId="2DB80DA2" w14:textId="77777777" w:rsidR="00CD568D" w:rsidRDefault="005D4A1A" w:rsidP="00C2285C">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2.3 Statistical Analysis </w:t>
      </w:r>
    </w:p>
    <w:p w14:paraId="08EFC10B" w14:textId="77777777" w:rsidR="005D4A1A" w:rsidRDefault="005D4A1A" w:rsidP="00571FDB">
      <w:pPr>
        <w:spacing w:line="360" w:lineRule="auto"/>
        <w:jc w:val="both"/>
        <w:rPr>
          <w:rFonts w:asciiTheme="majorBidi" w:hAnsiTheme="majorBidi" w:cstheme="majorBidi"/>
          <w:sz w:val="24"/>
          <w:szCs w:val="24"/>
        </w:rPr>
      </w:pPr>
      <w:r w:rsidRPr="005277E2">
        <w:rPr>
          <w:rFonts w:asciiTheme="majorBidi" w:hAnsiTheme="majorBidi" w:cstheme="majorBidi"/>
          <w:sz w:val="24"/>
          <w:szCs w:val="24"/>
        </w:rPr>
        <w:tab/>
      </w:r>
      <w:r w:rsidR="00571FDB" w:rsidRPr="00571FDB">
        <w:rPr>
          <w:rFonts w:asciiTheme="majorBidi" w:hAnsiTheme="majorBidi" w:cstheme="majorBidi"/>
          <w:sz w:val="24"/>
          <w:szCs w:val="24"/>
        </w:rPr>
        <w:t xml:space="preserve">To evaluate genetic diversity and elucidate multivariate relationships among the groundnut genotypes, all statistical analyses were performed using R software (v4.5.1). </w:t>
      </w:r>
      <w:r>
        <w:rPr>
          <w:rFonts w:asciiTheme="majorBidi" w:hAnsiTheme="majorBidi" w:cstheme="majorBidi"/>
          <w:sz w:val="24"/>
          <w:szCs w:val="24"/>
          <w:highlight w:val="yellow"/>
        </w:rPr>
        <w:t>Initially, adjusted mean values</w:t>
      </w:r>
      <w:r>
        <w:rPr>
          <w:rFonts w:asciiTheme="majorBidi" w:hAnsiTheme="majorBidi" w:cstheme="majorBidi"/>
          <w:sz w:val="24"/>
          <w:szCs w:val="24"/>
        </w:rPr>
        <w:t xml:space="preserve"> for each entry were derived from the augmented design analysis </w:t>
      </w:r>
      <w:r>
        <w:rPr>
          <w:rFonts w:asciiTheme="majorBidi" w:hAnsiTheme="majorBidi" w:cstheme="majorBidi"/>
          <w:sz w:val="24"/>
          <w:szCs w:val="24"/>
        </w:rPr>
        <w:lastRenderedPageBreak/>
        <w:t xml:space="preserve">to eliminate block effects. To reduce dataset dimensionality and pinpoint the key morpho-agronomic traits driving overall phenotypic variation, </w:t>
      </w:r>
      <w:r>
        <w:rPr>
          <w:rFonts w:asciiTheme="majorBidi" w:hAnsiTheme="majorBidi" w:cstheme="majorBidi"/>
          <w:sz w:val="24"/>
          <w:szCs w:val="24"/>
          <w:highlight w:val="yellow"/>
        </w:rPr>
        <w:t>principal component analysis (PCA)</w:t>
      </w:r>
      <w:r>
        <w:rPr>
          <w:rFonts w:asciiTheme="majorBidi" w:hAnsiTheme="majorBidi" w:cstheme="majorBidi"/>
          <w:sz w:val="24"/>
          <w:szCs w:val="24"/>
        </w:rPr>
        <w:t xml:space="preserve"> was conducted using the </w:t>
      </w:r>
      <w:proofErr w:type="spellStart"/>
      <w:r w:rsidR="00571FDB" w:rsidRPr="00571FDB">
        <w:rPr>
          <w:rFonts w:asciiTheme="majorBidi" w:hAnsiTheme="majorBidi" w:cstheme="majorBidi"/>
          <w:i/>
          <w:iCs/>
          <w:sz w:val="24"/>
          <w:szCs w:val="24"/>
        </w:rPr>
        <w:t>prcomp</w:t>
      </w:r>
      <w:proofErr w:type="spellEnd"/>
      <w:r w:rsidR="00571FDB" w:rsidRPr="00571FDB">
        <w:rPr>
          <w:rFonts w:asciiTheme="majorBidi" w:hAnsiTheme="majorBidi" w:cstheme="majorBidi"/>
          <w:sz w:val="24"/>
          <w:szCs w:val="24"/>
        </w:rPr>
        <w:t xml:space="preserve"> function. Scree plots, eigenvalues, variable contributions, and genotype biplots were generated using the </w:t>
      </w:r>
      <w:proofErr w:type="spellStart"/>
      <w:r w:rsidR="00571FDB" w:rsidRPr="00571FDB">
        <w:rPr>
          <w:rFonts w:asciiTheme="majorBidi" w:hAnsiTheme="majorBidi" w:cstheme="majorBidi"/>
          <w:i/>
          <w:iCs/>
          <w:sz w:val="24"/>
          <w:szCs w:val="24"/>
        </w:rPr>
        <w:t>factoextra</w:t>
      </w:r>
      <w:proofErr w:type="spellEnd"/>
      <w:r w:rsidR="00571FDB" w:rsidRPr="00571FDB">
        <w:rPr>
          <w:rFonts w:asciiTheme="majorBidi" w:hAnsiTheme="majorBidi" w:cstheme="majorBidi"/>
          <w:sz w:val="24"/>
          <w:szCs w:val="24"/>
        </w:rPr>
        <w:t xml:space="preserve"> package (</w:t>
      </w:r>
      <w:proofErr w:type="spellStart"/>
      <w:r w:rsidR="00571FDB" w:rsidRPr="00571FDB">
        <w:rPr>
          <w:rFonts w:asciiTheme="majorBidi" w:hAnsiTheme="majorBidi" w:cstheme="majorBidi"/>
          <w:sz w:val="24"/>
          <w:szCs w:val="24"/>
        </w:rPr>
        <w:t>Kassambara</w:t>
      </w:r>
      <w:proofErr w:type="spellEnd"/>
      <w:r w:rsidR="00571FDB" w:rsidRPr="00571FDB">
        <w:rPr>
          <w:rFonts w:asciiTheme="majorBidi" w:hAnsiTheme="majorBidi" w:cstheme="majorBidi"/>
          <w:sz w:val="24"/>
          <w:szCs w:val="24"/>
        </w:rPr>
        <w:t xml:space="preserve"> &amp; Mundt, 2020).</w:t>
      </w:r>
    </w:p>
    <w:p w14:paraId="70CD7785" w14:textId="77777777" w:rsidR="00571FDB" w:rsidRDefault="00571FDB" w:rsidP="00571FDB">
      <w:pPr>
        <w:spacing w:line="36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highlight w:val="yellow"/>
        </w:rPr>
        <w:t>To further assess genetic relationships</w:t>
      </w:r>
      <w:r>
        <w:rPr>
          <w:rFonts w:asciiTheme="majorBidi" w:hAnsiTheme="majorBidi" w:cstheme="majorBidi"/>
          <w:sz w:val="24"/>
          <w:szCs w:val="24"/>
        </w:rPr>
        <w:t xml:space="preserve"> and group genotypes based on dissimilarity, hierarchical cluster analysis was performed. Pairwise genetic distances were computed using the Euclidean distance metric, followed by hierarchical agglomerative clustering via Ward’s minimum variance method (Ward.D2). The resulting dendrogram was partitioned into distinct genetic clusters using the </w:t>
      </w:r>
      <w:proofErr w:type="spellStart"/>
      <w:r w:rsidRPr="00571FDB">
        <w:rPr>
          <w:rFonts w:asciiTheme="majorBidi" w:hAnsiTheme="majorBidi" w:cstheme="majorBidi"/>
          <w:i/>
          <w:iCs/>
          <w:sz w:val="24"/>
          <w:szCs w:val="24"/>
        </w:rPr>
        <w:t>cutree</w:t>
      </w:r>
      <w:proofErr w:type="spellEnd"/>
      <w:r w:rsidRPr="00571FDB">
        <w:rPr>
          <w:rFonts w:asciiTheme="majorBidi" w:hAnsiTheme="majorBidi" w:cstheme="majorBidi"/>
          <w:i/>
          <w:iCs/>
          <w:sz w:val="24"/>
          <w:szCs w:val="24"/>
        </w:rPr>
        <w:t xml:space="preserve"> </w:t>
      </w:r>
      <w:r w:rsidRPr="00571FDB">
        <w:rPr>
          <w:rFonts w:asciiTheme="majorBidi" w:hAnsiTheme="majorBidi" w:cstheme="majorBidi"/>
          <w:sz w:val="24"/>
          <w:szCs w:val="24"/>
        </w:rPr>
        <w:t xml:space="preserve">function. The circular cluster topology and clade distributions were visualized using the </w:t>
      </w:r>
      <w:proofErr w:type="spellStart"/>
      <w:r w:rsidRPr="00571FDB">
        <w:rPr>
          <w:rFonts w:asciiTheme="majorBidi" w:hAnsiTheme="majorBidi" w:cstheme="majorBidi"/>
          <w:i/>
          <w:iCs/>
          <w:sz w:val="24"/>
          <w:szCs w:val="24"/>
        </w:rPr>
        <w:t>ggtree</w:t>
      </w:r>
      <w:proofErr w:type="spellEnd"/>
      <w:r w:rsidRPr="00571FDB">
        <w:rPr>
          <w:rFonts w:asciiTheme="majorBidi" w:hAnsiTheme="majorBidi" w:cstheme="majorBidi"/>
          <w:sz w:val="24"/>
          <w:szCs w:val="24"/>
        </w:rPr>
        <w:t xml:space="preserve"> (Yu </w:t>
      </w:r>
      <w:r w:rsidRPr="00571FDB">
        <w:rPr>
          <w:rFonts w:asciiTheme="majorBidi" w:hAnsiTheme="majorBidi" w:cstheme="majorBidi"/>
          <w:i/>
          <w:iCs/>
          <w:sz w:val="24"/>
          <w:szCs w:val="24"/>
        </w:rPr>
        <w:t>et al</w:t>
      </w:r>
      <w:r w:rsidRPr="00571FDB">
        <w:rPr>
          <w:rFonts w:asciiTheme="majorBidi" w:hAnsiTheme="majorBidi" w:cstheme="majorBidi"/>
          <w:sz w:val="24"/>
          <w:szCs w:val="24"/>
        </w:rPr>
        <w:t xml:space="preserve">., 2017) and </w:t>
      </w:r>
      <w:proofErr w:type="spellStart"/>
      <w:r w:rsidRPr="00571FDB">
        <w:rPr>
          <w:rFonts w:asciiTheme="majorBidi" w:hAnsiTheme="majorBidi" w:cstheme="majorBidi"/>
          <w:i/>
          <w:iCs/>
          <w:sz w:val="24"/>
          <w:szCs w:val="24"/>
        </w:rPr>
        <w:t>ggtreeExtra</w:t>
      </w:r>
      <w:proofErr w:type="spellEnd"/>
      <w:r w:rsidRPr="00571FDB">
        <w:rPr>
          <w:rFonts w:asciiTheme="majorBidi" w:hAnsiTheme="majorBidi" w:cstheme="majorBidi"/>
          <w:sz w:val="24"/>
          <w:szCs w:val="24"/>
        </w:rPr>
        <w:t xml:space="preserve"> (Xu </w:t>
      </w:r>
      <w:r w:rsidRPr="00571FDB">
        <w:rPr>
          <w:rFonts w:asciiTheme="majorBidi" w:hAnsiTheme="majorBidi" w:cstheme="majorBidi"/>
          <w:i/>
          <w:iCs/>
          <w:sz w:val="24"/>
          <w:szCs w:val="24"/>
        </w:rPr>
        <w:t>et al</w:t>
      </w:r>
      <w:r w:rsidRPr="00571FDB">
        <w:rPr>
          <w:rFonts w:asciiTheme="majorBidi" w:hAnsiTheme="majorBidi" w:cstheme="majorBidi"/>
          <w:sz w:val="24"/>
          <w:szCs w:val="24"/>
        </w:rPr>
        <w:t>., 2021) packages.</w:t>
      </w:r>
    </w:p>
    <w:p w14:paraId="156F0FD2" w14:textId="77777777" w:rsidR="00863DCA" w:rsidRDefault="00863DCA" w:rsidP="00571FDB">
      <w:pPr>
        <w:spacing w:line="360" w:lineRule="auto"/>
        <w:jc w:val="both"/>
        <w:rPr>
          <w:rFonts w:asciiTheme="majorBidi" w:hAnsiTheme="majorBidi" w:cstheme="majorBidi"/>
          <w:b/>
          <w:bCs/>
          <w:sz w:val="24"/>
          <w:szCs w:val="24"/>
        </w:rPr>
      </w:pPr>
      <w:r w:rsidRPr="00863DCA">
        <w:rPr>
          <w:rFonts w:asciiTheme="majorBidi" w:hAnsiTheme="majorBidi" w:cstheme="majorBidi"/>
          <w:b/>
          <w:bCs/>
          <w:sz w:val="24"/>
          <w:szCs w:val="24"/>
        </w:rPr>
        <w:t>3</w:t>
      </w:r>
      <w:r>
        <w:rPr>
          <w:rFonts w:asciiTheme="majorBidi" w:hAnsiTheme="majorBidi" w:cstheme="majorBidi"/>
          <w:b/>
          <w:bCs/>
          <w:sz w:val="24"/>
          <w:szCs w:val="24"/>
        </w:rPr>
        <w:t>.</w:t>
      </w:r>
      <w:r w:rsidRPr="00863DCA">
        <w:rPr>
          <w:rFonts w:asciiTheme="majorBidi" w:hAnsiTheme="majorBidi" w:cstheme="majorBidi"/>
          <w:b/>
          <w:bCs/>
          <w:sz w:val="24"/>
          <w:szCs w:val="24"/>
        </w:rPr>
        <w:t xml:space="preserve"> Results and Discussion </w:t>
      </w:r>
    </w:p>
    <w:p w14:paraId="60BEB158" w14:textId="77777777" w:rsidR="00863DCA" w:rsidRDefault="00863DCA" w:rsidP="00571FDB">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3.1 </w:t>
      </w:r>
      <w:r w:rsidR="005920F1" w:rsidRPr="005920F1">
        <w:rPr>
          <w:rFonts w:asciiTheme="majorBidi" w:hAnsiTheme="majorBidi" w:cstheme="majorBidi"/>
          <w:b/>
          <w:bCs/>
          <w:sz w:val="24"/>
          <w:szCs w:val="24"/>
        </w:rPr>
        <w:t>Divergence and Clustering Patterns Based on Quantitative Morpho-physiological Traits</w:t>
      </w:r>
    </w:p>
    <w:p w14:paraId="0EA676CE" w14:textId="77777777" w:rsidR="005920F1" w:rsidRDefault="00AA5624" w:rsidP="00571FDB">
      <w:pPr>
        <w:spacing w:line="36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highlight w:val="yellow"/>
        </w:rPr>
        <w:t>Hierarchical clustering was used to analyse genetic divergence among the 35 groundnut accessions.</w:t>
      </w:r>
      <w:r>
        <w:rPr>
          <w:rFonts w:asciiTheme="majorBidi" w:hAnsiTheme="majorBidi" w:cstheme="majorBidi"/>
          <w:sz w:val="24"/>
          <w:szCs w:val="24"/>
        </w:rPr>
        <w:t xml:space="preserve"> </w:t>
      </w:r>
      <w:r w:rsidR="00505A6A">
        <w:rPr>
          <w:rFonts w:asciiTheme="majorBidi" w:hAnsiTheme="majorBidi" w:cstheme="majorBidi"/>
          <w:sz w:val="24"/>
          <w:szCs w:val="24"/>
        </w:rPr>
        <w:t>T</w:t>
      </w:r>
      <w:r w:rsidR="00EC1966" w:rsidRPr="00EC1966">
        <w:rPr>
          <w:rFonts w:asciiTheme="majorBidi" w:hAnsiTheme="majorBidi" w:cstheme="majorBidi"/>
          <w:sz w:val="24"/>
          <w:szCs w:val="24"/>
        </w:rPr>
        <w:t xml:space="preserve">he genotypes </w:t>
      </w:r>
      <w:r w:rsidR="00505A6A">
        <w:rPr>
          <w:rFonts w:asciiTheme="majorBidi" w:hAnsiTheme="majorBidi" w:cstheme="majorBidi"/>
          <w:sz w:val="24"/>
          <w:szCs w:val="24"/>
        </w:rPr>
        <w:t xml:space="preserve">were classified </w:t>
      </w:r>
      <w:r w:rsidR="00EC1966" w:rsidRPr="00EC1966">
        <w:rPr>
          <w:rFonts w:asciiTheme="majorBidi" w:hAnsiTheme="majorBidi" w:cstheme="majorBidi"/>
          <w:sz w:val="24"/>
          <w:szCs w:val="24"/>
        </w:rPr>
        <w:t xml:space="preserve">into four major clusters </w:t>
      </w:r>
      <w:r w:rsidR="00EC1966">
        <w:rPr>
          <w:rFonts w:asciiTheme="majorBidi" w:hAnsiTheme="majorBidi" w:cstheme="majorBidi"/>
          <w:sz w:val="24"/>
          <w:szCs w:val="24"/>
        </w:rPr>
        <w:t>that</w:t>
      </w:r>
      <w:r w:rsidR="00EC1966" w:rsidRPr="00EC1966">
        <w:rPr>
          <w:rFonts w:asciiTheme="majorBidi" w:hAnsiTheme="majorBidi" w:cstheme="majorBidi"/>
          <w:sz w:val="24"/>
          <w:szCs w:val="24"/>
        </w:rPr>
        <w:t xml:space="preserve"> exhibit</w:t>
      </w:r>
      <w:r w:rsidR="00505A6A">
        <w:rPr>
          <w:rFonts w:asciiTheme="majorBidi" w:hAnsiTheme="majorBidi" w:cstheme="majorBidi"/>
          <w:sz w:val="24"/>
          <w:szCs w:val="24"/>
        </w:rPr>
        <w:t>ed</w:t>
      </w:r>
      <w:r w:rsidR="00EC1966" w:rsidRPr="00EC1966">
        <w:rPr>
          <w:rFonts w:asciiTheme="majorBidi" w:hAnsiTheme="majorBidi" w:cstheme="majorBidi"/>
          <w:sz w:val="24"/>
          <w:szCs w:val="24"/>
        </w:rPr>
        <w:t xml:space="preserve"> a high degree of variation with respect to phenological traits, morphological characteristics, and yield components (Table 2). Among these, </w:t>
      </w:r>
      <w:r>
        <w:rPr>
          <w:rFonts w:asciiTheme="majorBidi" w:hAnsiTheme="majorBidi" w:cstheme="majorBidi"/>
          <w:sz w:val="24"/>
          <w:szCs w:val="24"/>
          <w:highlight w:val="yellow"/>
        </w:rPr>
        <w:t>Cluster II was the largest cluster</w:t>
      </w:r>
      <w:r>
        <w:rPr>
          <w:rFonts w:asciiTheme="majorBidi" w:hAnsiTheme="majorBidi" w:cstheme="majorBidi"/>
          <w:sz w:val="24"/>
          <w:szCs w:val="24"/>
        </w:rPr>
        <w:t xml:space="preserve"> with twenty-two accessions. This cluster was characterized by the lowest mean pod yield per hectare (2589.30), </w:t>
      </w:r>
      <w:r>
        <w:rPr>
          <w:rFonts w:asciiTheme="majorBidi" w:hAnsiTheme="majorBidi" w:cstheme="majorBidi"/>
          <w:sz w:val="24"/>
          <w:szCs w:val="24"/>
          <w:highlight w:val="yellow"/>
        </w:rPr>
        <w:t>lowest hundred-seed weight</w:t>
      </w:r>
      <w:r>
        <w:rPr>
          <w:rFonts w:asciiTheme="majorBidi" w:hAnsiTheme="majorBidi" w:cstheme="majorBidi"/>
          <w:sz w:val="24"/>
          <w:szCs w:val="24"/>
        </w:rPr>
        <w:t xml:space="preserve"> (32.08 g), shortest plant height (42.44 cm), and minimal pod wall thickness (0.72). Cluster I contained eight accessions, displaying the </w:t>
      </w:r>
      <w:r>
        <w:rPr>
          <w:rFonts w:asciiTheme="majorBidi" w:hAnsiTheme="majorBidi" w:cstheme="majorBidi"/>
          <w:sz w:val="24"/>
          <w:szCs w:val="24"/>
          <w:highlight w:val="yellow"/>
        </w:rPr>
        <w:t>highest hundred-pod weight</w:t>
      </w:r>
      <w:r>
        <w:rPr>
          <w:rFonts w:asciiTheme="majorBidi" w:hAnsiTheme="majorBidi" w:cstheme="majorBidi"/>
          <w:sz w:val="24"/>
          <w:szCs w:val="24"/>
        </w:rPr>
        <w:t xml:space="preserve"> (110.13 g) and a relatively high kernel diameter (10.75), alongside moderate pod yield per hectare (3793.23) and intermediate maturity duration. Cluster III contained two accessions </w:t>
      </w:r>
      <w:r w:rsidR="00505A6A">
        <w:rPr>
          <w:rFonts w:asciiTheme="majorBidi" w:hAnsiTheme="majorBidi" w:cstheme="majorBidi"/>
          <w:sz w:val="24"/>
          <w:szCs w:val="24"/>
        </w:rPr>
        <w:t xml:space="preserve">with </w:t>
      </w:r>
      <w:r>
        <w:rPr>
          <w:rFonts w:asciiTheme="majorBidi" w:hAnsiTheme="majorBidi" w:cstheme="majorBidi"/>
          <w:sz w:val="24"/>
          <w:szCs w:val="24"/>
          <w:highlight w:val="yellow"/>
        </w:rPr>
        <w:t>the fewest days to 50 per cent flowering</w:t>
      </w:r>
      <w:r w:rsidR="00EC1966" w:rsidRPr="00EC1966">
        <w:rPr>
          <w:rFonts w:asciiTheme="majorBidi" w:hAnsiTheme="majorBidi" w:cstheme="majorBidi"/>
          <w:sz w:val="24"/>
          <w:szCs w:val="24"/>
        </w:rPr>
        <w:t xml:space="preserve"> (27 days), maximum plant height (56.29 cm), </w:t>
      </w:r>
      <w:r>
        <w:rPr>
          <w:rFonts w:asciiTheme="majorBidi" w:hAnsiTheme="majorBidi" w:cstheme="majorBidi"/>
          <w:sz w:val="24"/>
          <w:szCs w:val="24"/>
          <w:highlight w:val="yellow"/>
        </w:rPr>
        <w:t>highest hundred-seed weight</w:t>
      </w:r>
      <w:r>
        <w:rPr>
          <w:rFonts w:asciiTheme="majorBidi" w:hAnsiTheme="majorBidi" w:cstheme="majorBidi"/>
          <w:sz w:val="24"/>
          <w:szCs w:val="24"/>
        </w:rPr>
        <w:t xml:space="preserve"> (58.80 g), and the thickest pod walls (1.45</w:t>
      </w:r>
      <w:r w:rsidR="00505A6A">
        <w:rPr>
          <w:rFonts w:asciiTheme="majorBidi" w:hAnsiTheme="majorBidi" w:cstheme="majorBidi"/>
          <w:sz w:val="24"/>
          <w:szCs w:val="24"/>
        </w:rPr>
        <w:t xml:space="preserve"> mm</w:t>
      </w:r>
      <w:r w:rsidR="00EC1966" w:rsidRPr="00EC1966">
        <w:rPr>
          <w:rFonts w:asciiTheme="majorBidi" w:hAnsiTheme="majorBidi" w:cstheme="majorBidi"/>
          <w:sz w:val="24"/>
          <w:szCs w:val="24"/>
        </w:rPr>
        <w:t xml:space="preserve">), despite recording the lowest number of pods per plant (8.60). Cluster IV comprised three accessions (K6, JCG 2141, G5), which showed an overall superior agronomic performance compared to other clusters. Cluster IV had the earliest physiological maturity (110 days) and curing maturity (120 days), </w:t>
      </w:r>
      <w:r w:rsidR="00582BCA">
        <w:rPr>
          <w:rFonts w:asciiTheme="majorBidi" w:hAnsiTheme="majorBidi" w:cstheme="majorBidi"/>
          <w:sz w:val="24"/>
          <w:szCs w:val="24"/>
        </w:rPr>
        <w:t>with</w:t>
      </w:r>
      <w:r w:rsidR="00EC1966" w:rsidRPr="00EC1966">
        <w:rPr>
          <w:rFonts w:asciiTheme="majorBidi" w:hAnsiTheme="majorBidi" w:cstheme="majorBidi"/>
          <w:sz w:val="24"/>
          <w:szCs w:val="24"/>
        </w:rPr>
        <w:t xml:space="preserve"> </w:t>
      </w:r>
      <w:r>
        <w:rPr>
          <w:rFonts w:asciiTheme="majorBidi" w:hAnsiTheme="majorBidi" w:cstheme="majorBidi"/>
          <w:sz w:val="24"/>
          <w:szCs w:val="24"/>
          <w:highlight w:val="yellow"/>
        </w:rPr>
        <w:t>the maximum number of pods</w:t>
      </w:r>
      <w:r>
        <w:rPr>
          <w:rFonts w:asciiTheme="majorBidi" w:hAnsiTheme="majorBidi" w:cstheme="majorBidi"/>
          <w:sz w:val="24"/>
          <w:szCs w:val="24"/>
        </w:rPr>
        <w:t xml:space="preserve"> per plant (58.73) and highest pod yield per plant (2.50) and per hectare (5215.28). </w:t>
      </w:r>
    </w:p>
    <w:p w14:paraId="23287DA7" w14:textId="77777777" w:rsidR="00582BCA" w:rsidRDefault="00EC1966" w:rsidP="00582BCA">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EC1966">
        <w:rPr>
          <w:rFonts w:asciiTheme="majorBidi" w:hAnsiTheme="majorBidi" w:cstheme="majorBidi"/>
          <w:sz w:val="24"/>
          <w:szCs w:val="24"/>
        </w:rPr>
        <w:t xml:space="preserve">The estimated inter- and intra-cluster distances (Table 3) further assessed the extent of genetic divergence among all identified clusters. </w:t>
      </w:r>
      <w:r>
        <w:rPr>
          <w:rFonts w:asciiTheme="majorBidi" w:hAnsiTheme="majorBidi" w:cstheme="majorBidi"/>
          <w:sz w:val="24"/>
          <w:szCs w:val="24"/>
          <w:highlight w:val="yellow"/>
        </w:rPr>
        <w:t>The highest inter-cluster distance was between Clusters II and III</w:t>
      </w:r>
      <w:r>
        <w:rPr>
          <w:rFonts w:asciiTheme="majorBidi" w:hAnsiTheme="majorBidi" w:cstheme="majorBidi"/>
          <w:sz w:val="24"/>
          <w:szCs w:val="24"/>
        </w:rPr>
        <w:t xml:space="preserve"> (6.32), </w:t>
      </w:r>
      <w:r>
        <w:rPr>
          <w:rFonts w:asciiTheme="majorBidi" w:hAnsiTheme="majorBidi" w:cstheme="majorBidi"/>
          <w:sz w:val="24"/>
          <w:szCs w:val="24"/>
          <w:highlight w:val="yellow"/>
        </w:rPr>
        <w:t>followed by Clusters III and IV</w:t>
      </w:r>
      <w:r>
        <w:rPr>
          <w:rFonts w:asciiTheme="majorBidi" w:hAnsiTheme="majorBidi" w:cstheme="majorBidi"/>
          <w:sz w:val="24"/>
          <w:szCs w:val="24"/>
        </w:rPr>
        <w:t xml:space="preserve"> (6.10), </w:t>
      </w:r>
      <w:r>
        <w:rPr>
          <w:rFonts w:asciiTheme="majorBidi" w:hAnsiTheme="majorBidi" w:cstheme="majorBidi"/>
          <w:sz w:val="24"/>
          <w:szCs w:val="24"/>
          <w:highlight w:val="yellow"/>
        </w:rPr>
        <w:t xml:space="preserve">indicating a high degree of </w:t>
      </w:r>
      <w:r>
        <w:rPr>
          <w:rFonts w:asciiTheme="majorBidi" w:hAnsiTheme="majorBidi" w:cstheme="majorBidi"/>
          <w:sz w:val="24"/>
          <w:szCs w:val="24"/>
          <w:highlight w:val="yellow"/>
        </w:rPr>
        <w:lastRenderedPageBreak/>
        <w:t>genetic divergence between these groups and the possibility of using their genotypes in hybridisation to obtain desirable recombinants</w:t>
      </w:r>
      <w:r w:rsidRPr="00EC1966">
        <w:rPr>
          <w:rFonts w:asciiTheme="majorBidi" w:hAnsiTheme="majorBidi" w:cstheme="majorBidi"/>
          <w:sz w:val="24"/>
          <w:szCs w:val="24"/>
        </w:rPr>
        <w:t xml:space="preserve">. However, </w:t>
      </w:r>
      <w:r>
        <w:rPr>
          <w:rFonts w:asciiTheme="majorBidi" w:hAnsiTheme="majorBidi" w:cstheme="majorBidi"/>
          <w:sz w:val="24"/>
          <w:szCs w:val="24"/>
          <w:highlight w:val="yellow"/>
        </w:rPr>
        <w:t>the lowest inter-cluster distance occurred</w:t>
      </w:r>
      <w:r>
        <w:rPr>
          <w:rFonts w:asciiTheme="majorBidi" w:hAnsiTheme="majorBidi" w:cstheme="majorBidi"/>
          <w:sz w:val="24"/>
          <w:szCs w:val="24"/>
        </w:rPr>
        <w:t xml:space="preserve"> </w:t>
      </w:r>
      <w:r>
        <w:rPr>
          <w:rFonts w:asciiTheme="majorBidi" w:hAnsiTheme="majorBidi" w:cstheme="majorBidi"/>
          <w:sz w:val="24"/>
          <w:szCs w:val="24"/>
          <w:highlight w:val="yellow"/>
        </w:rPr>
        <w:t>between Clusters I and II</w:t>
      </w:r>
      <w:r>
        <w:rPr>
          <w:rFonts w:asciiTheme="majorBidi" w:hAnsiTheme="majorBidi" w:cstheme="majorBidi"/>
          <w:sz w:val="24"/>
          <w:szCs w:val="24"/>
        </w:rPr>
        <w:t xml:space="preserve"> (4.98), suggesting phenotypic similarity between their respective genotypes. Phenotypic variation between genotypes within clusters was also substantially different. </w:t>
      </w:r>
      <w:r>
        <w:rPr>
          <w:rFonts w:asciiTheme="majorBidi" w:hAnsiTheme="majorBidi" w:cstheme="majorBidi"/>
          <w:sz w:val="24"/>
          <w:szCs w:val="24"/>
          <w:highlight w:val="yellow"/>
        </w:rPr>
        <w:t>The lowest intra-cluster distance was observed for Cluster III</w:t>
      </w:r>
      <w:r>
        <w:rPr>
          <w:rFonts w:asciiTheme="majorBidi" w:hAnsiTheme="majorBidi" w:cstheme="majorBidi"/>
          <w:sz w:val="24"/>
          <w:szCs w:val="24"/>
        </w:rPr>
        <w:t xml:space="preserve"> (3.01), </w:t>
      </w:r>
      <w:r>
        <w:rPr>
          <w:rFonts w:asciiTheme="majorBidi" w:hAnsiTheme="majorBidi" w:cstheme="majorBidi"/>
          <w:sz w:val="24"/>
          <w:szCs w:val="24"/>
          <w:highlight w:val="yellow"/>
        </w:rPr>
        <w:t>closely followed by Cluster IV</w:t>
      </w:r>
      <w:r>
        <w:rPr>
          <w:rFonts w:asciiTheme="majorBidi" w:hAnsiTheme="majorBidi" w:cstheme="majorBidi"/>
          <w:sz w:val="24"/>
          <w:szCs w:val="24"/>
        </w:rPr>
        <w:t xml:space="preserve"> (3.23), suggesting a very high level of similarity among the genotypes found within these groups. Conversely, </w:t>
      </w:r>
      <w:r>
        <w:rPr>
          <w:rFonts w:asciiTheme="majorBidi" w:hAnsiTheme="majorBidi" w:cstheme="majorBidi"/>
          <w:sz w:val="24"/>
          <w:szCs w:val="24"/>
          <w:highlight w:val="yellow"/>
        </w:rPr>
        <w:t>Cluster I showed the highest</w:t>
      </w:r>
      <w:r>
        <w:rPr>
          <w:rFonts w:asciiTheme="majorBidi" w:hAnsiTheme="majorBidi" w:cstheme="majorBidi"/>
          <w:sz w:val="24"/>
          <w:szCs w:val="24"/>
        </w:rPr>
        <w:t xml:space="preserve"> intra-cluster distance (4.20) of the four clusters, suggesting that genotypes </w:t>
      </w:r>
      <w:r>
        <w:rPr>
          <w:rFonts w:asciiTheme="majorBidi" w:hAnsiTheme="majorBidi" w:cstheme="majorBidi"/>
          <w:sz w:val="24"/>
          <w:szCs w:val="24"/>
          <w:highlight w:val="yellow"/>
        </w:rPr>
        <w:t>within Cluster I exhibited</w:t>
      </w:r>
      <w:r>
        <w:rPr>
          <w:rFonts w:asciiTheme="majorBidi" w:hAnsiTheme="majorBidi" w:cstheme="majorBidi"/>
          <w:sz w:val="24"/>
          <w:szCs w:val="24"/>
        </w:rPr>
        <w:t xml:space="preserve"> considerably more variability than those in other clusters. </w:t>
      </w:r>
    </w:p>
    <w:p w14:paraId="636927B6" w14:textId="77777777" w:rsidR="00EE0CB3" w:rsidRDefault="00582BCA" w:rsidP="00582BCA">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30440C" w:rsidRPr="0030440C">
        <w:rPr>
          <w:rFonts w:asciiTheme="majorBidi" w:hAnsiTheme="majorBidi" w:cstheme="majorBidi"/>
          <w:sz w:val="24"/>
          <w:szCs w:val="24"/>
        </w:rPr>
        <w:t xml:space="preserve">Hierarchical clustering grouped the 35 groundnut accessions into four distinct clusters, revealing clear phenotypic variability within the studied material (Fig. </w:t>
      </w:r>
      <w:r w:rsidR="00E72783">
        <w:rPr>
          <w:rFonts w:asciiTheme="majorBidi" w:hAnsiTheme="majorBidi" w:cstheme="majorBidi"/>
          <w:sz w:val="24"/>
          <w:szCs w:val="24"/>
        </w:rPr>
        <w:t>1</w:t>
      </w:r>
      <w:r w:rsidR="0030440C" w:rsidRPr="0030440C">
        <w:rPr>
          <w:rFonts w:asciiTheme="majorBidi" w:hAnsiTheme="majorBidi" w:cstheme="majorBidi"/>
          <w:sz w:val="24"/>
          <w:szCs w:val="24"/>
        </w:rPr>
        <w:t xml:space="preserve">). Cluster III reflected a contrasting pattern in which enhanced vegetative growth (maximum plant height) and large seed size (highest hundred seed weight) were associated with </w:t>
      </w:r>
      <w:r>
        <w:rPr>
          <w:rFonts w:asciiTheme="majorBidi" w:hAnsiTheme="majorBidi" w:cstheme="majorBidi"/>
          <w:sz w:val="24"/>
          <w:szCs w:val="24"/>
          <w:highlight w:val="yellow"/>
        </w:rPr>
        <w:t>a markedly reduced number of pods</w:t>
      </w:r>
      <w:r>
        <w:rPr>
          <w:rFonts w:asciiTheme="majorBidi" w:hAnsiTheme="majorBidi" w:cstheme="majorBidi"/>
          <w:sz w:val="24"/>
          <w:szCs w:val="24"/>
        </w:rPr>
        <w:t xml:space="preserve"> per plant, indicating a possible physiological trade-off between physical seed dimensions </w:t>
      </w:r>
      <w:r w:rsidR="0030440C" w:rsidRPr="0030440C">
        <w:rPr>
          <w:rFonts w:asciiTheme="majorBidi" w:hAnsiTheme="majorBidi" w:cstheme="majorBidi"/>
          <w:sz w:val="24"/>
          <w:szCs w:val="24"/>
        </w:rPr>
        <w:t xml:space="preserve">and overall pod proliferation. The distinct clustering pattern became particularly apparent when the genotypes grouped under Cluster IV were considered, as they were characterized by early maturity and superior yield performance, likely reflecting the effects of intensive selection. </w:t>
      </w:r>
      <w:r w:rsidR="0030440C">
        <w:rPr>
          <w:rFonts w:asciiTheme="majorBidi" w:hAnsiTheme="majorBidi" w:cstheme="majorBidi"/>
          <w:sz w:val="24"/>
          <w:szCs w:val="24"/>
        </w:rPr>
        <w:tab/>
      </w:r>
      <w:r w:rsidR="0030440C" w:rsidRPr="0030440C">
        <w:rPr>
          <w:rFonts w:asciiTheme="majorBidi" w:hAnsiTheme="majorBidi" w:cstheme="majorBidi"/>
          <w:sz w:val="24"/>
          <w:szCs w:val="24"/>
        </w:rPr>
        <w:t xml:space="preserve">Additionally, inter-cluster distance analysis provided an important measure of genetic divergence, which can be effectively utilized for identifying suitable parents </w:t>
      </w:r>
      <w:r>
        <w:rPr>
          <w:rFonts w:asciiTheme="majorBidi" w:hAnsiTheme="majorBidi" w:cstheme="majorBidi"/>
          <w:sz w:val="24"/>
          <w:szCs w:val="24"/>
          <w:highlight w:val="yellow"/>
        </w:rPr>
        <w:t>in hybridisation programmes</w:t>
      </w:r>
      <w:r>
        <w:rPr>
          <w:rFonts w:asciiTheme="majorBidi" w:hAnsiTheme="majorBidi" w:cstheme="majorBidi"/>
          <w:sz w:val="24"/>
          <w:szCs w:val="24"/>
        </w:rPr>
        <w:t xml:space="preserve">. The highest inter-cluster distance recorded between Cluster II and Cluster III indicated substantial phenotypic divergence between these groups, thereby highlighting their potential usefulness for generating transgressive segregants in </w:t>
      </w:r>
      <w:r>
        <w:rPr>
          <w:rFonts w:asciiTheme="majorBidi" w:hAnsiTheme="majorBidi" w:cstheme="majorBidi"/>
          <w:sz w:val="24"/>
          <w:szCs w:val="24"/>
          <w:highlight w:val="yellow"/>
        </w:rPr>
        <w:t>later generations following hybridisation</w:t>
      </w:r>
      <w:r>
        <w:rPr>
          <w:rFonts w:asciiTheme="majorBidi" w:hAnsiTheme="majorBidi" w:cstheme="majorBidi"/>
          <w:sz w:val="24"/>
          <w:szCs w:val="24"/>
        </w:rPr>
        <w:t xml:space="preserve">. The minimal intra-cluster divergence recorded in Clusters III and IV indicated a high level of uniformity, whereas the relatively higher intra-cluster variability within Cluster I highlighted the presence of broader genetic diversity useful for widening the genetic base. </w:t>
      </w:r>
      <w:r w:rsidR="0030440C">
        <w:rPr>
          <w:rFonts w:asciiTheme="majorBidi" w:hAnsiTheme="majorBidi" w:cstheme="majorBidi"/>
          <w:sz w:val="24"/>
          <w:szCs w:val="24"/>
        </w:rPr>
        <w:tab/>
      </w:r>
      <w:r>
        <w:rPr>
          <w:rFonts w:asciiTheme="majorBidi" w:hAnsiTheme="majorBidi" w:cstheme="majorBidi"/>
          <w:sz w:val="24"/>
          <w:szCs w:val="24"/>
          <w:highlight w:val="yellow"/>
        </w:rPr>
        <w:t>Similar clustering patterns have been reported in previous studies of groundnut divergence.</w:t>
      </w:r>
      <w:r>
        <w:rPr>
          <w:rFonts w:asciiTheme="majorBidi" w:hAnsiTheme="majorBidi" w:cstheme="majorBidi"/>
          <w:sz w:val="24"/>
          <w:szCs w:val="24"/>
        </w:rPr>
        <w:t xml:space="preserve"> </w:t>
      </w:r>
      <w:proofErr w:type="spellStart"/>
      <w:r w:rsidR="0030440C" w:rsidRPr="0030440C">
        <w:rPr>
          <w:rFonts w:asciiTheme="majorBidi" w:hAnsiTheme="majorBidi" w:cstheme="majorBidi"/>
          <w:sz w:val="24"/>
          <w:szCs w:val="24"/>
        </w:rPr>
        <w:t>Saiteja</w:t>
      </w:r>
      <w:proofErr w:type="spellEnd"/>
      <w:r w:rsidR="0030440C" w:rsidRPr="0030440C">
        <w:rPr>
          <w:rFonts w:asciiTheme="majorBidi" w:hAnsiTheme="majorBidi" w:cstheme="majorBidi"/>
          <w:sz w:val="24"/>
          <w:szCs w:val="24"/>
        </w:rPr>
        <w:t xml:space="preserve">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(2023)</w:t>
      </w:r>
      <w:r w:rsidR="0030440C">
        <w:rPr>
          <w:rFonts w:asciiTheme="majorBidi" w:hAnsiTheme="majorBidi" w:cstheme="majorBidi"/>
          <w:sz w:val="24"/>
          <w:szCs w:val="24"/>
        </w:rPr>
        <w:t xml:space="preserve"> </w:t>
      </w:r>
      <w:r w:rsidR="0030440C" w:rsidRPr="0030440C">
        <w:rPr>
          <w:rFonts w:asciiTheme="majorBidi" w:hAnsiTheme="majorBidi" w:cstheme="majorBidi"/>
          <w:sz w:val="24"/>
          <w:szCs w:val="24"/>
        </w:rPr>
        <w:t>grouped 32 genotypes into eight clusters</w:t>
      </w:r>
      <w:r>
        <w:rPr>
          <w:rFonts w:asciiTheme="majorBidi" w:hAnsiTheme="majorBidi" w:cstheme="majorBidi"/>
          <w:sz w:val="24"/>
          <w:szCs w:val="24"/>
        </w:rPr>
        <w:t xml:space="preserve"> and reported the </w:t>
      </w:r>
      <w:r w:rsidR="0030440C" w:rsidRPr="0030440C">
        <w:rPr>
          <w:rFonts w:asciiTheme="majorBidi" w:hAnsiTheme="majorBidi" w:cstheme="majorBidi"/>
          <w:sz w:val="24"/>
          <w:szCs w:val="24"/>
        </w:rPr>
        <w:t xml:space="preserve">largest inter-cluster distance between clusters VII and VIII, </w:t>
      </w:r>
      <w:r>
        <w:rPr>
          <w:rFonts w:asciiTheme="majorBidi" w:hAnsiTheme="majorBidi" w:cstheme="majorBidi"/>
          <w:sz w:val="24"/>
          <w:szCs w:val="24"/>
          <w:highlight w:val="yellow"/>
        </w:rPr>
        <w:t>suggesting that crossing genotypes</w:t>
      </w:r>
      <w:r w:rsidR="0030440C" w:rsidRPr="0030440C">
        <w:rPr>
          <w:rFonts w:asciiTheme="majorBidi" w:hAnsiTheme="majorBidi" w:cstheme="majorBidi"/>
          <w:sz w:val="24"/>
          <w:szCs w:val="24"/>
        </w:rPr>
        <w:t xml:space="preserve"> from </w:t>
      </w:r>
      <w:r>
        <w:rPr>
          <w:rFonts w:asciiTheme="majorBidi" w:hAnsiTheme="majorBidi" w:cstheme="majorBidi"/>
          <w:sz w:val="24"/>
          <w:szCs w:val="24"/>
        </w:rPr>
        <w:t>these</w:t>
      </w:r>
      <w:r w:rsidR="0030440C" w:rsidRPr="0030440C">
        <w:rPr>
          <w:rFonts w:asciiTheme="majorBidi" w:hAnsiTheme="majorBidi" w:cstheme="majorBidi"/>
          <w:sz w:val="24"/>
          <w:szCs w:val="24"/>
        </w:rPr>
        <w:t xml:space="preserve"> clusters to obtain better segregants for yield and yield parameters. Jain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(2024) grouped 31 genotypes into twelve clusters and also reported that inter-cluster distances </w:t>
      </w:r>
      <w:r>
        <w:rPr>
          <w:rFonts w:asciiTheme="majorBidi" w:hAnsiTheme="majorBidi" w:cstheme="majorBidi"/>
          <w:sz w:val="24"/>
          <w:szCs w:val="24"/>
          <w:highlight w:val="yellow"/>
        </w:rPr>
        <w:t>exceeded intra-cluster distances</w:t>
      </w:r>
      <w:r>
        <w:rPr>
          <w:rFonts w:asciiTheme="majorBidi" w:hAnsiTheme="majorBidi" w:cstheme="majorBidi"/>
          <w:sz w:val="24"/>
          <w:szCs w:val="24"/>
        </w:rPr>
        <w:t>. They concluded that hybridization between genotypes of</w:t>
      </w:r>
      <w:r w:rsidR="00EE0CB3">
        <w:rPr>
          <w:rFonts w:asciiTheme="majorBidi" w:hAnsiTheme="majorBidi" w:cstheme="majorBidi"/>
          <w:sz w:val="24"/>
          <w:szCs w:val="24"/>
        </w:rPr>
        <w:t xml:space="preserve"> </w:t>
      </w:r>
      <w:r w:rsidR="00EE0CB3" w:rsidRPr="0030440C">
        <w:rPr>
          <w:rFonts w:asciiTheme="majorBidi" w:hAnsiTheme="majorBidi" w:cstheme="majorBidi"/>
          <w:sz w:val="24"/>
          <w:szCs w:val="24"/>
        </w:rPr>
        <w:t xml:space="preserve">distant clusters </w:t>
      </w:r>
      <w:r>
        <w:rPr>
          <w:rFonts w:asciiTheme="majorBidi" w:hAnsiTheme="majorBidi" w:cstheme="majorBidi"/>
          <w:sz w:val="24"/>
          <w:szCs w:val="24"/>
          <w:highlight w:val="yellow"/>
        </w:rPr>
        <w:t>may generate greater variability</w:t>
      </w:r>
      <w:r>
        <w:rPr>
          <w:rFonts w:asciiTheme="majorBidi" w:hAnsiTheme="majorBidi" w:cstheme="majorBidi"/>
          <w:sz w:val="24"/>
          <w:szCs w:val="24"/>
        </w:rPr>
        <w:t xml:space="preserve"> in segregating populations. </w:t>
      </w:r>
      <w:r>
        <w:rPr>
          <w:rFonts w:asciiTheme="majorBidi" w:hAnsiTheme="majorBidi" w:cstheme="majorBidi"/>
          <w:sz w:val="24"/>
          <w:szCs w:val="24"/>
          <w:highlight w:val="yellow"/>
        </w:rPr>
        <w:t xml:space="preserve">These findings </w:t>
      </w:r>
      <w:r>
        <w:rPr>
          <w:rFonts w:asciiTheme="majorBidi" w:hAnsiTheme="majorBidi" w:cstheme="majorBidi"/>
          <w:sz w:val="24"/>
          <w:szCs w:val="24"/>
          <w:highlight w:val="yellow"/>
        </w:rPr>
        <w:lastRenderedPageBreak/>
        <w:t>agree with the present observation</w:t>
      </w:r>
      <w:r w:rsidR="00EE0CB3" w:rsidRPr="0030440C">
        <w:rPr>
          <w:rFonts w:asciiTheme="majorBidi" w:hAnsiTheme="majorBidi" w:cstheme="majorBidi"/>
          <w:sz w:val="24"/>
          <w:szCs w:val="24"/>
        </w:rPr>
        <w:t xml:space="preserve"> that the highest inter-cluster distance, between Clusters II and III, marks these </w:t>
      </w:r>
      <w:r w:rsidR="00EE0CB3" w:rsidRPr="001F5F78">
        <w:rPr>
          <w:rFonts w:asciiTheme="majorBidi" w:hAnsiTheme="majorBidi" w:cstheme="majorBidi"/>
          <w:b/>
          <w:bCs/>
          <w:noProof/>
          <w:sz w:val="24"/>
          <w:szCs w:val="24"/>
          <w:lang w:val="en-US"/>
        </w:rPr>
        <w:drawing>
          <wp:anchor distT="0" distB="0" distL="114300" distR="114300" simplePos="0" relativeHeight="251659264" behindDoc="0" locked="0" layoutInCell="1" allowOverlap="1" wp14:anchorId="42D20954" wp14:editId="5863E797">
            <wp:simplePos x="0" y="0"/>
            <wp:positionH relativeFrom="margin">
              <wp:align>left</wp:align>
            </wp:positionH>
            <wp:positionV relativeFrom="paragraph">
              <wp:posOffset>918702</wp:posOffset>
            </wp:positionV>
            <wp:extent cx="5755005" cy="6149975"/>
            <wp:effectExtent l="19050" t="19050" r="17145" b="22225"/>
            <wp:wrapSquare wrapText="bothSides"/>
            <wp:docPr id="843853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2050" r="21796"/>
                    <a:stretch>
                      <a:fillRect/>
                    </a:stretch>
                  </pic:blipFill>
                  <pic:spPr bwMode="auto">
                    <a:xfrm>
                      <a:off x="0" y="0"/>
                      <a:ext cx="5755005" cy="614997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0CB3" w:rsidRPr="0030440C">
        <w:rPr>
          <w:rFonts w:asciiTheme="majorBidi" w:hAnsiTheme="majorBidi" w:cstheme="majorBidi"/>
          <w:sz w:val="24"/>
          <w:szCs w:val="24"/>
        </w:rPr>
        <w:t>groups as promising parents for generating transgressive segregants.</w:t>
      </w:r>
    </w:p>
    <w:p w14:paraId="54256C39" w14:textId="77777777" w:rsidR="00EE0CB3" w:rsidRPr="001F5F78" w:rsidRDefault="00EE0CB3" w:rsidP="00EE0CB3">
      <w:pPr>
        <w:spacing w:line="278" w:lineRule="auto"/>
        <w:jc w:val="both"/>
        <w:rPr>
          <w:rFonts w:asciiTheme="majorBidi" w:hAnsiTheme="majorBidi" w:cstheme="majorBidi"/>
          <w:b/>
          <w:bCs/>
          <w:sz w:val="24"/>
          <w:szCs w:val="24"/>
          <w:lang w:val="en-US"/>
        </w:rPr>
      </w:pPr>
      <w:r w:rsidRPr="001F5F78">
        <w:rPr>
          <w:rFonts w:asciiTheme="majorBidi" w:hAnsiTheme="majorBidi" w:cstheme="majorBidi"/>
          <w:b/>
          <w:bCs/>
          <w:sz w:val="24"/>
          <w:szCs w:val="24"/>
          <w:lang w:val="en-US"/>
        </w:rPr>
        <w:t xml:space="preserve">Fig. </w:t>
      </w:r>
      <w:r>
        <w:rPr>
          <w:rFonts w:asciiTheme="majorBidi" w:hAnsiTheme="majorBidi" w:cstheme="majorBidi"/>
          <w:b/>
          <w:bCs/>
          <w:sz w:val="24"/>
          <w:szCs w:val="24"/>
          <w:lang w:val="en-US"/>
        </w:rPr>
        <w:t xml:space="preserve">1 </w:t>
      </w:r>
      <w:r w:rsidRPr="001F5F78">
        <w:rPr>
          <w:rFonts w:asciiTheme="majorBidi" w:hAnsiTheme="majorBidi" w:cstheme="majorBidi"/>
          <w:b/>
          <w:bCs/>
          <w:sz w:val="24"/>
          <w:szCs w:val="24"/>
          <w:lang w:val="en-US"/>
        </w:rPr>
        <w:t xml:space="preserve">Phylogenetic relationship and phenotypic diversity of groundnut </w:t>
      </w:r>
      <w:r>
        <w:rPr>
          <w:rFonts w:asciiTheme="majorBidi" w:hAnsiTheme="majorBidi" w:cstheme="majorBidi"/>
          <w:b/>
          <w:bCs/>
          <w:sz w:val="24"/>
          <w:szCs w:val="24"/>
          <w:lang w:val="en-US"/>
        </w:rPr>
        <w:t>genotypes</w:t>
      </w:r>
      <w:r w:rsidRPr="001F5F78">
        <w:rPr>
          <w:rFonts w:asciiTheme="majorBidi" w:hAnsiTheme="majorBidi" w:cstheme="majorBidi"/>
          <w:b/>
          <w:bCs/>
          <w:sz w:val="24"/>
          <w:szCs w:val="24"/>
          <w:lang w:val="en-US"/>
        </w:rPr>
        <w:t>.</w:t>
      </w:r>
    </w:p>
    <w:p w14:paraId="3AB5B141" w14:textId="77777777" w:rsidR="00EE0CB3" w:rsidRDefault="0030440C" w:rsidP="00EE0CB3">
      <w:pPr>
        <w:spacing w:line="360" w:lineRule="auto"/>
        <w:jc w:val="both"/>
        <w:rPr>
          <w:rFonts w:asciiTheme="majorBidi" w:hAnsiTheme="majorBidi" w:cstheme="majorBidi"/>
          <w:sz w:val="24"/>
          <w:szCs w:val="24"/>
        </w:rPr>
      </w:pPr>
      <w:r w:rsidRPr="0030440C">
        <w:rPr>
          <w:rFonts w:asciiTheme="majorBidi" w:hAnsiTheme="majorBidi" w:cstheme="majorBidi"/>
          <w:sz w:val="24"/>
          <w:szCs w:val="24"/>
        </w:rPr>
        <w:t xml:space="preserve"> </w:t>
      </w:r>
      <w:r>
        <w:rPr>
          <w:rFonts w:asciiTheme="majorBidi" w:hAnsiTheme="majorBidi" w:cstheme="majorBidi"/>
          <w:sz w:val="24"/>
          <w:szCs w:val="24"/>
        </w:rPr>
        <w:tab/>
      </w:r>
    </w:p>
    <w:p w14:paraId="675DEFB1" w14:textId="77777777" w:rsidR="00DF3DAF" w:rsidRPr="004E2643" w:rsidRDefault="00EE0CB3" w:rsidP="004E2643">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30440C" w:rsidRPr="0030440C">
        <w:rPr>
          <w:rFonts w:asciiTheme="majorBidi" w:hAnsiTheme="majorBidi" w:cstheme="majorBidi"/>
          <w:sz w:val="24"/>
          <w:szCs w:val="24"/>
        </w:rPr>
        <w:t xml:space="preserve">The wide variation among genotypes within individual clusters, as seen here for Cluster I, </w:t>
      </w:r>
      <w:r>
        <w:rPr>
          <w:rFonts w:asciiTheme="majorBidi" w:hAnsiTheme="majorBidi" w:cstheme="majorBidi"/>
          <w:sz w:val="24"/>
          <w:szCs w:val="24"/>
          <w:highlight w:val="yellow"/>
        </w:rPr>
        <w:t>has also been reported by</w:t>
      </w:r>
      <w:r>
        <w:rPr>
          <w:rFonts w:asciiTheme="majorBidi" w:hAnsiTheme="majorBidi" w:cstheme="majorBidi"/>
          <w:sz w:val="24"/>
          <w:szCs w:val="24"/>
        </w:rPr>
        <w:t xml:space="preserve"> </w:t>
      </w:r>
      <w:proofErr w:type="spellStart"/>
      <w:r w:rsidR="0030440C" w:rsidRPr="0030440C">
        <w:rPr>
          <w:rFonts w:asciiTheme="majorBidi" w:hAnsiTheme="majorBidi" w:cstheme="majorBidi"/>
          <w:sz w:val="24"/>
          <w:szCs w:val="24"/>
        </w:rPr>
        <w:t>Saiteja</w:t>
      </w:r>
      <w:proofErr w:type="spellEnd"/>
      <w:r w:rsidR="0030440C" w:rsidRPr="0030440C">
        <w:rPr>
          <w:rFonts w:asciiTheme="majorBidi" w:hAnsiTheme="majorBidi" w:cstheme="majorBidi"/>
          <w:sz w:val="24"/>
          <w:szCs w:val="24"/>
        </w:rPr>
        <w:t xml:space="preserve">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(2023), Jain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(2024) and </w:t>
      </w:r>
      <w:proofErr w:type="spellStart"/>
      <w:r w:rsidR="0030440C" w:rsidRPr="0030440C">
        <w:rPr>
          <w:rFonts w:asciiTheme="majorBidi" w:hAnsiTheme="majorBidi" w:cstheme="majorBidi"/>
          <w:sz w:val="24"/>
          <w:szCs w:val="24"/>
        </w:rPr>
        <w:t>Dudhatra</w:t>
      </w:r>
      <w:proofErr w:type="spellEnd"/>
      <w:r w:rsidR="0030440C" w:rsidRPr="0030440C">
        <w:rPr>
          <w:rFonts w:asciiTheme="majorBidi" w:hAnsiTheme="majorBidi" w:cstheme="majorBidi"/>
          <w:sz w:val="24"/>
          <w:szCs w:val="24"/>
        </w:rPr>
        <w:t xml:space="preserve">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(2022). Further, the clusters in Jain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(2024) differed in earliness and yield-related traits, and the best cross combinations were identified by considering both cluster distances and cluster </w:t>
      </w:r>
      <w:r w:rsidR="0030440C" w:rsidRPr="0030440C">
        <w:rPr>
          <w:rFonts w:asciiTheme="majorBidi" w:hAnsiTheme="majorBidi" w:cstheme="majorBidi"/>
          <w:sz w:val="24"/>
          <w:szCs w:val="24"/>
        </w:rPr>
        <w:lastRenderedPageBreak/>
        <w:t>means. This is consistent with the present observation that Cluster IV combined early maturity with superior yield performance.</w:t>
      </w:r>
      <w:bookmarkStart w:id="0" w:name="_Hlk220068314"/>
    </w:p>
    <w:p w14:paraId="19C1346B" w14:textId="77777777" w:rsidR="0022791C" w:rsidRPr="00801D9A" w:rsidRDefault="0022791C" w:rsidP="00C63A97">
      <w:pPr>
        <w:jc w:val="both"/>
        <w:rPr>
          <w:rFonts w:asciiTheme="majorBidi" w:hAnsiTheme="majorBidi" w:cstheme="majorBidi"/>
          <w:b/>
          <w:bCs/>
          <w:sz w:val="24"/>
          <w:szCs w:val="24"/>
        </w:rPr>
      </w:pPr>
      <w:r w:rsidRPr="00801D9A">
        <w:rPr>
          <w:rFonts w:asciiTheme="majorBidi" w:hAnsiTheme="majorBidi" w:cstheme="majorBidi"/>
          <w:b/>
          <w:bCs/>
          <w:sz w:val="24"/>
          <w:szCs w:val="24"/>
        </w:rPr>
        <w:t xml:space="preserve">Table 2: </w:t>
      </w:r>
      <w:r w:rsidR="00E5287C">
        <w:rPr>
          <w:rFonts w:asciiTheme="majorBidi" w:hAnsiTheme="majorBidi" w:cstheme="majorBidi"/>
          <w:b/>
          <w:bCs/>
          <w:sz w:val="24"/>
          <w:szCs w:val="24"/>
        </w:rPr>
        <w:t>Cluster-wise</w:t>
      </w:r>
      <w:r w:rsidRPr="00801D9A">
        <w:rPr>
          <w:rFonts w:asciiTheme="majorBidi" w:hAnsiTheme="majorBidi" w:cstheme="majorBidi"/>
          <w:b/>
          <w:bCs/>
          <w:sz w:val="24"/>
          <w:szCs w:val="24"/>
        </w:rPr>
        <w:t xml:space="preserve"> means and distribution of groundnut </w:t>
      </w:r>
      <w:r w:rsidR="00C63A97">
        <w:rPr>
          <w:rFonts w:asciiTheme="majorBidi" w:hAnsiTheme="majorBidi" w:cstheme="majorBidi"/>
          <w:b/>
          <w:bCs/>
          <w:sz w:val="24"/>
          <w:szCs w:val="24"/>
        </w:rPr>
        <w:t>genotypes</w:t>
      </w:r>
      <w:r w:rsidRPr="00801D9A">
        <w:rPr>
          <w:rFonts w:asciiTheme="majorBidi" w:hAnsiTheme="majorBidi" w:cstheme="majorBidi"/>
          <w:b/>
          <w:bCs/>
          <w:sz w:val="24"/>
          <w:szCs w:val="24"/>
        </w:rPr>
        <w:t xml:space="preserve"> across four distinct groups</w:t>
      </w:r>
    </w:p>
    <w:tbl>
      <w:tblPr>
        <w:tblStyle w:val="TableGrid"/>
        <w:tblW w:w="11269" w:type="dxa"/>
        <w:jc w:val="center"/>
        <w:tblLook w:val="04A0" w:firstRow="1" w:lastRow="0" w:firstColumn="1" w:lastColumn="0" w:noHBand="0" w:noVBand="1"/>
      </w:tblPr>
      <w:tblGrid>
        <w:gridCol w:w="786"/>
        <w:gridCol w:w="977"/>
        <w:gridCol w:w="1948"/>
        <w:gridCol w:w="621"/>
        <w:gridCol w:w="676"/>
        <w:gridCol w:w="676"/>
        <w:gridCol w:w="801"/>
        <w:gridCol w:w="637"/>
        <w:gridCol w:w="676"/>
        <w:gridCol w:w="746"/>
        <w:gridCol w:w="766"/>
        <w:gridCol w:w="711"/>
        <w:gridCol w:w="621"/>
        <w:gridCol w:w="627"/>
      </w:tblGrid>
      <w:tr w:rsidR="001E40F2" w:rsidRPr="001E40F2" w14:paraId="23730686" w14:textId="77777777" w:rsidTr="001E40F2">
        <w:trPr>
          <w:trHeight w:val="1292"/>
          <w:jc w:val="center"/>
        </w:trPr>
        <w:tc>
          <w:tcPr>
            <w:tcW w:w="0" w:type="auto"/>
          </w:tcPr>
          <w:bookmarkEnd w:id="0"/>
          <w:p w14:paraId="24049B8E"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Cluster</w:t>
            </w:r>
          </w:p>
        </w:tc>
        <w:tc>
          <w:tcPr>
            <w:tcW w:w="0" w:type="auto"/>
          </w:tcPr>
          <w:p w14:paraId="5FD05047"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No. of Genotype</w:t>
            </w:r>
          </w:p>
        </w:tc>
        <w:tc>
          <w:tcPr>
            <w:tcW w:w="0" w:type="auto"/>
          </w:tcPr>
          <w:p w14:paraId="55A4AEC0"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Genotypes</w:t>
            </w:r>
          </w:p>
        </w:tc>
        <w:tc>
          <w:tcPr>
            <w:tcW w:w="0" w:type="auto"/>
          </w:tcPr>
          <w:p w14:paraId="29D0D85D"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PH</w:t>
            </w:r>
          </w:p>
        </w:tc>
        <w:tc>
          <w:tcPr>
            <w:tcW w:w="0" w:type="auto"/>
          </w:tcPr>
          <w:p w14:paraId="4C092EBE"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NPPP</w:t>
            </w:r>
          </w:p>
        </w:tc>
        <w:tc>
          <w:tcPr>
            <w:tcW w:w="0" w:type="auto"/>
          </w:tcPr>
          <w:p w14:paraId="17530964"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PYPP</w:t>
            </w:r>
          </w:p>
        </w:tc>
        <w:tc>
          <w:tcPr>
            <w:tcW w:w="0" w:type="auto"/>
          </w:tcPr>
          <w:p w14:paraId="679BF70D"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PYH</w:t>
            </w:r>
          </w:p>
        </w:tc>
        <w:tc>
          <w:tcPr>
            <w:tcW w:w="0" w:type="auto"/>
          </w:tcPr>
          <w:p w14:paraId="656190A0"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HSW</w:t>
            </w:r>
          </w:p>
        </w:tc>
        <w:tc>
          <w:tcPr>
            <w:tcW w:w="0" w:type="auto"/>
          </w:tcPr>
          <w:p w14:paraId="6AF64155"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DFPF</w:t>
            </w:r>
          </w:p>
        </w:tc>
        <w:tc>
          <w:tcPr>
            <w:tcW w:w="0" w:type="auto"/>
          </w:tcPr>
          <w:p w14:paraId="043559B6"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DTMP</w:t>
            </w:r>
          </w:p>
        </w:tc>
        <w:tc>
          <w:tcPr>
            <w:tcW w:w="0" w:type="auto"/>
          </w:tcPr>
          <w:p w14:paraId="0DBF4A1A"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DTMC</w:t>
            </w:r>
          </w:p>
        </w:tc>
        <w:tc>
          <w:tcPr>
            <w:tcW w:w="0" w:type="auto"/>
          </w:tcPr>
          <w:p w14:paraId="7E8A76A6"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HPW</w:t>
            </w:r>
          </w:p>
        </w:tc>
        <w:tc>
          <w:tcPr>
            <w:tcW w:w="0" w:type="auto"/>
          </w:tcPr>
          <w:p w14:paraId="20F6A8C8"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KD</w:t>
            </w:r>
          </w:p>
        </w:tc>
        <w:tc>
          <w:tcPr>
            <w:tcW w:w="0" w:type="auto"/>
          </w:tcPr>
          <w:p w14:paraId="31B5B87B" w14:textId="7777777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PWT</w:t>
            </w:r>
          </w:p>
        </w:tc>
      </w:tr>
      <w:tr w:rsidR="001E40F2" w:rsidRPr="001E40F2" w14:paraId="31680A18" w14:textId="77777777" w:rsidTr="001E40F2">
        <w:trPr>
          <w:trHeight w:val="433"/>
          <w:jc w:val="center"/>
        </w:trPr>
        <w:tc>
          <w:tcPr>
            <w:tcW w:w="0" w:type="auto"/>
          </w:tcPr>
          <w:p w14:paraId="0ECE133B"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w:t>
            </w:r>
          </w:p>
        </w:tc>
        <w:tc>
          <w:tcPr>
            <w:tcW w:w="0" w:type="auto"/>
          </w:tcPr>
          <w:p w14:paraId="12C47C07"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8</w:t>
            </w:r>
          </w:p>
        </w:tc>
        <w:tc>
          <w:tcPr>
            <w:tcW w:w="0" w:type="auto"/>
          </w:tcPr>
          <w:p w14:paraId="16D6D7DC"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ICGV 02266, ICGV 06189, ICGV 171002, ICGV 171008, ICGV 171010, ICGV 211040, ICGV 211043, ICGV 211089</w:t>
            </w:r>
          </w:p>
        </w:tc>
        <w:tc>
          <w:tcPr>
            <w:tcW w:w="0" w:type="auto"/>
          </w:tcPr>
          <w:p w14:paraId="4B23D90E"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44.83</w:t>
            </w:r>
          </w:p>
        </w:tc>
        <w:tc>
          <w:tcPr>
            <w:tcW w:w="0" w:type="auto"/>
          </w:tcPr>
          <w:p w14:paraId="394AC886"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32.25</w:t>
            </w:r>
          </w:p>
        </w:tc>
        <w:tc>
          <w:tcPr>
            <w:tcW w:w="0" w:type="auto"/>
          </w:tcPr>
          <w:p w14:paraId="04FB9FBD"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1.82</w:t>
            </w:r>
          </w:p>
        </w:tc>
        <w:tc>
          <w:tcPr>
            <w:tcW w:w="0" w:type="auto"/>
          </w:tcPr>
          <w:p w14:paraId="442BCE15"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3793.23</w:t>
            </w:r>
          </w:p>
        </w:tc>
        <w:tc>
          <w:tcPr>
            <w:tcW w:w="0" w:type="auto"/>
          </w:tcPr>
          <w:p w14:paraId="5F8DCCD9"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44.95</w:t>
            </w:r>
          </w:p>
        </w:tc>
        <w:tc>
          <w:tcPr>
            <w:tcW w:w="0" w:type="auto"/>
          </w:tcPr>
          <w:p w14:paraId="5DF89D23"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31</w:t>
            </w:r>
          </w:p>
        </w:tc>
        <w:tc>
          <w:tcPr>
            <w:tcW w:w="0" w:type="auto"/>
          </w:tcPr>
          <w:p w14:paraId="25B12EAB"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120</w:t>
            </w:r>
          </w:p>
        </w:tc>
        <w:tc>
          <w:tcPr>
            <w:tcW w:w="0" w:type="auto"/>
          </w:tcPr>
          <w:p w14:paraId="19581FA1"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128</w:t>
            </w:r>
          </w:p>
        </w:tc>
        <w:tc>
          <w:tcPr>
            <w:tcW w:w="0" w:type="auto"/>
          </w:tcPr>
          <w:p w14:paraId="64C21E3B"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110.13</w:t>
            </w:r>
          </w:p>
        </w:tc>
        <w:tc>
          <w:tcPr>
            <w:tcW w:w="0" w:type="auto"/>
          </w:tcPr>
          <w:p w14:paraId="060EA6DD"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10.75</w:t>
            </w:r>
          </w:p>
        </w:tc>
        <w:tc>
          <w:tcPr>
            <w:tcW w:w="0" w:type="auto"/>
          </w:tcPr>
          <w:p w14:paraId="7B240F33"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0.91</w:t>
            </w:r>
          </w:p>
        </w:tc>
      </w:tr>
      <w:tr w:rsidR="001E40F2" w:rsidRPr="001E40F2" w14:paraId="165689B4" w14:textId="77777777" w:rsidTr="001E40F2">
        <w:trPr>
          <w:trHeight w:val="446"/>
          <w:jc w:val="center"/>
        </w:trPr>
        <w:tc>
          <w:tcPr>
            <w:tcW w:w="0" w:type="auto"/>
          </w:tcPr>
          <w:p w14:paraId="7F580A37"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w:t>
            </w:r>
          </w:p>
        </w:tc>
        <w:tc>
          <w:tcPr>
            <w:tcW w:w="0" w:type="auto"/>
          </w:tcPr>
          <w:p w14:paraId="6F8CD577"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22</w:t>
            </w:r>
          </w:p>
        </w:tc>
        <w:tc>
          <w:tcPr>
            <w:tcW w:w="0" w:type="auto"/>
          </w:tcPr>
          <w:p w14:paraId="08E62F3E"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ICGV 06420, ICGV 171015, ICGV 171021, ICGV 171024, ICGV 181065, ICGV 201006, ICGV 201024, ICGV 201041, ICGV 201179, ICGV 201181, ICGV 201235, ICGV 211009, ICGV 211010, ICGV 211020, ICGV 211021, ICGV 211029, ICGV 211033, ICGV 211036, ICGV 211037, ICGV 211047, GG40, JL24</w:t>
            </w:r>
          </w:p>
        </w:tc>
        <w:tc>
          <w:tcPr>
            <w:tcW w:w="0" w:type="auto"/>
          </w:tcPr>
          <w:p w14:paraId="01AF1E7E"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42.44</w:t>
            </w:r>
          </w:p>
        </w:tc>
        <w:tc>
          <w:tcPr>
            <w:tcW w:w="0" w:type="auto"/>
          </w:tcPr>
          <w:p w14:paraId="36316765"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25.92</w:t>
            </w:r>
          </w:p>
        </w:tc>
        <w:tc>
          <w:tcPr>
            <w:tcW w:w="0" w:type="auto"/>
          </w:tcPr>
          <w:p w14:paraId="20585A33"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1.24</w:t>
            </w:r>
          </w:p>
        </w:tc>
        <w:tc>
          <w:tcPr>
            <w:tcW w:w="0" w:type="auto"/>
          </w:tcPr>
          <w:p w14:paraId="78890C19"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2589.30</w:t>
            </w:r>
          </w:p>
        </w:tc>
        <w:tc>
          <w:tcPr>
            <w:tcW w:w="0" w:type="auto"/>
          </w:tcPr>
          <w:p w14:paraId="3CA2166A"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32.08</w:t>
            </w:r>
          </w:p>
        </w:tc>
        <w:tc>
          <w:tcPr>
            <w:tcW w:w="0" w:type="auto"/>
          </w:tcPr>
          <w:p w14:paraId="3142B9C0"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32</w:t>
            </w:r>
          </w:p>
        </w:tc>
        <w:tc>
          <w:tcPr>
            <w:tcW w:w="0" w:type="auto"/>
          </w:tcPr>
          <w:p w14:paraId="67DCBB09"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115</w:t>
            </w:r>
          </w:p>
        </w:tc>
        <w:tc>
          <w:tcPr>
            <w:tcW w:w="0" w:type="auto"/>
          </w:tcPr>
          <w:p w14:paraId="1A0042A1"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123</w:t>
            </w:r>
          </w:p>
        </w:tc>
        <w:tc>
          <w:tcPr>
            <w:tcW w:w="0" w:type="auto"/>
          </w:tcPr>
          <w:p w14:paraId="1708E5B8"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96.30</w:t>
            </w:r>
          </w:p>
        </w:tc>
        <w:tc>
          <w:tcPr>
            <w:tcW w:w="0" w:type="auto"/>
          </w:tcPr>
          <w:p w14:paraId="4B618568"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8.14</w:t>
            </w:r>
          </w:p>
        </w:tc>
        <w:tc>
          <w:tcPr>
            <w:tcW w:w="0" w:type="auto"/>
          </w:tcPr>
          <w:p w14:paraId="7747BE25"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0.72</w:t>
            </w:r>
          </w:p>
        </w:tc>
      </w:tr>
      <w:tr w:rsidR="001E40F2" w:rsidRPr="001E40F2" w14:paraId="63F0B5A0" w14:textId="77777777" w:rsidTr="001E40F2">
        <w:trPr>
          <w:trHeight w:val="433"/>
          <w:jc w:val="center"/>
        </w:trPr>
        <w:tc>
          <w:tcPr>
            <w:tcW w:w="0" w:type="auto"/>
          </w:tcPr>
          <w:p w14:paraId="10ED8666"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w:t>
            </w:r>
          </w:p>
        </w:tc>
        <w:tc>
          <w:tcPr>
            <w:tcW w:w="0" w:type="auto"/>
          </w:tcPr>
          <w:p w14:paraId="0349BFE4"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w:t>
            </w:r>
          </w:p>
        </w:tc>
        <w:tc>
          <w:tcPr>
            <w:tcW w:w="0" w:type="auto"/>
          </w:tcPr>
          <w:p w14:paraId="3F533038"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ICGV 211062, ICGV 211069</w:t>
            </w:r>
          </w:p>
        </w:tc>
        <w:tc>
          <w:tcPr>
            <w:tcW w:w="0" w:type="auto"/>
          </w:tcPr>
          <w:p w14:paraId="756DBC7E"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56.29</w:t>
            </w:r>
          </w:p>
        </w:tc>
        <w:tc>
          <w:tcPr>
            <w:tcW w:w="0" w:type="auto"/>
          </w:tcPr>
          <w:p w14:paraId="0DE5310D"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8.60</w:t>
            </w:r>
          </w:p>
        </w:tc>
        <w:tc>
          <w:tcPr>
            <w:tcW w:w="0" w:type="auto"/>
          </w:tcPr>
          <w:p w14:paraId="2C977C31"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1.72</w:t>
            </w:r>
          </w:p>
        </w:tc>
        <w:tc>
          <w:tcPr>
            <w:tcW w:w="0" w:type="auto"/>
          </w:tcPr>
          <w:p w14:paraId="4A842DAE"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3581.25</w:t>
            </w:r>
          </w:p>
        </w:tc>
        <w:tc>
          <w:tcPr>
            <w:tcW w:w="0" w:type="auto"/>
          </w:tcPr>
          <w:p w14:paraId="4BD949CC"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58.80</w:t>
            </w:r>
          </w:p>
        </w:tc>
        <w:tc>
          <w:tcPr>
            <w:tcW w:w="0" w:type="auto"/>
          </w:tcPr>
          <w:p w14:paraId="69F0EBED"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27</w:t>
            </w:r>
          </w:p>
        </w:tc>
        <w:tc>
          <w:tcPr>
            <w:tcW w:w="0" w:type="auto"/>
          </w:tcPr>
          <w:p w14:paraId="5A97D49D"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118</w:t>
            </w:r>
          </w:p>
        </w:tc>
        <w:tc>
          <w:tcPr>
            <w:tcW w:w="0" w:type="auto"/>
          </w:tcPr>
          <w:p w14:paraId="0DC46BFF"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128</w:t>
            </w:r>
          </w:p>
        </w:tc>
        <w:tc>
          <w:tcPr>
            <w:tcW w:w="0" w:type="auto"/>
          </w:tcPr>
          <w:p w14:paraId="436FCAC3"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92.00</w:t>
            </w:r>
          </w:p>
        </w:tc>
        <w:tc>
          <w:tcPr>
            <w:tcW w:w="0" w:type="auto"/>
          </w:tcPr>
          <w:p w14:paraId="32C26C5D"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9.32</w:t>
            </w:r>
          </w:p>
        </w:tc>
        <w:tc>
          <w:tcPr>
            <w:tcW w:w="0" w:type="auto"/>
          </w:tcPr>
          <w:p w14:paraId="67C3F73C"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1.45</w:t>
            </w:r>
          </w:p>
        </w:tc>
      </w:tr>
      <w:tr w:rsidR="001E40F2" w:rsidRPr="001E40F2" w14:paraId="195610A0" w14:textId="77777777" w:rsidTr="001E40F2">
        <w:trPr>
          <w:trHeight w:val="446"/>
          <w:jc w:val="center"/>
        </w:trPr>
        <w:tc>
          <w:tcPr>
            <w:tcW w:w="0" w:type="auto"/>
          </w:tcPr>
          <w:p w14:paraId="2474AC7E"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4</w:t>
            </w:r>
          </w:p>
        </w:tc>
        <w:tc>
          <w:tcPr>
            <w:tcW w:w="0" w:type="auto"/>
          </w:tcPr>
          <w:p w14:paraId="2B0A30CC"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w:t>
            </w:r>
          </w:p>
        </w:tc>
        <w:tc>
          <w:tcPr>
            <w:tcW w:w="0" w:type="auto"/>
          </w:tcPr>
          <w:p w14:paraId="40FEBF7A"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K6, JCG 2141, G5</w:t>
            </w:r>
          </w:p>
        </w:tc>
        <w:tc>
          <w:tcPr>
            <w:tcW w:w="0" w:type="auto"/>
          </w:tcPr>
          <w:p w14:paraId="08047C19"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51.07</w:t>
            </w:r>
          </w:p>
        </w:tc>
        <w:tc>
          <w:tcPr>
            <w:tcW w:w="0" w:type="auto"/>
          </w:tcPr>
          <w:p w14:paraId="2F197737"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58.73</w:t>
            </w:r>
          </w:p>
        </w:tc>
        <w:tc>
          <w:tcPr>
            <w:tcW w:w="0" w:type="auto"/>
          </w:tcPr>
          <w:p w14:paraId="7EFF524B"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2.50</w:t>
            </w:r>
          </w:p>
        </w:tc>
        <w:tc>
          <w:tcPr>
            <w:tcW w:w="0" w:type="auto"/>
          </w:tcPr>
          <w:p w14:paraId="2404F4DE"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5215.28</w:t>
            </w:r>
          </w:p>
        </w:tc>
        <w:tc>
          <w:tcPr>
            <w:tcW w:w="0" w:type="auto"/>
          </w:tcPr>
          <w:p w14:paraId="6D32B898"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36.00</w:t>
            </w:r>
          </w:p>
        </w:tc>
        <w:tc>
          <w:tcPr>
            <w:tcW w:w="0" w:type="auto"/>
          </w:tcPr>
          <w:p w14:paraId="4DE09827"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31</w:t>
            </w:r>
          </w:p>
        </w:tc>
        <w:tc>
          <w:tcPr>
            <w:tcW w:w="0" w:type="auto"/>
          </w:tcPr>
          <w:p w14:paraId="3C39F09A"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110</w:t>
            </w:r>
          </w:p>
        </w:tc>
        <w:tc>
          <w:tcPr>
            <w:tcW w:w="0" w:type="auto"/>
          </w:tcPr>
          <w:p w14:paraId="15D01505"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120</w:t>
            </w:r>
          </w:p>
        </w:tc>
        <w:tc>
          <w:tcPr>
            <w:tcW w:w="0" w:type="auto"/>
          </w:tcPr>
          <w:p w14:paraId="6AC328D2"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104.67</w:t>
            </w:r>
          </w:p>
        </w:tc>
        <w:tc>
          <w:tcPr>
            <w:tcW w:w="0" w:type="auto"/>
          </w:tcPr>
          <w:p w14:paraId="5C01EF7B"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8.53</w:t>
            </w:r>
          </w:p>
        </w:tc>
        <w:tc>
          <w:tcPr>
            <w:tcW w:w="0" w:type="auto"/>
          </w:tcPr>
          <w:p w14:paraId="514D30CD" w14:textId="7777777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0.86</w:t>
            </w:r>
          </w:p>
        </w:tc>
      </w:tr>
    </w:tbl>
    <w:p w14:paraId="15C89009" w14:textId="77777777" w:rsidR="00E74B60" w:rsidRDefault="00E74B60" w:rsidP="00571FDB">
      <w:pPr>
        <w:spacing w:line="360" w:lineRule="auto"/>
        <w:jc w:val="both"/>
        <w:rPr>
          <w:rFonts w:asciiTheme="majorBidi" w:hAnsiTheme="majorBidi" w:cstheme="majorBidi"/>
          <w:sz w:val="24"/>
          <w:szCs w:val="24"/>
        </w:rPr>
      </w:pPr>
    </w:p>
    <w:p w14:paraId="4A4A6ECD" w14:textId="77777777" w:rsidR="00523265" w:rsidRPr="00523265" w:rsidRDefault="00523265" w:rsidP="00C63A97">
      <w:pPr>
        <w:spacing w:line="278" w:lineRule="auto"/>
        <w:jc w:val="both"/>
        <w:rPr>
          <w:rFonts w:asciiTheme="majorBidi" w:hAnsiTheme="majorBidi" w:cstheme="majorBidi"/>
          <w:sz w:val="24"/>
          <w:szCs w:val="24"/>
          <w:lang w:val="en-US"/>
        </w:rPr>
      </w:pPr>
      <w:bookmarkStart w:id="1" w:name="_Hlk220068340"/>
      <w:r w:rsidRPr="00523265">
        <w:rPr>
          <w:rFonts w:asciiTheme="majorBidi" w:hAnsiTheme="majorBidi" w:cstheme="majorBidi"/>
          <w:b/>
          <w:sz w:val="24"/>
          <w:szCs w:val="24"/>
          <w:lang w:val="en-US"/>
        </w:rPr>
        <w:t xml:space="preserve">Table 3: </w:t>
      </w:r>
      <w:r w:rsidRPr="00523265">
        <w:rPr>
          <w:rFonts w:asciiTheme="majorBidi" w:hAnsiTheme="majorBidi" w:cstheme="majorBidi"/>
          <w:b/>
          <w:bCs/>
          <w:sz w:val="24"/>
          <w:szCs w:val="24"/>
          <w:lang w:val="en-US"/>
        </w:rPr>
        <w:t>Inter-cluster and Intra-cluster Distances</w:t>
      </w:r>
      <w:bookmarkEnd w:id="1"/>
    </w:p>
    <w:tbl>
      <w:tblPr>
        <w:tblStyle w:val="TableGrid2"/>
        <w:tblW w:w="7160" w:type="dxa"/>
        <w:tblLook w:val="04A0" w:firstRow="1" w:lastRow="0" w:firstColumn="1" w:lastColumn="0" w:noHBand="0" w:noVBand="1"/>
      </w:tblPr>
      <w:tblGrid>
        <w:gridCol w:w="1960"/>
        <w:gridCol w:w="1300"/>
        <w:gridCol w:w="1300"/>
        <w:gridCol w:w="1300"/>
        <w:gridCol w:w="1300"/>
      </w:tblGrid>
      <w:tr w:rsidR="00523265" w:rsidRPr="00523265" w14:paraId="1A352C20" w14:textId="77777777" w:rsidTr="00AD5F70">
        <w:trPr>
          <w:trHeight w:val="288"/>
        </w:trPr>
        <w:tc>
          <w:tcPr>
            <w:tcW w:w="1960" w:type="dxa"/>
            <w:noWrap/>
            <w:hideMark/>
          </w:tcPr>
          <w:p w14:paraId="24899DE5"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Cluster Distance</w:t>
            </w:r>
          </w:p>
        </w:tc>
        <w:tc>
          <w:tcPr>
            <w:tcW w:w="1300" w:type="dxa"/>
            <w:noWrap/>
            <w:hideMark/>
          </w:tcPr>
          <w:p w14:paraId="4E7B117D"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I</w:t>
            </w:r>
          </w:p>
        </w:tc>
        <w:tc>
          <w:tcPr>
            <w:tcW w:w="1300" w:type="dxa"/>
            <w:noWrap/>
            <w:hideMark/>
          </w:tcPr>
          <w:p w14:paraId="625AC432"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II</w:t>
            </w:r>
          </w:p>
        </w:tc>
        <w:tc>
          <w:tcPr>
            <w:tcW w:w="1300" w:type="dxa"/>
            <w:noWrap/>
            <w:hideMark/>
          </w:tcPr>
          <w:p w14:paraId="4F259F8F"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III</w:t>
            </w:r>
          </w:p>
        </w:tc>
        <w:tc>
          <w:tcPr>
            <w:tcW w:w="1300" w:type="dxa"/>
            <w:noWrap/>
            <w:hideMark/>
          </w:tcPr>
          <w:p w14:paraId="71671247"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IV</w:t>
            </w:r>
          </w:p>
        </w:tc>
      </w:tr>
      <w:tr w:rsidR="00523265" w:rsidRPr="00523265" w14:paraId="15A4782D" w14:textId="77777777" w:rsidTr="00AD5F70">
        <w:trPr>
          <w:trHeight w:val="288"/>
        </w:trPr>
        <w:tc>
          <w:tcPr>
            <w:tcW w:w="1960" w:type="dxa"/>
            <w:noWrap/>
            <w:hideMark/>
          </w:tcPr>
          <w:p w14:paraId="04EA84B2" w14:textId="77777777" w:rsidR="00523265" w:rsidRPr="00523265" w:rsidRDefault="00523265" w:rsidP="00523265">
            <w:pPr>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I</w:t>
            </w:r>
          </w:p>
        </w:tc>
        <w:tc>
          <w:tcPr>
            <w:tcW w:w="1300" w:type="dxa"/>
            <w:noWrap/>
            <w:hideMark/>
          </w:tcPr>
          <w:p w14:paraId="33F15591"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4.20</w:t>
            </w:r>
          </w:p>
        </w:tc>
        <w:tc>
          <w:tcPr>
            <w:tcW w:w="1300" w:type="dxa"/>
            <w:noWrap/>
          </w:tcPr>
          <w:p w14:paraId="4C6C584B" w14:textId="77777777" w:rsidR="00523265" w:rsidRPr="00523265" w:rsidRDefault="00523265" w:rsidP="00523265">
            <w:pPr>
              <w:jc w:val="right"/>
              <w:rPr>
                <w:rFonts w:asciiTheme="majorBidi" w:eastAsia="Times New Roman" w:hAnsiTheme="majorBidi" w:cstheme="majorBidi"/>
                <w:color w:val="000000"/>
                <w:kern w:val="0"/>
                <w14:ligatures w14:val="none"/>
              </w:rPr>
            </w:pPr>
          </w:p>
        </w:tc>
        <w:tc>
          <w:tcPr>
            <w:tcW w:w="1300" w:type="dxa"/>
            <w:noWrap/>
          </w:tcPr>
          <w:p w14:paraId="73840D0F" w14:textId="77777777" w:rsidR="00523265" w:rsidRPr="00523265" w:rsidRDefault="00523265" w:rsidP="00523265">
            <w:pPr>
              <w:jc w:val="right"/>
              <w:rPr>
                <w:rFonts w:asciiTheme="majorBidi" w:eastAsia="Times New Roman" w:hAnsiTheme="majorBidi" w:cstheme="majorBidi"/>
                <w:color w:val="000000"/>
                <w:kern w:val="0"/>
                <w14:ligatures w14:val="none"/>
              </w:rPr>
            </w:pPr>
          </w:p>
        </w:tc>
        <w:tc>
          <w:tcPr>
            <w:tcW w:w="1300" w:type="dxa"/>
            <w:noWrap/>
          </w:tcPr>
          <w:p w14:paraId="2BF5F428" w14:textId="77777777" w:rsidR="00523265" w:rsidRPr="00523265" w:rsidRDefault="00523265" w:rsidP="00523265">
            <w:pPr>
              <w:jc w:val="right"/>
              <w:rPr>
                <w:rFonts w:asciiTheme="majorBidi" w:eastAsia="Times New Roman" w:hAnsiTheme="majorBidi" w:cstheme="majorBidi"/>
                <w:color w:val="000000"/>
                <w:kern w:val="0"/>
                <w14:ligatures w14:val="none"/>
              </w:rPr>
            </w:pPr>
          </w:p>
        </w:tc>
      </w:tr>
      <w:tr w:rsidR="00523265" w:rsidRPr="00523265" w14:paraId="52C16060" w14:textId="77777777" w:rsidTr="00AD5F70">
        <w:trPr>
          <w:trHeight w:val="288"/>
        </w:trPr>
        <w:tc>
          <w:tcPr>
            <w:tcW w:w="1960" w:type="dxa"/>
            <w:noWrap/>
            <w:hideMark/>
          </w:tcPr>
          <w:p w14:paraId="61A3216D" w14:textId="77777777" w:rsidR="00523265" w:rsidRPr="00523265" w:rsidRDefault="00523265" w:rsidP="00523265">
            <w:pPr>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II</w:t>
            </w:r>
          </w:p>
        </w:tc>
        <w:tc>
          <w:tcPr>
            <w:tcW w:w="1300" w:type="dxa"/>
            <w:noWrap/>
            <w:hideMark/>
          </w:tcPr>
          <w:p w14:paraId="4A462C96"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4.98</w:t>
            </w:r>
          </w:p>
        </w:tc>
        <w:tc>
          <w:tcPr>
            <w:tcW w:w="1300" w:type="dxa"/>
            <w:noWrap/>
            <w:hideMark/>
          </w:tcPr>
          <w:p w14:paraId="0129561B"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3.47</w:t>
            </w:r>
          </w:p>
        </w:tc>
        <w:tc>
          <w:tcPr>
            <w:tcW w:w="1300" w:type="dxa"/>
            <w:noWrap/>
          </w:tcPr>
          <w:p w14:paraId="29D8F498" w14:textId="77777777" w:rsidR="00523265" w:rsidRPr="00523265" w:rsidRDefault="00523265" w:rsidP="00523265">
            <w:pPr>
              <w:jc w:val="right"/>
              <w:rPr>
                <w:rFonts w:asciiTheme="majorBidi" w:eastAsia="Times New Roman" w:hAnsiTheme="majorBidi" w:cstheme="majorBidi"/>
                <w:color w:val="000000"/>
                <w:kern w:val="0"/>
                <w14:ligatures w14:val="none"/>
              </w:rPr>
            </w:pPr>
          </w:p>
        </w:tc>
        <w:tc>
          <w:tcPr>
            <w:tcW w:w="1300" w:type="dxa"/>
            <w:noWrap/>
          </w:tcPr>
          <w:p w14:paraId="032C3A33" w14:textId="77777777" w:rsidR="00523265" w:rsidRPr="00523265" w:rsidRDefault="00523265" w:rsidP="00523265">
            <w:pPr>
              <w:jc w:val="right"/>
              <w:rPr>
                <w:rFonts w:asciiTheme="majorBidi" w:eastAsia="Times New Roman" w:hAnsiTheme="majorBidi" w:cstheme="majorBidi"/>
                <w:color w:val="000000"/>
                <w:kern w:val="0"/>
                <w14:ligatures w14:val="none"/>
              </w:rPr>
            </w:pPr>
          </w:p>
        </w:tc>
      </w:tr>
      <w:tr w:rsidR="00523265" w:rsidRPr="00523265" w14:paraId="6D039917" w14:textId="77777777" w:rsidTr="00AD5F70">
        <w:trPr>
          <w:trHeight w:val="288"/>
        </w:trPr>
        <w:tc>
          <w:tcPr>
            <w:tcW w:w="1960" w:type="dxa"/>
            <w:noWrap/>
            <w:hideMark/>
          </w:tcPr>
          <w:p w14:paraId="5F9B1AA7" w14:textId="77777777" w:rsidR="00523265" w:rsidRPr="00523265" w:rsidRDefault="00523265" w:rsidP="00523265">
            <w:pPr>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III</w:t>
            </w:r>
          </w:p>
        </w:tc>
        <w:tc>
          <w:tcPr>
            <w:tcW w:w="1300" w:type="dxa"/>
            <w:noWrap/>
            <w:hideMark/>
          </w:tcPr>
          <w:p w14:paraId="5C5A74AC"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5.15</w:t>
            </w:r>
          </w:p>
        </w:tc>
        <w:tc>
          <w:tcPr>
            <w:tcW w:w="1300" w:type="dxa"/>
            <w:noWrap/>
            <w:hideMark/>
          </w:tcPr>
          <w:p w14:paraId="153ADBEE"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6.32</w:t>
            </w:r>
          </w:p>
        </w:tc>
        <w:tc>
          <w:tcPr>
            <w:tcW w:w="1300" w:type="dxa"/>
            <w:noWrap/>
            <w:hideMark/>
          </w:tcPr>
          <w:p w14:paraId="0E13ED17"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3.01</w:t>
            </w:r>
          </w:p>
        </w:tc>
        <w:tc>
          <w:tcPr>
            <w:tcW w:w="1300" w:type="dxa"/>
            <w:noWrap/>
          </w:tcPr>
          <w:p w14:paraId="2D7B449A" w14:textId="77777777" w:rsidR="00523265" w:rsidRPr="00523265" w:rsidRDefault="00523265" w:rsidP="00523265">
            <w:pPr>
              <w:jc w:val="right"/>
              <w:rPr>
                <w:rFonts w:asciiTheme="majorBidi" w:eastAsia="Times New Roman" w:hAnsiTheme="majorBidi" w:cstheme="majorBidi"/>
                <w:color w:val="000000"/>
                <w:kern w:val="0"/>
                <w14:ligatures w14:val="none"/>
              </w:rPr>
            </w:pPr>
          </w:p>
        </w:tc>
      </w:tr>
      <w:tr w:rsidR="00523265" w:rsidRPr="00523265" w14:paraId="45E8C1B2" w14:textId="77777777" w:rsidTr="00AD5F70">
        <w:trPr>
          <w:trHeight w:val="288"/>
        </w:trPr>
        <w:tc>
          <w:tcPr>
            <w:tcW w:w="1960" w:type="dxa"/>
            <w:noWrap/>
            <w:hideMark/>
          </w:tcPr>
          <w:p w14:paraId="3E14FCB2" w14:textId="77777777" w:rsidR="00523265" w:rsidRPr="00523265" w:rsidRDefault="00523265" w:rsidP="00523265">
            <w:pPr>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IV</w:t>
            </w:r>
          </w:p>
        </w:tc>
        <w:tc>
          <w:tcPr>
            <w:tcW w:w="1300" w:type="dxa"/>
            <w:noWrap/>
            <w:hideMark/>
          </w:tcPr>
          <w:p w14:paraId="462EFD86"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5.07</w:t>
            </w:r>
          </w:p>
        </w:tc>
        <w:tc>
          <w:tcPr>
            <w:tcW w:w="1300" w:type="dxa"/>
            <w:noWrap/>
            <w:hideMark/>
          </w:tcPr>
          <w:p w14:paraId="13C0D4C0"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5.25</w:t>
            </w:r>
          </w:p>
        </w:tc>
        <w:tc>
          <w:tcPr>
            <w:tcW w:w="1300" w:type="dxa"/>
            <w:noWrap/>
            <w:hideMark/>
          </w:tcPr>
          <w:p w14:paraId="67AE7FC5"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6.10</w:t>
            </w:r>
          </w:p>
        </w:tc>
        <w:tc>
          <w:tcPr>
            <w:tcW w:w="1300" w:type="dxa"/>
            <w:noWrap/>
            <w:hideMark/>
          </w:tcPr>
          <w:p w14:paraId="2C68A759"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3.23</w:t>
            </w:r>
          </w:p>
        </w:tc>
      </w:tr>
    </w:tbl>
    <w:p w14:paraId="0D5BA4A1" w14:textId="77777777" w:rsidR="00F4311C" w:rsidRDefault="00F4311C" w:rsidP="00927CC0">
      <w:pPr>
        <w:spacing w:line="240" w:lineRule="auto"/>
        <w:jc w:val="both"/>
        <w:rPr>
          <w:rFonts w:asciiTheme="majorBidi" w:hAnsiTheme="majorBidi" w:cstheme="majorBidi"/>
          <w:b/>
          <w:bCs/>
          <w:noProof/>
          <w:sz w:val="24"/>
          <w:szCs w:val="24"/>
        </w:rPr>
      </w:pPr>
    </w:p>
    <w:p w14:paraId="0FC77B99" w14:textId="77777777" w:rsidR="00F4311C" w:rsidRDefault="00F4311C" w:rsidP="00927CC0">
      <w:pPr>
        <w:spacing w:line="240" w:lineRule="auto"/>
        <w:jc w:val="both"/>
        <w:rPr>
          <w:rFonts w:asciiTheme="majorBidi" w:hAnsiTheme="majorBidi" w:cstheme="majorBidi"/>
          <w:b/>
          <w:bCs/>
          <w:noProof/>
          <w:sz w:val="24"/>
          <w:szCs w:val="24"/>
        </w:rPr>
      </w:pPr>
    </w:p>
    <w:p w14:paraId="72DD5E84" w14:textId="77777777" w:rsidR="00927CC0" w:rsidRPr="00801D9A" w:rsidRDefault="00927CC0" w:rsidP="00927CC0">
      <w:pPr>
        <w:spacing w:line="240" w:lineRule="auto"/>
        <w:jc w:val="both"/>
        <w:rPr>
          <w:rFonts w:asciiTheme="majorBidi" w:hAnsiTheme="majorBidi" w:cstheme="majorBidi"/>
          <w:b/>
          <w:bCs/>
          <w:sz w:val="24"/>
          <w:szCs w:val="24"/>
        </w:rPr>
      </w:pPr>
      <w:r w:rsidRPr="00801D9A">
        <w:rPr>
          <w:rFonts w:asciiTheme="majorBidi" w:hAnsiTheme="majorBidi" w:cstheme="majorBidi"/>
          <w:b/>
          <w:bCs/>
          <w:noProof/>
          <w:sz w:val="24"/>
          <w:szCs w:val="24"/>
        </w:rPr>
        <w:lastRenderedPageBreak/>
        <w:t xml:space="preserve">Table </w:t>
      </w:r>
      <w:r>
        <w:rPr>
          <w:rFonts w:asciiTheme="majorBidi" w:hAnsiTheme="majorBidi" w:cstheme="majorBidi"/>
          <w:b/>
          <w:bCs/>
          <w:noProof/>
          <w:sz w:val="24"/>
          <w:szCs w:val="24"/>
        </w:rPr>
        <w:t>4</w:t>
      </w:r>
      <w:r w:rsidRPr="00801D9A">
        <w:rPr>
          <w:rFonts w:asciiTheme="majorBidi" w:hAnsiTheme="majorBidi" w:cstheme="majorBidi"/>
          <w:b/>
          <w:bCs/>
          <w:noProof/>
          <w:sz w:val="24"/>
          <w:szCs w:val="24"/>
        </w:rPr>
        <w:t>: Principal component analysis (PCA) for 1</w:t>
      </w:r>
      <w:r w:rsidR="00F4311C">
        <w:rPr>
          <w:rFonts w:asciiTheme="majorBidi" w:hAnsiTheme="majorBidi" w:cstheme="majorBidi"/>
          <w:b/>
          <w:bCs/>
          <w:noProof/>
          <w:sz w:val="24"/>
          <w:szCs w:val="24"/>
        </w:rPr>
        <w:t>1</w:t>
      </w:r>
      <w:r w:rsidRPr="00801D9A">
        <w:rPr>
          <w:rFonts w:asciiTheme="majorBidi" w:hAnsiTheme="majorBidi" w:cstheme="majorBidi"/>
          <w:b/>
          <w:bCs/>
          <w:noProof/>
          <w:sz w:val="24"/>
          <w:szCs w:val="24"/>
        </w:rPr>
        <w:t xml:space="preserve"> traits of </w:t>
      </w:r>
      <w:r w:rsidR="00F4311C">
        <w:rPr>
          <w:rFonts w:asciiTheme="majorBidi" w:hAnsiTheme="majorBidi" w:cstheme="majorBidi"/>
          <w:b/>
          <w:bCs/>
          <w:noProof/>
          <w:sz w:val="24"/>
          <w:szCs w:val="24"/>
        </w:rPr>
        <w:t>groundnut</w:t>
      </w:r>
      <w:r w:rsidRPr="00801D9A">
        <w:rPr>
          <w:rFonts w:asciiTheme="majorBidi" w:hAnsiTheme="majorBidi" w:cstheme="majorBidi"/>
          <w:b/>
          <w:bCs/>
          <w:noProof/>
          <w:sz w:val="24"/>
          <w:szCs w:val="24"/>
        </w:rPr>
        <w:t xml:space="preserve"> genotypes</w:t>
      </w:r>
    </w:p>
    <w:tbl>
      <w:tblPr>
        <w:tblStyle w:val="TableGrid3"/>
        <w:tblpPr w:leftFromText="180" w:rightFromText="180" w:vertAnchor="page" w:horzAnchor="margin" w:tblpXSpec="center" w:tblpY="1933"/>
        <w:tblW w:w="6248" w:type="pct"/>
        <w:tblLook w:val="04A0" w:firstRow="1" w:lastRow="0" w:firstColumn="1" w:lastColumn="0" w:noHBand="0" w:noVBand="1"/>
      </w:tblPr>
      <w:tblGrid>
        <w:gridCol w:w="2710"/>
        <w:gridCol w:w="756"/>
        <w:gridCol w:w="756"/>
        <w:gridCol w:w="756"/>
        <w:gridCol w:w="756"/>
        <w:gridCol w:w="756"/>
        <w:gridCol w:w="756"/>
        <w:gridCol w:w="756"/>
        <w:gridCol w:w="756"/>
        <w:gridCol w:w="756"/>
        <w:gridCol w:w="876"/>
        <w:gridCol w:w="876"/>
      </w:tblGrid>
      <w:tr w:rsidR="00F4311C" w:rsidRPr="00F4311C" w14:paraId="2577EE38" w14:textId="77777777" w:rsidTr="005E66E0">
        <w:trPr>
          <w:trHeight w:val="417"/>
        </w:trPr>
        <w:tc>
          <w:tcPr>
            <w:tcW w:w="1203" w:type="pct"/>
            <w:noWrap/>
            <w:hideMark/>
          </w:tcPr>
          <w:p w14:paraId="317FE82A"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12FA50A1"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PC1</w:t>
            </w:r>
          </w:p>
        </w:tc>
        <w:tc>
          <w:tcPr>
            <w:tcW w:w="336" w:type="pct"/>
            <w:noWrap/>
            <w:hideMark/>
          </w:tcPr>
          <w:p w14:paraId="27F3DAE6"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PC2</w:t>
            </w:r>
          </w:p>
        </w:tc>
        <w:tc>
          <w:tcPr>
            <w:tcW w:w="336" w:type="pct"/>
            <w:noWrap/>
            <w:hideMark/>
          </w:tcPr>
          <w:p w14:paraId="51217C0D"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PC3</w:t>
            </w:r>
          </w:p>
        </w:tc>
        <w:tc>
          <w:tcPr>
            <w:tcW w:w="336" w:type="pct"/>
            <w:noWrap/>
            <w:hideMark/>
          </w:tcPr>
          <w:p w14:paraId="0CA0D80A"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PC4</w:t>
            </w:r>
          </w:p>
        </w:tc>
        <w:tc>
          <w:tcPr>
            <w:tcW w:w="336" w:type="pct"/>
            <w:noWrap/>
            <w:hideMark/>
          </w:tcPr>
          <w:p w14:paraId="118CBEE5"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PC5</w:t>
            </w:r>
          </w:p>
        </w:tc>
        <w:tc>
          <w:tcPr>
            <w:tcW w:w="336" w:type="pct"/>
            <w:noWrap/>
            <w:hideMark/>
          </w:tcPr>
          <w:p w14:paraId="5F8400B3"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PC6</w:t>
            </w:r>
          </w:p>
        </w:tc>
        <w:tc>
          <w:tcPr>
            <w:tcW w:w="336" w:type="pct"/>
            <w:noWrap/>
            <w:hideMark/>
          </w:tcPr>
          <w:p w14:paraId="661BC4FE"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PC7</w:t>
            </w:r>
          </w:p>
        </w:tc>
        <w:tc>
          <w:tcPr>
            <w:tcW w:w="336" w:type="pct"/>
            <w:noWrap/>
            <w:hideMark/>
          </w:tcPr>
          <w:p w14:paraId="526128AD"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PC8</w:t>
            </w:r>
          </w:p>
        </w:tc>
        <w:tc>
          <w:tcPr>
            <w:tcW w:w="336" w:type="pct"/>
            <w:noWrap/>
            <w:hideMark/>
          </w:tcPr>
          <w:p w14:paraId="74625DF8"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PC9</w:t>
            </w:r>
          </w:p>
        </w:tc>
        <w:tc>
          <w:tcPr>
            <w:tcW w:w="389" w:type="pct"/>
            <w:noWrap/>
            <w:hideMark/>
          </w:tcPr>
          <w:p w14:paraId="7CBBED39"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PC10</w:t>
            </w:r>
          </w:p>
        </w:tc>
        <w:tc>
          <w:tcPr>
            <w:tcW w:w="389" w:type="pct"/>
            <w:noWrap/>
            <w:hideMark/>
          </w:tcPr>
          <w:p w14:paraId="5088A6E8"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PC11</w:t>
            </w:r>
          </w:p>
        </w:tc>
      </w:tr>
      <w:tr w:rsidR="00F4311C" w:rsidRPr="00F4311C" w14:paraId="1DF22991" w14:textId="77777777" w:rsidTr="005E66E0">
        <w:trPr>
          <w:trHeight w:val="417"/>
        </w:trPr>
        <w:tc>
          <w:tcPr>
            <w:tcW w:w="1203" w:type="pct"/>
            <w:noWrap/>
            <w:hideMark/>
          </w:tcPr>
          <w:p w14:paraId="04FAAF51"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Eigen Value</w:t>
            </w:r>
          </w:p>
        </w:tc>
        <w:tc>
          <w:tcPr>
            <w:tcW w:w="336" w:type="pct"/>
            <w:noWrap/>
            <w:hideMark/>
          </w:tcPr>
          <w:p w14:paraId="2024692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3.71</w:t>
            </w:r>
          </w:p>
        </w:tc>
        <w:tc>
          <w:tcPr>
            <w:tcW w:w="336" w:type="pct"/>
            <w:noWrap/>
            <w:hideMark/>
          </w:tcPr>
          <w:p w14:paraId="2FE2D5E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2.22</w:t>
            </w:r>
          </w:p>
        </w:tc>
        <w:tc>
          <w:tcPr>
            <w:tcW w:w="336" w:type="pct"/>
            <w:noWrap/>
            <w:hideMark/>
          </w:tcPr>
          <w:p w14:paraId="2C341B5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1.50</w:t>
            </w:r>
          </w:p>
        </w:tc>
        <w:tc>
          <w:tcPr>
            <w:tcW w:w="336" w:type="pct"/>
            <w:noWrap/>
            <w:hideMark/>
          </w:tcPr>
          <w:p w14:paraId="6609A31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1.01</w:t>
            </w:r>
          </w:p>
        </w:tc>
        <w:tc>
          <w:tcPr>
            <w:tcW w:w="336" w:type="pct"/>
            <w:noWrap/>
            <w:hideMark/>
          </w:tcPr>
          <w:p w14:paraId="1AC24B9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0.78</w:t>
            </w:r>
          </w:p>
        </w:tc>
        <w:tc>
          <w:tcPr>
            <w:tcW w:w="336" w:type="pct"/>
            <w:noWrap/>
            <w:hideMark/>
          </w:tcPr>
          <w:p w14:paraId="2ADB06C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0.67</w:t>
            </w:r>
          </w:p>
        </w:tc>
        <w:tc>
          <w:tcPr>
            <w:tcW w:w="336" w:type="pct"/>
            <w:noWrap/>
            <w:hideMark/>
          </w:tcPr>
          <w:p w14:paraId="2FA08E4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0.50</w:t>
            </w:r>
          </w:p>
        </w:tc>
        <w:tc>
          <w:tcPr>
            <w:tcW w:w="336" w:type="pct"/>
            <w:noWrap/>
            <w:hideMark/>
          </w:tcPr>
          <w:p w14:paraId="3D7E652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0.40</w:t>
            </w:r>
          </w:p>
        </w:tc>
        <w:tc>
          <w:tcPr>
            <w:tcW w:w="336" w:type="pct"/>
            <w:noWrap/>
            <w:hideMark/>
          </w:tcPr>
          <w:p w14:paraId="34FA4CB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89" w:type="pct"/>
            <w:noWrap/>
            <w:hideMark/>
          </w:tcPr>
          <w:p w14:paraId="015E35B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89" w:type="pct"/>
            <w:noWrap/>
            <w:hideMark/>
          </w:tcPr>
          <w:p w14:paraId="163F858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4B870FF0" w14:textId="77777777" w:rsidTr="005E66E0">
        <w:trPr>
          <w:trHeight w:val="417"/>
        </w:trPr>
        <w:tc>
          <w:tcPr>
            <w:tcW w:w="1203" w:type="pct"/>
            <w:noWrap/>
            <w:hideMark/>
          </w:tcPr>
          <w:p w14:paraId="6E317461"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Variance %</w:t>
            </w:r>
          </w:p>
        </w:tc>
        <w:tc>
          <w:tcPr>
            <w:tcW w:w="336" w:type="pct"/>
            <w:noWrap/>
            <w:hideMark/>
          </w:tcPr>
          <w:p w14:paraId="7A4AA77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33.74</w:t>
            </w:r>
          </w:p>
        </w:tc>
        <w:tc>
          <w:tcPr>
            <w:tcW w:w="336" w:type="pct"/>
            <w:noWrap/>
            <w:hideMark/>
          </w:tcPr>
          <w:p w14:paraId="1D08140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20.22</w:t>
            </w:r>
          </w:p>
        </w:tc>
        <w:tc>
          <w:tcPr>
            <w:tcW w:w="336" w:type="pct"/>
            <w:noWrap/>
            <w:hideMark/>
          </w:tcPr>
          <w:p w14:paraId="59F5B54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13.66</w:t>
            </w:r>
          </w:p>
        </w:tc>
        <w:tc>
          <w:tcPr>
            <w:tcW w:w="336" w:type="pct"/>
            <w:noWrap/>
            <w:hideMark/>
          </w:tcPr>
          <w:p w14:paraId="4239138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9.18</w:t>
            </w:r>
          </w:p>
        </w:tc>
        <w:tc>
          <w:tcPr>
            <w:tcW w:w="336" w:type="pct"/>
            <w:noWrap/>
            <w:hideMark/>
          </w:tcPr>
          <w:p w14:paraId="22AE0F1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7.09</w:t>
            </w:r>
          </w:p>
        </w:tc>
        <w:tc>
          <w:tcPr>
            <w:tcW w:w="336" w:type="pct"/>
            <w:noWrap/>
            <w:hideMark/>
          </w:tcPr>
          <w:p w14:paraId="0A86777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6.14</w:t>
            </w:r>
          </w:p>
        </w:tc>
        <w:tc>
          <w:tcPr>
            <w:tcW w:w="336" w:type="pct"/>
            <w:noWrap/>
            <w:hideMark/>
          </w:tcPr>
          <w:p w14:paraId="63A114D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4.52</w:t>
            </w:r>
          </w:p>
        </w:tc>
        <w:tc>
          <w:tcPr>
            <w:tcW w:w="336" w:type="pct"/>
            <w:noWrap/>
            <w:hideMark/>
          </w:tcPr>
          <w:p w14:paraId="35A8B64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3.61</w:t>
            </w:r>
          </w:p>
        </w:tc>
        <w:tc>
          <w:tcPr>
            <w:tcW w:w="336" w:type="pct"/>
            <w:noWrap/>
            <w:hideMark/>
          </w:tcPr>
          <w:p w14:paraId="24656A2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1.38</w:t>
            </w:r>
          </w:p>
        </w:tc>
        <w:tc>
          <w:tcPr>
            <w:tcW w:w="389" w:type="pct"/>
            <w:noWrap/>
            <w:hideMark/>
          </w:tcPr>
          <w:p w14:paraId="61A73CE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0.46</w:t>
            </w:r>
          </w:p>
        </w:tc>
        <w:tc>
          <w:tcPr>
            <w:tcW w:w="389" w:type="pct"/>
            <w:noWrap/>
            <w:hideMark/>
          </w:tcPr>
          <w:p w14:paraId="67D7593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504DDA8B" w14:textId="77777777" w:rsidTr="005E66E0">
        <w:trPr>
          <w:trHeight w:val="417"/>
        </w:trPr>
        <w:tc>
          <w:tcPr>
            <w:tcW w:w="1203" w:type="pct"/>
            <w:noWrap/>
            <w:hideMark/>
          </w:tcPr>
          <w:p w14:paraId="177B4C6C"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Cumulative Variance %</w:t>
            </w:r>
          </w:p>
        </w:tc>
        <w:tc>
          <w:tcPr>
            <w:tcW w:w="336" w:type="pct"/>
            <w:noWrap/>
            <w:hideMark/>
          </w:tcPr>
          <w:p w14:paraId="702F83B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33.74</w:t>
            </w:r>
          </w:p>
        </w:tc>
        <w:tc>
          <w:tcPr>
            <w:tcW w:w="336" w:type="pct"/>
            <w:noWrap/>
            <w:hideMark/>
          </w:tcPr>
          <w:p w14:paraId="69DD751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53.96</w:t>
            </w:r>
          </w:p>
        </w:tc>
        <w:tc>
          <w:tcPr>
            <w:tcW w:w="336" w:type="pct"/>
            <w:noWrap/>
            <w:hideMark/>
          </w:tcPr>
          <w:p w14:paraId="6FE31E8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67.62</w:t>
            </w:r>
          </w:p>
        </w:tc>
        <w:tc>
          <w:tcPr>
            <w:tcW w:w="336" w:type="pct"/>
            <w:noWrap/>
            <w:hideMark/>
          </w:tcPr>
          <w:p w14:paraId="7716C29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76.81</w:t>
            </w:r>
          </w:p>
        </w:tc>
        <w:tc>
          <w:tcPr>
            <w:tcW w:w="336" w:type="pct"/>
            <w:noWrap/>
            <w:hideMark/>
          </w:tcPr>
          <w:p w14:paraId="3F34C2E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83.89</w:t>
            </w:r>
          </w:p>
        </w:tc>
        <w:tc>
          <w:tcPr>
            <w:tcW w:w="336" w:type="pct"/>
            <w:noWrap/>
            <w:hideMark/>
          </w:tcPr>
          <w:p w14:paraId="6625BE8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90.03</w:t>
            </w:r>
          </w:p>
        </w:tc>
        <w:tc>
          <w:tcPr>
            <w:tcW w:w="336" w:type="pct"/>
            <w:noWrap/>
            <w:hideMark/>
          </w:tcPr>
          <w:p w14:paraId="510A499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94.54</w:t>
            </w:r>
          </w:p>
        </w:tc>
        <w:tc>
          <w:tcPr>
            <w:tcW w:w="336" w:type="pct"/>
            <w:noWrap/>
            <w:hideMark/>
          </w:tcPr>
          <w:p w14:paraId="12B6AAF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98.15</w:t>
            </w:r>
          </w:p>
        </w:tc>
        <w:tc>
          <w:tcPr>
            <w:tcW w:w="336" w:type="pct"/>
            <w:noWrap/>
            <w:hideMark/>
          </w:tcPr>
          <w:p w14:paraId="04CA39B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99.54</w:t>
            </w:r>
          </w:p>
        </w:tc>
        <w:tc>
          <w:tcPr>
            <w:tcW w:w="389" w:type="pct"/>
            <w:noWrap/>
            <w:hideMark/>
          </w:tcPr>
          <w:p w14:paraId="5D144BB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100.00</w:t>
            </w:r>
          </w:p>
        </w:tc>
        <w:tc>
          <w:tcPr>
            <w:tcW w:w="389" w:type="pct"/>
            <w:noWrap/>
            <w:hideMark/>
          </w:tcPr>
          <w:p w14:paraId="6EA8799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100.00</w:t>
            </w:r>
          </w:p>
        </w:tc>
      </w:tr>
      <w:tr w:rsidR="00F4311C" w:rsidRPr="00F4311C" w14:paraId="5E668D5B" w14:textId="77777777" w:rsidTr="005E66E0">
        <w:trPr>
          <w:trHeight w:val="417"/>
        </w:trPr>
        <w:tc>
          <w:tcPr>
            <w:tcW w:w="1203" w:type="pct"/>
            <w:noWrap/>
            <w:hideMark/>
          </w:tcPr>
          <w:p w14:paraId="55C5D8FE"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Traits</w:t>
            </w:r>
          </w:p>
        </w:tc>
        <w:tc>
          <w:tcPr>
            <w:tcW w:w="336" w:type="pct"/>
            <w:noWrap/>
            <w:hideMark/>
          </w:tcPr>
          <w:p w14:paraId="22226197" w14:textId="77777777" w:rsidR="00F4311C" w:rsidRPr="00F4311C" w:rsidRDefault="00F4311C" w:rsidP="00F4311C">
            <w:pPr>
              <w:rPr>
                <w:rFonts w:asciiTheme="majorBidi" w:eastAsia="Times New Roman" w:hAnsiTheme="majorBidi" w:cstheme="majorBidi"/>
                <w:b/>
                <w:bCs/>
                <w:color w:val="000000"/>
                <w:kern w:val="0"/>
                <w14:ligatures w14:val="none"/>
              </w:rPr>
            </w:pPr>
          </w:p>
        </w:tc>
        <w:tc>
          <w:tcPr>
            <w:tcW w:w="336" w:type="pct"/>
            <w:noWrap/>
            <w:hideMark/>
          </w:tcPr>
          <w:p w14:paraId="1C06A51D"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45F91969"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00509CC0"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2F9A2FCB"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49284182"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2865FA62"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6B43597D"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11CD1317" w14:textId="77777777" w:rsidR="00F4311C" w:rsidRPr="00F4311C" w:rsidRDefault="00F4311C" w:rsidP="00F4311C">
            <w:pPr>
              <w:rPr>
                <w:rFonts w:asciiTheme="majorBidi" w:eastAsia="Times New Roman" w:hAnsiTheme="majorBidi" w:cstheme="majorBidi"/>
                <w:kern w:val="0"/>
                <w14:ligatures w14:val="none"/>
              </w:rPr>
            </w:pPr>
          </w:p>
        </w:tc>
        <w:tc>
          <w:tcPr>
            <w:tcW w:w="389" w:type="pct"/>
            <w:noWrap/>
            <w:hideMark/>
          </w:tcPr>
          <w:p w14:paraId="03620471" w14:textId="77777777" w:rsidR="00F4311C" w:rsidRPr="00F4311C" w:rsidRDefault="00F4311C" w:rsidP="00F4311C">
            <w:pPr>
              <w:rPr>
                <w:rFonts w:asciiTheme="majorBidi" w:eastAsia="Times New Roman" w:hAnsiTheme="majorBidi" w:cstheme="majorBidi"/>
                <w:kern w:val="0"/>
                <w14:ligatures w14:val="none"/>
              </w:rPr>
            </w:pPr>
          </w:p>
        </w:tc>
        <w:tc>
          <w:tcPr>
            <w:tcW w:w="389" w:type="pct"/>
            <w:noWrap/>
            <w:hideMark/>
          </w:tcPr>
          <w:p w14:paraId="62512789" w14:textId="77777777" w:rsidR="00F4311C" w:rsidRPr="00F4311C" w:rsidRDefault="00F4311C" w:rsidP="00F4311C">
            <w:pPr>
              <w:rPr>
                <w:rFonts w:asciiTheme="majorBidi" w:eastAsia="Times New Roman" w:hAnsiTheme="majorBidi" w:cstheme="majorBidi"/>
                <w:kern w:val="0"/>
                <w14:ligatures w14:val="none"/>
              </w:rPr>
            </w:pPr>
          </w:p>
        </w:tc>
      </w:tr>
      <w:tr w:rsidR="00F4311C" w:rsidRPr="00F4311C" w14:paraId="46B7E765" w14:textId="77777777" w:rsidTr="005E66E0">
        <w:trPr>
          <w:trHeight w:val="417"/>
        </w:trPr>
        <w:tc>
          <w:tcPr>
            <w:tcW w:w="1203" w:type="pct"/>
            <w:noWrap/>
            <w:hideMark/>
          </w:tcPr>
          <w:p w14:paraId="1F49CD0E"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PH</w:t>
            </w:r>
          </w:p>
        </w:tc>
        <w:tc>
          <w:tcPr>
            <w:tcW w:w="336" w:type="pct"/>
            <w:noWrap/>
            <w:hideMark/>
          </w:tcPr>
          <w:p w14:paraId="6D4C424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0.51</w:t>
            </w:r>
          </w:p>
        </w:tc>
        <w:tc>
          <w:tcPr>
            <w:tcW w:w="336" w:type="pct"/>
            <w:noWrap/>
            <w:hideMark/>
          </w:tcPr>
          <w:p w14:paraId="2196FCA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0.29</w:t>
            </w:r>
          </w:p>
        </w:tc>
        <w:tc>
          <w:tcPr>
            <w:tcW w:w="336" w:type="pct"/>
            <w:noWrap/>
            <w:hideMark/>
          </w:tcPr>
          <w:p w14:paraId="386847E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-0.38</w:t>
            </w:r>
          </w:p>
        </w:tc>
        <w:tc>
          <w:tcPr>
            <w:tcW w:w="336" w:type="pct"/>
            <w:noWrap/>
            <w:hideMark/>
          </w:tcPr>
          <w:p w14:paraId="139B0E3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-0.33</w:t>
            </w:r>
          </w:p>
        </w:tc>
        <w:tc>
          <w:tcPr>
            <w:tcW w:w="336" w:type="pct"/>
            <w:noWrap/>
            <w:hideMark/>
          </w:tcPr>
          <w:p w14:paraId="3E7DD8C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36" w:type="pct"/>
            <w:noWrap/>
            <w:hideMark/>
          </w:tcPr>
          <w:p w14:paraId="7CF33BD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0.53</w:t>
            </w:r>
          </w:p>
        </w:tc>
        <w:tc>
          <w:tcPr>
            <w:tcW w:w="336" w:type="pct"/>
            <w:noWrap/>
            <w:hideMark/>
          </w:tcPr>
          <w:p w14:paraId="1A4B7B4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-0.31</w:t>
            </w:r>
          </w:p>
        </w:tc>
        <w:tc>
          <w:tcPr>
            <w:tcW w:w="336" w:type="pct"/>
            <w:noWrap/>
            <w:hideMark/>
          </w:tcPr>
          <w:p w14:paraId="5CC41F7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-0.09</w:t>
            </w:r>
          </w:p>
        </w:tc>
        <w:tc>
          <w:tcPr>
            <w:tcW w:w="336" w:type="pct"/>
            <w:noWrap/>
            <w:hideMark/>
          </w:tcPr>
          <w:p w14:paraId="6AF8E50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89" w:type="pct"/>
            <w:noWrap/>
            <w:hideMark/>
          </w:tcPr>
          <w:p w14:paraId="69786AC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4BA6528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62898930" w14:textId="77777777" w:rsidTr="005E66E0">
        <w:trPr>
          <w:trHeight w:val="417"/>
        </w:trPr>
        <w:tc>
          <w:tcPr>
            <w:tcW w:w="1203" w:type="pct"/>
            <w:noWrap/>
            <w:hideMark/>
          </w:tcPr>
          <w:p w14:paraId="1834E0F1"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NPPP</w:t>
            </w:r>
          </w:p>
        </w:tc>
        <w:tc>
          <w:tcPr>
            <w:tcW w:w="336" w:type="pct"/>
            <w:noWrap/>
            <w:hideMark/>
          </w:tcPr>
          <w:p w14:paraId="3FA6297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0.17</w:t>
            </w:r>
          </w:p>
        </w:tc>
        <w:tc>
          <w:tcPr>
            <w:tcW w:w="336" w:type="pct"/>
            <w:noWrap/>
            <w:hideMark/>
          </w:tcPr>
          <w:p w14:paraId="6491584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0.46</w:t>
            </w:r>
          </w:p>
        </w:tc>
        <w:tc>
          <w:tcPr>
            <w:tcW w:w="336" w:type="pct"/>
            <w:noWrap/>
            <w:hideMark/>
          </w:tcPr>
          <w:p w14:paraId="36F46F6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0.57</w:t>
            </w:r>
          </w:p>
        </w:tc>
        <w:tc>
          <w:tcPr>
            <w:tcW w:w="336" w:type="pct"/>
            <w:noWrap/>
            <w:hideMark/>
          </w:tcPr>
          <w:p w14:paraId="5A63044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0.27</w:t>
            </w:r>
          </w:p>
        </w:tc>
        <w:tc>
          <w:tcPr>
            <w:tcW w:w="336" w:type="pct"/>
            <w:noWrap/>
            <w:hideMark/>
          </w:tcPr>
          <w:p w14:paraId="23A72E2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5FA216E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0.49</w:t>
            </w:r>
          </w:p>
        </w:tc>
        <w:tc>
          <w:tcPr>
            <w:tcW w:w="336" w:type="pct"/>
            <w:noWrap/>
            <w:hideMark/>
          </w:tcPr>
          <w:p w14:paraId="6856B25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0.35</w:t>
            </w:r>
          </w:p>
        </w:tc>
        <w:tc>
          <w:tcPr>
            <w:tcW w:w="336" w:type="pct"/>
            <w:noWrap/>
            <w:hideMark/>
          </w:tcPr>
          <w:p w14:paraId="610422B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76B5D83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3935C11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5E3CEE2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67E47D93" w14:textId="77777777" w:rsidTr="005E66E0">
        <w:trPr>
          <w:trHeight w:val="417"/>
        </w:trPr>
        <w:tc>
          <w:tcPr>
            <w:tcW w:w="1203" w:type="pct"/>
            <w:noWrap/>
            <w:hideMark/>
          </w:tcPr>
          <w:p w14:paraId="5160DEA9"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PYPP</w:t>
            </w:r>
          </w:p>
        </w:tc>
        <w:tc>
          <w:tcPr>
            <w:tcW w:w="336" w:type="pct"/>
            <w:noWrap/>
            <w:hideMark/>
          </w:tcPr>
          <w:p w14:paraId="0C4AECA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0.76</w:t>
            </w:r>
          </w:p>
        </w:tc>
        <w:tc>
          <w:tcPr>
            <w:tcW w:w="336" w:type="pct"/>
            <w:noWrap/>
            <w:hideMark/>
          </w:tcPr>
          <w:p w14:paraId="3164EAA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0.23</w:t>
            </w:r>
          </w:p>
        </w:tc>
        <w:tc>
          <w:tcPr>
            <w:tcW w:w="336" w:type="pct"/>
            <w:noWrap/>
            <w:hideMark/>
          </w:tcPr>
          <w:p w14:paraId="0789EBE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0.52</w:t>
            </w:r>
          </w:p>
        </w:tc>
        <w:tc>
          <w:tcPr>
            <w:tcW w:w="336" w:type="pct"/>
            <w:noWrap/>
            <w:hideMark/>
          </w:tcPr>
          <w:p w14:paraId="512C708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-0.19</w:t>
            </w:r>
          </w:p>
        </w:tc>
        <w:tc>
          <w:tcPr>
            <w:tcW w:w="336" w:type="pct"/>
            <w:noWrap/>
            <w:hideMark/>
          </w:tcPr>
          <w:p w14:paraId="30E518C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-0.10</w:t>
            </w:r>
          </w:p>
        </w:tc>
        <w:tc>
          <w:tcPr>
            <w:tcW w:w="336" w:type="pct"/>
            <w:noWrap/>
            <w:hideMark/>
          </w:tcPr>
          <w:p w14:paraId="5FF42CD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-0.18</w:t>
            </w:r>
          </w:p>
        </w:tc>
        <w:tc>
          <w:tcPr>
            <w:tcW w:w="336" w:type="pct"/>
            <w:noWrap/>
            <w:hideMark/>
          </w:tcPr>
          <w:p w14:paraId="3568DD7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-0.12</w:t>
            </w:r>
          </w:p>
        </w:tc>
        <w:tc>
          <w:tcPr>
            <w:tcW w:w="336" w:type="pct"/>
            <w:noWrap/>
            <w:hideMark/>
          </w:tcPr>
          <w:p w14:paraId="1305024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42348A9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89" w:type="pct"/>
            <w:noWrap/>
            <w:hideMark/>
          </w:tcPr>
          <w:p w14:paraId="74B6DE2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2674BF8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09D6068A" w14:textId="77777777" w:rsidTr="005E66E0">
        <w:trPr>
          <w:trHeight w:val="417"/>
        </w:trPr>
        <w:tc>
          <w:tcPr>
            <w:tcW w:w="1203" w:type="pct"/>
            <w:noWrap/>
            <w:hideMark/>
          </w:tcPr>
          <w:p w14:paraId="43B260F2"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PYH</w:t>
            </w:r>
          </w:p>
        </w:tc>
        <w:tc>
          <w:tcPr>
            <w:tcW w:w="336" w:type="pct"/>
            <w:noWrap/>
            <w:hideMark/>
          </w:tcPr>
          <w:p w14:paraId="2D3DF70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0.76</w:t>
            </w:r>
          </w:p>
        </w:tc>
        <w:tc>
          <w:tcPr>
            <w:tcW w:w="336" w:type="pct"/>
            <w:noWrap/>
            <w:hideMark/>
          </w:tcPr>
          <w:p w14:paraId="3D39F26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0.23</w:t>
            </w:r>
          </w:p>
        </w:tc>
        <w:tc>
          <w:tcPr>
            <w:tcW w:w="336" w:type="pct"/>
            <w:noWrap/>
            <w:hideMark/>
          </w:tcPr>
          <w:p w14:paraId="73160C3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0.52</w:t>
            </w:r>
          </w:p>
        </w:tc>
        <w:tc>
          <w:tcPr>
            <w:tcW w:w="336" w:type="pct"/>
            <w:noWrap/>
            <w:hideMark/>
          </w:tcPr>
          <w:p w14:paraId="2FE0C61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-0.19</w:t>
            </w:r>
          </w:p>
        </w:tc>
        <w:tc>
          <w:tcPr>
            <w:tcW w:w="336" w:type="pct"/>
            <w:noWrap/>
            <w:hideMark/>
          </w:tcPr>
          <w:p w14:paraId="5D1D693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-0.10</w:t>
            </w:r>
          </w:p>
        </w:tc>
        <w:tc>
          <w:tcPr>
            <w:tcW w:w="336" w:type="pct"/>
            <w:noWrap/>
            <w:hideMark/>
          </w:tcPr>
          <w:p w14:paraId="4C59D6D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-0.18</w:t>
            </w:r>
          </w:p>
        </w:tc>
        <w:tc>
          <w:tcPr>
            <w:tcW w:w="336" w:type="pct"/>
            <w:noWrap/>
            <w:hideMark/>
          </w:tcPr>
          <w:p w14:paraId="2D93E5F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-0.12</w:t>
            </w:r>
          </w:p>
        </w:tc>
        <w:tc>
          <w:tcPr>
            <w:tcW w:w="336" w:type="pct"/>
            <w:noWrap/>
            <w:hideMark/>
          </w:tcPr>
          <w:p w14:paraId="1DEA629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43D417B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89" w:type="pct"/>
            <w:noWrap/>
            <w:hideMark/>
          </w:tcPr>
          <w:p w14:paraId="3A9F76F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12A2C7C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3B1383B9" w14:textId="77777777" w:rsidTr="005E66E0">
        <w:trPr>
          <w:trHeight w:val="417"/>
        </w:trPr>
        <w:tc>
          <w:tcPr>
            <w:tcW w:w="1203" w:type="pct"/>
            <w:noWrap/>
            <w:hideMark/>
          </w:tcPr>
          <w:p w14:paraId="72C5A449"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HSW</w:t>
            </w:r>
          </w:p>
        </w:tc>
        <w:tc>
          <w:tcPr>
            <w:tcW w:w="336" w:type="pct"/>
            <w:noWrap/>
            <w:hideMark/>
          </w:tcPr>
          <w:p w14:paraId="233C81A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0.84</w:t>
            </w:r>
          </w:p>
        </w:tc>
        <w:tc>
          <w:tcPr>
            <w:tcW w:w="336" w:type="pct"/>
            <w:noWrap/>
            <w:hideMark/>
          </w:tcPr>
          <w:p w14:paraId="6346A45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-0.21</w:t>
            </w:r>
          </w:p>
        </w:tc>
        <w:tc>
          <w:tcPr>
            <w:tcW w:w="336" w:type="pct"/>
            <w:noWrap/>
            <w:hideMark/>
          </w:tcPr>
          <w:p w14:paraId="281B215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-0.27</w:t>
            </w:r>
          </w:p>
        </w:tc>
        <w:tc>
          <w:tcPr>
            <w:tcW w:w="336" w:type="pct"/>
            <w:noWrap/>
            <w:hideMark/>
          </w:tcPr>
          <w:p w14:paraId="33DB56A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0.06</w:t>
            </w:r>
          </w:p>
        </w:tc>
        <w:tc>
          <w:tcPr>
            <w:tcW w:w="336" w:type="pct"/>
            <w:noWrap/>
            <w:hideMark/>
          </w:tcPr>
          <w:p w14:paraId="00993B0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0.25</w:t>
            </w:r>
          </w:p>
        </w:tc>
        <w:tc>
          <w:tcPr>
            <w:tcW w:w="336" w:type="pct"/>
            <w:noWrap/>
            <w:hideMark/>
          </w:tcPr>
          <w:p w14:paraId="1179A7D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0.06</w:t>
            </w:r>
          </w:p>
        </w:tc>
        <w:tc>
          <w:tcPr>
            <w:tcW w:w="336" w:type="pct"/>
            <w:noWrap/>
            <w:hideMark/>
          </w:tcPr>
          <w:p w14:paraId="03290DC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36" w:type="pct"/>
            <w:noWrap/>
            <w:hideMark/>
          </w:tcPr>
          <w:p w14:paraId="5903018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36" w:type="pct"/>
            <w:noWrap/>
            <w:hideMark/>
          </w:tcPr>
          <w:p w14:paraId="635F1D0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0.30</w:t>
            </w:r>
          </w:p>
        </w:tc>
        <w:tc>
          <w:tcPr>
            <w:tcW w:w="389" w:type="pct"/>
            <w:noWrap/>
            <w:hideMark/>
          </w:tcPr>
          <w:p w14:paraId="52EA9C4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89" w:type="pct"/>
            <w:noWrap/>
            <w:hideMark/>
          </w:tcPr>
          <w:p w14:paraId="0D7ACCE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523DB57F" w14:textId="77777777" w:rsidTr="005E66E0">
        <w:trPr>
          <w:trHeight w:val="417"/>
        </w:trPr>
        <w:tc>
          <w:tcPr>
            <w:tcW w:w="1203" w:type="pct"/>
            <w:noWrap/>
            <w:hideMark/>
          </w:tcPr>
          <w:p w14:paraId="76B126D2"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DFPF</w:t>
            </w:r>
          </w:p>
        </w:tc>
        <w:tc>
          <w:tcPr>
            <w:tcW w:w="336" w:type="pct"/>
            <w:noWrap/>
            <w:hideMark/>
          </w:tcPr>
          <w:p w14:paraId="052B459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-0.57</w:t>
            </w:r>
          </w:p>
        </w:tc>
        <w:tc>
          <w:tcPr>
            <w:tcW w:w="336" w:type="pct"/>
            <w:noWrap/>
            <w:hideMark/>
          </w:tcPr>
          <w:p w14:paraId="6819A31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-0.11</w:t>
            </w:r>
          </w:p>
        </w:tc>
        <w:tc>
          <w:tcPr>
            <w:tcW w:w="336" w:type="pct"/>
            <w:noWrap/>
            <w:hideMark/>
          </w:tcPr>
          <w:p w14:paraId="3A91D4F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0.50</w:t>
            </w:r>
          </w:p>
        </w:tc>
        <w:tc>
          <w:tcPr>
            <w:tcW w:w="336" w:type="pct"/>
            <w:noWrap/>
            <w:hideMark/>
          </w:tcPr>
          <w:p w14:paraId="07A4B38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0.03</w:t>
            </w:r>
          </w:p>
        </w:tc>
        <w:tc>
          <w:tcPr>
            <w:tcW w:w="336" w:type="pct"/>
            <w:noWrap/>
            <w:hideMark/>
          </w:tcPr>
          <w:p w14:paraId="5487C55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0.43</w:t>
            </w:r>
          </w:p>
        </w:tc>
        <w:tc>
          <w:tcPr>
            <w:tcW w:w="336" w:type="pct"/>
            <w:noWrap/>
            <w:hideMark/>
          </w:tcPr>
          <w:p w14:paraId="77AA742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61368B9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-0.37</w:t>
            </w:r>
          </w:p>
        </w:tc>
        <w:tc>
          <w:tcPr>
            <w:tcW w:w="336" w:type="pct"/>
            <w:noWrap/>
            <w:hideMark/>
          </w:tcPr>
          <w:p w14:paraId="04967CF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0.30</w:t>
            </w:r>
          </w:p>
        </w:tc>
        <w:tc>
          <w:tcPr>
            <w:tcW w:w="336" w:type="pct"/>
            <w:noWrap/>
            <w:hideMark/>
          </w:tcPr>
          <w:p w14:paraId="1C4510C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89" w:type="pct"/>
            <w:noWrap/>
            <w:hideMark/>
          </w:tcPr>
          <w:p w14:paraId="20A0B41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50290F5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007A201A" w14:textId="77777777" w:rsidTr="005E66E0">
        <w:trPr>
          <w:trHeight w:val="417"/>
        </w:trPr>
        <w:tc>
          <w:tcPr>
            <w:tcW w:w="1203" w:type="pct"/>
            <w:noWrap/>
            <w:hideMark/>
          </w:tcPr>
          <w:p w14:paraId="2468BAE1"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DTMP</w:t>
            </w:r>
          </w:p>
        </w:tc>
        <w:tc>
          <w:tcPr>
            <w:tcW w:w="336" w:type="pct"/>
            <w:noWrap/>
            <w:hideMark/>
          </w:tcPr>
          <w:p w14:paraId="60D6193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0.19</w:t>
            </w:r>
          </w:p>
        </w:tc>
        <w:tc>
          <w:tcPr>
            <w:tcW w:w="336" w:type="pct"/>
            <w:noWrap/>
            <w:hideMark/>
          </w:tcPr>
          <w:p w14:paraId="1093084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-0.91</w:t>
            </w:r>
          </w:p>
        </w:tc>
        <w:tc>
          <w:tcPr>
            <w:tcW w:w="336" w:type="pct"/>
            <w:noWrap/>
            <w:hideMark/>
          </w:tcPr>
          <w:p w14:paraId="73B1AB2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0.25</w:t>
            </w:r>
          </w:p>
        </w:tc>
        <w:tc>
          <w:tcPr>
            <w:tcW w:w="336" w:type="pct"/>
            <w:noWrap/>
            <w:hideMark/>
          </w:tcPr>
          <w:p w14:paraId="0200518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0.11</w:t>
            </w:r>
          </w:p>
        </w:tc>
        <w:tc>
          <w:tcPr>
            <w:tcW w:w="336" w:type="pct"/>
            <w:noWrap/>
            <w:hideMark/>
          </w:tcPr>
          <w:p w14:paraId="6143CDC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-0.13</w:t>
            </w:r>
          </w:p>
        </w:tc>
        <w:tc>
          <w:tcPr>
            <w:tcW w:w="336" w:type="pct"/>
            <w:noWrap/>
            <w:hideMark/>
          </w:tcPr>
          <w:p w14:paraId="013943A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0.12</w:t>
            </w:r>
          </w:p>
        </w:tc>
        <w:tc>
          <w:tcPr>
            <w:tcW w:w="336" w:type="pct"/>
            <w:noWrap/>
            <w:hideMark/>
          </w:tcPr>
          <w:p w14:paraId="0CE6172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36" w:type="pct"/>
            <w:noWrap/>
            <w:hideMark/>
          </w:tcPr>
          <w:p w14:paraId="7213A5D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-0.10</w:t>
            </w:r>
          </w:p>
        </w:tc>
        <w:tc>
          <w:tcPr>
            <w:tcW w:w="336" w:type="pct"/>
            <w:noWrap/>
            <w:hideMark/>
          </w:tcPr>
          <w:p w14:paraId="76CEDB1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-0.04</w:t>
            </w:r>
          </w:p>
        </w:tc>
        <w:tc>
          <w:tcPr>
            <w:tcW w:w="389" w:type="pct"/>
            <w:noWrap/>
            <w:hideMark/>
          </w:tcPr>
          <w:p w14:paraId="78B74A9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-0.16</w:t>
            </w:r>
          </w:p>
        </w:tc>
        <w:tc>
          <w:tcPr>
            <w:tcW w:w="389" w:type="pct"/>
            <w:noWrap/>
            <w:hideMark/>
          </w:tcPr>
          <w:p w14:paraId="2AB5188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2C254110" w14:textId="77777777" w:rsidTr="005E66E0">
        <w:trPr>
          <w:trHeight w:val="417"/>
        </w:trPr>
        <w:tc>
          <w:tcPr>
            <w:tcW w:w="1203" w:type="pct"/>
            <w:noWrap/>
            <w:hideMark/>
          </w:tcPr>
          <w:p w14:paraId="682E35FF"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DTMC</w:t>
            </w:r>
          </w:p>
        </w:tc>
        <w:tc>
          <w:tcPr>
            <w:tcW w:w="336" w:type="pct"/>
            <w:noWrap/>
            <w:hideMark/>
          </w:tcPr>
          <w:p w14:paraId="4FDA6C7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0.21</w:t>
            </w:r>
          </w:p>
        </w:tc>
        <w:tc>
          <w:tcPr>
            <w:tcW w:w="336" w:type="pct"/>
            <w:noWrap/>
            <w:hideMark/>
          </w:tcPr>
          <w:p w14:paraId="097F63E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-0.92</w:t>
            </w:r>
          </w:p>
        </w:tc>
        <w:tc>
          <w:tcPr>
            <w:tcW w:w="336" w:type="pct"/>
            <w:noWrap/>
            <w:hideMark/>
          </w:tcPr>
          <w:p w14:paraId="77284C8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0.19</w:t>
            </w:r>
          </w:p>
        </w:tc>
        <w:tc>
          <w:tcPr>
            <w:tcW w:w="336" w:type="pct"/>
            <w:noWrap/>
            <w:hideMark/>
          </w:tcPr>
          <w:p w14:paraId="600C354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4F63B53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3F2CA89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0.20</w:t>
            </w:r>
          </w:p>
        </w:tc>
        <w:tc>
          <w:tcPr>
            <w:tcW w:w="336" w:type="pct"/>
            <w:noWrap/>
            <w:hideMark/>
          </w:tcPr>
          <w:p w14:paraId="2F4CBB5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2DBBD69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1A2349F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56D9B25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0.16</w:t>
            </w:r>
          </w:p>
        </w:tc>
        <w:tc>
          <w:tcPr>
            <w:tcW w:w="389" w:type="pct"/>
            <w:noWrap/>
            <w:hideMark/>
          </w:tcPr>
          <w:p w14:paraId="789CA2F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2163F6D9" w14:textId="77777777" w:rsidTr="005E66E0">
        <w:trPr>
          <w:trHeight w:val="417"/>
        </w:trPr>
        <w:tc>
          <w:tcPr>
            <w:tcW w:w="1203" w:type="pct"/>
            <w:noWrap/>
            <w:hideMark/>
          </w:tcPr>
          <w:p w14:paraId="2C3DE08D"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HPW</w:t>
            </w:r>
          </w:p>
        </w:tc>
        <w:tc>
          <w:tcPr>
            <w:tcW w:w="336" w:type="pct"/>
            <w:noWrap/>
            <w:hideMark/>
          </w:tcPr>
          <w:p w14:paraId="5CDC3D9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0.29</w:t>
            </w:r>
          </w:p>
        </w:tc>
        <w:tc>
          <w:tcPr>
            <w:tcW w:w="336" w:type="pct"/>
            <w:noWrap/>
            <w:hideMark/>
          </w:tcPr>
          <w:p w14:paraId="0834995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0.27</w:t>
            </w:r>
          </w:p>
        </w:tc>
        <w:tc>
          <w:tcPr>
            <w:tcW w:w="336" w:type="pct"/>
            <w:noWrap/>
            <w:hideMark/>
          </w:tcPr>
          <w:p w14:paraId="64EA4D6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-0.11</w:t>
            </w:r>
          </w:p>
        </w:tc>
        <w:tc>
          <w:tcPr>
            <w:tcW w:w="336" w:type="pct"/>
            <w:noWrap/>
            <w:hideMark/>
          </w:tcPr>
          <w:p w14:paraId="0BA8633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0.81</w:t>
            </w:r>
          </w:p>
        </w:tc>
        <w:tc>
          <w:tcPr>
            <w:tcW w:w="336" w:type="pct"/>
            <w:noWrap/>
            <w:hideMark/>
          </w:tcPr>
          <w:p w14:paraId="55F376B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-0.30</w:t>
            </w:r>
          </w:p>
        </w:tc>
        <w:tc>
          <w:tcPr>
            <w:tcW w:w="336" w:type="pct"/>
            <w:noWrap/>
            <w:hideMark/>
          </w:tcPr>
          <w:p w14:paraId="781F4C9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36" w:type="pct"/>
            <w:noWrap/>
            <w:hideMark/>
          </w:tcPr>
          <w:p w14:paraId="63C9F01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-0.29</w:t>
            </w:r>
          </w:p>
        </w:tc>
        <w:tc>
          <w:tcPr>
            <w:tcW w:w="336" w:type="pct"/>
            <w:noWrap/>
            <w:hideMark/>
          </w:tcPr>
          <w:p w14:paraId="550D1EF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0.03</w:t>
            </w:r>
          </w:p>
        </w:tc>
        <w:tc>
          <w:tcPr>
            <w:tcW w:w="336" w:type="pct"/>
            <w:noWrap/>
            <w:hideMark/>
          </w:tcPr>
          <w:p w14:paraId="7368C2F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150B64A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7121310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126157D9" w14:textId="77777777" w:rsidTr="005E66E0">
        <w:trPr>
          <w:trHeight w:val="417"/>
        </w:trPr>
        <w:tc>
          <w:tcPr>
            <w:tcW w:w="1203" w:type="pct"/>
            <w:noWrap/>
            <w:hideMark/>
          </w:tcPr>
          <w:p w14:paraId="1301B9FA"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KD</w:t>
            </w:r>
          </w:p>
        </w:tc>
        <w:tc>
          <w:tcPr>
            <w:tcW w:w="336" w:type="pct"/>
            <w:noWrap/>
            <w:hideMark/>
          </w:tcPr>
          <w:p w14:paraId="444868D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0.65</w:t>
            </w:r>
          </w:p>
        </w:tc>
        <w:tc>
          <w:tcPr>
            <w:tcW w:w="336" w:type="pct"/>
            <w:noWrap/>
            <w:hideMark/>
          </w:tcPr>
          <w:p w14:paraId="28E9C7D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2BA503A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36" w:type="pct"/>
            <w:noWrap/>
            <w:hideMark/>
          </w:tcPr>
          <w:p w14:paraId="748A41D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0.28</w:t>
            </w:r>
          </w:p>
        </w:tc>
        <w:tc>
          <w:tcPr>
            <w:tcW w:w="336" w:type="pct"/>
            <w:noWrap/>
            <w:hideMark/>
          </w:tcPr>
          <w:p w14:paraId="770C879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0.62</w:t>
            </w:r>
          </w:p>
        </w:tc>
        <w:tc>
          <w:tcPr>
            <w:tcW w:w="336" w:type="pct"/>
            <w:noWrap/>
            <w:hideMark/>
          </w:tcPr>
          <w:p w14:paraId="36BB2FA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-0.16</w:t>
            </w:r>
          </w:p>
        </w:tc>
        <w:tc>
          <w:tcPr>
            <w:tcW w:w="336" w:type="pct"/>
            <w:noWrap/>
            <w:hideMark/>
          </w:tcPr>
          <w:p w14:paraId="461F2A1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0.06</w:t>
            </w:r>
          </w:p>
        </w:tc>
        <w:tc>
          <w:tcPr>
            <w:tcW w:w="336" w:type="pct"/>
            <w:noWrap/>
            <w:hideMark/>
          </w:tcPr>
          <w:p w14:paraId="349EEF8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-0.21</w:t>
            </w:r>
          </w:p>
        </w:tc>
        <w:tc>
          <w:tcPr>
            <w:tcW w:w="336" w:type="pct"/>
            <w:noWrap/>
            <w:hideMark/>
          </w:tcPr>
          <w:p w14:paraId="5057DDD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89" w:type="pct"/>
            <w:noWrap/>
            <w:hideMark/>
          </w:tcPr>
          <w:p w14:paraId="55E66C1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03CE09F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4088191A" w14:textId="77777777" w:rsidTr="005E66E0">
        <w:trPr>
          <w:trHeight w:val="417"/>
        </w:trPr>
        <w:tc>
          <w:tcPr>
            <w:tcW w:w="1203" w:type="pct"/>
            <w:noWrap/>
            <w:hideMark/>
          </w:tcPr>
          <w:p w14:paraId="3B73D0C3"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PWT</w:t>
            </w:r>
          </w:p>
        </w:tc>
        <w:tc>
          <w:tcPr>
            <w:tcW w:w="336" w:type="pct"/>
            <w:noWrap/>
            <w:hideMark/>
          </w:tcPr>
          <w:p w14:paraId="651C93C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0.81</w:t>
            </w:r>
          </w:p>
        </w:tc>
        <w:tc>
          <w:tcPr>
            <w:tcW w:w="336" w:type="pct"/>
            <w:noWrap/>
            <w:hideMark/>
          </w:tcPr>
          <w:p w14:paraId="145DB89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-0.18</w:t>
            </w:r>
          </w:p>
        </w:tc>
        <w:tc>
          <w:tcPr>
            <w:tcW w:w="336" w:type="pct"/>
            <w:noWrap/>
            <w:hideMark/>
          </w:tcPr>
          <w:p w14:paraId="6A806D3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-0.17</w:t>
            </w:r>
          </w:p>
        </w:tc>
        <w:tc>
          <w:tcPr>
            <w:tcW w:w="336" w:type="pct"/>
            <w:noWrap/>
            <w:hideMark/>
          </w:tcPr>
          <w:p w14:paraId="5BEC00A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07E1B65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-0.14</w:t>
            </w:r>
          </w:p>
        </w:tc>
        <w:tc>
          <w:tcPr>
            <w:tcW w:w="336" w:type="pct"/>
            <w:noWrap/>
            <w:hideMark/>
          </w:tcPr>
          <w:p w14:paraId="791C55B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-0.07</w:t>
            </w:r>
          </w:p>
        </w:tc>
        <w:tc>
          <w:tcPr>
            <w:tcW w:w="336" w:type="pct"/>
            <w:noWrap/>
            <w:hideMark/>
          </w:tcPr>
          <w:p w14:paraId="4F10EC8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36" w:type="pct"/>
            <w:noWrap/>
            <w:hideMark/>
          </w:tcPr>
          <w:p w14:paraId="574DCC2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0.45</w:t>
            </w:r>
          </w:p>
        </w:tc>
        <w:tc>
          <w:tcPr>
            <w:tcW w:w="336" w:type="pct"/>
            <w:noWrap/>
            <w:hideMark/>
          </w:tcPr>
          <w:p w14:paraId="5E9D01D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-0.17</w:t>
            </w:r>
          </w:p>
        </w:tc>
        <w:tc>
          <w:tcPr>
            <w:tcW w:w="389" w:type="pct"/>
            <w:noWrap/>
            <w:hideMark/>
          </w:tcPr>
          <w:p w14:paraId="485BF4D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0ACB9E6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bl>
    <w:p w14:paraId="4037CBD1" w14:textId="77777777" w:rsidR="005E66E0" w:rsidRDefault="005E66E0" w:rsidP="005E66E0">
      <w:pPr>
        <w:rPr>
          <w:rFonts w:asciiTheme="majorBidi" w:hAnsiTheme="majorBidi" w:cstheme="majorBidi"/>
          <w:sz w:val="24"/>
          <w:szCs w:val="24"/>
        </w:rPr>
      </w:pPr>
    </w:p>
    <w:p w14:paraId="3792F4CE" w14:textId="77777777" w:rsidR="005E66E0" w:rsidRPr="00801D9A" w:rsidRDefault="005E66E0" w:rsidP="005E66E0">
      <w:pPr>
        <w:jc w:val="both"/>
        <w:rPr>
          <w:rFonts w:asciiTheme="majorBidi" w:hAnsiTheme="majorBidi" w:cstheme="majorBidi"/>
          <w:sz w:val="24"/>
          <w:szCs w:val="24"/>
        </w:rPr>
      </w:pPr>
      <w:r w:rsidRPr="00801D9A">
        <w:rPr>
          <w:rFonts w:asciiTheme="majorBidi" w:hAnsiTheme="majorBidi" w:cstheme="majorBidi"/>
          <w:sz w:val="24"/>
          <w:szCs w:val="24"/>
        </w:rPr>
        <w:t>(PH- plant height; NPPP- number of pods per plant; PYPP- pod yield per plant; PYH- pod yield per hectare; HSW- hundred seed weight; DFPF- days to fifty percent flowering; DTMP- days to maturity physiological; DTMC- days to maturity curing; HPW- hundred pod weight; KD- kernel diameter; PWT- pod wall thickness)</w:t>
      </w:r>
    </w:p>
    <w:p w14:paraId="1BC6618C" w14:textId="77777777" w:rsidR="00523265" w:rsidRDefault="00523265" w:rsidP="00571FDB">
      <w:pPr>
        <w:spacing w:line="360" w:lineRule="auto"/>
        <w:jc w:val="both"/>
        <w:rPr>
          <w:rFonts w:asciiTheme="majorBidi" w:hAnsiTheme="majorBidi" w:cstheme="majorBidi"/>
          <w:sz w:val="24"/>
          <w:szCs w:val="24"/>
        </w:rPr>
      </w:pPr>
    </w:p>
    <w:p w14:paraId="2499021E" w14:textId="77777777" w:rsidR="008A20AB" w:rsidRDefault="008A20AB" w:rsidP="008A20AB">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3.2 </w:t>
      </w:r>
      <w:r w:rsidRPr="00801D9A">
        <w:rPr>
          <w:rFonts w:asciiTheme="majorBidi" w:hAnsiTheme="majorBidi" w:cstheme="majorBidi"/>
          <w:b/>
          <w:bCs/>
          <w:sz w:val="24"/>
          <w:szCs w:val="24"/>
        </w:rPr>
        <w:t>Principal Component Analysis and Contribution of Traits to Genetic Variability</w:t>
      </w:r>
    </w:p>
    <w:p w14:paraId="1CF2EC9A" w14:textId="77777777" w:rsidR="008A20AB" w:rsidRPr="008A20AB" w:rsidRDefault="008A20AB" w:rsidP="008A20AB">
      <w:pPr>
        <w:spacing w:after="0" w:line="36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highlight w:val="yellow"/>
        </w:rPr>
        <w:t>Principal component analysis (PCA) was employed</w:t>
      </w:r>
      <w:r>
        <w:rPr>
          <w:rFonts w:asciiTheme="majorBidi" w:hAnsiTheme="majorBidi" w:cstheme="majorBidi"/>
          <w:sz w:val="24"/>
          <w:szCs w:val="24"/>
        </w:rPr>
        <w:t xml:space="preserve"> to further dissect the total variation and identify the primary traits contributing to the observed diversity. The first four significant components, all with eigenvalues greater than one, explained </w:t>
      </w:r>
      <w:r>
        <w:rPr>
          <w:rFonts w:asciiTheme="majorBidi" w:hAnsiTheme="majorBidi" w:cstheme="majorBidi"/>
          <w:sz w:val="24"/>
          <w:szCs w:val="24"/>
          <w:highlight w:val="yellow"/>
        </w:rPr>
        <w:t>76.81% of the total phenotypic variation</w:t>
      </w:r>
      <w:r>
        <w:rPr>
          <w:rFonts w:asciiTheme="majorBidi" w:hAnsiTheme="majorBidi" w:cstheme="majorBidi"/>
          <w:sz w:val="24"/>
          <w:szCs w:val="24"/>
        </w:rPr>
        <w:t xml:space="preserve"> (Table </w:t>
      </w:r>
      <w:r w:rsidR="00731125">
        <w:rPr>
          <w:rFonts w:asciiTheme="majorBidi" w:hAnsiTheme="majorBidi" w:cstheme="majorBidi"/>
          <w:sz w:val="24"/>
          <w:szCs w:val="24"/>
        </w:rPr>
        <w:t>4</w:t>
      </w:r>
      <w:r w:rsidR="00731125" w:rsidRPr="00731125">
        <w:rPr>
          <w:rFonts w:asciiTheme="majorBidi" w:hAnsiTheme="majorBidi" w:cstheme="majorBidi"/>
          <w:sz w:val="24"/>
          <w:szCs w:val="24"/>
        </w:rPr>
        <w:t xml:space="preserve">). The first principal component (PC1) alone accounted for 33.74% of the diversity and was mainly related to </w:t>
      </w:r>
      <w:r>
        <w:rPr>
          <w:rFonts w:asciiTheme="majorBidi" w:hAnsiTheme="majorBidi" w:cstheme="majorBidi"/>
          <w:sz w:val="24"/>
          <w:szCs w:val="24"/>
          <w:highlight w:val="yellow"/>
        </w:rPr>
        <w:t>hundred-seed weight</w:t>
      </w:r>
      <w:r>
        <w:rPr>
          <w:rFonts w:asciiTheme="majorBidi" w:hAnsiTheme="majorBidi" w:cstheme="majorBidi"/>
          <w:sz w:val="24"/>
          <w:szCs w:val="24"/>
        </w:rPr>
        <w:t xml:space="preserve"> (0.84), pod wall thickness (0.81), pod yield per plant (0.76), pod yield per hectare (0.76), and kernel diameter (0.65). Thus, a significant part of the differences between distinct genotypes in this population is driven by seed dimensions, pod characteristics, and overall yield components.  </w:t>
      </w:r>
      <w:r>
        <w:rPr>
          <w:rFonts w:asciiTheme="majorBidi" w:hAnsiTheme="majorBidi" w:cstheme="majorBidi"/>
          <w:sz w:val="24"/>
          <w:szCs w:val="24"/>
          <w:highlight w:val="yellow"/>
        </w:rPr>
        <w:t>The second component (PC2) contributed 20.22% of the variation</w:t>
      </w:r>
      <w:r>
        <w:rPr>
          <w:rFonts w:asciiTheme="majorBidi" w:hAnsiTheme="majorBidi" w:cstheme="majorBidi"/>
          <w:sz w:val="24"/>
          <w:szCs w:val="24"/>
        </w:rPr>
        <w:t xml:space="preserve">, featuring strong negative </w:t>
      </w:r>
      <w:r w:rsidR="00731125" w:rsidRPr="00731125">
        <w:rPr>
          <w:rFonts w:asciiTheme="majorBidi" w:hAnsiTheme="majorBidi" w:cstheme="majorBidi"/>
          <w:sz w:val="24"/>
          <w:szCs w:val="24"/>
        </w:rPr>
        <w:t xml:space="preserve">loadings for days to </w:t>
      </w:r>
      <w:r w:rsidR="00731125" w:rsidRPr="00731125">
        <w:rPr>
          <w:rFonts w:asciiTheme="majorBidi" w:hAnsiTheme="majorBidi" w:cstheme="majorBidi"/>
          <w:sz w:val="24"/>
          <w:szCs w:val="24"/>
        </w:rPr>
        <w:lastRenderedPageBreak/>
        <w:t xml:space="preserve">maturity curing (-0.92) and days to maturity physiological (-0.91), alongside a positive loading for the number of pods per plant (0.46). </w:t>
      </w:r>
      <w:r>
        <w:rPr>
          <w:rFonts w:asciiTheme="majorBidi" w:hAnsiTheme="majorBidi" w:cstheme="majorBidi"/>
          <w:sz w:val="24"/>
          <w:szCs w:val="24"/>
          <w:highlight w:val="yellow"/>
        </w:rPr>
        <w:t>This component appeared to reflect</w:t>
      </w:r>
      <w:r>
        <w:rPr>
          <w:rFonts w:asciiTheme="majorBidi" w:hAnsiTheme="majorBidi" w:cstheme="majorBidi"/>
          <w:sz w:val="24"/>
          <w:szCs w:val="24"/>
        </w:rPr>
        <w:t xml:space="preserve"> a biological trend primarily driven by the timing of crop maturity. </w:t>
      </w:r>
      <w:r>
        <w:rPr>
          <w:rFonts w:asciiTheme="majorBidi" w:hAnsiTheme="majorBidi" w:cstheme="majorBidi"/>
          <w:sz w:val="24"/>
          <w:szCs w:val="24"/>
          <w:highlight w:val="yellow"/>
        </w:rPr>
        <w:t>Finally, the third (PC3) and fourth components (PC4)</w:t>
      </w:r>
      <w:r>
        <w:rPr>
          <w:rFonts w:asciiTheme="majorBidi" w:hAnsiTheme="majorBidi" w:cstheme="majorBidi"/>
          <w:sz w:val="24"/>
          <w:szCs w:val="24"/>
        </w:rPr>
        <w:t xml:space="preserve"> contributed an additional 13.66% and 9.18%, respectively. The major indicators in PC3 were the number of pods per plant (0.57), pod yield per hectare (0.52), and pod yield per plant (0.52), while the major contributor in PC4 was </w:t>
      </w:r>
      <w:r w:rsidR="00731125">
        <w:rPr>
          <w:rFonts w:asciiTheme="majorBidi" w:hAnsiTheme="majorBidi" w:cstheme="majorBidi"/>
          <w:sz w:val="24"/>
          <w:szCs w:val="24"/>
        </w:rPr>
        <w:t>hundred-pod</w:t>
      </w:r>
      <w:r w:rsidR="00731125" w:rsidRPr="00731125">
        <w:rPr>
          <w:rFonts w:asciiTheme="majorBidi" w:hAnsiTheme="majorBidi" w:cstheme="majorBidi"/>
          <w:sz w:val="24"/>
          <w:szCs w:val="24"/>
        </w:rPr>
        <w:t xml:space="preserve"> weight (0.81).</w:t>
      </w:r>
    </w:p>
    <w:p w14:paraId="2E6B9029" w14:textId="77777777" w:rsidR="008A20AB" w:rsidRPr="00801D9A" w:rsidRDefault="00B27D92" w:rsidP="008A20AB">
      <w:pPr>
        <w:tabs>
          <w:tab w:val="left" w:pos="2740"/>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B27D92">
        <w:rPr>
          <w:rFonts w:asciiTheme="majorBidi" w:hAnsiTheme="majorBidi" w:cstheme="majorBidi"/>
          <w:sz w:val="24"/>
          <w:szCs w:val="24"/>
        </w:rPr>
        <w:t xml:space="preserve">The PCA biplot (Fig. </w:t>
      </w:r>
      <w:r w:rsidR="00E72783">
        <w:rPr>
          <w:rFonts w:asciiTheme="majorBidi" w:hAnsiTheme="majorBidi" w:cstheme="majorBidi"/>
          <w:sz w:val="24"/>
          <w:szCs w:val="24"/>
        </w:rPr>
        <w:t>2</w:t>
      </w:r>
      <w:r w:rsidRPr="00B27D92">
        <w:rPr>
          <w:rFonts w:asciiTheme="majorBidi" w:hAnsiTheme="majorBidi" w:cstheme="majorBidi"/>
          <w:sz w:val="24"/>
          <w:szCs w:val="24"/>
        </w:rPr>
        <w:t xml:space="preserve">) </w:t>
      </w:r>
      <w:r>
        <w:rPr>
          <w:rFonts w:asciiTheme="majorBidi" w:hAnsiTheme="majorBidi" w:cstheme="majorBidi"/>
          <w:sz w:val="24"/>
          <w:szCs w:val="24"/>
          <w:highlight w:val="yellow"/>
        </w:rPr>
        <w:t>illustrated the divergence among genotypes</w:t>
      </w:r>
      <w:r>
        <w:rPr>
          <w:rFonts w:asciiTheme="majorBidi" w:hAnsiTheme="majorBidi" w:cstheme="majorBidi"/>
          <w:sz w:val="24"/>
          <w:szCs w:val="24"/>
        </w:rPr>
        <w:t xml:space="preserve"> and illustrated the relationships between different traits. Vectors for pod yield per hectare, pod yield per plant, hundred-seed</w:t>
      </w:r>
      <w:r w:rsidRPr="00B27D92">
        <w:rPr>
          <w:rFonts w:asciiTheme="majorBidi" w:hAnsiTheme="majorBidi" w:cstheme="majorBidi"/>
          <w:sz w:val="24"/>
          <w:szCs w:val="24"/>
        </w:rPr>
        <w:t xml:space="preserve"> weight, pod wall thickness, and kernel diameter were clustered closely together along the positive axis of PC1, indicating high positive correlations among these variables. The vector for days to fifty </w:t>
      </w:r>
      <w:r>
        <w:rPr>
          <w:rFonts w:asciiTheme="majorBidi" w:hAnsiTheme="majorBidi" w:cstheme="majorBidi"/>
          <w:sz w:val="24"/>
          <w:szCs w:val="24"/>
        </w:rPr>
        <w:t>per cent</w:t>
      </w:r>
      <w:r w:rsidRPr="00B27D92">
        <w:rPr>
          <w:rFonts w:asciiTheme="majorBidi" w:hAnsiTheme="majorBidi" w:cstheme="majorBidi"/>
          <w:sz w:val="24"/>
          <w:szCs w:val="24"/>
        </w:rPr>
        <w:t xml:space="preserve"> flowering was positioned opposite to major yield and seed traits, indicating that earlier-flowering genotypes tend to exhibit higher productivity characteristics. Additionally, vectors for physiological and curing maturity were strongly aligned along the negative axis of PC2. </w:t>
      </w:r>
      <w:r>
        <w:rPr>
          <w:rFonts w:asciiTheme="majorBidi" w:hAnsiTheme="majorBidi" w:cstheme="majorBidi"/>
          <w:sz w:val="24"/>
          <w:szCs w:val="24"/>
          <w:highlight w:val="yellow"/>
        </w:rPr>
        <w:t>The evaluated phenological and yield-related traits yielded four PCs with eigenvalues of 1 or above.</w:t>
      </w:r>
      <w:r w:rsidRPr="00B27D92">
        <w:rPr>
          <w:rFonts w:asciiTheme="majorBidi" w:hAnsiTheme="majorBidi" w:cstheme="majorBidi"/>
          <w:sz w:val="24"/>
          <w:szCs w:val="24"/>
        </w:rPr>
        <w:t xml:space="preserve"> The analysis showed the predominance of pod, seed, and yield traits in PC1. </w:t>
      </w:r>
      <w:r>
        <w:rPr>
          <w:rFonts w:asciiTheme="majorBidi" w:hAnsiTheme="majorBidi" w:cstheme="majorBidi"/>
          <w:sz w:val="24"/>
          <w:szCs w:val="24"/>
          <w:highlight w:val="yellow"/>
        </w:rPr>
        <w:t>Identifying these contributors, including yield, pod characteristics, and phenological timing, may help breeders target traits when exploiting genetic diversity for crop improvement.</w:t>
      </w:r>
    </w:p>
    <w:p w14:paraId="6F8641EB" w14:textId="77777777" w:rsidR="008A20AB" w:rsidRDefault="007D61CE" w:rsidP="008A20AB">
      <w:pPr>
        <w:spacing w:line="36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highlight w:val="yellow"/>
        </w:rPr>
        <w:t>Similar results have been reported in previous groundnut studies.</w:t>
      </w:r>
      <w:r w:rsidRPr="007D61CE">
        <w:rPr>
          <w:rFonts w:asciiTheme="majorBidi" w:hAnsiTheme="majorBidi" w:cstheme="majorBidi"/>
          <w:sz w:val="24"/>
          <w:szCs w:val="24"/>
        </w:rPr>
        <w:t xml:space="preserve"> These studies included phenological, yield-attributing and quality traits, </w:t>
      </w:r>
      <w:r>
        <w:rPr>
          <w:rFonts w:asciiTheme="majorBidi" w:hAnsiTheme="majorBidi" w:cstheme="majorBidi"/>
          <w:sz w:val="24"/>
          <w:szCs w:val="24"/>
          <w:highlight w:val="yellow"/>
        </w:rPr>
        <w:t>and identified several PCs</w:t>
      </w:r>
      <w:r>
        <w:rPr>
          <w:rFonts w:asciiTheme="majorBidi" w:hAnsiTheme="majorBidi" w:cstheme="majorBidi"/>
          <w:sz w:val="24"/>
          <w:szCs w:val="24"/>
        </w:rPr>
        <w:t xml:space="preserve"> with eigenvalues of one and above because of the diversity within the data. Three PCs with eigenvalues above one, together explaining 67.23% of the variability among 46 genotypes, were reported by Vinothini </w:t>
      </w:r>
      <w:r w:rsidRPr="007D61CE">
        <w:rPr>
          <w:rFonts w:asciiTheme="majorBidi" w:hAnsiTheme="majorBidi" w:cstheme="majorBidi"/>
          <w:i/>
          <w:iCs/>
          <w:sz w:val="24"/>
          <w:szCs w:val="24"/>
        </w:rPr>
        <w:t>et al.</w:t>
      </w:r>
      <w:r w:rsidRPr="007D61CE">
        <w:rPr>
          <w:rFonts w:asciiTheme="majorBidi" w:hAnsiTheme="majorBidi" w:cstheme="majorBidi"/>
          <w:sz w:val="24"/>
          <w:szCs w:val="24"/>
        </w:rPr>
        <w:t xml:space="preserve"> (2023). Ali </w:t>
      </w:r>
      <w:r w:rsidRPr="007D61CE">
        <w:rPr>
          <w:rFonts w:asciiTheme="majorBidi" w:hAnsiTheme="majorBidi" w:cstheme="majorBidi"/>
          <w:i/>
          <w:iCs/>
          <w:sz w:val="24"/>
          <w:szCs w:val="24"/>
        </w:rPr>
        <w:t>et al</w:t>
      </w:r>
      <w:r w:rsidRPr="007D61CE">
        <w:rPr>
          <w:rFonts w:asciiTheme="majorBidi" w:hAnsiTheme="majorBidi" w:cstheme="majorBidi"/>
          <w:sz w:val="24"/>
          <w:szCs w:val="24"/>
        </w:rPr>
        <w:t>. (2022)</w:t>
      </w:r>
      <w:r>
        <w:rPr>
          <w:rFonts w:asciiTheme="majorBidi" w:hAnsiTheme="majorBidi" w:cstheme="majorBidi"/>
          <w:sz w:val="24"/>
          <w:szCs w:val="24"/>
        </w:rPr>
        <w:t xml:space="preserve"> </w:t>
      </w:r>
      <w:r w:rsidRPr="007D61CE">
        <w:rPr>
          <w:rFonts w:asciiTheme="majorBidi" w:hAnsiTheme="majorBidi" w:cstheme="majorBidi"/>
          <w:sz w:val="24"/>
          <w:szCs w:val="24"/>
        </w:rPr>
        <w:t xml:space="preserve">obtained five PCs with eigenvalues above one, contributing about 71.83% of the total variation, with PC1 dominated by pod weight per plant, </w:t>
      </w:r>
      <w:r>
        <w:rPr>
          <w:rFonts w:asciiTheme="majorBidi" w:hAnsiTheme="majorBidi" w:cstheme="majorBidi"/>
          <w:sz w:val="24"/>
          <w:szCs w:val="24"/>
          <w:highlight w:val="yellow"/>
        </w:rPr>
        <w:t>grain weight per plant, and number of pods per plant</w:t>
      </w:r>
      <w:r>
        <w:rPr>
          <w:rFonts w:asciiTheme="majorBidi" w:hAnsiTheme="majorBidi" w:cstheme="majorBidi"/>
          <w:sz w:val="24"/>
          <w:szCs w:val="24"/>
        </w:rPr>
        <w:t xml:space="preserve">. </w:t>
      </w:r>
      <w:r>
        <w:rPr>
          <w:rFonts w:asciiTheme="majorBidi" w:hAnsiTheme="majorBidi" w:cstheme="majorBidi"/>
          <w:sz w:val="24"/>
          <w:szCs w:val="24"/>
          <w:highlight w:val="yellow"/>
        </w:rPr>
        <w:t>This is consistent with the predominance</w:t>
      </w:r>
      <w:r>
        <w:rPr>
          <w:rFonts w:asciiTheme="majorBidi" w:hAnsiTheme="majorBidi" w:cstheme="majorBidi"/>
          <w:sz w:val="24"/>
          <w:szCs w:val="24"/>
        </w:rPr>
        <w:t xml:space="preserve"> of pod, seed and yield traits in PC1 of the present study. Niveditha </w:t>
      </w:r>
      <w:r w:rsidRPr="007D61CE">
        <w:rPr>
          <w:rFonts w:asciiTheme="majorBidi" w:hAnsiTheme="majorBidi" w:cstheme="majorBidi"/>
          <w:i/>
          <w:iCs/>
          <w:sz w:val="24"/>
          <w:szCs w:val="24"/>
        </w:rPr>
        <w:t>et al</w:t>
      </w:r>
      <w:r w:rsidRPr="007D61CE">
        <w:rPr>
          <w:rFonts w:asciiTheme="majorBidi" w:hAnsiTheme="majorBidi" w:cstheme="majorBidi"/>
          <w:sz w:val="24"/>
          <w:szCs w:val="24"/>
        </w:rPr>
        <w:t>. (2016)</w:t>
      </w:r>
      <w:r>
        <w:rPr>
          <w:rFonts w:asciiTheme="majorBidi" w:hAnsiTheme="majorBidi" w:cstheme="majorBidi"/>
          <w:sz w:val="24"/>
          <w:szCs w:val="24"/>
        </w:rPr>
        <w:t xml:space="preserve"> </w:t>
      </w:r>
      <w:r w:rsidRPr="007D61CE">
        <w:rPr>
          <w:rFonts w:asciiTheme="majorBidi" w:hAnsiTheme="majorBidi" w:cstheme="majorBidi"/>
          <w:sz w:val="24"/>
          <w:szCs w:val="24"/>
        </w:rPr>
        <w:t xml:space="preserve">reported five PCs with eigenvalues above one, accounting for 71.46% of the total variability, and PC1 was positively associated with pod yield per plant, number of filled pods per plant, kernel yield and days to 50% flowering. Similarly, Sudhir </w:t>
      </w:r>
      <w:r w:rsidRPr="007D61CE">
        <w:rPr>
          <w:rFonts w:asciiTheme="majorBidi" w:hAnsiTheme="majorBidi" w:cstheme="majorBidi"/>
          <w:i/>
          <w:iCs/>
          <w:sz w:val="24"/>
          <w:szCs w:val="24"/>
        </w:rPr>
        <w:t>et al</w:t>
      </w:r>
      <w:r w:rsidRPr="007D61CE">
        <w:rPr>
          <w:rFonts w:asciiTheme="majorBidi" w:hAnsiTheme="majorBidi" w:cstheme="majorBidi"/>
          <w:sz w:val="24"/>
          <w:szCs w:val="24"/>
        </w:rPr>
        <w:t>. (2010)</w:t>
      </w:r>
      <w:r>
        <w:rPr>
          <w:rFonts w:asciiTheme="majorBidi" w:hAnsiTheme="majorBidi" w:cstheme="majorBidi"/>
          <w:sz w:val="24"/>
          <w:szCs w:val="24"/>
        </w:rPr>
        <w:t xml:space="preserve"> </w:t>
      </w:r>
      <w:r w:rsidRPr="007D61CE">
        <w:rPr>
          <w:rFonts w:asciiTheme="majorBidi" w:hAnsiTheme="majorBidi" w:cstheme="majorBidi"/>
          <w:sz w:val="24"/>
          <w:szCs w:val="24"/>
        </w:rPr>
        <w:t>observed that the first principal component gave high positive weight to pod yield per plant and kernel yield per plant.</w:t>
      </w:r>
    </w:p>
    <w:p w14:paraId="0C9BCA16" w14:textId="77777777" w:rsidR="0078107F" w:rsidRDefault="0078107F" w:rsidP="0078107F">
      <w:pPr>
        <w:spacing w:line="360" w:lineRule="auto"/>
        <w:rPr>
          <w:rFonts w:asciiTheme="majorBidi" w:hAnsiTheme="majorBidi" w:cstheme="majorBidi"/>
          <w:b/>
          <w:bCs/>
          <w:sz w:val="24"/>
          <w:szCs w:val="24"/>
        </w:rPr>
      </w:pPr>
    </w:p>
    <w:p w14:paraId="4FA46F41" w14:textId="77777777" w:rsidR="00767D37" w:rsidRDefault="00C63A97" w:rsidP="00767D37">
      <w:pPr>
        <w:spacing w:line="360" w:lineRule="auto"/>
        <w:rPr>
          <w:rFonts w:asciiTheme="majorBidi" w:hAnsiTheme="majorBidi" w:cstheme="majorBidi"/>
          <w:b/>
          <w:bCs/>
          <w:sz w:val="24"/>
          <w:szCs w:val="24"/>
        </w:rPr>
      </w:pPr>
      <w:r w:rsidRPr="0078107F">
        <w:rPr>
          <w:b/>
          <w:bCs/>
          <w:noProof/>
        </w:rPr>
        <w:lastRenderedPageBreak/>
        <w:drawing>
          <wp:anchor distT="0" distB="0" distL="114300" distR="114300" simplePos="0" relativeHeight="251660288" behindDoc="0" locked="0" layoutInCell="1" allowOverlap="1" wp14:anchorId="4EFFF916" wp14:editId="07DEA5AD">
            <wp:simplePos x="0" y="0"/>
            <wp:positionH relativeFrom="margin">
              <wp:align>center</wp:align>
            </wp:positionH>
            <wp:positionV relativeFrom="paragraph">
              <wp:posOffset>19050</wp:posOffset>
            </wp:positionV>
            <wp:extent cx="4963795" cy="4232910"/>
            <wp:effectExtent l="19050" t="19050" r="27305" b="15240"/>
            <wp:wrapSquare wrapText="bothSides"/>
            <wp:docPr id="910688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9298" r="20232"/>
                    <a:stretch>
                      <a:fillRect/>
                    </a:stretch>
                  </pic:blipFill>
                  <pic:spPr bwMode="auto">
                    <a:xfrm>
                      <a:off x="0" y="0"/>
                      <a:ext cx="4963795" cy="423291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4CF278" w14:textId="77777777" w:rsidR="00C63A97" w:rsidRDefault="00C63A97" w:rsidP="00C63A97">
      <w:pPr>
        <w:spacing w:line="360" w:lineRule="auto"/>
        <w:jc w:val="both"/>
        <w:rPr>
          <w:rFonts w:asciiTheme="majorBidi" w:hAnsiTheme="majorBidi" w:cstheme="majorBidi"/>
          <w:b/>
          <w:bCs/>
          <w:sz w:val="24"/>
          <w:szCs w:val="24"/>
        </w:rPr>
      </w:pPr>
    </w:p>
    <w:p w14:paraId="0CFEC7FA" w14:textId="77777777" w:rsidR="00C63A97" w:rsidRDefault="00C63A97" w:rsidP="00C63A97">
      <w:pPr>
        <w:spacing w:line="360" w:lineRule="auto"/>
        <w:jc w:val="both"/>
        <w:rPr>
          <w:rFonts w:asciiTheme="majorBidi" w:hAnsiTheme="majorBidi" w:cstheme="majorBidi"/>
          <w:b/>
          <w:bCs/>
          <w:sz w:val="24"/>
          <w:szCs w:val="24"/>
        </w:rPr>
      </w:pPr>
    </w:p>
    <w:p w14:paraId="254A8854" w14:textId="77777777" w:rsidR="00C63A97" w:rsidRDefault="00C63A97" w:rsidP="00C63A97">
      <w:pPr>
        <w:spacing w:line="360" w:lineRule="auto"/>
        <w:jc w:val="both"/>
        <w:rPr>
          <w:rFonts w:asciiTheme="majorBidi" w:hAnsiTheme="majorBidi" w:cstheme="majorBidi"/>
          <w:b/>
          <w:bCs/>
          <w:sz w:val="24"/>
          <w:szCs w:val="24"/>
        </w:rPr>
      </w:pPr>
    </w:p>
    <w:p w14:paraId="375CD56F" w14:textId="77777777" w:rsidR="00C63A97" w:rsidRDefault="00C63A97" w:rsidP="00C63A97">
      <w:pPr>
        <w:spacing w:line="360" w:lineRule="auto"/>
        <w:jc w:val="both"/>
        <w:rPr>
          <w:rFonts w:asciiTheme="majorBidi" w:hAnsiTheme="majorBidi" w:cstheme="majorBidi"/>
          <w:b/>
          <w:bCs/>
          <w:sz w:val="24"/>
          <w:szCs w:val="24"/>
        </w:rPr>
      </w:pPr>
    </w:p>
    <w:p w14:paraId="7F74D1C5" w14:textId="77777777" w:rsidR="00C63A97" w:rsidRDefault="00C63A97" w:rsidP="00C63A97">
      <w:pPr>
        <w:spacing w:line="360" w:lineRule="auto"/>
        <w:jc w:val="both"/>
        <w:rPr>
          <w:rFonts w:asciiTheme="majorBidi" w:hAnsiTheme="majorBidi" w:cstheme="majorBidi"/>
          <w:b/>
          <w:bCs/>
          <w:sz w:val="24"/>
          <w:szCs w:val="24"/>
        </w:rPr>
      </w:pPr>
    </w:p>
    <w:p w14:paraId="3FA07996" w14:textId="77777777" w:rsidR="00C63A97" w:rsidRDefault="00C63A97" w:rsidP="00C63A97">
      <w:pPr>
        <w:spacing w:line="360" w:lineRule="auto"/>
        <w:jc w:val="both"/>
        <w:rPr>
          <w:rFonts w:asciiTheme="majorBidi" w:hAnsiTheme="majorBidi" w:cstheme="majorBidi"/>
          <w:b/>
          <w:bCs/>
          <w:sz w:val="24"/>
          <w:szCs w:val="24"/>
        </w:rPr>
      </w:pPr>
    </w:p>
    <w:p w14:paraId="0A65559F" w14:textId="77777777" w:rsidR="00C63A97" w:rsidRDefault="00C63A97" w:rsidP="00C63A97">
      <w:pPr>
        <w:spacing w:line="360" w:lineRule="auto"/>
        <w:jc w:val="both"/>
        <w:rPr>
          <w:rFonts w:asciiTheme="majorBidi" w:hAnsiTheme="majorBidi" w:cstheme="majorBidi"/>
          <w:b/>
          <w:bCs/>
          <w:sz w:val="24"/>
          <w:szCs w:val="24"/>
        </w:rPr>
      </w:pPr>
    </w:p>
    <w:p w14:paraId="6C927E57" w14:textId="77777777" w:rsidR="00C63A97" w:rsidRDefault="00C63A97" w:rsidP="00C63A97">
      <w:pPr>
        <w:spacing w:line="360" w:lineRule="auto"/>
        <w:jc w:val="both"/>
        <w:rPr>
          <w:rFonts w:asciiTheme="majorBidi" w:hAnsiTheme="majorBidi" w:cstheme="majorBidi"/>
          <w:b/>
          <w:bCs/>
          <w:sz w:val="24"/>
          <w:szCs w:val="24"/>
        </w:rPr>
      </w:pPr>
    </w:p>
    <w:p w14:paraId="4B05B7AE" w14:textId="77777777" w:rsidR="00C63A97" w:rsidRDefault="00C63A97" w:rsidP="00C63A97">
      <w:pPr>
        <w:spacing w:line="360" w:lineRule="auto"/>
        <w:jc w:val="both"/>
        <w:rPr>
          <w:rFonts w:asciiTheme="majorBidi" w:hAnsiTheme="majorBidi" w:cstheme="majorBidi"/>
          <w:b/>
          <w:bCs/>
          <w:sz w:val="24"/>
          <w:szCs w:val="24"/>
        </w:rPr>
      </w:pPr>
    </w:p>
    <w:p w14:paraId="35647397" w14:textId="77777777" w:rsidR="00C63A97" w:rsidRDefault="00C63A97" w:rsidP="00C63A97">
      <w:pPr>
        <w:spacing w:line="360" w:lineRule="auto"/>
        <w:jc w:val="both"/>
        <w:rPr>
          <w:rFonts w:asciiTheme="majorBidi" w:hAnsiTheme="majorBidi" w:cstheme="majorBidi"/>
          <w:b/>
          <w:bCs/>
          <w:sz w:val="24"/>
          <w:szCs w:val="24"/>
        </w:rPr>
      </w:pPr>
    </w:p>
    <w:p w14:paraId="69B3387A" w14:textId="77777777" w:rsidR="00C63A97" w:rsidRDefault="00C63A97" w:rsidP="00C63A97">
      <w:pPr>
        <w:spacing w:line="360" w:lineRule="auto"/>
        <w:jc w:val="both"/>
        <w:rPr>
          <w:rFonts w:asciiTheme="majorBidi" w:hAnsiTheme="majorBidi" w:cstheme="majorBidi"/>
          <w:b/>
          <w:bCs/>
          <w:sz w:val="24"/>
          <w:szCs w:val="24"/>
        </w:rPr>
      </w:pPr>
      <w:r w:rsidRPr="00801D9A">
        <w:rPr>
          <w:rFonts w:asciiTheme="majorBidi" w:hAnsiTheme="majorBidi" w:cstheme="majorBidi"/>
          <w:noProof/>
          <w:sz w:val="24"/>
          <w:szCs w:val="24"/>
        </w:rPr>
        <w:drawing>
          <wp:anchor distT="0" distB="0" distL="114300" distR="114300" simplePos="0" relativeHeight="251661312" behindDoc="0" locked="0" layoutInCell="1" allowOverlap="1" wp14:anchorId="7156069F" wp14:editId="11AFAE5B">
            <wp:simplePos x="0" y="0"/>
            <wp:positionH relativeFrom="margin">
              <wp:align>left</wp:align>
            </wp:positionH>
            <wp:positionV relativeFrom="paragraph">
              <wp:posOffset>350520</wp:posOffset>
            </wp:positionV>
            <wp:extent cx="5668645" cy="3265170"/>
            <wp:effectExtent l="19050" t="19050" r="27305" b="11430"/>
            <wp:wrapSquare wrapText="bothSides"/>
            <wp:docPr id="2093294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8645" cy="326517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1B8A8B3F" w14:textId="77777777" w:rsidR="00C63A97" w:rsidRDefault="00C63A97" w:rsidP="00C63A97">
      <w:pPr>
        <w:spacing w:line="360" w:lineRule="auto"/>
        <w:jc w:val="both"/>
        <w:rPr>
          <w:rFonts w:asciiTheme="majorBidi" w:hAnsiTheme="majorBidi" w:cstheme="majorBidi"/>
          <w:b/>
          <w:bCs/>
          <w:sz w:val="24"/>
          <w:szCs w:val="24"/>
        </w:rPr>
      </w:pPr>
    </w:p>
    <w:p w14:paraId="2D0CAB15" w14:textId="77777777" w:rsidR="00C63A97" w:rsidRDefault="0078107F" w:rsidP="00C63A97">
      <w:pPr>
        <w:spacing w:line="360" w:lineRule="auto"/>
        <w:jc w:val="both"/>
        <w:rPr>
          <w:rFonts w:asciiTheme="majorBidi" w:hAnsiTheme="majorBidi" w:cstheme="majorBidi"/>
          <w:b/>
          <w:bCs/>
          <w:sz w:val="24"/>
          <w:szCs w:val="24"/>
        </w:rPr>
      </w:pPr>
      <w:r w:rsidRPr="0078107F">
        <w:rPr>
          <w:rFonts w:asciiTheme="majorBidi" w:hAnsiTheme="majorBidi" w:cstheme="majorBidi"/>
          <w:b/>
          <w:bCs/>
          <w:sz w:val="24"/>
          <w:szCs w:val="24"/>
        </w:rPr>
        <w:t xml:space="preserve">Fig. </w:t>
      </w:r>
      <w:r w:rsidR="00E72783">
        <w:rPr>
          <w:rFonts w:asciiTheme="majorBidi" w:hAnsiTheme="majorBidi" w:cstheme="majorBidi"/>
          <w:b/>
          <w:bCs/>
          <w:sz w:val="24"/>
          <w:szCs w:val="24"/>
        </w:rPr>
        <w:t>2</w:t>
      </w:r>
      <w:r w:rsidRPr="0078107F">
        <w:rPr>
          <w:rFonts w:asciiTheme="majorBidi" w:hAnsiTheme="majorBidi" w:cstheme="majorBidi"/>
          <w:b/>
          <w:bCs/>
          <w:sz w:val="24"/>
          <w:szCs w:val="24"/>
        </w:rPr>
        <w:t>. Biplot showing distribution of traits and genotypes across the principal component</w:t>
      </w:r>
    </w:p>
    <w:p w14:paraId="5A0C0B23" w14:textId="77777777" w:rsidR="00C63A97" w:rsidRDefault="00C63A97" w:rsidP="00C63A97">
      <w:pPr>
        <w:spacing w:line="360" w:lineRule="auto"/>
        <w:jc w:val="both"/>
        <w:rPr>
          <w:rFonts w:asciiTheme="majorBidi" w:hAnsiTheme="majorBidi" w:cstheme="majorBidi"/>
          <w:b/>
          <w:bCs/>
          <w:sz w:val="24"/>
          <w:szCs w:val="24"/>
        </w:rPr>
      </w:pPr>
    </w:p>
    <w:p w14:paraId="1B1414A2" w14:textId="77777777" w:rsidR="00ED49C5" w:rsidRDefault="00ED49C5" w:rsidP="0078107F">
      <w:pPr>
        <w:spacing w:line="360" w:lineRule="auto"/>
        <w:rPr>
          <w:rFonts w:asciiTheme="majorBidi" w:hAnsiTheme="majorBidi" w:cstheme="majorBidi"/>
          <w:b/>
          <w:bCs/>
          <w:sz w:val="24"/>
          <w:szCs w:val="24"/>
        </w:rPr>
      </w:pPr>
      <w:r>
        <w:rPr>
          <w:rFonts w:asciiTheme="majorBidi" w:hAnsiTheme="majorBidi" w:cstheme="majorBidi"/>
          <w:b/>
          <w:bCs/>
          <w:sz w:val="24"/>
          <w:szCs w:val="24"/>
        </w:rPr>
        <w:lastRenderedPageBreak/>
        <w:t xml:space="preserve">4. Conclusion </w:t>
      </w:r>
    </w:p>
    <w:p w14:paraId="6C68594D" w14:textId="77777777" w:rsidR="002A3985" w:rsidRDefault="002A3985" w:rsidP="007245E1">
      <w:pPr>
        <w:spacing w:line="360" w:lineRule="auto"/>
        <w:jc w:val="both"/>
        <w:rPr>
          <w:rFonts w:asciiTheme="majorBidi" w:hAnsiTheme="majorBidi" w:cstheme="majorBidi"/>
          <w:sz w:val="24"/>
          <w:szCs w:val="24"/>
        </w:rPr>
      </w:pPr>
      <w:r w:rsidRPr="007245E1">
        <w:rPr>
          <w:rFonts w:asciiTheme="majorBidi" w:hAnsiTheme="majorBidi" w:cstheme="majorBidi"/>
          <w:sz w:val="24"/>
          <w:szCs w:val="24"/>
        </w:rPr>
        <w:tab/>
      </w:r>
      <w:r w:rsidR="007245E1" w:rsidRPr="007245E1">
        <w:rPr>
          <w:rFonts w:asciiTheme="majorBidi" w:hAnsiTheme="majorBidi" w:cstheme="majorBidi"/>
          <w:sz w:val="24"/>
          <w:szCs w:val="24"/>
        </w:rPr>
        <w:t>The multivariate evaluation of 35 groundnut (</w:t>
      </w:r>
      <w:r w:rsidR="007245E1" w:rsidRPr="007245E1">
        <w:rPr>
          <w:rFonts w:asciiTheme="majorBidi" w:hAnsiTheme="majorBidi" w:cstheme="majorBidi"/>
          <w:i/>
          <w:iCs/>
          <w:sz w:val="24"/>
          <w:szCs w:val="24"/>
        </w:rPr>
        <w:t>Arachis hypogaea</w:t>
      </w:r>
      <w:r w:rsidR="007245E1" w:rsidRPr="007245E1">
        <w:rPr>
          <w:rFonts w:asciiTheme="majorBidi" w:hAnsiTheme="majorBidi" w:cstheme="majorBidi"/>
          <w:sz w:val="24"/>
          <w:szCs w:val="24"/>
        </w:rPr>
        <w:t xml:space="preserve"> L.) </w:t>
      </w:r>
      <w:r w:rsidR="007245E1">
        <w:rPr>
          <w:rFonts w:asciiTheme="majorBidi" w:hAnsiTheme="majorBidi" w:cstheme="majorBidi"/>
          <w:sz w:val="24"/>
          <w:szCs w:val="24"/>
        </w:rPr>
        <w:t xml:space="preserve">genotypes </w:t>
      </w:r>
      <w:r w:rsidR="007245E1" w:rsidRPr="007245E1">
        <w:rPr>
          <w:rFonts w:asciiTheme="majorBidi" w:hAnsiTheme="majorBidi" w:cstheme="majorBidi"/>
          <w:sz w:val="24"/>
          <w:szCs w:val="24"/>
        </w:rPr>
        <w:t xml:space="preserve">revealed substantial phenotypic and genetic diversity across morpho-agronomic, phenological, and yield attributes. Hierarchical cluster analysis resolved the </w:t>
      </w:r>
      <w:r w:rsidR="007245E1">
        <w:rPr>
          <w:rFonts w:asciiTheme="majorBidi" w:hAnsiTheme="majorBidi" w:cstheme="majorBidi"/>
          <w:sz w:val="24"/>
          <w:szCs w:val="24"/>
        </w:rPr>
        <w:t>genotypes</w:t>
      </w:r>
      <w:r w:rsidR="007245E1" w:rsidRPr="007245E1">
        <w:rPr>
          <w:rFonts w:asciiTheme="majorBidi" w:hAnsiTheme="majorBidi" w:cstheme="majorBidi"/>
          <w:sz w:val="24"/>
          <w:szCs w:val="24"/>
        </w:rPr>
        <w:t xml:space="preserve"> into four distinct groups, </w:t>
      </w:r>
      <w:r>
        <w:rPr>
          <w:rFonts w:asciiTheme="majorBidi" w:hAnsiTheme="majorBidi" w:cstheme="majorBidi"/>
          <w:sz w:val="24"/>
          <w:szCs w:val="24"/>
          <w:highlight w:val="yellow"/>
        </w:rPr>
        <w:t>suggesting possible physiological trade-offs</w:t>
      </w:r>
      <w:r w:rsidR="00B037F6">
        <w:rPr>
          <w:rFonts w:asciiTheme="majorBidi" w:hAnsiTheme="majorBidi" w:cstheme="majorBidi"/>
          <w:sz w:val="24"/>
          <w:szCs w:val="24"/>
        </w:rPr>
        <w:t>,</w:t>
      </w:r>
      <w:r w:rsidR="007245E1">
        <w:rPr>
          <w:rFonts w:asciiTheme="majorBidi" w:hAnsiTheme="majorBidi" w:cstheme="majorBidi"/>
          <w:sz w:val="24"/>
          <w:szCs w:val="24"/>
        </w:rPr>
        <w:t xml:space="preserve"> </w:t>
      </w:r>
      <w:r w:rsidR="007245E1" w:rsidRPr="007245E1">
        <w:rPr>
          <w:rFonts w:asciiTheme="majorBidi" w:hAnsiTheme="majorBidi" w:cstheme="majorBidi"/>
          <w:sz w:val="24"/>
          <w:szCs w:val="24"/>
        </w:rPr>
        <w:t xml:space="preserve">most notably between vegetative vigour/seed size in Cluster III and overall pod count. </w:t>
      </w:r>
      <w:r>
        <w:rPr>
          <w:rFonts w:asciiTheme="majorBidi" w:hAnsiTheme="majorBidi" w:cstheme="majorBidi"/>
          <w:sz w:val="24"/>
          <w:szCs w:val="24"/>
          <w:highlight w:val="yellow"/>
        </w:rPr>
        <w:t>Principal component analysis</w:t>
      </w:r>
      <w:r>
        <w:rPr>
          <w:rFonts w:asciiTheme="majorBidi" w:hAnsiTheme="majorBidi" w:cstheme="majorBidi"/>
          <w:sz w:val="24"/>
          <w:szCs w:val="24"/>
        </w:rPr>
        <w:t xml:space="preserve"> demonstrated that 76.81% of the total phenotypic variance was captured by four principal components (</w:t>
      </w:r>
      <w:r w:rsidR="003E743C">
        <w:rPr>
          <w:rFonts w:asciiTheme="majorBidi" w:hAnsiTheme="majorBidi" w:cstheme="majorBidi"/>
          <w:sz w:val="24"/>
          <w:szCs w:val="24"/>
        </w:rPr>
        <w:t xml:space="preserve">λ &gt; </w:t>
      </w:r>
      <w:r w:rsidR="007245E1" w:rsidRPr="007245E1">
        <w:rPr>
          <w:rFonts w:asciiTheme="majorBidi" w:hAnsiTheme="majorBidi" w:cstheme="majorBidi"/>
          <w:sz w:val="24"/>
          <w:szCs w:val="24"/>
        </w:rPr>
        <w:t>1.0), driven predominantly by seed dimensions, pod wall thickness, kernel diameter, maturity duration, and pod yield.</w:t>
      </w:r>
    </w:p>
    <w:p w14:paraId="7A36BFA0" w14:textId="77777777" w:rsidR="00AB33EB" w:rsidRDefault="00AB33EB" w:rsidP="007245E1">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AB33EB">
        <w:rPr>
          <w:rFonts w:asciiTheme="majorBidi" w:hAnsiTheme="majorBidi" w:cstheme="majorBidi"/>
          <w:sz w:val="24"/>
          <w:szCs w:val="24"/>
        </w:rPr>
        <w:t xml:space="preserve">The high inter-cluster distance observed between Cluster II (low-yielding lines with thin pod walls) and Cluster III (large-seeded, high-vigour lines), as well as between Cluster III and Cluster IV (elite, early-maturing, high-yielding lines comprising K6, JCG 2141, and G5), </w:t>
      </w:r>
      <w:r>
        <w:rPr>
          <w:rFonts w:asciiTheme="majorBidi" w:hAnsiTheme="majorBidi" w:cstheme="majorBidi"/>
          <w:sz w:val="24"/>
          <w:szCs w:val="24"/>
          <w:highlight w:val="yellow"/>
        </w:rPr>
        <w:t>identifies these contrasting groups as potential parents for obtaining desirable recombinants</w:t>
      </w:r>
      <w:r w:rsidRPr="00AB33EB">
        <w:rPr>
          <w:rFonts w:asciiTheme="majorBidi" w:hAnsiTheme="majorBidi" w:cstheme="majorBidi"/>
          <w:sz w:val="24"/>
          <w:szCs w:val="24"/>
        </w:rPr>
        <w:t xml:space="preserve">. Crossing genotypes from Cluster IV with those in Cluster III </w:t>
      </w:r>
      <w:r>
        <w:rPr>
          <w:rFonts w:asciiTheme="majorBidi" w:hAnsiTheme="majorBidi" w:cstheme="majorBidi"/>
          <w:sz w:val="24"/>
          <w:szCs w:val="24"/>
          <w:highlight w:val="yellow"/>
        </w:rPr>
        <w:t>offers the potential for</w:t>
      </w:r>
      <w:r>
        <w:rPr>
          <w:rFonts w:asciiTheme="majorBidi" w:hAnsiTheme="majorBidi" w:cstheme="majorBidi"/>
          <w:sz w:val="24"/>
          <w:szCs w:val="24"/>
        </w:rPr>
        <w:t xml:space="preserve"> combining large kernel size with early maturity and high pod proliferation, </w:t>
      </w:r>
      <w:r>
        <w:rPr>
          <w:rFonts w:asciiTheme="majorBidi" w:hAnsiTheme="majorBidi" w:cstheme="majorBidi"/>
          <w:sz w:val="24"/>
          <w:szCs w:val="24"/>
          <w:highlight w:val="yellow"/>
        </w:rPr>
        <w:t>which may facilitate the recovery of high-yielding transgressive segregants</w:t>
      </w:r>
      <w:r>
        <w:rPr>
          <w:rFonts w:asciiTheme="majorBidi" w:hAnsiTheme="majorBidi" w:cstheme="majorBidi"/>
          <w:sz w:val="24"/>
          <w:szCs w:val="24"/>
        </w:rPr>
        <w:t xml:space="preserve"> in future groundnut </w:t>
      </w:r>
      <w:r>
        <w:rPr>
          <w:rFonts w:asciiTheme="majorBidi" w:hAnsiTheme="majorBidi" w:cstheme="majorBidi"/>
          <w:sz w:val="24"/>
          <w:szCs w:val="24"/>
          <w:highlight w:val="yellow"/>
        </w:rPr>
        <w:t>breeding programmes</w:t>
      </w:r>
      <w:r>
        <w:rPr>
          <w:rFonts w:asciiTheme="majorBidi" w:hAnsiTheme="majorBidi" w:cstheme="majorBidi"/>
          <w:sz w:val="24"/>
          <w:szCs w:val="24"/>
        </w:rPr>
        <w:t>.</w:t>
      </w:r>
    </w:p>
    <w:p w14:paraId="1F226D82" w14:textId="549767E7" w:rsidR="00B12F82" w:rsidRPr="00C75DC3" w:rsidRDefault="00B12F82" w:rsidP="007245E1">
      <w:pPr>
        <w:spacing w:line="360" w:lineRule="auto"/>
        <w:jc w:val="both"/>
        <w:rPr>
          <w:rFonts w:asciiTheme="majorBidi" w:hAnsiTheme="majorBidi" w:cstheme="majorBidi"/>
          <w:b/>
          <w:bCs/>
          <w:sz w:val="24"/>
          <w:szCs w:val="24"/>
        </w:rPr>
      </w:pPr>
      <w:r w:rsidRPr="00C75DC3">
        <w:rPr>
          <w:rFonts w:asciiTheme="majorBidi" w:hAnsiTheme="majorBidi" w:cstheme="majorBidi"/>
          <w:b/>
          <w:bCs/>
          <w:sz w:val="24"/>
          <w:szCs w:val="24"/>
        </w:rPr>
        <w:t>Limitations</w:t>
      </w:r>
    </w:p>
    <w:p w14:paraId="706BA52D" w14:textId="36CA48BE" w:rsidR="00B12F82" w:rsidRDefault="00E23390" w:rsidP="007245E1">
      <w:pPr>
        <w:spacing w:line="360" w:lineRule="auto"/>
        <w:jc w:val="both"/>
        <w:rPr>
          <w:rFonts w:asciiTheme="majorBidi" w:hAnsiTheme="majorBidi" w:cstheme="majorBidi"/>
          <w:sz w:val="24"/>
          <w:szCs w:val="24"/>
        </w:rPr>
      </w:pPr>
      <w:r w:rsidRPr="00E23390">
        <w:rPr>
          <w:rFonts w:asciiTheme="majorBidi" w:hAnsiTheme="majorBidi" w:cstheme="majorBidi"/>
          <w:sz w:val="24"/>
          <w:szCs w:val="24"/>
        </w:rPr>
        <w:t>The study evaluated 35 groundnut genotypes, comprising 30 advanced breeding lines and five commercial checks, at a single location during the 2024 rainy season. Therefore, the observed phenotypic variation, cluster patterns and trait associations may not fully represent genotype performance across different seasons and agroecological conditions. Furthermore, the assessment was restricted to 11 morpho-agronomic traits, without molecular characterisation or progeny evaluation. Although multivariate analyses identified promising parental combinations, their breeding potential remains unconfirmed. Future studies should incorporate multi-location, multi-season evaluations, molecular diversity assessments and progeny testing to validate these findings and improve their generalisability.</w:t>
      </w:r>
    </w:p>
    <w:p w14:paraId="2162699E" w14:textId="77777777" w:rsidR="001557C4" w:rsidRPr="001557C4" w:rsidRDefault="001557C4" w:rsidP="007245E1">
      <w:pPr>
        <w:spacing w:line="360" w:lineRule="auto"/>
        <w:jc w:val="both"/>
        <w:rPr>
          <w:rFonts w:asciiTheme="majorBidi" w:hAnsiTheme="majorBidi" w:cstheme="majorBidi"/>
          <w:b/>
          <w:bCs/>
          <w:sz w:val="24"/>
          <w:szCs w:val="24"/>
        </w:rPr>
      </w:pPr>
      <w:r w:rsidRPr="001557C4">
        <w:rPr>
          <w:rFonts w:asciiTheme="majorBidi" w:hAnsiTheme="majorBidi" w:cstheme="majorBidi"/>
          <w:b/>
          <w:bCs/>
          <w:sz w:val="24"/>
          <w:szCs w:val="24"/>
        </w:rPr>
        <w:t xml:space="preserve">Competing Interests </w:t>
      </w:r>
    </w:p>
    <w:p w14:paraId="577A9C0D" w14:textId="77777777" w:rsidR="00C04651" w:rsidRDefault="001557C4" w:rsidP="00E8649F">
      <w:pPr>
        <w:spacing w:line="360" w:lineRule="auto"/>
        <w:jc w:val="both"/>
        <w:rPr>
          <w:rFonts w:asciiTheme="majorBidi" w:hAnsiTheme="majorBidi" w:cstheme="majorBidi"/>
          <w:sz w:val="24"/>
          <w:szCs w:val="24"/>
        </w:rPr>
      </w:pPr>
      <w:r>
        <w:rPr>
          <w:rFonts w:asciiTheme="majorBidi" w:hAnsiTheme="majorBidi" w:cstheme="majorBidi"/>
          <w:sz w:val="24"/>
          <w:szCs w:val="24"/>
        </w:rPr>
        <w:t>The authors</w:t>
      </w:r>
      <w:r w:rsidRPr="001557C4">
        <w:rPr>
          <w:rFonts w:asciiTheme="majorBidi" w:hAnsiTheme="majorBidi" w:cstheme="majorBidi"/>
          <w:sz w:val="24"/>
          <w:szCs w:val="24"/>
        </w:rPr>
        <w:t xml:space="preserve"> have declared that no competing interests exist. </w:t>
      </w:r>
    </w:p>
    <w:p w14:paraId="15C18DC5" w14:textId="77777777" w:rsidR="0081029F" w:rsidRPr="0081029F" w:rsidRDefault="0081029F" w:rsidP="0081029F">
      <w:pPr>
        <w:spacing w:after="0" w:line="240" w:lineRule="auto"/>
        <w:rPr>
          <w:rFonts w:ascii="Times New Roman" w:eastAsia="Calibri" w:hAnsi="Times New Roman" w:cs="Times New Roman"/>
          <w:b/>
          <w:kern w:val="0"/>
          <w:lang w:val="en-US"/>
          <w14:ligatures w14:val="none"/>
        </w:rPr>
      </w:pPr>
      <w:r w:rsidRPr="0081029F">
        <w:rPr>
          <w:rFonts w:ascii="Times New Roman" w:eastAsia="Calibri" w:hAnsi="Times New Roman" w:cs="Times New Roman"/>
          <w:b/>
          <w:kern w:val="0"/>
          <w:lang w:val="en-US"/>
          <w14:ligatures w14:val="none"/>
        </w:rPr>
        <w:t>Declaration of AI Use</w:t>
      </w:r>
    </w:p>
    <w:p w14:paraId="3D687963" w14:textId="77777777" w:rsidR="0081029F" w:rsidRPr="0081029F" w:rsidRDefault="0081029F" w:rsidP="0081029F">
      <w:pPr>
        <w:spacing w:after="0" w:line="240" w:lineRule="auto"/>
        <w:rPr>
          <w:rFonts w:ascii="Times New Roman" w:eastAsia="Calibri" w:hAnsi="Times New Roman" w:cs="Times New Roman"/>
          <w:b/>
          <w:kern w:val="0"/>
          <w:lang w:val="en-US"/>
          <w14:ligatures w14:val="none"/>
        </w:rPr>
      </w:pPr>
    </w:p>
    <w:p w14:paraId="6C0594FE" w14:textId="77777777" w:rsidR="0081029F" w:rsidRPr="0081029F" w:rsidRDefault="0081029F" w:rsidP="0081029F">
      <w:pPr>
        <w:spacing w:after="0" w:line="240" w:lineRule="auto"/>
        <w:rPr>
          <w:rFonts w:ascii="Times New Roman" w:eastAsia="Calibri" w:hAnsi="Times New Roman" w:cs="Times New Roman"/>
          <w:b/>
          <w:kern w:val="0"/>
          <w:lang w:val="en-US"/>
          <w14:ligatures w14:val="none"/>
        </w:rPr>
      </w:pPr>
    </w:p>
    <w:p w14:paraId="2D31BFCC" w14:textId="77777777" w:rsidR="0081029F" w:rsidRPr="0081029F" w:rsidRDefault="0081029F" w:rsidP="0081029F">
      <w:pPr>
        <w:spacing w:after="0" w:line="240" w:lineRule="auto"/>
        <w:rPr>
          <w:rFonts w:ascii="Times New Roman" w:eastAsia="Calibri" w:hAnsi="Times New Roman" w:cs="Times New Roman"/>
          <w:b/>
          <w:kern w:val="0"/>
          <w:lang w:val="en-US"/>
          <w14:ligatures w14:val="none"/>
        </w:rPr>
      </w:pPr>
    </w:p>
    <w:p w14:paraId="6897C1C2" w14:textId="77777777" w:rsidR="0081029F" w:rsidRDefault="0081029F" w:rsidP="0081029F">
      <w:pPr>
        <w:spacing w:line="360" w:lineRule="auto"/>
        <w:jc w:val="both"/>
        <w:rPr>
          <w:rFonts w:asciiTheme="majorBidi" w:hAnsiTheme="majorBidi" w:cstheme="majorBidi"/>
          <w:sz w:val="24"/>
          <w:szCs w:val="24"/>
        </w:rPr>
      </w:pPr>
      <w:r w:rsidRPr="0081029F">
        <w:rPr>
          <w:rFonts w:ascii="Arial" w:eastAsia="Calibri" w:hAnsi="Arial" w:cs="Arial"/>
          <w:kern w:val="0"/>
          <w:sz w:val="20"/>
          <w:szCs w:val="20"/>
          <w:lang w:val="en-US"/>
          <w14:ligatures w14:val="none"/>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0F128B6" w14:textId="77777777" w:rsidR="00E8649F" w:rsidRPr="00E8649F" w:rsidRDefault="00E8649F" w:rsidP="00E8649F">
      <w:pPr>
        <w:spacing w:line="360" w:lineRule="auto"/>
        <w:jc w:val="both"/>
        <w:rPr>
          <w:rFonts w:asciiTheme="majorBidi" w:hAnsiTheme="majorBidi" w:cstheme="majorBidi"/>
          <w:sz w:val="24"/>
          <w:szCs w:val="24"/>
        </w:rPr>
      </w:pPr>
    </w:p>
    <w:p w14:paraId="5EB3A3E9" w14:textId="77777777" w:rsidR="00B65A92" w:rsidRDefault="00B65A92" w:rsidP="007245E1">
      <w:pPr>
        <w:spacing w:line="360" w:lineRule="auto"/>
        <w:jc w:val="both"/>
        <w:rPr>
          <w:rFonts w:asciiTheme="majorBidi" w:hAnsiTheme="majorBidi" w:cstheme="majorBidi"/>
          <w:b/>
          <w:bCs/>
          <w:sz w:val="24"/>
          <w:szCs w:val="24"/>
        </w:rPr>
      </w:pPr>
      <w:r w:rsidRPr="00B65A92">
        <w:rPr>
          <w:rFonts w:asciiTheme="majorBidi" w:hAnsiTheme="majorBidi" w:cstheme="majorBidi"/>
          <w:b/>
          <w:bCs/>
          <w:sz w:val="24"/>
          <w:szCs w:val="24"/>
        </w:rPr>
        <w:t xml:space="preserve">References </w:t>
      </w:r>
    </w:p>
    <w:p w14:paraId="2CA3FAA9" w14:textId="77777777" w:rsidR="007D7B79" w:rsidRDefault="007D7B79" w:rsidP="007D7B79">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Ali, S., Ahmad, R., Hassan, M. F., Ibrar, D., Iqbal, M. S., Naveed, M. S., Arsalan, M., Rehman, A., &amp; Hussain, T. (2022). Groundnut genotypes’ diversity assessment for yield and oil quality traits through multivariate analysis. </w:t>
      </w:r>
      <w:r>
        <w:rPr>
          <w:rFonts w:ascii="Times New Roman" w:hAnsi="Times New Roman"/>
          <w:i/>
          <w:sz w:val="22"/>
        </w:rPr>
        <w:t>SABRAO Journal of Breeding and Genetics, 54</w:t>
      </w:r>
      <w:r>
        <w:rPr>
          <w:rFonts w:ascii="Times New Roman" w:hAnsi="Times New Roman"/>
          <w:i w:val="0"/>
          <w:sz w:val="22"/>
        </w:rPr>
        <w:t>(3), 565–573.</w:t>
      </w:r>
      <w:r>
        <w:t xml:space="preserve"> </w:t>
      </w:r>
      <w:hyperlink r:id="rId9">
        <w:r>
          <w:rPr>
            <w:color w:val="0563C1"/>
            <w:u w:val="single"/>
          </w:rPr>
          <w:t>https://doi.org/10.54910/sabrao2022.54.3.9</w:t>
        </w:r>
      </w:hyperlink>
    </w:p>
    <w:p w14:paraId="29D3F725" w14:textId="77777777" w:rsidR="00E96B22" w:rsidRDefault="00000000">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Behera, P. P., Deshmukh, D., Vemula, A. K., Bangaru, K., Bagudam, R., Mathew, A., Purohit, A., Vishnumolakala, A., Wankhade, A. P., Kounain, S., Guguloth, N., Variath, M. T., Kurva, M., Potupureddi, G., Muragesan, S., Raman, A., &amp; Pasupuleti, J. (2025). Realized genetic gain for yield and yield attributes in groundnut breeding at ICRISAT from an ERA trial. </w:t>
      </w:r>
      <w:r>
        <w:rPr>
          <w:rFonts w:ascii="Times New Roman" w:hAnsi="Times New Roman"/>
          <w:i/>
          <w:sz w:val="22"/>
        </w:rPr>
        <w:t>Frontiers in Plant Science, 16</w:t>
      </w:r>
      <w:r>
        <w:rPr>
          <w:rFonts w:ascii="Times New Roman" w:hAnsi="Times New Roman"/>
          <w:i w:val="0"/>
          <w:sz w:val="22"/>
        </w:rPr>
        <w:t>, 1640041.</w:t>
      </w:r>
      <w:r>
        <w:t xml:space="preserve"> </w:t>
      </w:r>
      <w:hyperlink r:id="rId10">
        <w:r>
          <w:rPr>
            <w:color w:val="0563C1"/>
            <w:u w:val="single"/>
          </w:rPr>
          <w:t>https://doi.org/10.3389/fpls.2025.1640041</w:t>
        </w:r>
      </w:hyperlink>
    </w:p>
    <w:p w14:paraId="43BD0070" w14:textId="77777777" w:rsidR="00E96B22" w:rsidRDefault="00000000">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Beycioglu, T. (2026). Multivariate analysis of yield, physiological, and biochemical traits in peanut (</w:t>
      </w:r>
      <w:r>
        <w:rPr>
          <w:rFonts w:ascii="Times New Roman" w:hAnsi="Times New Roman"/>
          <w:i/>
          <w:sz w:val="22"/>
        </w:rPr>
        <w:t>Arachis hypogaea</w:t>
      </w:r>
      <w:r>
        <w:rPr>
          <w:rFonts w:ascii="Times New Roman" w:hAnsi="Times New Roman"/>
          <w:i w:val="0"/>
          <w:sz w:val="22"/>
        </w:rPr>
        <w:t xml:space="preserve"> L.) cultivars. </w:t>
      </w:r>
      <w:r>
        <w:rPr>
          <w:rFonts w:ascii="Times New Roman" w:hAnsi="Times New Roman"/>
          <w:i/>
          <w:sz w:val="22"/>
        </w:rPr>
        <w:t>Frontiers in Plant Science, 17</w:t>
      </w:r>
      <w:r>
        <w:rPr>
          <w:rFonts w:ascii="Times New Roman" w:hAnsi="Times New Roman"/>
          <w:i w:val="0"/>
          <w:sz w:val="22"/>
        </w:rPr>
        <w:t>, 1850930.</w:t>
      </w:r>
      <w:r>
        <w:t xml:space="preserve"> </w:t>
      </w:r>
      <w:hyperlink r:id="rId11">
        <w:r>
          <w:rPr>
            <w:color w:val="0563C1"/>
            <w:u w:val="single"/>
          </w:rPr>
          <w:t>https://doi.org/10.3389/fpls.2026.1850930</w:t>
        </w:r>
      </w:hyperlink>
    </w:p>
    <w:p w14:paraId="44C692CB" w14:textId="77777777" w:rsidR="00723AEE" w:rsidRDefault="00723AEE" w:rsidP="00723AEE">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Dudhatra, R. S., Viradiya, Y. A., Joshi, K. B., Desai, T. A., &amp; Vaghela, G. K. (2022). Genetic divergence analysis in groundnut (</w:t>
      </w:r>
      <w:r>
        <w:rPr>
          <w:rFonts w:ascii="Times New Roman" w:hAnsi="Times New Roman"/>
          <w:i/>
          <w:sz w:val="22"/>
        </w:rPr>
        <w:t>Arachis hypogaea</w:t>
      </w:r>
      <w:r>
        <w:rPr>
          <w:rFonts w:ascii="Times New Roman" w:hAnsi="Times New Roman"/>
          <w:i w:val="0"/>
          <w:sz w:val="22"/>
        </w:rPr>
        <w:t xml:space="preserve"> L.) genotypes. </w:t>
      </w:r>
      <w:r>
        <w:rPr>
          <w:rFonts w:ascii="Times New Roman" w:hAnsi="Times New Roman"/>
          <w:i/>
          <w:sz w:val="22"/>
        </w:rPr>
        <w:t>Emergent Life Sciences Research, 8</w:t>
      </w:r>
      <w:r>
        <w:rPr>
          <w:rFonts w:ascii="Times New Roman" w:hAnsi="Times New Roman"/>
          <w:i w:val="0"/>
          <w:sz w:val="22"/>
        </w:rPr>
        <w:t>(1), 114–118.</w:t>
      </w:r>
      <w:r>
        <w:t xml:space="preserve"> </w:t>
      </w:r>
      <w:hyperlink r:id="rId12">
        <w:r>
          <w:rPr>
            <w:color w:val="0563C1"/>
            <w:u w:val="single"/>
          </w:rPr>
          <w:t>https://doi.org/10.31783/elsr.2022.81114118</w:t>
        </w:r>
      </w:hyperlink>
    </w:p>
    <w:p w14:paraId="10FA41E0" w14:textId="77777777" w:rsidR="008E7814" w:rsidRDefault="008E7814" w:rsidP="00723AEE">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Food and Agriculture Organization of the United Nations. (2024). </w:t>
      </w:r>
      <w:r>
        <w:rPr>
          <w:rFonts w:ascii="Times New Roman" w:hAnsi="Times New Roman"/>
          <w:i/>
          <w:sz w:val="22"/>
        </w:rPr>
        <w:t>FAOSTAT: Crops and livestock products</w:t>
      </w:r>
      <w:r>
        <w:rPr>
          <w:rFonts w:ascii="Times New Roman" w:hAnsi="Times New Roman"/>
          <w:i w:val="0"/>
          <w:sz w:val="22"/>
        </w:rPr>
        <w:t>.</w:t>
      </w:r>
      <w:r>
        <w:t xml:space="preserve"> </w:t>
      </w:r>
      <w:hyperlink r:id="rId40">
        <w:r>
          <w:rPr>
            <w:color w:val="0563C1"/>
            <w:u w:val="single"/>
          </w:rPr>
          <w:t>https://www.fao.org/faostat/en/#data/QCL</w:t>
        </w:r>
      </w:hyperlink>
    </w:p>
    <w:p w14:paraId="6BBDF6D4" w14:textId="77777777" w:rsidR="000B62F3" w:rsidRDefault="000B62F3" w:rsidP="007C5A57">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IndiaStat. (2026). </w:t>
      </w:r>
      <w:r>
        <w:rPr>
          <w:rFonts w:ascii="Times New Roman" w:hAnsi="Times New Roman"/>
          <w:i/>
          <w:sz w:val="22"/>
        </w:rPr>
        <w:t>Season-wise area, production and productivity of groundnut in India</w:t>
      </w:r>
      <w:r>
        <w:rPr>
          <w:rFonts w:ascii="Times New Roman" w:hAnsi="Times New Roman"/>
          <w:i w:val="0"/>
          <w:sz w:val="22"/>
        </w:rPr>
        <w:t>.</w:t>
      </w:r>
      <w:r>
        <w:t xml:space="preserve"> </w:t>
      </w:r>
      <w:hyperlink r:id="rId41">
        <w:r>
          <w:rPr>
            <w:color w:val="0563C1"/>
            <w:u w:val="single"/>
          </w:rPr>
          <w:t>https://www.indiastat.com/data/agriculture/groundnuts-peanuts</w:t>
        </w:r>
      </w:hyperlink>
    </w:p>
    <w:p w14:paraId="71B315A7" w14:textId="77777777" w:rsidR="00A47AAA" w:rsidRDefault="00A47AAA" w:rsidP="00A47AAA">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Jain, P., Srevalli Devi, M., John, K., &amp; Arunasri, P. (2024). Genetic divergence studies for yield, yield components and resistance to late leaf spot in groundnut (</w:t>
      </w:r>
      <w:r>
        <w:rPr>
          <w:rFonts w:ascii="Times New Roman" w:hAnsi="Times New Roman"/>
          <w:i/>
          <w:sz w:val="22"/>
        </w:rPr>
        <w:t>Arachis hypogaea</w:t>
      </w:r>
      <w:r>
        <w:rPr>
          <w:rFonts w:ascii="Times New Roman" w:hAnsi="Times New Roman"/>
          <w:i w:val="0"/>
          <w:sz w:val="22"/>
        </w:rPr>
        <w:t xml:space="preserve"> L.). </w:t>
      </w:r>
      <w:r>
        <w:rPr>
          <w:rFonts w:ascii="Times New Roman" w:hAnsi="Times New Roman"/>
          <w:i/>
          <w:sz w:val="22"/>
        </w:rPr>
        <w:t>Andhra Pradesh Journal of Agricultural Sciences, 10</w:t>
      </w:r>
      <w:r>
        <w:rPr>
          <w:rFonts w:ascii="Times New Roman" w:hAnsi="Times New Roman"/>
          <w:i w:val="0"/>
          <w:sz w:val="22"/>
        </w:rPr>
        <w:t>(4), 263–268.</w:t>
      </w:r>
      <w:r>
        <w:t xml:space="preserve"> </w:t>
      </w:r>
      <w:hyperlink r:id="rId15">
        <w:r>
          <w:rPr>
            <w:color w:val="0563C1"/>
            <w:u w:val="single"/>
          </w:rPr>
          <w:t>https://sasapjas.org/genetic-divergence-studies-for-yield-yield-components-and-resistance-to-late-leaf-spot-in-groundnut-arachis-hypogaea-l/</w:t>
        </w:r>
      </w:hyperlink>
    </w:p>
    <w:p w14:paraId="7E52A492" w14:textId="77777777" w:rsidR="00E96B22" w:rsidRDefault="00000000">
      <w:pPr>
        <w:keepNext w:val="0"/>
        <w:keepLines/>
        <w:spacing w:after="100"/>
        <w:ind w:hanging="280" w:left="280"/>
        <w:jc w:val="left"/>
      </w:pPr>
      <w:r>
        <w:rPr>
          <w:rFonts w:ascii="Times New Roman" w:hAnsi="Times New Roman"/>
          <w:i w:val="0"/>
          <w:sz w:val="22"/>
        </w:rPr>
        <w:t xml:space="preserve">Jolliffe, I. T., &amp; Cadima, J. (2016). Principal component analysis: A review and recent developments. </w:t>
      </w:r>
      <w:r>
        <w:rPr>
          <w:rFonts w:ascii="Times New Roman" w:hAnsi="Times New Roman"/>
          <w:i/>
          <w:sz w:val="22"/>
        </w:rPr>
        <w:t>Philosophical Transactions of the Royal Society A: Mathematical, Physical and Engineering Sciences, 374</w:t>
      </w:r>
      <w:r>
        <w:rPr>
          <w:rFonts w:ascii="Times New Roman" w:hAnsi="Times New Roman"/>
          <w:i w:val="0"/>
          <w:sz w:val="22"/>
        </w:rPr>
        <w:t>(2065), 20150202.</w:t>
      </w:r>
      <w:r>
        <w:t xml:space="preserve"> </w:t>
      </w:r>
      <w:hyperlink r:id="rId16">
        <w:r>
          <w:rPr>
            <w:color w:val="0563C1"/>
            <w:u w:val="single"/>
          </w:rPr>
          <w:t>https://doi.org/10.1098/rsta.2015.0202</w:t>
        </w:r>
      </w:hyperlink>
    </w:p>
    <w:p w14:paraId="43806D73" w14:textId="77777777" w:rsidR="00723AEE" w:rsidRDefault="00723AEE" w:rsidP="00723AEE">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Kassambara, A., &amp; Mundt, F. (2020). </w:t>
      </w:r>
      <w:r>
        <w:rPr>
          <w:rFonts w:ascii="Times New Roman" w:hAnsi="Times New Roman"/>
          <w:i/>
          <w:sz w:val="22"/>
        </w:rPr>
        <w:t>factoextra: Extract and visualize the results of multivariate data analyses</w:t>
      </w:r>
      <w:r>
        <w:rPr>
          <w:rFonts w:ascii="Times New Roman" w:hAnsi="Times New Roman"/>
          <w:i w:val="0"/>
          <w:sz w:val="22"/>
        </w:rPr>
        <w:t xml:space="preserve"> (Version 1.0.7) [R package].</w:t>
      </w:r>
      <w:r>
        <w:t xml:space="preserve"> </w:t>
      </w:r>
      <w:hyperlink r:id="rId17">
        <w:r>
          <w:rPr>
            <w:color w:val="0563C1"/>
            <w:u w:val="single"/>
          </w:rPr>
          <w:t>https://CRAN.R-project.org/package=factoextra</w:t>
        </w:r>
      </w:hyperlink>
    </w:p>
    <w:p w14:paraId="30F3AAB9" w14:textId="77777777" w:rsidR="00934D6F" w:rsidRDefault="00934D6F" w:rsidP="00723AEE">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Kumar, A., Kumar, H., Singh, M. C., Kumar, M., Sharma, V., Kumar, S., &amp; Panwar, G. S. (2025). Multivariate analysis for elucidating genetic diversity of chickpea (</w:t>
      </w:r>
      <w:r>
        <w:rPr>
          <w:rFonts w:ascii="Times New Roman" w:hAnsi="Times New Roman"/>
          <w:i/>
          <w:sz w:val="22"/>
        </w:rPr>
        <w:t>Cicer arietinum</w:t>
      </w:r>
      <w:r>
        <w:rPr>
          <w:rFonts w:ascii="Times New Roman" w:hAnsi="Times New Roman"/>
          <w:i w:val="0"/>
          <w:sz w:val="22"/>
        </w:rPr>
        <w:t xml:space="preserve"> L.) germplasm using agro-morphological traits. </w:t>
      </w:r>
      <w:r>
        <w:rPr>
          <w:rFonts w:ascii="Times New Roman" w:hAnsi="Times New Roman"/>
          <w:i/>
          <w:sz w:val="22"/>
        </w:rPr>
        <w:t>Legume Research, 48</w:t>
      </w:r>
      <w:r>
        <w:rPr>
          <w:rFonts w:ascii="Times New Roman" w:hAnsi="Times New Roman"/>
          <w:i w:val="0"/>
          <w:sz w:val="22"/>
        </w:rPr>
        <w:t>(4), 590–596.</w:t>
      </w:r>
      <w:r>
        <w:t xml:space="preserve"> </w:t>
      </w:r>
      <w:hyperlink r:id="rId18">
        <w:r>
          <w:rPr>
            <w:color w:val="0563C1"/>
            <w:u w:val="single"/>
          </w:rPr>
          <w:t>https://doi.org/10.18805/LR-4956</w:t>
        </w:r>
      </w:hyperlink>
    </w:p>
    <w:p w14:paraId="0EE93BCC" w14:textId="77777777" w:rsidR="00A67E4E" w:rsidRDefault="00A67E4E" w:rsidP="00723AEE">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Machado, N. M., Nunes, Y. C., de Lima, E. P., Chehadi, A. C., Otoboni, A. M., Miola, V. F., Nicolau, C. C., Fiorini, A. M., Oshiiwa, M., Laurindo, L. F., &amp; Barbalho, S. M. (2025). Peanuts (</w:t>
      </w:r>
      <w:r>
        <w:rPr>
          <w:rFonts w:ascii="Times New Roman" w:hAnsi="Times New Roman"/>
          <w:i/>
          <w:sz w:val="22"/>
        </w:rPr>
        <w:t>Arachis hypogaea</w:t>
      </w:r>
      <w:r>
        <w:rPr>
          <w:rFonts w:ascii="Times New Roman" w:hAnsi="Times New Roman"/>
          <w:i w:val="0"/>
          <w:sz w:val="22"/>
        </w:rPr>
        <w:t xml:space="preserve"> L.) in food industry and their benefits for human health—A review of the current literature. </w:t>
      </w:r>
      <w:r>
        <w:rPr>
          <w:rFonts w:ascii="Times New Roman" w:hAnsi="Times New Roman"/>
          <w:i/>
          <w:sz w:val="22"/>
        </w:rPr>
        <w:t>Journal of Food Composition and Analysis, 143</w:t>
      </w:r>
      <w:r>
        <w:rPr>
          <w:rFonts w:ascii="Times New Roman" w:hAnsi="Times New Roman"/>
          <w:i w:val="0"/>
          <w:sz w:val="22"/>
        </w:rPr>
        <w:t>, 107574.</w:t>
      </w:r>
      <w:r>
        <w:t xml:space="preserve"> </w:t>
      </w:r>
      <w:hyperlink r:id="rId19">
        <w:r>
          <w:rPr>
            <w:color w:val="0563C1"/>
            <w:u w:val="single"/>
          </w:rPr>
          <w:t>https://doi.org/10.1016/j.jfca.2025.107574</w:t>
        </w:r>
      </w:hyperlink>
    </w:p>
    <w:p w14:paraId="24A7CA9E" w14:textId="77777777" w:rsidR="007D7B79" w:rsidRDefault="007D7B79" w:rsidP="007D7B79">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Niveditha, P. D., Sudharani, M., Prasanna Rajesh, A., &amp; Nirmala, P. J. (2016). Genetic diversity based on cluster and principal component analysis for yield, yield components and quality traits in peanut stem necrosis tolerant groundnut (</w:t>
      </w:r>
      <w:r>
        <w:rPr>
          <w:rFonts w:ascii="Times New Roman" w:hAnsi="Times New Roman"/>
          <w:i/>
          <w:sz w:val="22"/>
        </w:rPr>
        <w:t>Arachis hypogaea</w:t>
      </w:r>
      <w:r>
        <w:rPr>
          <w:rFonts w:ascii="Times New Roman" w:hAnsi="Times New Roman"/>
          <w:i w:val="0"/>
          <w:sz w:val="22"/>
        </w:rPr>
        <w:t xml:space="preserve"> L.) genotypes. </w:t>
      </w:r>
      <w:r>
        <w:rPr>
          <w:rFonts w:ascii="Times New Roman" w:hAnsi="Times New Roman"/>
          <w:i/>
          <w:sz w:val="22"/>
        </w:rPr>
        <w:t>The Journal of Research ANGRAU, 44</w:t>
      </w:r>
      <w:r>
        <w:rPr>
          <w:rFonts w:ascii="Times New Roman" w:hAnsi="Times New Roman"/>
          <w:i w:val="0"/>
          <w:sz w:val="22"/>
        </w:rPr>
        <w:t>(3–4), 6–12.</w:t>
      </w:r>
      <w:r>
        <w:t xml:space="preserve"> </w:t>
      </w:r>
      <w:hyperlink r:id="rId20">
        <w:r>
          <w:rPr>
            <w:color w:val="0563C1"/>
            <w:u w:val="single"/>
          </w:rPr>
          <w:t>https://epubs.icar.org.in/index.php/TJRA/article/view/140422</w:t>
        </w:r>
      </w:hyperlink>
    </w:p>
    <w:p w14:paraId="5414CA24" w14:textId="77777777" w:rsidR="00ED3C8D" w:rsidRDefault="00ED3C8D" w:rsidP="007D7B79">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Qulmamatova, D. E. (2023). Chickpea (</w:t>
      </w:r>
      <w:r>
        <w:rPr>
          <w:rFonts w:ascii="Times New Roman" w:hAnsi="Times New Roman"/>
          <w:i/>
          <w:sz w:val="22"/>
        </w:rPr>
        <w:t>Cicer arietinum</w:t>
      </w:r>
      <w:r>
        <w:rPr>
          <w:rFonts w:ascii="Times New Roman" w:hAnsi="Times New Roman"/>
          <w:i w:val="0"/>
          <w:sz w:val="22"/>
        </w:rPr>
        <w:t xml:space="preserve"> L.) genotypes evaluation for high yield through multivariate analysis. </w:t>
      </w:r>
      <w:r>
        <w:rPr>
          <w:rFonts w:ascii="Times New Roman" w:hAnsi="Times New Roman"/>
          <w:i/>
          <w:sz w:val="22"/>
        </w:rPr>
        <w:t>SABRAO Journal of Breeding and Genetics, 55</w:t>
      </w:r>
      <w:r>
        <w:rPr>
          <w:rFonts w:ascii="Times New Roman" w:hAnsi="Times New Roman"/>
          <w:i w:val="0"/>
          <w:sz w:val="22"/>
        </w:rPr>
        <w:t>(1), 107–114.</w:t>
      </w:r>
      <w:r>
        <w:t xml:space="preserve"> </w:t>
      </w:r>
      <w:hyperlink r:id="rId21">
        <w:r>
          <w:rPr>
            <w:color w:val="0563C1"/>
            <w:u w:val="single"/>
          </w:rPr>
          <w:t>https://doi.org/10.54910/sabrao2023.55.1.10</w:t>
        </w:r>
      </w:hyperlink>
    </w:p>
    <w:p w14:paraId="3C9BB081" w14:textId="77777777" w:rsidR="00E96B22" w:rsidRDefault="00000000">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Saini, P., Singh, M., &amp; Syed, M. (2026). Assessment of genetic diversity and cluster analysis for yield and yield-related traits in mungbean (</w:t>
      </w:r>
      <w:r>
        <w:rPr>
          <w:rFonts w:ascii="Times New Roman" w:hAnsi="Times New Roman"/>
          <w:i/>
          <w:sz w:val="22"/>
        </w:rPr>
        <w:t>Vigna radiata</w:t>
      </w:r>
      <w:r>
        <w:rPr>
          <w:rFonts w:ascii="Times New Roman" w:hAnsi="Times New Roman"/>
          <w:i w:val="0"/>
          <w:sz w:val="22"/>
        </w:rPr>
        <w:t xml:space="preserve"> L.). </w:t>
      </w:r>
      <w:r>
        <w:rPr>
          <w:rFonts w:ascii="Times New Roman" w:hAnsi="Times New Roman"/>
          <w:i/>
          <w:sz w:val="22"/>
        </w:rPr>
        <w:t>Asian Research Journal of Current Science, 8</w:t>
      </w:r>
      <w:r>
        <w:rPr>
          <w:rFonts w:ascii="Times New Roman" w:hAnsi="Times New Roman"/>
          <w:i w:val="0"/>
          <w:sz w:val="22"/>
        </w:rPr>
        <w:t>(1), 699–712.</w:t>
      </w:r>
      <w:r>
        <w:t xml:space="preserve"> </w:t>
      </w:r>
      <w:hyperlink r:id="rId22">
        <w:r>
          <w:rPr>
            <w:color w:val="0563C1"/>
            <w:u w:val="single"/>
          </w:rPr>
          <w:t>https://doi.org/10.56557/arjocs/2026/v8i1207</w:t>
        </w:r>
      </w:hyperlink>
    </w:p>
    <w:p w14:paraId="3BCF0E25" w14:textId="77777777" w:rsidR="00A47AAA" w:rsidRDefault="00A47AAA" w:rsidP="00A47AAA">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Saiteja, R., John, K., Sreevalli Devi, M., &amp; Ramana Murthy, B. (2023). Studies on genetic divergence for yield, yield components and quality traits in groundnut (</w:t>
      </w:r>
      <w:r>
        <w:rPr>
          <w:rFonts w:ascii="Times New Roman" w:hAnsi="Times New Roman"/>
          <w:i/>
          <w:sz w:val="22"/>
        </w:rPr>
        <w:t>Arachis hypogaea</w:t>
      </w:r>
      <w:r>
        <w:rPr>
          <w:rFonts w:ascii="Times New Roman" w:hAnsi="Times New Roman"/>
          <w:i w:val="0"/>
          <w:sz w:val="22"/>
        </w:rPr>
        <w:t xml:space="preserve"> L.). </w:t>
      </w:r>
      <w:r>
        <w:rPr>
          <w:rFonts w:ascii="Times New Roman" w:hAnsi="Times New Roman"/>
          <w:i/>
          <w:sz w:val="22"/>
        </w:rPr>
        <w:t>Andhra Pradesh Journal of Agricultural Sciences, 9</w:t>
      </w:r>
      <w:r>
        <w:rPr>
          <w:rFonts w:ascii="Times New Roman" w:hAnsi="Times New Roman"/>
          <w:i w:val="0"/>
          <w:sz w:val="22"/>
        </w:rPr>
        <w:t>(3), 205–209.</w:t>
      </w:r>
      <w:r>
        <w:t xml:space="preserve"> </w:t>
      </w:r>
      <w:hyperlink r:id="rId23">
        <w:r>
          <w:rPr>
            <w:color w:val="0563C1"/>
            <w:u w:val="single"/>
          </w:rPr>
          <w:t>https://sasapjas.org/studies-on-genetic-divergence-for-yield-yield-components-and-quality-traits-in-groundnut-arachis-hypogaea-l/</w:t>
        </w:r>
      </w:hyperlink>
    </w:p>
    <w:p w14:paraId="115E6DA6" w14:textId="77777777" w:rsidR="001E6FE7" w:rsidRDefault="001E6FE7" w:rsidP="001E6FE7">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Savage, G. P., &amp; Keenan, J. I. (1994). The composition and nutritive value of groundnut kernels. In J. Smartt (Ed.), </w:t>
      </w:r>
      <w:r>
        <w:rPr>
          <w:rFonts w:ascii="Times New Roman" w:hAnsi="Times New Roman"/>
          <w:i/>
          <w:sz w:val="22"/>
        </w:rPr>
        <w:t>The groundnut crop: A scientific basis for improvement</w:t>
      </w:r>
      <w:r>
        <w:rPr>
          <w:rFonts w:ascii="Times New Roman" w:hAnsi="Times New Roman"/>
          <w:i w:val="0"/>
          <w:sz w:val="22"/>
        </w:rPr>
        <w:t xml:space="preserve"> (pp. 173–213). Springer.</w:t>
      </w:r>
      <w:r>
        <w:t xml:space="preserve"> </w:t>
      </w:r>
      <w:hyperlink r:id="rId24">
        <w:r>
          <w:rPr>
            <w:color w:val="0563C1"/>
            <w:u w:val="single"/>
          </w:rPr>
          <w:t>https://doi.org/10.1007/978-94-011-0733-4_6</w:t>
        </w:r>
      </w:hyperlink>
    </w:p>
    <w:p w14:paraId="6EA1225D" w14:textId="77777777" w:rsidR="003F25EA" w:rsidRDefault="003F25EA" w:rsidP="001E6FE7">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Sharifi, P., Astereki, H., &amp; Pouresmael, M. (2018). Evaluation of variations in chickpea (</w:t>
      </w:r>
      <w:r>
        <w:rPr>
          <w:rFonts w:ascii="Times New Roman" w:hAnsi="Times New Roman"/>
          <w:i/>
          <w:sz w:val="22"/>
        </w:rPr>
        <w:t>Cicer arietinum</w:t>
      </w:r>
      <w:r>
        <w:rPr>
          <w:rFonts w:ascii="Times New Roman" w:hAnsi="Times New Roman"/>
          <w:i w:val="0"/>
          <w:sz w:val="22"/>
        </w:rPr>
        <w:t xml:space="preserve"> L.) yield and yield components by multivariate technique. </w:t>
      </w:r>
      <w:r>
        <w:rPr>
          <w:rFonts w:ascii="Times New Roman" w:hAnsi="Times New Roman"/>
          <w:i/>
          <w:sz w:val="22"/>
        </w:rPr>
        <w:t>Annals of Agrarian Science, 16</w:t>
      </w:r>
      <w:r>
        <w:rPr>
          <w:rFonts w:ascii="Times New Roman" w:hAnsi="Times New Roman"/>
          <w:i w:val="0"/>
          <w:sz w:val="22"/>
        </w:rPr>
        <w:t>(2), 136–142.</w:t>
      </w:r>
      <w:r>
        <w:t xml:space="preserve"> </w:t>
      </w:r>
      <w:hyperlink r:id="rId25">
        <w:r>
          <w:rPr>
            <w:color w:val="0563C1"/>
            <w:u w:val="single"/>
          </w:rPr>
          <w:t>https://doi.org/10.1016/j.aasci.2018.02.003</w:t>
        </w:r>
      </w:hyperlink>
    </w:p>
    <w:p w14:paraId="36B0384E" w14:textId="77777777" w:rsidR="00323B17" w:rsidRDefault="00323B17" w:rsidP="00323B17">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Sudhir, K. I., Marappa, N., &amp; Govindaraj, M. (2010). Classification of new germplasm and advanced breeding lines of groundnut (</w:t>
      </w:r>
      <w:r>
        <w:rPr>
          <w:rFonts w:ascii="Times New Roman" w:hAnsi="Times New Roman"/>
          <w:i/>
          <w:sz w:val="22"/>
        </w:rPr>
        <w:t>Arachis hypogaea</w:t>
      </w:r>
      <w:r>
        <w:rPr>
          <w:rFonts w:ascii="Times New Roman" w:hAnsi="Times New Roman"/>
          <w:i w:val="0"/>
          <w:sz w:val="22"/>
        </w:rPr>
        <w:t xml:space="preserve"> L.) through principal component analysis. </w:t>
      </w:r>
      <w:r>
        <w:rPr>
          <w:rFonts w:ascii="Times New Roman" w:hAnsi="Times New Roman"/>
          <w:i/>
          <w:sz w:val="22"/>
        </w:rPr>
        <w:t>Legume Research, 33</w:t>
      </w:r>
      <w:r>
        <w:rPr>
          <w:rFonts w:ascii="Times New Roman" w:hAnsi="Times New Roman"/>
          <w:i w:val="0"/>
          <w:sz w:val="22"/>
        </w:rPr>
        <w:t>(4), 242–248.</w:t>
      </w:r>
      <w:r>
        <w:t xml:space="preserve"> </w:t>
      </w:r>
      <w:hyperlink r:id="rId26">
        <w:r>
          <w:rPr>
            <w:color w:val="0563C1"/>
            <w:u w:val="single"/>
          </w:rPr>
          <w:t>https://oar.icrisat.org/6235/</w:t>
        </w:r>
      </w:hyperlink>
    </w:p>
    <w:p w14:paraId="216CDF2E" w14:textId="77777777" w:rsidR="00E96B22" w:rsidRDefault="00000000">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Susmitha, P., Prasanna Rajesh, A., Reddi Sekhar, M., &amp; Nafeez Umar, Sk. (2024). Assessment of genetic variability in groundnut (</w:t>
      </w:r>
      <w:r>
        <w:rPr>
          <w:rFonts w:ascii="Times New Roman" w:hAnsi="Times New Roman"/>
          <w:i/>
          <w:sz w:val="22"/>
        </w:rPr>
        <w:t>Arachis hypogaea</w:t>
      </w:r>
      <w:r>
        <w:rPr>
          <w:rFonts w:ascii="Times New Roman" w:hAnsi="Times New Roman"/>
          <w:i w:val="0"/>
          <w:sz w:val="22"/>
        </w:rPr>
        <w:t xml:space="preserve"> L.). </w:t>
      </w:r>
      <w:r>
        <w:rPr>
          <w:rFonts w:ascii="Times New Roman" w:hAnsi="Times New Roman"/>
          <w:i/>
          <w:sz w:val="22"/>
        </w:rPr>
        <w:t>Journal of Scientific Research and Reports, 30</w:t>
      </w:r>
      <w:r>
        <w:rPr>
          <w:rFonts w:ascii="Times New Roman" w:hAnsi="Times New Roman"/>
          <w:i w:val="0"/>
          <w:sz w:val="22"/>
        </w:rPr>
        <w:t>(11), 290–296.</w:t>
      </w:r>
      <w:r>
        <w:t xml:space="preserve"> </w:t>
      </w:r>
      <w:hyperlink r:id="rId27">
        <w:r>
          <w:rPr>
            <w:color w:val="0563C1"/>
            <w:u w:val="single"/>
          </w:rPr>
          <w:t>https://doi.org/10.9734/jsrr/2024/v30i112556</w:t>
        </w:r>
      </w:hyperlink>
    </w:p>
    <w:p w14:paraId="68BAAF31" w14:textId="77777777" w:rsidR="007D7B79" w:rsidRDefault="007D7B79" w:rsidP="007D7B79">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Vinothini, N., Umadevi, M., Kalaimagal, T., Rajeswari, R., &amp; Shanthi, P. (2023). Assessment of the genetic diversity of groundnut (</w:t>
      </w:r>
      <w:r>
        <w:rPr>
          <w:rFonts w:ascii="Times New Roman" w:hAnsi="Times New Roman"/>
          <w:i/>
          <w:sz w:val="22"/>
        </w:rPr>
        <w:t>Arachis hypogaea</w:t>
      </w:r>
      <w:r>
        <w:rPr>
          <w:rFonts w:ascii="Times New Roman" w:hAnsi="Times New Roman"/>
          <w:i w:val="0"/>
          <w:sz w:val="22"/>
        </w:rPr>
        <w:t xml:space="preserve"> L.) genotypes for kernel yield. </w:t>
      </w:r>
      <w:r>
        <w:rPr>
          <w:rFonts w:ascii="Times New Roman" w:hAnsi="Times New Roman"/>
          <w:i/>
          <w:sz w:val="22"/>
        </w:rPr>
        <w:t>Electronic Journal of Plant Breeding, 14</w:t>
      </w:r>
      <w:r>
        <w:rPr>
          <w:rFonts w:ascii="Times New Roman" w:hAnsi="Times New Roman"/>
          <w:i w:val="0"/>
          <w:sz w:val="22"/>
        </w:rPr>
        <w:t>(3), 1167–1173.</w:t>
      </w:r>
      <w:r>
        <w:t xml:space="preserve"> </w:t>
      </w:r>
      <w:hyperlink r:id="rId28">
        <w:r>
          <w:rPr>
            <w:color w:val="0563C1"/>
            <w:u w:val="single"/>
          </w:rPr>
          <w:t>https://doi.org/10.37992/2023.1403.143</w:t>
        </w:r>
      </w:hyperlink>
    </w:p>
    <w:p w14:paraId="5CDFCF94" w14:textId="77777777" w:rsidR="00D961D5" w:rsidRPr="00114CAC" w:rsidRDefault="00D961D5" w:rsidP="00D961D5">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Xu, S., Dai, Z., Guo, P., Fu, X., Liu, S., Zhou, L., Tang, W., Feng, T., Chen, M., Zhan, L., Wu, T., Hu, E., Jiang, Y., Bo, X., &amp; Yu, G. (2021). ggtreeExtra: Compact visualization of richly annotated phylogenetic data. </w:t>
      </w:r>
      <w:r>
        <w:rPr>
          <w:rFonts w:ascii="Times New Roman" w:hAnsi="Times New Roman"/>
          <w:i/>
          <w:sz w:val="22"/>
        </w:rPr>
        <w:t>Molecular Biology and Evolution, 38</w:t>
      </w:r>
      <w:r>
        <w:rPr>
          <w:rFonts w:ascii="Times New Roman" w:hAnsi="Times New Roman"/>
          <w:i w:val="0"/>
          <w:sz w:val="22"/>
        </w:rPr>
        <w:t>(9), 4039–4042.</w:t>
      </w:r>
      <w:r>
        <w:t xml:space="preserve"> </w:t>
      </w:r>
      <w:hyperlink r:id="rId29">
        <w:r>
          <w:rPr>
            <w:color w:val="0563C1"/>
            <w:u w:val="single"/>
          </w:rPr>
          <w:t>https://doi.org/10.1093/molbev/msab166</w:t>
        </w:r>
      </w:hyperlink>
    </w:p>
    <w:p w14:paraId="112B465F" w14:textId="77777777" w:rsidR="00114CAC" w:rsidRDefault="00114CAC" w:rsidP="00114CAC">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Yu, G., Smith, D. K., Zhu, H., Guan, Y., &amp; Lam, T. T.-Y. (2017). ggtree: An R package for visualization and annotation of phylogenetic trees with their covariates and other associated data. </w:t>
      </w:r>
      <w:r>
        <w:rPr>
          <w:rFonts w:ascii="Times New Roman" w:hAnsi="Times New Roman"/>
          <w:i/>
          <w:sz w:val="22"/>
        </w:rPr>
        <w:t>Methods in Ecology and Evolution, 8</w:t>
      </w:r>
      <w:r>
        <w:rPr>
          <w:rFonts w:ascii="Times New Roman" w:hAnsi="Times New Roman"/>
          <w:i w:val="0"/>
          <w:sz w:val="22"/>
        </w:rPr>
        <w:t>(1), 28–36.</w:t>
      </w:r>
      <w:r>
        <w:t xml:space="preserve"> </w:t>
      </w:r>
      <w:hyperlink r:id="rId30">
        <w:r>
          <w:rPr>
            <w:color w:val="0563C1"/>
            <w:u w:val="single"/>
          </w:rPr>
          <w:t>https://doi.org/10.1111/2041-210X.12628</w:t>
        </w:r>
      </w:hyperlink>
    </w:p>
    <w:p w14:paraId="443769AD" w14:textId="77777777" w:rsidR="00E96B22" w:rsidRDefault="00000000">
      <w:pPr>
        <w:keepNext w:val="0"/>
        <w:keepLines/>
        <w:spacing w:line="360" w:lineRule="auto" w:after="100"/>
        <w:ind w:hanging="280" w:left="280"/>
        <w:jc w:val="left"/>
        <w:rPr>
          <w:rFonts w:asciiTheme="majorBidi" w:hAnsiTheme="majorBidi" w:cstheme="majorBidi"/>
          <w:sz w:val="24"/>
          <w:szCs w:val="24"/>
        </w:rPr>
      </w:pPr>
      <w:r>
        <w:rPr>
          <w:rFonts w:ascii="Times New Roman" w:hAnsi="Times New Roman"/>
          <w:i w:val="0"/>
          <w:sz w:val="22"/>
        </w:rPr>
        <w:t xml:space="preserve">Zhao, K., Xue, H., Li, G., Chitikineni, A., Fan, Y., Cao, Z., Dong, X., Lu, H., Zhao, K., Zhang, L., Qiu, D., Ren, R., Gong, F., Li, Z., Ma, X., Wan, S., Varshney, R. K., Wei, C., &amp; Yin, D. (2025). Pangenome analysis reveals structural variation associated with seed size and weight traits in peanut. </w:t>
      </w:r>
      <w:r>
        <w:rPr>
          <w:rFonts w:ascii="Times New Roman" w:hAnsi="Times New Roman"/>
          <w:i/>
          <w:sz w:val="22"/>
        </w:rPr>
        <w:t>Nature Genetics, 57</w:t>
      </w:r>
      <w:r>
        <w:rPr>
          <w:rFonts w:ascii="Times New Roman" w:hAnsi="Times New Roman"/>
          <w:i w:val="0"/>
          <w:sz w:val="22"/>
        </w:rPr>
        <w:t>, 1250–1261.</w:t>
      </w:r>
      <w:r>
        <w:t xml:space="preserve"> </w:t>
      </w:r>
      <w:hyperlink r:id="rId31">
        <w:r>
          <w:rPr>
            <w:color w:val="0563C1"/>
            <w:u w:val="single"/>
          </w:rPr>
          <w:t>https://doi.org/10.1038/s41588-025-02170-w</w:t>
        </w:r>
      </w:hyperlink>
    </w:p>
    <w:p w14:paraId="1CDDF069" w14:textId="77777777" w:rsidR="00114CAC" w:rsidRPr="00114CAC" w:rsidRDefault="00114CAC" w:rsidP="00114CAC">
      <w:pPr>
        <w:spacing w:line="360" w:lineRule="auto"/>
        <w:jc w:val="both"/>
        <w:rPr>
          <w:rFonts w:asciiTheme="majorBidi" w:hAnsiTheme="majorBidi" w:cstheme="majorBidi"/>
          <w:sz w:val="24"/>
          <w:szCs w:val="24"/>
        </w:rPr>
      </w:pPr>
    </w:p>
    <w:p w14:paraId="095CA877" w14:textId="77777777" w:rsidR="00114CAC" w:rsidRDefault="00114CAC" w:rsidP="007D7B79">
      <w:pPr>
        <w:spacing w:line="360" w:lineRule="auto"/>
        <w:jc w:val="both"/>
        <w:rPr>
          <w:rFonts w:asciiTheme="majorBidi" w:hAnsiTheme="majorBidi" w:cstheme="majorBidi"/>
          <w:sz w:val="24"/>
          <w:szCs w:val="24"/>
        </w:rPr>
      </w:pPr>
    </w:p>
    <w:sectPr w:rsidR="00114CAC">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3DFD3" w14:textId="77777777" w:rsidR="001603A9" w:rsidRDefault="001603A9" w:rsidP="004739D7">
      <w:pPr>
        <w:spacing w:after="0" w:line="240" w:lineRule="auto"/>
      </w:pPr>
      <w:r>
        <w:separator/>
      </w:r>
    </w:p>
  </w:endnote>
  <w:endnote w:type="continuationSeparator" w:id="0">
    <w:p w14:paraId="7F2CACEF" w14:textId="77777777" w:rsidR="001603A9" w:rsidRDefault="001603A9" w:rsidP="00473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1F91" w14:textId="77777777" w:rsidR="004739D7" w:rsidRDefault="00473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EFA8" w14:textId="77777777" w:rsidR="004739D7" w:rsidRDefault="004739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CAC3" w14:textId="77777777" w:rsidR="004739D7" w:rsidRDefault="00473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13C15" w14:textId="77777777" w:rsidR="001603A9" w:rsidRDefault="001603A9" w:rsidP="004739D7">
      <w:pPr>
        <w:spacing w:after="0" w:line="240" w:lineRule="auto"/>
      </w:pPr>
      <w:r>
        <w:separator/>
      </w:r>
    </w:p>
  </w:footnote>
  <w:footnote w:type="continuationSeparator" w:id="0">
    <w:p w14:paraId="771F1703" w14:textId="77777777" w:rsidR="001603A9" w:rsidRDefault="001603A9" w:rsidP="00473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10AF" w14:textId="77777777" w:rsidR="004739D7" w:rsidRDefault="00000000">
    <w:pPr>
      <w:pStyle w:val="Header"/>
    </w:pPr>
    <w:r>
      <w:rPr>
        <w:noProof/>
      </w:rPr>
      <w:pict w14:anchorId="7EE1ED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05575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AAB9" w14:textId="77777777" w:rsidR="004739D7" w:rsidRDefault="00000000">
    <w:pPr>
      <w:pStyle w:val="Header"/>
    </w:pPr>
    <w:r>
      <w:rPr>
        <w:noProof/>
      </w:rPr>
      <w:pict w14:anchorId="701978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05575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16CD" w14:textId="77777777" w:rsidR="004739D7" w:rsidRDefault="00000000">
    <w:pPr>
      <w:pStyle w:val="Header"/>
    </w:pPr>
    <w:r>
      <w:rPr>
        <w:noProof/>
      </w:rPr>
      <w:pict w14:anchorId="085395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05575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c0sLAwMDEwNTc1NjVX0lEKTi0uzszPAykwrAUAZ/2qeSwAAAA="/>
  </w:docVars>
  <w:rsids>
    <w:rsidRoot w:val="006B537E"/>
    <w:rsid w:val="000212A4"/>
    <w:rsid w:val="00060924"/>
    <w:rsid w:val="000810C8"/>
    <w:rsid w:val="000905D4"/>
    <w:rsid w:val="000B62F3"/>
    <w:rsid w:val="000C7FEB"/>
    <w:rsid w:val="000F17FB"/>
    <w:rsid w:val="00114CAC"/>
    <w:rsid w:val="00120850"/>
    <w:rsid w:val="001557C4"/>
    <w:rsid w:val="00155E2B"/>
    <w:rsid w:val="001603A9"/>
    <w:rsid w:val="001916CA"/>
    <w:rsid w:val="00196932"/>
    <w:rsid w:val="001B0C28"/>
    <w:rsid w:val="001E40F2"/>
    <w:rsid w:val="001E6FE7"/>
    <w:rsid w:val="001F5F78"/>
    <w:rsid w:val="0021681C"/>
    <w:rsid w:val="00221D16"/>
    <w:rsid w:val="0022791C"/>
    <w:rsid w:val="002579D7"/>
    <w:rsid w:val="002739C5"/>
    <w:rsid w:val="00291ED7"/>
    <w:rsid w:val="002A2E70"/>
    <w:rsid w:val="002A3985"/>
    <w:rsid w:val="002C7E84"/>
    <w:rsid w:val="002E12C8"/>
    <w:rsid w:val="002F28A0"/>
    <w:rsid w:val="002F756B"/>
    <w:rsid w:val="0030440C"/>
    <w:rsid w:val="00310199"/>
    <w:rsid w:val="00323B17"/>
    <w:rsid w:val="003510D4"/>
    <w:rsid w:val="00386655"/>
    <w:rsid w:val="003A703D"/>
    <w:rsid w:val="003E743C"/>
    <w:rsid w:val="003F25EA"/>
    <w:rsid w:val="003F4A47"/>
    <w:rsid w:val="00411CEB"/>
    <w:rsid w:val="004511A4"/>
    <w:rsid w:val="00456F43"/>
    <w:rsid w:val="004739D7"/>
    <w:rsid w:val="004759A7"/>
    <w:rsid w:val="004A54BD"/>
    <w:rsid w:val="004E2643"/>
    <w:rsid w:val="00505A6A"/>
    <w:rsid w:val="005148AC"/>
    <w:rsid w:val="00523265"/>
    <w:rsid w:val="005277E2"/>
    <w:rsid w:val="00552E28"/>
    <w:rsid w:val="005573E6"/>
    <w:rsid w:val="00571FDB"/>
    <w:rsid w:val="00582BCA"/>
    <w:rsid w:val="00583213"/>
    <w:rsid w:val="005833B2"/>
    <w:rsid w:val="005920F1"/>
    <w:rsid w:val="005D4A1A"/>
    <w:rsid w:val="005E66E0"/>
    <w:rsid w:val="00605556"/>
    <w:rsid w:val="00612D92"/>
    <w:rsid w:val="00626AC6"/>
    <w:rsid w:val="00634D67"/>
    <w:rsid w:val="0063765E"/>
    <w:rsid w:val="00656A2F"/>
    <w:rsid w:val="006726AE"/>
    <w:rsid w:val="006B19C4"/>
    <w:rsid w:val="006B537E"/>
    <w:rsid w:val="006C0BE8"/>
    <w:rsid w:val="006C2C94"/>
    <w:rsid w:val="006E7B6A"/>
    <w:rsid w:val="006F79F0"/>
    <w:rsid w:val="00723AEE"/>
    <w:rsid w:val="007245E1"/>
    <w:rsid w:val="00731125"/>
    <w:rsid w:val="0076583D"/>
    <w:rsid w:val="00767D37"/>
    <w:rsid w:val="0078107F"/>
    <w:rsid w:val="007857E0"/>
    <w:rsid w:val="007A559C"/>
    <w:rsid w:val="007C5A57"/>
    <w:rsid w:val="007D5AA2"/>
    <w:rsid w:val="007D61CE"/>
    <w:rsid w:val="007D7B79"/>
    <w:rsid w:val="00801544"/>
    <w:rsid w:val="0081029F"/>
    <w:rsid w:val="00817AAE"/>
    <w:rsid w:val="00863DCA"/>
    <w:rsid w:val="00880A14"/>
    <w:rsid w:val="008A20AB"/>
    <w:rsid w:val="008B6CF1"/>
    <w:rsid w:val="008E4B33"/>
    <w:rsid w:val="008E7814"/>
    <w:rsid w:val="009038BD"/>
    <w:rsid w:val="00927CC0"/>
    <w:rsid w:val="00934D6F"/>
    <w:rsid w:val="00983693"/>
    <w:rsid w:val="009F1977"/>
    <w:rsid w:val="009F1DDA"/>
    <w:rsid w:val="00A0385E"/>
    <w:rsid w:val="00A262F9"/>
    <w:rsid w:val="00A47AAA"/>
    <w:rsid w:val="00A54FDC"/>
    <w:rsid w:val="00A6697C"/>
    <w:rsid w:val="00A67E4E"/>
    <w:rsid w:val="00AA5624"/>
    <w:rsid w:val="00AB33EB"/>
    <w:rsid w:val="00AE4164"/>
    <w:rsid w:val="00AF1C85"/>
    <w:rsid w:val="00B00D65"/>
    <w:rsid w:val="00B037F6"/>
    <w:rsid w:val="00B12F82"/>
    <w:rsid w:val="00B134EF"/>
    <w:rsid w:val="00B14FAA"/>
    <w:rsid w:val="00B27D92"/>
    <w:rsid w:val="00B56A83"/>
    <w:rsid w:val="00B6446C"/>
    <w:rsid w:val="00B65A92"/>
    <w:rsid w:val="00B96081"/>
    <w:rsid w:val="00BC0E04"/>
    <w:rsid w:val="00BE4E37"/>
    <w:rsid w:val="00C02F43"/>
    <w:rsid w:val="00C04651"/>
    <w:rsid w:val="00C212A0"/>
    <w:rsid w:val="00C2285C"/>
    <w:rsid w:val="00C33500"/>
    <w:rsid w:val="00C33796"/>
    <w:rsid w:val="00C453F1"/>
    <w:rsid w:val="00C60BFB"/>
    <w:rsid w:val="00C61FB4"/>
    <w:rsid w:val="00C63A97"/>
    <w:rsid w:val="00C75DC3"/>
    <w:rsid w:val="00C92D8F"/>
    <w:rsid w:val="00CD568D"/>
    <w:rsid w:val="00CF4797"/>
    <w:rsid w:val="00D1669A"/>
    <w:rsid w:val="00D24269"/>
    <w:rsid w:val="00D63A07"/>
    <w:rsid w:val="00D961D5"/>
    <w:rsid w:val="00DA4685"/>
    <w:rsid w:val="00DF3DAF"/>
    <w:rsid w:val="00E00C7E"/>
    <w:rsid w:val="00E120A4"/>
    <w:rsid w:val="00E23390"/>
    <w:rsid w:val="00E31335"/>
    <w:rsid w:val="00E42001"/>
    <w:rsid w:val="00E5287C"/>
    <w:rsid w:val="00E72783"/>
    <w:rsid w:val="00E73427"/>
    <w:rsid w:val="00E73F84"/>
    <w:rsid w:val="00E74B60"/>
    <w:rsid w:val="00E76394"/>
    <w:rsid w:val="00E82651"/>
    <w:rsid w:val="00E8649F"/>
    <w:rsid w:val="00E96B22"/>
    <w:rsid w:val="00EA2382"/>
    <w:rsid w:val="00EC1966"/>
    <w:rsid w:val="00EC4116"/>
    <w:rsid w:val="00ED3C8D"/>
    <w:rsid w:val="00ED49C5"/>
    <w:rsid w:val="00EE0CB3"/>
    <w:rsid w:val="00EE2CEC"/>
    <w:rsid w:val="00EF1997"/>
    <w:rsid w:val="00F03E9C"/>
    <w:rsid w:val="00F4311C"/>
    <w:rsid w:val="00FA1CC0"/>
    <w:rsid w:val="00FD6A5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19C37"/>
  <w15:chartTrackingRefBased/>
  <w15:docId w15:val="{0F9EA8D9-693D-49B2-9B27-2A393D158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3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53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53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53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53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53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3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3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3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3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53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53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53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53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53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3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3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37E"/>
    <w:rPr>
      <w:rFonts w:eastAsiaTheme="majorEastAsia" w:cstheme="majorBidi"/>
      <w:color w:val="272727" w:themeColor="text1" w:themeTint="D8"/>
    </w:rPr>
  </w:style>
  <w:style w:type="paragraph" w:styleId="Title">
    <w:name w:val="Title"/>
    <w:basedOn w:val="Normal"/>
    <w:next w:val="Normal"/>
    <w:link w:val="TitleChar"/>
    <w:uiPriority w:val="10"/>
    <w:qFormat/>
    <w:rsid w:val="006B53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3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3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37E"/>
    <w:pPr>
      <w:spacing w:before="160"/>
      <w:jc w:val="center"/>
    </w:pPr>
    <w:rPr>
      <w:i/>
      <w:iCs/>
      <w:color w:val="404040" w:themeColor="text1" w:themeTint="BF"/>
    </w:rPr>
  </w:style>
  <w:style w:type="character" w:customStyle="1" w:styleId="QuoteChar">
    <w:name w:val="Quote Char"/>
    <w:basedOn w:val="DefaultParagraphFont"/>
    <w:link w:val="Quote"/>
    <w:uiPriority w:val="29"/>
    <w:rsid w:val="006B537E"/>
    <w:rPr>
      <w:i/>
      <w:iCs/>
      <w:color w:val="404040" w:themeColor="text1" w:themeTint="BF"/>
    </w:rPr>
  </w:style>
  <w:style w:type="paragraph" w:styleId="ListParagraph">
    <w:name w:val="List Paragraph"/>
    <w:basedOn w:val="Normal"/>
    <w:uiPriority w:val="34"/>
    <w:qFormat/>
    <w:rsid w:val="006B537E"/>
    <w:pPr>
      <w:ind w:left="720"/>
      <w:contextualSpacing/>
    </w:pPr>
  </w:style>
  <w:style w:type="character" w:styleId="IntenseEmphasis">
    <w:name w:val="Intense Emphasis"/>
    <w:basedOn w:val="DefaultParagraphFont"/>
    <w:uiPriority w:val="21"/>
    <w:qFormat/>
    <w:rsid w:val="006B537E"/>
    <w:rPr>
      <w:i/>
      <w:iCs/>
      <w:color w:val="2F5496" w:themeColor="accent1" w:themeShade="BF"/>
    </w:rPr>
  </w:style>
  <w:style w:type="paragraph" w:styleId="IntenseQuote">
    <w:name w:val="Intense Quote"/>
    <w:basedOn w:val="Normal"/>
    <w:next w:val="Normal"/>
    <w:link w:val="IntenseQuoteChar"/>
    <w:uiPriority w:val="30"/>
    <w:qFormat/>
    <w:rsid w:val="006B53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537E"/>
    <w:rPr>
      <w:i/>
      <w:iCs/>
      <w:color w:val="2F5496" w:themeColor="accent1" w:themeShade="BF"/>
    </w:rPr>
  </w:style>
  <w:style w:type="character" w:styleId="IntenseReference">
    <w:name w:val="Intense Reference"/>
    <w:basedOn w:val="DefaultParagraphFont"/>
    <w:uiPriority w:val="32"/>
    <w:qFormat/>
    <w:rsid w:val="006B537E"/>
    <w:rPr>
      <w:b/>
      <w:bCs/>
      <w:smallCaps/>
      <w:color w:val="2F5496" w:themeColor="accent1" w:themeShade="BF"/>
      <w:spacing w:val="5"/>
    </w:rPr>
  </w:style>
  <w:style w:type="table" w:styleId="TableGrid">
    <w:name w:val="Table Grid"/>
    <w:basedOn w:val="TableNormal"/>
    <w:uiPriority w:val="39"/>
    <w:rsid w:val="009F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2C7E8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7E8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rsid w:val="002C7E8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
    <w:name w:val="List Table 6 Colorful"/>
    <w:basedOn w:val="TableNormal"/>
    <w:uiPriority w:val="51"/>
    <w:rsid w:val="002C7E8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00D6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
    <w:name w:val="Table Grid1"/>
    <w:basedOn w:val="TableNormal"/>
    <w:next w:val="TableGrid"/>
    <w:uiPriority w:val="39"/>
    <w:rsid w:val="001E40F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23265"/>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4311C"/>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05D4"/>
    <w:rPr>
      <w:color w:val="0563C1" w:themeColor="hyperlink"/>
      <w:u w:val="single"/>
    </w:rPr>
  </w:style>
  <w:style w:type="character" w:styleId="UnresolvedMention">
    <w:name w:val="Unresolved Mention"/>
    <w:basedOn w:val="DefaultParagraphFont"/>
    <w:uiPriority w:val="99"/>
    <w:semiHidden/>
    <w:unhideWhenUsed/>
    <w:rsid w:val="000905D4"/>
    <w:rPr>
      <w:color w:val="605E5C"/>
      <w:shd w:val="clear" w:color="auto" w:fill="E1DFDD"/>
    </w:rPr>
  </w:style>
  <w:style w:type="paragraph" w:styleId="Header">
    <w:name w:val="header"/>
    <w:basedOn w:val="Normal"/>
    <w:link w:val="HeaderChar"/>
    <w:uiPriority w:val="99"/>
    <w:unhideWhenUsed/>
    <w:rsid w:val="004739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9D7"/>
  </w:style>
  <w:style w:type="paragraph" w:styleId="Footer">
    <w:name w:val="footer"/>
    <w:basedOn w:val="Normal"/>
    <w:link w:val="FooterChar"/>
    <w:uiPriority w:val="99"/>
    <w:unhideWhenUsed/>
    <w:rsid w:val="004739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9D7"/>
  </w:style>
  <w:style w:type="paragraph" w:styleId="NormalWeb">
    <w:name w:val="Normal (Web)"/>
    <w:basedOn w:val="Normal"/>
    <w:uiPriority w:val="99"/>
    <w:semiHidden/>
    <w:unhideWhenUsed/>
    <w:rsid w:val="00C3379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o.org/faostat/en/" TargetMode="External"/><Relationship Id="rId18" Type="http://schemas.openxmlformats.org/officeDocument/2006/relationships/hyperlink" Target="https://doi.org/10.18805/LR-4956" TargetMode="External"/><Relationship Id="rId26" Type="http://schemas.openxmlformats.org/officeDocument/2006/relationships/hyperlink" Target="https://oar.icrisat.org/6235/" TargetMode="External"/><Relationship Id="rId39" Type="http://schemas.openxmlformats.org/officeDocument/2006/relationships/theme" Target="theme/theme1.xml"/><Relationship Id="rId21" Type="http://schemas.openxmlformats.org/officeDocument/2006/relationships/hyperlink" Target="https://doi.org/10.54910/sabrao2023.55.1.10" TargetMode="External"/><Relationship Id="rId34"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hyperlink" Target="https://doi.org/10.31783/elsr.2022.81114118" TargetMode="External"/><Relationship Id="rId17" Type="http://schemas.openxmlformats.org/officeDocument/2006/relationships/hyperlink" Target="https://CRAN.R-project.org/package=factoextra" TargetMode="External"/><Relationship Id="rId25" Type="http://schemas.openxmlformats.org/officeDocument/2006/relationships/hyperlink" Target="https://doi.org/10.1016/j.aasci.2018.02.003"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1098/rsta.2015.0202" TargetMode="External"/><Relationship Id="rId20" Type="http://schemas.openxmlformats.org/officeDocument/2006/relationships/hyperlink" Target="https://epubs.icar.org.in/index.php/TJRA/article/view/140422" TargetMode="External"/><Relationship Id="rId29" Type="http://schemas.openxmlformats.org/officeDocument/2006/relationships/hyperlink" Target="https://doi.org/10.1093/molbev/msab166"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3389/fpls.2026.1850930" TargetMode="External"/><Relationship Id="rId24" Type="http://schemas.openxmlformats.org/officeDocument/2006/relationships/hyperlink" Target="https://doi.org/10.1007/978-94-011-0733-4_6"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sasapjas.org/genetic-divergence-studies-for-yield-yield-components-and-resistance-to-late-leaf-spot-in-groundnut-arachis-hypogaea-l/" TargetMode="External"/><Relationship Id="rId23" Type="http://schemas.openxmlformats.org/officeDocument/2006/relationships/hyperlink" Target="https://sasapjas.org/studies-on-genetic-divergence-for-yield-yield-components-and-quality-traits-in-groundnut-arachis-hypogaea-l/" TargetMode="External"/><Relationship Id="rId28" Type="http://schemas.openxmlformats.org/officeDocument/2006/relationships/hyperlink" Target="https://doi.org/10.37992/2023.1403.143" TargetMode="External"/><Relationship Id="rId36" Type="http://schemas.openxmlformats.org/officeDocument/2006/relationships/header" Target="header3.xml"/><Relationship Id="rId10" Type="http://schemas.openxmlformats.org/officeDocument/2006/relationships/hyperlink" Target="https://doi.org/10.3389/fpls.2025.1640041" TargetMode="External"/><Relationship Id="rId19" Type="http://schemas.openxmlformats.org/officeDocument/2006/relationships/hyperlink" Target="https://doi.org/10.1016/j.jfca.2025.107574" TargetMode="External"/><Relationship Id="rId31" Type="http://schemas.openxmlformats.org/officeDocument/2006/relationships/hyperlink" Target="https://doi.org/10.1038/s41588-025-02170-w" TargetMode="External"/><Relationship Id="rId4" Type="http://schemas.openxmlformats.org/officeDocument/2006/relationships/footnotes" Target="footnotes.xml"/><Relationship Id="rId9" Type="http://schemas.openxmlformats.org/officeDocument/2006/relationships/hyperlink" Target="https://doi.org/10.54910/sabrao2022.54.3.9" TargetMode="External"/><Relationship Id="rId14" Type="http://schemas.openxmlformats.org/officeDocument/2006/relationships/hyperlink" Target="https://www.indiastat.com/data/agriculture" TargetMode="External"/><Relationship Id="rId22" Type="http://schemas.openxmlformats.org/officeDocument/2006/relationships/hyperlink" Target="https://doi.org/10.56557/arjocs/2026/v8i1207" TargetMode="External"/><Relationship Id="rId27" Type="http://schemas.openxmlformats.org/officeDocument/2006/relationships/hyperlink" Target="https://doi.org/10.9734/jsrr/2024/v30i112556" TargetMode="External"/><Relationship Id="rId30" Type="http://schemas.openxmlformats.org/officeDocument/2006/relationships/hyperlink" Target="https://doi.org/10.1111/2041-210X.12628" TargetMode="External"/><Relationship Id="rId35" Type="http://schemas.openxmlformats.org/officeDocument/2006/relationships/footer" Target="footer2.xml"/><Relationship Id="rId8" Type="http://schemas.openxmlformats.org/officeDocument/2006/relationships/image" Target="media/image3.png"/><Relationship Id="rId3" Type="http://schemas.openxmlformats.org/officeDocument/2006/relationships/webSettings" Target="webSettings.xml"/><Relationship Id="rId40" Type="http://schemas.openxmlformats.org/officeDocument/2006/relationships/hyperlink" Target="https://www.fao.org/faostat/en/#data/QCL" TargetMode="External"/><Relationship Id="rId41" Type="http://schemas.openxmlformats.org/officeDocument/2006/relationships/hyperlink" Target="https://www.indiastat.com/data/agriculture/groundnuts-pean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16</Pages>
  <Words>5180</Words>
  <Characters>29528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Wahid Husen</dc:creator>
  <cp:keywords/>
  <dc:description/>
  <cp:lastModifiedBy>SDI 1020</cp:lastModifiedBy>
  <cp:revision>168</cp:revision>
  <dcterms:created xsi:type="dcterms:W3CDTF">2026-10-18T14:56:00Z</dcterms:created>
  <dcterms:modified xsi:type="dcterms:W3CDTF">2026-10-31T08:29:00Z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d8af9f8dac9f3a275d1ebeaa9339eea353e162609144150e06c1a0853f2deefb</vt:lpwstr>
  </property>
</Properties>
</file>