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FBA11" w14:textId="77777777" w:rsidR="00581635" w:rsidRDefault="00317EF8">
      <w:pPr>
        <w:pStyle w:val="Normal1"/>
        <w:spacing w:after="240" w:line="264" w:lineRule="auto"/>
        <w:jc w:val="right"/>
      </w:pPr>
      <w:r>
        <w:rPr>
          <w:b/>
          <w:bCs/>
          <w:sz w:val="36"/>
          <w:szCs w:val="36"/>
        </w:rPr>
        <w:t xml:space="preserve">Determinants of Caregiver-Reported Dental Caries Among Preschool Children in Selected Communities in </w:t>
      </w:r>
      <w:proofErr w:type="spellStart"/>
      <w:r>
        <w:rPr>
          <w:b/>
          <w:bCs/>
          <w:sz w:val="36"/>
          <w:szCs w:val="36"/>
        </w:rPr>
        <w:t>Okrika</w:t>
      </w:r>
      <w:proofErr w:type="spellEnd"/>
      <w:r>
        <w:rPr>
          <w:b/>
          <w:bCs/>
          <w:sz w:val="36"/>
          <w:szCs w:val="36"/>
        </w:rPr>
        <w:t xml:space="preserve"> Local Government Area, Rivers State, Nigeria</w:t>
      </w:r>
    </w:p>
    <w:p w14:paraId="5E91EC53" w14:textId="77777777" w:rsidR="00581635" w:rsidRDefault="00317EF8">
      <w:pPr>
        <w:pStyle w:val="Normal1"/>
        <w:spacing w:after="240"/>
        <w:jc w:val="right"/>
      </w:pPr>
      <w:r>
        <w:rPr>
          <w:i/>
          <w:iCs/>
        </w:rPr>
        <w:t>.</w:t>
      </w:r>
    </w:p>
    <w:p w14:paraId="1F24174D" w14:textId="77777777" w:rsidR="00581635" w:rsidRDefault="00317EF8">
      <w:pPr>
        <w:pStyle w:val="Normal1"/>
        <w:spacing w:before="120" w:after="120" w:line="264" w:lineRule="auto"/>
      </w:pPr>
      <w:r>
        <w:rPr>
          <w:b/>
          <w:bCs/>
          <w:sz w:val="22"/>
          <w:szCs w:val="22"/>
        </w:rPr>
        <w:t>ABSTRACT</w:t>
      </w:r>
    </w:p>
    <w:p w14:paraId="461FE1DF" w14:textId="77777777" w:rsidR="00AC10CE" w:rsidRDefault="00AC10CE">
      <w:pPr>
        <w:pStyle w:val="Normal1"/>
        <w:spacing w:after="120" w:line="264" w:lineRule="auto"/>
        <w:jc w:val="both"/>
        <w:rPr>
          <w:b/>
          <w:bCs/>
        </w:rPr>
      </w:pPr>
      <w:r w:rsidRPr="00AC10CE">
        <w:rPr>
          <w:b/>
          <w:bCs/>
        </w:rPr>
        <w:t xml:space="preserve">Background: </w:t>
      </w:r>
      <w:r w:rsidRPr="00AC10CE">
        <w:t>Caregiver reports are often used to identify possible oral health problems in young children, but their correspondence with clinically assessed dental caries may vary across settings.</w:t>
      </w:r>
    </w:p>
    <w:p w14:paraId="469EB512" w14:textId="70040770" w:rsidR="00581635" w:rsidRDefault="00317EF8">
      <w:pPr>
        <w:pStyle w:val="Normal1"/>
        <w:spacing w:after="120" w:line="264" w:lineRule="auto"/>
        <w:jc w:val="both"/>
      </w:pPr>
      <w:r>
        <w:rPr>
          <w:b/>
          <w:bCs/>
        </w:rPr>
        <w:t xml:space="preserve">Aims: </w:t>
      </w:r>
      <w:r w:rsidR="00804BFC" w:rsidRPr="00804BFC">
        <w:t xml:space="preserve">This study examined the prevalence and determinants of caregiver-reported caries indicators and clinically assessed caries among preschool children in </w:t>
      </w:r>
      <w:proofErr w:type="spellStart"/>
      <w:r w:rsidR="00804BFC" w:rsidRPr="00804BFC">
        <w:t>Okrika</w:t>
      </w:r>
      <w:proofErr w:type="spellEnd"/>
      <w:r w:rsidR="00804BFC" w:rsidRPr="00804BFC">
        <w:t xml:space="preserve"> Local Government Area, Rivers State, Nigeria.</w:t>
      </w:r>
    </w:p>
    <w:p w14:paraId="5195540C" w14:textId="77777777" w:rsidR="00581635" w:rsidRDefault="00317EF8">
      <w:pPr>
        <w:pStyle w:val="Normal1"/>
        <w:spacing w:after="120" w:line="264" w:lineRule="auto"/>
        <w:jc w:val="both"/>
      </w:pPr>
      <w:r>
        <w:rPr>
          <w:b/>
          <w:bCs/>
        </w:rPr>
        <w:t xml:space="preserve">Study design: </w:t>
      </w:r>
      <w:r>
        <w:t>Community-based analytical cross-sectional study.</w:t>
      </w:r>
    </w:p>
    <w:p w14:paraId="68C62866" w14:textId="77777777" w:rsidR="00581635" w:rsidRDefault="00317EF8">
      <w:pPr>
        <w:pStyle w:val="Normal1"/>
        <w:spacing w:after="120" w:line="264" w:lineRule="auto"/>
        <w:jc w:val="both"/>
      </w:pPr>
      <w:r>
        <w:rPr>
          <w:b/>
          <w:bCs/>
        </w:rPr>
        <w:t xml:space="preserve">Place and Duration of Study: </w:t>
      </w:r>
      <w:r>
        <w:t xml:space="preserve">Five communities (Ibaka, </w:t>
      </w:r>
      <w:proofErr w:type="spellStart"/>
      <w:r>
        <w:t>Ogbogbo</w:t>
      </w:r>
      <w:proofErr w:type="spellEnd"/>
      <w:r>
        <w:t xml:space="preserve">, </w:t>
      </w:r>
      <w:proofErr w:type="spellStart"/>
      <w:r>
        <w:t>Ogoloma</w:t>
      </w:r>
      <w:proofErr w:type="spellEnd"/>
      <w:r>
        <w:t xml:space="preserve">, Kalio and </w:t>
      </w:r>
      <w:proofErr w:type="spellStart"/>
      <w:r>
        <w:t>Okochiri</w:t>
      </w:r>
      <w:proofErr w:type="spellEnd"/>
      <w:r>
        <w:t xml:space="preserve">) in </w:t>
      </w:r>
      <w:proofErr w:type="spellStart"/>
      <w:r>
        <w:t>Okrika</w:t>
      </w:r>
      <w:proofErr w:type="spellEnd"/>
      <w:r>
        <w:t xml:space="preserve"> Local Government Area, Rivers State, Nigeria, </w:t>
      </w:r>
      <w:r w:rsidR="00C25903">
        <w:t>[2nd May 2026 to 28</w:t>
      </w:r>
      <w:r w:rsidR="00C25903" w:rsidRPr="00C25903">
        <w:rPr>
          <w:vertAlign w:val="superscript"/>
        </w:rPr>
        <w:t>th</w:t>
      </w:r>
      <w:r w:rsidR="00C25903">
        <w:t xml:space="preserve"> June 2026]</w:t>
      </w:r>
    </w:p>
    <w:p w14:paraId="1508BB4E" w14:textId="3040F6D1" w:rsidR="00581635" w:rsidRDefault="00317EF8">
      <w:pPr>
        <w:pStyle w:val="Normal1"/>
        <w:spacing w:after="120" w:line="264" w:lineRule="auto"/>
        <w:jc w:val="both"/>
      </w:pPr>
      <w:r>
        <w:rPr>
          <w:b/>
          <w:bCs/>
        </w:rPr>
        <w:t>Methodology:</w:t>
      </w:r>
      <w:r w:rsidR="006F166C">
        <w:rPr>
          <w:b/>
          <w:bCs/>
        </w:rPr>
        <w:t xml:space="preserve"> </w:t>
      </w:r>
      <w:r w:rsidR="006F166C" w:rsidRPr="002D3DD9">
        <w:t>The study included</w:t>
      </w:r>
      <w:r w:rsidR="006F166C">
        <w:rPr>
          <w:b/>
          <w:bCs/>
        </w:rPr>
        <w:t xml:space="preserve"> </w:t>
      </w:r>
      <w:r>
        <w:t>389 caregiver–child pairs selected by multistage sampling. Caregivers completed a structured questionnaire, and children aged 3–5 years had a clinical oral examination using the decayed, missing and filled primary teeth (</w:t>
      </w:r>
      <w:proofErr w:type="spellStart"/>
      <w:r>
        <w:t>dmft</w:t>
      </w:r>
      <w:proofErr w:type="spellEnd"/>
      <w:r>
        <w:t xml:space="preserve">) index. Caregiver-reported caries was defined as an affirmative response to at least half of ten caries-related items. Data were </w:t>
      </w:r>
      <w:r>
        <w:rPr>
          <w:highlight w:val="yellow"/>
        </w:rPr>
        <w:t>analysed using</w:t>
      </w:r>
      <w:r>
        <w:t xml:space="preserve"> chi-square tests, Cohen’s kappa and binary logistic regression.</w:t>
      </w:r>
    </w:p>
    <w:p w14:paraId="0B06688B" w14:textId="77777777" w:rsidR="00581635" w:rsidRDefault="00317EF8">
      <w:pPr>
        <w:pStyle w:val="Normal1"/>
        <w:spacing w:after="120" w:line="264" w:lineRule="auto"/>
        <w:jc w:val="both"/>
      </w:pPr>
      <w:r w:rsidRPr="00C25903">
        <w:rPr>
          <w:b/>
          <w:bCs/>
        </w:rPr>
        <w:t xml:space="preserve">Results: </w:t>
      </w:r>
      <w:r w:rsidRPr="00C25903">
        <w:rPr>
          <w:rFonts w:eastAsia="Arial Unicode MS"/>
        </w:rPr>
        <w:t xml:space="preserve">By the composite measure, 269 children (69.2%) were classified as caregiver-reported caries positive, whereas clinical examination identified caries in 20 children (5.1%; mean </w:t>
      </w:r>
      <w:proofErr w:type="spellStart"/>
      <w:r w:rsidRPr="00C25903">
        <w:rPr>
          <w:rFonts w:eastAsia="Arial Unicode MS"/>
        </w:rPr>
        <w:t>dmft</w:t>
      </w:r>
      <w:proofErr w:type="spellEnd"/>
      <w:r w:rsidRPr="00C25903">
        <w:rPr>
          <w:rFonts w:eastAsia="Arial Unicode MS"/>
        </w:rPr>
        <w:t xml:space="preserve"> = 0.06). Agreement between the two measures was no better than chance (κ = −0.006; χ² = 0.17, </w:t>
      </w:r>
      <w:r w:rsidRPr="00C25903">
        <w:rPr>
          <w:i/>
          <w:iCs/>
        </w:rPr>
        <w:t>P</w:t>
      </w:r>
      <w:r w:rsidRPr="00C25903">
        <w:t> = .68).</w:t>
      </w:r>
      <w:r>
        <w:t xml:space="preserve"> Against clinical status, caregiver report had a sensitivity of 65.0% and a specificity of 30.6%. An </w:t>
      </w:r>
      <w:r>
        <w:rPr>
          <w:highlight w:val="yellow"/>
        </w:rPr>
        <w:t>unfavourable</w:t>
      </w:r>
      <w:r>
        <w:t xml:space="preserve"> environment was associated with caregiver-reported caries (adjusted odds ratio [AOR] = 2.81; 95% CI: 1.64–4.81; </w:t>
      </w:r>
      <w:r>
        <w:rPr>
          <w:i/>
          <w:iCs/>
        </w:rPr>
        <w:t>P</w:t>
      </w:r>
      <w:r>
        <w:t xml:space="preserve"> &lt; .001), whereas poor caregiver knowledge did not reach statistical significance (AOR = 1.85; 95% CI: 0.997–3.44; </w:t>
      </w:r>
      <w:r>
        <w:rPr>
          <w:i/>
          <w:iCs/>
        </w:rPr>
        <w:t>P</w:t>
      </w:r>
      <w:r>
        <w:t> = .051). No factor was associated with clinical caries, but only 20 children were affected, so these estimates are imprecise.</w:t>
      </w:r>
    </w:p>
    <w:p w14:paraId="0FE561BC" w14:textId="77777777" w:rsidR="00581635" w:rsidRDefault="00317EF8">
      <w:pPr>
        <w:pStyle w:val="Normal1"/>
        <w:spacing w:after="120" w:line="264" w:lineRule="auto"/>
        <w:jc w:val="both"/>
      </w:pPr>
      <w:r>
        <w:rPr>
          <w:b/>
          <w:bCs/>
        </w:rPr>
        <w:t xml:space="preserve">Conclusion: </w:t>
      </w:r>
      <w:r>
        <w:t>Caregiver-reported indicators reflect perceived dental problems rather than clinical caries and should complement, not replace, clinical examination. Routine preschool dental screening and caregiver education are recommended.</w:t>
      </w:r>
    </w:p>
    <w:p w14:paraId="6DE3167A" w14:textId="2962AB23" w:rsidR="00581635" w:rsidRDefault="00317EF8">
      <w:pPr>
        <w:pStyle w:val="Normal1"/>
        <w:spacing w:before="60" w:after="200" w:line="264" w:lineRule="auto"/>
        <w:jc w:val="both"/>
      </w:pPr>
      <w:r>
        <w:rPr>
          <w:i/>
          <w:iCs/>
        </w:rPr>
        <w:t xml:space="preserve">Keywords: </w:t>
      </w:r>
      <w:r w:rsidR="0049105E" w:rsidRPr="00EC5DA0">
        <w:t xml:space="preserve">Early childhood caries; Preschool children; Caregiver-reported dental caries; Dental screening; </w:t>
      </w:r>
      <w:proofErr w:type="spellStart"/>
      <w:r w:rsidR="0049105E" w:rsidRPr="00EC5DA0">
        <w:t>dmft</w:t>
      </w:r>
      <w:proofErr w:type="spellEnd"/>
      <w:r w:rsidR="0049105E" w:rsidRPr="00EC5DA0">
        <w:t xml:space="preserve"> index; Oral health knowledge; Environmental determinants; Health-service access</w:t>
      </w:r>
    </w:p>
    <w:p w14:paraId="3BE23477" w14:textId="77777777" w:rsidR="00581635" w:rsidRDefault="00317EF8">
      <w:pPr>
        <w:pStyle w:val="Heading1"/>
        <w:keepNext/>
        <w:spacing w:before="240" w:after="120"/>
      </w:pPr>
      <w:r>
        <w:t>1. INTRODUCTION</w:t>
      </w:r>
    </w:p>
    <w:p w14:paraId="700393AB" w14:textId="77777777" w:rsidR="00581635" w:rsidRPr="00416EAC" w:rsidRDefault="00317EF8">
      <w:pPr>
        <w:pStyle w:val="Normal1"/>
        <w:spacing w:after="120" w:line="264" w:lineRule="auto"/>
        <w:jc w:val="both"/>
        <w:rPr>
          <w:bCs/>
        </w:rPr>
      </w:pPr>
      <w:r>
        <w:t xml:space="preserve">Dental caries is one of the most prevalent non-communicable diseases among children worldwide, and early childhood caries (ECC), defined as the presence of one or more </w:t>
      </w:r>
      <w:r>
        <w:lastRenderedPageBreak/>
        <w:t>decayed, missing (due to caries) or filled tooth surfaces in any primary tooth of a child aged 71 months or younger, is a growing public health concern (</w:t>
      </w:r>
      <w:r w:rsidR="00136DE6" w:rsidRPr="00136DE6">
        <w:rPr>
          <w:color w:val="1B1B1B"/>
          <w:shd w:val="clear" w:color="auto" w:fill="FFFFFF"/>
        </w:rPr>
        <w:t>Kimmie-</w:t>
      </w:r>
      <w:proofErr w:type="spellStart"/>
      <w:r w:rsidR="00136DE6" w:rsidRPr="00136DE6">
        <w:rPr>
          <w:color w:val="1B1B1B"/>
          <w:shd w:val="clear" w:color="auto" w:fill="FFFFFF"/>
        </w:rPr>
        <w:t>Dhansay</w:t>
      </w:r>
      <w:proofErr w:type="spellEnd"/>
      <w:r w:rsidR="00136DE6">
        <w:rPr>
          <w:color w:val="1B1B1B"/>
          <w:highlight w:val="yellow"/>
          <w:shd w:val="clear" w:color="auto" w:fill="FFFFFF"/>
        </w:rPr>
        <w:t xml:space="preserve"> et al.</w:t>
      </w:r>
      <w:r w:rsidR="00136DE6">
        <w:t>, 2026</w:t>
      </w:r>
      <w:r>
        <w:t xml:space="preserve">). Globally, nearly half of preschool-age children are affected, and untreated disease is frequently linked to pain, infection, impaired feeding and nutrition, and poorer growth and quality of life (Uribe et al., 2021; </w:t>
      </w:r>
      <w:proofErr w:type="spellStart"/>
      <w:r>
        <w:t>Maklennan</w:t>
      </w:r>
      <w:proofErr w:type="spellEnd"/>
      <w:r>
        <w:t xml:space="preserve"> et al., 2024). Although largely preventable through early oral health practices and education, ECC persists as a social health problem, which points to structural barriers in the delivery of oral health </w:t>
      </w:r>
      <w:proofErr w:type="spellStart"/>
      <w:r>
        <w:rPr>
          <w:highlight w:val="yellow"/>
        </w:rPr>
        <w:t>programmes</w:t>
      </w:r>
      <w:proofErr w:type="spellEnd"/>
      <w:r>
        <w:t xml:space="preserve"> (</w:t>
      </w:r>
      <w:proofErr w:type="spellStart"/>
      <w:r>
        <w:t>Ndekero</w:t>
      </w:r>
      <w:proofErr w:type="spellEnd"/>
      <w:r>
        <w:t xml:space="preserve"> et al., 2021).</w:t>
      </w:r>
      <w:r>
        <w:rPr>
          <w:b/>
          <w:highlight w:val="yellow"/>
        </w:rPr>
        <w:t xml:space="preserve"> </w:t>
      </w:r>
      <w:r w:rsidRPr="00416EAC">
        <w:rPr>
          <w:bCs/>
          <w:highlight w:val="yellow"/>
        </w:rPr>
        <w:t>A Cochrane review found moderate-certainty evidence that dietary and feeding advice provided to pregnant women or caregivers during infancy probably leads to a small reduction in early childhood caries risk (Gomersall et al., 2024). A single-child case report has also described minimally invasive treatment of clinically identified early childhood caries; such treatment evidence does not establish the accuracy of caregiver-reported indicators (Shaikh et al., 2025).</w:t>
      </w:r>
    </w:p>
    <w:p w14:paraId="5444EA2D" w14:textId="77777777" w:rsidR="00581635" w:rsidRPr="00416EAC" w:rsidRDefault="00317EF8">
      <w:pPr>
        <w:pStyle w:val="Normal1"/>
        <w:spacing w:after="120" w:line="264" w:lineRule="auto"/>
        <w:jc w:val="both"/>
        <w:rPr>
          <w:bCs/>
        </w:rPr>
      </w:pPr>
      <w:r>
        <w:t>In sub-Saharan Africa (SSA), the burden of ECC is substantial but unevenly documented. A systematic review of African studies reported a pooled prevalence of about 38%, with wide variation across countries and settings and with diagnostic criteria and study methods that differ considerably (Kimmie-</w:t>
      </w:r>
      <w:proofErr w:type="spellStart"/>
      <w:r>
        <w:t>Dhansay</w:t>
      </w:r>
      <w:proofErr w:type="spellEnd"/>
      <w:r>
        <w:t xml:space="preserve"> et al., 2026). Evidence from Southern Africa points to even higher estimates and to limited access to dental services as a contributing factor (Ogunlade et al., 2026). Children in densely populated, low-resource communities are of particular concern, because low parental education, cariogenic diets and limited use of dental services have been identified as risk contributors in African slum settings (</w:t>
      </w:r>
      <w:proofErr w:type="spellStart"/>
      <w:r>
        <w:t>Osadolor</w:t>
      </w:r>
      <w:proofErr w:type="spellEnd"/>
      <w:r>
        <w:t xml:space="preserve"> et al., 2025).</w:t>
      </w:r>
      <w:r>
        <w:rPr>
          <w:b/>
          <w:highlight w:val="yellow"/>
        </w:rPr>
        <w:t xml:space="preserve"> </w:t>
      </w:r>
      <w:r w:rsidRPr="00416EAC">
        <w:rPr>
          <w:bCs/>
          <w:highlight w:val="yellow"/>
        </w:rPr>
        <w:t>A recent systematic review also identified caregiver oral health status as a family-level factor associated with dental caries in children, although the reviewed associations do not establish causality (Ng Kwok Cheung et al., 2026).</w:t>
      </w:r>
    </w:p>
    <w:p w14:paraId="72D89F47" w14:textId="77777777" w:rsidR="00581635" w:rsidRPr="00416EAC" w:rsidRDefault="00317EF8">
      <w:pPr>
        <w:pStyle w:val="Normal1"/>
        <w:spacing w:after="120" w:line="264" w:lineRule="auto"/>
        <w:jc w:val="both"/>
      </w:pPr>
      <w:r>
        <w:t xml:space="preserve">In Nigeria, ECC research has increased over the last decade but remains fragmented and concentrated in the south-west. A meta-analysis of Nigerian studies reported a pooled ECC prevalence of 17% among children under six years, with marked heterogeneity (Okolo et al., 2024), and a more recent review reported 22% (Orhorhoro et al., 2026). Individual community studies have reported much lower clinical estimates, for example 4.7% in a </w:t>
      </w:r>
      <w:proofErr w:type="spellStart"/>
      <w:r>
        <w:t>subrural</w:t>
      </w:r>
      <w:proofErr w:type="spellEnd"/>
      <w:r>
        <w:t xml:space="preserve"> population in Ile-Ife and 4.3% in a related mother–child dataset (Folayan et al., 2021; Alade et al., 2021). Many Nigerian studies have focused on prevalence or on single risk factors such as feeding and hygiene habits, with less attention to environmental conditions, access to dental care and the way caregivers perceive and report children’s oral problems (</w:t>
      </w:r>
      <w:proofErr w:type="spellStart"/>
      <w:r>
        <w:t>Ehizele</w:t>
      </w:r>
      <w:proofErr w:type="spellEnd"/>
      <w:r>
        <w:t xml:space="preserve"> et al., 2023</w:t>
      </w:r>
      <w:r w:rsidRPr="00416EAC">
        <w:t>).</w:t>
      </w:r>
      <w:r w:rsidRPr="00416EAC">
        <w:rPr>
          <w:highlight w:val="yellow"/>
        </w:rPr>
        <w:t xml:space="preserve"> A questionnaire-based study outside Nigeria similarly identified gaps in parental awareness of the recommended timing of a child’s first dental visit (Janarthanan et al., 2026).</w:t>
      </w:r>
    </w:p>
    <w:p w14:paraId="7B636C50" w14:textId="77777777" w:rsidR="00581635" w:rsidRPr="00416EAC" w:rsidRDefault="00317EF8">
      <w:pPr>
        <w:pStyle w:val="Normal1"/>
        <w:spacing w:after="120" w:line="264" w:lineRule="auto"/>
        <w:jc w:val="both"/>
      </w:pPr>
      <w:r w:rsidRPr="00416EAC">
        <w:t xml:space="preserve">The way caries is measured matters for planning. Clinical examination remains the reference standard, but it is resource-intensive, and caregiver reports are often proposed as a cheaper proxy for identifying children in need. Evidence on the validity of such reports is mixed. In Ile-Ife, maternal report of ECC had high specificity but a sensitivity of only 9.4% against clinical </w:t>
      </w:r>
      <w:proofErr w:type="spellStart"/>
      <w:r w:rsidRPr="00416EAC">
        <w:t>dmft</w:t>
      </w:r>
      <w:proofErr w:type="spellEnd"/>
      <w:r w:rsidRPr="00416EAC">
        <w:t xml:space="preserve"> examination (Folayan et al., 2020), whereas in the United States guardian ratings of poor oral health were strongly associated with clinically determined ECC and toothache (Imes et al., 2021). Whether caregivers in underserved Nigerian communities can </w:t>
      </w:r>
      <w:r w:rsidRPr="00416EAC">
        <w:rPr>
          <w:highlight w:val="yellow"/>
        </w:rPr>
        <w:t>recognise</w:t>
      </w:r>
      <w:r w:rsidRPr="00416EAC">
        <w:t xml:space="preserve"> caries-related problems in a way that matches clinical findings is largely unknown.</w:t>
      </w:r>
      <w:r w:rsidRPr="00416EAC">
        <w:rPr>
          <w:highlight w:val="yellow"/>
        </w:rPr>
        <w:t xml:space="preserve"> A study involving parental questionnaires and clinical examinations found that parental oral health literacy, child oral health behaviours and caries severity were associated with oral health-related quality of life among preschool children (Zhang et al., 2025).</w:t>
      </w:r>
    </w:p>
    <w:p w14:paraId="303F2D47" w14:textId="77777777" w:rsidR="00581635" w:rsidRDefault="00317EF8">
      <w:pPr>
        <w:pStyle w:val="Normal1"/>
        <w:spacing w:after="120" w:line="264" w:lineRule="auto"/>
        <w:jc w:val="both"/>
      </w:pPr>
      <w:r w:rsidRPr="00416EAC">
        <w:t>In Rivers State, dental-caries research has included adults and children (</w:t>
      </w:r>
      <w:proofErr w:type="spellStart"/>
      <w:r w:rsidRPr="00416EAC">
        <w:t>Arigbede</w:t>
      </w:r>
      <w:proofErr w:type="spellEnd"/>
      <w:r w:rsidRPr="00416EAC">
        <w:t xml:space="preserve"> &amp; </w:t>
      </w:r>
      <w:proofErr w:type="spellStart"/>
      <w:r w:rsidRPr="00416EAC">
        <w:t>Iruobe</w:t>
      </w:r>
      <w:proofErr w:type="spellEnd"/>
      <w:r w:rsidRPr="00416EAC">
        <w:t xml:space="preserve">, 2023; </w:t>
      </w:r>
      <w:proofErr w:type="spellStart"/>
      <w:r w:rsidRPr="00416EAC">
        <w:t>Eigbobo</w:t>
      </w:r>
      <w:proofErr w:type="spellEnd"/>
      <w:r w:rsidRPr="00416EAC">
        <w:t xml:space="preserve"> &amp; Etim, 2015), and no community-based study of ECC amo</w:t>
      </w:r>
      <w:r>
        <w:t xml:space="preserve">ng preschool </w:t>
      </w:r>
      <w:r>
        <w:lastRenderedPageBreak/>
        <w:t xml:space="preserve">children in </w:t>
      </w:r>
      <w:proofErr w:type="spellStart"/>
      <w:r>
        <w:t>Okrika</w:t>
      </w:r>
      <w:proofErr w:type="spellEnd"/>
      <w:r>
        <w:t xml:space="preserve"> Local Government Area (LGA) has been documented. Okrika’s densely populated communities combine limited sanitation, a lack of </w:t>
      </w:r>
      <w:r>
        <w:rPr>
          <w:highlight w:val="yellow"/>
        </w:rPr>
        <w:t>specialised</w:t>
      </w:r>
      <w:r>
        <w:t xml:space="preserve"> dental facilities and cultural feeding practices that may raise caries risk. The study was guided by the social ecological model (Golden &amp; Earp, 2012) and the World Health Organization framework on the social determinants of health (World Health Organization, 2010), which view children’s oral health as shaped by caregiver, household, community and health-system factors. This study therefore assessed the determinants of caregiver-reported dental caries among preschool children in selected communities in </w:t>
      </w:r>
      <w:proofErr w:type="spellStart"/>
      <w:r>
        <w:t>Okrika</w:t>
      </w:r>
      <w:proofErr w:type="spellEnd"/>
      <w:r>
        <w:t xml:space="preserve"> LGA, Rivers State, Nigeria, and compared caregiver-reported with clinically assessed caries. In this paper, “caregiver-reported dental caries” means a composite of caregiver-reported symptoms, signs and experiences related to tooth decay (defined in Section 2.8); it is a measure of perceived problems and not a clinical diagnosis.</w:t>
      </w:r>
    </w:p>
    <w:p w14:paraId="02B8CC25" w14:textId="77777777" w:rsidR="00581635" w:rsidRDefault="00317EF8">
      <w:pPr>
        <w:pStyle w:val="Normal1"/>
        <w:spacing w:after="120" w:line="264" w:lineRule="auto"/>
        <w:jc w:val="both"/>
      </w:pPr>
      <w:r>
        <w:t>The specific objectives were to: (</w:t>
      </w:r>
      <w:proofErr w:type="spellStart"/>
      <w:r>
        <w:t>i</w:t>
      </w:r>
      <w:proofErr w:type="spellEnd"/>
      <w:r>
        <w:t xml:space="preserve">) determine the prevalence of clinically assessed dental caries using the </w:t>
      </w:r>
      <w:proofErr w:type="spellStart"/>
      <w:r>
        <w:t>dmft</w:t>
      </w:r>
      <w:proofErr w:type="spellEnd"/>
      <w:r>
        <w:t xml:space="preserve"> index; (ii) assess caregiver-reported dental caries indicators; (iii) assess caregivers’ knowledge of dental caries and oral health practices; (iv) examine the knowledge, </w:t>
      </w:r>
      <w:r>
        <w:rPr>
          <w:highlight w:val="yellow"/>
        </w:rPr>
        <w:t>behavioural</w:t>
      </w:r>
      <w:r>
        <w:t>, environmental and health-service factors associated with caregiver-reported and clinically assessed caries; and (v) determine the agreement between the two measures.</w:t>
      </w:r>
    </w:p>
    <w:p w14:paraId="067C68A2" w14:textId="77777777" w:rsidR="00581635" w:rsidRDefault="00317EF8">
      <w:pPr>
        <w:pStyle w:val="Heading1"/>
        <w:keepNext/>
        <w:spacing w:before="240" w:after="120"/>
      </w:pPr>
      <w:r>
        <w:t>2. MATERIALS AND METHODS</w:t>
      </w:r>
    </w:p>
    <w:p w14:paraId="6DC6C360" w14:textId="77777777" w:rsidR="00581635" w:rsidRDefault="00317EF8">
      <w:pPr>
        <w:pStyle w:val="Heading2"/>
        <w:keepNext/>
        <w:spacing w:before="200" w:after="100"/>
      </w:pPr>
      <w:r>
        <w:t>2.1 STUDY AREA</w:t>
      </w:r>
    </w:p>
    <w:p w14:paraId="7D42375E" w14:textId="77777777" w:rsidR="00581635" w:rsidRDefault="00317EF8">
      <w:pPr>
        <w:pStyle w:val="Normal1"/>
        <w:spacing w:after="120" w:line="264" w:lineRule="auto"/>
        <w:jc w:val="both"/>
      </w:pPr>
      <w:r>
        <w:t xml:space="preserve">The study was conducted in </w:t>
      </w:r>
      <w:proofErr w:type="spellStart"/>
      <w:r>
        <w:t>Okrika</w:t>
      </w:r>
      <w:proofErr w:type="spellEnd"/>
      <w:r>
        <w:t xml:space="preserve"> LGA, a coastal LGA in Rivers State, Nigeria, located south of Port Harcourt and surrounded by the Bonny River and the creeks of the Atlantic Ocean. The area is mainly riverine, with some communities reachable only by waterways and others connected to Port Harcourt by road. </w:t>
      </w:r>
      <w:proofErr w:type="spellStart"/>
      <w:r>
        <w:t>Okrika</w:t>
      </w:r>
      <w:proofErr w:type="spellEnd"/>
      <w:r>
        <w:t xml:space="preserve"> had a population of 222,026 at the 2006 national census (National Population Commission [NPC], 2009); more recent official figures are not available, although substantial growth is expected. The LGA comprises upland and riverine communities with high population density and informal housing, and its inhabitants are predominantly Ijaw, engaged mainly in fishing, petty trade and artisan work.</w:t>
      </w:r>
    </w:p>
    <w:p w14:paraId="70530BA7" w14:textId="77777777" w:rsidR="00581635" w:rsidRDefault="00317EF8">
      <w:pPr>
        <w:pStyle w:val="Normal1"/>
        <w:spacing w:after="120" w:line="264" w:lineRule="auto"/>
        <w:jc w:val="both"/>
      </w:pPr>
      <w:r>
        <w:t xml:space="preserve">Five communities, Ibaka, </w:t>
      </w:r>
      <w:proofErr w:type="spellStart"/>
      <w:r>
        <w:t>Ogbogbo</w:t>
      </w:r>
      <w:proofErr w:type="spellEnd"/>
      <w:r>
        <w:t xml:space="preserve">, </w:t>
      </w:r>
      <w:proofErr w:type="spellStart"/>
      <w:r>
        <w:t>Ogoloma</w:t>
      </w:r>
      <w:proofErr w:type="spellEnd"/>
      <w:r>
        <w:t xml:space="preserve">, Kalio and </w:t>
      </w:r>
      <w:proofErr w:type="spellStart"/>
      <w:r>
        <w:t>Okochiri</w:t>
      </w:r>
      <w:proofErr w:type="spellEnd"/>
      <w:r>
        <w:t xml:space="preserve">, were studied (Fig. 1). They are among the most compact and densely populated in the LGA and show informal housing, inadequate waste management and limited access to health facilities. </w:t>
      </w:r>
      <w:proofErr w:type="spellStart"/>
      <w:r>
        <w:t>Okrika</w:t>
      </w:r>
      <w:proofErr w:type="spellEnd"/>
      <w:r>
        <w:t xml:space="preserve"> has primary health </w:t>
      </w:r>
      <w:r>
        <w:rPr>
          <w:highlight w:val="yellow"/>
        </w:rPr>
        <w:t>centres</w:t>
      </w:r>
      <w:r>
        <w:t xml:space="preserve"> and private clinics but no </w:t>
      </w:r>
      <w:r>
        <w:rPr>
          <w:highlight w:val="yellow"/>
        </w:rPr>
        <w:t>specialised</w:t>
      </w:r>
      <w:r>
        <w:t xml:space="preserve"> dental facility, so residents travel to Port Harcourt for dental care, and no community oral health promotion </w:t>
      </w:r>
      <w:r>
        <w:rPr>
          <w:highlight w:val="yellow"/>
        </w:rPr>
        <w:t>programme</w:t>
      </w:r>
      <w:r>
        <w:t xml:space="preserve"> was found in the selected communities. Prolonged breastfeeding, carbohydrate-rich complementary feeding, early introduction of sweetened drinks and the belief that primary teeth are not worth caring for are reported in comparable communities in Nigeria and Sou</w:t>
      </w:r>
      <w:r w:rsidR="00DC584F">
        <w:t>th Africa (Folayan et al., 2021</w:t>
      </w:r>
      <w:r>
        <w:t>).</w:t>
      </w:r>
    </w:p>
    <w:p w14:paraId="3CF30545" w14:textId="77777777" w:rsidR="00581635" w:rsidRDefault="00317EF8">
      <w:pPr>
        <w:pStyle w:val="Normal1"/>
        <w:keepNext/>
        <w:spacing w:before="120" w:after="60"/>
        <w:jc w:val="center"/>
      </w:pPr>
      <w:r>
        <w:rPr>
          <w:noProof/>
        </w:rPr>
        <w:lastRenderedPageBreak/>
        <w:drawing>
          <wp:inline distT="0" distB="0" distL="0" distR="0" wp14:anchorId="0634233B" wp14:editId="193832B4">
            <wp:extent cx="4191000" cy="3409950"/>
            <wp:effectExtent l="0" t="0" r="0" b="0"/>
            <wp:docPr id="1" name="image2.png" descr="Google map of Okrika Local Government Area showing the study communities"/>
            <wp:cNvGraphicFramePr/>
            <a:graphic xmlns:a="http://schemas.openxmlformats.org/drawingml/2006/main">
              <a:graphicData uri="http://schemas.openxmlformats.org/drawingml/2006/picture">
                <pic:pic xmlns:pic="http://schemas.openxmlformats.org/drawingml/2006/picture">
                  <pic:nvPicPr>
                    <pic:cNvPr id="0" name="image2.png" descr="Google map of Okrika Local Government Area showing the study communities"/>
                    <pic:cNvPicPr preferRelativeResize="0"/>
                  </pic:nvPicPr>
                  <pic:blipFill>
                    <a:blip r:embed="rId8"/>
                    <a:srcRect/>
                    <a:stretch>
                      <a:fillRect/>
                    </a:stretch>
                  </pic:blipFill>
                  <pic:spPr>
                    <a:xfrm>
                      <a:off x="0" y="0"/>
                      <a:ext cx="4191000" cy="3409950"/>
                    </a:xfrm>
                    <a:prstGeom prst="rect">
                      <a:avLst/>
                    </a:prstGeom>
                    <a:ln/>
                  </pic:spPr>
                </pic:pic>
              </a:graphicData>
            </a:graphic>
          </wp:inline>
        </w:drawing>
      </w:r>
    </w:p>
    <w:p w14:paraId="521E0ECB" w14:textId="77777777" w:rsidR="00581635" w:rsidRDefault="00317EF8">
      <w:pPr>
        <w:pStyle w:val="Normal1"/>
        <w:spacing w:before="40" w:after="200"/>
      </w:pPr>
      <w:r>
        <w:rPr>
          <w:b/>
          <w:bCs/>
        </w:rPr>
        <w:t>Fig. 1.</w:t>
      </w:r>
      <w:r>
        <w:t> </w:t>
      </w:r>
      <w:r>
        <w:rPr>
          <w:b/>
          <w:bCs/>
        </w:rPr>
        <w:t xml:space="preserve">Google map of </w:t>
      </w:r>
      <w:proofErr w:type="spellStart"/>
      <w:r>
        <w:rPr>
          <w:b/>
          <w:bCs/>
        </w:rPr>
        <w:t>Okrika</w:t>
      </w:r>
      <w:proofErr w:type="spellEnd"/>
      <w:r>
        <w:rPr>
          <w:b/>
          <w:bCs/>
        </w:rPr>
        <w:t xml:space="preserve"> Local Government Area showing the study communities (Ibaka, </w:t>
      </w:r>
      <w:proofErr w:type="spellStart"/>
      <w:r>
        <w:rPr>
          <w:b/>
          <w:bCs/>
        </w:rPr>
        <w:t>Ogbogbo</w:t>
      </w:r>
      <w:proofErr w:type="spellEnd"/>
      <w:r>
        <w:rPr>
          <w:b/>
          <w:bCs/>
        </w:rPr>
        <w:t xml:space="preserve">, </w:t>
      </w:r>
      <w:proofErr w:type="spellStart"/>
      <w:r>
        <w:rPr>
          <w:b/>
          <w:bCs/>
        </w:rPr>
        <w:t>Ogoloma</w:t>
      </w:r>
      <w:proofErr w:type="spellEnd"/>
      <w:r>
        <w:rPr>
          <w:b/>
          <w:bCs/>
        </w:rPr>
        <w:t xml:space="preserve">, Kalio and </w:t>
      </w:r>
      <w:proofErr w:type="spellStart"/>
      <w:r>
        <w:rPr>
          <w:b/>
          <w:bCs/>
        </w:rPr>
        <w:t>Okochiri</w:t>
      </w:r>
      <w:proofErr w:type="spellEnd"/>
      <w:r>
        <w:rPr>
          <w:b/>
          <w:bCs/>
        </w:rPr>
        <w:t>). Source: Google Maps (Google, n.d.) (map data ©2026).</w:t>
      </w:r>
    </w:p>
    <w:p w14:paraId="662A5CB5" w14:textId="77777777" w:rsidR="00581635" w:rsidRDefault="00317EF8">
      <w:pPr>
        <w:pStyle w:val="Heading2"/>
        <w:keepNext/>
        <w:spacing w:before="200" w:after="100"/>
      </w:pPr>
      <w:r>
        <w:t>2.2 STUDY DESIGN</w:t>
      </w:r>
    </w:p>
    <w:p w14:paraId="0233793A" w14:textId="77777777" w:rsidR="00581635" w:rsidRDefault="00317EF8">
      <w:pPr>
        <w:pStyle w:val="Normal1"/>
        <w:spacing w:after="120" w:line="264" w:lineRule="auto"/>
        <w:jc w:val="both"/>
      </w:pPr>
      <w:r>
        <w:t xml:space="preserve">A community-based analytical cross-sectional survey was used. </w:t>
      </w:r>
      <w:r>
        <w:rPr>
          <w:highlight w:val="yellow"/>
        </w:rPr>
        <w:t>This design allowed</w:t>
      </w:r>
      <w:r>
        <w:t xml:space="preserve"> the prevalence of an outcome and its associated factors to be described in a defined population at one point in time (Setia, 2016), and it permitted caregiver-reported indicators to be compared directly with clinical findings for the same children.</w:t>
      </w:r>
    </w:p>
    <w:p w14:paraId="0BBE6803" w14:textId="77777777" w:rsidR="00581635" w:rsidRDefault="00317EF8">
      <w:pPr>
        <w:pStyle w:val="Heading2"/>
        <w:keepNext/>
        <w:spacing w:before="200" w:after="100"/>
      </w:pPr>
      <w:r>
        <w:t>2.3 STUDY POPULATION</w:t>
      </w:r>
    </w:p>
    <w:p w14:paraId="22A8E893" w14:textId="77777777" w:rsidR="00581635" w:rsidRDefault="00317EF8">
      <w:pPr>
        <w:pStyle w:val="Normal1"/>
        <w:spacing w:after="120" w:line="264" w:lineRule="auto"/>
        <w:jc w:val="both"/>
      </w:pPr>
      <w:r>
        <w:t xml:space="preserve">The study population was preschool children aged 3 to 5 years resident in the selected communities of </w:t>
      </w:r>
      <w:proofErr w:type="spellStart"/>
      <w:r>
        <w:t>Okrika</w:t>
      </w:r>
      <w:proofErr w:type="spellEnd"/>
      <w:r>
        <w:t xml:space="preserve"> LGA, together with their primary caregivers. This age group is highly susceptible to ECC because of limited toothbrushing dexterity, frequent sugar intake and dependence on caregivers for hygiene (Pitts et al., 2017; </w:t>
      </w:r>
      <w:proofErr w:type="spellStart"/>
      <w:r>
        <w:t>Tinanoff</w:t>
      </w:r>
      <w:proofErr w:type="spellEnd"/>
      <w:r>
        <w:t xml:space="preserve"> et al., 2019). Because young children cannot reliably report on their own health </w:t>
      </w:r>
      <w:r>
        <w:rPr>
          <w:highlight w:val="yellow"/>
        </w:rPr>
        <w:t>behaviours</w:t>
      </w:r>
      <w:r>
        <w:t>, the primary caregiver, defined as the person directly responsible for the child’s feeding, hygiene and health care decisions, supplied the questionnaire information.</w:t>
      </w:r>
    </w:p>
    <w:p w14:paraId="44EF23B0" w14:textId="77777777" w:rsidR="00581635" w:rsidRDefault="00317EF8">
      <w:pPr>
        <w:pStyle w:val="Heading2"/>
        <w:keepNext/>
        <w:spacing w:before="200" w:after="100"/>
      </w:pPr>
      <w:r>
        <w:t>2.4 SAMPLING TECHNIQUE</w:t>
      </w:r>
    </w:p>
    <w:p w14:paraId="2538EECB" w14:textId="77777777" w:rsidR="00581635" w:rsidRDefault="00317EF8">
      <w:pPr>
        <w:pStyle w:val="Normal1"/>
        <w:spacing w:after="120" w:line="264" w:lineRule="auto"/>
        <w:jc w:val="both"/>
      </w:pPr>
      <w:r>
        <w:t xml:space="preserve">A multistage sampling technique was used. In the first stage, five of the 12 wards of </w:t>
      </w:r>
      <w:proofErr w:type="spellStart"/>
      <w:r>
        <w:t>Okrika</w:t>
      </w:r>
      <w:proofErr w:type="spellEnd"/>
      <w:r>
        <w:t xml:space="preserve"> LGA were selected by simple random sampling (ballot), based on population density, accessibility and the presence of densely populated settlements with limited health care access. In the second stage, one community was randomly selected in each ward, giving Ibaka, </w:t>
      </w:r>
      <w:proofErr w:type="spellStart"/>
      <w:r>
        <w:t>Ogbogbo</w:t>
      </w:r>
      <w:proofErr w:type="spellEnd"/>
      <w:r>
        <w:t xml:space="preserve">, </w:t>
      </w:r>
      <w:proofErr w:type="spellStart"/>
      <w:r>
        <w:t>Ogoloma</w:t>
      </w:r>
      <w:proofErr w:type="spellEnd"/>
      <w:r>
        <w:t xml:space="preserve">, Kalio and </w:t>
      </w:r>
      <w:proofErr w:type="spellStart"/>
      <w:r>
        <w:t>Okochiri</w:t>
      </w:r>
      <w:proofErr w:type="spellEnd"/>
      <w:r>
        <w:t xml:space="preserve">. In the third stage, households were selected by systematic random sampling. The required sample was shared equally among the five communities (389/5, approximately 78 households per community), and the sampling interval was computed for each community as K = N/n, where N is the estimated number of households (obtained from community leaders, health workers and local records) and n is </w:t>
      </w:r>
      <w:r>
        <w:lastRenderedPageBreak/>
        <w:t>the allocated sample size. A random starting household between 1 and K was chosen by ballot, and every Kth household was visited thereafter until the allocation was reached. Non-residential buildings were excluded. In the fourth stage, one eligible child and the primary caregiver were selected from each household, and where more than one child was eligible, one was chosen at random. When a household was ineligible or consent was declined, the next household in the sequence was used.</w:t>
      </w:r>
    </w:p>
    <w:p w14:paraId="142DA76F" w14:textId="77777777" w:rsidR="00581635" w:rsidRDefault="00317EF8">
      <w:pPr>
        <w:pStyle w:val="Heading2"/>
        <w:keepNext/>
        <w:spacing w:before="200" w:after="100"/>
      </w:pPr>
      <w:r>
        <w:t>2.5 SAMPLE SIZE DETERMINATION</w:t>
      </w:r>
    </w:p>
    <w:p w14:paraId="367CFDF4" w14:textId="77777777" w:rsidR="00581635" w:rsidRDefault="00317EF8">
      <w:pPr>
        <w:pStyle w:val="Normal1"/>
        <w:keepNext/>
        <w:spacing w:after="120" w:line="264" w:lineRule="auto"/>
        <w:jc w:val="both"/>
      </w:pPr>
      <w:r>
        <w:t>The minimum sample size was calculated with Cochran’s formula for a categorical outcome, because the number of preschool children in the study communities is not precisely known (Cochran, 1977):</w:t>
      </w:r>
    </w:p>
    <w:p w14:paraId="74274F0E" w14:textId="77777777" w:rsidR="00581635" w:rsidRDefault="00317EF8">
      <w:pPr>
        <w:pStyle w:val="Normal1"/>
        <w:spacing w:after="120" w:line="264" w:lineRule="auto"/>
        <w:jc w:val="center"/>
      </w:pPr>
      <w:r>
        <w:t>n</w:t>
      </w:r>
      <w:r>
        <w:rPr>
          <w:vertAlign w:val="subscript"/>
        </w:rPr>
        <w:t>0</w:t>
      </w:r>
      <w:r>
        <w:t> = Z</w:t>
      </w:r>
      <w:r>
        <w:rPr>
          <w:vertAlign w:val="superscript"/>
        </w:rPr>
        <w:t>2</w:t>
      </w:r>
      <w:r>
        <w:rPr>
          <w:rFonts w:ascii="Arial Unicode MS" w:eastAsia="Arial Unicode MS" w:hAnsi="Arial Unicode MS" w:cs="Arial Unicode MS"/>
        </w:rPr>
        <w:t xml:space="preserve"> × p × (1 − p) / e</w:t>
      </w:r>
      <w:r>
        <w:rPr>
          <w:vertAlign w:val="superscript"/>
        </w:rPr>
        <w:t>2</w:t>
      </w:r>
    </w:p>
    <w:p w14:paraId="2310CEFD" w14:textId="77777777" w:rsidR="00581635" w:rsidRDefault="00317EF8">
      <w:pPr>
        <w:pStyle w:val="Normal1"/>
        <w:spacing w:after="120" w:line="264" w:lineRule="auto"/>
        <w:jc w:val="both"/>
      </w:pPr>
      <w:r>
        <w:t>where n</w:t>
      </w:r>
      <w:r>
        <w:rPr>
          <w:vertAlign w:val="subscript"/>
        </w:rPr>
        <w:t>0</w:t>
      </w:r>
      <w:r>
        <w:t xml:space="preserve"> is the minimum sample size, Z is the standard normal deviate at the 95% confidence level (1.96), p is the estimated prevalence of dental caries among preschool children and e is the margin of error (0.05). A planning prevalence of 35% was assumed for the sample-size calculation, informed by published research from Port Harcourt near </w:t>
      </w:r>
      <w:proofErr w:type="spellStart"/>
      <w:r>
        <w:t>Okrika</w:t>
      </w:r>
      <w:proofErr w:type="spellEnd"/>
      <w:r>
        <w:t xml:space="preserve"> (</w:t>
      </w:r>
      <w:proofErr w:type="spellStart"/>
      <w:r>
        <w:t>Eigbobo</w:t>
      </w:r>
      <w:proofErr w:type="spellEnd"/>
      <w:r>
        <w:t xml:space="preserve"> &amp; Etim, 2015), so that p = 0.35.</w:t>
      </w:r>
    </w:p>
    <w:p w14:paraId="56E17FF9" w14:textId="77777777" w:rsidR="00581635" w:rsidRDefault="00317EF8">
      <w:pPr>
        <w:pStyle w:val="Normal1"/>
        <w:spacing w:after="120" w:line="264" w:lineRule="auto"/>
        <w:jc w:val="center"/>
      </w:pPr>
      <w:r>
        <w:t>n</w:t>
      </w:r>
      <w:r>
        <w:rPr>
          <w:vertAlign w:val="subscript"/>
        </w:rPr>
        <w:t>0</w:t>
      </w:r>
      <w:r>
        <w:t> = (1.96)</w:t>
      </w:r>
      <w:r>
        <w:rPr>
          <w:vertAlign w:val="superscript"/>
        </w:rPr>
        <w:t>2</w:t>
      </w:r>
      <w:r>
        <w:rPr>
          <w:rFonts w:ascii="Arial Unicode MS" w:eastAsia="Arial Unicode MS" w:hAnsi="Arial Unicode MS" w:cs="Arial Unicode MS"/>
        </w:rPr>
        <w:t xml:space="preserve"> × 0.35 × (1 − 0.35) / (0.05)</w:t>
      </w:r>
      <w:r>
        <w:rPr>
          <w:vertAlign w:val="superscript"/>
        </w:rPr>
        <w:t>2</w:t>
      </w:r>
      <w:r>
        <w:rPr>
          <w:rFonts w:ascii="Arial Unicode MS" w:eastAsia="Arial Unicode MS" w:hAnsi="Arial Unicode MS" w:cs="Arial Unicode MS"/>
        </w:rPr>
        <w:t> = (3.8416 × 0.2275) / 0.0025 = 0.8740 / 0.0025 = 349.59 ≈ 350</w:t>
      </w:r>
    </w:p>
    <w:p w14:paraId="23F758E9" w14:textId="77777777" w:rsidR="00581635" w:rsidRDefault="00317EF8">
      <w:pPr>
        <w:pStyle w:val="Normal1"/>
        <w:keepNext/>
        <w:spacing w:after="120" w:line="264" w:lineRule="auto"/>
        <w:jc w:val="both"/>
      </w:pPr>
      <w:r>
        <w:t>To allow for an anticipated non-response rate (r) of 10%, the sample was adjusted as n = n</w:t>
      </w:r>
      <w:r>
        <w:rPr>
          <w:vertAlign w:val="subscript"/>
        </w:rPr>
        <w:t>0</w:t>
      </w:r>
      <w:r>
        <w:rPr>
          <w:rFonts w:ascii="Arial Unicode MS" w:eastAsia="Arial Unicode MS" w:hAnsi="Arial Unicode MS" w:cs="Arial Unicode MS"/>
        </w:rPr>
        <w:t>/(1 − r):</w:t>
      </w:r>
    </w:p>
    <w:p w14:paraId="631ABA3C" w14:textId="77777777" w:rsidR="00581635" w:rsidRDefault="00317EF8">
      <w:pPr>
        <w:pStyle w:val="Normal1"/>
        <w:spacing w:after="120" w:line="264" w:lineRule="auto"/>
        <w:jc w:val="center"/>
      </w:pPr>
      <w:r>
        <w:rPr>
          <w:rFonts w:ascii="Arial Unicode MS" w:eastAsia="Arial Unicode MS" w:hAnsi="Arial Unicode MS" w:cs="Arial Unicode MS"/>
        </w:rPr>
        <w:t>n = 350 / (1 − 0.10) = 350 / 0.90 = 388.89 ≈ 389</w:t>
      </w:r>
    </w:p>
    <w:p w14:paraId="1367769A" w14:textId="77777777" w:rsidR="00581635" w:rsidRDefault="00317EF8">
      <w:pPr>
        <w:pStyle w:val="Normal1"/>
        <w:spacing w:after="120" w:line="264" w:lineRule="auto"/>
        <w:jc w:val="both"/>
      </w:pPr>
      <w:r>
        <w:t>The final sample was therefore 389 preschool children, each paired with a primary caregiver.</w:t>
      </w:r>
    </w:p>
    <w:p w14:paraId="033DAD84" w14:textId="77777777" w:rsidR="00581635" w:rsidRDefault="00317EF8">
      <w:pPr>
        <w:pStyle w:val="Heading2"/>
        <w:keepNext/>
        <w:spacing w:before="200" w:after="100"/>
      </w:pPr>
      <w:r>
        <w:t>2.6 ELIGIBILITY CRITERIA</w:t>
      </w:r>
    </w:p>
    <w:p w14:paraId="703663F0" w14:textId="77777777" w:rsidR="00581635" w:rsidRDefault="00317EF8">
      <w:pPr>
        <w:pStyle w:val="Heading3"/>
        <w:keepNext/>
        <w:spacing w:before="140" w:after="80"/>
      </w:pPr>
      <w:r>
        <w:rPr>
          <w:u w:val="single"/>
        </w:rPr>
        <w:t>2.6.1 Inclusion criteria</w:t>
      </w:r>
    </w:p>
    <w:p w14:paraId="71A4D6DD" w14:textId="77777777" w:rsidR="00581635" w:rsidRDefault="00317EF8">
      <w:pPr>
        <w:pStyle w:val="Normal1"/>
        <w:spacing w:after="120" w:line="264" w:lineRule="auto"/>
        <w:jc w:val="both"/>
      </w:pPr>
      <w:r>
        <w:t>Children were included if they: (</w:t>
      </w:r>
      <w:proofErr w:type="spellStart"/>
      <w:r>
        <w:t>i</w:t>
      </w:r>
      <w:proofErr w:type="spellEnd"/>
      <w:r>
        <w:t>) were aged 3–5 years; (ii) had lived in one of the five selected communities for at least six months; (iii) had a primary caregiver who was available and gave informed consent; and (iv) had no medical condition preventing oral examination.</w:t>
      </w:r>
    </w:p>
    <w:p w14:paraId="5BD3C39C" w14:textId="77777777" w:rsidR="00581635" w:rsidRDefault="00317EF8">
      <w:pPr>
        <w:pStyle w:val="Heading3"/>
        <w:keepNext/>
        <w:spacing w:before="140" w:after="80"/>
      </w:pPr>
      <w:r>
        <w:rPr>
          <w:u w:val="single"/>
        </w:rPr>
        <w:t>2.6.2 Exclusion criteria</w:t>
      </w:r>
    </w:p>
    <w:p w14:paraId="66042417" w14:textId="77777777" w:rsidR="00581635" w:rsidRDefault="00317EF8">
      <w:pPr>
        <w:pStyle w:val="Normal1"/>
        <w:spacing w:after="120" w:line="264" w:lineRule="auto"/>
        <w:jc w:val="both"/>
      </w:pPr>
      <w:r>
        <w:t>Children were excluded if their primary caregiver was unable or unwilling to give consent, or if they had a systemic illness or condition (for example, severe systemic illness or craniofacial malformation) that interfered with dental examination.</w:t>
      </w:r>
    </w:p>
    <w:p w14:paraId="47E98030" w14:textId="77777777" w:rsidR="00581635" w:rsidRDefault="00317EF8">
      <w:pPr>
        <w:pStyle w:val="Heading2"/>
        <w:keepNext/>
        <w:spacing w:before="200" w:after="100"/>
      </w:pPr>
      <w:r>
        <w:t>2.7 RESEARCH INSTRUMENTS</w:t>
      </w:r>
    </w:p>
    <w:p w14:paraId="63E7989D" w14:textId="77777777" w:rsidR="00581635" w:rsidRDefault="00317EF8">
      <w:pPr>
        <w:pStyle w:val="Normal1"/>
        <w:spacing w:after="120" w:line="264" w:lineRule="auto"/>
        <w:jc w:val="both"/>
      </w:pPr>
      <w:r>
        <w:t xml:space="preserve">Two instruments were used: a structured caregiver questionnaire and a clinical oral examination record sheet, linked through a unique participant identification number. The 60-item questionnaire, titled “Questionnaire on Determinants of Caregiver-Reported Dental Caries among Preschool Children”, was adapted from the WHO Oral Health Surveys: Basic Methods (World Health Organization, 2013), WHO recommendations on oral hygiene, fluoride and diet, and household and environmental indicators used in population health surveys. It had five sections: A (12 items) on sociodemographic characteristics of caregivers and children; B (10 items) on caregiver-reported caries indicators (diagnosis by a health worker, visible hole or cavity, black or brown spots, toothache, gum swelling, difficulty eating, </w:t>
      </w:r>
      <w:r>
        <w:lastRenderedPageBreak/>
        <w:t xml:space="preserve">broken teeth, health facility visit, food trapping and perceived current decay), answered Yes, No or Do not know; C (15 true/false items, positively and negatively worded) on knowledge of dental caries and oral health; D (10 items) on oral health </w:t>
      </w:r>
      <w:r>
        <w:rPr>
          <w:highlight w:val="yellow"/>
        </w:rPr>
        <w:t>behaviours</w:t>
      </w:r>
      <w:r>
        <w:t xml:space="preserve">; and E (6 environmental and 7 health-service items). </w:t>
      </w:r>
      <w:r>
        <w:rPr>
          <w:highlight w:val="yellow"/>
        </w:rPr>
        <w:t>behaviour</w:t>
      </w:r>
      <w:r>
        <w:t xml:space="preserve"> and environmental items were recorded on a five-point frequency scale and health-service items on a five-point agreement scale, and all were </w:t>
      </w:r>
      <w:r>
        <w:rPr>
          <w:highlight w:val="yellow"/>
        </w:rPr>
        <w:t>dichotomised</w:t>
      </w:r>
      <w:r>
        <w:t xml:space="preserve"> for analysis.</w:t>
      </w:r>
    </w:p>
    <w:p w14:paraId="46D69D72" w14:textId="77777777" w:rsidR="00581635" w:rsidRDefault="00317EF8">
      <w:pPr>
        <w:pStyle w:val="Normal1"/>
        <w:spacing w:after="120" w:line="264" w:lineRule="auto"/>
        <w:jc w:val="both"/>
      </w:pPr>
      <w:r>
        <w:t>Content validity was supported by adapting items from established survey tools and by review by experts in public health dentistry and epidemiology; the wording was simplified, and research assistants could explain items in the local language without changing their meaning. Reliability of the questionnaire was inferred from the established use of its source items in earlier studies (Shirzad et al., 2016; Wilson et al., 2016); a reliability coefficient for this sample was not calculated.</w:t>
      </w:r>
    </w:p>
    <w:p w14:paraId="3262F329" w14:textId="77777777" w:rsidR="00581635" w:rsidRDefault="00317EF8">
      <w:pPr>
        <w:pStyle w:val="Heading2"/>
        <w:keepNext/>
        <w:spacing w:before="200" w:after="100"/>
      </w:pPr>
      <w:r>
        <w:t>2.8 OUTCOME DEFINITIONS</w:t>
      </w:r>
    </w:p>
    <w:p w14:paraId="19173015" w14:textId="77777777" w:rsidR="00581635" w:rsidRDefault="00317EF8">
      <w:pPr>
        <w:pStyle w:val="Heading3"/>
        <w:keepNext/>
        <w:spacing w:before="140" w:after="80"/>
      </w:pPr>
      <w:r>
        <w:rPr>
          <w:u w:val="single"/>
        </w:rPr>
        <w:t>2.8.1 Clinically assessed dental caries</w:t>
      </w:r>
    </w:p>
    <w:p w14:paraId="299C5458" w14:textId="77777777" w:rsidR="00581635" w:rsidRPr="00D21D3F" w:rsidRDefault="00317EF8">
      <w:pPr>
        <w:pStyle w:val="Normal1"/>
        <w:spacing w:after="120" w:line="264" w:lineRule="auto"/>
        <w:jc w:val="both"/>
      </w:pPr>
      <w:r w:rsidRPr="00D21D3F">
        <w:rPr>
          <w:rFonts w:eastAsia="Arial Unicode MS"/>
        </w:rPr>
        <w:t xml:space="preserve">Clinical caries was recorded with the </w:t>
      </w:r>
      <w:proofErr w:type="spellStart"/>
      <w:r w:rsidRPr="00D21D3F">
        <w:rPr>
          <w:rFonts w:eastAsia="Arial Unicode MS"/>
        </w:rPr>
        <w:t>dmft</w:t>
      </w:r>
      <w:proofErr w:type="spellEnd"/>
      <w:r w:rsidRPr="00D21D3F">
        <w:rPr>
          <w:rFonts w:eastAsia="Arial Unicode MS"/>
        </w:rPr>
        <w:t xml:space="preserve"> index, which counts decayed, missing (due to caries) and filled primary teeth (World Health Organization, 2013). A child was classified as having clinical caries if </w:t>
      </w:r>
      <w:proofErr w:type="spellStart"/>
      <w:r w:rsidRPr="00D21D3F">
        <w:rPr>
          <w:rFonts w:eastAsia="Arial Unicode MS"/>
        </w:rPr>
        <w:t>dmft</w:t>
      </w:r>
      <w:proofErr w:type="spellEnd"/>
      <w:r w:rsidRPr="00D21D3F">
        <w:rPr>
          <w:rFonts w:eastAsia="Arial Unicode MS"/>
        </w:rPr>
        <w:t xml:space="preserve"> was 1 or more; clinical prevalence was the percentage of children with </w:t>
      </w:r>
      <w:proofErr w:type="spellStart"/>
      <w:r w:rsidRPr="00D21D3F">
        <w:rPr>
          <w:rFonts w:eastAsia="Arial Unicode MS"/>
        </w:rPr>
        <w:t>dmft</w:t>
      </w:r>
      <w:proofErr w:type="spellEnd"/>
      <w:r w:rsidRPr="00D21D3F">
        <w:rPr>
          <w:rFonts w:eastAsia="Arial Unicode MS"/>
        </w:rPr>
        <w:t> ≥ 1.</w:t>
      </w:r>
    </w:p>
    <w:p w14:paraId="6D5C8F14" w14:textId="77777777" w:rsidR="00D21D3F" w:rsidRDefault="00D21D3F" w:rsidP="00D21D3F">
      <w:pPr>
        <w:pStyle w:val="NormalWeb"/>
      </w:pPr>
      <w:r>
        <w:rPr>
          <w:b/>
          <w:bCs/>
        </w:rPr>
        <w:t>2.8.2 Caregiver-Reported Dental Caries</w:t>
      </w:r>
    </w:p>
    <w:p w14:paraId="12E9EDAD" w14:textId="77777777" w:rsidR="00D21D3F" w:rsidRDefault="00D21D3F" w:rsidP="00D21D3F">
      <w:pPr>
        <w:pStyle w:val="NormalWeb"/>
        <w:jc w:val="both"/>
      </w:pPr>
      <w:r w:rsidRPr="00D21D3F">
        <w:rPr>
          <w:rFonts w:ascii="Arial" w:hAnsi="Arial" w:cs="Arial"/>
          <w:sz w:val="20"/>
          <w:szCs w:val="20"/>
        </w:rPr>
        <w:t xml:space="preserve">The ten items in Section B </w:t>
      </w:r>
      <w:r w:rsidRPr="00D21D3F">
        <w:rPr>
          <w:rFonts w:ascii="Arial" w:hAnsi="Arial" w:cs="Arial"/>
          <w:sz w:val="20"/>
          <w:szCs w:val="20"/>
          <w:highlight w:val="yellow"/>
        </w:rPr>
        <w:t>were scored as binary variables</w:t>
      </w:r>
      <w:r w:rsidRPr="00D21D3F">
        <w:rPr>
          <w:rFonts w:ascii="Arial" w:hAnsi="Arial" w:cs="Arial"/>
          <w:sz w:val="20"/>
          <w:szCs w:val="20"/>
        </w:rPr>
        <w:t xml:space="preserve"> (Yes = 1, No = 0), with "Do not know" responses assigned a score of 0. Item scores were summed and averaged across the ten items. A mean score of 0.5 or greater—representing affirmative responses to at least half of the items—was </w:t>
      </w:r>
      <w:r w:rsidRPr="00D21D3F">
        <w:rPr>
          <w:rFonts w:ascii="Arial" w:hAnsi="Arial" w:cs="Arial"/>
          <w:sz w:val="20"/>
          <w:szCs w:val="20"/>
          <w:highlight w:val="yellow"/>
        </w:rPr>
        <w:t>categorised</w:t>
      </w:r>
      <w:r w:rsidRPr="00D21D3F">
        <w:rPr>
          <w:rFonts w:ascii="Arial" w:hAnsi="Arial" w:cs="Arial"/>
          <w:sz w:val="20"/>
          <w:szCs w:val="20"/>
        </w:rPr>
        <w:t xml:space="preserve"> as positive caregiver-reported caries, while a mean score below 0.5 was classified as negative. This cut-off threshold was pre-established prior to data analysis using a simple majority rule to distinguish children with multiple caries-related issues from those with few or none, rather than being empirically derived or validated against clinical findings. Among these ten items, four were relatively specific to caries: a diagnosis by a health worker or dentist, a visible hole or cavity, broken or crumbled teeth from decay, and perceived active decay. The remaining six items (black or brown spots, toothache, gum swelling, chewing difficulties, dental facility visits, and food trapping) capture broader symptoms or experiences that could stem from non-caries etiology. Consequently, this composite measure reflects caregiver-perceived caries-related burden rather than a formal clinical diagnosis. Individual item endorsement proportions are reported separately and are distinct from the overall composite prevalence</w:t>
      </w:r>
      <w:r>
        <w:t>.</w:t>
      </w:r>
    </w:p>
    <w:p w14:paraId="334FBF9E" w14:textId="77777777" w:rsidR="00581635" w:rsidRDefault="00317EF8">
      <w:pPr>
        <w:pStyle w:val="Normal1"/>
        <w:spacing w:before="240" w:after="240" w:line="264" w:lineRule="auto"/>
        <w:jc w:val="both"/>
        <w:rPr>
          <w:b/>
          <w:bCs/>
        </w:rPr>
      </w:pPr>
      <w:r>
        <w:rPr>
          <w:b/>
          <w:bCs/>
        </w:rPr>
        <w:t>2.9 DATA COLLECTION</w:t>
      </w:r>
    </w:p>
    <w:p w14:paraId="1576EBF7" w14:textId="77777777" w:rsidR="00581635" w:rsidRDefault="00317EF8">
      <w:pPr>
        <w:pStyle w:val="Normal1"/>
        <w:spacing w:before="240" w:after="240" w:line="264" w:lineRule="auto"/>
        <w:jc w:val="both"/>
      </w:pPr>
      <w:r>
        <w:rPr>
          <w:highlight w:val="yellow"/>
        </w:rPr>
        <w:t>Data collection took place following approval</w:t>
      </w:r>
      <w:r>
        <w:t xml:space="preserve"> from local government authorities and community leaders, </w:t>
      </w:r>
      <w:r>
        <w:rPr>
          <w:highlight w:val="yellow"/>
        </w:rPr>
        <w:t>and after obtaining written consent</w:t>
      </w:r>
      <w:r>
        <w:t xml:space="preserve"> from caregivers. Primary caregivers completed a face-to-face questionnaire, with questions translated or explained in the local language as required. A clinical oral examination was subsequently performed on each child to evaluate decayed, missing, and filled primary teeth (</w:t>
      </w:r>
      <w:proofErr w:type="spellStart"/>
      <w:r>
        <w:t>dmft</w:t>
      </w:r>
      <w:proofErr w:type="spellEnd"/>
      <w:r>
        <w:t>); this was conducted by [examiner’s qualification, calibration status, setting, and equipment]. Examination results were documented on a record sheet matching the child's questionnaire ID. Additionally, children diagnosed with dental caries and their caregivers received oral health education during the collection process.</w:t>
      </w:r>
    </w:p>
    <w:p w14:paraId="0E4714DC" w14:textId="77777777" w:rsidR="00581635" w:rsidRPr="00351BAB" w:rsidRDefault="00317EF8">
      <w:pPr>
        <w:pStyle w:val="Normal1"/>
        <w:spacing w:after="120" w:line="264" w:lineRule="auto"/>
        <w:jc w:val="both"/>
        <w:rPr>
          <w:b/>
          <w:bCs/>
        </w:rPr>
      </w:pPr>
      <w:r w:rsidRPr="00351BAB">
        <w:rPr>
          <w:b/>
          <w:bCs/>
        </w:rPr>
        <w:t>2.10 DATA ANALYSIS</w:t>
      </w:r>
    </w:p>
    <w:p w14:paraId="57F80341" w14:textId="77777777" w:rsidR="00581635" w:rsidRDefault="00317EF8">
      <w:pPr>
        <w:pStyle w:val="Normal1"/>
        <w:spacing w:before="240" w:after="240" w:line="264" w:lineRule="auto"/>
        <w:jc w:val="both"/>
      </w:pPr>
      <w:r w:rsidRPr="00351BAB">
        <w:rPr>
          <w:rFonts w:eastAsia="Arial Unicode MS"/>
        </w:rPr>
        <w:lastRenderedPageBreak/>
        <w:t xml:space="preserve">Statistical analysis was performed using standard statistical software. Categorical variables were </w:t>
      </w:r>
      <w:r w:rsidRPr="00351BAB">
        <w:rPr>
          <w:rFonts w:eastAsia="Arial Unicode MS"/>
          <w:highlight w:val="yellow"/>
        </w:rPr>
        <w:t>summarised</w:t>
      </w:r>
      <w:r w:rsidRPr="00351BAB">
        <w:rPr>
          <w:rFonts w:eastAsia="Arial Unicode MS"/>
        </w:rPr>
        <w:t xml:space="preserve"> using frequencies and percentages, while continuous variables were expressed as means and standard deviations. Knowledge items were scored as 1 (correct) or 0 (incorrect), with negatively phrased items reverse-coded; composite scores were converted to percentages and </w:t>
      </w:r>
      <w:r w:rsidRPr="00351BAB">
        <w:rPr>
          <w:rFonts w:eastAsia="Arial Unicode MS"/>
          <w:highlight w:val="yellow"/>
        </w:rPr>
        <w:t>categorised</w:t>
      </w:r>
      <w:r w:rsidRPr="00351BAB">
        <w:rPr>
          <w:rFonts w:eastAsia="Arial Unicode MS"/>
        </w:rPr>
        <w:t xml:space="preserve"> into poor (≤49%), fair (50–69%), and good (≥70%). Similarly, </w:t>
      </w:r>
      <w:r w:rsidRPr="00351BAB">
        <w:rPr>
          <w:rFonts w:eastAsia="Arial Unicode MS"/>
          <w:highlight w:val="yellow"/>
        </w:rPr>
        <w:t>behavioural</w:t>
      </w:r>
      <w:r w:rsidRPr="00351BAB">
        <w:rPr>
          <w:rFonts w:eastAsia="Arial Unicode MS"/>
        </w:rPr>
        <w:t xml:space="preserve">, environmental, and health-service items were </w:t>
      </w:r>
      <w:r w:rsidRPr="00351BAB">
        <w:rPr>
          <w:rFonts w:eastAsia="Arial Unicode MS"/>
          <w:highlight w:val="yellow"/>
        </w:rPr>
        <w:t>dichotomised</w:t>
      </w:r>
      <w:r w:rsidRPr="00351BAB">
        <w:rPr>
          <w:rFonts w:eastAsia="Arial Unicode MS"/>
        </w:rPr>
        <w:t xml:space="preserve"> and reverse-scored where appropriate to reflect risk orientation. Participants were subsequently classified into</w:t>
      </w:r>
      <w:r>
        <w:rPr>
          <w:rFonts w:ascii="Arial Unicode MS" w:eastAsia="Arial Unicode MS" w:hAnsi="Arial Unicode MS" w:cs="Arial Unicode MS"/>
        </w:rPr>
        <w:t xml:space="preserve"> </w:t>
      </w:r>
      <w:r>
        <w:rPr>
          <w:rFonts w:ascii="Arial Unicode MS" w:eastAsia="Arial Unicode MS" w:hAnsi="Arial Unicode MS" w:cs="Arial Unicode MS"/>
          <w:highlight w:val="yellow"/>
        </w:rPr>
        <w:t>favourable</w:t>
      </w:r>
      <w:r>
        <w:rPr>
          <w:rFonts w:ascii="Arial Unicode MS" w:eastAsia="Arial Unicode MS" w:hAnsi="Arial Unicode MS" w:cs="Arial Unicode MS"/>
        </w:rPr>
        <w:t xml:space="preserve"> or </w:t>
      </w:r>
      <w:r>
        <w:rPr>
          <w:rFonts w:ascii="Arial Unicode MS" w:eastAsia="Arial Unicode MS" w:hAnsi="Arial Unicode MS" w:cs="Arial Unicode MS"/>
          <w:highlight w:val="yellow"/>
        </w:rPr>
        <w:t>unfavourable</w:t>
      </w:r>
      <w:r>
        <w:rPr>
          <w:rFonts w:ascii="Arial Unicode MS" w:eastAsia="Arial Unicode MS" w:hAnsi="Arial Unicode MS" w:cs="Arial Unicode MS"/>
        </w:rPr>
        <w:t xml:space="preserve"> categories. </w:t>
      </w:r>
      <w:r>
        <w:t xml:space="preserve">Agreement between the composite caregiver-reported status and clinical status was examined with the chi-square test, Fisher’s exact test, the odds ratio with its 95% confidence interval and Cohen’s kappa (κ). Treating clinical status as the reference, the sensitivity, specificity and positive and negative predictive values of caregiver report were calculated from the two-by-two table, with Wilson 95% confidence intervals. Binary logistic regression was used to estimate adjusted odds ratios (AOR) with 95% confidence intervals for knowledge, </w:t>
      </w:r>
      <w:r>
        <w:rPr>
          <w:highlight w:val="yellow"/>
        </w:rPr>
        <w:t>behaviour</w:t>
      </w:r>
      <w:r>
        <w:t xml:space="preserve">, environmental and health-service factors in relation to each outcome (caregiver-reported caries and clinically assessed caries, each coded as present versus absent, with absent as the reference). One model was fitted for each outcome, and all four predictor groups were entered simultaneously, with good knowledge and the </w:t>
      </w:r>
      <w:r>
        <w:rPr>
          <w:highlight w:val="yellow"/>
        </w:rPr>
        <w:t>favourable</w:t>
      </w:r>
      <w:r>
        <w:t xml:space="preserve"> categories as references. Exact </w:t>
      </w:r>
      <w:r>
        <w:rPr>
          <w:i/>
          <w:iCs/>
        </w:rPr>
        <w:t>P</w:t>
      </w:r>
      <w:r>
        <w:t xml:space="preserve"> values are reported, and a two-sided </w:t>
      </w:r>
      <w:r>
        <w:rPr>
          <w:i/>
          <w:iCs/>
        </w:rPr>
        <w:t>P</w:t>
      </w:r>
      <w:r>
        <w:t> &lt; .05 was considered statistically significant. Because the design was cross-sectional, associations are not interpreted as causal.</w:t>
      </w:r>
    </w:p>
    <w:p w14:paraId="441D9E53" w14:textId="77777777" w:rsidR="00581635" w:rsidRDefault="00317EF8">
      <w:pPr>
        <w:pStyle w:val="Heading1"/>
        <w:keepNext/>
        <w:spacing w:before="240" w:after="120"/>
      </w:pPr>
      <w:r>
        <w:t>3. RESULTS AND DISCUSSION</w:t>
      </w:r>
    </w:p>
    <w:p w14:paraId="3F4FBBC1" w14:textId="77777777" w:rsidR="00581635" w:rsidRDefault="00317EF8">
      <w:pPr>
        <w:pStyle w:val="Heading2"/>
        <w:keepNext/>
        <w:spacing w:before="200" w:after="100"/>
      </w:pPr>
      <w:r>
        <w:t>3.1 SOCIODEMOGRAPHIC CHARACTERISTICS</w:t>
      </w:r>
    </w:p>
    <w:p w14:paraId="70E2C0A3" w14:textId="77777777" w:rsidR="00581635" w:rsidRDefault="00317EF8">
      <w:pPr>
        <w:pStyle w:val="Normal1"/>
        <w:spacing w:after="120" w:line="264" w:lineRule="auto"/>
        <w:jc w:val="both"/>
      </w:pPr>
      <w:r>
        <w:t>A total of 389 caregiver–child pairs completed the study (Table 1). Caregivers had a mean age of 31.45 ± 9.30 years (95% CI: 30.52–32.38), and 39.6% were aged 25–34 years. Most were female (59.6%), and 48.3% were single. Secondary education was the most common level (29.0%), followed by tertiary (27.5%), no formal education (24.7%) and primary (18.8%). Trading was the most frequent occupation (35.2%), and 28.5% were unemployed. Nearly half of the households (45.0%) earned less than ₦50,000 per month, and only 10.3% earned ₦150,000 or more. Family size was 4–6 persons in 40.1% of households. Among the index children, 37.3% were aged 3 years, 29.3% were 4 years and 33.4% were 5 years, and 59.1% were female. Most caregivers were Christian (77.1%).</w:t>
      </w:r>
    </w:p>
    <w:p w14:paraId="46053223" w14:textId="77777777" w:rsidR="00581635" w:rsidRDefault="00317EF8">
      <w:pPr>
        <w:pStyle w:val="Normal1"/>
        <w:keepNext/>
        <w:spacing w:before="160" w:after="80"/>
      </w:pPr>
      <w:r>
        <w:rPr>
          <w:b/>
          <w:bCs/>
        </w:rPr>
        <w:lastRenderedPageBreak/>
        <w:t>Table 1.</w:t>
      </w:r>
      <w:r>
        <w:t> </w:t>
      </w:r>
      <w:r>
        <w:rPr>
          <w:b/>
          <w:bCs/>
        </w:rPr>
        <w:t>Sociodemographic distribution of caregivers and index children (N = 389)</w:t>
      </w:r>
    </w:p>
    <w:tbl>
      <w:tblPr>
        <w:tblStyle w:val="a"/>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2400"/>
        <w:gridCol w:w="2808"/>
        <w:gridCol w:w="1500"/>
        <w:gridCol w:w="1500"/>
      </w:tblGrid>
      <w:tr w:rsidR="00581635" w14:paraId="65A7BAE8" w14:textId="77777777">
        <w:trPr>
          <w:cantSplit/>
          <w:tblHeader/>
          <w:jc w:val="center"/>
        </w:trPr>
        <w:tc>
          <w:tcPr>
            <w:tcW w:w="2400" w:type="dxa"/>
            <w:tcBorders>
              <w:bottom w:val="single" w:sz="4" w:space="0" w:color="000000"/>
            </w:tcBorders>
            <w:tcMar>
              <w:top w:w="25" w:type="dxa"/>
              <w:left w:w="70" w:type="dxa"/>
              <w:bottom w:w="25" w:type="dxa"/>
              <w:right w:w="70" w:type="dxa"/>
            </w:tcMar>
            <w:vAlign w:val="center"/>
          </w:tcPr>
          <w:p w14:paraId="50614B8B" w14:textId="77777777" w:rsidR="00581635" w:rsidRDefault="00317EF8">
            <w:pPr>
              <w:pStyle w:val="Normal1"/>
              <w:keepNext/>
            </w:pPr>
            <w:r>
              <w:rPr>
                <w:b/>
                <w:bCs/>
                <w:sz w:val="17"/>
                <w:szCs w:val="17"/>
              </w:rPr>
              <w:t>Variable</w:t>
            </w:r>
          </w:p>
        </w:tc>
        <w:tc>
          <w:tcPr>
            <w:tcW w:w="2808" w:type="dxa"/>
            <w:tcBorders>
              <w:bottom w:val="single" w:sz="4" w:space="0" w:color="000000"/>
            </w:tcBorders>
            <w:tcMar>
              <w:top w:w="25" w:type="dxa"/>
              <w:left w:w="70" w:type="dxa"/>
              <w:bottom w:w="25" w:type="dxa"/>
              <w:right w:w="70" w:type="dxa"/>
            </w:tcMar>
            <w:vAlign w:val="center"/>
          </w:tcPr>
          <w:p w14:paraId="3F9C03BD" w14:textId="77777777" w:rsidR="00581635" w:rsidRDefault="00317EF8">
            <w:pPr>
              <w:pStyle w:val="Normal1"/>
              <w:keepNext/>
            </w:pPr>
            <w:r>
              <w:rPr>
                <w:b/>
                <w:bCs/>
                <w:sz w:val="17"/>
                <w:szCs w:val="17"/>
              </w:rPr>
              <w:t>Category</w:t>
            </w:r>
          </w:p>
        </w:tc>
        <w:tc>
          <w:tcPr>
            <w:tcW w:w="1500" w:type="dxa"/>
            <w:tcBorders>
              <w:bottom w:val="single" w:sz="4" w:space="0" w:color="000000"/>
            </w:tcBorders>
            <w:tcMar>
              <w:top w:w="25" w:type="dxa"/>
              <w:left w:w="70" w:type="dxa"/>
              <w:bottom w:w="25" w:type="dxa"/>
              <w:right w:w="70" w:type="dxa"/>
            </w:tcMar>
            <w:vAlign w:val="center"/>
          </w:tcPr>
          <w:p w14:paraId="5F48473E" w14:textId="77777777" w:rsidR="00581635" w:rsidRDefault="00317EF8">
            <w:pPr>
              <w:pStyle w:val="Normal1"/>
              <w:keepNext/>
              <w:jc w:val="center"/>
            </w:pPr>
            <w:r>
              <w:rPr>
                <w:b/>
                <w:bCs/>
                <w:sz w:val="17"/>
                <w:szCs w:val="17"/>
              </w:rPr>
              <w:t>Frequency</w:t>
            </w:r>
          </w:p>
        </w:tc>
        <w:tc>
          <w:tcPr>
            <w:tcW w:w="1500" w:type="dxa"/>
            <w:tcBorders>
              <w:bottom w:val="single" w:sz="4" w:space="0" w:color="000000"/>
            </w:tcBorders>
            <w:tcMar>
              <w:top w:w="25" w:type="dxa"/>
              <w:left w:w="70" w:type="dxa"/>
              <w:bottom w:w="25" w:type="dxa"/>
              <w:right w:w="70" w:type="dxa"/>
            </w:tcMar>
            <w:vAlign w:val="center"/>
          </w:tcPr>
          <w:p w14:paraId="72E210B4" w14:textId="77777777" w:rsidR="00581635" w:rsidRDefault="00317EF8">
            <w:pPr>
              <w:pStyle w:val="Normal1"/>
              <w:keepNext/>
              <w:jc w:val="center"/>
            </w:pPr>
            <w:r>
              <w:rPr>
                <w:b/>
                <w:bCs/>
                <w:sz w:val="17"/>
                <w:szCs w:val="17"/>
              </w:rPr>
              <w:t>Percentage (%)</w:t>
            </w:r>
          </w:p>
        </w:tc>
      </w:tr>
      <w:tr w:rsidR="00581635" w14:paraId="43F28815" w14:textId="77777777">
        <w:trPr>
          <w:cantSplit/>
          <w:tblHeader/>
          <w:jc w:val="center"/>
        </w:trPr>
        <w:tc>
          <w:tcPr>
            <w:tcW w:w="2400" w:type="dxa"/>
            <w:tcMar>
              <w:top w:w="25" w:type="dxa"/>
              <w:left w:w="70" w:type="dxa"/>
              <w:bottom w:w="25" w:type="dxa"/>
              <w:right w:w="70" w:type="dxa"/>
            </w:tcMar>
            <w:vAlign w:val="center"/>
          </w:tcPr>
          <w:p w14:paraId="6EBA3750" w14:textId="77777777" w:rsidR="00581635" w:rsidRDefault="00317EF8">
            <w:pPr>
              <w:pStyle w:val="Normal1"/>
              <w:keepNext/>
            </w:pPr>
            <w:r>
              <w:rPr>
                <w:sz w:val="17"/>
                <w:szCs w:val="17"/>
              </w:rPr>
              <w:t>Age (years), mean ± SD: 31.45 ± 9.30</w:t>
            </w:r>
          </w:p>
        </w:tc>
        <w:tc>
          <w:tcPr>
            <w:tcW w:w="2808" w:type="dxa"/>
            <w:tcMar>
              <w:top w:w="25" w:type="dxa"/>
              <w:left w:w="70" w:type="dxa"/>
              <w:bottom w:w="25" w:type="dxa"/>
              <w:right w:w="70" w:type="dxa"/>
            </w:tcMar>
            <w:vAlign w:val="center"/>
          </w:tcPr>
          <w:p w14:paraId="78E8DA84" w14:textId="77777777" w:rsidR="00581635" w:rsidRDefault="00317EF8">
            <w:pPr>
              <w:pStyle w:val="Normal1"/>
              <w:keepNext/>
            </w:pPr>
            <w:r>
              <w:rPr>
                <w:rFonts w:ascii="Arial Unicode MS" w:eastAsia="Arial Unicode MS" w:hAnsi="Arial Unicode MS" w:cs="Arial Unicode MS"/>
                <w:sz w:val="17"/>
                <w:szCs w:val="17"/>
              </w:rPr>
              <w:t>≤24</w:t>
            </w:r>
          </w:p>
        </w:tc>
        <w:tc>
          <w:tcPr>
            <w:tcW w:w="1500" w:type="dxa"/>
            <w:tcMar>
              <w:top w:w="25" w:type="dxa"/>
              <w:left w:w="70" w:type="dxa"/>
              <w:bottom w:w="25" w:type="dxa"/>
              <w:right w:w="70" w:type="dxa"/>
            </w:tcMar>
            <w:vAlign w:val="center"/>
          </w:tcPr>
          <w:p w14:paraId="1813EDDF" w14:textId="77777777" w:rsidR="00581635" w:rsidRDefault="00317EF8">
            <w:pPr>
              <w:pStyle w:val="Normal1"/>
              <w:keepNext/>
              <w:jc w:val="center"/>
            </w:pPr>
            <w:r>
              <w:rPr>
                <w:sz w:val="17"/>
                <w:szCs w:val="17"/>
              </w:rPr>
              <w:t>96</w:t>
            </w:r>
          </w:p>
        </w:tc>
        <w:tc>
          <w:tcPr>
            <w:tcW w:w="1500" w:type="dxa"/>
            <w:tcMar>
              <w:top w:w="25" w:type="dxa"/>
              <w:left w:w="70" w:type="dxa"/>
              <w:bottom w:w="25" w:type="dxa"/>
              <w:right w:w="70" w:type="dxa"/>
            </w:tcMar>
            <w:vAlign w:val="center"/>
          </w:tcPr>
          <w:p w14:paraId="4F99377D" w14:textId="77777777" w:rsidR="00581635" w:rsidRDefault="00317EF8">
            <w:pPr>
              <w:pStyle w:val="Normal1"/>
              <w:keepNext/>
              <w:jc w:val="center"/>
            </w:pPr>
            <w:r>
              <w:rPr>
                <w:sz w:val="17"/>
                <w:szCs w:val="17"/>
              </w:rPr>
              <w:t>24.7</w:t>
            </w:r>
          </w:p>
        </w:tc>
      </w:tr>
      <w:tr w:rsidR="00581635" w14:paraId="5ED00373" w14:textId="77777777">
        <w:trPr>
          <w:cantSplit/>
          <w:tblHeader/>
          <w:jc w:val="center"/>
        </w:trPr>
        <w:tc>
          <w:tcPr>
            <w:tcW w:w="2400" w:type="dxa"/>
            <w:tcMar>
              <w:top w:w="25" w:type="dxa"/>
              <w:left w:w="70" w:type="dxa"/>
              <w:bottom w:w="25" w:type="dxa"/>
              <w:right w:w="70" w:type="dxa"/>
            </w:tcMar>
            <w:vAlign w:val="center"/>
          </w:tcPr>
          <w:p w14:paraId="4A5B6705" w14:textId="77777777" w:rsidR="00581635" w:rsidRDefault="00581635">
            <w:pPr>
              <w:pStyle w:val="Normal1"/>
              <w:keepNext/>
            </w:pPr>
          </w:p>
        </w:tc>
        <w:tc>
          <w:tcPr>
            <w:tcW w:w="2808" w:type="dxa"/>
            <w:tcMar>
              <w:top w:w="25" w:type="dxa"/>
              <w:left w:w="70" w:type="dxa"/>
              <w:bottom w:w="25" w:type="dxa"/>
              <w:right w:w="70" w:type="dxa"/>
            </w:tcMar>
            <w:vAlign w:val="center"/>
          </w:tcPr>
          <w:p w14:paraId="2F8BF90B" w14:textId="77777777" w:rsidR="00581635" w:rsidRDefault="00317EF8">
            <w:pPr>
              <w:pStyle w:val="Normal1"/>
              <w:keepNext/>
            </w:pPr>
            <w:r>
              <w:rPr>
                <w:sz w:val="17"/>
                <w:szCs w:val="17"/>
              </w:rPr>
              <w:t>25–34</w:t>
            </w:r>
          </w:p>
        </w:tc>
        <w:tc>
          <w:tcPr>
            <w:tcW w:w="1500" w:type="dxa"/>
            <w:tcMar>
              <w:top w:w="25" w:type="dxa"/>
              <w:left w:w="70" w:type="dxa"/>
              <w:bottom w:w="25" w:type="dxa"/>
              <w:right w:w="70" w:type="dxa"/>
            </w:tcMar>
            <w:vAlign w:val="center"/>
          </w:tcPr>
          <w:p w14:paraId="27DDE6C0" w14:textId="77777777" w:rsidR="00581635" w:rsidRDefault="00317EF8">
            <w:pPr>
              <w:pStyle w:val="Normal1"/>
              <w:keepNext/>
              <w:jc w:val="center"/>
            </w:pPr>
            <w:r>
              <w:rPr>
                <w:sz w:val="17"/>
                <w:szCs w:val="17"/>
              </w:rPr>
              <w:t>154</w:t>
            </w:r>
          </w:p>
        </w:tc>
        <w:tc>
          <w:tcPr>
            <w:tcW w:w="1500" w:type="dxa"/>
            <w:tcMar>
              <w:top w:w="25" w:type="dxa"/>
              <w:left w:w="70" w:type="dxa"/>
              <w:bottom w:w="25" w:type="dxa"/>
              <w:right w:w="70" w:type="dxa"/>
            </w:tcMar>
            <w:vAlign w:val="center"/>
          </w:tcPr>
          <w:p w14:paraId="06EA1FBB" w14:textId="77777777" w:rsidR="00581635" w:rsidRDefault="00317EF8">
            <w:pPr>
              <w:pStyle w:val="Normal1"/>
              <w:keepNext/>
              <w:jc w:val="center"/>
            </w:pPr>
            <w:r>
              <w:rPr>
                <w:sz w:val="17"/>
                <w:szCs w:val="17"/>
              </w:rPr>
              <w:t>39.6</w:t>
            </w:r>
          </w:p>
        </w:tc>
      </w:tr>
      <w:tr w:rsidR="00581635" w14:paraId="1D76B94F" w14:textId="77777777">
        <w:trPr>
          <w:cantSplit/>
          <w:tblHeader/>
          <w:jc w:val="center"/>
        </w:trPr>
        <w:tc>
          <w:tcPr>
            <w:tcW w:w="2400" w:type="dxa"/>
            <w:tcMar>
              <w:top w:w="25" w:type="dxa"/>
              <w:left w:w="70" w:type="dxa"/>
              <w:bottom w:w="25" w:type="dxa"/>
              <w:right w:w="70" w:type="dxa"/>
            </w:tcMar>
            <w:vAlign w:val="center"/>
          </w:tcPr>
          <w:p w14:paraId="6D214DA8" w14:textId="77777777" w:rsidR="00581635" w:rsidRDefault="00581635">
            <w:pPr>
              <w:pStyle w:val="Normal1"/>
              <w:keepNext/>
            </w:pPr>
          </w:p>
        </w:tc>
        <w:tc>
          <w:tcPr>
            <w:tcW w:w="2808" w:type="dxa"/>
            <w:tcMar>
              <w:top w:w="25" w:type="dxa"/>
              <w:left w:w="70" w:type="dxa"/>
              <w:bottom w:w="25" w:type="dxa"/>
              <w:right w:w="70" w:type="dxa"/>
            </w:tcMar>
            <w:vAlign w:val="center"/>
          </w:tcPr>
          <w:p w14:paraId="31AD220A" w14:textId="77777777" w:rsidR="00581635" w:rsidRDefault="00317EF8">
            <w:pPr>
              <w:pStyle w:val="Normal1"/>
              <w:keepNext/>
            </w:pPr>
            <w:r>
              <w:rPr>
                <w:sz w:val="17"/>
                <w:szCs w:val="17"/>
              </w:rPr>
              <w:t>35–44</w:t>
            </w:r>
          </w:p>
        </w:tc>
        <w:tc>
          <w:tcPr>
            <w:tcW w:w="1500" w:type="dxa"/>
            <w:tcMar>
              <w:top w:w="25" w:type="dxa"/>
              <w:left w:w="70" w:type="dxa"/>
              <w:bottom w:w="25" w:type="dxa"/>
              <w:right w:w="70" w:type="dxa"/>
            </w:tcMar>
            <w:vAlign w:val="center"/>
          </w:tcPr>
          <w:p w14:paraId="59FFA4C9" w14:textId="77777777" w:rsidR="00581635" w:rsidRDefault="00317EF8">
            <w:pPr>
              <w:pStyle w:val="Normal1"/>
              <w:keepNext/>
              <w:jc w:val="center"/>
            </w:pPr>
            <w:r>
              <w:rPr>
                <w:sz w:val="17"/>
                <w:szCs w:val="17"/>
              </w:rPr>
              <w:t>107</w:t>
            </w:r>
          </w:p>
        </w:tc>
        <w:tc>
          <w:tcPr>
            <w:tcW w:w="1500" w:type="dxa"/>
            <w:tcMar>
              <w:top w:w="25" w:type="dxa"/>
              <w:left w:w="70" w:type="dxa"/>
              <w:bottom w:w="25" w:type="dxa"/>
              <w:right w:w="70" w:type="dxa"/>
            </w:tcMar>
            <w:vAlign w:val="center"/>
          </w:tcPr>
          <w:p w14:paraId="3F6193FA" w14:textId="77777777" w:rsidR="00581635" w:rsidRDefault="00317EF8">
            <w:pPr>
              <w:pStyle w:val="Normal1"/>
              <w:keepNext/>
              <w:jc w:val="center"/>
            </w:pPr>
            <w:r>
              <w:rPr>
                <w:sz w:val="17"/>
                <w:szCs w:val="17"/>
              </w:rPr>
              <w:t>27.5</w:t>
            </w:r>
          </w:p>
        </w:tc>
      </w:tr>
      <w:tr w:rsidR="00581635" w14:paraId="3815222A" w14:textId="77777777">
        <w:trPr>
          <w:cantSplit/>
          <w:tblHeader/>
          <w:jc w:val="center"/>
        </w:trPr>
        <w:tc>
          <w:tcPr>
            <w:tcW w:w="2400" w:type="dxa"/>
            <w:tcMar>
              <w:top w:w="25" w:type="dxa"/>
              <w:left w:w="70" w:type="dxa"/>
              <w:bottom w:w="25" w:type="dxa"/>
              <w:right w:w="70" w:type="dxa"/>
            </w:tcMar>
            <w:vAlign w:val="center"/>
          </w:tcPr>
          <w:p w14:paraId="6EAFDD38" w14:textId="77777777" w:rsidR="00581635" w:rsidRDefault="00581635">
            <w:pPr>
              <w:pStyle w:val="Normal1"/>
              <w:keepNext/>
            </w:pPr>
          </w:p>
        </w:tc>
        <w:tc>
          <w:tcPr>
            <w:tcW w:w="2808" w:type="dxa"/>
            <w:tcMar>
              <w:top w:w="25" w:type="dxa"/>
              <w:left w:w="70" w:type="dxa"/>
              <w:bottom w:w="25" w:type="dxa"/>
              <w:right w:w="70" w:type="dxa"/>
            </w:tcMar>
            <w:vAlign w:val="center"/>
          </w:tcPr>
          <w:p w14:paraId="6BC69F28" w14:textId="77777777" w:rsidR="00581635" w:rsidRDefault="00317EF8">
            <w:pPr>
              <w:pStyle w:val="Normal1"/>
              <w:keepNext/>
            </w:pPr>
            <w:r>
              <w:rPr>
                <w:rFonts w:ascii="Arial Unicode MS" w:eastAsia="Arial Unicode MS" w:hAnsi="Arial Unicode MS" w:cs="Arial Unicode MS"/>
                <w:sz w:val="17"/>
                <w:szCs w:val="17"/>
              </w:rPr>
              <w:t>≥45</w:t>
            </w:r>
          </w:p>
        </w:tc>
        <w:tc>
          <w:tcPr>
            <w:tcW w:w="1500" w:type="dxa"/>
            <w:tcMar>
              <w:top w:w="25" w:type="dxa"/>
              <w:left w:w="70" w:type="dxa"/>
              <w:bottom w:w="25" w:type="dxa"/>
              <w:right w:w="70" w:type="dxa"/>
            </w:tcMar>
            <w:vAlign w:val="center"/>
          </w:tcPr>
          <w:p w14:paraId="3DD4BE70" w14:textId="77777777" w:rsidR="00581635" w:rsidRDefault="00317EF8">
            <w:pPr>
              <w:pStyle w:val="Normal1"/>
              <w:keepNext/>
              <w:jc w:val="center"/>
            </w:pPr>
            <w:r>
              <w:rPr>
                <w:sz w:val="17"/>
                <w:szCs w:val="17"/>
              </w:rPr>
              <w:t>32</w:t>
            </w:r>
          </w:p>
        </w:tc>
        <w:tc>
          <w:tcPr>
            <w:tcW w:w="1500" w:type="dxa"/>
            <w:tcMar>
              <w:top w:w="25" w:type="dxa"/>
              <w:left w:w="70" w:type="dxa"/>
              <w:bottom w:w="25" w:type="dxa"/>
              <w:right w:w="70" w:type="dxa"/>
            </w:tcMar>
            <w:vAlign w:val="center"/>
          </w:tcPr>
          <w:p w14:paraId="259AA0BC" w14:textId="77777777" w:rsidR="00581635" w:rsidRDefault="00317EF8">
            <w:pPr>
              <w:pStyle w:val="Normal1"/>
              <w:keepNext/>
              <w:jc w:val="center"/>
            </w:pPr>
            <w:r>
              <w:rPr>
                <w:sz w:val="17"/>
                <w:szCs w:val="17"/>
              </w:rPr>
              <w:t>8.2</w:t>
            </w:r>
          </w:p>
        </w:tc>
      </w:tr>
      <w:tr w:rsidR="00581635" w14:paraId="22901D5E" w14:textId="77777777">
        <w:trPr>
          <w:cantSplit/>
          <w:tblHeader/>
          <w:jc w:val="center"/>
        </w:trPr>
        <w:tc>
          <w:tcPr>
            <w:tcW w:w="2400" w:type="dxa"/>
            <w:tcMar>
              <w:top w:w="25" w:type="dxa"/>
              <w:left w:w="70" w:type="dxa"/>
              <w:bottom w:w="25" w:type="dxa"/>
              <w:right w:w="70" w:type="dxa"/>
            </w:tcMar>
            <w:vAlign w:val="center"/>
          </w:tcPr>
          <w:p w14:paraId="1DCC853E" w14:textId="77777777" w:rsidR="00581635" w:rsidRDefault="00317EF8">
            <w:pPr>
              <w:pStyle w:val="Normal1"/>
              <w:keepNext/>
            </w:pPr>
            <w:r>
              <w:rPr>
                <w:sz w:val="17"/>
                <w:szCs w:val="17"/>
              </w:rPr>
              <w:t>Sex</w:t>
            </w:r>
          </w:p>
        </w:tc>
        <w:tc>
          <w:tcPr>
            <w:tcW w:w="2808" w:type="dxa"/>
            <w:tcMar>
              <w:top w:w="25" w:type="dxa"/>
              <w:left w:w="70" w:type="dxa"/>
              <w:bottom w:w="25" w:type="dxa"/>
              <w:right w:w="70" w:type="dxa"/>
            </w:tcMar>
            <w:vAlign w:val="center"/>
          </w:tcPr>
          <w:p w14:paraId="4A206926" w14:textId="77777777" w:rsidR="00581635" w:rsidRDefault="00317EF8">
            <w:pPr>
              <w:pStyle w:val="Normal1"/>
              <w:keepNext/>
            </w:pPr>
            <w:r>
              <w:rPr>
                <w:sz w:val="17"/>
                <w:szCs w:val="17"/>
              </w:rPr>
              <w:t>Male</w:t>
            </w:r>
          </w:p>
        </w:tc>
        <w:tc>
          <w:tcPr>
            <w:tcW w:w="1500" w:type="dxa"/>
            <w:tcMar>
              <w:top w:w="25" w:type="dxa"/>
              <w:left w:w="70" w:type="dxa"/>
              <w:bottom w:w="25" w:type="dxa"/>
              <w:right w:w="70" w:type="dxa"/>
            </w:tcMar>
            <w:vAlign w:val="center"/>
          </w:tcPr>
          <w:p w14:paraId="586EB789" w14:textId="77777777" w:rsidR="00581635" w:rsidRDefault="00317EF8">
            <w:pPr>
              <w:pStyle w:val="Normal1"/>
              <w:keepNext/>
              <w:jc w:val="center"/>
            </w:pPr>
            <w:r>
              <w:rPr>
                <w:sz w:val="17"/>
                <w:szCs w:val="17"/>
              </w:rPr>
              <w:t>157</w:t>
            </w:r>
          </w:p>
        </w:tc>
        <w:tc>
          <w:tcPr>
            <w:tcW w:w="1500" w:type="dxa"/>
            <w:tcMar>
              <w:top w:w="25" w:type="dxa"/>
              <w:left w:w="70" w:type="dxa"/>
              <w:bottom w:w="25" w:type="dxa"/>
              <w:right w:w="70" w:type="dxa"/>
            </w:tcMar>
            <w:vAlign w:val="center"/>
          </w:tcPr>
          <w:p w14:paraId="2A83EFB8" w14:textId="77777777" w:rsidR="00581635" w:rsidRDefault="00317EF8">
            <w:pPr>
              <w:pStyle w:val="Normal1"/>
              <w:keepNext/>
              <w:jc w:val="center"/>
            </w:pPr>
            <w:r>
              <w:rPr>
                <w:sz w:val="17"/>
                <w:szCs w:val="17"/>
              </w:rPr>
              <w:t>40.4</w:t>
            </w:r>
          </w:p>
        </w:tc>
      </w:tr>
      <w:tr w:rsidR="00581635" w14:paraId="7CA9BAF0" w14:textId="77777777">
        <w:trPr>
          <w:cantSplit/>
          <w:tblHeader/>
          <w:jc w:val="center"/>
        </w:trPr>
        <w:tc>
          <w:tcPr>
            <w:tcW w:w="2400" w:type="dxa"/>
            <w:tcMar>
              <w:top w:w="25" w:type="dxa"/>
              <w:left w:w="70" w:type="dxa"/>
              <w:bottom w:w="25" w:type="dxa"/>
              <w:right w:w="70" w:type="dxa"/>
            </w:tcMar>
            <w:vAlign w:val="center"/>
          </w:tcPr>
          <w:p w14:paraId="0DC3697B" w14:textId="77777777" w:rsidR="00581635" w:rsidRDefault="00581635">
            <w:pPr>
              <w:pStyle w:val="Normal1"/>
              <w:keepNext/>
            </w:pPr>
          </w:p>
        </w:tc>
        <w:tc>
          <w:tcPr>
            <w:tcW w:w="2808" w:type="dxa"/>
            <w:tcMar>
              <w:top w:w="25" w:type="dxa"/>
              <w:left w:w="70" w:type="dxa"/>
              <w:bottom w:w="25" w:type="dxa"/>
              <w:right w:w="70" w:type="dxa"/>
            </w:tcMar>
            <w:vAlign w:val="center"/>
          </w:tcPr>
          <w:p w14:paraId="1CB24E5B" w14:textId="77777777" w:rsidR="00581635" w:rsidRDefault="00317EF8">
            <w:pPr>
              <w:pStyle w:val="Normal1"/>
              <w:keepNext/>
            </w:pPr>
            <w:r>
              <w:rPr>
                <w:sz w:val="17"/>
                <w:szCs w:val="17"/>
              </w:rPr>
              <w:t>Female</w:t>
            </w:r>
          </w:p>
        </w:tc>
        <w:tc>
          <w:tcPr>
            <w:tcW w:w="1500" w:type="dxa"/>
            <w:tcMar>
              <w:top w:w="25" w:type="dxa"/>
              <w:left w:w="70" w:type="dxa"/>
              <w:bottom w:w="25" w:type="dxa"/>
              <w:right w:w="70" w:type="dxa"/>
            </w:tcMar>
            <w:vAlign w:val="center"/>
          </w:tcPr>
          <w:p w14:paraId="7F74B526" w14:textId="77777777" w:rsidR="00581635" w:rsidRDefault="00317EF8">
            <w:pPr>
              <w:pStyle w:val="Normal1"/>
              <w:keepNext/>
              <w:jc w:val="center"/>
            </w:pPr>
            <w:r>
              <w:rPr>
                <w:sz w:val="17"/>
                <w:szCs w:val="17"/>
              </w:rPr>
              <w:t>232</w:t>
            </w:r>
          </w:p>
        </w:tc>
        <w:tc>
          <w:tcPr>
            <w:tcW w:w="1500" w:type="dxa"/>
            <w:tcMar>
              <w:top w:w="25" w:type="dxa"/>
              <w:left w:w="70" w:type="dxa"/>
              <w:bottom w:w="25" w:type="dxa"/>
              <w:right w:w="70" w:type="dxa"/>
            </w:tcMar>
            <w:vAlign w:val="center"/>
          </w:tcPr>
          <w:p w14:paraId="3B566692" w14:textId="77777777" w:rsidR="00581635" w:rsidRDefault="00317EF8">
            <w:pPr>
              <w:pStyle w:val="Normal1"/>
              <w:keepNext/>
              <w:jc w:val="center"/>
            </w:pPr>
            <w:r>
              <w:rPr>
                <w:sz w:val="17"/>
                <w:szCs w:val="17"/>
              </w:rPr>
              <w:t>59.6</w:t>
            </w:r>
          </w:p>
        </w:tc>
      </w:tr>
      <w:tr w:rsidR="00581635" w14:paraId="05B18CB6" w14:textId="77777777">
        <w:trPr>
          <w:cantSplit/>
          <w:tblHeader/>
          <w:jc w:val="center"/>
        </w:trPr>
        <w:tc>
          <w:tcPr>
            <w:tcW w:w="2400" w:type="dxa"/>
            <w:tcMar>
              <w:top w:w="25" w:type="dxa"/>
              <w:left w:w="70" w:type="dxa"/>
              <w:bottom w:w="25" w:type="dxa"/>
              <w:right w:w="70" w:type="dxa"/>
            </w:tcMar>
            <w:vAlign w:val="center"/>
          </w:tcPr>
          <w:p w14:paraId="16758978" w14:textId="77777777" w:rsidR="00581635" w:rsidRDefault="00317EF8">
            <w:pPr>
              <w:pStyle w:val="Normal1"/>
              <w:keepNext/>
            </w:pPr>
            <w:r>
              <w:rPr>
                <w:sz w:val="17"/>
                <w:szCs w:val="17"/>
              </w:rPr>
              <w:t>Marital status</w:t>
            </w:r>
          </w:p>
        </w:tc>
        <w:tc>
          <w:tcPr>
            <w:tcW w:w="2808" w:type="dxa"/>
            <w:tcMar>
              <w:top w:w="25" w:type="dxa"/>
              <w:left w:w="70" w:type="dxa"/>
              <w:bottom w:w="25" w:type="dxa"/>
              <w:right w:w="70" w:type="dxa"/>
            </w:tcMar>
            <w:vAlign w:val="center"/>
          </w:tcPr>
          <w:p w14:paraId="362772DF" w14:textId="77777777" w:rsidR="00581635" w:rsidRDefault="00317EF8">
            <w:pPr>
              <w:pStyle w:val="Normal1"/>
              <w:keepNext/>
            </w:pPr>
            <w:r>
              <w:rPr>
                <w:sz w:val="17"/>
                <w:szCs w:val="17"/>
              </w:rPr>
              <w:t>Single</w:t>
            </w:r>
          </w:p>
        </w:tc>
        <w:tc>
          <w:tcPr>
            <w:tcW w:w="1500" w:type="dxa"/>
            <w:tcMar>
              <w:top w:w="25" w:type="dxa"/>
              <w:left w:w="70" w:type="dxa"/>
              <w:bottom w:w="25" w:type="dxa"/>
              <w:right w:w="70" w:type="dxa"/>
            </w:tcMar>
            <w:vAlign w:val="center"/>
          </w:tcPr>
          <w:p w14:paraId="226EAA48" w14:textId="77777777" w:rsidR="00581635" w:rsidRDefault="00317EF8">
            <w:pPr>
              <w:pStyle w:val="Normal1"/>
              <w:keepNext/>
              <w:jc w:val="center"/>
            </w:pPr>
            <w:r>
              <w:rPr>
                <w:sz w:val="17"/>
                <w:szCs w:val="17"/>
              </w:rPr>
              <w:t>188</w:t>
            </w:r>
          </w:p>
        </w:tc>
        <w:tc>
          <w:tcPr>
            <w:tcW w:w="1500" w:type="dxa"/>
            <w:tcMar>
              <w:top w:w="25" w:type="dxa"/>
              <w:left w:w="70" w:type="dxa"/>
              <w:bottom w:w="25" w:type="dxa"/>
              <w:right w:w="70" w:type="dxa"/>
            </w:tcMar>
            <w:vAlign w:val="center"/>
          </w:tcPr>
          <w:p w14:paraId="0A875AC2" w14:textId="77777777" w:rsidR="00581635" w:rsidRDefault="00317EF8">
            <w:pPr>
              <w:pStyle w:val="Normal1"/>
              <w:keepNext/>
              <w:jc w:val="center"/>
            </w:pPr>
            <w:r>
              <w:rPr>
                <w:sz w:val="17"/>
                <w:szCs w:val="17"/>
              </w:rPr>
              <w:t>48.3</w:t>
            </w:r>
          </w:p>
        </w:tc>
      </w:tr>
      <w:tr w:rsidR="00581635" w14:paraId="493D96FB" w14:textId="77777777">
        <w:trPr>
          <w:cantSplit/>
          <w:tblHeader/>
          <w:jc w:val="center"/>
        </w:trPr>
        <w:tc>
          <w:tcPr>
            <w:tcW w:w="2400" w:type="dxa"/>
            <w:tcMar>
              <w:top w:w="25" w:type="dxa"/>
              <w:left w:w="70" w:type="dxa"/>
              <w:bottom w:w="25" w:type="dxa"/>
              <w:right w:w="70" w:type="dxa"/>
            </w:tcMar>
            <w:vAlign w:val="center"/>
          </w:tcPr>
          <w:p w14:paraId="076FD97E" w14:textId="77777777" w:rsidR="00581635" w:rsidRDefault="00581635">
            <w:pPr>
              <w:pStyle w:val="Normal1"/>
              <w:keepNext/>
            </w:pPr>
          </w:p>
        </w:tc>
        <w:tc>
          <w:tcPr>
            <w:tcW w:w="2808" w:type="dxa"/>
            <w:tcMar>
              <w:top w:w="25" w:type="dxa"/>
              <w:left w:w="70" w:type="dxa"/>
              <w:bottom w:w="25" w:type="dxa"/>
              <w:right w:w="70" w:type="dxa"/>
            </w:tcMar>
            <w:vAlign w:val="center"/>
          </w:tcPr>
          <w:p w14:paraId="68F7732A" w14:textId="77777777" w:rsidR="00581635" w:rsidRDefault="00317EF8">
            <w:pPr>
              <w:pStyle w:val="Normal1"/>
              <w:keepNext/>
            </w:pPr>
            <w:r>
              <w:rPr>
                <w:sz w:val="17"/>
                <w:szCs w:val="17"/>
              </w:rPr>
              <w:t>Currently married</w:t>
            </w:r>
          </w:p>
        </w:tc>
        <w:tc>
          <w:tcPr>
            <w:tcW w:w="1500" w:type="dxa"/>
            <w:tcMar>
              <w:top w:w="25" w:type="dxa"/>
              <w:left w:w="70" w:type="dxa"/>
              <w:bottom w:w="25" w:type="dxa"/>
              <w:right w:w="70" w:type="dxa"/>
            </w:tcMar>
            <w:vAlign w:val="center"/>
          </w:tcPr>
          <w:p w14:paraId="7809FB87" w14:textId="77777777" w:rsidR="00581635" w:rsidRDefault="00317EF8">
            <w:pPr>
              <w:pStyle w:val="Normal1"/>
              <w:keepNext/>
              <w:jc w:val="center"/>
            </w:pPr>
            <w:r>
              <w:rPr>
                <w:sz w:val="17"/>
                <w:szCs w:val="17"/>
              </w:rPr>
              <w:t>124</w:t>
            </w:r>
          </w:p>
        </w:tc>
        <w:tc>
          <w:tcPr>
            <w:tcW w:w="1500" w:type="dxa"/>
            <w:tcMar>
              <w:top w:w="25" w:type="dxa"/>
              <w:left w:w="70" w:type="dxa"/>
              <w:bottom w:w="25" w:type="dxa"/>
              <w:right w:w="70" w:type="dxa"/>
            </w:tcMar>
            <w:vAlign w:val="center"/>
          </w:tcPr>
          <w:p w14:paraId="3203721D" w14:textId="77777777" w:rsidR="00581635" w:rsidRDefault="00317EF8">
            <w:pPr>
              <w:pStyle w:val="Normal1"/>
              <w:keepNext/>
              <w:jc w:val="center"/>
            </w:pPr>
            <w:r>
              <w:rPr>
                <w:sz w:val="17"/>
                <w:szCs w:val="17"/>
              </w:rPr>
              <w:t>31.9</w:t>
            </w:r>
          </w:p>
        </w:tc>
      </w:tr>
      <w:tr w:rsidR="00581635" w14:paraId="36B9689E" w14:textId="77777777">
        <w:trPr>
          <w:cantSplit/>
          <w:tblHeader/>
          <w:jc w:val="center"/>
        </w:trPr>
        <w:tc>
          <w:tcPr>
            <w:tcW w:w="2400" w:type="dxa"/>
            <w:tcMar>
              <w:top w:w="25" w:type="dxa"/>
              <w:left w:w="70" w:type="dxa"/>
              <w:bottom w:w="25" w:type="dxa"/>
              <w:right w:w="70" w:type="dxa"/>
            </w:tcMar>
            <w:vAlign w:val="center"/>
          </w:tcPr>
          <w:p w14:paraId="5AD5E9DB" w14:textId="77777777" w:rsidR="00581635" w:rsidRDefault="00581635">
            <w:pPr>
              <w:pStyle w:val="Normal1"/>
              <w:keepNext/>
            </w:pPr>
          </w:p>
        </w:tc>
        <w:tc>
          <w:tcPr>
            <w:tcW w:w="2808" w:type="dxa"/>
            <w:tcMar>
              <w:top w:w="25" w:type="dxa"/>
              <w:left w:w="70" w:type="dxa"/>
              <w:bottom w:w="25" w:type="dxa"/>
              <w:right w:w="70" w:type="dxa"/>
            </w:tcMar>
            <w:vAlign w:val="center"/>
          </w:tcPr>
          <w:p w14:paraId="5B796C1F" w14:textId="77777777" w:rsidR="00581635" w:rsidRDefault="00317EF8">
            <w:pPr>
              <w:pStyle w:val="Normal1"/>
              <w:keepNext/>
            </w:pPr>
            <w:r>
              <w:rPr>
                <w:sz w:val="17"/>
                <w:szCs w:val="17"/>
              </w:rPr>
              <w:t>Previously married</w:t>
            </w:r>
          </w:p>
        </w:tc>
        <w:tc>
          <w:tcPr>
            <w:tcW w:w="1500" w:type="dxa"/>
            <w:tcMar>
              <w:top w:w="25" w:type="dxa"/>
              <w:left w:w="70" w:type="dxa"/>
              <w:bottom w:w="25" w:type="dxa"/>
              <w:right w:w="70" w:type="dxa"/>
            </w:tcMar>
            <w:vAlign w:val="center"/>
          </w:tcPr>
          <w:p w14:paraId="5C35BAE0" w14:textId="77777777" w:rsidR="00581635" w:rsidRDefault="00317EF8">
            <w:pPr>
              <w:pStyle w:val="Normal1"/>
              <w:keepNext/>
              <w:jc w:val="center"/>
            </w:pPr>
            <w:r>
              <w:rPr>
                <w:sz w:val="17"/>
                <w:szCs w:val="17"/>
              </w:rPr>
              <w:t>77</w:t>
            </w:r>
          </w:p>
        </w:tc>
        <w:tc>
          <w:tcPr>
            <w:tcW w:w="1500" w:type="dxa"/>
            <w:tcMar>
              <w:top w:w="25" w:type="dxa"/>
              <w:left w:w="70" w:type="dxa"/>
              <w:bottom w:w="25" w:type="dxa"/>
              <w:right w:w="70" w:type="dxa"/>
            </w:tcMar>
            <w:vAlign w:val="center"/>
          </w:tcPr>
          <w:p w14:paraId="144F0682" w14:textId="77777777" w:rsidR="00581635" w:rsidRDefault="00317EF8">
            <w:pPr>
              <w:pStyle w:val="Normal1"/>
              <w:keepNext/>
              <w:jc w:val="center"/>
            </w:pPr>
            <w:r>
              <w:rPr>
                <w:sz w:val="17"/>
                <w:szCs w:val="17"/>
              </w:rPr>
              <w:t>19.8</w:t>
            </w:r>
          </w:p>
        </w:tc>
      </w:tr>
      <w:tr w:rsidR="00581635" w14:paraId="5858FE11" w14:textId="77777777">
        <w:trPr>
          <w:cantSplit/>
          <w:tblHeader/>
          <w:jc w:val="center"/>
        </w:trPr>
        <w:tc>
          <w:tcPr>
            <w:tcW w:w="2400" w:type="dxa"/>
            <w:tcMar>
              <w:top w:w="25" w:type="dxa"/>
              <w:left w:w="70" w:type="dxa"/>
              <w:bottom w:w="25" w:type="dxa"/>
              <w:right w:w="70" w:type="dxa"/>
            </w:tcMar>
            <w:vAlign w:val="center"/>
          </w:tcPr>
          <w:p w14:paraId="01EF4281" w14:textId="77777777" w:rsidR="00581635" w:rsidRDefault="00317EF8">
            <w:pPr>
              <w:pStyle w:val="Normal1"/>
              <w:keepNext/>
            </w:pPr>
            <w:r>
              <w:rPr>
                <w:sz w:val="17"/>
                <w:szCs w:val="17"/>
              </w:rPr>
              <w:t>Educational level</w:t>
            </w:r>
          </w:p>
        </w:tc>
        <w:tc>
          <w:tcPr>
            <w:tcW w:w="2808" w:type="dxa"/>
            <w:tcMar>
              <w:top w:w="25" w:type="dxa"/>
              <w:left w:w="70" w:type="dxa"/>
              <w:bottom w:w="25" w:type="dxa"/>
              <w:right w:w="70" w:type="dxa"/>
            </w:tcMar>
            <w:vAlign w:val="center"/>
          </w:tcPr>
          <w:p w14:paraId="52D6FED1" w14:textId="77777777" w:rsidR="00581635" w:rsidRDefault="00317EF8">
            <w:pPr>
              <w:pStyle w:val="Normal1"/>
              <w:keepNext/>
            </w:pPr>
            <w:r>
              <w:rPr>
                <w:sz w:val="17"/>
                <w:szCs w:val="17"/>
              </w:rPr>
              <w:t>No education</w:t>
            </w:r>
          </w:p>
        </w:tc>
        <w:tc>
          <w:tcPr>
            <w:tcW w:w="1500" w:type="dxa"/>
            <w:tcMar>
              <w:top w:w="25" w:type="dxa"/>
              <w:left w:w="70" w:type="dxa"/>
              <w:bottom w:w="25" w:type="dxa"/>
              <w:right w:w="70" w:type="dxa"/>
            </w:tcMar>
            <w:vAlign w:val="center"/>
          </w:tcPr>
          <w:p w14:paraId="1CFA7B5C" w14:textId="77777777" w:rsidR="00581635" w:rsidRDefault="00317EF8">
            <w:pPr>
              <w:pStyle w:val="Normal1"/>
              <w:keepNext/>
              <w:jc w:val="center"/>
            </w:pPr>
            <w:r>
              <w:rPr>
                <w:sz w:val="17"/>
                <w:szCs w:val="17"/>
              </w:rPr>
              <w:t>96</w:t>
            </w:r>
          </w:p>
        </w:tc>
        <w:tc>
          <w:tcPr>
            <w:tcW w:w="1500" w:type="dxa"/>
            <w:tcMar>
              <w:top w:w="25" w:type="dxa"/>
              <w:left w:w="70" w:type="dxa"/>
              <w:bottom w:w="25" w:type="dxa"/>
              <w:right w:w="70" w:type="dxa"/>
            </w:tcMar>
            <w:vAlign w:val="center"/>
          </w:tcPr>
          <w:p w14:paraId="505B4453" w14:textId="77777777" w:rsidR="00581635" w:rsidRDefault="00317EF8">
            <w:pPr>
              <w:pStyle w:val="Normal1"/>
              <w:keepNext/>
              <w:jc w:val="center"/>
            </w:pPr>
            <w:r>
              <w:rPr>
                <w:sz w:val="17"/>
                <w:szCs w:val="17"/>
              </w:rPr>
              <w:t>24.7</w:t>
            </w:r>
          </w:p>
        </w:tc>
      </w:tr>
      <w:tr w:rsidR="00581635" w14:paraId="6B4FE40F" w14:textId="77777777">
        <w:trPr>
          <w:cantSplit/>
          <w:tblHeader/>
          <w:jc w:val="center"/>
        </w:trPr>
        <w:tc>
          <w:tcPr>
            <w:tcW w:w="2400" w:type="dxa"/>
            <w:tcMar>
              <w:top w:w="25" w:type="dxa"/>
              <w:left w:w="70" w:type="dxa"/>
              <w:bottom w:w="25" w:type="dxa"/>
              <w:right w:w="70" w:type="dxa"/>
            </w:tcMar>
            <w:vAlign w:val="center"/>
          </w:tcPr>
          <w:p w14:paraId="6917AAD0" w14:textId="77777777" w:rsidR="00581635" w:rsidRDefault="00581635">
            <w:pPr>
              <w:pStyle w:val="Normal1"/>
              <w:keepNext/>
            </w:pPr>
          </w:p>
        </w:tc>
        <w:tc>
          <w:tcPr>
            <w:tcW w:w="2808" w:type="dxa"/>
            <w:tcMar>
              <w:top w:w="25" w:type="dxa"/>
              <w:left w:w="70" w:type="dxa"/>
              <w:bottom w:w="25" w:type="dxa"/>
              <w:right w:w="70" w:type="dxa"/>
            </w:tcMar>
            <w:vAlign w:val="center"/>
          </w:tcPr>
          <w:p w14:paraId="4C00E932" w14:textId="77777777" w:rsidR="00581635" w:rsidRDefault="00317EF8">
            <w:pPr>
              <w:pStyle w:val="Normal1"/>
              <w:keepNext/>
            </w:pPr>
            <w:r>
              <w:rPr>
                <w:sz w:val="17"/>
                <w:szCs w:val="17"/>
              </w:rPr>
              <w:t>Primary</w:t>
            </w:r>
          </w:p>
        </w:tc>
        <w:tc>
          <w:tcPr>
            <w:tcW w:w="1500" w:type="dxa"/>
            <w:tcMar>
              <w:top w:w="25" w:type="dxa"/>
              <w:left w:w="70" w:type="dxa"/>
              <w:bottom w:w="25" w:type="dxa"/>
              <w:right w:w="70" w:type="dxa"/>
            </w:tcMar>
            <w:vAlign w:val="center"/>
          </w:tcPr>
          <w:p w14:paraId="59FEF1C3" w14:textId="77777777" w:rsidR="00581635" w:rsidRDefault="00317EF8">
            <w:pPr>
              <w:pStyle w:val="Normal1"/>
              <w:keepNext/>
              <w:jc w:val="center"/>
            </w:pPr>
            <w:r>
              <w:rPr>
                <w:sz w:val="17"/>
                <w:szCs w:val="17"/>
              </w:rPr>
              <w:t>73</w:t>
            </w:r>
          </w:p>
        </w:tc>
        <w:tc>
          <w:tcPr>
            <w:tcW w:w="1500" w:type="dxa"/>
            <w:tcMar>
              <w:top w:w="25" w:type="dxa"/>
              <w:left w:w="70" w:type="dxa"/>
              <w:bottom w:w="25" w:type="dxa"/>
              <w:right w:w="70" w:type="dxa"/>
            </w:tcMar>
            <w:vAlign w:val="center"/>
          </w:tcPr>
          <w:p w14:paraId="248DB470" w14:textId="77777777" w:rsidR="00581635" w:rsidRDefault="00317EF8">
            <w:pPr>
              <w:pStyle w:val="Normal1"/>
              <w:keepNext/>
              <w:jc w:val="center"/>
            </w:pPr>
            <w:r>
              <w:rPr>
                <w:sz w:val="17"/>
                <w:szCs w:val="17"/>
              </w:rPr>
              <w:t>18.8</w:t>
            </w:r>
          </w:p>
        </w:tc>
      </w:tr>
      <w:tr w:rsidR="00581635" w14:paraId="0F1DF552" w14:textId="77777777">
        <w:trPr>
          <w:cantSplit/>
          <w:tblHeader/>
          <w:jc w:val="center"/>
        </w:trPr>
        <w:tc>
          <w:tcPr>
            <w:tcW w:w="2400" w:type="dxa"/>
            <w:tcMar>
              <w:top w:w="25" w:type="dxa"/>
              <w:left w:w="70" w:type="dxa"/>
              <w:bottom w:w="25" w:type="dxa"/>
              <w:right w:w="70" w:type="dxa"/>
            </w:tcMar>
            <w:vAlign w:val="center"/>
          </w:tcPr>
          <w:p w14:paraId="72ECF634" w14:textId="77777777" w:rsidR="00581635" w:rsidRDefault="00581635">
            <w:pPr>
              <w:pStyle w:val="Normal1"/>
              <w:keepNext/>
            </w:pPr>
          </w:p>
        </w:tc>
        <w:tc>
          <w:tcPr>
            <w:tcW w:w="2808" w:type="dxa"/>
            <w:tcMar>
              <w:top w:w="25" w:type="dxa"/>
              <w:left w:w="70" w:type="dxa"/>
              <w:bottom w:w="25" w:type="dxa"/>
              <w:right w:w="70" w:type="dxa"/>
            </w:tcMar>
            <w:vAlign w:val="center"/>
          </w:tcPr>
          <w:p w14:paraId="07AE1252" w14:textId="77777777" w:rsidR="00581635" w:rsidRDefault="00317EF8">
            <w:pPr>
              <w:pStyle w:val="Normal1"/>
              <w:keepNext/>
            </w:pPr>
            <w:r>
              <w:rPr>
                <w:sz w:val="17"/>
                <w:szCs w:val="17"/>
              </w:rPr>
              <w:t>Secondary</w:t>
            </w:r>
          </w:p>
        </w:tc>
        <w:tc>
          <w:tcPr>
            <w:tcW w:w="1500" w:type="dxa"/>
            <w:tcMar>
              <w:top w:w="25" w:type="dxa"/>
              <w:left w:w="70" w:type="dxa"/>
              <w:bottom w:w="25" w:type="dxa"/>
              <w:right w:w="70" w:type="dxa"/>
            </w:tcMar>
            <w:vAlign w:val="center"/>
          </w:tcPr>
          <w:p w14:paraId="3C0176C8" w14:textId="77777777" w:rsidR="00581635" w:rsidRDefault="00317EF8">
            <w:pPr>
              <w:pStyle w:val="Normal1"/>
              <w:keepNext/>
              <w:jc w:val="center"/>
            </w:pPr>
            <w:r>
              <w:rPr>
                <w:sz w:val="17"/>
                <w:szCs w:val="17"/>
              </w:rPr>
              <w:t>113</w:t>
            </w:r>
          </w:p>
        </w:tc>
        <w:tc>
          <w:tcPr>
            <w:tcW w:w="1500" w:type="dxa"/>
            <w:tcMar>
              <w:top w:w="25" w:type="dxa"/>
              <w:left w:w="70" w:type="dxa"/>
              <w:bottom w:w="25" w:type="dxa"/>
              <w:right w:w="70" w:type="dxa"/>
            </w:tcMar>
            <w:vAlign w:val="center"/>
          </w:tcPr>
          <w:p w14:paraId="1F36A9D4" w14:textId="77777777" w:rsidR="00581635" w:rsidRDefault="00317EF8">
            <w:pPr>
              <w:pStyle w:val="Normal1"/>
              <w:keepNext/>
              <w:jc w:val="center"/>
            </w:pPr>
            <w:r>
              <w:rPr>
                <w:sz w:val="17"/>
                <w:szCs w:val="17"/>
              </w:rPr>
              <w:t>29.0</w:t>
            </w:r>
          </w:p>
        </w:tc>
      </w:tr>
      <w:tr w:rsidR="00581635" w14:paraId="435B66A5" w14:textId="77777777">
        <w:trPr>
          <w:cantSplit/>
          <w:tblHeader/>
          <w:jc w:val="center"/>
        </w:trPr>
        <w:tc>
          <w:tcPr>
            <w:tcW w:w="2400" w:type="dxa"/>
            <w:tcMar>
              <w:top w:w="25" w:type="dxa"/>
              <w:left w:w="70" w:type="dxa"/>
              <w:bottom w:w="25" w:type="dxa"/>
              <w:right w:w="70" w:type="dxa"/>
            </w:tcMar>
            <w:vAlign w:val="center"/>
          </w:tcPr>
          <w:p w14:paraId="0B591353" w14:textId="77777777" w:rsidR="00581635" w:rsidRDefault="00581635">
            <w:pPr>
              <w:pStyle w:val="Normal1"/>
              <w:keepNext/>
            </w:pPr>
          </w:p>
        </w:tc>
        <w:tc>
          <w:tcPr>
            <w:tcW w:w="2808" w:type="dxa"/>
            <w:tcMar>
              <w:top w:w="25" w:type="dxa"/>
              <w:left w:w="70" w:type="dxa"/>
              <w:bottom w:w="25" w:type="dxa"/>
              <w:right w:w="70" w:type="dxa"/>
            </w:tcMar>
            <w:vAlign w:val="center"/>
          </w:tcPr>
          <w:p w14:paraId="73470408" w14:textId="77777777" w:rsidR="00581635" w:rsidRDefault="00317EF8">
            <w:pPr>
              <w:pStyle w:val="Normal1"/>
              <w:keepNext/>
            </w:pPr>
            <w:r>
              <w:rPr>
                <w:sz w:val="17"/>
                <w:szCs w:val="17"/>
              </w:rPr>
              <w:t>Tertiary</w:t>
            </w:r>
          </w:p>
        </w:tc>
        <w:tc>
          <w:tcPr>
            <w:tcW w:w="1500" w:type="dxa"/>
            <w:tcMar>
              <w:top w:w="25" w:type="dxa"/>
              <w:left w:w="70" w:type="dxa"/>
              <w:bottom w:w="25" w:type="dxa"/>
              <w:right w:w="70" w:type="dxa"/>
            </w:tcMar>
            <w:vAlign w:val="center"/>
          </w:tcPr>
          <w:p w14:paraId="06729F8B" w14:textId="77777777" w:rsidR="00581635" w:rsidRDefault="00317EF8">
            <w:pPr>
              <w:pStyle w:val="Normal1"/>
              <w:keepNext/>
              <w:jc w:val="center"/>
            </w:pPr>
            <w:r>
              <w:rPr>
                <w:sz w:val="17"/>
                <w:szCs w:val="17"/>
              </w:rPr>
              <w:t>107</w:t>
            </w:r>
          </w:p>
        </w:tc>
        <w:tc>
          <w:tcPr>
            <w:tcW w:w="1500" w:type="dxa"/>
            <w:tcMar>
              <w:top w:w="25" w:type="dxa"/>
              <w:left w:w="70" w:type="dxa"/>
              <w:bottom w:w="25" w:type="dxa"/>
              <w:right w:w="70" w:type="dxa"/>
            </w:tcMar>
            <w:vAlign w:val="center"/>
          </w:tcPr>
          <w:p w14:paraId="765F5C0D" w14:textId="77777777" w:rsidR="00581635" w:rsidRDefault="00317EF8">
            <w:pPr>
              <w:pStyle w:val="Normal1"/>
              <w:keepNext/>
              <w:jc w:val="center"/>
            </w:pPr>
            <w:r>
              <w:rPr>
                <w:sz w:val="17"/>
                <w:szCs w:val="17"/>
              </w:rPr>
              <w:t>27.5</w:t>
            </w:r>
          </w:p>
        </w:tc>
      </w:tr>
      <w:tr w:rsidR="00581635" w14:paraId="33285C63" w14:textId="77777777">
        <w:trPr>
          <w:cantSplit/>
          <w:tblHeader/>
          <w:jc w:val="center"/>
        </w:trPr>
        <w:tc>
          <w:tcPr>
            <w:tcW w:w="2400" w:type="dxa"/>
            <w:tcMar>
              <w:top w:w="25" w:type="dxa"/>
              <w:left w:w="70" w:type="dxa"/>
              <w:bottom w:w="25" w:type="dxa"/>
              <w:right w:w="70" w:type="dxa"/>
            </w:tcMar>
            <w:vAlign w:val="center"/>
          </w:tcPr>
          <w:p w14:paraId="247D8E9A" w14:textId="77777777" w:rsidR="00581635" w:rsidRDefault="00317EF8">
            <w:pPr>
              <w:pStyle w:val="Normal1"/>
              <w:keepNext/>
            </w:pPr>
            <w:r>
              <w:rPr>
                <w:sz w:val="17"/>
                <w:szCs w:val="17"/>
              </w:rPr>
              <w:t>Occupation</w:t>
            </w:r>
          </w:p>
        </w:tc>
        <w:tc>
          <w:tcPr>
            <w:tcW w:w="2808" w:type="dxa"/>
            <w:tcMar>
              <w:top w:w="25" w:type="dxa"/>
              <w:left w:w="70" w:type="dxa"/>
              <w:bottom w:w="25" w:type="dxa"/>
              <w:right w:w="70" w:type="dxa"/>
            </w:tcMar>
            <w:vAlign w:val="center"/>
          </w:tcPr>
          <w:p w14:paraId="7FD4686F" w14:textId="77777777" w:rsidR="00581635" w:rsidRDefault="00317EF8">
            <w:pPr>
              <w:pStyle w:val="Normal1"/>
              <w:keepNext/>
            </w:pPr>
            <w:r>
              <w:rPr>
                <w:sz w:val="17"/>
                <w:szCs w:val="17"/>
              </w:rPr>
              <w:t>Unemployed</w:t>
            </w:r>
          </w:p>
        </w:tc>
        <w:tc>
          <w:tcPr>
            <w:tcW w:w="1500" w:type="dxa"/>
            <w:tcMar>
              <w:top w:w="25" w:type="dxa"/>
              <w:left w:w="70" w:type="dxa"/>
              <w:bottom w:w="25" w:type="dxa"/>
              <w:right w:w="70" w:type="dxa"/>
            </w:tcMar>
            <w:vAlign w:val="center"/>
          </w:tcPr>
          <w:p w14:paraId="12B756E6" w14:textId="77777777" w:rsidR="00581635" w:rsidRDefault="00317EF8">
            <w:pPr>
              <w:pStyle w:val="Normal1"/>
              <w:keepNext/>
              <w:jc w:val="center"/>
            </w:pPr>
            <w:r>
              <w:rPr>
                <w:sz w:val="17"/>
                <w:szCs w:val="17"/>
              </w:rPr>
              <w:t>111</w:t>
            </w:r>
          </w:p>
        </w:tc>
        <w:tc>
          <w:tcPr>
            <w:tcW w:w="1500" w:type="dxa"/>
            <w:tcMar>
              <w:top w:w="25" w:type="dxa"/>
              <w:left w:w="70" w:type="dxa"/>
              <w:bottom w:w="25" w:type="dxa"/>
              <w:right w:w="70" w:type="dxa"/>
            </w:tcMar>
            <w:vAlign w:val="center"/>
          </w:tcPr>
          <w:p w14:paraId="1E8D70AD" w14:textId="77777777" w:rsidR="00581635" w:rsidRDefault="00317EF8">
            <w:pPr>
              <w:pStyle w:val="Normal1"/>
              <w:keepNext/>
              <w:jc w:val="center"/>
            </w:pPr>
            <w:r>
              <w:rPr>
                <w:sz w:val="17"/>
                <w:szCs w:val="17"/>
              </w:rPr>
              <w:t>28.5</w:t>
            </w:r>
          </w:p>
        </w:tc>
      </w:tr>
      <w:tr w:rsidR="00581635" w14:paraId="086559C9" w14:textId="77777777">
        <w:trPr>
          <w:cantSplit/>
          <w:tblHeader/>
          <w:jc w:val="center"/>
        </w:trPr>
        <w:tc>
          <w:tcPr>
            <w:tcW w:w="2400" w:type="dxa"/>
            <w:tcMar>
              <w:top w:w="25" w:type="dxa"/>
              <w:left w:w="70" w:type="dxa"/>
              <w:bottom w:w="25" w:type="dxa"/>
              <w:right w:w="70" w:type="dxa"/>
            </w:tcMar>
            <w:vAlign w:val="center"/>
          </w:tcPr>
          <w:p w14:paraId="2E6D1D01" w14:textId="77777777" w:rsidR="00581635" w:rsidRDefault="00581635">
            <w:pPr>
              <w:pStyle w:val="Normal1"/>
              <w:keepNext/>
            </w:pPr>
          </w:p>
        </w:tc>
        <w:tc>
          <w:tcPr>
            <w:tcW w:w="2808" w:type="dxa"/>
            <w:tcMar>
              <w:top w:w="25" w:type="dxa"/>
              <w:left w:w="70" w:type="dxa"/>
              <w:bottom w:w="25" w:type="dxa"/>
              <w:right w:w="70" w:type="dxa"/>
            </w:tcMar>
            <w:vAlign w:val="center"/>
          </w:tcPr>
          <w:p w14:paraId="2AFE7D71" w14:textId="77777777" w:rsidR="00581635" w:rsidRDefault="00317EF8">
            <w:pPr>
              <w:pStyle w:val="Normal1"/>
              <w:keepNext/>
            </w:pPr>
            <w:r>
              <w:rPr>
                <w:sz w:val="17"/>
                <w:szCs w:val="17"/>
              </w:rPr>
              <w:t>Trader/market vendor</w:t>
            </w:r>
          </w:p>
        </w:tc>
        <w:tc>
          <w:tcPr>
            <w:tcW w:w="1500" w:type="dxa"/>
            <w:tcMar>
              <w:top w:w="25" w:type="dxa"/>
              <w:left w:w="70" w:type="dxa"/>
              <w:bottom w:w="25" w:type="dxa"/>
              <w:right w:w="70" w:type="dxa"/>
            </w:tcMar>
            <w:vAlign w:val="center"/>
          </w:tcPr>
          <w:p w14:paraId="001F15DF" w14:textId="77777777" w:rsidR="00581635" w:rsidRDefault="00317EF8">
            <w:pPr>
              <w:pStyle w:val="Normal1"/>
              <w:keepNext/>
              <w:jc w:val="center"/>
            </w:pPr>
            <w:r>
              <w:rPr>
                <w:sz w:val="17"/>
                <w:szCs w:val="17"/>
              </w:rPr>
              <w:t>137</w:t>
            </w:r>
          </w:p>
        </w:tc>
        <w:tc>
          <w:tcPr>
            <w:tcW w:w="1500" w:type="dxa"/>
            <w:tcMar>
              <w:top w:w="25" w:type="dxa"/>
              <w:left w:w="70" w:type="dxa"/>
              <w:bottom w:w="25" w:type="dxa"/>
              <w:right w:w="70" w:type="dxa"/>
            </w:tcMar>
            <w:vAlign w:val="center"/>
          </w:tcPr>
          <w:p w14:paraId="4396B9DE" w14:textId="77777777" w:rsidR="00581635" w:rsidRDefault="00317EF8">
            <w:pPr>
              <w:pStyle w:val="Normal1"/>
              <w:keepNext/>
              <w:jc w:val="center"/>
            </w:pPr>
            <w:r>
              <w:rPr>
                <w:sz w:val="17"/>
                <w:szCs w:val="17"/>
              </w:rPr>
              <w:t>35.2</w:t>
            </w:r>
          </w:p>
        </w:tc>
      </w:tr>
      <w:tr w:rsidR="00581635" w14:paraId="429F86B7" w14:textId="77777777">
        <w:trPr>
          <w:cantSplit/>
          <w:tblHeader/>
          <w:jc w:val="center"/>
        </w:trPr>
        <w:tc>
          <w:tcPr>
            <w:tcW w:w="2400" w:type="dxa"/>
            <w:tcMar>
              <w:top w:w="25" w:type="dxa"/>
              <w:left w:w="70" w:type="dxa"/>
              <w:bottom w:w="25" w:type="dxa"/>
              <w:right w:w="70" w:type="dxa"/>
            </w:tcMar>
            <w:vAlign w:val="center"/>
          </w:tcPr>
          <w:p w14:paraId="3332379B" w14:textId="77777777" w:rsidR="00581635" w:rsidRDefault="00581635">
            <w:pPr>
              <w:pStyle w:val="Normal1"/>
              <w:keepNext/>
            </w:pPr>
          </w:p>
        </w:tc>
        <w:tc>
          <w:tcPr>
            <w:tcW w:w="2808" w:type="dxa"/>
            <w:tcMar>
              <w:top w:w="25" w:type="dxa"/>
              <w:left w:w="70" w:type="dxa"/>
              <w:bottom w:w="25" w:type="dxa"/>
              <w:right w:w="70" w:type="dxa"/>
            </w:tcMar>
            <w:vAlign w:val="center"/>
          </w:tcPr>
          <w:p w14:paraId="288C0901" w14:textId="77777777" w:rsidR="00581635" w:rsidRDefault="00317EF8">
            <w:pPr>
              <w:pStyle w:val="Normal1"/>
              <w:keepNext/>
            </w:pPr>
            <w:r>
              <w:rPr>
                <w:sz w:val="17"/>
                <w:szCs w:val="17"/>
              </w:rPr>
              <w:t>Civil servant</w:t>
            </w:r>
          </w:p>
        </w:tc>
        <w:tc>
          <w:tcPr>
            <w:tcW w:w="1500" w:type="dxa"/>
            <w:tcMar>
              <w:top w:w="25" w:type="dxa"/>
              <w:left w:w="70" w:type="dxa"/>
              <w:bottom w:w="25" w:type="dxa"/>
              <w:right w:w="70" w:type="dxa"/>
            </w:tcMar>
            <w:vAlign w:val="center"/>
          </w:tcPr>
          <w:p w14:paraId="1F424115" w14:textId="77777777" w:rsidR="00581635" w:rsidRDefault="00317EF8">
            <w:pPr>
              <w:pStyle w:val="Normal1"/>
              <w:keepNext/>
              <w:jc w:val="center"/>
            </w:pPr>
            <w:r>
              <w:rPr>
                <w:sz w:val="17"/>
                <w:szCs w:val="17"/>
              </w:rPr>
              <w:t>55</w:t>
            </w:r>
          </w:p>
        </w:tc>
        <w:tc>
          <w:tcPr>
            <w:tcW w:w="1500" w:type="dxa"/>
            <w:tcMar>
              <w:top w:w="25" w:type="dxa"/>
              <w:left w:w="70" w:type="dxa"/>
              <w:bottom w:w="25" w:type="dxa"/>
              <w:right w:w="70" w:type="dxa"/>
            </w:tcMar>
            <w:vAlign w:val="center"/>
          </w:tcPr>
          <w:p w14:paraId="4BC794AD" w14:textId="77777777" w:rsidR="00581635" w:rsidRDefault="00317EF8">
            <w:pPr>
              <w:pStyle w:val="Normal1"/>
              <w:keepNext/>
              <w:jc w:val="center"/>
            </w:pPr>
            <w:r>
              <w:rPr>
                <w:sz w:val="17"/>
                <w:szCs w:val="17"/>
              </w:rPr>
              <w:t>14.1</w:t>
            </w:r>
          </w:p>
        </w:tc>
      </w:tr>
      <w:tr w:rsidR="00581635" w14:paraId="2B5CD6E8" w14:textId="77777777">
        <w:trPr>
          <w:cantSplit/>
          <w:tblHeader/>
          <w:jc w:val="center"/>
        </w:trPr>
        <w:tc>
          <w:tcPr>
            <w:tcW w:w="2400" w:type="dxa"/>
            <w:tcMar>
              <w:top w:w="25" w:type="dxa"/>
              <w:left w:w="70" w:type="dxa"/>
              <w:bottom w:w="25" w:type="dxa"/>
              <w:right w:w="70" w:type="dxa"/>
            </w:tcMar>
            <w:vAlign w:val="center"/>
          </w:tcPr>
          <w:p w14:paraId="7CFFFA76" w14:textId="77777777" w:rsidR="00581635" w:rsidRDefault="00581635">
            <w:pPr>
              <w:pStyle w:val="Normal1"/>
              <w:keepNext/>
            </w:pPr>
          </w:p>
        </w:tc>
        <w:tc>
          <w:tcPr>
            <w:tcW w:w="2808" w:type="dxa"/>
            <w:tcMar>
              <w:top w:w="25" w:type="dxa"/>
              <w:left w:w="70" w:type="dxa"/>
              <w:bottom w:w="25" w:type="dxa"/>
              <w:right w:w="70" w:type="dxa"/>
            </w:tcMar>
            <w:vAlign w:val="center"/>
          </w:tcPr>
          <w:p w14:paraId="033874DC" w14:textId="77777777" w:rsidR="00581635" w:rsidRDefault="00317EF8">
            <w:pPr>
              <w:pStyle w:val="Normal1"/>
              <w:keepNext/>
            </w:pPr>
            <w:r>
              <w:rPr>
                <w:sz w:val="17"/>
                <w:szCs w:val="17"/>
              </w:rPr>
              <w:t>Artisan/manual worker</w:t>
            </w:r>
          </w:p>
        </w:tc>
        <w:tc>
          <w:tcPr>
            <w:tcW w:w="1500" w:type="dxa"/>
            <w:tcMar>
              <w:top w:w="25" w:type="dxa"/>
              <w:left w:w="70" w:type="dxa"/>
              <w:bottom w:w="25" w:type="dxa"/>
              <w:right w:w="70" w:type="dxa"/>
            </w:tcMar>
            <w:vAlign w:val="center"/>
          </w:tcPr>
          <w:p w14:paraId="27E7D64B" w14:textId="77777777" w:rsidR="00581635" w:rsidRDefault="00317EF8">
            <w:pPr>
              <w:pStyle w:val="Normal1"/>
              <w:keepNext/>
              <w:jc w:val="center"/>
            </w:pPr>
            <w:r>
              <w:rPr>
                <w:sz w:val="17"/>
                <w:szCs w:val="17"/>
              </w:rPr>
              <w:t>30</w:t>
            </w:r>
          </w:p>
        </w:tc>
        <w:tc>
          <w:tcPr>
            <w:tcW w:w="1500" w:type="dxa"/>
            <w:tcMar>
              <w:top w:w="25" w:type="dxa"/>
              <w:left w:w="70" w:type="dxa"/>
              <w:bottom w:w="25" w:type="dxa"/>
              <w:right w:w="70" w:type="dxa"/>
            </w:tcMar>
            <w:vAlign w:val="center"/>
          </w:tcPr>
          <w:p w14:paraId="0414C1D6" w14:textId="77777777" w:rsidR="00581635" w:rsidRDefault="00317EF8">
            <w:pPr>
              <w:pStyle w:val="Normal1"/>
              <w:keepNext/>
              <w:jc w:val="center"/>
            </w:pPr>
            <w:r>
              <w:rPr>
                <w:sz w:val="17"/>
                <w:szCs w:val="17"/>
              </w:rPr>
              <w:t>7.7</w:t>
            </w:r>
          </w:p>
        </w:tc>
      </w:tr>
      <w:tr w:rsidR="00581635" w14:paraId="7E390BF9" w14:textId="77777777">
        <w:trPr>
          <w:cantSplit/>
          <w:tblHeader/>
          <w:jc w:val="center"/>
        </w:trPr>
        <w:tc>
          <w:tcPr>
            <w:tcW w:w="2400" w:type="dxa"/>
            <w:tcMar>
              <w:top w:w="25" w:type="dxa"/>
              <w:left w:w="70" w:type="dxa"/>
              <w:bottom w:w="25" w:type="dxa"/>
              <w:right w:w="70" w:type="dxa"/>
            </w:tcMar>
            <w:vAlign w:val="center"/>
          </w:tcPr>
          <w:p w14:paraId="23AD438C" w14:textId="77777777" w:rsidR="00581635" w:rsidRDefault="00581635">
            <w:pPr>
              <w:pStyle w:val="Normal1"/>
              <w:keepNext/>
            </w:pPr>
          </w:p>
        </w:tc>
        <w:tc>
          <w:tcPr>
            <w:tcW w:w="2808" w:type="dxa"/>
            <w:tcMar>
              <w:top w:w="25" w:type="dxa"/>
              <w:left w:w="70" w:type="dxa"/>
              <w:bottom w:w="25" w:type="dxa"/>
              <w:right w:w="70" w:type="dxa"/>
            </w:tcMar>
            <w:vAlign w:val="center"/>
          </w:tcPr>
          <w:p w14:paraId="49050D5A" w14:textId="77777777" w:rsidR="00581635" w:rsidRDefault="00317EF8">
            <w:pPr>
              <w:pStyle w:val="Normal1"/>
              <w:keepNext/>
            </w:pPr>
            <w:r>
              <w:rPr>
                <w:sz w:val="17"/>
                <w:szCs w:val="17"/>
              </w:rPr>
              <w:t>Other</w:t>
            </w:r>
          </w:p>
        </w:tc>
        <w:tc>
          <w:tcPr>
            <w:tcW w:w="1500" w:type="dxa"/>
            <w:tcMar>
              <w:top w:w="25" w:type="dxa"/>
              <w:left w:w="70" w:type="dxa"/>
              <w:bottom w:w="25" w:type="dxa"/>
              <w:right w:w="70" w:type="dxa"/>
            </w:tcMar>
            <w:vAlign w:val="center"/>
          </w:tcPr>
          <w:p w14:paraId="61DE1813" w14:textId="77777777" w:rsidR="00581635" w:rsidRDefault="00317EF8">
            <w:pPr>
              <w:pStyle w:val="Normal1"/>
              <w:keepNext/>
              <w:jc w:val="center"/>
            </w:pPr>
            <w:r>
              <w:rPr>
                <w:sz w:val="17"/>
                <w:szCs w:val="17"/>
              </w:rPr>
              <w:t>56</w:t>
            </w:r>
          </w:p>
        </w:tc>
        <w:tc>
          <w:tcPr>
            <w:tcW w:w="1500" w:type="dxa"/>
            <w:tcMar>
              <w:top w:w="25" w:type="dxa"/>
              <w:left w:w="70" w:type="dxa"/>
              <w:bottom w:w="25" w:type="dxa"/>
              <w:right w:w="70" w:type="dxa"/>
            </w:tcMar>
            <w:vAlign w:val="center"/>
          </w:tcPr>
          <w:p w14:paraId="204E7DB3" w14:textId="77777777" w:rsidR="00581635" w:rsidRDefault="00317EF8">
            <w:pPr>
              <w:pStyle w:val="Normal1"/>
              <w:keepNext/>
              <w:jc w:val="center"/>
            </w:pPr>
            <w:r>
              <w:rPr>
                <w:sz w:val="17"/>
                <w:szCs w:val="17"/>
              </w:rPr>
              <w:t>14.4</w:t>
            </w:r>
          </w:p>
        </w:tc>
      </w:tr>
      <w:tr w:rsidR="00581635" w14:paraId="7F4CC62C" w14:textId="77777777">
        <w:trPr>
          <w:cantSplit/>
          <w:tblHeader/>
          <w:jc w:val="center"/>
        </w:trPr>
        <w:tc>
          <w:tcPr>
            <w:tcW w:w="2400" w:type="dxa"/>
            <w:tcMar>
              <w:top w:w="25" w:type="dxa"/>
              <w:left w:w="70" w:type="dxa"/>
              <w:bottom w:w="25" w:type="dxa"/>
              <w:right w:w="70" w:type="dxa"/>
            </w:tcMar>
            <w:vAlign w:val="center"/>
          </w:tcPr>
          <w:p w14:paraId="6D8D4864" w14:textId="77777777" w:rsidR="00581635" w:rsidRDefault="00317EF8">
            <w:pPr>
              <w:pStyle w:val="Normal1"/>
              <w:keepNext/>
            </w:pPr>
            <w:r>
              <w:rPr>
                <w:sz w:val="17"/>
                <w:szCs w:val="17"/>
              </w:rPr>
              <w:t>Household monthly income (₦)</w:t>
            </w:r>
          </w:p>
        </w:tc>
        <w:tc>
          <w:tcPr>
            <w:tcW w:w="2808" w:type="dxa"/>
            <w:tcMar>
              <w:top w:w="25" w:type="dxa"/>
              <w:left w:w="70" w:type="dxa"/>
              <w:bottom w:w="25" w:type="dxa"/>
              <w:right w:w="70" w:type="dxa"/>
            </w:tcMar>
            <w:vAlign w:val="center"/>
          </w:tcPr>
          <w:p w14:paraId="601F04C2" w14:textId="77777777" w:rsidR="00581635" w:rsidRDefault="00317EF8">
            <w:pPr>
              <w:pStyle w:val="Normal1"/>
              <w:keepNext/>
            </w:pPr>
            <w:r>
              <w:rPr>
                <w:sz w:val="17"/>
                <w:szCs w:val="17"/>
              </w:rPr>
              <w:t>&lt;50,000</w:t>
            </w:r>
          </w:p>
        </w:tc>
        <w:tc>
          <w:tcPr>
            <w:tcW w:w="1500" w:type="dxa"/>
            <w:tcMar>
              <w:top w:w="25" w:type="dxa"/>
              <w:left w:w="70" w:type="dxa"/>
              <w:bottom w:w="25" w:type="dxa"/>
              <w:right w:w="70" w:type="dxa"/>
            </w:tcMar>
            <w:vAlign w:val="center"/>
          </w:tcPr>
          <w:p w14:paraId="21067DFD" w14:textId="77777777" w:rsidR="00581635" w:rsidRDefault="00317EF8">
            <w:pPr>
              <w:pStyle w:val="Normal1"/>
              <w:keepNext/>
              <w:jc w:val="center"/>
            </w:pPr>
            <w:r>
              <w:rPr>
                <w:sz w:val="17"/>
                <w:szCs w:val="17"/>
              </w:rPr>
              <w:t>175</w:t>
            </w:r>
          </w:p>
        </w:tc>
        <w:tc>
          <w:tcPr>
            <w:tcW w:w="1500" w:type="dxa"/>
            <w:tcMar>
              <w:top w:w="25" w:type="dxa"/>
              <w:left w:w="70" w:type="dxa"/>
              <w:bottom w:w="25" w:type="dxa"/>
              <w:right w:w="70" w:type="dxa"/>
            </w:tcMar>
            <w:vAlign w:val="center"/>
          </w:tcPr>
          <w:p w14:paraId="111C21E3" w14:textId="77777777" w:rsidR="00581635" w:rsidRDefault="00317EF8">
            <w:pPr>
              <w:pStyle w:val="Normal1"/>
              <w:keepNext/>
              <w:jc w:val="center"/>
            </w:pPr>
            <w:r>
              <w:rPr>
                <w:sz w:val="17"/>
                <w:szCs w:val="17"/>
              </w:rPr>
              <w:t>45.0</w:t>
            </w:r>
          </w:p>
        </w:tc>
      </w:tr>
      <w:tr w:rsidR="00581635" w14:paraId="44EE9099" w14:textId="77777777">
        <w:trPr>
          <w:cantSplit/>
          <w:tblHeader/>
          <w:jc w:val="center"/>
        </w:trPr>
        <w:tc>
          <w:tcPr>
            <w:tcW w:w="2400" w:type="dxa"/>
            <w:tcMar>
              <w:top w:w="25" w:type="dxa"/>
              <w:left w:w="70" w:type="dxa"/>
              <w:bottom w:w="25" w:type="dxa"/>
              <w:right w:w="70" w:type="dxa"/>
            </w:tcMar>
            <w:vAlign w:val="center"/>
          </w:tcPr>
          <w:p w14:paraId="3F5B757A" w14:textId="77777777" w:rsidR="00581635" w:rsidRDefault="00581635">
            <w:pPr>
              <w:pStyle w:val="Normal1"/>
              <w:keepNext/>
            </w:pPr>
          </w:p>
        </w:tc>
        <w:tc>
          <w:tcPr>
            <w:tcW w:w="2808" w:type="dxa"/>
            <w:tcMar>
              <w:top w:w="25" w:type="dxa"/>
              <w:left w:w="70" w:type="dxa"/>
              <w:bottom w:w="25" w:type="dxa"/>
              <w:right w:w="70" w:type="dxa"/>
            </w:tcMar>
            <w:vAlign w:val="center"/>
          </w:tcPr>
          <w:p w14:paraId="32B6ADF3" w14:textId="77777777" w:rsidR="00581635" w:rsidRDefault="00317EF8">
            <w:pPr>
              <w:pStyle w:val="Normal1"/>
              <w:keepNext/>
            </w:pPr>
            <w:r>
              <w:rPr>
                <w:sz w:val="17"/>
                <w:szCs w:val="17"/>
              </w:rPr>
              <w:t>50,000–99,999</w:t>
            </w:r>
          </w:p>
        </w:tc>
        <w:tc>
          <w:tcPr>
            <w:tcW w:w="1500" w:type="dxa"/>
            <w:tcMar>
              <w:top w:w="25" w:type="dxa"/>
              <w:left w:w="70" w:type="dxa"/>
              <w:bottom w:w="25" w:type="dxa"/>
              <w:right w:w="70" w:type="dxa"/>
            </w:tcMar>
            <w:vAlign w:val="center"/>
          </w:tcPr>
          <w:p w14:paraId="253C1AF2" w14:textId="77777777" w:rsidR="00581635" w:rsidRDefault="00317EF8">
            <w:pPr>
              <w:pStyle w:val="Normal1"/>
              <w:keepNext/>
              <w:jc w:val="center"/>
            </w:pPr>
            <w:r>
              <w:rPr>
                <w:sz w:val="17"/>
                <w:szCs w:val="17"/>
              </w:rPr>
              <w:t>105</w:t>
            </w:r>
          </w:p>
        </w:tc>
        <w:tc>
          <w:tcPr>
            <w:tcW w:w="1500" w:type="dxa"/>
            <w:tcMar>
              <w:top w:w="25" w:type="dxa"/>
              <w:left w:w="70" w:type="dxa"/>
              <w:bottom w:w="25" w:type="dxa"/>
              <w:right w:w="70" w:type="dxa"/>
            </w:tcMar>
            <w:vAlign w:val="center"/>
          </w:tcPr>
          <w:p w14:paraId="0DE27D53" w14:textId="77777777" w:rsidR="00581635" w:rsidRDefault="00317EF8">
            <w:pPr>
              <w:pStyle w:val="Normal1"/>
              <w:keepNext/>
              <w:jc w:val="center"/>
            </w:pPr>
            <w:r>
              <w:rPr>
                <w:sz w:val="17"/>
                <w:szCs w:val="17"/>
              </w:rPr>
              <w:t>27.0</w:t>
            </w:r>
          </w:p>
        </w:tc>
      </w:tr>
      <w:tr w:rsidR="00581635" w14:paraId="51171BF7" w14:textId="77777777">
        <w:trPr>
          <w:cantSplit/>
          <w:tblHeader/>
          <w:jc w:val="center"/>
        </w:trPr>
        <w:tc>
          <w:tcPr>
            <w:tcW w:w="2400" w:type="dxa"/>
            <w:tcMar>
              <w:top w:w="25" w:type="dxa"/>
              <w:left w:w="70" w:type="dxa"/>
              <w:bottom w:w="25" w:type="dxa"/>
              <w:right w:w="70" w:type="dxa"/>
            </w:tcMar>
            <w:vAlign w:val="center"/>
          </w:tcPr>
          <w:p w14:paraId="0F2E274F" w14:textId="77777777" w:rsidR="00581635" w:rsidRDefault="00581635">
            <w:pPr>
              <w:pStyle w:val="Normal1"/>
              <w:keepNext/>
            </w:pPr>
          </w:p>
        </w:tc>
        <w:tc>
          <w:tcPr>
            <w:tcW w:w="2808" w:type="dxa"/>
            <w:tcMar>
              <w:top w:w="25" w:type="dxa"/>
              <w:left w:w="70" w:type="dxa"/>
              <w:bottom w:w="25" w:type="dxa"/>
              <w:right w:w="70" w:type="dxa"/>
            </w:tcMar>
            <w:vAlign w:val="center"/>
          </w:tcPr>
          <w:p w14:paraId="78A6C07C" w14:textId="77777777" w:rsidR="00581635" w:rsidRDefault="00317EF8">
            <w:pPr>
              <w:pStyle w:val="Normal1"/>
              <w:keepNext/>
            </w:pPr>
            <w:r>
              <w:rPr>
                <w:sz w:val="17"/>
                <w:szCs w:val="17"/>
              </w:rPr>
              <w:t>100,000–149,999</w:t>
            </w:r>
          </w:p>
        </w:tc>
        <w:tc>
          <w:tcPr>
            <w:tcW w:w="1500" w:type="dxa"/>
            <w:tcMar>
              <w:top w:w="25" w:type="dxa"/>
              <w:left w:w="70" w:type="dxa"/>
              <w:bottom w:w="25" w:type="dxa"/>
              <w:right w:w="70" w:type="dxa"/>
            </w:tcMar>
            <w:vAlign w:val="center"/>
          </w:tcPr>
          <w:p w14:paraId="30335D7E" w14:textId="77777777" w:rsidR="00581635" w:rsidRDefault="00317EF8">
            <w:pPr>
              <w:pStyle w:val="Normal1"/>
              <w:keepNext/>
              <w:jc w:val="center"/>
            </w:pPr>
            <w:r>
              <w:rPr>
                <w:sz w:val="17"/>
                <w:szCs w:val="17"/>
              </w:rPr>
              <w:t>69</w:t>
            </w:r>
          </w:p>
        </w:tc>
        <w:tc>
          <w:tcPr>
            <w:tcW w:w="1500" w:type="dxa"/>
            <w:tcMar>
              <w:top w:w="25" w:type="dxa"/>
              <w:left w:w="70" w:type="dxa"/>
              <w:bottom w:w="25" w:type="dxa"/>
              <w:right w:w="70" w:type="dxa"/>
            </w:tcMar>
            <w:vAlign w:val="center"/>
          </w:tcPr>
          <w:p w14:paraId="3D967BC5" w14:textId="77777777" w:rsidR="00581635" w:rsidRDefault="00317EF8">
            <w:pPr>
              <w:pStyle w:val="Normal1"/>
              <w:keepNext/>
              <w:jc w:val="center"/>
            </w:pPr>
            <w:r>
              <w:rPr>
                <w:sz w:val="17"/>
                <w:szCs w:val="17"/>
              </w:rPr>
              <w:t>17.7</w:t>
            </w:r>
          </w:p>
        </w:tc>
      </w:tr>
      <w:tr w:rsidR="00581635" w14:paraId="1DD2CD23" w14:textId="77777777">
        <w:trPr>
          <w:cantSplit/>
          <w:tblHeader/>
          <w:jc w:val="center"/>
        </w:trPr>
        <w:tc>
          <w:tcPr>
            <w:tcW w:w="2400" w:type="dxa"/>
            <w:tcMar>
              <w:top w:w="25" w:type="dxa"/>
              <w:left w:w="70" w:type="dxa"/>
              <w:bottom w:w="25" w:type="dxa"/>
              <w:right w:w="70" w:type="dxa"/>
            </w:tcMar>
            <w:vAlign w:val="center"/>
          </w:tcPr>
          <w:p w14:paraId="7E98C60B" w14:textId="77777777" w:rsidR="00581635" w:rsidRDefault="00581635">
            <w:pPr>
              <w:pStyle w:val="Normal1"/>
              <w:keepNext/>
            </w:pPr>
          </w:p>
        </w:tc>
        <w:tc>
          <w:tcPr>
            <w:tcW w:w="2808" w:type="dxa"/>
            <w:tcMar>
              <w:top w:w="25" w:type="dxa"/>
              <w:left w:w="70" w:type="dxa"/>
              <w:bottom w:w="25" w:type="dxa"/>
              <w:right w:w="70" w:type="dxa"/>
            </w:tcMar>
            <w:vAlign w:val="center"/>
          </w:tcPr>
          <w:p w14:paraId="45F282BD" w14:textId="77777777" w:rsidR="00581635" w:rsidRDefault="00317EF8">
            <w:pPr>
              <w:pStyle w:val="Normal1"/>
              <w:keepNext/>
            </w:pPr>
            <w:r>
              <w:rPr>
                <w:rFonts w:ascii="Arial Unicode MS" w:eastAsia="Arial Unicode MS" w:hAnsi="Arial Unicode MS" w:cs="Arial Unicode MS"/>
                <w:sz w:val="17"/>
                <w:szCs w:val="17"/>
              </w:rPr>
              <w:t>≥150,000</w:t>
            </w:r>
          </w:p>
        </w:tc>
        <w:tc>
          <w:tcPr>
            <w:tcW w:w="1500" w:type="dxa"/>
            <w:tcMar>
              <w:top w:w="25" w:type="dxa"/>
              <w:left w:w="70" w:type="dxa"/>
              <w:bottom w:w="25" w:type="dxa"/>
              <w:right w:w="70" w:type="dxa"/>
            </w:tcMar>
            <w:vAlign w:val="center"/>
          </w:tcPr>
          <w:p w14:paraId="038E787C" w14:textId="77777777" w:rsidR="00581635" w:rsidRDefault="00317EF8">
            <w:pPr>
              <w:pStyle w:val="Normal1"/>
              <w:keepNext/>
              <w:jc w:val="center"/>
            </w:pPr>
            <w:r>
              <w:rPr>
                <w:sz w:val="17"/>
                <w:szCs w:val="17"/>
              </w:rPr>
              <w:t>40</w:t>
            </w:r>
          </w:p>
        </w:tc>
        <w:tc>
          <w:tcPr>
            <w:tcW w:w="1500" w:type="dxa"/>
            <w:tcMar>
              <w:top w:w="25" w:type="dxa"/>
              <w:left w:w="70" w:type="dxa"/>
              <w:bottom w:w="25" w:type="dxa"/>
              <w:right w:w="70" w:type="dxa"/>
            </w:tcMar>
            <w:vAlign w:val="center"/>
          </w:tcPr>
          <w:p w14:paraId="0BB0EF23" w14:textId="77777777" w:rsidR="00581635" w:rsidRDefault="00317EF8">
            <w:pPr>
              <w:pStyle w:val="Normal1"/>
              <w:keepNext/>
              <w:jc w:val="center"/>
            </w:pPr>
            <w:r>
              <w:rPr>
                <w:sz w:val="17"/>
                <w:szCs w:val="17"/>
              </w:rPr>
              <w:t>10.3</w:t>
            </w:r>
          </w:p>
        </w:tc>
      </w:tr>
      <w:tr w:rsidR="00581635" w14:paraId="34F23374" w14:textId="77777777">
        <w:trPr>
          <w:cantSplit/>
          <w:tblHeader/>
          <w:jc w:val="center"/>
        </w:trPr>
        <w:tc>
          <w:tcPr>
            <w:tcW w:w="2400" w:type="dxa"/>
            <w:tcMar>
              <w:top w:w="25" w:type="dxa"/>
              <w:left w:w="70" w:type="dxa"/>
              <w:bottom w:w="25" w:type="dxa"/>
              <w:right w:w="70" w:type="dxa"/>
            </w:tcMar>
            <w:vAlign w:val="center"/>
          </w:tcPr>
          <w:p w14:paraId="3B146CC4" w14:textId="77777777" w:rsidR="00581635" w:rsidRDefault="00317EF8">
            <w:pPr>
              <w:pStyle w:val="Normal1"/>
              <w:keepNext/>
            </w:pPr>
            <w:r>
              <w:rPr>
                <w:sz w:val="17"/>
                <w:szCs w:val="17"/>
              </w:rPr>
              <w:t>Family size</w:t>
            </w:r>
          </w:p>
        </w:tc>
        <w:tc>
          <w:tcPr>
            <w:tcW w:w="2808" w:type="dxa"/>
            <w:tcMar>
              <w:top w:w="25" w:type="dxa"/>
              <w:left w:w="70" w:type="dxa"/>
              <w:bottom w:w="25" w:type="dxa"/>
              <w:right w:w="70" w:type="dxa"/>
            </w:tcMar>
            <w:vAlign w:val="center"/>
          </w:tcPr>
          <w:p w14:paraId="199D65C2" w14:textId="77777777" w:rsidR="00581635" w:rsidRDefault="00317EF8">
            <w:pPr>
              <w:pStyle w:val="Normal1"/>
              <w:keepNext/>
            </w:pPr>
            <w:r>
              <w:rPr>
                <w:sz w:val="17"/>
                <w:szCs w:val="17"/>
              </w:rPr>
              <w:t>1–3</w:t>
            </w:r>
          </w:p>
        </w:tc>
        <w:tc>
          <w:tcPr>
            <w:tcW w:w="1500" w:type="dxa"/>
            <w:tcMar>
              <w:top w:w="25" w:type="dxa"/>
              <w:left w:w="70" w:type="dxa"/>
              <w:bottom w:w="25" w:type="dxa"/>
              <w:right w:w="70" w:type="dxa"/>
            </w:tcMar>
            <w:vAlign w:val="center"/>
          </w:tcPr>
          <w:p w14:paraId="4655930D" w14:textId="77777777" w:rsidR="00581635" w:rsidRDefault="00317EF8">
            <w:pPr>
              <w:pStyle w:val="Normal1"/>
              <w:keepNext/>
              <w:jc w:val="center"/>
            </w:pPr>
            <w:r>
              <w:rPr>
                <w:sz w:val="17"/>
                <w:szCs w:val="17"/>
              </w:rPr>
              <w:t>148</w:t>
            </w:r>
          </w:p>
        </w:tc>
        <w:tc>
          <w:tcPr>
            <w:tcW w:w="1500" w:type="dxa"/>
            <w:tcMar>
              <w:top w:w="25" w:type="dxa"/>
              <w:left w:w="70" w:type="dxa"/>
              <w:bottom w:w="25" w:type="dxa"/>
              <w:right w:w="70" w:type="dxa"/>
            </w:tcMar>
            <w:vAlign w:val="center"/>
          </w:tcPr>
          <w:p w14:paraId="5BF72FD0" w14:textId="77777777" w:rsidR="00581635" w:rsidRDefault="00317EF8">
            <w:pPr>
              <w:pStyle w:val="Normal1"/>
              <w:keepNext/>
              <w:jc w:val="center"/>
            </w:pPr>
            <w:r>
              <w:rPr>
                <w:sz w:val="17"/>
                <w:szCs w:val="17"/>
              </w:rPr>
              <w:t>38.0</w:t>
            </w:r>
          </w:p>
        </w:tc>
      </w:tr>
      <w:tr w:rsidR="00581635" w14:paraId="009E8997" w14:textId="77777777">
        <w:trPr>
          <w:cantSplit/>
          <w:tblHeader/>
          <w:jc w:val="center"/>
        </w:trPr>
        <w:tc>
          <w:tcPr>
            <w:tcW w:w="2400" w:type="dxa"/>
            <w:tcMar>
              <w:top w:w="25" w:type="dxa"/>
              <w:left w:w="70" w:type="dxa"/>
              <w:bottom w:w="25" w:type="dxa"/>
              <w:right w:w="70" w:type="dxa"/>
            </w:tcMar>
            <w:vAlign w:val="center"/>
          </w:tcPr>
          <w:p w14:paraId="4AACAA67" w14:textId="77777777" w:rsidR="00581635" w:rsidRDefault="00581635">
            <w:pPr>
              <w:pStyle w:val="Normal1"/>
              <w:keepNext/>
            </w:pPr>
          </w:p>
        </w:tc>
        <w:tc>
          <w:tcPr>
            <w:tcW w:w="2808" w:type="dxa"/>
            <w:tcMar>
              <w:top w:w="25" w:type="dxa"/>
              <w:left w:w="70" w:type="dxa"/>
              <w:bottom w:w="25" w:type="dxa"/>
              <w:right w:w="70" w:type="dxa"/>
            </w:tcMar>
            <w:vAlign w:val="center"/>
          </w:tcPr>
          <w:p w14:paraId="5D121346" w14:textId="77777777" w:rsidR="00581635" w:rsidRDefault="00317EF8">
            <w:pPr>
              <w:pStyle w:val="Normal1"/>
              <w:keepNext/>
            </w:pPr>
            <w:r>
              <w:rPr>
                <w:sz w:val="17"/>
                <w:szCs w:val="17"/>
              </w:rPr>
              <w:t>4–6</w:t>
            </w:r>
          </w:p>
        </w:tc>
        <w:tc>
          <w:tcPr>
            <w:tcW w:w="1500" w:type="dxa"/>
            <w:tcMar>
              <w:top w:w="25" w:type="dxa"/>
              <w:left w:w="70" w:type="dxa"/>
              <w:bottom w:w="25" w:type="dxa"/>
              <w:right w:w="70" w:type="dxa"/>
            </w:tcMar>
            <w:vAlign w:val="center"/>
          </w:tcPr>
          <w:p w14:paraId="197A46D0" w14:textId="77777777" w:rsidR="00581635" w:rsidRDefault="00317EF8">
            <w:pPr>
              <w:pStyle w:val="Normal1"/>
              <w:keepNext/>
              <w:jc w:val="center"/>
            </w:pPr>
            <w:r>
              <w:rPr>
                <w:sz w:val="17"/>
                <w:szCs w:val="17"/>
              </w:rPr>
              <w:t>156</w:t>
            </w:r>
          </w:p>
        </w:tc>
        <w:tc>
          <w:tcPr>
            <w:tcW w:w="1500" w:type="dxa"/>
            <w:tcMar>
              <w:top w:w="25" w:type="dxa"/>
              <w:left w:w="70" w:type="dxa"/>
              <w:bottom w:w="25" w:type="dxa"/>
              <w:right w:w="70" w:type="dxa"/>
            </w:tcMar>
            <w:vAlign w:val="center"/>
          </w:tcPr>
          <w:p w14:paraId="02FB6000" w14:textId="77777777" w:rsidR="00581635" w:rsidRDefault="00317EF8">
            <w:pPr>
              <w:pStyle w:val="Normal1"/>
              <w:keepNext/>
              <w:jc w:val="center"/>
            </w:pPr>
            <w:r>
              <w:rPr>
                <w:sz w:val="17"/>
                <w:szCs w:val="17"/>
              </w:rPr>
              <w:t>40.1</w:t>
            </w:r>
          </w:p>
        </w:tc>
      </w:tr>
      <w:tr w:rsidR="00581635" w14:paraId="56368169" w14:textId="77777777">
        <w:trPr>
          <w:cantSplit/>
          <w:tblHeader/>
          <w:jc w:val="center"/>
        </w:trPr>
        <w:tc>
          <w:tcPr>
            <w:tcW w:w="2400" w:type="dxa"/>
            <w:tcMar>
              <w:top w:w="25" w:type="dxa"/>
              <w:left w:w="70" w:type="dxa"/>
              <w:bottom w:w="25" w:type="dxa"/>
              <w:right w:w="70" w:type="dxa"/>
            </w:tcMar>
            <w:vAlign w:val="center"/>
          </w:tcPr>
          <w:p w14:paraId="5D111210" w14:textId="77777777" w:rsidR="00581635" w:rsidRDefault="00581635">
            <w:pPr>
              <w:pStyle w:val="Normal1"/>
              <w:keepNext/>
            </w:pPr>
          </w:p>
        </w:tc>
        <w:tc>
          <w:tcPr>
            <w:tcW w:w="2808" w:type="dxa"/>
            <w:tcMar>
              <w:top w:w="25" w:type="dxa"/>
              <w:left w:w="70" w:type="dxa"/>
              <w:bottom w:w="25" w:type="dxa"/>
              <w:right w:w="70" w:type="dxa"/>
            </w:tcMar>
            <w:vAlign w:val="center"/>
          </w:tcPr>
          <w:p w14:paraId="72EEE717" w14:textId="77777777" w:rsidR="00581635" w:rsidRDefault="00317EF8">
            <w:pPr>
              <w:pStyle w:val="Normal1"/>
              <w:keepNext/>
            </w:pPr>
            <w:r>
              <w:rPr>
                <w:sz w:val="17"/>
                <w:szCs w:val="17"/>
              </w:rPr>
              <w:t>7–9</w:t>
            </w:r>
          </w:p>
        </w:tc>
        <w:tc>
          <w:tcPr>
            <w:tcW w:w="1500" w:type="dxa"/>
            <w:tcMar>
              <w:top w:w="25" w:type="dxa"/>
              <w:left w:w="70" w:type="dxa"/>
              <w:bottom w:w="25" w:type="dxa"/>
              <w:right w:w="70" w:type="dxa"/>
            </w:tcMar>
            <w:vAlign w:val="center"/>
          </w:tcPr>
          <w:p w14:paraId="5224510B" w14:textId="77777777" w:rsidR="00581635" w:rsidRDefault="00317EF8">
            <w:pPr>
              <w:pStyle w:val="Normal1"/>
              <w:keepNext/>
              <w:jc w:val="center"/>
            </w:pPr>
            <w:r>
              <w:rPr>
                <w:sz w:val="17"/>
                <w:szCs w:val="17"/>
              </w:rPr>
              <w:t>66</w:t>
            </w:r>
          </w:p>
        </w:tc>
        <w:tc>
          <w:tcPr>
            <w:tcW w:w="1500" w:type="dxa"/>
            <w:tcMar>
              <w:top w:w="25" w:type="dxa"/>
              <w:left w:w="70" w:type="dxa"/>
              <w:bottom w:w="25" w:type="dxa"/>
              <w:right w:w="70" w:type="dxa"/>
            </w:tcMar>
            <w:vAlign w:val="center"/>
          </w:tcPr>
          <w:p w14:paraId="5645FE38" w14:textId="77777777" w:rsidR="00581635" w:rsidRDefault="00317EF8">
            <w:pPr>
              <w:pStyle w:val="Normal1"/>
              <w:keepNext/>
              <w:jc w:val="center"/>
            </w:pPr>
            <w:r>
              <w:rPr>
                <w:sz w:val="17"/>
                <w:szCs w:val="17"/>
              </w:rPr>
              <w:t>17.0</w:t>
            </w:r>
          </w:p>
        </w:tc>
      </w:tr>
      <w:tr w:rsidR="00581635" w14:paraId="07112CFB" w14:textId="77777777">
        <w:trPr>
          <w:cantSplit/>
          <w:tblHeader/>
          <w:jc w:val="center"/>
        </w:trPr>
        <w:tc>
          <w:tcPr>
            <w:tcW w:w="2400" w:type="dxa"/>
            <w:tcMar>
              <w:top w:w="25" w:type="dxa"/>
              <w:left w:w="70" w:type="dxa"/>
              <w:bottom w:w="25" w:type="dxa"/>
              <w:right w:w="70" w:type="dxa"/>
            </w:tcMar>
            <w:vAlign w:val="center"/>
          </w:tcPr>
          <w:p w14:paraId="040F7589" w14:textId="77777777" w:rsidR="00581635" w:rsidRDefault="00581635">
            <w:pPr>
              <w:pStyle w:val="Normal1"/>
              <w:keepNext/>
            </w:pPr>
          </w:p>
        </w:tc>
        <w:tc>
          <w:tcPr>
            <w:tcW w:w="2808" w:type="dxa"/>
            <w:tcMar>
              <w:top w:w="25" w:type="dxa"/>
              <w:left w:w="70" w:type="dxa"/>
              <w:bottom w:w="25" w:type="dxa"/>
              <w:right w:w="70" w:type="dxa"/>
            </w:tcMar>
            <w:vAlign w:val="center"/>
          </w:tcPr>
          <w:p w14:paraId="601CBAD2" w14:textId="77777777" w:rsidR="00581635" w:rsidRDefault="00317EF8">
            <w:pPr>
              <w:pStyle w:val="Normal1"/>
              <w:keepNext/>
            </w:pPr>
            <w:r>
              <w:rPr>
                <w:rFonts w:ascii="Arial Unicode MS" w:eastAsia="Arial Unicode MS" w:hAnsi="Arial Unicode MS" w:cs="Arial Unicode MS"/>
                <w:sz w:val="17"/>
                <w:szCs w:val="17"/>
              </w:rPr>
              <w:t>≥10</w:t>
            </w:r>
          </w:p>
        </w:tc>
        <w:tc>
          <w:tcPr>
            <w:tcW w:w="1500" w:type="dxa"/>
            <w:tcMar>
              <w:top w:w="25" w:type="dxa"/>
              <w:left w:w="70" w:type="dxa"/>
              <w:bottom w:w="25" w:type="dxa"/>
              <w:right w:w="70" w:type="dxa"/>
            </w:tcMar>
            <w:vAlign w:val="center"/>
          </w:tcPr>
          <w:p w14:paraId="4937F104" w14:textId="77777777" w:rsidR="00581635" w:rsidRDefault="00317EF8">
            <w:pPr>
              <w:pStyle w:val="Normal1"/>
              <w:keepNext/>
              <w:jc w:val="center"/>
            </w:pPr>
            <w:r>
              <w:rPr>
                <w:sz w:val="17"/>
                <w:szCs w:val="17"/>
              </w:rPr>
              <w:t>19</w:t>
            </w:r>
          </w:p>
        </w:tc>
        <w:tc>
          <w:tcPr>
            <w:tcW w:w="1500" w:type="dxa"/>
            <w:tcMar>
              <w:top w:w="25" w:type="dxa"/>
              <w:left w:w="70" w:type="dxa"/>
              <w:bottom w:w="25" w:type="dxa"/>
              <w:right w:w="70" w:type="dxa"/>
            </w:tcMar>
            <w:vAlign w:val="center"/>
          </w:tcPr>
          <w:p w14:paraId="0226016C" w14:textId="77777777" w:rsidR="00581635" w:rsidRDefault="00317EF8">
            <w:pPr>
              <w:pStyle w:val="Normal1"/>
              <w:keepNext/>
              <w:jc w:val="center"/>
            </w:pPr>
            <w:r>
              <w:rPr>
                <w:sz w:val="17"/>
                <w:szCs w:val="17"/>
              </w:rPr>
              <w:t>4.9</w:t>
            </w:r>
          </w:p>
        </w:tc>
      </w:tr>
      <w:tr w:rsidR="00581635" w14:paraId="5DB47E66" w14:textId="77777777">
        <w:trPr>
          <w:cantSplit/>
          <w:tblHeader/>
          <w:jc w:val="center"/>
        </w:trPr>
        <w:tc>
          <w:tcPr>
            <w:tcW w:w="2400" w:type="dxa"/>
            <w:tcMar>
              <w:top w:w="25" w:type="dxa"/>
              <w:left w:w="70" w:type="dxa"/>
              <w:bottom w:w="25" w:type="dxa"/>
              <w:right w:w="70" w:type="dxa"/>
            </w:tcMar>
            <w:vAlign w:val="center"/>
          </w:tcPr>
          <w:p w14:paraId="38F75B20" w14:textId="77777777" w:rsidR="00581635" w:rsidRDefault="00317EF8">
            <w:pPr>
              <w:pStyle w:val="Normal1"/>
              <w:keepNext/>
            </w:pPr>
            <w:r>
              <w:rPr>
                <w:sz w:val="17"/>
                <w:szCs w:val="17"/>
              </w:rPr>
              <w:t>Index child’s age (years)</w:t>
            </w:r>
          </w:p>
        </w:tc>
        <w:tc>
          <w:tcPr>
            <w:tcW w:w="2808" w:type="dxa"/>
            <w:tcMar>
              <w:top w:w="25" w:type="dxa"/>
              <w:left w:w="70" w:type="dxa"/>
              <w:bottom w:w="25" w:type="dxa"/>
              <w:right w:w="70" w:type="dxa"/>
            </w:tcMar>
            <w:vAlign w:val="center"/>
          </w:tcPr>
          <w:p w14:paraId="046F9F1B" w14:textId="77777777" w:rsidR="00581635" w:rsidRDefault="00317EF8">
            <w:pPr>
              <w:pStyle w:val="Normal1"/>
              <w:keepNext/>
            </w:pPr>
            <w:r>
              <w:rPr>
                <w:sz w:val="17"/>
                <w:szCs w:val="17"/>
              </w:rPr>
              <w:t>3</w:t>
            </w:r>
          </w:p>
        </w:tc>
        <w:tc>
          <w:tcPr>
            <w:tcW w:w="1500" w:type="dxa"/>
            <w:tcMar>
              <w:top w:w="25" w:type="dxa"/>
              <w:left w:w="70" w:type="dxa"/>
              <w:bottom w:w="25" w:type="dxa"/>
              <w:right w:w="70" w:type="dxa"/>
            </w:tcMar>
            <w:vAlign w:val="center"/>
          </w:tcPr>
          <w:p w14:paraId="493773BF" w14:textId="77777777" w:rsidR="00581635" w:rsidRDefault="00317EF8">
            <w:pPr>
              <w:pStyle w:val="Normal1"/>
              <w:keepNext/>
              <w:jc w:val="center"/>
            </w:pPr>
            <w:r>
              <w:rPr>
                <w:sz w:val="17"/>
                <w:szCs w:val="17"/>
              </w:rPr>
              <w:t>145</w:t>
            </w:r>
          </w:p>
        </w:tc>
        <w:tc>
          <w:tcPr>
            <w:tcW w:w="1500" w:type="dxa"/>
            <w:tcMar>
              <w:top w:w="25" w:type="dxa"/>
              <w:left w:w="70" w:type="dxa"/>
              <w:bottom w:w="25" w:type="dxa"/>
              <w:right w:w="70" w:type="dxa"/>
            </w:tcMar>
            <w:vAlign w:val="center"/>
          </w:tcPr>
          <w:p w14:paraId="6F605547" w14:textId="77777777" w:rsidR="00581635" w:rsidRDefault="00317EF8">
            <w:pPr>
              <w:pStyle w:val="Normal1"/>
              <w:keepNext/>
              <w:jc w:val="center"/>
            </w:pPr>
            <w:r>
              <w:rPr>
                <w:sz w:val="17"/>
                <w:szCs w:val="17"/>
              </w:rPr>
              <w:t>37.3</w:t>
            </w:r>
          </w:p>
        </w:tc>
      </w:tr>
      <w:tr w:rsidR="00581635" w14:paraId="5381E455" w14:textId="77777777">
        <w:trPr>
          <w:cantSplit/>
          <w:tblHeader/>
          <w:jc w:val="center"/>
        </w:trPr>
        <w:tc>
          <w:tcPr>
            <w:tcW w:w="2400" w:type="dxa"/>
            <w:tcMar>
              <w:top w:w="25" w:type="dxa"/>
              <w:left w:w="70" w:type="dxa"/>
              <w:bottom w:w="25" w:type="dxa"/>
              <w:right w:w="70" w:type="dxa"/>
            </w:tcMar>
            <w:vAlign w:val="center"/>
          </w:tcPr>
          <w:p w14:paraId="706207C3" w14:textId="77777777" w:rsidR="00581635" w:rsidRDefault="00581635">
            <w:pPr>
              <w:pStyle w:val="Normal1"/>
              <w:keepNext/>
            </w:pPr>
          </w:p>
        </w:tc>
        <w:tc>
          <w:tcPr>
            <w:tcW w:w="2808" w:type="dxa"/>
            <w:tcMar>
              <w:top w:w="25" w:type="dxa"/>
              <w:left w:w="70" w:type="dxa"/>
              <w:bottom w:w="25" w:type="dxa"/>
              <w:right w:w="70" w:type="dxa"/>
            </w:tcMar>
            <w:vAlign w:val="center"/>
          </w:tcPr>
          <w:p w14:paraId="7BD0B594" w14:textId="77777777" w:rsidR="00581635" w:rsidRDefault="00317EF8">
            <w:pPr>
              <w:pStyle w:val="Normal1"/>
              <w:keepNext/>
            </w:pPr>
            <w:r>
              <w:rPr>
                <w:sz w:val="17"/>
                <w:szCs w:val="17"/>
              </w:rPr>
              <w:t>4</w:t>
            </w:r>
          </w:p>
        </w:tc>
        <w:tc>
          <w:tcPr>
            <w:tcW w:w="1500" w:type="dxa"/>
            <w:tcMar>
              <w:top w:w="25" w:type="dxa"/>
              <w:left w:w="70" w:type="dxa"/>
              <w:bottom w:w="25" w:type="dxa"/>
              <w:right w:w="70" w:type="dxa"/>
            </w:tcMar>
            <w:vAlign w:val="center"/>
          </w:tcPr>
          <w:p w14:paraId="10D2E4C8" w14:textId="77777777" w:rsidR="00581635" w:rsidRDefault="00317EF8">
            <w:pPr>
              <w:pStyle w:val="Normal1"/>
              <w:keepNext/>
              <w:jc w:val="center"/>
            </w:pPr>
            <w:r>
              <w:rPr>
                <w:sz w:val="17"/>
                <w:szCs w:val="17"/>
              </w:rPr>
              <w:t>114</w:t>
            </w:r>
          </w:p>
        </w:tc>
        <w:tc>
          <w:tcPr>
            <w:tcW w:w="1500" w:type="dxa"/>
            <w:tcMar>
              <w:top w:w="25" w:type="dxa"/>
              <w:left w:w="70" w:type="dxa"/>
              <w:bottom w:w="25" w:type="dxa"/>
              <w:right w:w="70" w:type="dxa"/>
            </w:tcMar>
            <w:vAlign w:val="center"/>
          </w:tcPr>
          <w:p w14:paraId="059F836F" w14:textId="77777777" w:rsidR="00581635" w:rsidRDefault="00317EF8">
            <w:pPr>
              <w:pStyle w:val="Normal1"/>
              <w:keepNext/>
              <w:jc w:val="center"/>
            </w:pPr>
            <w:r>
              <w:rPr>
                <w:sz w:val="17"/>
                <w:szCs w:val="17"/>
              </w:rPr>
              <w:t>29.3</w:t>
            </w:r>
          </w:p>
        </w:tc>
      </w:tr>
      <w:tr w:rsidR="00581635" w14:paraId="21BD325D" w14:textId="77777777">
        <w:trPr>
          <w:cantSplit/>
          <w:tblHeader/>
          <w:jc w:val="center"/>
        </w:trPr>
        <w:tc>
          <w:tcPr>
            <w:tcW w:w="2400" w:type="dxa"/>
            <w:tcMar>
              <w:top w:w="25" w:type="dxa"/>
              <w:left w:w="70" w:type="dxa"/>
              <w:bottom w:w="25" w:type="dxa"/>
              <w:right w:w="70" w:type="dxa"/>
            </w:tcMar>
            <w:vAlign w:val="center"/>
          </w:tcPr>
          <w:p w14:paraId="392174C2" w14:textId="77777777" w:rsidR="00581635" w:rsidRDefault="00581635">
            <w:pPr>
              <w:pStyle w:val="Normal1"/>
              <w:keepNext/>
            </w:pPr>
          </w:p>
        </w:tc>
        <w:tc>
          <w:tcPr>
            <w:tcW w:w="2808" w:type="dxa"/>
            <w:tcMar>
              <w:top w:w="25" w:type="dxa"/>
              <w:left w:w="70" w:type="dxa"/>
              <w:bottom w:w="25" w:type="dxa"/>
              <w:right w:w="70" w:type="dxa"/>
            </w:tcMar>
            <w:vAlign w:val="center"/>
          </w:tcPr>
          <w:p w14:paraId="5389152F" w14:textId="77777777" w:rsidR="00581635" w:rsidRDefault="00317EF8">
            <w:pPr>
              <w:pStyle w:val="Normal1"/>
              <w:keepNext/>
            </w:pPr>
            <w:r>
              <w:rPr>
                <w:sz w:val="17"/>
                <w:szCs w:val="17"/>
              </w:rPr>
              <w:t>5</w:t>
            </w:r>
          </w:p>
        </w:tc>
        <w:tc>
          <w:tcPr>
            <w:tcW w:w="1500" w:type="dxa"/>
            <w:tcMar>
              <w:top w:w="25" w:type="dxa"/>
              <w:left w:w="70" w:type="dxa"/>
              <w:bottom w:w="25" w:type="dxa"/>
              <w:right w:w="70" w:type="dxa"/>
            </w:tcMar>
            <w:vAlign w:val="center"/>
          </w:tcPr>
          <w:p w14:paraId="4CFE9CB1" w14:textId="77777777" w:rsidR="00581635" w:rsidRDefault="00317EF8">
            <w:pPr>
              <w:pStyle w:val="Normal1"/>
              <w:keepNext/>
              <w:jc w:val="center"/>
            </w:pPr>
            <w:r>
              <w:rPr>
                <w:sz w:val="17"/>
                <w:szCs w:val="17"/>
              </w:rPr>
              <w:t>130</w:t>
            </w:r>
          </w:p>
        </w:tc>
        <w:tc>
          <w:tcPr>
            <w:tcW w:w="1500" w:type="dxa"/>
            <w:tcMar>
              <w:top w:w="25" w:type="dxa"/>
              <w:left w:w="70" w:type="dxa"/>
              <w:bottom w:w="25" w:type="dxa"/>
              <w:right w:w="70" w:type="dxa"/>
            </w:tcMar>
            <w:vAlign w:val="center"/>
          </w:tcPr>
          <w:p w14:paraId="5ECE0C5D" w14:textId="77777777" w:rsidR="00581635" w:rsidRDefault="00317EF8">
            <w:pPr>
              <w:pStyle w:val="Normal1"/>
              <w:keepNext/>
              <w:jc w:val="center"/>
            </w:pPr>
            <w:r>
              <w:rPr>
                <w:sz w:val="17"/>
                <w:szCs w:val="17"/>
              </w:rPr>
              <w:t>33.4</w:t>
            </w:r>
          </w:p>
        </w:tc>
      </w:tr>
      <w:tr w:rsidR="00581635" w14:paraId="36082244" w14:textId="77777777">
        <w:trPr>
          <w:cantSplit/>
          <w:tblHeader/>
          <w:jc w:val="center"/>
        </w:trPr>
        <w:tc>
          <w:tcPr>
            <w:tcW w:w="2400" w:type="dxa"/>
            <w:tcMar>
              <w:top w:w="25" w:type="dxa"/>
              <w:left w:w="70" w:type="dxa"/>
              <w:bottom w:w="25" w:type="dxa"/>
              <w:right w:w="70" w:type="dxa"/>
            </w:tcMar>
            <w:vAlign w:val="center"/>
          </w:tcPr>
          <w:p w14:paraId="7241E6CF" w14:textId="77777777" w:rsidR="00581635" w:rsidRDefault="00317EF8">
            <w:pPr>
              <w:pStyle w:val="Normal1"/>
              <w:keepNext/>
            </w:pPr>
            <w:r>
              <w:rPr>
                <w:sz w:val="17"/>
                <w:szCs w:val="17"/>
              </w:rPr>
              <w:t>Index child’s sex</w:t>
            </w:r>
          </w:p>
        </w:tc>
        <w:tc>
          <w:tcPr>
            <w:tcW w:w="2808" w:type="dxa"/>
            <w:tcMar>
              <w:top w:w="25" w:type="dxa"/>
              <w:left w:w="70" w:type="dxa"/>
              <w:bottom w:w="25" w:type="dxa"/>
              <w:right w:w="70" w:type="dxa"/>
            </w:tcMar>
            <w:vAlign w:val="center"/>
          </w:tcPr>
          <w:p w14:paraId="654088E9" w14:textId="77777777" w:rsidR="00581635" w:rsidRDefault="00317EF8">
            <w:pPr>
              <w:pStyle w:val="Normal1"/>
              <w:keepNext/>
            </w:pPr>
            <w:r>
              <w:rPr>
                <w:sz w:val="17"/>
                <w:szCs w:val="17"/>
              </w:rPr>
              <w:t>Male</w:t>
            </w:r>
          </w:p>
        </w:tc>
        <w:tc>
          <w:tcPr>
            <w:tcW w:w="1500" w:type="dxa"/>
            <w:tcMar>
              <w:top w:w="25" w:type="dxa"/>
              <w:left w:w="70" w:type="dxa"/>
              <w:bottom w:w="25" w:type="dxa"/>
              <w:right w:w="70" w:type="dxa"/>
            </w:tcMar>
            <w:vAlign w:val="center"/>
          </w:tcPr>
          <w:p w14:paraId="77D13A44" w14:textId="77777777" w:rsidR="00581635" w:rsidRDefault="00317EF8">
            <w:pPr>
              <w:pStyle w:val="Normal1"/>
              <w:keepNext/>
              <w:jc w:val="center"/>
            </w:pPr>
            <w:r>
              <w:rPr>
                <w:sz w:val="17"/>
                <w:szCs w:val="17"/>
              </w:rPr>
              <w:t>159</w:t>
            </w:r>
          </w:p>
        </w:tc>
        <w:tc>
          <w:tcPr>
            <w:tcW w:w="1500" w:type="dxa"/>
            <w:tcMar>
              <w:top w:w="25" w:type="dxa"/>
              <w:left w:w="70" w:type="dxa"/>
              <w:bottom w:w="25" w:type="dxa"/>
              <w:right w:w="70" w:type="dxa"/>
            </w:tcMar>
            <w:vAlign w:val="center"/>
          </w:tcPr>
          <w:p w14:paraId="30B54AED" w14:textId="77777777" w:rsidR="00581635" w:rsidRDefault="00317EF8">
            <w:pPr>
              <w:pStyle w:val="Normal1"/>
              <w:keepNext/>
              <w:jc w:val="center"/>
            </w:pPr>
            <w:r>
              <w:rPr>
                <w:sz w:val="17"/>
                <w:szCs w:val="17"/>
              </w:rPr>
              <w:t>40.9</w:t>
            </w:r>
          </w:p>
        </w:tc>
      </w:tr>
      <w:tr w:rsidR="00581635" w14:paraId="472A5122" w14:textId="77777777">
        <w:trPr>
          <w:cantSplit/>
          <w:tblHeader/>
          <w:jc w:val="center"/>
        </w:trPr>
        <w:tc>
          <w:tcPr>
            <w:tcW w:w="2400" w:type="dxa"/>
            <w:tcMar>
              <w:top w:w="25" w:type="dxa"/>
              <w:left w:w="70" w:type="dxa"/>
              <w:bottom w:w="25" w:type="dxa"/>
              <w:right w:w="70" w:type="dxa"/>
            </w:tcMar>
            <w:vAlign w:val="center"/>
          </w:tcPr>
          <w:p w14:paraId="71175F12" w14:textId="77777777" w:rsidR="00581635" w:rsidRDefault="00581635">
            <w:pPr>
              <w:pStyle w:val="Normal1"/>
              <w:keepNext/>
            </w:pPr>
          </w:p>
        </w:tc>
        <w:tc>
          <w:tcPr>
            <w:tcW w:w="2808" w:type="dxa"/>
            <w:tcMar>
              <w:top w:w="25" w:type="dxa"/>
              <w:left w:w="70" w:type="dxa"/>
              <w:bottom w:w="25" w:type="dxa"/>
              <w:right w:w="70" w:type="dxa"/>
            </w:tcMar>
            <w:vAlign w:val="center"/>
          </w:tcPr>
          <w:p w14:paraId="28A7239C" w14:textId="77777777" w:rsidR="00581635" w:rsidRDefault="00317EF8">
            <w:pPr>
              <w:pStyle w:val="Normal1"/>
              <w:keepNext/>
            </w:pPr>
            <w:r>
              <w:rPr>
                <w:sz w:val="17"/>
                <w:szCs w:val="17"/>
              </w:rPr>
              <w:t>Female</w:t>
            </w:r>
          </w:p>
        </w:tc>
        <w:tc>
          <w:tcPr>
            <w:tcW w:w="1500" w:type="dxa"/>
            <w:tcMar>
              <w:top w:w="25" w:type="dxa"/>
              <w:left w:w="70" w:type="dxa"/>
              <w:bottom w:w="25" w:type="dxa"/>
              <w:right w:w="70" w:type="dxa"/>
            </w:tcMar>
            <w:vAlign w:val="center"/>
          </w:tcPr>
          <w:p w14:paraId="2F0DEB12" w14:textId="77777777" w:rsidR="00581635" w:rsidRDefault="00317EF8">
            <w:pPr>
              <w:pStyle w:val="Normal1"/>
              <w:keepNext/>
              <w:jc w:val="center"/>
            </w:pPr>
            <w:r>
              <w:rPr>
                <w:sz w:val="17"/>
                <w:szCs w:val="17"/>
              </w:rPr>
              <w:t>230</w:t>
            </w:r>
          </w:p>
        </w:tc>
        <w:tc>
          <w:tcPr>
            <w:tcW w:w="1500" w:type="dxa"/>
            <w:tcMar>
              <w:top w:w="25" w:type="dxa"/>
              <w:left w:w="70" w:type="dxa"/>
              <w:bottom w:w="25" w:type="dxa"/>
              <w:right w:w="70" w:type="dxa"/>
            </w:tcMar>
            <w:vAlign w:val="center"/>
          </w:tcPr>
          <w:p w14:paraId="43FFCB62" w14:textId="77777777" w:rsidR="00581635" w:rsidRDefault="00317EF8">
            <w:pPr>
              <w:pStyle w:val="Normal1"/>
              <w:keepNext/>
              <w:jc w:val="center"/>
            </w:pPr>
            <w:r>
              <w:rPr>
                <w:sz w:val="17"/>
                <w:szCs w:val="17"/>
              </w:rPr>
              <w:t>59.1</w:t>
            </w:r>
          </w:p>
        </w:tc>
      </w:tr>
      <w:tr w:rsidR="00581635" w14:paraId="08D852C5" w14:textId="77777777">
        <w:trPr>
          <w:cantSplit/>
          <w:tblHeader/>
          <w:jc w:val="center"/>
        </w:trPr>
        <w:tc>
          <w:tcPr>
            <w:tcW w:w="2400" w:type="dxa"/>
            <w:tcMar>
              <w:top w:w="25" w:type="dxa"/>
              <w:left w:w="70" w:type="dxa"/>
              <w:bottom w:w="25" w:type="dxa"/>
              <w:right w:w="70" w:type="dxa"/>
            </w:tcMar>
            <w:vAlign w:val="center"/>
          </w:tcPr>
          <w:p w14:paraId="3D7759B9" w14:textId="77777777" w:rsidR="00581635" w:rsidRDefault="00317EF8">
            <w:pPr>
              <w:pStyle w:val="Normal1"/>
              <w:keepNext/>
            </w:pPr>
            <w:r>
              <w:rPr>
                <w:sz w:val="17"/>
                <w:szCs w:val="17"/>
              </w:rPr>
              <w:t>Birth order of index child</w:t>
            </w:r>
          </w:p>
        </w:tc>
        <w:tc>
          <w:tcPr>
            <w:tcW w:w="2808" w:type="dxa"/>
            <w:tcMar>
              <w:top w:w="25" w:type="dxa"/>
              <w:left w:w="70" w:type="dxa"/>
              <w:bottom w:w="25" w:type="dxa"/>
              <w:right w:w="70" w:type="dxa"/>
            </w:tcMar>
            <w:vAlign w:val="center"/>
          </w:tcPr>
          <w:p w14:paraId="26B9D5EA" w14:textId="77777777" w:rsidR="00581635" w:rsidRDefault="00317EF8">
            <w:pPr>
              <w:pStyle w:val="Normal1"/>
              <w:keepNext/>
            </w:pPr>
            <w:r>
              <w:rPr>
                <w:sz w:val="17"/>
                <w:szCs w:val="17"/>
              </w:rPr>
              <w:t>First</w:t>
            </w:r>
          </w:p>
        </w:tc>
        <w:tc>
          <w:tcPr>
            <w:tcW w:w="1500" w:type="dxa"/>
            <w:tcMar>
              <w:top w:w="25" w:type="dxa"/>
              <w:left w:w="70" w:type="dxa"/>
              <w:bottom w:w="25" w:type="dxa"/>
              <w:right w:w="70" w:type="dxa"/>
            </w:tcMar>
            <w:vAlign w:val="center"/>
          </w:tcPr>
          <w:p w14:paraId="42504554" w14:textId="77777777" w:rsidR="00581635" w:rsidRDefault="00317EF8">
            <w:pPr>
              <w:pStyle w:val="Normal1"/>
              <w:keepNext/>
              <w:jc w:val="center"/>
            </w:pPr>
            <w:r>
              <w:rPr>
                <w:sz w:val="17"/>
                <w:szCs w:val="17"/>
              </w:rPr>
              <w:t>91</w:t>
            </w:r>
          </w:p>
        </w:tc>
        <w:tc>
          <w:tcPr>
            <w:tcW w:w="1500" w:type="dxa"/>
            <w:tcMar>
              <w:top w:w="25" w:type="dxa"/>
              <w:left w:w="70" w:type="dxa"/>
              <w:bottom w:w="25" w:type="dxa"/>
              <w:right w:w="70" w:type="dxa"/>
            </w:tcMar>
            <w:vAlign w:val="center"/>
          </w:tcPr>
          <w:p w14:paraId="1C8080C2" w14:textId="77777777" w:rsidR="00581635" w:rsidRDefault="00317EF8">
            <w:pPr>
              <w:pStyle w:val="Normal1"/>
              <w:keepNext/>
              <w:jc w:val="center"/>
            </w:pPr>
            <w:r>
              <w:rPr>
                <w:sz w:val="17"/>
                <w:szCs w:val="17"/>
              </w:rPr>
              <w:t>23.4</w:t>
            </w:r>
          </w:p>
        </w:tc>
      </w:tr>
      <w:tr w:rsidR="00581635" w14:paraId="3D1A98E6" w14:textId="77777777">
        <w:trPr>
          <w:cantSplit/>
          <w:tblHeader/>
          <w:jc w:val="center"/>
        </w:trPr>
        <w:tc>
          <w:tcPr>
            <w:tcW w:w="2400" w:type="dxa"/>
            <w:tcMar>
              <w:top w:w="25" w:type="dxa"/>
              <w:left w:w="70" w:type="dxa"/>
              <w:bottom w:w="25" w:type="dxa"/>
              <w:right w:w="70" w:type="dxa"/>
            </w:tcMar>
            <w:vAlign w:val="center"/>
          </w:tcPr>
          <w:p w14:paraId="6DEBFD32" w14:textId="77777777" w:rsidR="00581635" w:rsidRDefault="00581635">
            <w:pPr>
              <w:pStyle w:val="Normal1"/>
              <w:keepNext/>
            </w:pPr>
          </w:p>
        </w:tc>
        <w:tc>
          <w:tcPr>
            <w:tcW w:w="2808" w:type="dxa"/>
            <w:tcMar>
              <w:top w:w="25" w:type="dxa"/>
              <w:left w:w="70" w:type="dxa"/>
              <w:bottom w:w="25" w:type="dxa"/>
              <w:right w:w="70" w:type="dxa"/>
            </w:tcMar>
            <w:vAlign w:val="center"/>
          </w:tcPr>
          <w:p w14:paraId="115D58C2" w14:textId="77777777" w:rsidR="00581635" w:rsidRDefault="00317EF8">
            <w:pPr>
              <w:pStyle w:val="Normal1"/>
              <w:keepNext/>
            </w:pPr>
            <w:r>
              <w:rPr>
                <w:sz w:val="17"/>
                <w:szCs w:val="17"/>
              </w:rPr>
              <w:t>Second</w:t>
            </w:r>
          </w:p>
        </w:tc>
        <w:tc>
          <w:tcPr>
            <w:tcW w:w="1500" w:type="dxa"/>
            <w:tcMar>
              <w:top w:w="25" w:type="dxa"/>
              <w:left w:w="70" w:type="dxa"/>
              <w:bottom w:w="25" w:type="dxa"/>
              <w:right w:w="70" w:type="dxa"/>
            </w:tcMar>
            <w:vAlign w:val="center"/>
          </w:tcPr>
          <w:p w14:paraId="4522CC0A" w14:textId="77777777" w:rsidR="00581635" w:rsidRDefault="00317EF8">
            <w:pPr>
              <w:pStyle w:val="Normal1"/>
              <w:keepNext/>
              <w:jc w:val="center"/>
            </w:pPr>
            <w:r>
              <w:rPr>
                <w:sz w:val="17"/>
                <w:szCs w:val="17"/>
              </w:rPr>
              <w:t>114</w:t>
            </w:r>
          </w:p>
        </w:tc>
        <w:tc>
          <w:tcPr>
            <w:tcW w:w="1500" w:type="dxa"/>
            <w:tcMar>
              <w:top w:w="25" w:type="dxa"/>
              <w:left w:w="70" w:type="dxa"/>
              <w:bottom w:w="25" w:type="dxa"/>
              <w:right w:w="70" w:type="dxa"/>
            </w:tcMar>
            <w:vAlign w:val="center"/>
          </w:tcPr>
          <w:p w14:paraId="62FA72FF" w14:textId="77777777" w:rsidR="00581635" w:rsidRDefault="00317EF8">
            <w:pPr>
              <w:pStyle w:val="Normal1"/>
              <w:keepNext/>
              <w:jc w:val="center"/>
            </w:pPr>
            <w:r>
              <w:rPr>
                <w:sz w:val="17"/>
                <w:szCs w:val="17"/>
              </w:rPr>
              <w:t>29.3</w:t>
            </w:r>
          </w:p>
        </w:tc>
      </w:tr>
      <w:tr w:rsidR="00581635" w14:paraId="6BEB22F7" w14:textId="77777777">
        <w:trPr>
          <w:cantSplit/>
          <w:tblHeader/>
          <w:jc w:val="center"/>
        </w:trPr>
        <w:tc>
          <w:tcPr>
            <w:tcW w:w="2400" w:type="dxa"/>
            <w:tcMar>
              <w:top w:w="25" w:type="dxa"/>
              <w:left w:w="70" w:type="dxa"/>
              <w:bottom w:w="25" w:type="dxa"/>
              <w:right w:w="70" w:type="dxa"/>
            </w:tcMar>
            <w:vAlign w:val="center"/>
          </w:tcPr>
          <w:p w14:paraId="4068777C" w14:textId="77777777" w:rsidR="00581635" w:rsidRDefault="00581635">
            <w:pPr>
              <w:pStyle w:val="Normal1"/>
              <w:keepNext/>
            </w:pPr>
          </w:p>
        </w:tc>
        <w:tc>
          <w:tcPr>
            <w:tcW w:w="2808" w:type="dxa"/>
            <w:tcMar>
              <w:top w:w="25" w:type="dxa"/>
              <w:left w:w="70" w:type="dxa"/>
              <w:bottom w:w="25" w:type="dxa"/>
              <w:right w:w="70" w:type="dxa"/>
            </w:tcMar>
            <w:vAlign w:val="center"/>
          </w:tcPr>
          <w:p w14:paraId="02BCB847" w14:textId="77777777" w:rsidR="00581635" w:rsidRDefault="00317EF8">
            <w:pPr>
              <w:pStyle w:val="Normal1"/>
              <w:keepNext/>
            </w:pPr>
            <w:r>
              <w:rPr>
                <w:sz w:val="17"/>
                <w:szCs w:val="17"/>
              </w:rPr>
              <w:t>Third</w:t>
            </w:r>
          </w:p>
        </w:tc>
        <w:tc>
          <w:tcPr>
            <w:tcW w:w="1500" w:type="dxa"/>
            <w:tcMar>
              <w:top w:w="25" w:type="dxa"/>
              <w:left w:w="70" w:type="dxa"/>
              <w:bottom w:w="25" w:type="dxa"/>
              <w:right w:w="70" w:type="dxa"/>
            </w:tcMar>
            <w:vAlign w:val="center"/>
          </w:tcPr>
          <w:p w14:paraId="1CF6224F" w14:textId="77777777" w:rsidR="00581635" w:rsidRDefault="00317EF8">
            <w:pPr>
              <w:pStyle w:val="Normal1"/>
              <w:keepNext/>
              <w:jc w:val="center"/>
            </w:pPr>
            <w:r>
              <w:rPr>
                <w:sz w:val="17"/>
                <w:szCs w:val="17"/>
              </w:rPr>
              <w:t>89</w:t>
            </w:r>
          </w:p>
        </w:tc>
        <w:tc>
          <w:tcPr>
            <w:tcW w:w="1500" w:type="dxa"/>
            <w:tcMar>
              <w:top w:w="25" w:type="dxa"/>
              <w:left w:w="70" w:type="dxa"/>
              <w:bottom w:w="25" w:type="dxa"/>
              <w:right w:w="70" w:type="dxa"/>
            </w:tcMar>
            <w:vAlign w:val="center"/>
          </w:tcPr>
          <w:p w14:paraId="298EF21E" w14:textId="77777777" w:rsidR="00581635" w:rsidRDefault="00317EF8">
            <w:pPr>
              <w:pStyle w:val="Normal1"/>
              <w:keepNext/>
              <w:jc w:val="center"/>
            </w:pPr>
            <w:r>
              <w:rPr>
                <w:sz w:val="17"/>
                <w:szCs w:val="17"/>
              </w:rPr>
              <w:t>22.9</w:t>
            </w:r>
          </w:p>
        </w:tc>
      </w:tr>
      <w:tr w:rsidR="00581635" w14:paraId="01DB5A0E" w14:textId="77777777">
        <w:trPr>
          <w:cantSplit/>
          <w:tblHeader/>
          <w:jc w:val="center"/>
        </w:trPr>
        <w:tc>
          <w:tcPr>
            <w:tcW w:w="2400" w:type="dxa"/>
            <w:tcMar>
              <w:top w:w="25" w:type="dxa"/>
              <w:left w:w="70" w:type="dxa"/>
              <w:bottom w:w="25" w:type="dxa"/>
              <w:right w:w="70" w:type="dxa"/>
            </w:tcMar>
            <w:vAlign w:val="center"/>
          </w:tcPr>
          <w:p w14:paraId="36A9552B" w14:textId="77777777" w:rsidR="00581635" w:rsidRDefault="00581635">
            <w:pPr>
              <w:pStyle w:val="Normal1"/>
              <w:keepNext/>
            </w:pPr>
          </w:p>
        </w:tc>
        <w:tc>
          <w:tcPr>
            <w:tcW w:w="2808" w:type="dxa"/>
            <w:tcMar>
              <w:top w:w="25" w:type="dxa"/>
              <w:left w:w="70" w:type="dxa"/>
              <w:bottom w:w="25" w:type="dxa"/>
              <w:right w:w="70" w:type="dxa"/>
            </w:tcMar>
            <w:vAlign w:val="center"/>
          </w:tcPr>
          <w:p w14:paraId="19351AC8" w14:textId="77777777" w:rsidR="00581635" w:rsidRDefault="00317EF8">
            <w:pPr>
              <w:pStyle w:val="Normal1"/>
              <w:keepNext/>
            </w:pPr>
            <w:r>
              <w:rPr>
                <w:sz w:val="17"/>
                <w:szCs w:val="17"/>
              </w:rPr>
              <w:t>Fourth and above</w:t>
            </w:r>
          </w:p>
        </w:tc>
        <w:tc>
          <w:tcPr>
            <w:tcW w:w="1500" w:type="dxa"/>
            <w:tcMar>
              <w:top w:w="25" w:type="dxa"/>
              <w:left w:w="70" w:type="dxa"/>
              <w:bottom w:w="25" w:type="dxa"/>
              <w:right w:w="70" w:type="dxa"/>
            </w:tcMar>
            <w:vAlign w:val="center"/>
          </w:tcPr>
          <w:p w14:paraId="25511B10" w14:textId="77777777" w:rsidR="00581635" w:rsidRDefault="00317EF8">
            <w:pPr>
              <w:pStyle w:val="Normal1"/>
              <w:keepNext/>
              <w:jc w:val="center"/>
            </w:pPr>
            <w:r>
              <w:rPr>
                <w:sz w:val="17"/>
                <w:szCs w:val="17"/>
              </w:rPr>
              <w:t>95</w:t>
            </w:r>
          </w:p>
        </w:tc>
        <w:tc>
          <w:tcPr>
            <w:tcW w:w="1500" w:type="dxa"/>
            <w:tcMar>
              <w:top w:w="25" w:type="dxa"/>
              <w:left w:w="70" w:type="dxa"/>
              <w:bottom w:w="25" w:type="dxa"/>
              <w:right w:w="70" w:type="dxa"/>
            </w:tcMar>
            <w:vAlign w:val="center"/>
          </w:tcPr>
          <w:p w14:paraId="3387F554" w14:textId="77777777" w:rsidR="00581635" w:rsidRDefault="00317EF8">
            <w:pPr>
              <w:pStyle w:val="Normal1"/>
              <w:keepNext/>
              <w:jc w:val="center"/>
            </w:pPr>
            <w:r>
              <w:rPr>
                <w:sz w:val="17"/>
                <w:szCs w:val="17"/>
              </w:rPr>
              <w:t>24.4</w:t>
            </w:r>
          </w:p>
        </w:tc>
      </w:tr>
      <w:tr w:rsidR="00581635" w14:paraId="2DD26EC9" w14:textId="77777777">
        <w:trPr>
          <w:cantSplit/>
          <w:tblHeader/>
          <w:jc w:val="center"/>
        </w:trPr>
        <w:tc>
          <w:tcPr>
            <w:tcW w:w="2400" w:type="dxa"/>
            <w:tcMar>
              <w:top w:w="25" w:type="dxa"/>
              <w:left w:w="70" w:type="dxa"/>
              <w:bottom w:w="25" w:type="dxa"/>
              <w:right w:w="70" w:type="dxa"/>
            </w:tcMar>
            <w:vAlign w:val="center"/>
          </w:tcPr>
          <w:p w14:paraId="571A89F3" w14:textId="77777777" w:rsidR="00581635" w:rsidRDefault="00317EF8">
            <w:pPr>
              <w:pStyle w:val="Normal1"/>
              <w:keepNext/>
            </w:pPr>
            <w:r>
              <w:rPr>
                <w:sz w:val="17"/>
                <w:szCs w:val="17"/>
              </w:rPr>
              <w:t>Religion</w:t>
            </w:r>
          </w:p>
        </w:tc>
        <w:tc>
          <w:tcPr>
            <w:tcW w:w="2808" w:type="dxa"/>
            <w:tcMar>
              <w:top w:w="25" w:type="dxa"/>
              <w:left w:w="70" w:type="dxa"/>
              <w:bottom w:w="25" w:type="dxa"/>
              <w:right w:w="70" w:type="dxa"/>
            </w:tcMar>
            <w:vAlign w:val="center"/>
          </w:tcPr>
          <w:p w14:paraId="302B1855" w14:textId="77777777" w:rsidR="00581635" w:rsidRDefault="00317EF8">
            <w:pPr>
              <w:pStyle w:val="Normal1"/>
              <w:keepNext/>
            </w:pPr>
            <w:r>
              <w:rPr>
                <w:sz w:val="17"/>
                <w:szCs w:val="17"/>
              </w:rPr>
              <w:t>Christianity</w:t>
            </w:r>
          </w:p>
        </w:tc>
        <w:tc>
          <w:tcPr>
            <w:tcW w:w="1500" w:type="dxa"/>
            <w:tcMar>
              <w:top w:w="25" w:type="dxa"/>
              <w:left w:w="70" w:type="dxa"/>
              <w:bottom w:w="25" w:type="dxa"/>
              <w:right w:w="70" w:type="dxa"/>
            </w:tcMar>
            <w:vAlign w:val="center"/>
          </w:tcPr>
          <w:p w14:paraId="00513253" w14:textId="77777777" w:rsidR="00581635" w:rsidRDefault="00317EF8">
            <w:pPr>
              <w:pStyle w:val="Normal1"/>
              <w:keepNext/>
              <w:jc w:val="center"/>
            </w:pPr>
            <w:r>
              <w:rPr>
                <w:sz w:val="17"/>
                <w:szCs w:val="17"/>
              </w:rPr>
              <w:t>300</w:t>
            </w:r>
          </w:p>
        </w:tc>
        <w:tc>
          <w:tcPr>
            <w:tcW w:w="1500" w:type="dxa"/>
            <w:tcMar>
              <w:top w:w="25" w:type="dxa"/>
              <w:left w:w="70" w:type="dxa"/>
              <w:bottom w:w="25" w:type="dxa"/>
              <w:right w:w="70" w:type="dxa"/>
            </w:tcMar>
            <w:vAlign w:val="center"/>
          </w:tcPr>
          <w:p w14:paraId="46044B88" w14:textId="77777777" w:rsidR="00581635" w:rsidRDefault="00317EF8">
            <w:pPr>
              <w:pStyle w:val="Normal1"/>
              <w:keepNext/>
              <w:jc w:val="center"/>
            </w:pPr>
            <w:r>
              <w:rPr>
                <w:sz w:val="17"/>
                <w:szCs w:val="17"/>
              </w:rPr>
              <w:t>77.1</w:t>
            </w:r>
          </w:p>
        </w:tc>
      </w:tr>
      <w:tr w:rsidR="00581635" w14:paraId="2452EF7E" w14:textId="77777777">
        <w:trPr>
          <w:cantSplit/>
          <w:tblHeader/>
          <w:jc w:val="center"/>
        </w:trPr>
        <w:tc>
          <w:tcPr>
            <w:tcW w:w="2400" w:type="dxa"/>
            <w:tcMar>
              <w:top w:w="25" w:type="dxa"/>
              <w:left w:w="70" w:type="dxa"/>
              <w:bottom w:w="25" w:type="dxa"/>
              <w:right w:w="70" w:type="dxa"/>
            </w:tcMar>
            <w:vAlign w:val="center"/>
          </w:tcPr>
          <w:p w14:paraId="7CF0D6BA" w14:textId="77777777" w:rsidR="00581635" w:rsidRDefault="00581635">
            <w:pPr>
              <w:pStyle w:val="Normal1"/>
              <w:keepNext/>
            </w:pPr>
          </w:p>
        </w:tc>
        <w:tc>
          <w:tcPr>
            <w:tcW w:w="2808" w:type="dxa"/>
            <w:tcMar>
              <w:top w:w="25" w:type="dxa"/>
              <w:left w:w="70" w:type="dxa"/>
              <w:bottom w:w="25" w:type="dxa"/>
              <w:right w:w="70" w:type="dxa"/>
            </w:tcMar>
            <w:vAlign w:val="center"/>
          </w:tcPr>
          <w:p w14:paraId="3E6AA93D" w14:textId="77777777" w:rsidR="00581635" w:rsidRDefault="00317EF8">
            <w:pPr>
              <w:pStyle w:val="Normal1"/>
              <w:keepNext/>
            </w:pPr>
            <w:r>
              <w:rPr>
                <w:sz w:val="17"/>
                <w:szCs w:val="17"/>
              </w:rPr>
              <w:t>Islam</w:t>
            </w:r>
          </w:p>
        </w:tc>
        <w:tc>
          <w:tcPr>
            <w:tcW w:w="1500" w:type="dxa"/>
            <w:tcMar>
              <w:top w:w="25" w:type="dxa"/>
              <w:left w:w="70" w:type="dxa"/>
              <w:bottom w:w="25" w:type="dxa"/>
              <w:right w:w="70" w:type="dxa"/>
            </w:tcMar>
            <w:vAlign w:val="center"/>
          </w:tcPr>
          <w:p w14:paraId="1CEB52D1" w14:textId="77777777" w:rsidR="00581635" w:rsidRDefault="00317EF8">
            <w:pPr>
              <w:pStyle w:val="Normal1"/>
              <w:keepNext/>
              <w:jc w:val="center"/>
            </w:pPr>
            <w:r>
              <w:rPr>
                <w:sz w:val="17"/>
                <w:szCs w:val="17"/>
              </w:rPr>
              <w:t>38</w:t>
            </w:r>
          </w:p>
        </w:tc>
        <w:tc>
          <w:tcPr>
            <w:tcW w:w="1500" w:type="dxa"/>
            <w:tcMar>
              <w:top w:w="25" w:type="dxa"/>
              <w:left w:w="70" w:type="dxa"/>
              <w:bottom w:w="25" w:type="dxa"/>
              <w:right w:w="70" w:type="dxa"/>
            </w:tcMar>
            <w:vAlign w:val="center"/>
          </w:tcPr>
          <w:p w14:paraId="0AD4E49C" w14:textId="77777777" w:rsidR="00581635" w:rsidRDefault="00317EF8">
            <w:pPr>
              <w:pStyle w:val="Normal1"/>
              <w:keepNext/>
              <w:jc w:val="center"/>
            </w:pPr>
            <w:r>
              <w:rPr>
                <w:sz w:val="17"/>
                <w:szCs w:val="17"/>
              </w:rPr>
              <w:t>9.8</w:t>
            </w:r>
          </w:p>
        </w:tc>
      </w:tr>
      <w:tr w:rsidR="00581635" w14:paraId="07926505" w14:textId="77777777">
        <w:trPr>
          <w:cantSplit/>
          <w:tblHeader/>
          <w:jc w:val="center"/>
        </w:trPr>
        <w:tc>
          <w:tcPr>
            <w:tcW w:w="2400" w:type="dxa"/>
            <w:tcMar>
              <w:top w:w="25" w:type="dxa"/>
              <w:left w:w="70" w:type="dxa"/>
              <w:bottom w:w="25" w:type="dxa"/>
              <w:right w:w="70" w:type="dxa"/>
            </w:tcMar>
            <w:vAlign w:val="center"/>
          </w:tcPr>
          <w:p w14:paraId="1CBA7ECE" w14:textId="77777777" w:rsidR="00581635" w:rsidRDefault="00581635">
            <w:pPr>
              <w:pStyle w:val="Normal1"/>
              <w:keepNext/>
            </w:pPr>
          </w:p>
        </w:tc>
        <w:tc>
          <w:tcPr>
            <w:tcW w:w="2808" w:type="dxa"/>
            <w:tcMar>
              <w:top w:w="25" w:type="dxa"/>
              <w:left w:w="70" w:type="dxa"/>
              <w:bottom w:w="25" w:type="dxa"/>
              <w:right w:w="70" w:type="dxa"/>
            </w:tcMar>
            <w:vAlign w:val="center"/>
          </w:tcPr>
          <w:p w14:paraId="399F69FF" w14:textId="77777777" w:rsidR="00581635" w:rsidRDefault="00317EF8">
            <w:pPr>
              <w:pStyle w:val="Normal1"/>
              <w:keepNext/>
            </w:pPr>
            <w:r>
              <w:rPr>
                <w:sz w:val="17"/>
                <w:szCs w:val="17"/>
              </w:rPr>
              <w:t>Traditional</w:t>
            </w:r>
          </w:p>
        </w:tc>
        <w:tc>
          <w:tcPr>
            <w:tcW w:w="1500" w:type="dxa"/>
            <w:tcMar>
              <w:top w:w="25" w:type="dxa"/>
              <w:left w:w="70" w:type="dxa"/>
              <w:bottom w:w="25" w:type="dxa"/>
              <w:right w:w="70" w:type="dxa"/>
            </w:tcMar>
            <w:vAlign w:val="center"/>
          </w:tcPr>
          <w:p w14:paraId="33B22837" w14:textId="77777777" w:rsidR="00581635" w:rsidRDefault="00317EF8">
            <w:pPr>
              <w:pStyle w:val="Normal1"/>
              <w:keepNext/>
              <w:jc w:val="center"/>
            </w:pPr>
            <w:r>
              <w:rPr>
                <w:sz w:val="17"/>
                <w:szCs w:val="17"/>
              </w:rPr>
              <w:t>33</w:t>
            </w:r>
          </w:p>
        </w:tc>
        <w:tc>
          <w:tcPr>
            <w:tcW w:w="1500" w:type="dxa"/>
            <w:tcMar>
              <w:top w:w="25" w:type="dxa"/>
              <w:left w:w="70" w:type="dxa"/>
              <w:bottom w:w="25" w:type="dxa"/>
              <w:right w:w="70" w:type="dxa"/>
            </w:tcMar>
            <w:vAlign w:val="center"/>
          </w:tcPr>
          <w:p w14:paraId="54BD91E2" w14:textId="77777777" w:rsidR="00581635" w:rsidRDefault="00317EF8">
            <w:pPr>
              <w:pStyle w:val="Normal1"/>
              <w:keepNext/>
              <w:jc w:val="center"/>
            </w:pPr>
            <w:r>
              <w:rPr>
                <w:sz w:val="17"/>
                <w:szCs w:val="17"/>
              </w:rPr>
              <w:t>8.5</w:t>
            </w:r>
          </w:p>
        </w:tc>
      </w:tr>
      <w:tr w:rsidR="00581635" w14:paraId="7738A705" w14:textId="77777777">
        <w:trPr>
          <w:cantSplit/>
          <w:tblHeader/>
          <w:jc w:val="center"/>
        </w:trPr>
        <w:tc>
          <w:tcPr>
            <w:tcW w:w="2400" w:type="dxa"/>
            <w:tcMar>
              <w:top w:w="25" w:type="dxa"/>
              <w:left w:w="70" w:type="dxa"/>
              <w:bottom w:w="25" w:type="dxa"/>
              <w:right w:w="70" w:type="dxa"/>
            </w:tcMar>
            <w:vAlign w:val="center"/>
          </w:tcPr>
          <w:p w14:paraId="163A2319" w14:textId="77777777" w:rsidR="00581635" w:rsidRDefault="00581635">
            <w:pPr>
              <w:pStyle w:val="Normal1"/>
            </w:pPr>
          </w:p>
        </w:tc>
        <w:tc>
          <w:tcPr>
            <w:tcW w:w="2808" w:type="dxa"/>
            <w:tcMar>
              <w:top w:w="25" w:type="dxa"/>
              <w:left w:w="70" w:type="dxa"/>
              <w:bottom w:w="25" w:type="dxa"/>
              <w:right w:w="70" w:type="dxa"/>
            </w:tcMar>
            <w:vAlign w:val="center"/>
          </w:tcPr>
          <w:p w14:paraId="4F6124FD" w14:textId="77777777" w:rsidR="00581635" w:rsidRDefault="00317EF8">
            <w:pPr>
              <w:pStyle w:val="Normal1"/>
            </w:pPr>
            <w:r>
              <w:rPr>
                <w:sz w:val="17"/>
                <w:szCs w:val="17"/>
              </w:rPr>
              <w:t>Others</w:t>
            </w:r>
          </w:p>
        </w:tc>
        <w:tc>
          <w:tcPr>
            <w:tcW w:w="1500" w:type="dxa"/>
            <w:tcMar>
              <w:top w:w="25" w:type="dxa"/>
              <w:left w:w="70" w:type="dxa"/>
              <w:bottom w:w="25" w:type="dxa"/>
              <w:right w:w="70" w:type="dxa"/>
            </w:tcMar>
            <w:vAlign w:val="center"/>
          </w:tcPr>
          <w:p w14:paraId="5CD4CC82" w14:textId="77777777" w:rsidR="00581635" w:rsidRDefault="00317EF8">
            <w:pPr>
              <w:pStyle w:val="Normal1"/>
              <w:jc w:val="center"/>
            </w:pPr>
            <w:r>
              <w:rPr>
                <w:sz w:val="17"/>
                <w:szCs w:val="17"/>
              </w:rPr>
              <w:t>18</w:t>
            </w:r>
          </w:p>
        </w:tc>
        <w:tc>
          <w:tcPr>
            <w:tcW w:w="1500" w:type="dxa"/>
            <w:tcMar>
              <w:top w:w="25" w:type="dxa"/>
              <w:left w:w="70" w:type="dxa"/>
              <w:bottom w:w="25" w:type="dxa"/>
              <w:right w:w="70" w:type="dxa"/>
            </w:tcMar>
            <w:vAlign w:val="center"/>
          </w:tcPr>
          <w:p w14:paraId="6AB685D2" w14:textId="77777777" w:rsidR="00581635" w:rsidRDefault="00317EF8">
            <w:pPr>
              <w:pStyle w:val="Normal1"/>
              <w:jc w:val="center"/>
            </w:pPr>
            <w:r>
              <w:rPr>
                <w:sz w:val="17"/>
                <w:szCs w:val="17"/>
              </w:rPr>
              <w:t>4.6</w:t>
            </w:r>
          </w:p>
        </w:tc>
      </w:tr>
    </w:tbl>
    <w:p w14:paraId="536C73EF" w14:textId="77777777" w:rsidR="00581635" w:rsidRDefault="00317EF8">
      <w:pPr>
        <w:pStyle w:val="Normal1"/>
        <w:spacing w:before="60" w:after="200"/>
        <w:jc w:val="both"/>
      </w:pPr>
      <w:r>
        <w:rPr>
          <w:sz w:val="16"/>
          <w:szCs w:val="16"/>
        </w:rPr>
        <w:t>SD = standard deviation.</w:t>
      </w:r>
    </w:p>
    <w:p w14:paraId="02A88141" w14:textId="77777777" w:rsidR="00581635" w:rsidRDefault="00317EF8">
      <w:pPr>
        <w:pStyle w:val="Heading2"/>
        <w:keepNext/>
        <w:spacing w:before="200" w:after="100"/>
      </w:pPr>
      <w:r>
        <w:lastRenderedPageBreak/>
        <w:t>3.2 CLINICALLY ASSESSED DENTAL CARIES</w:t>
      </w:r>
    </w:p>
    <w:p w14:paraId="15733D88" w14:textId="77777777" w:rsidR="00581635" w:rsidRPr="00130F17" w:rsidRDefault="00317EF8">
      <w:pPr>
        <w:pStyle w:val="Normal1"/>
        <w:spacing w:after="120" w:line="264" w:lineRule="auto"/>
        <w:jc w:val="both"/>
      </w:pPr>
      <w:r w:rsidRPr="00130F17">
        <w:rPr>
          <w:rFonts w:eastAsia="Arial Unicode MS"/>
        </w:rPr>
        <w:t xml:space="preserve">Table 2 presents the </w:t>
      </w:r>
      <w:proofErr w:type="spellStart"/>
      <w:r w:rsidRPr="00130F17">
        <w:rPr>
          <w:rFonts w:eastAsia="Arial Unicode MS"/>
        </w:rPr>
        <w:t>dmft</w:t>
      </w:r>
      <w:proofErr w:type="spellEnd"/>
      <w:r w:rsidRPr="00130F17">
        <w:rPr>
          <w:rFonts w:eastAsia="Arial Unicode MS"/>
        </w:rPr>
        <w:t xml:space="preserve"> findings. Twenty of the 389 children (5.1%) had clinically diagnosed caries (</w:t>
      </w:r>
      <w:proofErr w:type="spellStart"/>
      <w:r w:rsidRPr="00130F17">
        <w:rPr>
          <w:rFonts w:eastAsia="Arial Unicode MS"/>
        </w:rPr>
        <w:t>dmft</w:t>
      </w:r>
      <w:proofErr w:type="spellEnd"/>
      <w:r w:rsidRPr="00130F17">
        <w:rPr>
          <w:rFonts w:eastAsia="Arial Unicode MS"/>
        </w:rPr>
        <w:t xml:space="preserve"> ≥ 1), and 369 (94.9%) were caries-free. Decayed teeth were found in 8 children (2.1%), missing teeth in 9 (2.3%) and filled teeth in 6 (1.5%). The mean </w:t>
      </w:r>
      <w:proofErr w:type="spellStart"/>
      <w:r w:rsidRPr="00130F17">
        <w:rPr>
          <w:rFonts w:eastAsia="Arial Unicode MS"/>
        </w:rPr>
        <w:t>dmft</w:t>
      </w:r>
      <w:proofErr w:type="spellEnd"/>
      <w:r w:rsidRPr="00130F17">
        <w:rPr>
          <w:rFonts w:eastAsia="Arial Unicode MS"/>
        </w:rPr>
        <w:t xml:space="preserve"> was approximately 0.06.</w:t>
      </w:r>
    </w:p>
    <w:p w14:paraId="010C569D" w14:textId="77777777" w:rsidR="00581635" w:rsidRDefault="00317EF8">
      <w:pPr>
        <w:pStyle w:val="Normal1"/>
        <w:keepNext/>
        <w:spacing w:before="160" w:after="80"/>
      </w:pPr>
      <w:r>
        <w:rPr>
          <w:b/>
          <w:bCs/>
        </w:rPr>
        <w:t>Table 2.</w:t>
      </w:r>
      <w:r>
        <w:t> </w:t>
      </w:r>
      <w:r>
        <w:rPr>
          <w:b/>
          <w:bCs/>
        </w:rPr>
        <w:t>Clinically assessed dental caries among the children (N = 389), n (%)</w:t>
      </w:r>
    </w:p>
    <w:tbl>
      <w:tblPr>
        <w:tblStyle w:val="a0"/>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1208"/>
        <w:gridCol w:w="1400"/>
        <w:gridCol w:w="1400"/>
        <w:gridCol w:w="1400"/>
        <w:gridCol w:w="1400"/>
        <w:gridCol w:w="1400"/>
      </w:tblGrid>
      <w:tr w:rsidR="00581635" w14:paraId="32DAAEED" w14:textId="77777777">
        <w:trPr>
          <w:cantSplit/>
          <w:tblHeader/>
          <w:jc w:val="center"/>
        </w:trPr>
        <w:tc>
          <w:tcPr>
            <w:tcW w:w="1208" w:type="dxa"/>
            <w:tcBorders>
              <w:bottom w:val="single" w:sz="4" w:space="0" w:color="000000"/>
            </w:tcBorders>
            <w:tcMar>
              <w:top w:w="25" w:type="dxa"/>
              <w:left w:w="70" w:type="dxa"/>
              <w:bottom w:w="25" w:type="dxa"/>
              <w:right w:w="70" w:type="dxa"/>
            </w:tcMar>
            <w:vAlign w:val="center"/>
          </w:tcPr>
          <w:p w14:paraId="51638519" w14:textId="77777777" w:rsidR="00581635" w:rsidRDefault="00581635">
            <w:pPr>
              <w:pStyle w:val="Normal1"/>
              <w:keepNext/>
            </w:pPr>
          </w:p>
        </w:tc>
        <w:tc>
          <w:tcPr>
            <w:tcW w:w="1400" w:type="dxa"/>
            <w:tcBorders>
              <w:bottom w:val="single" w:sz="4" w:space="0" w:color="000000"/>
            </w:tcBorders>
            <w:tcMar>
              <w:top w:w="25" w:type="dxa"/>
              <w:left w:w="70" w:type="dxa"/>
              <w:bottom w:w="25" w:type="dxa"/>
              <w:right w:w="70" w:type="dxa"/>
            </w:tcMar>
            <w:vAlign w:val="center"/>
          </w:tcPr>
          <w:p w14:paraId="71F5F589" w14:textId="77777777" w:rsidR="00581635" w:rsidRDefault="00317EF8">
            <w:pPr>
              <w:pStyle w:val="Normal1"/>
              <w:keepNext/>
              <w:jc w:val="center"/>
            </w:pPr>
            <w:r>
              <w:rPr>
                <w:b/>
                <w:bCs/>
                <w:sz w:val="17"/>
                <w:szCs w:val="17"/>
              </w:rPr>
              <w:t>Decayed (d)</w:t>
            </w:r>
          </w:p>
        </w:tc>
        <w:tc>
          <w:tcPr>
            <w:tcW w:w="1400" w:type="dxa"/>
            <w:tcBorders>
              <w:bottom w:val="single" w:sz="4" w:space="0" w:color="000000"/>
            </w:tcBorders>
            <w:tcMar>
              <w:top w:w="25" w:type="dxa"/>
              <w:left w:w="70" w:type="dxa"/>
              <w:bottom w:w="25" w:type="dxa"/>
              <w:right w:w="70" w:type="dxa"/>
            </w:tcMar>
            <w:vAlign w:val="center"/>
          </w:tcPr>
          <w:p w14:paraId="03D96BD4" w14:textId="77777777" w:rsidR="00581635" w:rsidRDefault="00317EF8">
            <w:pPr>
              <w:pStyle w:val="Normal1"/>
              <w:keepNext/>
              <w:jc w:val="center"/>
            </w:pPr>
            <w:r>
              <w:rPr>
                <w:b/>
                <w:bCs/>
                <w:sz w:val="17"/>
                <w:szCs w:val="17"/>
              </w:rPr>
              <w:t>Missing (m)</w:t>
            </w:r>
          </w:p>
        </w:tc>
        <w:tc>
          <w:tcPr>
            <w:tcW w:w="1400" w:type="dxa"/>
            <w:tcBorders>
              <w:bottom w:val="single" w:sz="4" w:space="0" w:color="000000"/>
            </w:tcBorders>
            <w:tcMar>
              <w:top w:w="25" w:type="dxa"/>
              <w:left w:w="70" w:type="dxa"/>
              <w:bottom w:w="25" w:type="dxa"/>
              <w:right w:w="70" w:type="dxa"/>
            </w:tcMar>
            <w:vAlign w:val="center"/>
          </w:tcPr>
          <w:p w14:paraId="470A5C96" w14:textId="77777777" w:rsidR="00581635" w:rsidRDefault="00317EF8">
            <w:pPr>
              <w:pStyle w:val="Normal1"/>
              <w:keepNext/>
              <w:jc w:val="center"/>
            </w:pPr>
            <w:r>
              <w:rPr>
                <w:b/>
                <w:bCs/>
                <w:sz w:val="17"/>
                <w:szCs w:val="17"/>
              </w:rPr>
              <w:t>Filled (f)</w:t>
            </w:r>
          </w:p>
        </w:tc>
        <w:tc>
          <w:tcPr>
            <w:tcW w:w="1400" w:type="dxa"/>
            <w:tcBorders>
              <w:bottom w:val="single" w:sz="4" w:space="0" w:color="000000"/>
            </w:tcBorders>
            <w:tcMar>
              <w:top w:w="25" w:type="dxa"/>
              <w:left w:w="70" w:type="dxa"/>
              <w:bottom w:w="25" w:type="dxa"/>
              <w:right w:w="70" w:type="dxa"/>
            </w:tcMar>
            <w:vAlign w:val="center"/>
          </w:tcPr>
          <w:p w14:paraId="738EC5A6" w14:textId="77777777" w:rsidR="00581635" w:rsidRDefault="00317EF8">
            <w:pPr>
              <w:pStyle w:val="Normal1"/>
              <w:keepNext/>
              <w:jc w:val="center"/>
            </w:pPr>
            <w:r>
              <w:rPr>
                <w:b/>
                <w:bCs/>
                <w:sz w:val="17"/>
                <w:szCs w:val="17"/>
              </w:rPr>
              <w:t>Total (</w:t>
            </w:r>
            <w:proofErr w:type="spellStart"/>
            <w:r>
              <w:rPr>
                <w:b/>
                <w:bCs/>
                <w:sz w:val="17"/>
                <w:szCs w:val="17"/>
              </w:rPr>
              <w:t>dmft</w:t>
            </w:r>
            <w:proofErr w:type="spellEnd"/>
            <w:r>
              <w:rPr>
                <w:b/>
                <w:bCs/>
                <w:sz w:val="17"/>
                <w:szCs w:val="17"/>
              </w:rPr>
              <w:t>)</w:t>
            </w:r>
          </w:p>
        </w:tc>
        <w:tc>
          <w:tcPr>
            <w:tcW w:w="1400" w:type="dxa"/>
            <w:tcBorders>
              <w:bottom w:val="single" w:sz="4" w:space="0" w:color="000000"/>
            </w:tcBorders>
            <w:tcMar>
              <w:top w:w="25" w:type="dxa"/>
              <w:left w:w="70" w:type="dxa"/>
              <w:bottom w:w="25" w:type="dxa"/>
              <w:right w:w="70" w:type="dxa"/>
            </w:tcMar>
            <w:vAlign w:val="center"/>
          </w:tcPr>
          <w:p w14:paraId="4741655E" w14:textId="77777777" w:rsidR="00581635" w:rsidRDefault="00317EF8">
            <w:pPr>
              <w:pStyle w:val="Normal1"/>
              <w:keepNext/>
              <w:jc w:val="center"/>
            </w:pPr>
            <w:r>
              <w:rPr>
                <w:rFonts w:ascii="Arial Unicode MS" w:eastAsia="Arial Unicode MS" w:hAnsi="Arial Unicode MS" w:cs="Arial Unicode MS"/>
                <w:b/>
                <w:bCs/>
                <w:sz w:val="17"/>
                <w:szCs w:val="17"/>
              </w:rPr>
              <w:t>Caries (</w:t>
            </w:r>
            <w:proofErr w:type="spellStart"/>
            <w:r>
              <w:rPr>
                <w:rFonts w:ascii="Arial Unicode MS" w:eastAsia="Arial Unicode MS" w:hAnsi="Arial Unicode MS" w:cs="Arial Unicode MS"/>
                <w:b/>
                <w:bCs/>
                <w:sz w:val="17"/>
                <w:szCs w:val="17"/>
              </w:rPr>
              <w:t>dmft</w:t>
            </w:r>
            <w:proofErr w:type="spellEnd"/>
            <w:r>
              <w:rPr>
                <w:rFonts w:ascii="Arial Unicode MS" w:eastAsia="Arial Unicode MS" w:hAnsi="Arial Unicode MS" w:cs="Arial Unicode MS"/>
                <w:b/>
                <w:bCs/>
                <w:sz w:val="17"/>
                <w:szCs w:val="17"/>
              </w:rPr>
              <w:t> ≥ 1)</w:t>
            </w:r>
          </w:p>
        </w:tc>
      </w:tr>
      <w:tr w:rsidR="00581635" w14:paraId="0A7118DC" w14:textId="77777777">
        <w:trPr>
          <w:cantSplit/>
          <w:tblHeader/>
          <w:jc w:val="center"/>
        </w:trPr>
        <w:tc>
          <w:tcPr>
            <w:tcW w:w="1208" w:type="dxa"/>
            <w:tcMar>
              <w:top w:w="25" w:type="dxa"/>
              <w:left w:w="70" w:type="dxa"/>
              <w:bottom w:w="25" w:type="dxa"/>
              <w:right w:w="70" w:type="dxa"/>
            </w:tcMar>
            <w:vAlign w:val="center"/>
          </w:tcPr>
          <w:p w14:paraId="0A758388" w14:textId="77777777" w:rsidR="00581635" w:rsidRDefault="00317EF8">
            <w:pPr>
              <w:pStyle w:val="Normal1"/>
              <w:keepNext/>
            </w:pPr>
            <w:r>
              <w:rPr>
                <w:sz w:val="17"/>
                <w:szCs w:val="17"/>
              </w:rPr>
              <w:t>Yes</w:t>
            </w:r>
          </w:p>
        </w:tc>
        <w:tc>
          <w:tcPr>
            <w:tcW w:w="1400" w:type="dxa"/>
            <w:tcMar>
              <w:top w:w="25" w:type="dxa"/>
              <w:left w:w="70" w:type="dxa"/>
              <w:bottom w:w="25" w:type="dxa"/>
              <w:right w:w="70" w:type="dxa"/>
            </w:tcMar>
            <w:vAlign w:val="center"/>
          </w:tcPr>
          <w:p w14:paraId="5943AC2E" w14:textId="77777777" w:rsidR="00581635" w:rsidRDefault="00317EF8">
            <w:pPr>
              <w:pStyle w:val="Normal1"/>
              <w:keepNext/>
              <w:jc w:val="center"/>
            </w:pPr>
            <w:r>
              <w:rPr>
                <w:sz w:val="17"/>
                <w:szCs w:val="17"/>
              </w:rPr>
              <w:t>8 (2.1)</w:t>
            </w:r>
          </w:p>
        </w:tc>
        <w:tc>
          <w:tcPr>
            <w:tcW w:w="1400" w:type="dxa"/>
            <w:tcMar>
              <w:top w:w="25" w:type="dxa"/>
              <w:left w:w="70" w:type="dxa"/>
              <w:bottom w:w="25" w:type="dxa"/>
              <w:right w:w="70" w:type="dxa"/>
            </w:tcMar>
            <w:vAlign w:val="center"/>
          </w:tcPr>
          <w:p w14:paraId="14314E42" w14:textId="77777777" w:rsidR="00581635" w:rsidRDefault="00317EF8">
            <w:pPr>
              <w:pStyle w:val="Normal1"/>
              <w:keepNext/>
              <w:jc w:val="center"/>
            </w:pPr>
            <w:r>
              <w:rPr>
                <w:sz w:val="17"/>
                <w:szCs w:val="17"/>
              </w:rPr>
              <w:t>9 (2.3)</w:t>
            </w:r>
          </w:p>
        </w:tc>
        <w:tc>
          <w:tcPr>
            <w:tcW w:w="1400" w:type="dxa"/>
            <w:tcMar>
              <w:top w:w="25" w:type="dxa"/>
              <w:left w:w="70" w:type="dxa"/>
              <w:bottom w:w="25" w:type="dxa"/>
              <w:right w:w="70" w:type="dxa"/>
            </w:tcMar>
            <w:vAlign w:val="center"/>
          </w:tcPr>
          <w:p w14:paraId="429402E2" w14:textId="77777777" w:rsidR="00581635" w:rsidRDefault="00317EF8">
            <w:pPr>
              <w:pStyle w:val="Normal1"/>
              <w:keepNext/>
              <w:jc w:val="center"/>
            </w:pPr>
            <w:r>
              <w:rPr>
                <w:sz w:val="17"/>
                <w:szCs w:val="17"/>
              </w:rPr>
              <w:t>6 (1.5)</w:t>
            </w:r>
          </w:p>
        </w:tc>
        <w:tc>
          <w:tcPr>
            <w:tcW w:w="1400" w:type="dxa"/>
            <w:tcMar>
              <w:top w:w="25" w:type="dxa"/>
              <w:left w:w="70" w:type="dxa"/>
              <w:bottom w:w="25" w:type="dxa"/>
              <w:right w:w="70" w:type="dxa"/>
            </w:tcMar>
            <w:vAlign w:val="center"/>
          </w:tcPr>
          <w:p w14:paraId="433F67D3" w14:textId="77777777" w:rsidR="00581635" w:rsidRDefault="00317EF8">
            <w:pPr>
              <w:pStyle w:val="Normal1"/>
              <w:keepNext/>
              <w:jc w:val="center"/>
            </w:pPr>
            <w:r>
              <w:rPr>
                <w:sz w:val="17"/>
                <w:szCs w:val="17"/>
              </w:rPr>
              <w:t>23 (5.9)</w:t>
            </w:r>
          </w:p>
        </w:tc>
        <w:tc>
          <w:tcPr>
            <w:tcW w:w="1400" w:type="dxa"/>
            <w:tcMar>
              <w:top w:w="25" w:type="dxa"/>
              <w:left w:w="70" w:type="dxa"/>
              <w:bottom w:w="25" w:type="dxa"/>
              <w:right w:w="70" w:type="dxa"/>
            </w:tcMar>
            <w:vAlign w:val="center"/>
          </w:tcPr>
          <w:p w14:paraId="727EEDAE" w14:textId="77777777" w:rsidR="00581635" w:rsidRDefault="00317EF8">
            <w:pPr>
              <w:pStyle w:val="Normal1"/>
              <w:keepNext/>
              <w:jc w:val="center"/>
            </w:pPr>
            <w:r>
              <w:rPr>
                <w:sz w:val="17"/>
                <w:szCs w:val="17"/>
              </w:rPr>
              <w:t>20 (5.1)</w:t>
            </w:r>
          </w:p>
        </w:tc>
      </w:tr>
      <w:tr w:rsidR="00581635" w14:paraId="401BBBA1" w14:textId="77777777">
        <w:trPr>
          <w:cantSplit/>
          <w:tblHeader/>
          <w:jc w:val="center"/>
        </w:trPr>
        <w:tc>
          <w:tcPr>
            <w:tcW w:w="1208" w:type="dxa"/>
            <w:tcMar>
              <w:top w:w="25" w:type="dxa"/>
              <w:left w:w="70" w:type="dxa"/>
              <w:bottom w:w="25" w:type="dxa"/>
              <w:right w:w="70" w:type="dxa"/>
            </w:tcMar>
            <w:vAlign w:val="center"/>
          </w:tcPr>
          <w:p w14:paraId="2FD37216" w14:textId="77777777" w:rsidR="00581635" w:rsidRDefault="00317EF8">
            <w:pPr>
              <w:pStyle w:val="Normal1"/>
            </w:pPr>
            <w:r>
              <w:rPr>
                <w:sz w:val="17"/>
                <w:szCs w:val="17"/>
              </w:rPr>
              <w:t>No</w:t>
            </w:r>
          </w:p>
        </w:tc>
        <w:tc>
          <w:tcPr>
            <w:tcW w:w="1400" w:type="dxa"/>
            <w:tcMar>
              <w:top w:w="25" w:type="dxa"/>
              <w:left w:w="70" w:type="dxa"/>
              <w:bottom w:w="25" w:type="dxa"/>
              <w:right w:w="70" w:type="dxa"/>
            </w:tcMar>
            <w:vAlign w:val="center"/>
          </w:tcPr>
          <w:p w14:paraId="5DCC7861" w14:textId="77777777" w:rsidR="00581635" w:rsidRDefault="00317EF8">
            <w:pPr>
              <w:pStyle w:val="Normal1"/>
              <w:jc w:val="center"/>
            </w:pPr>
            <w:r>
              <w:rPr>
                <w:sz w:val="17"/>
                <w:szCs w:val="17"/>
              </w:rPr>
              <w:t>381 (97.9)</w:t>
            </w:r>
          </w:p>
        </w:tc>
        <w:tc>
          <w:tcPr>
            <w:tcW w:w="1400" w:type="dxa"/>
            <w:tcMar>
              <w:top w:w="25" w:type="dxa"/>
              <w:left w:w="70" w:type="dxa"/>
              <w:bottom w:w="25" w:type="dxa"/>
              <w:right w:w="70" w:type="dxa"/>
            </w:tcMar>
            <w:vAlign w:val="center"/>
          </w:tcPr>
          <w:p w14:paraId="0832F889" w14:textId="77777777" w:rsidR="00581635" w:rsidRDefault="00317EF8">
            <w:pPr>
              <w:pStyle w:val="Normal1"/>
              <w:jc w:val="center"/>
            </w:pPr>
            <w:r>
              <w:rPr>
                <w:sz w:val="17"/>
                <w:szCs w:val="17"/>
              </w:rPr>
              <w:t>380 (97.7)</w:t>
            </w:r>
          </w:p>
        </w:tc>
        <w:tc>
          <w:tcPr>
            <w:tcW w:w="1400" w:type="dxa"/>
            <w:tcMar>
              <w:top w:w="25" w:type="dxa"/>
              <w:left w:w="70" w:type="dxa"/>
              <w:bottom w:w="25" w:type="dxa"/>
              <w:right w:w="70" w:type="dxa"/>
            </w:tcMar>
            <w:vAlign w:val="center"/>
          </w:tcPr>
          <w:p w14:paraId="26754456" w14:textId="77777777" w:rsidR="00581635" w:rsidRDefault="00317EF8">
            <w:pPr>
              <w:pStyle w:val="Normal1"/>
              <w:jc w:val="center"/>
            </w:pPr>
            <w:r>
              <w:rPr>
                <w:sz w:val="17"/>
                <w:szCs w:val="17"/>
              </w:rPr>
              <w:t>383 (98.5)</w:t>
            </w:r>
          </w:p>
        </w:tc>
        <w:tc>
          <w:tcPr>
            <w:tcW w:w="1400" w:type="dxa"/>
            <w:tcMar>
              <w:top w:w="25" w:type="dxa"/>
              <w:left w:w="70" w:type="dxa"/>
              <w:bottom w:w="25" w:type="dxa"/>
              <w:right w:w="70" w:type="dxa"/>
            </w:tcMar>
            <w:vAlign w:val="center"/>
          </w:tcPr>
          <w:p w14:paraId="7BCB634B" w14:textId="77777777" w:rsidR="00581635" w:rsidRDefault="00317EF8">
            <w:pPr>
              <w:pStyle w:val="Normal1"/>
              <w:jc w:val="center"/>
            </w:pPr>
            <w:r>
              <w:rPr>
                <w:sz w:val="17"/>
                <w:szCs w:val="17"/>
              </w:rPr>
              <w:t>366 (94.1)</w:t>
            </w:r>
          </w:p>
        </w:tc>
        <w:tc>
          <w:tcPr>
            <w:tcW w:w="1400" w:type="dxa"/>
            <w:tcMar>
              <w:top w:w="25" w:type="dxa"/>
              <w:left w:w="70" w:type="dxa"/>
              <w:bottom w:w="25" w:type="dxa"/>
              <w:right w:w="70" w:type="dxa"/>
            </w:tcMar>
            <w:vAlign w:val="center"/>
          </w:tcPr>
          <w:p w14:paraId="44AD1C19" w14:textId="77777777" w:rsidR="00581635" w:rsidRDefault="00317EF8">
            <w:pPr>
              <w:pStyle w:val="Normal1"/>
              <w:jc w:val="center"/>
            </w:pPr>
            <w:r>
              <w:rPr>
                <w:sz w:val="17"/>
                <w:szCs w:val="17"/>
              </w:rPr>
              <w:t>369 (94.9)</w:t>
            </w:r>
          </w:p>
        </w:tc>
      </w:tr>
    </w:tbl>
    <w:p w14:paraId="02F9F372" w14:textId="77777777" w:rsidR="004C34CE" w:rsidRPr="004C34CE" w:rsidRDefault="004C34CE" w:rsidP="004C34CE">
      <w:pPr>
        <w:rPr>
          <w:rFonts w:eastAsia="Times New Roman"/>
          <w:sz w:val="16"/>
          <w:szCs w:val="16"/>
        </w:rPr>
      </w:pPr>
      <w:r w:rsidRPr="004C34CE">
        <w:rPr>
          <w:rFonts w:eastAsia="Times New Roman"/>
          <w:sz w:val="16"/>
          <w:szCs w:val="16"/>
        </w:rPr>
        <w:t xml:space="preserve">Values for </w:t>
      </w:r>
      <w:r>
        <w:rPr>
          <w:rFonts w:eastAsia="Times New Roman"/>
          <w:sz w:val="16"/>
          <w:szCs w:val="16"/>
        </w:rPr>
        <w:t>d</w:t>
      </w:r>
      <w:r w:rsidRPr="004C34CE">
        <w:rPr>
          <w:rFonts w:eastAsia="Times New Roman"/>
          <w:sz w:val="16"/>
          <w:szCs w:val="16"/>
        </w:rPr>
        <w:t xml:space="preserve">, </w:t>
      </w:r>
      <w:r>
        <w:rPr>
          <w:rFonts w:eastAsia="Times New Roman"/>
          <w:sz w:val="16"/>
          <w:szCs w:val="16"/>
        </w:rPr>
        <w:t>m</w:t>
      </w:r>
      <w:r w:rsidRPr="004C34CE">
        <w:rPr>
          <w:rFonts w:eastAsia="Times New Roman"/>
          <w:sz w:val="16"/>
          <w:szCs w:val="16"/>
        </w:rPr>
        <w:t xml:space="preserve">, and </w:t>
      </w:r>
      <w:r>
        <w:rPr>
          <w:rFonts w:eastAsia="Times New Roman"/>
          <w:sz w:val="16"/>
          <w:szCs w:val="16"/>
        </w:rPr>
        <w:t>f</w:t>
      </w:r>
      <w:r w:rsidRPr="004C34CE">
        <w:rPr>
          <w:rFonts w:eastAsia="Times New Roman"/>
          <w:sz w:val="16"/>
          <w:szCs w:val="16"/>
        </w:rPr>
        <w:t xml:space="preserve"> represent the </w:t>
      </w:r>
      <w:r w:rsidRPr="004C34CE">
        <w:rPr>
          <w:rFonts w:eastAsia="Times New Roman"/>
          <w:b/>
          <w:bCs/>
          <w:sz w:val="16"/>
          <w:szCs w:val="16"/>
        </w:rPr>
        <w:t>total count of affected teeth</w:t>
      </w:r>
      <w:r w:rsidRPr="004C34CE">
        <w:rPr>
          <w:rFonts w:eastAsia="Times New Roman"/>
          <w:sz w:val="16"/>
          <w:szCs w:val="16"/>
        </w:rPr>
        <w:t xml:space="preserve"> across the study sample (</w:t>
      </w:r>
      <w:r>
        <w:rPr>
          <w:rFonts w:eastAsia="Times New Roman"/>
          <w:sz w:val="16"/>
          <w:szCs w:val="16"/>
        </w:rPr>
        <w:t>n = 389</w:t>
      </w:r>
      <w:r w:rsidRPr="004C34CE">
        <w:rPr>
          <w:rFonts w:eastAsia="Times New Roman"/>
          <w:sz w:val="16"/>
          <w:szCs w:val="16"/>
        </w:rPr>
        <w:t xml:space="preserve">), yielding a cumulative total of </w:t>
      </w:r>
      <w:r>
        <w:rPr>
          <w:rFonts w:eastAsia="Times New Roman"/>
          <w:sz w:val="16"/>
          <w:szCs w:val="16"/>
        </w:rPr>
        <w:t xml:space="preserve">23 </w:t>
      </w:r>
      <w:proofErr w:type="spellStart"/>
      <w:r>
        <w:rPr>
          <w:rFonts w:eastAsia="Times New Roman"/>
          <w:sz w:val="16"/>
          <w:szCs w:val="16"/>
        </w:rPr>
        <w:t>dmft</w:t>
      </w:r>
      <w:proofErr w:type="spellEnd"/>
      <w:r>
        <w:rPr>
          <w:rFonts w:eastAsia="Times New Roman"/>
          <w:sz w:val="16"/>
          <w:szCs w:val="16"/>
        </w:rPr>
        <w:t xml:space="preserve"> </w:t>
      </w:r>
      <w:r w:rsidRPr="004C34CE">
        <w:rPr>
          <w:rFonts w:eastAsia="Times New Roman"/>
          <w:sz w:val="16"/>
          <w:szCs w:val="16"/>
        </w:rPr>
        <w:t>(</w:t>
      </w:r>
      <w:r>
        <w:rPr>
          <w:rFonts w:eastAsia="Times New Roman"/>
          <w:sz w:val="16"/>
          <w:szCs w:val="16"/>
        </w:rPr>
        <w:t>8 decayed}</w:t>
      </w:r>
      <w:r w:rsidRPr="004C34CE">
        <w:rPr>
          <w:rFonts w:eastAsia="Times New Roman"/>
          <w:sz w:val="16"/>
          <w:szCs w:val="16"/>
        </w:rPr>
        <w:t xml:space="preserve">, </w:t>
      </w:r>
      <w:r>
        <w:rPr>
          <w:rFonts w:eastAsia="Times New Roman"/>
          <w:sz w:val="16"/>
          <w:szCs w:val="16"/>
        </w:rPr>
        <w:t>9missing</w:t>
      </w:r>
      <w:r w:rsidRPr="004C34CE">
        <w:rPr>
          <w:rFonts w:eastAsia="Times New Roman"/>
          <w:sz w:val="16"/>
          <w:szCs w:val="16"/>
        </w:rPr>
        <w:t xml:space="preserve">, </w:t>
      </w:r>
      <w:r>
        <w:rPr>
          <w:rFonts w:eastAsia="Times New Roman"/>
          <w:sz w:val="16"/>
          <w:szCs w:val="16"/>
        </w:rPr>
        <w:t>6 filled</w:t>
      </w:r>
      <w:r w:rsidRPr="004C34CE">
        <w:rPr>
          <w:rFonts w:eastAsia="Times New Roman"/>
          <w:sz w:val="16"/>
          <w:szCs w:val="16"/>
        </w:rPr>
        <w:t xml:space="preserve">) among </w:t>
      </w:r>
      <w:r>
        <w:rPr>
          <w:rFonts w:eastAsia="Times New Roman"/>
          <w:sz w:val="16"/>
          <w:szCs w:val="16"/>
        </w:rPr>
        <w:t xml:space="preserve"> 20 affected children</w:t>
      </w:r>
      <w:r w:rsidRPr="004C34CE">
        <w:rPr>
          <w:rFonts w:eastAsia="Times New Roman"/>
          <w:sz w:val="16"/>
          <w:szCs w:val="16"/>
        </w:rPr>
        <w:t xml:space="preserve"> (</w:t>
      </w:r>
      <w:r>
        <w:rPr>
          <w:rFonts w:eastAsia="Times New Roman"/>
          <w:sz w:val="16"/>
          <w:szCs w:val="16"/>
        </w:rPr>
        <w:t xml:space="preserve">mean </w:t>
      </w:r>
      <w:proofErr w:type="spellStart"/>
      <w:r>
        <w:rPr>
          <w:rFonts w:eastAsia="Times New Roman"/>
          <w:sz w:val="16"/>
          <w:szCs w:val="16"/>
        </w:rPr>
        <w:t>dmft</w:t>
      </w:r>
      <w:proofErr w:type="spellEnd"/>
      <w:r>
        <w:rPr>
          <w:rFonts w:eastAsia="Times New Roman"/>
          <w:sz w:val="16"/>
          <w:szCs w:val="16"/>
        </w:rPr>
        <w:t xml:space="preserve">  = 23 / 389 = 0.06</w:t>
      </w:r>
      <w:r w:rsidRPr="004C34CE">
        <w:rPr>
          <w:rFonts w:eastAsia="Times New Roman"/>
          <w:sz w:val="16"/>
          <w:szCs w:val="16"/>
        </w:rPr>
        <w:t>)</w:t>
      </w:r>
    </w:p>
    <w:p w14:paraId="49FD1BBA" w14:textId="77777777" w:rsidR="00581635" w:rsidRDefault="00317EF8">
      <w:pPr>
        <w:pStyle w:val="Normal1"/>
        <w:spacing w:after="120" w:line="264" w:lineRule="auto"/>
        <w:jc w:val="both"/>
      </w:pPr>
      <w:r>
        <w:t xml:space="preserve">The clinical prevalence of 5.1% and the mean </w:t>
      </w:r>
      <w:proofErr w:type="spellStart"/>
      <w:r>
        <w:t>dmft</w:t>
      </w:r>
      <w:proofErr w:type="spellEnd"/>
      <w:r>
        <w:t xml:space="preserve"> of 0.06 are much lower than global and African estimates (Uribe et al., 2021; Kimmie-</w:t>
      </w:r>
      <w:proofErr w:type="spellStart"/>
      <w:r>
        <w:t>Dhansay</w:t>
      </w:r>
      <w:proofErr w:type="spellEnd"/>
      <w:r>
        <w:t xml:space="preserve"> et al., 2026) and lower than pooled Nigerian estimates of 17–22% (Okolo et al., 2024; Orhorhoro et al., 2026). They are, however, close to community-based Nigerian findings of 4.7% and 4.3% (Folayan et al., 2021; Alade et al., 2021), which illustrates the heterogeneity of ECC across Nigerian settings and study methods. The observed prevalence is also far below the 35% assumed for the sample size calculation (</w:t>
      </w:r>
      <w:proofErr w:type="spellStart"/>
      <w:r>
        <w:t>Eigbobo</w:t>
      </w:r>
      <w:proofErr w:type="spellEnd"/>
      <w:r>
        <w:t xml:space="preserve"> &amp; Etim, 2015), so the number of clinically affected children (n = 20) is small. Because the </w:t>
      </w:r>
      <w:proofErr w:type="spellStart"/>
      <w:r>
        <w:t>dmft</w:t>
      </w:r>
      <w:proofErr w:type="spellEnd"/>
      <w:r>
        <w:t xml:space="preserve"> index records cavitated and treated lesions, early non-cavitated lesions are not captured, and a low </w:t>
      </w:r>
      <w:proofErr w:type="spellStart"/>
      <w:r>
        <w:t>dmft</w:t>
      </w:r>
      <w:proofErr w:type="spellEnd"/>
      <w:r>
        <w:t xml:space="preserve"> should not be read as an absence of risk.</w:t>
      </w:r>
    </w:p>
    <w:p w14:paraId="0E1D9B12" w14:textId="77777777" w:rsidR="00581635" w:rsidRDefault="00317EF8">
      <w:pPr>
        <w:pStyle w:val="Heading2"/>
        <w:keepNext/>
        <w:spacing w:before="200" w:after="100"/>
      </w:pPr>
      <w:r>
        <w:t>3.3 CAREGIVER-REPORTED DENTAL CARIES INDICATORS</w:t>
      </w:r>
    </w:p>
    <w:p w14:paraId="20D2CC9F" w14:textId="77777777" w:rsidR="00581635" w:rsidRDefault="00317EF8">
      <w:pPr>
        <w:pStyle w:val="Normal1"/>
        <w:spacing w:after="120" w:line="264" w:lineRule="auto"/>
        <w:jc w:val="both"/>
      </w:pPr>
      <w:r>
        <w:t>Table 3 shows the ten caregiver-reported indicators. Overall, 39.2% of all item responses were affirmative. The most frequently reported indicators were black or brown spots on the teeth (48.6%), a previous diagnosis of tooth decay by a health worker or dentist (47.8%), toothache (44.7%) and difficulty eating because of tooth pain (42.2%). A visible hole or cavity was reported by 38.8%, gum swelling by 38.0%, perceived current tooth decay by 35.7% and food trapping by 34.2%. Fewer caregivers reported broken or crumbling teeth (29.6%) or a visit to a health facility for a dental problem (31.9%). Using the composite score, 269 children (69.2%) were classified as positive for caregiver-reported caries.</w:t>
      </w:r>
    </w:p>
    <w:p w14:paraId="5200A363" w14:textId="77777777" w:rsidR="00581635" w:rsidRDefault="00317EF8">
      <w:pPr>
        <w:pStyle w:val="Normal1"/>
        <w:keepNext/>
        <w:spacing w:before="160" w:after="80"/>
      </w:pPr>
      <w:r>
        <w:rPr>
          <w:b/>
          <w:bCs/>
        </w:rPr>
        <w:t>Table 3.</w:t>
      </w:r>
      <w:r>
        <w:t> </w:t>
      </w:r>
      <w:r>
        <w:rPr>
          <w:b/>
          <w:bCs/>
        </w:rPr>
        <w:t>Caregiver-reported dental caries indicators among preschool children (N = 389)</w:t>
      </w:r>
    </w:p>
    <w:tbl>
      <w:tblPr>
        <w:tblStyle w:val="a1"/>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5508"/>
        <w:gridCol w:w="1350"/>
        <w:gridCol w:w="1350"/>
      </w:tblGrid>
      <w:tr w:rsidR="00581635" w14:paraId="1FEBAD1C" w14:textId="77777777">
        <w:trPr>
          <w:cantSplit/>
          <w:tblHeader/>
          <w:jc w:val="center"/>
        </w:trPr>
        <w:tc>
          <w:tcPr>
            <w:tcW w:w="5508" w:type="dxa"/>
            <w:tcBorders>
              <w:bottom w:val="single" w:sz="4" w:space="0" w:color="000000"/>
            </w:tcBorders>
            <w:tcMar>
              <w:top w:w="25" w:type="dxa"/>
              <w:left w:w="70" w:type="dxa"/>
              <w:bottom w:w="25" w:type="dxa"/>
              <w:right w:w="70" w:type="dxa"/>
            </w:tcMar>
            <w:vAlign w:val="center"/>
          </w:tcPr>
          <w:p w14:paraId="7D88EC92" w14:textId="77777777" w:rsidR="00581635" w:rsidRDefault="00317EF8">
            <w:pPr>
              <w:pStyle w:val="Normal1"/>
              <w:keepNext/>
            </w:pPr>
            <w:r>
              <w:rPr>
                <w:b/>
                <w:bCs/>
                <w:sz w:val="17"/>
                <w:szCs w:val="17"/>
              </w:rPr>
              <w:t>Statement</w:t>
            </w:r>
          </w:p>
        </w:tc>
        <w:tc>
          <w:tcPr>
            <w:tcW w:w="1350" w:type="dxa"/>
            <w:tcBorders>
              <w:bottom w:val="single" w:sz="4" w:space="0" w:color="000000"/>
            </w:tcBorders>
            <w:tcMar>
              <w:top w:w="25" w:type="dxa"/>
              <w:left w:w="70" w:type="dxa"/>
              <w:bottom w:w="25" w:type="dxa"/>
              <w:right w:w="70" w:type="dxa"/>
            </w:tcMar>
            <w:vAlign w:val="center"/>
          </w:tcPr>
          <w:p w14:paraId="08E8948E" w14:textId="77777777" w:rsidR="00581635" w:rsidRDefault="00317EF8">
            <w:pPr>
              <w:pStyle w:val="Normal1"/>
              <w:keepNext/>
              <w:jc w:val="center"/>
            </w:pPr>
            <w:r>
              <w:rPr>
                <w:b/>
                <w:bCs/>
                <w:sz w:val="17"/>
                <w:szCs w:val="17"/>
              </w:rPr>
              <w:t>No, n (%)</w:t>
            </w:r>
          </w:p>
        </w:tc>
        <w:tc>
          <w:tcPr>
            <w:tcW w:w="1350" w:type="dxa"/>
            <w:tcBorders>
              <w:bottom w:val="single" w:sz="4" w:space="0" w:color="000000"/>
            </w:tcBorders>
            <w:tcMar>
              <w:top w:w="25" w:type="dxa"/>
              <w:left w:w="70" w:type="dxa"/>
              <w:bottom w:w="25" w:type="dxa"/>
              <w:right w:w="70" w:type="dxa"/>
            </w:tcMar>
            <w:vAlign w:val="center"/>
          </w:tcPr>
          <w:p w14:paraId="5D97B445" w14:textId="77777777" w:rsidR="00581635" w:rsidRDefault="00317EF8">
            <w:pPr>
              <w:pStyle w:val="Normal1"/>
              <w:keepNext/>
              <w:jc w:val="center"/>
            </w:pPr>
            <w:r>
              <w:rPr>
                <w:b/>
                <w:bCs/>
                <w:sz w:val="17"/>
                <w:szCs w:val="17"/>
              </w:rPr>
              <w:t>Yes, n (%)</w:t>
            </w:r>
          </w:p>
        </w:tc>
      </w:tr>
      <w:tr w:rsidR="00581635" w14:paraId="2681F44B" w14:textId="77777777">
        <w:trPr>
          <w:cantSplit/>
          <w:tblHeader/>
          <w:jc w:val="center"/>
        </w:trPr>
        <w:tc>
          <w:tcPr>
            <w:tcW w:w="5508" w:type="dxa"/>
            <w:tcMar>
              <w:top w:w="25" w:type="dxa"/>
              <w:left w:w="70" w:type="dxa"/>
              <w:bottom w:w="25" w:type="dxa"/>
              <w:right w:w="70" w:type="dxa"/>
            </w:tcMar>
            <w:vAlign w:val="center"/>
          </w:tcPr>
          <w:p w14:paraId="2F5CD02F" w14:textId="77777777" w:rsidR="00581635" w:rsidRDefault="00317EF8">
            <w:pPr>
              <w:pStyle w:val="Normal1"/>
              <w:keepNext/>
            </w:pPr>
            <w:r>
              <w:rPr>
                <w:sz w:val="17"/>
                <w:szCs w:val="17"/>
              </w:rPr>
              <w:t>Child ever had tooth decay (cavity) diagnosed by a health worker or dentist</w:t>
            </w:r>
          </w:p>
        </w:tc>
        <w:tc>
          <w:tcPr>
            <w:tcW w:w="1350" w:type="dxa"/>
            <w:tcMar>
              <w:top w:w="25" w:type="dxa"/>
              <w:left w:w="70" w:type="dxa"/>
              <w:bottom w:w="25" w:type="dxa"/>
              <w:right w:w="70" w:type="dxa"/>
            </w:tcMar>
            <w:vAlign w:val="center"/>
          </w:tcPr>
          <w:p w14:paraId="16AB59B8" w14:textId="77777777" w:rsidR="00581635" w:rsidRDefault="00317EF8">
            <w:pPr>
              <w:pStyle w:val="Normal1"/>
              <w:keepNext/>
              <w:jc w:val="center"/>
            </w:pPr>
            <w:r>
              <w:rPr>
                <w:sz w:val="17"/>
                <w:szCs w:val="17"/>
              </w:rPr>
              <w:t>203 (52.2)</w:t>
            </w:r>
          </w:p>
        </w:tc>
        <w:tc>
          <w:tcPr>
            <w:tcW w:w="1350" w:type="dxa"/>
            <w:tcMar>
              <w:top w:w="25" w:type="dxa"/>
              <w:left w:w="70" w:type="dxa"/>
              <w:bottom w:w="25" w:type="dxa"/>
              <w:right w:w="70" w:type="dxa"/>
            </w:tcMar>
            <w:vAlign w:val="center"/>
          </w:tcPr>
          <w:p w14:paraId="469D95A0" w14:textId="77777777" w:rsidR="00581635" w:rsidRDefault="00317EF8">
            <w:pPr>
              <w:pStyle w:val="Normal1"/>
              <w:keepNext/>
              <w:jc w:val="center"/>
            </w:pPr>
            <w:r>
              <w:rPr>
                <w:sz w:val="17"/>
                <w:szCs w:val="17"/>
              </w:rPr>
              <w:t>186 (47.8)</w:t>
            </w:r>
          </w:p>
        </w:tc>
      </w:tr>
      <w:tr w:rsidR="00581635" w14:paraId="60B51B07" w14:textId="77777777">
        <w:trPr>
          <w:cantSplit/>
          <w:tblHeader/>
          <w:jc w:val="center"/>
        </w:trPr>
        <w:tc>
          <w:tcPr>
            <w:tcW w:w="5508" w:type="dxa"/>
            <w:tcMar>
              <w:top w:w="25" w:type="dxa"/>
              <w:left w:w="70" w:type="dxa"/>
              <w:bottom w:w="25" w:type="dxa"/>
              <w:right w:w="70" w:type="dxa"/>
            </w:tcMar>
            <w:vAlign w:val="center"/>
          </w:tcPr>
          <w:p w14:paraId="62859A91" w14:textId="77777777" w:rsidR="00581635" w:rsidRDefault="00317EF8">
            <w:pPr>
              <w:pStyle w:val="Normal1"/>
              <w:keepNext/>
            </w:pPr>
            <w:r>
              <w:rPr>
                <w:sz w:val="17"/>
                <w:szCs w:val="17"/>
              </w:rPr>
              <w:t>Ever noticed a hole or cavity in any of the child’s teeth</w:t>
            </w:r>
          </w:p>
        </w:tc>
        <w:tc>
          <w:tcPr>
            <w:tcW w:w="1350" w:type="dxa"/>
            <w:tcMar>
              <w:top w:w="25" w:type="dxa"/>
              <w:left w:w="70" w:type="dxa"/>
              <w:bottom w:w="25" w:type="dxa"/>
              <w:right w:w="70" w:type="dxa"/>
            </w:tcMar>
            <w:vAlign w:val="center"/>
          </w:tcPr>
          <w:p w14:paraId="3A8784CB" w14:textId="77777777" w:rsidR="00581635" w:rsidRDefault="00317EF8">
            <w:pPr>
              <w:pStyle w:val="Normal1"/>
              <w:keepNext/>
              <w:jc w:val="center"/>
            </w:pPr>
            <w:r>
              <w:rPr>
                <w:sz w:val="17"/>
                <w:szCs w:val="17"/>
              </w:rPr>
              <w:t>238 (61.2)</w:t>
            </w:r>
          </w:p>
        </w:tc>
        <w:tc>
          <w:tcPr>
            <w:tcW w:w="1350" w:type="dxa"/>
            <w:tcMar>
              <w:top w:w="25" w:type="dxa"/>
              <w:left w:w="70" w:type="dxa"/>
              <w:bottom w:w="25" w:type="dxa"/>
              <w:right w:w="70" w:type="dxa"/>
            </w:tcMar>
            <w:vAlign w:val="center"/>
          </w:tcPr>
          <w:p w14:paraId="7BFE2A99" w14:textId="77777777" w:rsidR="00581635" w:rsidRDefault="00317EF8">
            <w:pPr>
              <w:pStyle w:val="Normal1"/>
              <w:keepNext/>
              <w:jc w:val="center"/>
            </w:pPr>
            <w:r>
              <w:rPr>
                <w:sz w:val="17"/>
                <w:szCs w:val="17"/>
              </w:rPr>
              <w:t>151 (38.8)</w:t>
            </w:r>
          </w:p>
        </w:tc>
      </w:tr>
      <w:tr w:rsidR="00581635" w14:paraId="0AA9C7FE" w14:textId="77777777">
        <w:trPr>
          <w:cantSplit/>
          <w:tblHeader/>
          <w:jc w:val="center"/>
        </w:trPr>
        <w:tc>
          <w:tcPr>
            <w:tcW w:w="5508" w:type="dxa"/>
            <w:tcMar>
              <w:top w:w="25" w:type="dxa"/>
              <w:left w:w="70" w:type="dxa"/>
              <w:bottom w:w="25" w:type="dxa"/>
              <w:right w:w="70" w:type="dxa"/>
            </w:tcMar>
            <w:vAlign w:val="center"/>
          </w:tcPr>
          <w:p w14:paraId="1EDAC7AB" w14:textId="77777777" w:rsidR="00581635" w:rsidRDefault="00317EF8">
            <w:pPr>
              <w:pStyle w:val="Normal1"/>
              <w:keepNext/>
            </w:pPr>
            <w:r>
              <w:rPr>
                <w:sz w:val="17"/>
                <w:szCs w:val="17"/>
              </w:rPr>
              <w:t>Noticed black or brown spots on any of the child’s teeth</w:t>
            </w:r>
          </w:p>
        </w:tc>
        <w:tc>
          <w:tcPr>
            <w:tcW w:w="1350" w:type="dxa"/>
            <w:tcMar>
              <w:top w:w="25" w:type="dxa"/>
              <w:left w:w="70" w:type="dxa"/>
              <w:bottom w:w="25" w:type="dxa"/>
              <w:right w:w="70" w:type="dxa"/>
            </w:tcMar>
            <w:vAlign w:val="center"/>
          </w:tcPr>
          <w:p w14:paraId="4A2AA2B8" w14:textId="77777777" w:rsidR="00581635" w:rsidRDefault="00317EF8">
            <w:pPr>
              <w:pStyle w:val="Normal1"/>
              <w:keepNext/>
              <w:jc w:val="center"/>
            </w:pPr>
            <w:r>
              <w:rPr>
                <w:sz w:val="17"/>
                <w:szCs w:val="17"/>
              </w:rPr>
              <w:t>200 (51.4)</w:t>
            </w:r>
          </w:p>
        </w:tc>
        <w:tc>
          <w:tcPr>
            <w:tcW w:w="1350" w:type="dxa"/>
            <w:tcMar>
              <w:top w:w="25" w:type="dxa"/>
              <w:left w:w="70" w:type="dxa"/>
              <w:bottom w:w="25" w:type="dxa"/>
              <w:right w:w="70" w:type="dxa"/>
            </w:tcMar>
            <w:vAlign w:val="center"/>
          </w:tcPr>
          <w:p w14:paraId="60B13E24" w14:textId="77777777" w:rsidR="00581635" w:rsidRDefault="00317EF8">
            <w:pPr>
              <w:pStyle w:val="Normal1"/>
              <w:keepNext/>
              <w:jc w:val="center"/>
            </w:pPr>
            <w:r>
              <w:rPr>
                <w:sz w:val="17"/>
                <w:szCs w:val="17"/>
              </w:rPr>
              <w:t>189 (48.6)</w:t>
            </w:r>
          </w:p>
        </w:tc>
      </w:tr>
      <w:tr w:rsidR="00581635" w14:paraId="4DCB1DAE" w14:textId="77777777">
        <w:trPr>
          <w:cantSplit/>
          <w:tblHeader/>
          <w:jc w:val="center"/>
        </w:trPr>
        <w:tc>
          <w:tcPr>
            <w:tcW w:w="5508" w:type="dxa"/>
            <w:tcMar>
              <w:top w:w="25" w:type="dxa"/>
              <w:left w:w="70" w:type="dxa"/>
              <w:bottom w:w="25" w:type="dxa"/>
              <w:right w:w="70" w:type="dxa"/>
            </w:tcMar>
            <w:vAlign w:val="center"/>
          </w:tcPr>
          <w:p w14:paraId="2E6A17BE" w14:textId="77777777" w:rsidR="00581635" w:rsidRDefault="00317EF8">
            <w:pPr>
              <w:pStyle w:val="Normal1"/>
              <w:keepNext/>
            </w:pPr>
            <w:r>
              <w:rPr>
                <w:sz w:val="17"/>
                <w:szCs w:val="17"/>
              </w:rPr>
              <w:t>Child ever complained of tooth pain or toothache</w:t>
            </w:r>
          </w:p>
        </w:tc>
        <w:tc>
          <w:tcPr>
            <w:tcW w:w="1350" w:type="dxa"/>
            <w:tcMar>
              <w:top w:w="25" w:type="dxa"/>
              <w:left w:w="70" w:type="dxa"/>
              <w:bottom w:w="25" w:type="dxa"/>
              <w:right w:w="70" w:type="dxa"/>
            </w:tcMar>
            <w:vAlign w:val="center"/>
          </w:tcPr>
          <w:p w14:paraId="371D9DE7" w14:textId="77777777" w:rsidR="00581635" w:rsidRDefault="00317EF8">
            <w:pPr>
              <w:pStyle w:val="Normal1"/>
              <w:keepNext/>
              <w:jc w:val="center"/>
            </w:pPr>
            <w:r>
              <w:rPr>
                <w:sz w:val="17"/>
                <w:szCs w:val="17"/>
              </w:rPr>
              <w:t>215 (55.3)</w:t>
            </w:r>
          </w:p>
        </w:tc>
        <w:tc>
          <w:tcPr>
            <w:tcW w:w="1350" w:type="dxa"/>
            <w:tcMar>
              <w:top w:w="25" w:type="dxa"/>
              <w:left w:w="70" w:type="dxa"/>
              <w:bottom w:w="25" w:type="dxa"/>
              <w:right w:w="70" w:type="dxa"/>
            </w:tcMar>
            <w:vAlign w:val="center"/>
          </w:tcPr>
          <w:p w14:paraId="063F8482" w14:textId="77777777" w:rsidR="00581635" w:rsidRDefault="00317EF8">
            <w:pPr>
              <w:pStyle w:val="Normal1"/>
              <w:keepNext/>
              <w:jc w:val="center"/>
            </w:pPr>
            <w:r>
              <w:rPr>
                <w:sz w:val="17"/>
                <w:szCs w:val="17"/>
              </w:rPr>
              <w:t>174 (44.7)</w:t>
            </w:r>
          </w:p>
        </w:tc>
      </w:tr>
      <w:tr w:rsidR="00581635" w14:paraId="3289B201" w14:textId="77777777">
        <w:trPr>
          <w:cantSplit/>
          <w:tblHeader/>
          <w:jc w:val="center"/>
        </w:trPr>
        <w:tc>
          <w:tcPr>
            <w:tcW w:w="5508" w:type="dxa"/>
            <w:tcMar>
              <w:top w:w="25" w:type="dxa"/>
              <w:left w:w="70" w:type="dxa"/>
              <w:bottom w:w="25" w:type="dxa"/>
              <w:right w:w="70" w:type="dxa"/>
            </w:tcMar>
            <w:vAlign w:val="center"/>
          </w:tcPr>
          <w:p w14:paraId="043E8DBB" w14:textId="77777777" w:rsidR="00581635" w:rsidRDefault="00317EF8">
            <w:pPr>
              <w:pStyle w:val="Normal1"/>
              <w:keepNext/>
            </w:pPr>
            <w:r>
              <w:rPr>
                <w:sz w:val="17"/>
                <w:szCs w:val="17"/>
              </w:rPr>
              <w:t>Child ever had swelling of the gums or around a tooth</w:t>
            </w:r>
          </w:p>
        </w:tc>
        <w:tc>
          <w:tcPr>
            <w:tcW w:w="1350" w:type="dxa"/>
            <w:tcMar>
              <w:top w:w="25" w:type="dxa"/>
              <w:left w:w="70" w:type="dxa"/>
              <w:bottom w:w="25" w:type="dxa"/>
              <w:right w:w="70" w:type="dxa"/>
            </w:tcMar>
            <w:vAlign w:val="center"/>
          </w:tcPr>
          <w:p w14:paraId="6ECFF986" w14:textId="77777777" w:rsidR="00581635" w:rsidRDefault="00317EF8">
            <w:pPr>
              <w:pStyle w:val="Normal1"/>
              <w:keepNext/>
              <w:jc w:val="center"/>
            </w:pPr>
            <w:r>
              <w:rPr>
                <w:sz w:val="17"/>
                <w:szCs w:val="17"/>
              </w:rPr>
              <w:t>241 (62.0)</w:t>
            </w:r>
          </w:p>
        </w:tc>
        <w:tc>
          <w:tcPr>
            <w:tcW w:w="1350" w:type="dxa"/>
            <w:tcMar>
              <w:top w:w="25" w:type="dxa"/>
              <w:left w:w="70" w:type="dxa"/>
              <w:bottom w:w="25" w:type="dxa"/>
              <w:right w:w="70" w:type="dxa"/>
            </w:tcMar>
            <w:vAlign w:val="center"/>
          </w:tcPr>
          <w:p w14:paraId="3BA48B88" w14:textId="77777777" w:rsidR="00581635" w:rsidRDefault="00317EF8">
            <w:pPr>
              <w:pStyle w:val="Normal1"/>
              <w:keepNext/>
              <w:jc w:val="center"/>
            </w:pPr>
            <w:r>
              <w:rPr>
                <w:sz w:val="17"/>
                <w:szCs w:val="17"/>
              </w:rPr>
              <w:t>148 (38.0)</w:t>
            </w:r>
          </w:p>
        </w:tc>
      </w:tr>
      <w:tr w:rsidR="00581635" w14:paraId="42F82A8B" w14:textId="77777777">
        <w:trPr>
          <w:cantSplit/>
          <w:tblHeader/>
          <w:jc w:val="center"/>
        </w:trPr>
        <w:tc>
          <w:tcPr>
            <w:tcW w:w="5508" w:type="dxa"/>
            <w:tcMar>
              <w:top w:w="25" w:type="dxa"/>
              <w:left w:w="70" w:type="dxa"/>
              <w:bottom w:w="25" w:type="dxa"/>
              <w:right w:w="70" w:type="dxa"/>
            </w:tcMar>
            <w:vAlign w:val="center"/>
          </w:tcPr>
          <w:p w14:paraId="677EA2C8" w14:textId="77777777" w:rsidR="00581635" w:rsidRDefault="00317EF8">
            <w:pPr>
              <w:pStyle w:val="Normal1"/>
              <w:keepNext/>
            </w:pPr>
            <w:r>
              <w:rPr>
                <w:sz w:val="17"/>
                <w:szCs w:val="17"/>
              </w:rPr>
              <w:t>Child ever had difficulty eating because of tooth pain</w:t>
            </w:r>
          </w:p>
        </w:tc>
        <w:tc>
          <w:tcPr>
            <w:tcW w:w="1350" w:type="dxa"/>
            <w:tcMar>
              <w:top w:w="25" w:type="dxa"/>
              <w:left w:w="70" w:type="dxa"/>
              <w:bottom w:w="25" w:type="dxa"/>
              <w:right w:w="70" w:type="dxa"/>
            </w:tcMar>
            <w:vAlign w:val="center"/>
          </w:tcPr>
          <w:p w14:paraId="0037CB5F" w14:textId="77777777" w:rsidR="00581635" w:rsidRDefault="00317EF8">
            <w:pPr>
              <w:pStyle w:val="Normal1"/>
              <w:keepNext/>
              <w:jc w:val="center"/>
            </w:pPr>
            <w:r>
              <w:rPr>
                <w:sz w:val="17"/>
                <w:szCs w:val="17"/>
              </w:rPr>
              <w:t>225 (57.8)</w:t>
            </w:r>
          </w:p>
        </w:tc>
        <w:tc>
          <w:tcPr>
            <w:tcW w:w="1350" w:type="dxa"/>
            <w:tcMar>
              <w:top w:w="25" w:type="dxa"/>
              <w:left w:w="70" w:type="dxa"/>
              <w:bottom w:w="25" w:type="dxa"/>
              <w:right w:w="70" w:type="dxa"/>
            </w:tcMar>
            <w:vAlign w:val="center"/>
          </w:tcPr>
          <w:p w14:paraId="7781A086" w14:textId="77777777" w:rsidR="00581635" w:rsidRDefault="00317EF8">
            <w:pPr>
              <w:pStyle w:val="Normal1"/>
              <w:keepNext/>
              <w:jc w:val="center"/>
            </w:pPr>
            <w:r>
              <w:rPr>
                <w:sz w:val="17"/>
                <w:szCs w:val="17"/>
              </w:rPr>
              <w:t>164 (42.2)</w:t>
            </w:r>
          </w:p>
        </w:tc>
      </w:tr>
      <w:tr w:rsidR="00581635" w14:paraId="5152C76B" w14:textId="77777777">
        <w:trPr>
          <w:cantSplit/>
          <w:tblHeader/>
          <w:jc w:val="center"/>
        </w:trPr>
        <w:tc>
          <w:tcPr>
            <w:tcW w:w="5508" w:type="dxa"/>
            <w:tcMar>
              <w:top w:w="25" w:type="dxa"/>
              <w:left w:w="70" w:type="dxa"/>
              <w:bottom w:w="25" w:type="dxa"/>
              <w:right w:w="70" w:type="dxa"/>
            </w:tcMar>
            <w:vAlign w:val="center"/>
          </w:tcPr>
          <w:p w14:paraId="4584F415" w14:textId="77777777" w:rsidR="00581635" w:rsidRDefault="00317EF8">
            <w:pPr>
              <w:pStyle w:val="Normal1"/>
              <w:keepNext/>
            </w:pPr>
            <w:r>
              <w:rPr>
                <w:sz w:val="17"/>
                <w:szCs w:val="17"/>
              </w:rPr>
              <w:t>Any of the child’s teeth ever broken or crumbled due to decay</w:t>
            </w:r>
          </w:p>
        </w:tc>
        <w:tc>
          <w:tcPr>
            <w:tcW w:w="1350" w:type="dxa"/>
            <w:tcMar>
              <w:top w:w="25" w:type="dxa"/>
              <w:left w:w="70" w:type="dxa"/>
              <w:bottom w:w="25" w:type="dxa"/>
              <w:right w:w="70" w:type="dxa"/>
            </w:tcMar>
            <w:vAlign w:val="center"/>
          </w:tcPr>
          <w:p w14:paraId="18949E73" w14:textId="77777777" w:rsidR="00581635" w:rsidRDefault="00317EF8">
            <w:pPr>
              <w:pStyle w:val="Normal1"/>
              <w:keepNext/>
              <w:jc w:val="center"/>
            </w:pPr>
            <w:r>
              <w:rPr>
                <w:sz w:val="17"/>
                <w:szCs w:val="17"/>
              </w:rPr>
              <w:t>274 (70.4)</w:t>
            </w:r>
          </w:p>
        </w:tc>
        <w:tc>
          <w:tcPr>
            <w:tcW w:w="1350" w:type="dxa"/>
            <w:tcMar>
              <w:top w:w="25" w:type="dxa"/>
              <w:left w:w="70" w:type="dxa"/>
              <w:bottom w:w="25" w:type="dxa"/>
              <w:right w:w="70" w:type="dxa"/>
            </w:tcMar>
            <w:vAlign w:val="center"/>
          </w:tcPr>
          <w:p w14:paraId="188F6CEF" w14:textId="77777777" w:rsidR="00581635" w:rsidRDefault="00317EF8">
            <w:pPr>
              <w:pStyle w:val="Normal1"/>
              <w:keepNext/>
              <w:jc w:val="center"/>
            </w:pPr>
            <w:r>
              <w:rPr>
                <w:sz w:val="17"/>
                <w:szCs w:val="17"/>
              </w:rPr>
              <w:t>115 (29.6)</w:t>
            </w:r>
          </w:p>
        </w:tc>
      </w:tr>
      <w:tr w:rsidR="00581635" w14:paraId="2E12349E" w14:textId="77777777">
        <w:trPr>
          <w:cantSplit/>
          <w:tblHeader/>
          <w:jc w:val="center"/>
        </w:trPr>
        <w:tc>
          <w:tcPr>
            <w:tcW w:w="5508" w:type="dxa"/>
            <w:tcMar>
              <w:top w:w="25" w:type="dxa"/>
              <w:left w:w="70" w:type="dxa"/>
              <w:bottom w:w="25" w:type="dxa"/>
              <w:right w:w="70" w:type="dxa"/>
            </w:tcMar>
            <w:vAlign w:val="center"/>
          </w:tcPr>
          <w:p w14:paraId="6FB92F5B" w14:textId="77777777" w:rsidR="00581635" w:rsidRDefault="00317EF8">
            <w:pPr>
              <w:pStyle w:val="Normal1"/>
              <w:keepNext/>
            </w:pPr>
            <w:r>
              <w:rPr>
                <w:sz w:val="17"/>
                <w:szCs w:val="17"/>
              </w:rPr>
              <w:t>Child ever visited a health facility because of a dental problem</w:t>
            </w:r>
          </w:p>
        </w:tc>
        <w:tc>
          <w:tcPr>
            <w:tcW w:w="1350" w:type="dxa"/>
            <w:tcMar>
              <w:top w:w="25" w:type="dxa"/>
              <w:left w:w="70" w:type="dxa"/>
              <w:bottom w:w="25" w:type="dxa"/>
              <w:right w:w="70" w:type="dxa"/>
            </w:tcMar>
            <w:vAlign w:val="center"/>
          </w:tcPr>
          <w:p w14:paraId="2E5AADF2" w14:textId="77777777" w:rsidR="00581635" w:rsidRDefault="00317EF8">
            <w:pPr>
              <w:pStyle w:val="Normal1"/>
              <w:keepNext/>
              <w:jc w:val="center"/>
            </w:pPr>
            <w:r>
              <w:rPr>
                <w:sz w:val="17"/>
                <w:szCs w:val="17"/>
              </w:rPr>
              <w:t>265 (68.1)</w:t>
            </w:r>
          </w:p>
        </w:tc>
        <w:tc>
          <w:tcPr>
            <w:tcW w:w="1350" w:type="dxa"/>
            <w:tcMar>
              <w:top w:w="25" w:type="dxa"/>
              <w:left w:w="70" w:type="dxa"/>
              <w:bottom w:w="25" w:type="dxa"/>
              <w:right w:w="70" w:type="dxa"/>
            </w:tcMar>
            <w:vAlign w:val="center"/>
          </w:tcPr>
          <w:p w14:paraId="67CFE85D" w14:textId="77777777" w:rsidR="00581635" w:rsidRDefault="00317EF8">
            <w:pPr>
              <w:pStyle w:val="Normal1"/>
              <w:keepNext/>
              <w:jc w:val="center"/>
            </w:pPr>
            <w:r>
              <w:rPr>
                <w:sz w:val="17"/>
                <w:szCs w:val="17"/>
              </w:rPr>
              <w:t>124 (31.9)</w:t>
            </w:r>
          </w:p>
        </w:tc>
      </w:tr>
      <w:tr w:rsidR="00581635" w14:paraId="1D94F3A5" w14:textId="77777777">
        <w:trPr>
          <w:cantSplit/>
          <w:tblHeader/>
          <w:jc w:val="center"/>
        </w:trPr>
        <w:tc>
          <w:tcPr>
            <w:tcW w:w="5508" w:type="dxa"/>
            <w:tcMar>
              <w:top w:w="25" w:type="dxa"/>
              <w:left w:w="70" w:type="dxa"/>
              <w:bottom w:w="25" w:type="dxa"/>
              <w:right w:w="70" w:type="dxa"/>
            </w:tcMar>
            <w:vAlign w:val="center"/>
          </w:tcPr>
          <w:p w14:paraId="0B795C68" w14:textId="77777777" w:rsidR="00581635" w:rsidRDefault="00317EF8">
            <w:pPr>
              <w:pStyle w:val="Normal1"/>
              <w:keepNext/>
            </w:pPr>
            <w:r>
              <w:rPr>
                <w:sz w:val="17"/>
                <w:szCs w:val="17"/>
              </w:rPr>
              <w:t>Ever noticed food getting stuck in holes in the child’s teeth</w:t>
            </w:r>
          </w:p>
        </w:tc>
        <w:tc>
          <w:tcPr>
            <w:tcW w:w="1350" w:type="dxa"/>
            <w:tcMar>
              <w:top w:w="25" w:type="dxa"/>
              <w:left w:w="70" w:type="dxa"/>
              <w:bottom w:w="25" w:type="dxa"/>
              <w:right w:w="70" w:type="dxa"/>
            </w:tcMar>
            <w:vAlign w:val="center"/>
          </w:tcPr>
          <w:p w14:paraId="49DAAE70" w14:textId="77777777" w:rsidR="00581635" w:rsidRDefault="00317EF8">
            <w:pPr>
              <w:pStyle w:val="Normal1"/>
              <w:keepNext/>
              <w:jc w:val="center"/>
            </w:pPr>
            <w:r>
              <w:rPr>
                <w:sz w:val="17"/>
                <w:szCs w:val="17"/>
              </w:rPr>
              <w:t>256 (65.8)</w:t>
            </w:r>
          </w:p>
        </w:tc>
        <w:tc>
          <w:tcPr>
            <w:tcW w:w="1350" w:type="dxa"/>
            <w:tcMar>
              <w:top w:w="25" w:type="dxa"/>
              <w:left w:w="70" w:type="dxa"/>
              <w:bottom w:w="25" w:type="dxa"/>
              <w:right w:w="70" w:type="dxa"/>
            </w:tcMar>
            <w:vAlign w:val="center"/>
          </w:tcPr>
          <w:p w14:paraId="6562E26A" w14:textId="77777777" w:rsidR="00581635" w:rsidRDefault="00317EF8">
            <w:pPr>
              <w:pStyle w:val="Normal1"/>
              <w:keepNext/>
              <w:jc w:val="center"/>
            </w:pPr>
            <w:r>
              <w:rPr>
                <w:sz w:val="17"/>
                <w:szCs w:val="17"/>
              </w:rPr>
              <w:t>133 (34.2)</w:t>
            </w:r>
          </w:p>
        </w:tc>
      </w:tr>
      <w:tr w:rsidR="00581635" w14:paraId="185E0DA3" w14:textId="77777777">
        <w:trPr>
          <w:cantSplit/>
          <w:tblHeader/>
          <w:jc w:val="center"/>
        </w:trPr>
        <w:tc>
          <w:tcPr>
            <w:tcW w:w="5508" w:type="dxa"/>
            <w:tcMar>
              <w:top w:w="25" w:type="dxa"/>
              <w:left w:w="70" w:type="dxa"/>
              <w:bottom w:w="25" w:type="dxa"/>
              <w:right w:w="70" w:type="dxa"/>
            </w:tcMar>
            <w:vAlign w:val="center"/>
          </w:tcPr>
          <w:p w14:paraId="7653D36F" w14:textId="77777777" w:rsidR="00581635" w:rsidRDefault="00317EF8">
            <w:pPr>
              <w:pStyle w:val="Normal1"/>
              <w:keepNext/>
            </w:pPr>
            <w:r>
              <w:rPr>
                <w:sz w:val="17"/>
                <w:szCs w:val="17"/>
              </w:rPr>
              <w:t>Caregiver thinks the child currently has tooth decay</w:t>
            </w:r>
          </w:p>
        </w:tc>
        <w:tc>
          <w:tcPr>
            <w:tcW w:w="1350" w:type="dxa"/>
            <w:tcMar>
              <w:top w:w="25" w:type="dxa"/>
              <w:left w:w="70" w:type="dxa"/>
              <w:bottom w:w="25" w:type="dxa"/>
              <w:right w:w="70" w:type="dxa"/>
            </w:tcMar>
            <w:vAlign w:val="center"/>
          </w:tcPr>
          <w:p w14:paraId="08E34901" w14:textId="77777777" w:rsidR="00581635" w:rsidRDefault="00317EF8">
            <w:pPr>
              <w:pStyle w:val="Normal1"/>
              <w:keepNext/>
              <w:jc w:val="center"/>
            </w:pPr>
            <w:r>
              <w:rPr>
                <w:sz w:val="17"/>
                <w:szCs w:val="17"/>
              </w:rPr>
              <w:t>250 (64.3)</w:t>
            </w:r>
          </w:p>
        </w:tc>
        <w:tc>
          <w:tcPr>
            <w:tcW w:w="1350" w:type="dxa"/>
            <w:tcMar>
              <w:top w:w="25" w:type="dxa"/>
              <w:left w:w="70" w:type="dxa"/>
              <w:bottom w:w="25" w:type="dxa"/>
              <w:right w:w="70" w:type="dxa"/>
            </w:tcMar>
            <w:vAlign w:val="center"/>
          </w:tcPr>
          <w:p w14:paraId="127472A0" w14:textId="77777777" w:rsidR="00581635" w:rsidRDefault="00317EF8">
            <w:pPr>
              <w:pStyle w:val="Normal1"/>
              <w:keepNext/>
              <w:jc w:val="center"/>
            </w:pPr>
            <w:r>
              <w:rPr>
                <w:sz w:val="17"/>
                <w:szCs w:val="17"/>
              </w:rPr>
              <w:t>139 (35.7)</w:t>
            </w:r>
          </w:p>
        </w:tc>
      </w:tr>
      <w:tr w:rsidR="00581635" w14:paraId="1F54A55A" w14:textId="77777777">
        <w:trPr>
          <w:cantSplit/>
          <w:tblHeader/>
          <w:jc w:val="center"/>
        </w:trPr>
        <w:tc>
          <w:tcPr>
            <w:tcW w:w="5508" w:type="dxa"/>
            <w:tcMar>
              <w:top w:w="25" w:type="dxa"/>
              <w:left w:w="70" w:type="dxa"/>
              <w:bottom w:w="25" w:type="dxa"/>
              <w:right w:w="70" w:type="dxa"/>
            </w:tcMar>
            <w:vAlign w:val="center"/>
          </w:tcPr>
          <w:p w14:paraId="6B3DF1D1" w14:textId="77777777" w:rsidR="00581635" w:rsidRDefault="00317EF8">
            <w:pPr>
              <w:pStyle w:val="Normal1"/>
            </w:pPr>
            <w:r>
              <w:rPr>
                <w:b/>
                <w:bCs/>
                <w:sz w:val="17"/>
                <w:szCs w:val="17"/>
              </w:rPr>
              <w:t>Total (item responses)</w:t>
            </w:r>
          </w:p>
        </w:tc>
        <w:tc>
          <w:tcPr>
            <w:tcW w:w="1350" w:type="dxa"/>
            <w:tcMar>
              <w:top w:w="25" w:type="dxa"/>
              <w:left w:w="70" w:type="dxa"/>
              <w:bottom w:w="25" w:type="dxa"/>
              <w:right w:w="70" w:type="dxa"/>
            </w:tcMar>
            <w:vAlign w:val="center"/>
          </w:tcPr>
          <w:p w14:paraId="4272C354" w14:textId="77777777" w:rsidR="00581635" w:rsidRDefault="00317EF8">
            <w:pPr>
              <w:pStyle w:val="Normal1"/>
              <w:jc w:val="center"/>
            </w:pPr>
            <w:r>
              <w:rPr>
                <w:b/>
                <w:bCs/>
                <w:sz w:val="17"/>
                <w:szCs w:val="17"/>
              </w:rPr>
              <w:t>2367 (60.8)</w:t>
            </w:r>
          </w:p>
        </w:tc>
        <w:tc>
          <w:tcPr>
            <w:tcW w:w="1350" w:type="dxa"/>
            <w:tcMar>
              <w:top w:w="25" w:type="dxa"/>
              <w:left w:w="70" w:type="dxa"/>
              <w:bottom w:w="25" w:type="dxa"/>
              <w:right w:w="70" w:type="dxa"/>
            </w:tcMar>
            <w:vAlign w:val="center"/>
          </w:tcPr>
          <w:p w14:paraId="47BC56A4" w14:textId="77777777" w:rsidR="00581635" w:rsidRDefault="00317EF8">
            <w:pPr>
              <w:pStyle w:val="Normal1"/>
              <w:jc w:val="center"/>
            </w:pPr>
            <w:r>
              <w:rPr>
                <w:b/>
                <w:bCs/>
                <w:sz w:val="17"/>
                <w:szCs w:val="17"/>
              </w:rPr>
              <w:t>1523 (39.2)</w:t>
            </w:r>
          </w:p>
        </w:tc>
      </w:tr>
    </w:tbl>
    <w:p w14:paraId="0D582406" w14:textId="77777777" w:rsidR="00581635" w:rsidRDefault="00317EF8">
      <w:pPr>
        <w:pStyle w:val="Normal1"/>
        <w:spacing w:before="60" w:after="200"/>
        <w:jc w:val="both"/>
      </w:pPr>
      <w:r>
        <w:rPr>
          <w:sz w:val="16"/>
          <w:szCs w:val="16"/>
        </w:rPr>
        <w:t>Percentages are of 389 children per item and of 3,890 item responses in the total row.</w:t>
      </w:r>
    </w:p>
    <w:p w14:paraId="096AA1BF" w14:textId="77777777" w:rsidR="00581635" w:rsidRDefault="00317EF8">
      <w:pPr>
        <w:pStyle w:val="Normal1"/>
        <w:spacing w:after="120" w:line="264" w:lineRule="auto"/>
        <w:jc w:val="both"/>
      </w:pPr>
      <w:r>
        <w:lastRenderedPageBreak/>
        <w:t xml:space="preserve">Caregivers frequently reported caries-related signs and experiences, led by black or brown spots (48.6%), a previous diagnosis (47.8%), toothache (44.7%) and difficulty eating (42.2%). These indicators differ in specificity: a cavity or professional diagnosis is relatively specific to caries, whereas pain, swelling, </w:t>
      </w:r>
      <w:r>
        <w:rPr>
          <w:highlight w:val="yellow"/>
        </w:rPr>
        <w:t>discolouration</w:t>
      </w:r>
      <w:r>
        <w:t xml:space="preserve"> and food trapping can also arise from other oral conditions, and young children cannot describe symptoms precisely. Similar findings were described among Nigerian schoolchildren, in whom dental pain was associated with clinical caries but was not equivalent to it (Adeniyi &amp; Odusanya, 2017). Studies in other settings support the usefulness of caregiver perception: in a large North Carolina sample, guardian reports of suboptimal oral health were strongly associated with clinically determined ECC, untreated lesions and toothache (Imes et al., 2021). By contrast, parent-reported caries was very uncommon in the German KUNO-Kids cohort, at 4.4% by age five (Lennon et al., 2026), but that study asked about caries directly rather than about a broader set of symptoms, so the figures are not directly comparable.</w:t>
      </w:r>
    </w:p>
    <w:p w14:paraId="5ACBCC44" w14:textId="77777777" w:rsidR="00581635" w:rsidRDefault="00317EF8">
      <w:pPr>
        <w:pStyle w:val="Normal1"/>
        <w:spacing w:after="120" w:line="264" w:lineRule="auto"/>
        <w:jc w:val="both"/>
      </w:pPr>
      <w:r>
        <w:t xml:space="preserve">Two features of the responses call for caution. First, more caregivers reported a previous diagnosis of decay by a health worker or dentist (47.8%) than reported ever visiting a health facility for a dental problem (31.9%), and no dental facility exists in the LGA. This pattern suggests that some responses may reflect recall error, misunderstanding of the question or a tendency to agree with the item, any of which would inflate the composite score. Second, </w:t>
      </w:r>
      <w:r>
        <w:rPr>
          <w:highlight w:val="yellow"/>
        </w:rPr>
        <w:t>recognising</w:t>
      </w:r>
      <w:r>
        <w:t xml:space="preserve"> a problem does not necessarily lead to professional care, a gap that is especially important where children depend wholly on caregivers for access to services.</w:t>
      </w:r>
    </w:p>
    <w:p w14:paraId="5768292A" w14:textId="77777777" w:rsidR="00581635" w:rsidRDefault="00317EF8">
      <w:pPr>
        <w:pStyle w:val="Heading2"/>
        <w:keepNext/>
        <w:spacing w:before="200" w:after="100"/>
      </w:pPr>
      <w:r>
        <w:t>3.4 CAREGIVERS’ KNOWLEDGE OF DENTAL CARIES AND ORAL HEALTH PRACTICES</w:t>
      </w:r>
    </w:p>
    <w:p w14:paraId="52000FA4" w14:textId="77777777" w:rsidR="00581635" w:rsidRDefault="00317EF8">
      <w:pPr>
        <w:pStyle w:val="Normal1"/>
        <w:spacing w:after="120" w:line="264" w:lineRule="auto"/>
        <w:jc w:val="both"/>
      </w:pPr>
      <w:r>
        <w:t>Table 4 lists responses to the 15 knowledge statements. Most caregivers knew that bacteria cause tooth decay (80.7%), that frequent sugary snacks increase risk (78.1%), that poor brushing raises risk (75.3%) and that decay causes pain and eating difficulty (72.8%). Misconceptions were common, however: 59.9% believed that cavities in baby teeth need no treatment because the teeth fall out, 55.3% believed that sharing utensils cannot spread decay-causing bacteria, 52.2% believed that brushing once a week is enough and 51.2% believed that decay affects only adults. After correct/incorrect scoring (Fig. 2), 40.1% of caregivers (n = 156) had fair knowledge, 33.7% (n = 131) poor knowledge and 26.2% (n = 102) good knowledge.</w:t>
      </w:r>
    </w:p>
    <w:p w14:paraId="6764E92F" w14:textId="77777777" w:rsidR="00581635" w:rsidRDefault="00317EF8">
      <w:pPr>
        <w:pStyle w:val="Normal1"/>
        <w:keepNext/>
        <w:spacing w:before="160" w:after="80"/>
      </w:pPr>
      <w:r>
        <w:rPr>
          <w:b/>
          <w:bCs/>
        </w:rPr>
        <w:lastRenderedPageBreak/>
        <w:t>Table 4.</w:t>
      </w:r>
      <w:r>
        <w:t> </w:t>
      </w:r>
      <w:r>
        <w:rPr>
          <w:b/>
          <w:bCs/>
        </w:rPr>
        <w:t>Caregivers’ knowledge regarding dental caries and oral health practices (N = 389)</w:t>
      </w:r>
    </w:p>
    <w:tbl>
      <w:tblPr>
        <w:tblStyle w:val="a2"/>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5508"/>
        <w:gridCol w:w="1350"/>
        <w:gridCol w:w="1350"/>
      </w:tblGrid>
      <w:tr w:rsidR="00581635" w14:paraId="725D0139" w14:textId="77777777">
        <w:trPr>
          <w:cantSplit/>
          <w:tblHeader/>
          <w:jc w:val="center"/>
        </w:trPr>
        <w:tc>
          <w:tcPr>
            <w:tcW w:w="5508" w:type="dxa"/>
            <w:tcBorders>
              <w:bottom w:val="single" w:sz="4" w:space="0" w:color="000000"/>
            </w:tcBorders>
            <w:tcMar>
              <w:top w:w="25" w:type="dxa"/>
              <w:left w:w="70" w:type="dxa"/>
              <w:bottom w:w="25" w:type="dxa"/>
              <w:right w:w="70" w:type="dxa"/>
            </w:tcMar>
            <w:vAlign w:val="center"/>
          </w:tcPr>
          <w:p w14:paraId="25528B6A" w14:textId="77777777" w:rsidR="00581635" w:rsidRDefault="00317EF8">
            <w:pPr>
              <w:pStyle w:val="Normal1"/>
              <w:keepNext/>
            </w:pPr>
            <w:r>
              <w:rPr>
                <w:b/>
                <w:bCs/>
                <w:sz w:val="17"/>
                <w:szCs w:val="17"/>
              </w:rPr>
              <w:t>Statement</w:t>
            </w:r>
          </w:p>
        </w:tc>
        <w:tc>
          <w:tcPr>
            <w:tcW w:w="1350" w:type="dxa"/>
            <w:tcBorders>
              <w:bottom w:val="single" w:sz="4" w:space="0" w:color="000000"/>
            </w:tcBorders>
            <w:tcMar>
              <w:top w:w="25" w:type="dxa"/>
              <w:left w:w="70" w:type="dxa"/>
              <w:bottom w:w="25" w:type="dxa"/>
              <w:right w:w="70" w:type="dxa"/>
            </w:tcMar>
            <w:vAlign w:val="center"/>
          </w:tcPr>
          <w:p w14:paraId="6ABB2517" w14:textId="77777777" w:rsidR="00581635" w:rsidRDefault="00317EF8">
            <w:pPr>
              <w:pStyle w:val="Normal1"/>
              <w:keepNext/>
              <w:jc w:val="center"/>
            </w:pPr>
            <w:r>
              <w:rPr>
                <w:b/>
                <w:bCs/>
                <w:sz w:val="17"/>
                <w:szCs w:val="17"/>
              </w:rPr>
              <w:t>No, n (%)</w:t>
            </w:r>
          </w:p>
        </w:tc>
        <w:tc>
          <w:tcPr>
            <w:tcW w:w="1350" w:type="dxa"/>
            <w:tcBorders>
              <w:bottom w:val="single" w:sz="4" w:space="0" w:color="000000"/>
            </w:tcBorders>
            <w:tcMar>
              <w:top w:w="25" w:type="dxa"/>
              <w:left w:w="70" w:type="dxa"/>
              <w:bottom w:w="25" w:type="dxa"/>
              <w:right w:w="70" w:type="dxa"/>
            </w:tcMar>
            <w:vAlign w:val="center"/>
          </w:tcPr>
          <w:p w14:paraId="288ADD6A" w14:textId="77777777" w:rsidR="00581635" w:rsidRDefault="00317EF8">
            <w:pPr>
              <w:pStyle w:val="Normal1"/>
              <w:keepNext/>
              <w:jc w:val="center"/>
            </w:pPr>
            <w:r>
              <w:rPr>
                <w:b/>
                <w:bCs/>
                <w:sz w:val="17"/>
                <w:szCs w:val="17"/>
              </w:rPr>
              <w:t>Yes, n (%)</w:t>
            </w:r>
          </w:p>
        </w:tc>
      </w:tr>
      <w:tr w:rsidR="00581635" w14:paraId="1CC77FD4" w14:textId="77777777">
        <w:trPr>
          <w:cantSplit/>
          <w:tblHeader/>
          <w:jc w:val="center"/>
        </w:trPr>
        <w:tc>
          <w:tcPr>
            <w:tcW w:w="5508" w:type="dxa"/>
            <w:tcMar>
              <w:top w:w="25" w:type="dxa"/>
              <w:left w:w="70" w:type="dxa"/>
              <w:bottom w:w="25" w:type="dxa"/>
              <w:right w:w="70" w:type="dxa"/>
            </w:tcMar>
            <w:vAlign w:val="center"/>
          </w:tcPr>
          <w:p w14:paraId="7504E01D" w14:textId="77777777" w:rsidR="00581635" w:rsidRDefault="00317EF8">
            <w:pPr>
              <w:pStyle w:val="Normal1"/>
              <w:keepNext/>
            </w:pPr>
            <w:r>
              <w:rPr>
                <w:sz w:val="17"/>
                <w:szCs w:val="17"/>
              </w:rPr>
              <w:t>Tooth decay occurs when bacteria in the mouth damage the teeth.</w:t>
            </w:r>
          </w:p>
        </w:tc>
        <w:tc>
          <w:tcPr>
            <w:tcW w:w="1350" w:type="dxa"/>
            <w:tcMar>
              <w:top w:w="25" w:type="dxa"/>
              <w:left w:w="70" w:type="dxa"/>
              <w:bottom w:w="25" w:type="dxa"/>
              <w:right w:w="70" w:type="dxa"/>
            </w:tcMar>
            <w:vAlign w:val="center"/>
          </w:tcPr>
          <w:p w14:paraId="5716B4D7" w14:textId="77777777" w:rsidR="00581635" w:rsidRDefault="00317EF8">
            <w:pPr>
              <w:pStyle w:val="Normal1"/>
              <w:keepNext/>
              <w:jc w:val="center"/>
            </w:pPr>
            <w:r>
              <w:rPr>
                <w:sz w:val="17"/>
                <w:szCs w:val="17"/>
              </w:rPr>
              <w:t>75 (19.3)</w:t>
            </w:r>
          </w:p>
        </w:tc>
        <w:tc>
          <w:tcPr>
            <w:tcW w:w="1350" w:type="dxa"/>
            <w:tcMar>
              <w:top w:w="25" w:type="dxa"/>
              <w:left w:w="70" w:type="dxa"/>
              <w:bottom w:w="25" w:type="dxa"/>
              <w:right w:w="70" w:type="dxa"/>
            </w:tcMar>
            <w:vAlign w:val="center"/>
          </w:tcPr>
          <w:p w14:paraId="1D248322" w14:textId="77777777" w:rsidR="00581635" w:rsidRDefault="00317EF8">
            <w:pPr>
              <w:pStyle w:val="Normal1"/>
              <w:keepNext/>
              <w:jc w:val="center"/>
            </w:pPr>
            <w:r>
              <w:rPr>
                <w:sz w:val="17"/>
                <w:szCs w:val="17"/>
              </w:rPr>
              <w:t>314 (80.7)</w:t>
            </w:r>
          </w:p>
        </w:tc>
      </w:tr>
      <w:tr w:rsidR="00581635" w14:paraId="0184DD95" w14:textId="77777777">
        <w:trPr>
          <w:cantSplit/>
          <w:tblHeader/>
          <w:jc w:val="center"/>
        </w:trPr>
        <w:tc>
          <w:tcPr>
            <w:tcW w:w="5508" w:type="dxa"/>
            <w:tcMar>
              <w:top w:w="25" w:type="dxa"/>
              <w:left w:w="70" w:type="dxa"/>
              <w:bottom w:w="25" w:type="dxa"/>
              <w:right w:w="70" w:type="dxa"/>
            </w:tcMar>
            <w:vAlign w:val="center"/>
          </w:tcPr>
          <w:p w14:paraId="2C7F9EA4" w14:textId="77777777" w:rsidR="00581635" w:rsidRDefault="00317EF8">
            <w:pPr>
              <w:pStyle w:val="Normal1"/>
              <w:keepNext/>
            </w:pPr>
            <w:r>
              <w:rPr>
                <w:sz w:val="17"/>
                <w:szCs w:val="17"/>
              </w:rPr>
              <w:t xml:space="preserve">Baby (primary) teeth do not need treatment when they develop cavities because they eventually fall </w:t>
            </w:r>
            <w:proofErr w:type="spellStart"/>
            <w:r>
              <w:rPr>
                <w:sz w:val="17"/>
                <w:szCs w:val="17"/>
              </w:rPr>
              <w:t>out.</w:t>
            </w:r>
            <w:r>
              <w:rPr>
                <w:sz w:val="17"/>
                <w:szCs w:val="17"/>
                <w:vertAlign w:val="superscript"/>
              </w:rPr>
              <w:t>a</w:t>
            </w:r>
            <w:proofErr w:type="spellEnd"/>
          </w:p>
        </w:tc>
        <w:tc>
          <w:tcPr>
            <w:tcW w:w="1350" w:type="dxa"/>
            <w:tcMar>
              <w:top w:w="25" w:type="dxa"/>
              <w:left w:w="70" w:type="dxa"/>
              <w:bottom w:w="25" w:type="dxa"/>
              <w:right w:w="70" w:type="dxa"/>
            </w:tcMar>
            <w:vAlign w:val="center"/>
          </w:tcPr>
          <w:p w14:paraId="36F5BD04" w14:textId="77777777" w:rsidR="00581635" w:rsidRDefault="00317EF8">
            <w:pPr>
              <w:pStyle w:val="Normal1"/>
              <w:keepNext/>
              <w:jc w:val="center"/>
            </w:pPr>
            <w:r>
              <w:rPr>
                <w:sz w:val="17"/>
                <w:szCs w:val="17"/>
              </w:rPr>
              <w:t>156 (40.1)</w:t>
            </w:r>
          </w:p>
        </w:tc>
        <w:tc>
          <w:tcPr>
            <w:tcW w:w="1350" w:type="dxa"/>
            <w:tcMar>
              <w:top w:w="25" w:type="dxa"/>
              <w:left w:w="70" w:type="dxa"/>
              <w:bottom w:w="25" w:type="dxa"/>
              <w:right w:w="70" w:type="dxa"/>
            </w:tcMar>
            <w:vAlign w:val="center"/>
          </w:tcPr>
          <w:p w14:paraId="0C610837" w14:textId="77777777" w:rsidR="00581635" w:rsidRDefault="00317EF8">
            <w:pPr>
              <w:pStyle w:val="Normal1"/>
              <w:keepNext/>
              <w:jc w:val="center"/>
            </w:pPr>
            <w:r>
              <w:rPr>
                <w:sz w:val="17"/>
                <w:szCs w:val="17"/>
              </w:rPr>
              <w:t>233 (59.9)</w:t>
            </w:r>
          </w:p>
        </w:tc>
      </w:tr>
      <w:tr w:rsidR="00581635" w14:paraId="20ADFBBA" w14:textId="77777777">
        <w:trPr>
          <w:cantSplit/>
          <w:tblHeader/>
          <w:jc w:val="center"/>
        </w:trPr>
        <w:tc>
          <w:tcPr>
            <w:tcW w:w="5508" w:type="dxa"/>
            <w:tcMar>
              <w:top w:w="25" w:type="dxa"/>
              <w:left w:w="70" w:type="dxa"/>
              <w:bottom w:w="25" w:type="dxa"/>
              <w:right w:w="70" w:type="dxa"/>
            </w:tcMar>
            <w:vAlign w:val="center"/>
          </w:tcPr>
          <w:p w14:paraId="61354810" w14:textId="77777777" w:rsidR="00581635" w:rsidRDefault="00317EF8">
            <w:pPr>
              <w:pStyle w:val="Normal1"/>
              <w:keepNext/>
            </w:pPr>
            <w:r>
              <w:rPr>
                <w:sz w:val="17"/>
                <w:szCs w:val="17"/>
              </w:rPr>
              <w:t>Eating sugary snacks many times a day can increase the risk of tooth decay in children.</w:t>
            </w:r>
          </w:p>
        </w:tc>
        <w:tc>
          <w:tcPr>
            <w:tcW w:w="1350" w:type="dxa"/>
            <w:tcMar>
              <w:top w:w="25" w:type="dxa"/>
              <w:left w:w="70" w:type="dxa"/>
              <w:bottom w:w="25" w:type="dxa"/>
              <w:right w:w="70" w:type="dxa"/>
            </w:tcMar>
            <w:vAlign w:val="center"/>
          </w:tcPr>
          <w:p w14:paraId="541A6AB9" w14:textId="77777777" w:rsidR="00581635" w:rsidRDefault="00317EF8">
            <w:pPr>
              <w:pStyle w:val="Normal1"/>
              <w:keepNext/>
              <w:jc w:val="center"/>
            </w:pPr>
            <w:r>
              <w:rPr>
                <w:sz w:val="17"/>
                <w:szCs w:val="17"/>
              </w:rPr>
              <w:t>85 (21.9)</w:t>
            </w:r>
          </w:p>
        </w:tc>
        <w:tc>
          <w:tcPr>
            <w:tcW w:w="1350" w:type="dxa"/>
            <w:tcMar>
              <w:top w:w="25" w:type="dxa"/>
              <w:left w:w="70" w:type="dxa"/>
              <w:bottom w:w="25" w:type="dxa"/>
              <w:right w:w="70" w:type="dxa"/>
            </w:tcMar>
            <w:vAlign w:val="center"/>
          </w:tcPr>
          <w:p w14:paraId="147D2981" w14:textId="77777777" w:rsidR="00581635" w:rsidRDefault="00317EF8">
            <w:pPr>
              <w:pStyle w:val="Normal1"/>
              <w:keepNext/>
              <w:jc w:val="center"/>
            </w:pPr>
            <w:r>
              <w:rPr>
                <w:sz w:val="17"/>
                <w:szCs w:val="17"/>
              </w:rPr>
              <w:t>304 (78.1)</w:t>
            </w:r>
          </w:p>
        </w:tc>
      </w:tr>
      <w:tr w:rsidR="00581635" w14:paraId="3FD29A93" w14:textId="77777777">
        <w:trPr>
          <w:cantSplit/>
          <w:tblHeader/>
          <w:jc w:val="center"/>
        </w:trPr>
        <w:tc>
          <w:tcPr>
            <w:tcW w:w="5508" w:type="dxa"/>
            <w:tcMar>
              <w:top w:w="25" w:type="dxa"/>
              <w:left w:w="70" w:type="dxa"/>
              <w:bottom w:w="25" w:type="dxa"/>
              <w:right w:w="70" w:type="dxa"/>
            </w:tcMar>
            <w:vAlign w:val="center"/>
          </w:tcPr>
          <w:p w14:paraId="4D9EDB72" w14:textId="77777777" w:rsidR="00581635" w:rsidRDefault="00317EF8">
            <w:pPr>
              <w:pStyle w:val="Normal1"/>
              <w:keepNext/>
            </w:pPr>
            <w:r>
              <w:rPr>
                <w:sz w:val="17"/>
                <w:szCs w:val="17"/>
              </w:rPr>
              <w:t xml:space="preserve">Brushing a child’s teeth once a week is enough to prevent tooth </w:t>
            </w:r>
            <w:proofErr w:type="spellStart"/>
            <w:r>
              <w:rPr>
                <w:sz w:val="17"/>
                <w:szCs w:val="17"/>
              </w:rPr>
              <w:t>decay.</w:t>
            </w:r>
            <w:r>
              <w:rPr>
                <w:sz w:val="17"/>
                <w:szCs w:val="17"/>
                <w:vertAlign w:val="superscript"/>
              </w:rPr>
              <w:t>a</w:t>
            </w:r>
            <w:proofErr w:type="spellEnd"/>
          </w:p>
        </w:tc>
        <w:tc>
          <w:tcPr>
            <w:tcW w:w="1350" w:type="dxa"/>
            <w:tcMar>
              <w:top w:w="25" w:type="dxa"/>
              <w:left w:w="70" w:type="dxa"/>
              <w:bottom w:w="25" w:type="dxa"/>
              <w:right w:w="70" w:type="dxa"/>
            </w:tcMar>
            <w:vAlign w:val="center"/>
          </w:tcPr>
          <w:p w14:paraId="62558C30" w14:textId="77777777" w:rsidR="00581635" w:rsidRDefault="00317EF8">
            <w:pPr>
              <w:pStyle w:val="Normal1"/>
              <w:keepNext/>
              <w:jc w:val="center"/>
            </w:pPr>
            <w:r>
              <w:rPr>
                <w:sz w:val="17"/>
                <w:szCs w:val="17"/>
              </w:rPr>
              <w:t>186 (47.8)</w:t>
            </w:r>
          </w:p>
        </w:tc>
        <w:tc>
          <w:tcPr>
            <w:tcW w:w="1350" w:type="dxa"/>
            <w:tcMar>
              <w:top w:w="25" w:type="dxa"/>
              <w:left w:w="70" w:type="dxa"/>
              <w:bottom w:w="25" w:type="dxa"/>
              <w:right w:w="70" w:type="dxa"/>
            </w:tcMar>
            <w:vAlign w:val="center"/>
          </w:tcPr>
          <w:p w14:paraId="06EFFD3C" w14:textId="77777777" w:rsidR="00581635" w:rsidRDefault="00317EF8">
            <w:pPr>
              <w:pStyle w:val="Normal1"/>
              <w:keepNext/>
              <w:jc w:val="center"/>
            </w:pPr>
            <w:r>
              <w:rPr>
                <w:sz w:val="17"/>
                <w:szCs w:val="17"/>
              </w:rPr>
              <w:t>203 (52.2)</w:t>
            </w:r>
          </w:p>
        </w:tc>
      </w:tr>
      <w:tr w:rsidR="00581635" w14:paraId="0D99C953" w14:textId="77777777">
        <w:trPr>
          <w:cantSplit/>
          <w:tblHeader/>
          <w:jc w:val="center"/>
        </w:trPr>
        <w:tc>
          <w:tcPr>
            <w:tcW w:w="5508" w:type="dxa"/>
            <w:tcMar>
              <w:top w:w="25" w:type="dxa"/>
              <w:left w:w="70" w:type="dxa"/>
              <w:bottom w:w="25" w:type="dxa"/>
              <w:right w:w="70" w:type="dxa"/>
            </w:tcMar>
            <w:vAlign w:val="center"/>
          </w:tcPr>
          <w:p w14:paraId="0D80C096" w14:textId="77777777" w:rsidR="00581635" w:rsidRDefault="00317EF8">
            <w:pPr>
              <w:pStyle w:val="Normal1"/>
              <w:keepNext/>
            </w:pPr>
            <w:r>
              <w:rPr>
                <w:sz w:val="17"/>
                <w:szCs w:val="17"/>
              </w:rPr>
              <w:t>Tooth decay can cause pain and difficulty eating in children.</w:t>
            </w:r>
          </w:p>
        </w:tc>
        <w:tc>
          <w:tcPr>
            <w:tcW w:w="1350" w:type="dxa"/>
            <w:tcMar>
              <w:top w:w="25" w:type="dxa"/>
              <w:left w:w="70" w:type="dxa"/>
              <w:bottom w:w="25" w:type="dxa"/>
              <w:right w:w="70" w:type="dxa"/>
            </w:tcMar>
            <w:vAlign w:val="center"/>
          </w:tcPr>
          <w:p w14:paraId="1F690366" w14:textId="77777777" w:rsidR="00581635" w:rsidRDefault="00317EF8">
            <w:pPr>
              <w:pStyle w:val="Normal1"/>
              <w:keepNext/>
              <w:jc w:val="center"/>
            </w:pPr>
            <w:r>
              <w:rPr>
                <w:sz w:val="17"/>
                <w:szCs w:val="17"/>
              </w:rPr>
              <w:t>106 (27.2)</w:t>
            </w:r>
          </w:p>
        </w:tc>
        <w:tc>
          <w:tcPr>
            <w:tcW w:w="1350" w:type="dxa"/>
            <w:tcMar>
              <w:top w:w="25" w:type="dxa"/>
              <w:left w:w="70" w:type="dxa"/>
              <w:bottom w:w="25" w:type="dxa"/>
              <w:right w:w="70" w:type="dxa"/>
            </w:tcMar>
            <w:vAlign w:val="center"/>
          </w:tcPr>
          <w:p w14:paraId="1AB42FC8" w14:textId="77777777" w:rsidR="00581635" w:rsidRDefault="00317EF8">
            <w:pPr>
              <w:pStyle w:val="Normal1"/>
              <w:keepNext/>
              <w:jc w:val="center"/>
            </w:pPr>
            <w:r>
              <w:rPr>
                <w:sz w:val="17"/>
                <w:szCs w:val="17"/>
              </w:rPr>
              <w:t>283 (72.8)</w:t>
            </w:r>
          </w:p>
        </w:tc>
      </w:tr>
      <w:tr w:rsidR="00581635" w14:paraId="417271A4" w14:textId="77777777">
        <w:trPr>
          <w:cantSplit/>
          <w:tblHeader/>
          <w:jc w:val="center"/>
        </w:trPr>
        <w:tc>
          <w:tcPr>
            <w:tcW w:w="5508" w:type="dxa"/>
            <w:tcMar>
              <w:top w:w="25" w:type="dxa"/>
              <w:left w:w="70" w:type="dxa"/>
              <w:bottom w:w="25" w:type="dxa"/>
              <w:right w:w="70" w:type="dxa"/>
            </w:tcMar>
            <w:vAlign w:val="center"/>
          </w:tcPr>
          <w:p w14:paraId="5FCD3B6F" w14:textId="77777777" w:rsidR="00581635" w:rsidRDefault="00317EF8">
            <w:pPr>
              <w:pStyle w:val="Normal1"/>
              <w:keepNext/>
            </w:pPr>
            <w:r>
              <w:rPr>
                <w:sz w:val="17"/>
                <w:szCs w:val="17"/>
              </w:rPr>
              <w:t>Using fluoride toothpaste can help prevent dental caries.</w:t>
            </w:r>
          </w:p>
        </w:tc>
        <w:tc>
          <w:tcPr>
            <w:tcW w:w="1350" w:type="dxa"/>
            <w:tcMar>
              <w:top w:w="25" w:type="dxa"/>
              <w:left w:w="70" w:type="dxa"/>
              <w:bottom w:w="25" w:type="dxa"/>
              <w:right w:w="70" w:type="dxa"/>
            </w:tcMar>
            <w:vAlign w:val="center"/>
          </w:tcPr>
          <w:p w14:paraId="5F6DF9B3" w14:textId="77777777" w:rsidR="00581635" w:rsidRDefault="00317EF8">
            <w:pPr>
              <w:pStyle w:val="Normal1"/>
              <w:keepNext/>
              <w:jc w:val="center"/>
            </w:pPr>
            <w:r>
              <w:rPr>
                <w:sz w:val="17"/>
                <w:szCs w:val="17"/>
              </w:rPr>
              <w:t>139 (35.7)</w:t>
            </w:r>
          </w:p>
        </w:tc>
        <w:tc>
          <w:tcPr>
            <w:tcW w:w="1350" w:type="dxa"/>
            <w:tcMar>
              <w:top w:w="25" w:type="dxa"/>
              <w:left w:w="70" w:type="dxa"/>
              <w:bottom w:w="25" w:type="dxa"/>
              <w:right w:w="70" w:type="dxa"/>
            </w:tcMar>
            <w:vAlign w:val="center"/>
          </w:tcPr>
          <w:p w14:paraId="191122D8" w14:textId="77777777" w:rsidR="00581635" w:rsidRDefault="00317EF8">
            <w:pPr>
              <w:pStyle w:val="Normal1"/>
              <w:keepNext/>
              <w:jc w:val="center"/>
            </w:pPr>
            <w:r>
              <w:rPr>
                <w:sz w:val="17"/>
                <w:szCs w:val="17"/>
              </w:rPr>
              <w:t>250 (64.3)</w:t>
            </w:r>
          </w:p>
        </w:tc>
      </w:tr>
      <w:tr w:rsidR="00581635" w14:paraId="372CBD50" w14:textId="77777777">
        <w:trPr>
          <w:cantSplit/>
          <w:tblHeader/>
          <w:jc w:val="center"/>
        </w:trPr>
        <w:tc>
          <w:tcPr>
            <w:tcW w:w="5508" w:type="dxa"/>
            <w:tcMar>
              <w:top w:w="25" w:type="dxa"/>
              <w:left w:w="70" w:type="dxa"/>
              <w:bottom w:w="25" w:type="dxa"/>
              <w:right w:w="70" w:type="dxa"/>
            </w:tcMar>
            <w:vAlign w:val="center"/>
          </w:tcPr>
          <w:p w14:paraId="5E7E6AC1" w14:textId="77777777" w:rsidR="00581635" w:rsidRDefault="00317EF8">
            <w:pPr>
              <w:pStyle w:val="Normal1"/>
              <w:keepNext/>
            </w:pPr>
            <w:r>
              <w:rPr>
                <w:sz w:val="17"/>
                <w:szCs w:val="17"/>
              </w:rPr>
              <w:t xml:space="preserve">Tooth decay only affects adults and not young </w:t>
            </w:r>
            <w:proofErr w:type="spellStart"/>
            <w:r>
              <w:rPr>
                <w:sz w:val="17"/>
                <w:szCs w:val="17"/>
              </w:rPr>
              <w:t>children.</w:t>
            </w:r>
            <w:r>
              <w:rPr>
                <w:sz w:val="17"/>
                <w:szCs w:val="17"/>
                <w:vertAlign w:val="superscript"/>
              </w:rPr>
              <w:t>a</w:t>
            </w:r>
            <w:proofErr w:type="spellEnd"/>
          </w:p>
        </w:tc>
        <w:tc>
          <w:tcPr>
            <w:tcW w:w="1350" w:type="dxa"/>
            <w:tcMar>
              <w:top w:w="25" w:type="dxa"/>
              <w:left w:w="70" w:type="dxa"/>
              <w:bottom w:w="25" w:type="dxa"/>
              <w:right w:w="70" w:type="dxa"/>
            </w:tcMar>
            <w:vAlign w:val="center"/>
          </w:tcPr>
          <w:p w14:paraId="32D26793" w14:textId="77777777" w:rsidR="00581635" w:rsidRDefault="00317EF8">
            <w:pPr>
              <w:pStyle w:val="Normal1"/>
              <w:keepNext/>
              <w:jc w:val="center"/>
            </w:pPr>
            <w:r>
              <w:rPr>
                <w:sz w:val="17"/>
                <w:szCs w:val="17"/>
              </w:rPr>
              <w:t>190 (48.8)</w:t>
            </w:r>
          </w:p>
        </w:tc>
        <w:tc>
          <w:tcPr>
            <w:tcW w:w="1350" w:type="dxa"/>
            <w:tcMar>
              <w:top w:w="25" w:type="dxa"/>
              <w:left w:w="70" w:type="dxa"/>
              <w:bottom w:w="25" w:type="dxa"/>
              <w:right w:w="70" w:type="dxa"/>
            </w:tcMar>
            <w:vAlign w:val="center"/>
          </w:tcPr>
          <w:p w14:paraId="4CDC36BD" w14:textId="77777777" w:rsidR="00581635" w:rsidRDefault="00317EF8">
            <w:pPr>
              <w:pStyle w:val="Normal1"/>
              <w:keepNext/>
              <w:jc w:val="center"/>
            </w:pPr>
            <w:r>
              <w:rPr>
                <w:sz w:val="17"/>
                <w:szCs w:val="17"/>
              </w:rPr>
              <w:t>199 (51.2)</w:t>
            </w:r>
          </w:p>
        </w:tc>
      </w:tr>
      <w:tr w:rsidR="00581635" w14:paraId="32CB1041" w14:textId="77777777">
        <w:trPr>
          <w:cantSplit/>
          <w:tblHeader/>
          <w:jc w:val="center"/>
        </w:trPr>
        <w:tc>
          <w:tcPr>
            <w:tcW w:w="5508" w:type="dxa"/>
            <w:tcMar>
              <w:top w:w="25" w:type="dxa"/>
              <w:left w:w="70" w:type="dxa"/>
              <w:bottom w:w="25" w:type="dxa"/>
              <w:right w:w="70" w:type="dxa"/>
            </w:tcMar>
            <w:vAlign w:val="center"/>
          </w:tcPr>
          <w:p w14:paraId="4A6778EF" w14:textId="77777777" w:rsidR="00581635" w:rsidRDefault="00317EF8">
            <w:pPr>
              <w:pStyle w:val="Normal1"/>
              <w:keepNext/>
            </w:pPr>
            <w:r>
              <w:rPr>
                <w:sz w:val="17"/>
                <w:szCs w:val="17"/>
              </w:rPr>
              <w:t>Children should begin cleaning their teeth as soon as the first tooth appears.</w:t>
            </w:r>
          </w:p>
        </w:tc>
        <w:tc>
          <w:tcPr>
            <w:tcW w:w="1350" w:type="dxa"/>
            <w:tcMar>
              <w:top w:w="25" w:type="dxa"/>
              <w:left w:w="70" w:type="dxa"/>
              <w:bottom w:w="25" w:type="dxa"/>
              <w:right w:w="70" w:type="dxa"/>
            </w:tcMar>
            <w:vAlign w:val="center"/>
          </w:tcPr>
          <w:p w14:paraId="7E973E9D" w14:textId="77777777" w:rsidR="00581635" w:rsidRDefault="00317EF8">
            <w:pPr>
              <w:pStyle w:val="Normal1"/>
              <w:keepNext/>
              <w:jc w:val="center"/>
            </w:pPr>
            <w:r>
              <w:rPr>
                <w:sz w:val="17"/>
                <w:szCs w:val="17"/>
              </w:rPr>
              <w:t>153 (39.3)</w:t>
            </w:r>
          </w:p>
        </w:tc>
        <w:tc>
          <w:tcPr>
            <w:tcW w:w="1350" w:type="dxa"/>
            <w:tcMar>
              <w:top w:w="25" w:type="dxa"/>
              <w:left w:w="70" w:type="dxa"/>
              <w:bottom w:w="25" w:type="dxa"/>
              <w:right w:w="70" w:type="dxa"/>
            </w:tcMar>
            <w:vAlign w:val="center"/>
          </w:tcPr>
          <w:p w14:paraId="0B4A0C6B" w14:textId="77777777" w:rsidR="00581635" w:rsidRDefault="00317EF8">
            <w:pPr>
              <w:pStyle w:val="Normal1"/>
              <w:keepNext/>
              <w:jc w:val="center"/>
            </w:pPr>
            <w:r>
              <w:rPr>
                <w:sz w:val="17"/>
                <w:szCs w:val="17"/>
              </w:rPr>
              <w:t>236 (60.7)</w:t>
            </w:r>
          </w:p>
        </w:tc>
      </w:tr>
      <w:tr w:rsidR="00581635" w14:paraId="12B42282" w14:textId="77777777">
        <w:trPr>
          <w:cantSplit/>
          <w:tblHeader/>
          <w:jc w:val="center"/>
        </w:trPr>
        <w:tc>
          <w:tcPr>
            <w:tcW w:w="5508" w:type="dxa"/>
            <w:tcMar>
              <w:top w:w="25" w:type="dxa"/>
              <w:left w:w="70" w:type="dxa"/>
              <w:bottom w:w="25" w:type="dxa"/>
              <w:right w:w="70" w:type="dxa"/>
            </w:tcMar>
            <w:vAlign w:val="center"/>
          </w:tcPr>
          <w:p w14:paraId="333B6DF9" w14:textId="77777777" w:rsidR="00581635" w:rsidRDefault="00317EF8">
            <w:pPr>
              <w:pStyle w:val="Normal1"/>
              <w:keepNext/>
            </w:pPr>
            <w:r>
              <w:rPr>
                <w:sz w:val="17"/>
                <w:szCs w:val="17"/>
              </w:rPr>
              <w:t>Drinking sugary drinks frequently can increase the risk of tooth decay.</w:t>
            </w:r>
          </w:p>
        </w:tc>
        <w:tc>
          <w:tcPr>
            <w:tcW w:w="1350" w:type="dxa"/>
            <w:tcMar>
              <w:top w:w="25" w:type="dxa"/>
              <w:left w:w="70" w:type="dxa"/>
              <w:bottom w:w="25" w:type="dxa"/>
              <w:right w:w="70" w:type="dxa"/>
            </w:tcMar>
            <w:vAlign w:val="center"/>
          </w:tcPr>
          <w:p w14:paraId="09F6B391" w14:textId="77777777" w:rsidR="00581635" w:rsidRDefault="00317EF8">
            <w:pPr>
              <w:pStyle w:val="Normal1"/>
              <w:keepNext/>
              <w:jc w:val="center"/>
            </w:pPr>
            <w:r>
              <w:rPr>
                <w:sz w:val="17"/>
                <w:szCs w:val="17"/>
              </w:rPr>
              <w:t>119 (30.6)</w:t>
            </w:r>
          </w:p>
        </w:tc>
        <w:tc>
          <w:tcPr>
            <w:tcW w:w="1350" w:type="dxa"/>
            <w:tcMar>
              <w:top w:w="25" w:type="dxa"/>
              <w:left w:w="70" w:type="dxa"/>
              <w:bottom w:w="25" w:type="dxa"/>
              <w:right w:w="70" w:type="dxa"/>
            </w:tcMar>
            <w:vAlign w:val="center"/>
          </w:tcPr>
          <w:p w14:paraId="58536770" w14:textId="77777777" w:rsidR="00581635" w:rsidRDefault="00317EF8">
            <w:pPr>
              <w:pStyle w:val="Normal1"/>
              <w:keepNext/>
              <w:jc w:val="center"/>
            </w:pPr>
            <w:r>
              <w:rPr>
                <w:sz w:val="17"/>
                <w:szCs w:val="17"/>
              </w:rPr>
              <w:t>270 (69.4)</w:t>
            </w:r>
          </w:p>
        </w:tc>
      </w:tr>
      <w:tr w:rsidR="00581635" w14:paraId="33103A3C" w14:textId="77777777">
        <w:trPr>
          <w:cantSplit/>
          <w:tblHeader/>
          <w:jc w:val="center"/>
        </w:trPr>
        <w:tc>
          <w:tcPr>
            <w:tcW w:w="5508" w:type="dxa"/>
            <w:tcMar>
              <w:top w:w="25" w:type="dxa"/>
              <w:left w:w="70" w:type="dxa"/>
              <w:bottom w:w="25" w:type="dxa"/>
              <w:right w:w="70" w:type="dxa"/>
            </w:tcMar>
            <w:vAlign w:val="center"/>
          </w:tcPr>
          <w:p w14:paraId="239CA181" w14:textId="77777777" w:rsidR="00581635" w:rsidRDefault="00317EF8">
            <w:pPr>
              <w:pStyle w:val="Normal1"/>
              <w:keepNext/>
            </w:pPr>
            <w:r>
              <w:rPr>
                <w:sz w:val="17"/>
                <w:szCs w:val="17"/>
              </w:rPr>
              <w:t>Visiting a dentist regularly can help detect dental problems early.</w:t>
            </w:r>
          </w:p>
        </w:tc>
        <w:tc>
          <w:tcPr>
            <w:tcW w:w="1350" w:type="dxa"/>
            <w:tcMar>
              <w:top w:w="25" w:type="dxa"/>
              <w:left w:w="70" w:type="dxa"/>
              <w:bottom w:w="25" w:type="dxa"/>
              <w:right w:w="70" w:type="dxa"/>
            </w:tcMar>
            <w:vAlign w:val="center"/>
          </w:tcPr>
          <w:p w14:paraId="4AECA841" w14:textId="77777777" w:rsidR="00581635" w:rsidRDefault="00317EF8">
            <w:pPr>
              <w:pStyle w:val="Normal1"/>
              <w:keepNext/>
              <w:jc w:val="center"/>
            </w:pPr>
            <w:r>
              <w:rPr>
                <w:sz w:val="17"/>
                <w:szCs w:val="17"/>
              </w:rPr>
              <w:t>112 (28.8)</w:t>
            </w:r>
          </w:p>
        </w:tc>
        <w:tc>
          <w:tcPr>
            <w:tcW w:w="1350" w:type="dxa"/>
            <w:tcMar>
              <w:top w:w="25" w:type="dxa"/>
              <w:left w:w="70" w:type="dxa"/>
              <w:bottom w:w="25" w:type="dxa"/>
              <w:right w:w="70" w:type="dxa"/>
            </w:tcMar>
            <w:vAlign w:val="center"/>
          </w:tcPr>
          <w:p w14:paraId="73FFB002" w14:textId="77777777" w:rsidR="00581635" w:rsidRDefault="00317EF8">
            <w:pPr>
              <w:pStyle w:val="Normal1"/>
              <w:keepNext/>
              <w:jc w:val="center"/>
            </w:pPr>
            <w:r>
              <w:rPr>
                <w:sz w:val="17"/>
                <w:szCs w:val="17"/>
              </w:rPr>
              <w:t>277 (71.2)</w:t>
            </w:r>
          </w:p>
        </w:tc>
      </w:tr>
      <w:tr w:rsidR="00581635" w14:paraId="5287D5EC" w14:textId="77777777">
        <w:trPr>
          <w:cantSplit/>
          <w:tblHeader/>
          <w:jc w:val="center"/>
        </w:trPr>
        <w:tc>
          <w:tcPr>
            <w:tcW w:w="5508" w:type="dxa"/>
            <w:tcMar>
              <w:top w:w="25" w:type="dxa"/>
              <w:left w:w="70" w:type="dxa"/>
              <w:bottom w:w="25" w:type="dxa"/>
              <w:right w:w="70" w:type="dxa"/>
            </w:tcMar>
            <w:vAlign w:val="center"/>
          </w:tcPr>
          <w:p w14:paraId="1096CCDE" w14:textId="77777777" w:rsidR="00581635" w:rsidRDefault="00317EF8">
            <w:pPr>
              <w:pStyle w:val="Normal1"/>
              <w:keepNext/>
            </w:pPr>
            <w:r>
              <w:rPr>
                <w:sz w:val="17"/>
                <w:szCs w:val="17"/>
              </w:rPr>
              <w:t xml:space="preserve">Sharing spoons or feeding utensils with a child cannot spread bacteria that cause tooth </w:t>
            </w:r>
            <w:proofErr w:type="spellStart"/>
            <w:r>
              <w:rPr>
                <w:sz w:val="17"/>
                <w:szCs w:val="17"/>
              </w:rPr>
              <w:t>decay.</w:t>
            </w:r>
            <w:r>
              <w:rPr>
                <w:sz w:val="17"/>
                <w:szCs w:val="17"/>
                <w:vertAlign w:val="superscript"/>
              </w:rPr>
              <w:t>a</w:t>
            </w:r>
            <w:proofErr w:type="spellEnd"/>
          </w:p>
        </w:tc>
        <w:tc>
          <w:tcPr>
            <w:tcW w:w="1350" w:type="dxa"/>
            <w:tcMar>
              <w:top w:w="25" w:type="dxa"/>
              <w:left w:w="70" w:type="dxa"/>
              <w:bottom w:w="25" w:type="dxa"/>
              <w:right w:w="70" w:type="dxa"/>
            </w:tcMar>
            <w:vAlign w:val="center"/>
          </w:tcPr>
          <w:p w14:paraId="043E158D" w14:textId="77777777" w:rsidR="00581635" w:rsidRDefault="00317EF8">
            <w:pPr>
              <w:pStyle w:val="Normal1"/>
              <w:keepNext/>
              <w:jc w:val="center"/>
            </w:pPr>
            <w:r>
              <w:rPr>
                <w:sz w:val="17"/>
                <w:szCs w:val="17"/>
              </w:rPr>
              <w:t>174 (44.7)</w:t>
            </w:r>
          </w:p>
        </w:tc>
        <w:tc>
          <w:tcPr>
            <w:tcW w:w="1350" w:type="dxa"/>
            <w:tcMar>
              <w:top w:w="25" w:type="dxa"/>
              <w:left w:w="70" w:type="dxa"/>
              <w:bottom w:w="25" w:type="dxa"/>
              <w:right w:w="70" w:type="dxa"/>
            </w:tcMar>
            <w:vAlign w:val="center"/>
          </w:tcPr>
          <w:p w14:paraId="5CCD7ED7" w14:textId="77777777" w:rsidR="00581635" w:rsidRDefault="00317EF8">
            <w:pPr>
              <w:pStyle w:val="Normal1"/>
              <w:keepNext/>
              <w:jc w:val="center"/>
            </w:pPr>
            <w:r>
              <w:rPr>
                <w:sz w:val="17"/>
                <w:szCs w:val="17"/>
              </w:rPr>
              <w:t>215 (55.3)</w:t>
            </w:r>
          </w:p>
        </w:tc>
      </w:tr>
      <w:tr w:rsidR="00581635" w14:paraId="1D67424F" w14:textId="77777777">
        <w:trPr>
          <w:cantSplit/>
          <w:tblHeader/>
          <w:jc w:val="center"/>
        </w:trPr>
        <w:tc>
          <w:tcPr>
            <w:tcW w:w="5508" w:type="dxa"/>
            <w:tcMar>
              <w:top w:w="25" w:type="dxa"/>
              <w:left w:w="70" w:type="dxa"/>
              <w:bottom w:w="25" w:type="dxa"/>
              <w:right w:w="70" w:type="dxa"/>
            </w:tcMar>
            <w:vAlign w:val="center"/>
          </w:tcPr>
          <w:p w14:paraId="40269414" w14:textId="77777777" w:rsidR="00581635" w:rsidRDefault="00317EF8">
            <w:pPr>
              <w:pStyle w:val="Normal1"/>
              <w:keepNext/>
            </w:pPr>
            <w:r>
              <w:rPr>
                <w:sz w:val="17"/>
                <w:szCs w:val="17"/>
              </w:rPr>
              <w:t>Poor brushing habits can increase the likelihood of dental caries in children.</w:t>
            </w:r>
          </w:p>
        </w:tc>
        <w:tc>
          <w:tcPr>
            <w:tcW w:w="1350" w:type="dxa"/>
            <w:tcMar>
              <w:top w:w="25" w:type="dxa"/>
              <w:left w:w="70" w:type="dxa"/>
              <w:bottom w:w="25" w:type="dxa"/>
              <w:right w:w="70" w:type="dxa"/>
            </w:tcMar>
            <w:vAlign w:val="center"/>
          </w:tcPr>
          <w:p w14:paraId="230B98D6" w14:textId="77777777" w:rsidR="00581635" w:rsidRDefault="00317EF8">
            <w:pPr>
              <w:pStyle w:val="Normal1"/>
              <w:keepNext/>
              <w:jc w:val="center"/>
            </w:pPr>
            <w:r>
              <w:rPr>
                <w:sz w:val="17"/>
                <w:szCs w:val="17"/>
              </w:rPr>
              <w:t>96 (24.7)</w:t>
            </w:r>
          </w:p>
        </w:tc>
        <w:tc>
          <w:tcPr>
            <w:tcW w:w="1350" w:type="dxa"/>
            <w:tcMar>
              <w:top w:w="25" w:type="dxa"/>
              <w:left w:w="70" w:type="dxa"/>
              <w:bottom w:w="25" w:type="dxa"/>
              <w:right w:w="70" w:type="dxa"/>
            </w:tcMar>
            <w:vAlign w:val="center"/>
          </w:tcPr>
          <w:p w14:paraId="0EF30DDB" w14:textId="77777777" w:rsidR="00581635" w:rsidRDefault="00317EF8">
            <w:pPr>
              <w:pStyle w:val="Normal1"/>
              <w:keepNext/>
              <w:jc w:val="center"/>
            </w:pPr>
            <w:r>
              <w:rPr>
                <w:sz w:val="17"/>
                <w:szCs w:val="17"/>
              </w:rPr>
              <w:t>293 (75.3)</w:t>
            </w:r>
          </w:p>
        </w:tc>
      </w:tr>
      <w:tr w:rsidR="00581635" w14:paraId="43038714" w14:textId="77777777">
        <w:trPr>
          <w:cantSplit/>
          <w:tblHeader/>
          <w:jc w:val="center"/>
        </w:trPr>
        <w:tc>
          <w:tcPr>
            <w:tcW w:w="5508" w:type="dxa"/>
            <w:tcMar>
              <w:top w:w="25" w:type="dxa"/>
              <w:left w:w="70" w:type="dxa"/>
              <w:bottom w:w="25" w:type="dxa"/>
              <w:right w:w="70" w:type="dxa"/>
            </w:tcMar>
            <w:vAlign w:val="center"/>
          </w:tcPr>
          <w:p w14:paraId="1D678992" w14:textId="77777777" w:rsidR="00581635" w:rsidRDefault="00317EF8">
            <w:pPr>
              <w:pStyle w:val="Normal1"/>
              <w:keepNext/>
            </w:pPr>
            <w:r>
              <w:rPr>
                <w:sz w:val="17"/>
                <w:szCs w:val="17"/>
              </w:rPr>
              <w:t>Giving a child sweet drinks or milk in a bottle during sleep can contribute to tooth decay.</w:t>
            </w:r>
          </w:p>
        </w:tc>
        <w:tc>
          <w:tcPr>
            <w:tcW w:w="1350" w:type="dxa"/>
            <w:tcMar>
              <w:top w:w="25" w:type="dxa"/>
              <w:left w:w="70" w:type="dxa"/>
              <w:bottom w:w="25" w:type="dxa"/>
              <w:right w:w="70" w:type="dxa"/>
            </w:tcMar>
            <w:vAlign w:val="center"/>
          </w:tcPr>
          <w:p w14:paraId="28157AB6" w14:textId="77777777" w:rsidR="00581635" w:rsidRDefault="00317EF8">
            <w:pPr>
              <w:pStyle w:val="Normal1"/>
              <w:keepNext/>
              <w:jc w:val="center"/>
            </w:pPr>
            <w:r>
              <w:rPr>
                <w:sz w:val="17"/>
                <w:szCs w:val="17"/>
              </w:rPr>
              <w:t>168 (43.2)</w:t>
            </w:r>
          </w:p>
        </w:tc>
        <w:tc>
          <w:tcPr>
            <w:tcW w:w="1350" w:type="dxa"/>
            <w:tcMar>
              <w:top w:w="25" w:type="dxa"/>
              <w:left w:w="70" w:type="dxa"/>
              <w:bottom w:w="25" w:type="dxa"/>
              <w:right w:w="70" w:type="dxa"/>
            </w:tcMar>
            <w:vAlign w:val="center"/>
          </w:tcPr>
          <w:p w14:paraId="5B115555" w14:textId="77777777" w:rsidR="00581635" w:rsidRDefault="00317EF8">
            <w:pPr>
              <w:pStyle w:val="Normal1"/>
              <w:keepNext/>
              <w:jc w:val="center"/>
            </w:pPr>
            <w:r>
              <w:rPr>
                <w:sz w:val="17"/>
                <w:szCs w:val="17"/>
              </w:rPr>
              <w:t>221 (56.8)</w:t>
            </w:r>
          </w:p>
        </w:tc>
      </w:tr>
      <w:tr w:rsidR="00581635" w14:paraId="1D264A4E" w14:textId="77777777">
        <w:trPr>
          <w:cantSplit/>
          <w:tblHeader/>
          <w:jc w:val="center"/>
        </w:trPr>
        <w:tc>
          <w:tcPr>
            <w:tcW w:w="5508" w:type="dxa"/>
            <w:tcMar>
              <w:top w:w="25" w:type="dxa"/>
              <w:left w:w="70" w:type="dxa"/>
              <w:bottom w:w="25" w:type="dxa"/>
              <w:right w:w="70" w:type="dxa"/>
            </w:tcMar>
            <w:vAlign w:val="center"/>
          </w:tcPr>
          <w:p w14:paraId="7961E500" w14:textId="77777777" w:rsidR="00581635" w:rsidRDefault="00317EF8">
            <w:pPr>
              <w:pStyle w:val="Normal1"/>
              <w:keepNext/>
            </w:pPr>
            <w:r>
              <w:rPr>
                <w:sz w:val="17"/>
                <w:szCs w:val="17"/>
              </w:rPr>
              <w:t>Tooth decay can affect a child’s ability to eat, speak and grow properly.</w:t>
            </w:r>
          </w:p>
        </w:tc>
        <w:tc>
          <w:tcPr>
            <w:tcW w:w="1350" w:type="dxa"/>
            <w:tcMar>
              <w:top w:w="25" w:type="dxa"/>
              <w:left w:w="70" w:type="dxa"/>
              <w:bottom w:w="25" w:type="dxa"/>
              <w:right w:w="70" w:type="dxa"/>
            </w:tcMar>
            <w:vAlign w:val="center"/>
          </w:tcPr>
          <w:p w14:paraId="3B9B2FEE" w14:textId="77777777" w:rsidR="00581635" w:rsidRDefault="00317EF8">
            <w:pPr>
              <w:pStyle w:val="Normal1"/>
              <w:keepNext/>
              <w:jc w:val="center"/>
            </w:pPr>
            <w:r>
              <w:rPr>
                <w:sz w:val="17"/>
                <w:szCs w:val="17"/>
              </w:rPr>
              <w:t>127 (32.6)</w:t>
            </w:r>
          </w:p>
        </w:tc>
        <w:tc>
          <w:tcPr>
            <w:tcW w:w="1350" w:type="dxa"/>
            <w:tcMar>
              <w:top w:w="25" w:type="dxa"/>
              <w:left w:w="70" w:type="dxa"/>
              <w:bottom w:w="25" w:type="dxa"/>
              <w:right w:w="70" w:type="dxa"/>
            </w:tcMar>
            <w:vAlign w:val="center"/>
          </w:tcPr>
          <w:p w14:paraId="4B8A8BE9" w14:textId="77777777" w:rsidR="00581635" w:rsidRDefault="00317EF8">
            <w:pPr>
              <w:pStyle w:val="Normal1"/>
              <w:keepNext/>
              <w:jc w:val="center"/>
            </w:pPr>
            <w:r>
              <w:rPr>
                <w:sz w:val="17"/>
                <w:szCs w:val="17"/>
              </w:rPr>
              <w:t>262 (67.4)</w:t>
            </w:r>
          </w:p>
        </w:tc>
      </w:tr>
      <w:tr w:rsidR="00581635" w14:paraId="7A64D995" w14:textId="77777777">
        <w:trPr>
          <w:cantSplit/>
          <w:tblHeader/>
          <w:jc w:val="center"/>
        </w:trPr>
        <w:tc>
          <w:tcPr>
            <w:tcW w:w="5508" w:type="dxa"/>
            <w:tcMar>
              <w:top w:w="25" w:type="dxa"/>
              <w:left w:w="70" w:type="dxa"/>
              <w:bottom w:w="25" w:type="dxa"/>
              <w:right w:w="70" w:type="dxa"/>
            </w:tcMar>
            <w:vAlign w:val="center"/>
          </w:tcPr>
          <w:p w14:paraId="60FD51F3" w14:textId="77777777" w:rsidR="00581635" w:rsidRDefault="00317EF8">
            <w:pPr>
              <w:pStyle w:val="Normal1"/>
              <w:keepNext/>
            </w:pPr>
            <w:r>
              <w:rPr>
                <w:sz w:val="17"/>
                <w:szCs w:val="17"/>
              </w:rPr>
              <w:t>Limiting sugary snacks and encouraging good oral hygiene can help prevent tooth decay in children.</w:t>
            </w:r>
          </w:p>
        </w:tc>
        <w:tc>
          <w:tcPr>
            <w:tcW w:w="1350" w:type="dxa"/>
            <w:tcMar>
              <w:top w:w="25" w:type="dxa"/>
              <w:left w:w="70" w:type="dxa"/>
              <w:bottom w:w="25" w:type="dxa"/>
              <w:right w:w="70" w:type="dxa"/>
            </w:tcMar>
            <w:vAlign w:val="center"/>
          </w:tcPr>
          <w:p w14:paraId="713DB948" w14:textId="77777777" w:rsidR="00581635" w:rsidRDefault="00317EF8">
            <w:pPr>
              <w:pStyle w:val="Normal1"/>
              <w:keepNext/>
              <w:jc w:val="center"/>
            </w:pPr>
            <w:r>
              <w:rPr>
                <w:sz w:val="17"/>
                <w:szCs w:val="17"/>
              </w:rPr>
              <w:t>131 (33.7)</w:t>
            </w:r>
          </w:p>
        </w:tc>
        <w:tc>
          <w:tcPr>
            <w:tcW w:w="1350" w:type="dxa"/>
            <w:tcMar>
              <w:top w:w="25" w:type="dxa"/>
              <w:left w:w="70" w:type="dxa"/>
              <w:bottom w:w="25" w:type="dxa"/>
              <w:right w:w="70" w:type="dxa"/>
            </w:tcMar>
            <w:vAlign w:val="center"/>
          </w:tcPr>
          <w:p w14:paraId="67F9EF79" w14:textId="77777777" w:rsidR="00581635" w:rsidRDefault="00317EF8">
            <w:pPr>
              <w:pStyle w:val="Normal1"/>
              <w:keepNext/>
              <w:jc w:val="center"/>
            </w:pPr>
            <w:r>
              <w:rPr>
                <w:sz w:val="17"/>
                <w:szCs w:val="17"/>
              </w:rPr>
              <w:t>258 (66.3)</w:t>
            </w:r>
          </w:p>
        </w:tc>
      </w:tr>
      <w:tr w:rsidR="00581635" w14:paraId="125B302A" w14:textId="77777777">
        <w:trPr>
          <w:cantSplit/>
          <w:tblHeader/>
          <w:jc w:val="center"/>
        </w:trPr>
        <w:tc>
          <w:tcPr>
            <w:tcW w:w="5508" w:type="dxa"/>
            <w:tcMar>
              <w:top w:w="25" w:type="dxa"/>
              <w:left w:w="70" w:type="dxa"/>
              <w:bottom w:w="25" w:type="dxa"/>
              <w:right w:w="70" w:type="dxa"/>
            </w:tcMar>
            <w:vAlign w:val="center"/>
          </w:tcPr>
          <w:p w14:paraId="09FC2729" w14:textId="77777777" w:rsidR="00581635" w:rsidRDefault="00317EF8">
            <w:pPr>
              <w:pStyle w:val="Normal1"/>
            </w:pPr>
            <w:r>
              <w:rPr>
                <w:b/>
                <w:bCs/>
                <w:sz w:val="17"/>
                <w:szCs w:val="17"/>
              </w:rPr>
              <w:t>Total (item responses)</w:t>
            </w:r>
          </w:p>
        </w:tc>
        <w:tc>
          <w:tcPr>
            <w:tcW w:w="1350" w:type="dxa"/>
            <w:tcMar>
              <w:top w:w="25" w:type="dxa"/>
              <w:left w:w="70" w:type="dxa"/>
              <w:bottom w:w="25" w:type="dxa"/>
              <w:right w:w="70" w:type="dxa"/>
            </w:tcMar>
            <w:vAlign w:val="center"/>
          </w:tcPr>
          <w:p w14:paraId="29771774" w14:textId="77777777" w:rsidR="00581635" w:rsidRDefault="00317EF8">
            <w:pPr>
              <w:pStyle w:val="Normal1"/>
              <w:jc w:val="center"/>
            </w:pPr>
            <w:r>
              <w:rPr>
                <w:b/>
                <w:bCs/>
                <w:sz w:val="17"/>
                <w:szCs w:val="17"/>
              </w:rPr>
              <w:t>2017 (34.6)</w:t>
            </w:r>
          </w:p>
        </w:tc>
        <w:tc>
          <w:tcPr>
            <w:tcW w:w="1350" w:type="dxa"/>
            <w:tcMar>
              <w:top w:w="25" w:type="dxa"/>
              <w:left w:w="70" w:type="dxa"/>
              <w:bottom w:w="25" w:type="dxa"/>
              <w:right w:w="70" w:type="dxa"/>
            </w:tcMar>
            <w:vAlign w:val="center"/>
          </w:tcPr>
          <w:p w14:paraId="58CB8286" w14:textId="77777777" w:rsidR="00581635" w:rsidRDefault="00317EF8">
            <w:pPr>
              <w:pStyle w:val="Normal1"/>
              <w:jc w:val="center"/>
            </w:pPr>
            <w:r>
              <w:rPr>
                <w:b/>
                <w:bCs/>
                <w:sz w:val="17"/>
                <w:szCs w:val="17"/>
              </w:rPr>
              <w:t>3818 (65.4)</w:t>
            </w:r>
          </w:p>
        </w:tc>
      </w:tr>
    </w:tbl>
    <w:p w14:paraId="4F537ACC" w14:textId="77777777" w:rsidR="00581635" w:rsidRDefault="00317EF8">
      <w:pPr>
        <w:pStyle w:val="Normal1"/>
        <w:spacing w:before="60" w:after="200"/>
        <w:jc w:val="both"/>
      </w:pPr>
      <w:proofErr w:type="spellStart"/>
      <w:r>
        <w:rPr>
          <w:sz w:val="16"/>
          <w:szCs w:val="16"/>
          <w:vertAlign w:val="superscript"/>
        </w:rPr>
        <w:t>a</w:t>
      </w:r>
      <w:r>
        <w:rPr>
          <w:sz w:val="16"/>
          <w:szCs w:val="16"/>
        </w:rPr>
        <w:t>Negatively</w:t>
      </w:r>
      <w:proofErr w:type="spellEnd"/>
      <w:r>
        <w:rPr>
          <w:sz w:val="16"/>
          <w:szCs w:val="16"/>
        </w:rPr>
        <w:t xml:space="preserve"> worded (misconception) item, for which a “Yes” response is incorrect. The total therefore counts affirmative responses and is not a measure of correct knowledge.</w:t>
      </w:r>
    </w:p>
    <w:p w14:paraId="509ABF26" w14:textId="77777777" w:rsidR="00581635" w:rsidRDefault="00317EF8">
      <w:pPr>
        <w:pStyle w:val="Normal1"/>
        <w:keepNext/>
        <w:spacing w:before="120" w:after="60"/>
        <w:jc w:val="center"/>
      </w:pPr>
      <w:r>
        <w:rPr>
          <w:noProof/>
        </w:rPr>
        <w:drawing>
          <wp:inline distT="0" distB="0" distL="0" distR="0" wp14:anchorId="1BFDD392" wp14:editId="73AA5A02">
            <wp:extent cx="4476750" cy="2895600"/>
            <wp:effectExtent l="0" t="0" r="0" b="0"/>
            <wp:docPr id="2" name="image1.png" descr="Bar chart of caregivers knowledge level: poor 33.7%, fair 40.1%, good 26.2%"/>
            <wp:cNvGraphicFramePr/>
            <a:graphic xmlns:a="http://schemas.openxmlformats.org/drawingml/2006/main">
              <a:graphicData uri="http://schemas.openxmlformats.org/drawingml/2006/picture">
                <pic:pic xmlns:pic="http://schemas.openxmlformats.org/drawingml/2006/picture">
                  <pic:nvPicPr>
                    <pic:cNvPr id="0" name="image1.png" descr="Bar chart of caregivers knowledge level: poor 33.7%, fair 40.1%, good 26.2%"/>
                    <pic:cNvPicPr preferRelativeResize="0"/>
                  </pic:nvPicPr>
                  <pic:blipFill>
                    <a:blip r:embed="rId9" cstate="print"/>
                    <a:srcRect/>
                    <a:stretch>
                      <a:fillRect/>
                    </a:stretch>
                  </pic:blipFill>
                  <pic:spPr>
                    <a:xfrm>
                      <a:off x="0" y="0"/>
                      <a:ext cx="4476750" cy="2895600"/>
                    </a:xfrm>
                    <a:prstGeom prst="rect">
                      <a:avLst/>
                    </a:prstGeom>
                    <a:ln/>
                  </pic:spPr>
                </pic:pic>
              </a:graphicData>
            </a:graphic>
          </wp:inline>
        </w:drawing>
      </w:r>
    </w:p>
    <w:p w14:paraId="5BA3E2E1" w14:textId="77777777" w:rsidR="00581635" w:rsidRDefault="00317EF8">
      <w:pPr>
        <w:pStyle w:val="Normal1"/>
        <w:spacing w:before="40" w:after="200"/>
      </w:pPr>
      <w:r>
        <w:rPr>
          <w:b/>
          <w:bCs/>
        </w:rPr>
        <w:t>Fig. 2.</w:t>
      </w:r>
      <w:r>
        <w:t> </w:t>
      </w:r>
      <w:r>
        <w:rPr>
          <w:rFonts w:ascii="Arial Unicode MS" w:eastAsia="Arial Unicode MS" w:hAnsi="Arial Unicode MS" w:cs="Arial Unicode MS"/>
          <w:b/>
          <w:bCs/>
        </w:rPr>
        <w:t>Level of caregivers’ knowledge regarding dental caries and oral health practices (N = 389). Poor ≤49%, fair 50–69%, good ≥70%.</w:t>
      </w:r>
    </w:p>
    <w:p w14:paraId="3943B5EB" w14:textId="77777777" w:rsidR="00581635" w:rsidRDefault="00317EF8">
      <w:pPr>
        <w:pStyle w:val="Normal1"/>
        <w:spacing w:after="120" w:line="264" w:lineRule="auto"/>
        <w:jc w:val="both"/>
      </w:pPr>
      <w:r>
        <w:lastRenderedPageBreak/>
        <w:t>Knowledge was mixed: only 26.2% of caregivers had good knowledge, while 33.7% had poor knowledge. Caregivers were aware of the role of bacteria, sugar and poor brushing, but misconceptions about the need to treat baby teeth, brushing frequency, susceptibility of young children and the sharing of utensils persisted. Comparable gaps have been reported among parents in Saudi Arabia, where most recognized the importance of brushing but about half were unaware of early signs of decay (Nassar et al., 2022), and where knowledge of early dental visits and early signs was moderate (</w:t>
      </w:r>
      <w:proofErr w:type="spellStart"/>
      <w:r>
        <w:t>Alshamrani</w:t>
      </w:r>
      <w:proofErr w:type="spellEnd"/>
      <w:r>
        <w:t xml:space="preserve"> et al., 2026). A study in north-west Ethiopia reported that more than two-thirds of parents had adequate knowledge but fewer than half had good practices (Mitiku </w:t>
      </w:r>
      <w:proofErr w:type="spellStart"/>
      <w:r>
        <w:t>Kidie</w:t>
      </w:r>
      <w:proofErr w:type="spellEnd"/>
      <w:r>
        <w:t xml:space="preserve"> et al., 2026), a more </w:t>
      </w:r>
      <w:r>
        <w:rPr>
          <w:highlight w:val="yellow"/>
        </w:rPr>
        <w:t>favourable</w:t>
      </w:r>
      <w:r>
        <w:t xml:space="preserve"> picture than ours that may reflect different instruments, thresholds and educational levels.</w:t>
      </w:r>
    </w:p>
    <w:p w14:paraId="75A6CC96" w14:textId="77777777" w:rsidR="00581635" w:rsidRDefault="00317EF8">
      <w:pPr>
        <w:pStyle w:val="Heading2"/>
        <w:keepNext/>
        <w:spacing w:before="200" w:after="100"/>
      </w:pPr>
      <w:r>
        <w:t>3.5 BEHAVIORAL FACTORS</w:t>
      </w:r>
    </w:p>
    <w:p w14:paraId="1B039CFE" w14:textId="77777777" w:rsidR="00581635" w:rsidRDefault="00317EF8">
      <w:pPr>
        <w:pStyle w:val="Normal1"/>
        <w:spacing w:after="120" w:line="264" w:lineRule="auto"/>
        <w:jc w:val="both"/>
      </w:pPr>
      <w:r>
        <w:t xml:space="preserve">Table 5 shows that protective </w:t>
      </w:r>
      <w:r>
        <w:rPr>
          <w:highlight w:val="yellow"/>
        </w:rPr>
        <w:t>behaviours</w:t>
      </w:r>
      <w:r>
        <w:t xml:space="preserve"> were uncommon: 30.3% of children brushed at least twice daily, 35.7% used fluoridated toothpaste, 33.2% were supervised during brushing and 31.1% rinsed or brushed after sugary foods. Risk </w:t>
      </w:r>
      <w:r>
        <w:rPr>
          <w:highlight w:val="yellow"/>
        </w:rPr>
        <w:t>behaviours</w:t>
      </w:r>
      <w:r>
        <w:t xml:space="preserve"> were frequent: 41.9% consumed sweetened drinks or milk from a bottle at bedtime, 43.4% shared utensils, 36.8% had sweetened drinks more than once daily, 36.8% had frequent between-meal snacks and 34.2% had sugary snacks more than once daily. Using the composite classification, 337 children (86.6%) had </w:t>
      </w:r>
      <w:r>
        <w:rPr>
          <w:highlight w:val="yellow"/>
        </w:rPr>
        <w:t>unfavourable</w:t>
      </w:r>
      <w:r>
        <w:t xml:space="preserve"> and 52 (13.4%) </w:t>
      </w:r>
      <w:r>
        <w:rPr>
          <w:highlight w:val="yellow"/>
        </w:rPr>
        <w:t>favourable</w:t>
      </w:r>
      <w:r>
        <w:t xml:space="preserve"> </w:t>
      </w:r>
      <w:r>
        <w:rPr>
          <w:highlight w:val="yellow"/>
        </w:rPr>
        <w:t>behaviours</w:t>
      </w:r>
      <w:r>
        <w:t>.</w:t>
      </w:r>
    </w:p>
    <w:p w14:paraId="74AA718B" w14:textId="77777777" w:rsidR="00581635" w:rsidRDefault="00317EF8">
      <w:pPr>
        <w:pStyle w:val="Normal1"/>
        <w:keepNext/>
        <w:spacing w:before="160" w:after="80"/>
      </w:pPr>
      <w:r>
        <w:rPr>
          <w:b/>
          <w:bCs/>
        </w:rPr>
        <w:t>Table 5.</w:t>
      </w:r>
      <w:r>
        <w:t> </w:t>
      </w:r>
      <w:r>
        <w:rPr>
          <w:b/>
          <w:bCs/>
        </w:rPr>
        <w:t>Behavioral practices of the children (N = 389)</w:t>
      </w:r>
    </w:p>
    <w:tbl>
      <w:tblPr>
        <w:tblStyle w:val="a3"/>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5508"/>
        <w:gridCol w:w="1350"/>
        <w:gridCol w:w="1350"/>
      </w:tblGrid>
      <w:tr w:rsidR="00581635" w14:paraId="4610CF16" w14:textId="77777777">
        <w:trPr>
          <w:cantSplit/>
          <w:tblHeader/>
          <w:jc w:val="center"/>
        </w:trPr>
        <w:tc>
          <w:tcPr>
            <w:tcW w:w="5508" w:type="dxa"/>
            <w:tcBorders>
              <w:bottom w:val="single" w:sz="4" w:space="0" w:color="000000"/>
            </w:tcBorders>
            <w:tcMar>
              <w:top w:w="25" w:type="dxa"/>
              <w:left w:w="70" w:type="dxa"/>
              <w:bottom w:w="25" w:type="dxa"/>
              <w:right w:w="70" w:type="dxa"/>
            </w:tcMar>
            <w:vAlign w:val="center"/>
          </w:tcPr>
          <w:p w14:paraId="49D2E751" w14:textId="77777777" w:rsidR="00581635" w:rsidRDefault="00317EF8">
            <w:pPr>
              <w:pStyle w:val="Normal1"/>
              <w:keepNext/>
            </w:pPr>
            <w:r>
              <w:rPr>
                <w:b/>
                <w:bCs/>
                <w:sz w:val="17"/>
                <w:szCs w:val="17"/>
              </w:rPr>
              <w:t>Statement</w:t>
            </w:r>
          </w:p>
        </w:tc>
        <w:tc>
          <w:tcPr>
            <w:tcW w:w="1350" w:type="dxa"/>
            <w:tcBorders>
              <w:bottom w:val="single" w:sz="4" w:space="0" w:color="000000"/>
            </w:tcBorders>
            <w:tcMar>
              <w:top w:w="25" w:type="dxa"/>
              <w:left w:w="70" w:type="dxa"/>
              <w:bottom w:w="25" w:type="dxa"/>
              <w:right w:w="70" w:type="dxa"/>
            </w:tcMar>
            <w:vAlign w:val="center"/>
          </w:tcPr>
          <w:p w14:paraId="3B00F826" w14:textId="77777777" w:rsidR="00581635" w:rsidRDefault="00317EF8">
            <w:pPr>
              <w:pStyle w:val="Normal1"/>
              <w:keepNext/>
              <w:jc w:val="center"/>
            </w:pPr>
            <w:r>
              <w:rPr>
                <w:b/>
                <w:bCs/>
                <w:sz w:val="17"/>
                <w:szCs w:val="17"/>
              </w:rPr>
              <w:t>No, n (%)</w:t>
            </w:r>
          </w:p>
        </w:tc>
        <w:tc>
          <w:tcPr>
            <w:tcW w:w="1350" w:type="dxa"/>
            <w:tcBorders>
              <w:bottom w:val="single" w:sz="4" w:space="0" w:color="000000"/>
            </w:tcBorders>
            <w:tcMar>
              <w:top w:w="25" w:type="dxa"/>
              <w:left w:w="70" w:type="dxa"/>
              <w:bottom w:w="25" w:type="dxa"/>
              <w:right w:w="70" w:type="dxa"/>
            </w:tcMar>
            <w:vAlign w:val="center"/>
          </w:tcPr>
          <w:p w14:paraId="2F3CAEF6" w14:textId="77777777" w:rsidR="00581635" w:rsidRDefault="00317EF8">
            <w:pPr>
              <w:pStyle w:val="Normal1"/>
              <w:keepNext/>
              <w:jc w:val="center"/>
            </w:pPr>
            <w:r>
              <w:rPr>
                <w:b/>
                <w:bCs/>
                <w:sz w:val="17"/>
                <w:szCs w:val="17"/>
              </w:rPr>
              <w:t>Yes, n (%)</w:t>
            </w:r>
          </w:p>
        </w:tc>
      </w:tr>
      <w:tr w:rsidR="00581635" w14:paraId="742417A1" w14:textId="77777777">
        <w:trPr>
          <w:cantSplit/>
          <w:tblHeader/>
          <w:jc w:val="center"/>
        </w:trPr>
        <w:tc>
          <w:tcPr>
            <w:tcW w:w="5508" w:type="dxa"/>
            <w:tcMar>
              <w:top w:w="25" w:type="dxa"/>
              <w:left w:w="70" w:type="dxa"/>
              <w:bottom w:w="25" w:type="dxa"/>
              <w:right w:w="70" w:type="dxa"/>
            </w:tcMar>
            <w:vAlign w:val="center"/>
          </w:tcPr>
          <w:p w14:paraId="0DE54FEB" w14:textId="77777777" w:rsidR="00581635" w:rsidRDefault="00317EF8">
            <w:pPr>
              <w:pStyle w:val="Normal1"/>
              <w:keepNext/>
            </w:pPr>
            <w:r>
              <w:rPr>
                <w:sz w:val="17"/>
                <w:szCs w:val="17"/>
              </w:rPr>
              <w:t>Child brushes teeth at least twice daily</w:t>
            </w:r>
          </w:p>
        </w:tc>
        <w:tc>
          <w:tcPr>
            <w:tcW w:w="1350" w:type="dxa"/>
            <w:tcMar>
              <w:top w:w="25" w:type="dxa"/>
              <w:left w:w="70" w:type="dxa"/>
              <w:bottom w:w="25" w:type="dxa"/>
              <w:right w:w="70" w:type="dxa"/>
            </w:tcMar>
            <w:vAlign w:val="center"/>
          </w:tcPr>
          <w:p w14:paraId="3137A471" w14:textId="77777777" w:rsidR="00581635" w:rsidRDefault="00317EF8">
            <w:pPr>
              <w:pStyle w:val="Normal1"/>
              <w:keepNext/>
              <w:jc w:val="center"/>
            </w:pPr>
            <w:r>
              <w:rPr>
                <w:sz w:val="17"/>
                <w:szCs w:val="17"/>
              </w:rPr>
              <w:t>271 (69.7)</w:t>
            </w:r>
          </w:p>
        </w:tc>
        <w:tc>
          <w:tcPr>
            <w:tcW w:w="1350" w:type="dxa"/>
            <w:tcMar>
              <w:top w:w="25" w:type="dxa"/>
              <w:left w:w="70" w:type="dxa"/>
              <w:bottom w:w="25" w:type="dxa"/>
              <w:right w:w="70" w:type="dxa"/>
            </w:tcMar>
            <w:vAlign w:val="center"/>
          </w:tcPr>
          <w:p w14:paraId="3EAC5420" w14:textId="77777777" w:rsidR="00581635" w:rsidRDefault="00317EF8">
            <w:pPr>
              <w:pStyle w:val="Normal1"/>
              <w:keepNext/>
              <w:jc w:val="center"/>
            </w:pPr>
            <w:r>
              <w:rPr>
                <w:sz w:val="17"/>
                <w:szCs w:val="17"/>
              </w:rPr>
              <w:t>118 (30.3)</w:t>
            </w:r>
          </w:p>
        </w:tc>
      </w:tr>
      <w:tr w:rsidR="00581635" w14:paraId="6760D02D" w14:textId="77777777">
        <w:trPr>
          <w:cantSplit/>
          <w:tblHeader/>
          <w:jc w:val="center"/>
        </w:trPr>
        <w:tc>
          <w:tcPr>
            <w:tcW w:w="5508" w:type="dxa"/>
            <w:tcMar>
              <w:top w:w="25" w:type="dxa"/>
              <w:left w:w="70" w:type="dxa"/>
              <w:bottom w:w="25" w:type="dxa"/>
              <w:right w:w="70" w:type="dxa"/>
            </w:tcMar>
            <w:vAlign w:val="center"/>
          </w:tcPr>
          <w:p w14:paraId="27AB6AAF" w14:textId="77777777" w:rsidR="00581635" w:rsidRDefault="00317EF8">
            <w:pPr>
              <w:pStyle w:val="Normal1"/>
              <w:keepNext/>
            </w:pPr>
            <w:r>
              <w:rPr>
                <w:sz w:val="17"/>
                <w:szCs w:val="17"/>
              </w:rPr>
              <w:t>Child uses fluoridated toothpaste when brushing</w:t>
            </w:r>
          </w:p>
        </w:tc>
        <w:tc>
          <w:tcPr>
            <w:tcW w:w="1350" w:type="dxa"/>
            <w:tcMar>
              <w:top w:w="25" w:type="dxa"/>
              <w:left w:w="70" w:type="dxa"/>
              <w:bottom w:w="25" w:type="dxa"/>
              <w:right w:w="70" w:type="dxa"/>
            </w:tcMar>
            <w:vAlign w:val="center"/>
          </w:tcPr>
          <w:p w14:paraId="76288454" w14:textId="77777777" w:rsidR="00581635" w:rsidRDefault="00317EF8">
            <w:pPr>
              <w:pStyle w:val="Normal1"/>
              <w:keepNext/>
              <w:jc w:val="center"/>
            </w:pPr>
            <w:r>
              <w:rPr>
                <w:sz w:val="17"/>
                <w:szCs w:val="17"/>
              </w:rPr>
              <w:t>250 (64.3)</w:t>
            </w:r>
          </w:p>
        </w:tc>
        <w:tc>
          <w:tcPr>
            <w:tcW w:w="1350" w:type="dxa"/>
            <w:tcMar>
              <w:top w:w="25" w:type="dxa"/>
              <w:left w:w="70" w:type="dxa"/>
              <w:bottom w:w="25" w:type="dxa"/>
              <w:right w:w="70" w:type="dxa"/>
            </w:tcMar>
            <w:vAlign w:val="center"/>
          </w:tcPr>
          <w:p w14:paraId="0B6972AB" w14:textId="77777777" w:rsidR="00581635" w:rsidRDefault="00317EF8">
            <w:pPr>
              <w:pStyle w:val="Normal1"/>
              <w:keepNext/>
              <w:jc w:val="center"/>
            </w:pPr>
            <w:r>
              <w:rPr>
                <w:sz w:val="17"/>
                <w:szCs w:val="17"/>
              </w:rPr>
              <w:t>139 (35.7)</w:t>
            </w:r>
          </w:p>
        </w:tc>
      </w:tr>
      <w:tr w:rsidR="00581635" w14:paraId="36084B1F" w14:textId="77777777">
        <w:trPr>
          <w:cantSplit/>
          <w:tblHeader/>
          <w:jc w:val="center"/>
        </w:trPr>
        <w:tc>
          <w:tcPr>
            <w:tcW w:w="5508" w:type="dxa"/>
            <w:tcMar>
              <w:top w:w="25" w:type="dxa"/>
              <w:left w:w="70" w:type="dxa"/>
              <w:bottom w:w="25" w:type="dxa"/>
              <w:right w:w="70" w:type="dxa"/>
            </w:tcMar>
            <w:vAlign w:val="center"/>
          </w:tcPr>
          <w:p w14:paraId="081F482F" w14:textId="77777777" w:rsidR="00581635" w:rsidRDefault="00317EF8">
            <w:pPr>
              <w:pStyle w:val="Normal1"/>
              <w:keepNext/>
            </w:pPr>
            <w:r>
              <w:rPr>
                <w:sz w:val="17"/>
                <w:szCs w:val="17"/>
              </w:rPr>
              <w:t>Caregiver supervises or helps the child when brushing</w:t>
            </w:r>
          </w:p>
        </w:tc>
        <w:tc>
          <w:tcPr>
            <w:tcW w:w="1350" w:type="dxa"/>
            <w:tcMar>
              <w:top w:w="25" w:type="dxa"/>
              <w:left w:w="70" w:type="dxa"/>
              <w:bottom w:w="25" w:type="dxa"/>
              <w:right w:w="70" w:type="dxa"/>
            </w:tcMar>
            <w:vAlign w:val="center"/>
          </w:tcPr>
          <w:p w14:paraId="3320F3E3" w14:textId="77777777" w:rsidR="00581635" w:rsidRDefault="00317EF8">
            <w:pPr>
              <w:pStyle w:val="Normal1"/>
              <w:keepNext/>
              <w:jc w:val="center"/>
            </w:pPr>
            <w:r>
              <w:rPr>
                <w:sz w:val="17"/>
                <w:szCs w:val="17"/>
              </w:rPr>
              <w:t>260 (66.8)</w:t>
            </w:r>
          </w:p>
        </w:tc>
        <w:tc>
          <w:tcPr>
            <w:tcW w:w="1350" w:type="dxa"/>
            <w:tcMar>
              <w:top w:w="25" w:type="dxa"/>
              <w:left w:w="70" w:type="dxa"/>
              <w:bottom w:w="25" w:type="dxa"/>
              <w:right w:w="70" w:type="dxa"/>
            </w:tcMar>
            <w:vAlign w:val="center"/>
          </w:tcPr>
          <w:p w14:paraId="123929E1" w14:textId="77777777" w:rsidR="00581635" w:rsidRDefault="00317EF8">
            <w:pPr>
              <w:pStyle w:val="Normal1"/>
              <w:keepNext/>
              <w:jc w:val="center"/>
            </w:pPr>
            <w:r>
              <w:rPr>
                <w:sz w:val="17"/>
                <w:szCs w:val="17"/>
              </w:rPr>
              <w:t>129 (33.2)</w:t>
            </w:r>
          </w:p>
        </w:tc>
      </w:tr>
      <w:tr w:rsidR="00581635" w14:paraId="1D0D9762" w14:textId="77777777">
        <w:trPr>
          <w:cantSplit/>
          <w:tblHeader/>
          <w:jc w:val="center"/>
        </w:trPr>
        <w:tc>
          <w:tcPr>
            <w:tcW w:w="5508" w:type="dxa"/>
            <w:tcMar>
              <w:top w:w="25" w:type="dxa"/>
              <w:left w:w="70" w:type="dxa"/>
              <w:bottom w:w="25" w:type="dxa"/>
              <w:right w:w="70" w:type="dxa"/>
            </w:tcMar>
            <w:vAlign w:val="center"/>
          </w:tcPr>
          <w:p w14:paraId="7736A872" w14:textId="77777777" w:rsidR="00581635" w:rsidRDefault="00317EF8">
            <w:pPr>
              <w:pStyle w:val="Normal1"/>
              <w:keepNext/>
            </w:pPr>
            <w:r>
              <w:rPr>
                <w:sz w:val="17"/>
                <w:szCs w:val="17"/>
              </w:rPr>
              <w:t>Child consumes sugary snacks more than once a day</w:t>
            </w:r>
          </w:p>
        </w:tc>
        <w:tc>
          <w:tcPr>
            <w:tcW w:w="1350" w:type="dxa"/>
            <w:tcMar>
              <w:top w:w="25" w:type="dxa"/>
              <w:left w:w="70" w:type="dxa"/>
              <w:bottom w:w="25" w:type="dxa"/>
              <w:right w:w="70" w:type="dxa"/>
            </w:tcMar>
            <w:vAlign w:val="center"/>
          </w:tcPr>
          <w:p w14:paraId="06E9027F" w14:textId="77777777" w:rsidR="00581635" w:rsidRDefault="00317EF8">
            <w:pPr>
              <w:pStyle w:val="Normal1"/>
              <w:keepNext/>
              <w:jc w:val="center"/>
            </w:pPr>
            <w:r>
              <w:rPr>
                <w:sz w:val="17"/>
                <w:szCs w:val="17"/>
              </w:rPr>
              <w:t>256 (65.8)</w:t>
            </w:r>
          </w:p>
        </w:tc>
        <w:tc>
          <w:tcPr>
            <w:tcW w:w="1350" w:type="dxa"/>
            <w:tcMar>
              <w:top w:w="25" w:type="dxa"/>
              <w:left w:w="70" w:type="dxa"/>
              <w:bottom w:w="25" w:type="dxa"/>
              <w:right w:w="70" w:type="dxa"/>
            </w:tcMar>
            <w:vAlign w:val="center"/>
          </w:tcPr>
          <w:p w14:paraId="341176F6" w14:textId="77777777" w:rsidR="00581635" w:rsidRDefault="00317EF8">
            <w:pPr>
              <w:pStyle w:val="Normal1"/>
              <w:keepNext/>
              <w:jc w:val="center"/>
            </w:pPr>
            <w:r>
              <w:rPr>
                <w:sz w:val="17"/>
                <w:szCs w:val="17"/>
              </w:rPr>
              <w:t>133 (34.2)</w:t>
            </w:r>
          </w:p>
        </w:tc>
      </w:tr>
      <w:tr w:rsidR="00581635" w14:paraId="48CBD7AB" w14:textId="77777777">
        <w:trPr>
          <w:cantSplit/>
          <w:tblHeader/>
          <w:jc w:val="center"/>
        </w:trPr>
        <w:tc>
          <w:tcPr>
            <w:tcW w:w="5508" w:type="dxa"/>
            <w:tcMar>
              <w:top w:w="25" w:type="dxa"/>
              <w:left w:w="70" w:type="dxa"/>
              <w:bottom w:w="25" w:type="dxa"/>
              <w:right w:w="70" w:type="dxa"/>
            </w:tcMar>
            <w:vAlign w:val="center"/>
          </w:tcPr>
          <w:p w14:paraId="2D75402D" w14:textId="77777777" w:rsidR="00581635" w:rsidRDefault="00317EF8">
            <w:pPr>
              <w:pStyle w:val="Normal1"/>
              <w:keepNext/>
            </w:pPr>
            <w:r>
              <w:rPr>
                <w:sz w:val="17"/>
                <w:szCs w:val="17"/>
              </w:rPr>
              <w:t>Child drinks sweetened drinks more than once a day</w:t>
            </w:r>
          </w:p>
        </w:tc>
        <w:tc>
          <w:tcPr>
            <w:tcW w:w="1350" w:type="dxa"/>
            <w:tcMar>
              <w:top w:w="25" w:type="dxa"/>
              <w:left w:w="70" w:type="dxa"/>
              <w:bottom w:w="25" w:type="dxa"/>
              <w:right w:w="70" w:type="dxa"/>
            </w:tcMar>
            <w:vAlign w:val="center"/>
          </w:tcPr>
          <w:p w14:paraId="062BD352" w14:textId="77777777" w:rsidR="00581635" w:rsidRDefault="00317EF8">
            <w:pPr>
              <w:pStyle w:val="Normal1"/>
              <w:keepNext/>
              <w:jc w:val="center"/>
            </w:pPr>
            <w:r>
              <w:rPr>
                <w:sz w:val="17"/>
                <w:szCs w:val="17"/>
              </w:rPr>
              <w:t>246 (63.2)</w:t>
            </w:r>
          </w:p>
        </w:tc>
        <w:tc>
          <w:tcPr>
            <w:tcW w:w="1350" w:type="dxa"/>
            <w:tcMar>
              <w:top w:w="25" w:type="dxa"/>
              <w:left w:w="70" w:type="dxa"/>
              <w:bottom w:w="25" w:type="dxa"/>
              <w:right w:w="70" w:type="dxa"/>
            </w:tcMar>
            <w:vAlign w:val="center"/>
          </w:tcPr>
          <w:p w14:paraId="5A56A384" w14:textId="77777777" w:rsidR="00581635" w:rsidRDefault="00317EF8">
            <w:pPr>
              <w:pStyle w:val="Normal1"/>
              <w:keepNext/>
              <w:jc w:val="center"/>
            </w:pPr>
            <w:r>
              <w:rPr>
                <w:sz w:val="17"/>
                <w:szCs w:val="17"/>
              </w:rPr>
              <w:t>143 (36.8)</w:t>
            </w:r>
          </w:p>
        </w:tc>
      </w:tr>
      <w:tr w:rsidR="00581635" w14:paraId="366D5AE5" w14:textId="77777777">
        <w:trPr>
          <w:cantSplit/>
          <w:tblHeader/>
          <w:jc w:val="center"/>
        </w:trPr>
        <w:tc>
          <w:tcPr>
            <w:tcW w:w="5508" w:type="dxa"/>
            <w:tcMar>
              <w:top w:w="25" w:type="dxa"/>
              <w:left w:w="70" w:type="dxa"/>
              <w:bottom w:w="25" w:type="dxa"/>
              <w:right w:w="70" w:type="dxa"/>
            </w:tcMar>
            <w:vAlign w:val="center"/>
          </w:tcPr>
          <w:p w14:paraId="4F1D975B" w14:textId="77777777" w:rsidR="00581635" w:rsidRDefault="00317EF8">
            <w:pPr>
              <w:pStyle w:val="Normal1"/>
              <w:keepNext/>
            </w:pPr>
            <w:r>
              <w:rPr>
                <w:sz w:val="17"/>
                <w:szCs w:val="17"/>
              </w:rPr>
              <w:t>Child drinks milk, juice or other sweetened drinks from a bottle at bedtime or during sleep</w:t>
            </w:r>
          </w:p>
        </w:tc>
        <w:tc>
          <w:tcPr>
            <w:tcW w:w="1350" w:type="dxa"/>
            <w:tcMar>
              <w:top w:w="25" w:type="dxa"/>
              <w:left w:w="70" w:type="dxa"/>
              <w:bottom w:w="25" w:type="dxa"/>
              <w:right w:w="70" w:type="dxa"/>
            </w:tcMar>
            <w:vAlign w:val="center"/>
          </w:tcPr>
          <w:p w14:paraId="3D446EE7" w14:textId="77777777" w:rsidR="00581635" w:rsidRDefault="00317EF8">
            <w:pPr>
              <w:pStyle w:val="Normal1"/>
              <w:keepNext/>
              <w:jc w:val="center"/>
            </w:pPr>
            <w:r>
              <w:rPr>
                <w:sz w:val="17"/>
                <w:szCs w:val="17"/>
              </w:rPr>
              <w:t>226 (58.1)</w:t>
            </w:r>
          </w:p>
        </w:tc>
        <w:tc>
          <w:tcPr>
            <w:tcW w:w="1350" w:type="dxa"/>
            <w:tcMar>
              <w:top w:w="25" w:type="dxa"/>
              <w:left w:w="70" w:type="dxa"/>
              <w:bottom w:w="25" w:type="dxa"/>
              <w:right w:w="70" w:type="dxa"/>
            </w:tcMar>
            <w:vAlign w:val="center"/>
          </w:tcPr>
          <w:p w14:paraId="055F5C87" w14:textId="77777777" w:rsidR="00581635" w:rsidRDefault="00317EF8">
            <w:pPr>
              <w:pStyle w:val="Normal1"/>
              <w:keepNext/>
              <w:jc w:val="center"/>
            </w:pPr>
            <w:r>
              <w:rPr>
                <w:sz w:val="17"/>
                <w:szCs w:val="17"/>
              </w:rPr>
              <w:t>163 (41.9)</w:t>
            </w:r>
          </w:p>
        </w:tc>
      </w:tr>
      <w:tr w:rsidR="00581635" w14:paraId="3B4AED20" w14:textId="77777777">
        <w:trPr>
          <w:cantSplit/>
          <w:tblHeader/>
          <w:jc w:val="center"/>
        </w:trPr>
        <w:tc>
          <w:tcPr>
            <w:tcW w:w="5508" w:type="dxa"/>
            <w:tcMar>
              <w:top w:w="25" w:type="dxa"/>
              <w:left w:w="70" w:type="dxa"/>
              <w:bottom w:w="25" w:type="dxa"/>
              <w:right w:w="70" w:type="dxa"/>
            </w:tcMar>
            <w:vAlign w:val="center"/>
          </w:tcPr>
          <w:p w14:paraId="1C44D158" w14:textId="77777777" w:rsidR="00581635" w:rsidRDefault="00317EF8">
            <w:pPr>
              <w:pStyle w:val="Normal1"/>
              <w:keepNext/>
            </w:pPr>
            <w:r>
              <w:rPr>
                <w:sz w:val="17"/>
                <w:szCs w:val="17"/>
              </w:rPr>
              <w:t>Child rinses mouth or brushes immediately after sugary snacks or drinks</w:t>
            </w:r>
          </w:p>
        </w:tc>
        <w:tc>
          <w:tcPr>
            <w:tcW w:w="1350" w:type="dxa"/>
            <w:tcMar>
              <w:top w:w="25" w:type="dxa"/>
              <w:left w:w="70" w:type="dxa"/>
              <w:bottom w:w="25" w:type="dxa"/>
              <w:right w:w="70" w:type="dxa"/>
            </w:tcMar>
            <w:vAlign w:val="center"/>
          </w:tcPr>
          <w:p w14:paraId="171FE1C1" w14:textId="77777777" w:rsidR="00581635" w:rsidRDefault="00317EF8">
            <w:pPr>
              <w:pStyle w:val="Normal1"/>
              <w:keepNext/>
              <w:jc w:val="center"/>
            </w:pPr>
            <w:r>
              <w:rPr>
                <w:sz w:val="17"/>
                <w:szCs w:val="17"/>
              </w:rPr>
              <w:t>268 (68.9)</w:t>
            </w:r>
          </w:p>
        </w:tc>
        <w:tc>
          <w:tcPr>
            <w:tcW w:w="1350" w:type="dxa"/>
            <w:tcMar>
              <w:top w:w="25" w:type="dxa"/>
              <w:left w:w="70" w:type="dxa"/>
              <w:bottom w:w="25" w:type="dxa"/>
              <w:right w:w="70" w:type="dxa"/>
            </w:tcMar>
            <w:vAlign w:val="center"/>
          </w:tcPr>
          <w:p w14:paraId="3D247936" w14:textId="77777777" w:rsidR="00581635" w:rsidRDefault="00317EF8">
            <w:pPr>
              <w:pStyle w:val="Normal1"/>
              <w:keepNext/>
              <w:jc w:val="center"/>
            </w:pPr>
            <w:r>
              <w:rPr>
                <w:sz w:val="17"/>
                <w:szCs w:val="17"/>
              </w:rPr>
              <w:t>121 (31.1)</w:t>
            </w:r>
          </w:p>
        </w:tc>
      </w:tr>
      <w:tr w:rsidR="00581635" w14:paraId="7A3E670E" w14:textId="77777777">
        <w:trPr>
          <w:cantSplit/>
          <w:tblHeader/>
          <w:jc w:val="center"/>
        </w:trPr>
        <w:tc>
          <w:tcPr>
            <w:tcW w:w="5508" w:type="dxa"/>
            <w:tcMar>
              <w:top w:w="25" w:type="dxa"/>
              <w:left w:w="70" w:type="dxa"/>
              <w:bottom w:w="25" w:type="dxa"/>
              <w:right w:w="70" w:type="dxa"/>
            </w:tcMar>
            <w:vAlign w:val="center"/>
          </w:tcPr>
          <w:p w14:paraId="4477BCAA" w14:textId="77777777" w:rsidR="00581635" w:rsidRDefault="00317EF8">
            <w:pPr>
              <w:pStyle w:val="Normal1"/>
              <w:keepNext/>
            </w:pPr>
            <w:r>
              <w:rPr>
                <w:sz w:val="17"/>
                <w:szCs w:val="17"/>
              </w:rPr>
              <w:t>Child shares utensils, spoons or cups with others</w:t>
            </w:r>
          </w:p>
        </w:tc>
        <w:tc>
          <w:tcPr>
            <w:tcW w:w="1350" w:type="dxa"/>
            <w:tcMar>
              <w:top w:w="25" w:type="dxa"/>
              <w:left w:w="70" w:type="dxa"/>
              <w:bottom w:w="25" w:type="dxa"/>
              <w:right w:w="70" w:type="dxa"/>
            </w:tcMar>
            <w:vAlign w:val="center"/>
          </w:tcPr>
          <w:p w14:paraId="408DB002" w14:textId="77777777" w:rsidR="00581635" w:rsidRDefault="00317EF8">
            <w:pPr>
              <w:pStyle w:val="Normal1"/>
              <w:keepNext/>
              <w:jc w:val="center"/>
            </w:pPr>
            <w:r>
              <w:rPr>
                <w:sz w:val="17"/>
                <w:szCs w:val="17"/>
              </w:rPr>
              <w:t>220 (56.6)</w:t>
            </w:r>
          </w:p>
        </w:tc>
        <w:tc>
          <w:tcPr>
            <w:tcW w:w="1350" w:type="dxa"/>
            <w:tcMar>
              <w:top w:w="25" w:type="dxa"/>
              <w:left w:w="70" w:type="dxa"/>
              <w:bottom w:w="25" w:type="dxa"/>
              <w:right w:w="70" w:type="dxa"/>
            </w:tcMar>
            <w:vAlign w:val="center"/>
          </w:tcPr>
          <w:p w14:paraId="16A605EF" w14:textId="77777777" w:rsidR="00581635" w:rsidRDefault="00317EF8">
            <w:pPr>
              <w:pStyle w:val="Normal1"/>
              <w:keepNext/>
              <w:jc w:val="center"/>
            </w:pPr>
            <w:r>
              <w:rPr>
                <w:sz w:val="17"/>
                <w:szCs w:val="17"/>
              </w:rPr>
              <w:t>169 (43.4)</w:t>
            </w:r>
          </w:p>
        </w:tc>
      </w:tr>
      <w:tr w:rsidR="00581635" w14:paraId="1AD7B9E8" w14:textId="77777777">
        <w:trPr>
          <w:cantSplit/>
          <w:tblHeader/>
          <w:jc w:val="center"/>
        </w:trPr>
        <w:tc>
          <w:tcPr>
            <w:tcW w:w="5508" w:type="dxa"/>
            <w:tcMar>
              <w:top w:w="25" w:type="dxa"/>
              <w:left w:w="70" w:type="dxa"/>
              <w:bottom w:w="25" w:type="dxa"/>
              <w:right w:w="70" w:type="dxa"/>
            </w:tcMar>
            <w:vAlign w:val="center"/>
          </w:tcPr>
          <w:p w14:paraId="47047DFF" w14:textId="77777777" w:rsidR="00581635" w:rsidRDefault="00317EF8">
            <w:pPr>
              <w:pStyle w:val="Normal1"/>
              <w:keepNext/>
            </w:pPr>
            <w:r>
              <w:rPr>
                <w:sz w:val="17"/>
                <w:szCs w:val="17"/>
              </w:rPr>
              <w:t>Child has frequent snacks between meals</w:t>
            </w:r>
          </w:p>
        </w:tc>
        <w:tc>
          <w:tcPr>
            <w:tcW w:w="1350" w:type="dxa"/>
            <w:tcMar>
              <w:top w:w="25" w:type="dxa"/>
              <w:left w:w="70" w:type="dxa"/>
              <w:bottom w:w="25" w:type="dxa"/>
              <w:right w:w="70" w:type="dxa"/>
            </w:tcMar>
            <w:vAlign w:val="center"/>
          </w:tcPr>
          <w:p w14:paraId="1262677F" w14:textId="77777777" w:rsidR="00581635" w:rsidRDefault="00317EF8">
            <w:pPr>
              <w:pStyle w:val="Normal1"/>
              <w:keepNext/>
              <w:jc w:val="center"/>
            </w:pPr>
            <w:r>
              <w:rPr>
                <w:sz w:val="17"/>
                <w:szCs w:val="17"/>
              </w:rPr>
              <w:t>246 (63.2)</w:t>
            </w:r>
          </w:p>
        </w:tc>
        <w:tc>
          <w:tcPr>
            <w:tcW w:w="1350" w:type="dxa"/>
            <w:tcMar>
              <w:top w:w="25" w:type="dxa"/>
              <w:left w:w="70" w:type="dxa"/>
              <w:bottom w:w="25" w:type="dxa"/>
              <w:right w:w="70" w:type="dxa"/>
            </w:tcMar>
            <w:vAlign w:val="center"/>
          </w:tcPr>
          <w:p w14:paraId="64292E07" w14:textId="77777777" w:rsidR="00581635" w:rsidRDefault="00317EF8">
            <w:pPr>
              <w:pStyle w:val="Normal1"/>
              <w:keepNext/>
              <w:jc w:val="center"/>
            </w:pPr>
            <w:r>
              <w:rPr>
                <w:sz w:val="17"/>
                <w:szCs w:val="17"/>
              </w:rPr>
              <w:t>143 (36.8)</w:t>
            </w:r>
          </w:p>
        </w:tc>
      </w:tr>
      <w:tr w:rsidR="00581635" w14:paraId="6B11E016" w14:textId="77777777">
        <w:trPr>
          <w:cantSplit/>
          <w:tblHeader/>
          <w:jc w:val="center"/>
        </w:trPr>
        <w:tc>
          <w:tcPr>
            <w:tcW w:w="5508" w:type="dxa"/>
            <w:tcMar>
              <w:top w:w="25" w:type="dxa"/>
              <w:left w:w="70" w:type="dxa"/>
              <w:bottom w:w="25" w:type="dxa"/>
              <w:right w:w="70" w:type="dxa"/>
            </w:tcMar>
            <w:vAlign w:val="center"/>
          </w:tcPr>
          <w:p w14:paraId="6103BA51" w14:textId="77777777" w:rsidR="00581635" w:rsidRDefault="00317EF8">
            <w:pPr>
              <w:pStyle w:val="Normal1"/>
              <w:keepNext/>
            </w:pPr>
            <w:r>
              <w:rPr>
                <w:sz w:val="17"/>
                <w:szCs w:val="17"/>
              </w:rPr>
              <w:t>Child consumes fresh fruits and vegetables daily</w:t>
            </w:r>
          </w:p>
        </w:tc>
        <w:tc>
          <w:tcPr>
            <w:tcW w:w="1350" w:type="dxa"/>
            <w:tcMar>
              <w:top w:w="25" w:type="dxa"/>
              <w:left w:w="70" w:type="dxa"/>
              <w:bottom w:w="25" w:type="dxa"/>
              <w:right w:w="70" w:type="dxa"/>
            </w:tcMar>
            <w:vAlign w:val="center"/>
          </w:tcPr>
          <w:p w14:paraId="670FA8BD" w14:textId="77777777" w:rsidR="00581635" w:rsidRDefault="00317EF8">
            <w:pPr>
              <w:pStyle w:val="Normal1"/>
              <w:keepNext/>
              <w:jc w:val="center"/>
            </w:pPr>
            <w:r>
              <w:rPr>
                <w:sz w:val="17"/>
                <w:szCs w:val="17"/>
              </w:rPr>
              <w:t>220 (56.6)</w:t>
            </w:r>
          </w:p>
        </w:tc>
        <w:tc>
          <w:tcPr>
            <w:tcW w:w="1350" w:type="dxa"/>
            <w:tcMar>
              <w:top w:w="25" w:type="dxa"/>
              <w:left w:w="70" w:type="dxa"/>
              <w:bottom w:w="25" w:type="dxa"/>
              <w:right w:w="70" w:type="dxa"/>
            </w:tcMar>
            <w:vAlign w:val="center"/>
          </w:tcPr>
          <w:p w14:paraId="5EC94967" w14:textId="77777777" w:rsidR="00581635" w:rsidRDefault="00317EF8">
            <w:pPr>
              <w:pStyle w:val="Normal1"/>
              <w:keepNext/>
              <w:jc w:val="center"/>
            </w:pPr>
            <w:r>
              <w:rPr>
                <w:sz w:val="17"/>
                <w:szCs w:val="17"/>
              </w:rPr>
              <w:t>169 (43.4)</w:t>
            </w:r>
          </w:p>
        </w:tc>
      </w:tr>
      <w:tr w:rsidR="00581635" w14:paraId="76A27A66" w14:textId="77777777">
        <w:trPr>
          <w:cantSplit/>
          <w:tblHeader/>
          <w:jc w:val="center"/>
        </w:trPr>
        <w:tc>
          <w:tcPr>
            <w:tcW w:w="5508" w:type="dxa"/>
            <w:tcMar>
              <w:top w:w="25" w:type="dxa"/>
              <w:left w:w="70" w:type="dxa"/>
              <w:bottom w:w="25" w:type="dxa"/>
              <w:right w:w="70" w:type="dxa"/>
            </w:tcMar>
            <w:vAlign w:val="center"/>
          </w:tcPr>
          <w:p w14:paraId="27CEACDF" w14:textId="77777777" w:rsidR="00581635" w:rsidRDefault="00317EF8">
            <w:pPr>
              <w:pStyle w:val="Normal1"/>
            </w:pPr>
            <w:r>
              <w:rPr>
                <w:b/>
                <w:bCs/>
                <w:sz w:val="17"/>
                <w:szCs w:val="17"/>
              </w:rPr>
              <w:t>Total (item responses)</w:t>
            </w:r>
          </w:p>
        </w:tc>
        <w:tc>
          <w:tcPr>
            <w:tcW w:w="1350" w:type="dxa"/>
            <w:tcMar>
              <w:top w:w="25" w:type="dxa"/>
              <w:left w:w="70" w:type="dxa"/>
              <w:bottom w:w="25" w:type="dxa"/>
              <w:right w:w="70" w:type="dxa"/>
            </w:tcMar>
            <w:vAlign w:val="center"/>
          </w:tcPr>
          <w:p w14:paraId="3ECAAAAC" w14:textId="77777777" w:rsidR="00581635" w:rsidRDefault="00317EF8">
            <w:pPr>
              <w:pStyle w:val="Normal1"/>
              <w:jc w:val="center"/>
            </w:pPr>
            <w:r>
              <w:rPr>
                <w:b/>
                <w:bCs/>
                <w:sz w:val="17"/>
                <w:szCs w:val="17"/>
              </w:rPr>
              <w:t>2463 (63.3)</w:t>
            </w:r>
          </w:p>
        </w:tc>
        <w:tc>
          <w:tcPr>
            <w:tcW w:w="1350" w:type="dxa"/>
            <w:tcMar>
              <w:top w:w="25" w:type="dxa"/>
              <w:left w:w="70" w:type="dxa"/>
              <w:bottom w:w="25" w:type="dxa"/>
              <w:right w:w="70" w:type="dxa"/>
            </w:tcMar>
            <w:vAlign w:val="center"/>
          </w:tcPr>
          <w:p w14:paraId="00026327" w14:textId="77777777" w:rsidR="00581635" w:rsidRDefault="00317EF8">
            <w:pPr>
              <w:pStyle w:val="Normal1"/>
              <w:jc w:val="center"/>
            </w:pPr>
            <w:r>
              <w:rPr>
                <w:b/>
                <w:bCs/>
                <w:sz w:val="17"/>
                <w:szCs w:val="17"/>
              </w:rPr>
              <w:t>1427 (36.7)</w:t>
            </w:r>
          </w:p>
        </w:tc>
      </w:tr>
    </w:tbl>
    <w:p w14:paraId="523E93D7" w14:textId="77777777" w:rsidR="00581635" w:rsidRDefault="00317EF8">
      <w:pPr>
        <w:pStyle w:val="Normal1"/>
        <w:spacing w:before="60" w:after="200"/>
        <w:jc w:val="both"/>
      </w:pPr>
      <w:r>
        <w:rPr>
          <w:sz w:val="16"/>
          <w:szCs w:val="16"/>
        </w:rPr>
        <w:t>Brushing, fluoridated toothpaste, supervision, rinsing after sugary foods and fruit and vegetable intake are protective practices; sugary snacks, sweetened drinks, bedtime bottle use, utensil sharing and between-meal snacking are risk practices. The total row pools both kinds of item and is not a measure of overall favorable behavior.</w:t>
      </w:r>
    </w:p>
    <w:p w14:paraId="45BA7F63" w14:textId="77777777" w:rsidR="00581635" w:rsidRDefault="00317EF8">
      <w:pPr>
        <w:pStyle w:val="Normal1"/>
        <w:spacing w:after="120" w:line="264" w:lineRule="auto"/>
        <w:jc w:val="both"/>
      </w:pPr>
      <w:r>
        <w:rPr>
          <w:highlight w:val="yellow"/>
        </w:rPr>
        <w:t>unfavourable</w:t>
      </w:r>
      <w:r>
        <w:t xml:space="preserve"> </w:t>
      </w:r>
      <w:r>
        <w:rPr>
          <w:highlight w:val="yellow"/>
        </w:rPr>
        <w:t>behaviours</w:t>
      </w:r>
      <w:r>
        <w:t xml:space="preserve"> were widespread (86.6%): fewer than one-third of children brushed twice daily or were supervised, and more than 40% had bedtime exposure to sweetened drinks or milk. These </w:t>
      </w:r>
      <w:r>
        <w:rPr>
          <w:highlight w:val="yellow"/>
        </w:rPr>
        <w:t>behaviours</w:t>
      </w:r>
      <w:r>
        <w:t xml:space="preserve"> match the pathways repeatedly identified in African ECC studies, including frequent sugar intake, nocturnal feeding, infrequent brushing and limited supervision (Farouk et al., 2026), and Nigerian studies link free-sugar intake and less frequent brushing with caries (Folayan et al., 2021; Folayan et al., 2025a). In Khartoum, 83.4% of preschool children brushed at least once daily (Elidrissi &amp; Naidoo, 2016); the </w:t>
      </w:r>
      <w:proofErr w:type="spellStart"/>
      <w:r>
        <w:t>Okrika</w:t>
      </w:r>
      <w:proofErr w:type="spellEnd"/>
      <w:r>
        <w:t xml:space="preserve"> figure for twice-daily brushing is not directly comparable, but it suggests weaker practice. The combination of low clinical prevalence and high </w:t>
      </w:r>
      <w:r>
        <w:rPr>
          <w:highlight w:val="yellow"/>
        </w:rPr>
        <w:t>behavioural</w:t>
      </w:r>
      <w:r>
        <w:t xml:space="preserve"> risk suggests an opportunity for prevention before disease develops.</w:t>
      </w:r>
    </w:p>
    <w:p w14:paraId="1EB5E277" w14:textId="77777777" w:rsidR="00581635" w:rsidRDefault="00317EF8">
      <w:pPr>
        <w:pStyle w:val="Heading2"/>
        <w:keepNext/>
        <w:spacing w:before="200" w:after="100"/>
      </w:pPr>
      <w:r>
        <w:lastRenderedPageBreak/>
        <w:t>3.6 ENVIRONMENTAL AND HEALTH-SERVICE FACTORS</w:t>
      </w:r>
    </w:p>
    <w:p w14:paraId="42BDBF7B" w14:textId="77777777" w:rsidR="00581635" w:rsidRDefault="00317EF8">
      <w:pPr>
        <w:pStyle w:val="Normal1"/>
        <w:spacing w:after="120" w:line="264" w:lineRule="auto"/>
        <w:jc w:val="both"/>
      </w:pPr>
      <w:r>
        <w:t xml:space="preserve">Table 6 shows that all 389 caregivers reported no household overcrowding and no environmental pollution. Among the remaining environmental items, 41.4% reported reliable access to safe drinking water, 47.8% improved sanitation, 42.7% proper waste disposal and 43.2% clean, supportive housing. Health-service indicators were similarly limited: 34.7% reported easily accessible dental services, 30.3% a nearby clinic, 29.6% affordable treatment, 31.9% available preventive services, 36.0% oral health education from health workers, 31.6% routine check-ups and 38.0% a previous dental visit. By composite classification, 77.1% of households had </w:t>
      </w:r>
      <w:r>
        <w:rPr>
          <w:highlight w:val="yellow"/>
        </w:rPr>
        <w:t>unfavourable</w:t>
      </w:r>
      <w:r>
        <w:t xml:space="preserve"> environmental conditions and 73.0% had </w:t>
      </w:r>
      <w:r>
        <w:rPr>
          <w:highlight w:val="yellow"/>
        </w:rPr>
        <w:t>unfavourable</w:t>
      </w:r>
      <w:r>
        <w:t xml:space="preserve"> health-service conditions.</w:t>
      </w:r>
    </w:p>
    <w:p w14:paraId="046799C5" w14:textId="77777777" w:rsidR="00581635" w:rsidRDefault="00317EF8">
      <w:pPr>
        <w:pStyle w:val="Normal1"/>
        <w:keepNext/>
        <w:spacing w:before="160" w:after="80"/>
      </w:pPr>
      <w:r>
        <w:rPr>
          <w:b/>
          <w:bCs/>
        </w:rPr>
        <w:t>Table 6.</w:t>
      </w:r>
      <w:r>
        <w:t> </w:t>
      </w:r>
      <w:r>
        <w:rPr>
          <w:b/>
          <w:bCs/>
        </w:rPr>
        <w:t>Environmental and health-service-related factors (N = 389)</w:t>
      </w:r>
    </w:p>
    <w:tbl>
      <w:tblPr>
        <w:tblStyle w:val="a4"/>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5508"/>
        <w:gridCol w:w="1350"/>
        <w:gridCol w:w="1350"/>
      </w:tblGrid>
      <w:tr w:rsidR="00581635" w14:paraId="0FD2DEA6" w14:textId="77777777">
        <w:trPr>
          <w:cantSplit/>
          <w:tblHeader/>
          <w:jc w:val="center"/>
        </w:trPr>
        <w:tc>
          <w:tcPr>
            <w:tcW w:w="5508" w:type="dxa"/>
            <w:tcBorders>
              <w:bottom w:val="single" w:sz="4" w:space="0" w:color="000000"/>
            </w:tcBorders>
            <w:tcMar>
              <w:top w:w="25" w:type="dxa"/>
              <w:left w:w="70" w:type="dxa"/>
              <w:bottom w:w="25" w:type="dxa"/>
              <w:right w:w="70" w:type="dxa"/>
            </w:tcMar>
            <w:vAlign w:val="center"/>
          </w:tcPr>
          <w:p w14:paraId="1582C401" w14:textId="77777777" w:rsidR="00581635" w:rsidRDefault="00317EF8">
            <w:pPr>
              <w:pStyle w:val="Normal1"/>
              <w:keepNext/>
            </w:pPr>
            <w:r>
              <w:rPr>
                <w:b/>
                <w:bCs/>
                <w:sz w:val="17"/>
                <w:szCs w:val="17"/>
              </w:rPr>
              <w:t>Statement</w:t>
            </w:r>
          </w:p>
        </w:tc>
        <w:tc>
          <w:tcPr>
            <w:tcW w:w="1350" w:type="dxa"/>
            <w:tcBorders>
              <w:bottom w:val="single" w:sz="4" w:space="0" w:color="000000"/>
            </w:tcBorders>
            <w:tcMar>
              <w:top w:w="25" w:type="dxa"/>
              <w:left w:w="70" w:type="dxa"/>
              <w:bottom w:w="25" w:type="dxa"/>
              <w:right w:w="70" w:type="dxa"/>
            </w:tcMar>
            <w:vAlign w:val="center"/>
          </w:tcPr>
          <w:p w14:paraId="54A61EFF" w14:textId="77777777" w:rsidR="00581635" w:rsidRDefault="00317EF8">
            <w:pPr>
              <w:pStyle w:val="Normal1"/>
              <w:keepNext/>
              <w:jc w:val="center"/>
            </w:pPr>
            <w:r>
              <w:rPr>
                <w:b/>
                <w:bCs/>
                <w:sz w:val="17"/>
                <w:szCs w:val="17"/>
              </w:rPr>
              <w:t>No, n (%)</w:t>
            </w:r>
          </w:p>
        </w:tc>
        <w:tc>
          <w:tcPr>
            <w:tcW w:w="1350" w:type="dxa"/>
            <w:tcBorders>
              <w:bottom w:val="single" w:sz="4" w:space="0" w:color="000000"/>
            </w:tcBorders>
            <w:tcMar>
              <w:top w:w="25" w:type="dxa"/>
              <w:left w:w="70" w:type="dxa"/>
              <w:bottom w:w="25" w:type="dxa"/>
              <w:right w:w="70" w:type="dxa"/>
            </w:tcMar>
            <w:vAlign w:val="center"/>
          </w:tcPr>
          <w:p w14:paraId="0400052A" w14:textId="77777777" w:rsidR="00581635" w:rsidRDefault="00317EF8">
            <w:pPr>
              <w:pStyle w:val="Normal1"/>
              <w:keepNext/>
              <w:jc w:val="center"/>
            </w:pPr>
            <w:r>
              <w:rPr>
                <w:b/>
                <w:bCs/>
                <w:sz w:val="17"/>
                <w:szCs w:val="17"/>
              </w:rPr>
              <w:t>Yes, n (%)</w:t>
            </w:r>
          </w:p>
        </w:tc>
      </w:tr>
      <w:tr w:rsidR="00581635" w14:paraId="47B7C3BA" w14:textId="77777777">
        <w:trPr>
          <w:cantSplit/>
          <w:tblHeader/>
          <w:jc w:val="center"/>
        </w:trPr>
        <w:tc>
          <w:tcPr>
            <w:tcW w:w="8208" w:type="dxa"/>
            <w:gridSpan w:val="3"/>
            <w:shd w:val="clear" w:color="auto" w:fill="F2F2F2"/>
            <w:tcMar>
              <w:top w:w="25" w:type="dxa"/>
              <w:left w:w="70" w:type="dxa"/>
              <w:bottom w:w="25" w:type="dxa"/>
              <w:right w:w="70" w:type="dxa"/>
            </w:tcMar>
            <w:vAlign w:val="center"/>
          </w:tcPr>
          <w:p w14:paraId="27B4373C" w14:textId="77777777" w:rsidR="00581635" w:rsidRDefault="00317EF8">
            <w:pPr>
              <w:pStyle w:val="Normal1"/>
              <w:keepNext/>
            </w:pPr>
            <w:r>
              <w:rPr>
                <w:b/>
                <w:bCs/>
                <w:sz w:val="17"/>
                <w:szCs w:val="17"/>
              </w:rPr>
              <w:t>Environmental factors</w:t>
            </w:r>
          </w:p>
        </w:tc>
      </w:tr>
      <w:tr w:rsidR="00581635" w14:paraId="6A053028" w14:textId="77777777">
        <w:trPr>
          <w:cantSplit/>
          <w:tblHeader/>
          <w:jc w:val="center"/>
        </w:trPr>
        <w:tc>
          <w:tcPr>
            <w:tcW w:w="5508" w:type="dxa"/>
            <w:tcMar>
              <w:top w:w="25" w:type="dxa"/>
              <w:left w:w="70" w:type="dxa"/>
              <w:bottom w:w="25" w:type="dxa"/>
              <w:right w:w="70" w:type="dxa"/>
            </w:tcMar>
            <w:vAlign w:val="center"/>
          </w:tcPr>
          <w:p w14:paraId="6FDC829F" w14:textId="77777777" w:rsidR="00581635" w:rsidRDefault="00317EF8">
            <w:pPr>
              <w:pStyle w:val="Normal1"/>
              <w:keepNext/>
            </w:pPr>
            <w:r>
              <w:rPr>
                <w:sz w:val="17"/>
                <w:szCs w:val="17"/>
              </w:rPr>
              <w:t xml:space="preserve">Household experiences </w:t>
            </w:r>
            <w:proofErr w:type="spellStart"/>
            <w:r>
              <w:rPr>
                <w:sz w:val="17"/>
                <w:szCs w:val="17"/>
              </w:rPr>
              <w:t>overcrowding</w:t>
            </w:r>
            <w:r>
              <w:rPr>
                <w:sz w:val="17"/>
                <w:szCs w:val="17"/>
                <w:vertAlign w:val="superscript"/>
              </w:rPr>
              <w:t>a</w:t>
            </w:r>
            <w:proofErr w:type="spellEnd"/>
          </w:p>
        </w:tc>
        <w:tc>
          <w:tcPr>
            <w:tcW w:w="1350" w:type="dxa"/>
            <w:tcMar>
              <w:top w:w="25" w:type="dxa"/>
              <w:left w:w="70" w:type="dxa"/>
              <w:bottom w:w="25" w:type="dxa"/>
              <w:right w:w="70" w:type="dxa"/>
            </w:tcMar>
            <w:vAlign w:val="center"/>
          </w:tcPr>
          <w:p w14:paraId="798BF59C" w14:textId="77777777" w:rsidR="00581635" w:rsidRDefault="00317EF8">
            <w:pPr>
              <w:pStyle w:val="Normal1"/>
              <w:keepNext/>
              <w:jc w:val="center"/>
            </w:pPr>
            <w:r>
              <w:rPr>
                <w:sz w:val="17"/>
                <w:szCs w:val="17"/>
              </w:rPr>
              <w:t>389 (100)</w:t>
            </w:r>
          </w:p>
        </w:tc>
        <w:tc>
          <w:tcPr>
            <w:tcW w:w="1350" w:type="dxa"/>
            <w:tcMar>
              <w:top w:w="25" w:type="dxa"/>
              <w:left w:w="70" w:type="dxa"/>
              <w:bottom w:w="25" w:type="dxa"/>
              <w:right w:w="70" w:type="dxa"/>
            </w:tcMar>
            <w:vAlign w:val="center"/>
          </w:tcPr>
          <w:p w14:paraId="095A5896" w14:textId="77777777" w:rsidR="00581635" w:rsidRDefault="00317EF8">
            <w:pPr>
              <w:pStyle w:val="Normal1"/>
              <w:keepNext/>
              <w:jc w:val="center"/>
            </w:pPr>
            <w:r>
              <w:rPr>
                <w:sz w:val="17"/>
                <w:szCs w:val="17"/>
              </w:rPr>
              <w:t>0 (0)</w:t>
            </w:r>
          </w:p>
        </w:tc>
      </w:tr>
      <w:tr w:rsidR="00581635" w14:paraId="4141805A" w14:textId="77777777">
        <w:trPr>
          <w:cantSplit/>
          <w:tblHeader/>
          <w:jc w:val="center"/>
        </w:trPr>
        <w:tc>
          <w:tcPr>
            <w:tcW w:w="5508" w:type="dxa"/>
            <w:tcMar>
              <w:top w:w="25" w:type="dxa"/>
              <w:left w:w="70" w:type="dxa"/>
              <w:bottom w:w="25" w:type="dxa"/>
              <w:right w:w="70" w:type="dxa"/>
            </w:tcMar>
            <w:vAlign w:val="center"/>
          </w:tcPr>
          <w:p w14:paraId="64155B2D" w14:textId="77777777" w:rsidR="00581635" w:rsidRDefault="00317EF8">
            <w:pPr>
              <w:pStyle w:val="Normal1"/>
              <w:keepNext/>
            </w:pPr>
            <w:r>
              <w:rPr>
                <w:sz w:val="17"/>
                <w:szCs w:val="17"/>
              </w:rPr>
              <w:t>Household has reliable access to safe and clean drinking water</w:t>
            </w:r>
          </w:p>
        </w:tc>
        <w:tc>
          <w:tcPr>
            <w:tcW w:w="1350" w:type="dxa"/>
            <w:tcMar>
              <w:top w:w="25" w:type="dxa"/>
              <w:left w:w="70" w:type="dxa"/>
              <w:bottom w:w="25" w:type="dxa"/>
              <w:right w:w="70" w:type="dxa"/>
            </w:tcMar>
            <w:vAlign w:val="center"/>
          </w:tcPr>
          <w:p w14:paraId="2257B5BA" w14:textId="77777777" w:rsidR="00581635" w:rsidRDefault="00317EF8">
            <w:pPr>
              <w:pStyle w:val="Normal1"/>
              <w:keepNext/>
              <w:jc w:val="center"/>
            </w:pPr>
            <w:r>
              <w:rPr>
                <w:sz w:val="17"/>
                <w:szCs w:val="17"/>
              </w:rPr>
              <w:t>228 (58.6)</w:t>
            </w:r>
          </w:p>
        </w:tc>
        <w:tc>
          <w:tcPr>
            <w:tcW w:w="1350" w:type="dxa"/>
            <w:tcMar>
              <w:top w:w="25" w:type="dxa"/>
              <w:left w:w="70" w:type="dxa"/>
              <w:bottom w:w="25" w:type="dxa"/>
              <w:right w:w="70" w:type="dxa"/>
            </w:tcMar>
            <w:vAlign w:val="center"/>
          </w:tcPr>
          <w:p w14:paraId="19E35506" w14:textId="77777777" w:rsidR="00581635" w:rsidRDefault="00317EF8">
            <w:pPr>
              <w:pStyle w:val="Normal1"/>
              <w:keepNext/>
              <w:jc w:val="center"/>
            </w:pPr>
            <w:r>
              <w:rPr>
                <w:sz w:val="17"/>
                <w:szCs w:val="17"/>
              </w:rPr>
              <w:t>161 (41.4)</w:t>
            </w:r>
          </w:p>
        </w:tc>
      </w:tr>
      <w:tr w:rsidR="00581635" w14:paraId="1FE2F9E6" w14:textId="77777777">
        <w:trPr>
          <w:cantSplit/>
          <w:tblHeader/>
          <w:jc w:val="center"/>
        </w:trPr>
        <w:tc>
          <w:tcPr>
            <w:tcW w:w="5508" w:type="dxa"/>
            <w:tcMar>
              <w:top w:w="25" w:type="dxa"/>
              <w:left w:w="70" w:type="dxa"/>
              <w:bottom w:w="25" w:type="dxa"/>
              <w:right w:w="70" w:type="dxa"/>
            </w:tcMar>
            <w:vAlign w:val="center"/>
          </w:tcPr>
          <w:p w14:paraId="08E5C6E1" w14:textId="77777777" w:rsidR="00581635" w:rsidRDefault="00317EF8">
            <w:pPr>
              <w:pStyle w:val="Normal1"/>
              <w:keepNext/>
            </w:pPr>
            <w:r>
              <w:rPr>
                <w:sz w:val="17"/>
                <w:szCs w:val="17"/>
              </w:rPr>
              <w:t>Household has access to improved sanitation facilities</w:t>
            </w:r>
          </w:p>
        </w:tc>
        <w:tc>
          <w:tcPr>
            <w:tcW w:w="1350" w:type="dxa"/>
            <w:tcMar>
              <w:top w:w="25" w:type="dxa"/>
              <w:left w:w="70" w:type="dxa"/>
              <w:bottom w:w="25" w:type="dxa"/>
              <w:right w:w="70" w:type="dxa"/>
            </w:tcMar>
            <w:vAlign w:val="center"/>
          </w:tcPr>
          <w:p w14:paraId="720B5278" w14:textId="77777777" w:rsidR="00581635" w:rsidRDefault="00317EF8">
            <w:pPr>
              <w:pStyle w:val="Normal1"/>
              <w:keepNext/>
              <w:jc w:val="center"/>
            </w:pPr>
            <w:r>
              <w:rPr>
                <w:sz w:val="17"/>
                <w:szCs w:val="17"/>
              </w:rPr>
              <w:t>203 (52.2)</w:t>
            </w:r>
          </w:p>
        </w:tc>
        <w:tc>
          <w:tcPr>
            <w:tcW w:w="1350" w:type="dxa"/>
            <w:tcMar>
              <w:top w:w="25" w:type="dxa"/>
              <w:left w:w="70" w:type="dxa"/>
              <w:bottom w:w="25" w:type="dxa"/>
              <w:right w:w="70" w:type="dxa"/>
            </w:tcMar>
            <w:vAlign w:val="center"/>
          </w:tcPr>
          <w:p w14:paraId="3767B04B" w14:textId="77777777" w:rsidR="00581635" w:rsidRDefault="00317EF8">
            <w:pPr>
              <w:pStyle w:val="Normal1"/>
              <w:keepNext/>
              <w:jc w:val="center"/>
            </w:pPr>
            <w:r>
              <w:rPr>
                <w:sz w:val="17"/>
                <w:szCs w:val="17"/>
              </w:rPr>
              <w:t>186 (47.8)</w:t>
            </w:r>
          </w:p>
        </w:tc>
      </w:tr>
      <w:tr w:rsidR="00581635" w14:paraId="6FB2E0B7" w14:textId="77777777">
        <w:trPr>
          <w:cantSplit/>
          <w:tblHeader/>
          <w:jc w:val="center"/>
        </w:trPr>
        <w:tc>
          <w:tcPr>
            <w:tcW w:w="5508" w:type="dxa"/>
            <w:tcMar>
              <w:top w:w="25" w:type="dxa"/>
              <w:left w:w="70" w:type="dxa"/>
              <w:bottom w:w="25" w:type="dxa"/>
              <w:right w:w="70" w:type="dxa"/>
            </w:tcMar>
            <w:vAlign w:val="center"/>
          </w:tcPr>
          <w:p w14:paraId="6199BF6C" w14:textId="77777777" w:rsidR="00581635" w:rsidRDefault="00317EF8">
            <w:pPr>
              <w:pStyle w:val="Normal1"/>
              <w:keepNext/>
            </w:pPr>
            <w:r>
              <w:rPr>
                <w:sz w:val="17"/>
                <w:szCs w:val="17"/>
              </w:rPr>
              <w:t>Proper waste disposal and environmental sanitation are maintained in the neighborhood</w:t>
            </w:r>
          </w:p>
        </w:tc>
        <w:tc>
          <w:tcPr>
            <w:tcW w:w="1350" w:type="dxa"/>
            <w:tcMar>
              <w:top w:w="25" w:type="dxa"/>
              <w:left w:w="70" w:type="dxa"/>
              <w:bottom w:w="25" w:type="dxa"/>
              <w:right w:w="70" w:type="dxa"/>
            </w:tcMar>
            <w:vAlign w:val="center"/>
          </w:tcPr>
          <w:p w14:paraId="62518E64" w14:textId="77777777" w:rsidR="00581635" w:rsidRDefault="00317EF8">
            <w:pPr>
              <w:pStyle w:val="Normal1"/>
              <w:keepNext/>
              <w:jc w:val="center"/>
            </w:pPr>
            <w:r>
              <w:rPr>
                <w:sz w:val="17"/>
                <w:szCs w:val="17"/>
              </w:rPr>
              <w:t>223 (57.3)</w:t>
            </w:r>
          </w:p>
        </w:tc>
        <w:tc>
          <w:tcPr>
            <w:tcW w:w="1350" w:type="dxa"/>
            <w:tcMar>
              <w:top w:w="25" w:type="dxa"/>
              <w:left w:w="70" w:type="dxa"/>
              <w:bottom w:w="25" w:type="dxa"/>
              <w:right w:w="70" w:type="dxa"/>
            </w:tcMar>
            <w:vAlign w:val="center"/>
          </w:tcPr>
          <w:p w14:paraId="6DD06B57" w14:textId="77777777" w:rsidR="00581635" w:rsidRDefault="00317EF8">
            <w:pPr>
              <w:pStyle w:val="Normal1"/>
              <w:keepNext/>
              <w:jc w:val="center"/>
            </w:pPr>
            <w:r>
              <w:rPr>
                <w:sz w:val="17"/>
                <w:szCs w:val="17"/>
              </w:rPr>
              <w:t>166 (42.7)</w:t>
            </w:r>
          </w:p>
        </w:tc>
      </w:tr>
      <w:tr w:rsidR="00581635" w14:paraId="5C2786EF" w14:textId="77777777">
        <w:trPr>
          <w:cantSplit/>
          <w:tblHeader/>
          <w:jc w:val="center"/>
        </w:trPr>
        <w:tc>
          <w:tcPr>
            <w:tcW w:w="5508" w:type="dxa"/>
            <w:tcMar>
              <w:top w:w="25" w:type="dxa"/>
              <w:left w:w="70" w:type="dxa"/>
              <w:bottom w:w="25" w:type="dxa"/>
              <w:right w:w="70" w:type="dxa"/>
            </w:tcMar>
            <w:vAlign w:val="center"/>
          </w:tcPr>
          <w:p w14:paraId="3C63ACEA" w14:textId="77777777" w:rsidR="00581635" w:rsidRDefault="00317EF8">
            <w:pPr>
              <w:pStyle w:val="Normal1"/>
              <w:keepNext/>
            </w:pPr>
            <w:r>
              <w:rPr>
                <w:sz w:val="17"/>
                <w:szCs w:val="17"/>
              </w:rPr>
              <w:t xml:space="preserve">Community experiences environmental </w:t>
            </w:r>
            <w:proofErr w:type="spellStart"/>
            <w:r>
              <w:rPr>
                <w:sz w:val="17"/>
                <w:szCs w:val="17"/>
              </w:rPr>
              <w:t>pollution</w:t>
            </w:r>
            <w:r>
              <w:rPr>
                <w:sz w:val="17"/>
                <w:szCs w:val="17"/>
                <w:vertAlign w:val="superscript"/>
              </w:rPr>
              <w:t>a</w:t>
            </w:r>
            <w:proofErr w:type="spellEnd"/>
          </w:p>
        </w:tc>
        <w:tc>
          <w:tcPr>
            <w:tcW w:w="1350" w:type="dxa"/>
            <w:tcMar>
              <w:top w:w="25" w:type="dxa"/>
              <w:left w:w="70" w:type="dxa"/>
              <w:bottom w:w="25" w:type="dxa"/>
              <w:right w:w="70" w:type="dxa"/>
            </w:tcMar>
            <w:vAlign w:val="center"/>
          </w:tcPr>
          <w:p w14:paraId="56ED5E27" w14:textId="77777777" w:rsidR="00581635" w:rsidRDefault="00317EF8">
            <w:pPr>
              <w:pStyle w:val="Normal1"/>
              <w:keepNext/>
              <w:jc w:val="center"/>
            </w:pPr>
            <w:r>
              <w:rPr>
                <w:sz w:val="17"/>
                <w:szCs w:val="17"/>
              </w:rPr>
              <w:t>389 (100)</w:t>
            </w:r>
          </w:p>
        </w:tc>
        <w:tc>
          <w:tcPr>
            <w:tcW w:w="1350" w:type="dxa"/>
            <w:tcMar>
              <w:top w:w="25" w:type="dxa"/>
              <w:left w:w="70" w:type="dxa"/>
              <w:bottom w:w="25" w:type="dxa"/>
              <w:right w:w="70" w:type="dxa"/>
            </w:tcMar>
            <w:vAlign w:val="center"/>
          </w:tcPr>
          <w:p w14:paraId="6B41F381" w14:textId="77777777" w:rsidR="00581635" w:rsidRDefault="00317EF8">
            <w:pPr>
              <w:pStyle w:val="Normal1"/>
              <w:keepNext/>
              <w:jc w:val="center"/>
            </w:pPr>
            <w:r>
              <w:rPr>
                <w:sz w:val="17"/>
                <w:szCs w:val="17"/>
              </w:rPr>
              <w:t>0 (0)</w:t>
            </w:r>
          </w:p>
        </w:tc>
      </w:tr>
      <w:tr w:rsidR="00581635" w14:paraId="2534A1BA" w14:textId="77777777">
        <w:trPr>
          <w:cantSplit/>
          <w:tblHeader/>
          <w:jc w:val="center"/>
        </w:trPr>
        <w:tc>
          <w:tcPr>
            <w:tcW w:w="5508" w:type="dxa"/>
            <w:tcMar>
              <w:top w:w="25" w:type="dxa"/>
              <w:left w:w="70" w:type="dxa"/>
              <w:bottom w:w="25" w:type="dxa"/>
              <w:right w:w="70" w:type="dxa"/>
            </w:tcMar>
            <w:vAlign w:val="center"/>
          </w:tcPr>
          <w:p w14:paraId="73706E64" w14:textId="77777777" w:rsidR="00581635" w:rsidRDefault="00317EF8">
            <w:pPr>
              <w:pStyle w:val="Normal1"/>
              <w:keepNext/>
            </w:pPr>
            <w:r>
              <w:rPr>
                <w:sz w:val="17"/>
                <w:szCs w:val="17"/>
              </w:rPr>
              <w:t>Housing conditions are generally clean and supportive of healthy living</w:t>
            </w:r>
          </w:p>
        </w:tc>
        <w:tc>
          <w:tcPr>
            <w:tcW w:w="1350" w:type="dxa"/>
            <w:tcMar>
              <w:top w:w="25" w:type="dxa"/>
              <w:left w:w="70" w:type="dxa"/>
              <w:bottom w:w="25" w:type="dxa"/>
              <w:right w:w="70" w:type="dxa"/>
            </w:tcMar>
            <w:vAlign w:val="center"/>
          </w:tcPr>
          <w:p w14:paraId="3B47DDED" w14:textId="77777777" w:rsidR="00581635" w:rsidRDefault="00317EF8">
            <w:pPr>
              <w:pStyle w:val="Normal1"/>
              <w:keepNext/>
              <w:jc w:val="center"/>
            </w:pPr>
            <w:r>
              <w:rPr>
                <w:sz w:val="17"/>
                <w:szCs w:val="17"/>
              </w:rPr>
              <w:t>221 (56.8)</w:t>
            </w:r>
          </w:p>
        </w:tc>
        <w:tc>
          <w:tcPr>
            <w:tcW w:w="1350" w:type="dxa"/>
            <w:tcMar>
              <w:top w:w="25" w:type="dxa"/>
              <w:left w:w="70" w:type="dxa"/>
              <w:bottom w:w="25" w:type="dxa"/>
              <w:right w:w="70" w:type="dxa"/>
            </w:tcMar>
            <w:vAlign w:val="center"/>
          </w:tcPr>
          <w:p w14:paraId="4F19A0A4" w14:textId="77777777" w:rsidR="00581635" w:rsidRDefault="00317EF8">
            <w:pPr>
              <w:pStyle w:val="Normal1"/>
              <w:keepNext/>
              <w:jc w:val="center"/>
            </w:pPr>
            <w:r>
              <w:rPr>
                <w:sz w:val="17"/>
                <w:szCs w:val="17"/>
              </w:rPr>
              <w:t>168 (43.2)</w:t>
            </w:r>
          </w:p>
        </w:tc>
      </w:tr>
      <w:tr w:rsidR="00581635" w14:paraId="1445CD0E" w14:textId="77777777">
        <w:trPr>
          <w:cantSplit/>
          <w:tblHeader/>
          <w:jc w:val="center"/>
        </w:trPr>
        <w:tc>
          <w:tcPr>
            <w:tcW w:w="5508" w:type="dxa"/>
            <w:tcMar>
              <w:top w:w="25" w:type="dxa"/>
              <w:left w:w="70" w:type="dxa"/>
              <w:bottom w:w="25" w:type="dxa"/>
              <w:right w:w="70" w:type="dxa"/>
            </w:tcMar>
            <w:vAlign w:val="center"/>
          </w:tcPr>
          <w:p w14:paraId="6F2D107E" w14:textId="77777777" w:rsidR="00581635" w:rsidRDefault="00317EF8">
            <w:pPr>
              <w:pStyle w:val="Normal1"/>
              <w:keepNext/>
            </w:pPr>
            <w:r>
              <w:rPr>
                <w:b/>
                <w:bCs/>
                <w:sz w:val="17"/>
                <w:szCs w:val="17"/>
              </w:rPr>
              <w:t>Sub-total</w:t>
            </w:r>
          </w:p>
        </w:tc>
        <w:tc>
          <w:tcPr>
            <w:tcW w:w="1350" w:type="dxa"/>
            <w:tcMar>
              <w:top w:w="25" w:type="dxa"/>
              <w:left w:w="70" w:type="dxa"/>
              <w:bottom w:w="25" w:type="dxa"/>
              <w:right w:w="70" w:type="dxa"/>
            </w:tcMar>
            <w:vAlign w:val="center"/>
          </w:tcPr>
          <w:p w14:paraId="2EDEAD42" w14:textId="77777777" w:rsidR="00581635" w:rsidRDefault="00317EF8">
            <w:pPr>
              <w:pStyle w:val="Normal1"/>
              <w:keepNext/>
              <w:jc w:val="center"/>
            </w:pPr>
            <w:r>
              <w:rPr>
                <w:b/>
                <w:bCs/>
                <w:sz w:val="17"/>
                <w:szCs w:val="17"/>
              </w:rPr>
              <w:t>1653 (70.8)</w:t>
            </w:r>
          </w:p>
        </w:tc>
        <w:tc>
          <w:tcPr>
            <w:tcW w:w="1350" w:type="dxa"/>
            <w:tcMar>
              <w:top w:w="25" w:type="dxa"/>
              <w:left w:w="70" w:type="dxa"/>
              <w:bottom w:w="25" w:type="dxa"/>
              <w:right w:w="70" w:type="dxa"/>
            </w:tcMar>
            <w:vAlign w:val="center"/>
          </w:tcPr>
          <w:p w14:paraId="2FA97DA4" w14:textId="77777777" w:rsidR="00581635" w:rsidRDefault="00317EF8">
            <w:pPr>
              <w:pStyle w:val="Normal1"/>
              <w:keepNext/>
              <w:jc w:val="center"/>
            </w:pPr>
            <w:r>
              <w:rPr>
                <w:b/>
                <w:bCs/>
                <w:sz w:val="17"/>
                <w:szCs w:val="17"/>
              </w:rPr>
              <w:t>681 (29.2)</w:t>
            </w:r>
          </w:p>
        </w:tc>
      </w:tr>
      <w:tr w:rsidR="00581635" w14:paraId="086A318E" w14:textId="77777777">
        <w:trPr>
          <w:cantSplit/>
          <w:tblHeader/>
          <w:jc w:val="center"/>
        </w:trPr>
        <w:tc>
          <w:tcPr>
            <w:tcW w:w="8208" w:type="dxa"/>
            <w:gridSpan w:val="3"/>
            <w:shd w:val="clear" w:color="auto" w:fill="F2F2F2"/>
            <w:tcMar>
              <w:top w:w="25" w:type="dxa"/>
              <w:left w:w="70" w:type="dxa"/>
              <w:bottom w:w="25" w:type="dxa"/>
              <w:right w:w="70" w:type="dxa"/>
            </w:tcMar>
            <w:vAlign w:val="center"/>
          </w:tcPr>
          <w:p w14:paraId="54D848B5" w14:textId="77777777" w:rsidR="00581635" w:rsidRDefault="00317EF8">
            <w:pPr>
              <w:pStyle w:val="Normal1"/>
              <w:keepNext/>
            </w:pPr>
            <w:r>
              <w:rPr>
                <w:b/>
                <w:bCs/>
                <w:sz w:val="17"/>
                <w:szCs w:val="17"/>
              </w:rPr>
              <w:t>Health-service-related factors</w:t>
            </w:r>
          </w:p>
        </w:tc>
      </w:tr>
      <w:tr w:rsidR="00581635" w14:paraId="7556D520" w14:textId="77777777">
        <w:trPr>
          <w:cantSplit/>
          <w:tblHeader/>
          <w:jc w:val="center"/>
        </w:trPr>
        <w:tc>
          <w:tcPr>
            <w:tcW w:w="5508" w:type="dxa"/>
            <w:tcMar>
              <w:top w:w="25" w:type="dxa"/>
              <w:left w:w="70" w:type="dxa"/>
              <w:bottom w:w="25" w:type="dxa"/>
              <w:right w:w="70" w:type="dxa"/>
            </w:tcMar>
            <w:vAlign w:val="center"/>
          </w:tcPr>
          <w:p w14:paraId="6CFBDA57" w14:textId="77777777" w:rsidR="00581635" w:rsidRDefault="00317EF8">
            <w:pPr>
              <w:pStyle w:val="Normal1"/>
              <w:keepNext/>
            </w:pPr>
            <w:r>
              <w:rPr>
                <w:sz w:val="17"/>
                <w:szCs w:val="17"/>
              </w:rPr>
              <w:t>Dental health services are easily accessible in the community</w:t>
            </w:r>
          </w:p>
        </w:tc>
        <w:tc>
          <w:tcPr>
            <w:tcW w:w="1350" w:type="dxa"/>
            <w:tcMar>
              <w:top w:w="25" w:type="dxa"/>
              <w:left w:w="70" w:type="dxa"/>
              <w:bottom w:w="25" w:type="dxa"/>
              <w:right w:w="70" w:type="dxa"/>
            </w:tcMar>
            <w:vAlign w:val="center"/>
          </w:tcPr>
          <w:p w14:paraId="14F43FEF" w14:textId="77777777" w:rsidR="00581635" w:rsidRDefault="00317EF8">
            <w:pPr>
              <w:pStyle w:val="Normal1"/>
              <w:keepNext/>
              <w:jc w:val="center"/>
            </w:pPr>
            <w:r>
              <w:rPr>
                <w:sz w:val="17"/>
                <w:szCs w:val="17"/>
              </w:rPr>
              <w:t>254 (65.3)</w:t>
            </w:r>
          </w:p>
        </w:tc>
        <w:tc>
          <w:tcPr>
            <w:tcW w:w="1350" w:type="dxa"/>
            <w:tcMar>
              <w:top w:w="25" w:type="dxa"/>
              <w:left w:w="70" w:type="dxa"/>
              <w:bottom w:w="25" w:type="dxa"/>
              <w:right w:w="70" w:type="dxa"/>
            </w:tcMar>
            <w:vAlign w:val="center"/>
          </w:tcPr>
          <w:p w14:paraId="79455EE8" w14:textId="77777777" w:rsidR="00581635" w:rsidRDefault="00317EF8">
            <w:pPr>
              <w:pStyle w:val="Normal1"/>
              <w:keepNext/>
              <w:jc w:val="center"/>
            </w:pPr>
            <w:r>
              <w:rPr>
                <w:sz w:val="17"/>
                <w:szCs w:val="17"/>
              </w:rPr>
              <w:t>135 (34.7)</w:t>
            </w:r>
          </w:p>
        </w:tc>
      </w:tr>
      <w:tr w:rsidR="00581635" w14:paraId="25F0E811" w14:textId="77777777">
        <w:trPr>
          <w:cantSplit/>
          <w:tblHeader/>
          <w:jc w:val="center"/>
        </w:trPr>
        <w:tc>
          <w:tcPr>
            <w:tcW w:w="5508" w:type="dxa"/>
            <w:tcMar>
              <w:top w:w="25" w:type="dxa"/>
              <w:left w:w="70" w:type="dxa"/>
              <w:bottom w:w="25" w:type="dxa"/>
              <w:right w:w="70" w:type="dxa"/>
            </w:tcMar>
            <w:vAlign w:val="center"/>
          </w:tcPr>
          <w:p w14:paraId="1F3B2DBB" w14:textId="77777777" w:rsidR="00581635" w:rsidRDefault="00317EF8">
            <w:pPr>
              <w:pStyle w:val="Normal1"/>
              <w:keepNext/>
            </w:pPr>
            <w:r>
              <w:rPr>
                <w:sz w:val="17"/>
                <w:szCs w:val="17"/>
              </w:rPr>
              <w:t>The nearest dental clinic is close enough to be reached easily when needed</w:t>
            </w:r>
          </w:p>
        </w:tc>
        <w:tc>
          <w:tcPr>
            <w:tcW w:w="1350" w:type="dxa"/>
            <w:tcMar>
              <w:top w:w="25" w:type="dxa"/>
              <w:left w:w="70" w:type="dxa"/>
              <w:bottom w:w="25" w:type="dxa"/>
              <w:right w:w="70" w:type="dxa"/>
            </w:tcMar>
            <w:vAlign w:val="center"/>
          </w:tcPr>
          <w:p w14:paraId="3C561136" w14:textId="77777777" w:rsidR="00581635" w:rsidRDefault="00317EF8">
            <w:pPr>
              <w:pStyle w:val="Normal1"/>
              <w:keepNext/>
              <w:jc w:val="center"/>
            </w:pPr>
            <w:r>
              <w:rPr>
                <w:sz w:val="17"/>
                <w:szCs w:val="17"/>
              </w:rPr>
              <w:t>271 (69.7)</w:t>
            </w:r>
          </w:p>
        </w:tc>
        <w:tc>
          <w:tcPr>
            <w:tcW w:w="1350" w:type="dxa"/>
            <w:tcMar>
              <w:top w:w="25" w:type="dxa"/>
              <w:left w:w="70" w:type="dxa"/>
              <w:bottom w:w="25" w:type="dxa"/>
              <w:right w:w="70" w:type="dxa"/>
            </w:tcMar>
            <w:vAlign w:val="center"/>
          </w:tcPr>
          <w:p w14:paraId="4CDF19E3" w14:textId="77777777" w:rsidR="00581635" w:rsidRDefault="00317EF8">
            <w:pPr>
              <w:pStyle w:val="Normal1"/>
              <w:keepNext/>
              <w:jc w:val="center"/>
            </w:pPr>
            <w:r>
              <w:rPr>
                <w:sz w:val="17"/>
                <w:szCs w:val="17"/>
              </w:rPr>
              <w:t>118 (30.3)</w:t>
            </w:r>
          </w:p>
        </w:tc>
      </w:tr>
      <w:tr w:rsidR="00581635" w14:paraId="0A71222E" w14:textId="77777777">
        <w:trPr>
          <w:cantSplit/>
          <w:tblHeader/>
          <w:jc w:val="center"/>
        </w:trPr>
        <w:tc>
          <w:tcPr>
            <w:tcW w:w="5508" w:type="dxa"/>
            <w:tcMar>
              <w:top w:w="25" w:type="dxa"/>
              <w:left w:w="70" w:type="dxa"/>
              <w:bottom w:w="25" w:type="dxa"/>
              <w:right w:w="70" w:type="dxa"/>
            </w:tcMar>
            <w:vAlign w:val="center"/>
          </w:tcPr>
          <w:p w14:paraId="26039C69" w14:textId="77777777" w:rsidR="00581635" w:rsidRDefault="00317EF8">
            <w:pPr>
              <w:pStyle w:val="Normal1"/>
              <w:keepNext/>
            </w:pPr>
            <w:r>
              <w:rPr>
                <w:sz w:val="17"/>
                <w:szCs w:val="17"/>
              </w:rPr>
              <w:t>The cost of dental treatment for children is affordable</w:t>
            </w:r>
          </w:p>
        </w:tc>
        <w:tc>
          <w:tcPr>
            <w:tcW w:w="1350" w:type="dxa"/>
            <w:tcMar>
              <w:top w:w="25" w:type="dxa"/>
              <w:left w:w="70" w:type="dxa"/>
              <w:bottom w:w="25" w:type="dxa"/>
              <w:right w:w="70" w:type="dxa"/>
            </w:tcMar>
            <w:vAlign w:val="center"/>
          </w:tcPr>
          <w:p w14:paraId="73941F84" w14:textId="77777777" w:rsidR="00581635" w:rsidRDefault="00317EF8">
            <w:pPr>
              <w:pStyle w:val="Normal1"/>
              <w:keepNext/>
              <w:jc w:val="center"/>
            </w:pPr>
            <w:r>
              <w:rPr>
                <w:sz w:val="17"/>
                <w:szCs w:val="17"/>
              </w:rPr>
              <w:t>274 (70.4)</w:t>
            </w:r>
          </w:p>
        </w:tc>
        <w:tc>
          <w:tcPr>
            <w:tcW w:w="1350" w:type="dxa"/>
            <w:tcMar>
              <w:top w:w="25" w:type="dxa"/>
              <w:left w:w="70" w:type="dxa"/>
              <w:bottom w:w="25" w:type="dxa"/>
              <w:right w:w="70" w:type="dxa"/>
            </w:tcMar>
            <w:vAlign w:val="center"/>
          </w:tcPr>
          <w:p w14:paraId="1489EDB6" w14:textId="77777777" w:rsidR="00581635" w:rsidRDefault="00317EF8">
            <w:pPr>
              <w:pStyle w:val="Normal1"/>
              <w:keepNext/>
              <w:jc w:val="center"/>
            </w:pPr>
            <w:r>
              <w:rPr>
                <w:sz w:val="17"/>
                <w:szCs w:val="17"/>
              </w:rPr>
              <w:t>115 (29.6)</w:t>
            </w:r>
          </w:p>
        </w:tc>
      </w:tr>
      <w:tr w:rsidR="00581635" w14:paraId="66CEA18A" w14:textId="77777777">
        <w:trPr>
          <w:cantSplit/>
          <w:tblHeader/>
          <w:jc w:val="center"/>
        </w:trPr>
        <w:tc>
          <w:tcPr>
            <w:tcW w:w="5508" w:type="dxa"/>
            <w:tcMar>
              <w:top w:w="25" w:type="dxa"/>
              <w:left w:w="70" w:type="dxa"/>
              <w:bottom w:w="25" w:type="dxa"/>
              <w:right w:w="70" w:type="dxa"/>
            </w:tcMar>
            <w:vAlign w:val="center"/>
          </w:tcPr>
          <w:p w14:paraId="313907FE" w14:textId="77777777" w:rsidR="00581635" w:rsidRDefault="00317EF8">
            <w:pPr>
              <w:pStyle w:val="Normal1"/>
              <w:keepNext/>
            </w:pPr>
            <w:r>
              <w:rPr>
                <w:sz w:val="17"/>
                <w:szCs w:val="17"/>
              </w:rPr>
              <w:t>Health workers provide oral health education to caregivers of young children</w:t>
            </w:r>
          </w:p>
        </w:tc>
        <w:tc>
          <w:tcPr>
            <w:tcW w:w="1350" w:type="dxa"/>
            <w:tcMar>
              <w:top w:w="25" w:type="dxa"/>
              <w:left w:w="70" w:type="dxa"/>
              <w:bottom w:w="25" w:type="dxa"/>
              <w:right w:w="70" w:type="dxa"/>
            </w:tcMar>
            <w:vAlign w:val="center"/>
          </w:tcPr>
          <w:p w14:paraId="73F46779" w14:textId="77777777" w:rsidR="00581635" w:rsidRDefault="00317EF8">
            <w:pPr>
              <w:pStyle w:val="Normal1"/>
              <w:keepNext/>
              <w:jc w:val="center"/>
            </w:pPr>
            <w:r>
              <w:rPr>
                <w:sz w:val="17"/>
                <w:szCs w:val="17"/>
              </w:rPr>
              <w:t>249 (64.0)</w:t>
            </w:r>
          </w:p>
        </w:tc>
        <w:tc>
          <w:tcPr>
            <w:tcW w:w="1350" w:type="dxa"/>
            <w:tcMar>
              <w:top w:w="25" w:type="dxa"/>
              <w:left w:w="70" w:type="dxa"/>
              <w:bottom w:w="25" w:type="dxa"/>
              <w:right w:w="70" w:type="dxa"/>
            </w:tcMar>
            <w:vAlign w:val="center"/>
          </w:tcPr>
          <w:p w14:paraId="023282C0" w14:textId="77777777" w:rsidR="00581635" w:rsidRDefault="00317EF8">
            <w:pPr>
              <w:pStyle w:val="Normal1"/>
              <w:keepNext/>
              <w:jc w:val="center"/>
            </w:pPr>
            <w:r>
              <w:rPr>
                <w:sz w:val="17"/>
                <w:szCs w:val="17"/>
              </w:rPr>
              <w:t>140 (36.0)</w:t>
            </w:r>
          </w:p>
        </w:tc>
      </w:tr>
      <w:tr w:rsidR="00581635" w14:paraId="4F9B6866" w14:textId="77777777">
        <w:trPr>
          <w:cantSplit/>
          <w:tblHeader/>
          <w:jc w:val="center"/>
        </w:trPr>
        <w:tc>
          <w:tcPr>
            <w:tcW w:w="5508" w:type="dxa"/>
            <w:tcMar>
              <w:top w:w="25" w:type="dxa"/>
              <w:left w:w="70" w:type="dxa"/>
              <w:bottom w:w="25" w:type="dxa"/>
              <w:right w:w="70" w:type="dxa"/>
            </w:tcMar>
            <w:vAlign w:val="center"/>
          </w:tcPr>
          <w:p w14:paraId="20182845" w14:textId="77777777" w:rsidR="00581635" w:rsidRDefault="00317EF8">
            <w:pPr>
              <w:pStyle w:val="Normal1"/>
              <w:keepNext/>
            </w:pPr>
            <w:r>
              <w:rPr>
                <w:sz w:val="17"/>
                <w:szCs w:val="17"/>
              </w:rPr>
              <w:t>Preventive dental services are available for children in my area</w:t>
            </w:r>
          </w:p>
        </w:tc>
        <w:tc>
          <w:tcPr>
            <w:tcW w:w="1350" w:type="dxa"/>
            <w:tcMar>
              <w:top w:w="25" w:type="dxa"/>
              <w:left w:w="70" w:type="dxa"/>
              <w:bottom w:w="25" w:type="dxa"/>
              <w:right w:w="70" w:type="dxa"/>
            </w:tcMar>
            <w:vAlign w:val="center"/>
          </w:tcPr>
          <w:p w14:paraId="59CD9038" w14:textId="77777777" w:rsidR="00581635" w:rsidRDefault="00317EF8">
            <w:pPr>
              <w:pStyle w:val="Normal1"/>
              <w:keepNext/>
              <w:jc w:val="center"/>
            </w:pPr>
            <w:r>
              <w:rPr>
                <w:sz w:val="17"/>
                <w:szCs w:val="17"/>
              </w:rPr>
              <w:t>265 (68.1)</w:t>
            </w:r>
          </w:p>
        </w:tc>
        <w:tc>
          <w:tcPr>
            <w:tcW w:w="1350" w:type="dxa"/>
            <w:tcMar>
              <w:top w:w="25" w:type="dxa"/>
              <w:left w:w="70" w:type="dxa"/>
              <w:bottom w:w="25" w:type="dxa"/>
              <w:right w:w="70" w:type="dxa"/>
            </w:tcMar>
            <w:vAlign w:val="center"/>
          </w:tcPr>
          <w:p w14:paraId="3E22942D" w14:textId="77777777" w:rsidR="00581635" w:rsidRDefault="00317EF8">
            <w:pPr>
              <w:pStyle w:val="Normal1"/>
              <w:keepNext/>
              <w:jc w:val="center"/>
            </w:pPr>
            <w:r>
              <w:rPr>
                <w:sz w:val="17"/>
                <w:szCs w:val="17"/>
              </w:rPr>
              <w:t>124 (31.9)</w:t>
            </w:r>
          </w:p>
        </w:tc>
      </w:tr>
      <w:tr w:rsidR="00581635" w14:paraId="76AB031B" w14:textId="77777777">
        <w:trPr>
          <w:cantSplit/>
          <w:tblHeader/>
          <w:jc w:val="center"/>
        </w:trPr>
        <w:tc>
          <w:tcPr>
            <w:tcW w:w="5508" w:type="dxa"/>
            <w:tcMar>
              <w:top w:w="25" w:type="dxa"/>
              <w:left w:w="70" w:type="dxa"/>
              <w:bottom w:w="25" w:type="dxa"/>
              <w:right w:w="70" w:type="dxa"/>
            </w:tcMar>
            <w:vAlign w:val="center"/>
          </w:tcPr>
          <w:p w14:paraId="1800FA08" w14:textId="77777777" w:rsidR="00581635" w:rsidRDefault="00317EF8">
            <w:pPr>
              <w:pStyle w:val="Normal1"/>
              <w:keepNext/>
            </w:pPr>
            <w:r>
              <w:rPr>
                <w:sz w:val="17"/>
                <w:szCs w:val="17"/>
              </w:rPr>
              <w:t>I take my child for routine dental check-ups even without a problem</w:t>
            </w:r>
          </w:p>
        </w:tc>
        <w:tc>
          <w:tcPr>
            <w:tcW w:w="1350" w:type="dxa"/>
            <w:tcMar>
              <w:top w:w="25" w:type="dxa"/>
              <w:left w:w="70" w:type="dxa"/>
              <w:bottom w:w="25" w:type="dxa"/>
              <w:right w:w="70" w:type="dxa"/>
            </w:tcMar>
            <w:vAlign w:val="center"/>
          </w:tcPr>
          <w:p w14:paraId="7884CABC" w14:textId="77777777" w:rsidR="00581635" w:rsidRDefault="00317EF8">
            <w:pPr>
              <w:pStyle w:val="Normal1"/>
              <w:keepNext/>
              <w:jc w:val="center"/>
            </w:pPr>
            <w:r>
              <w:rPr>
                <w:sz w:val="17"/>
                <w:szCs w:val="17"/>
              </w:rPr>
              <w:t>266 (68.4)</w:t>
            </w:r>
          </w:p>
        </w:tc>
        <w:tc>
          <w:tcPr>
            <w:tcW w:w="1350" w:type="dxa"/>
            <w:tcMar>
              <w:top w:w="25" w:type="dxa"/>
              <w:left w:w="70" w:type="dxa"/>
              <w:bottom w:w="25" w:type="dxa"/>
              <w:right w:w="70" w:type="dxa"/>
            </w:tcMar>
            <w:vAlign w:val="center"/>
          </w:tcPr>
          <w:p w14:paraId="19629997" w14:textId="77777777" w:rsidR="00581635" w:rsidRDefault="00317EF8">
            <w:pPr>
              <w:pStyle w:val="Normal1"/>
              <w:keepNext/>
              <w:jc w:val="center"/>
            </w:pPr>
            <w:r>
              <w:rPr>
                <w:sz w:val="17"/>
                <w:szCs w:val="17"/>
              </w:rPr>
              <w:t>123 (31.6)</w:t>
            </w:r>
          </w:p>
        </w:tc>
      </w:tr>
      <w:tr w:rsidR="00581635" w14:paraId="578C3ACF" w14:textId="77777777">
        <w:trPr>
          <w:cantSplit/>
          <w:tblHeader/>
          <w:jc w:val="center"/>
        </w:trPr>
        <w:tc>
          <w:tcPr>
            <w:tcW w:w="5508" w:type="dxa"/>
            <w:tcMar>
              <w:top w:w="25" w:type="dxa"/>
              <w:left w:w="70" w:type="dxa"/>
              <w:bottom w:w="25" w:type="dxa"/>
              <w:right w:w="70" w:type="dxa"/>
            </w:tcMar>
            <w:vAlign w:val="center"/>
          </w:tcPr>
          <w:p w14:paraId="19A30711" w14:textId="77777777" w:rsidR="00581635" w:rsidRDefault="00317EF8">
            <w:pPr>
              <w:pStyle w:val="Normal1"/>
              <w:keepNext/>
            </w:pPr>
            <w:r>
              <w:rPr>
                <w:sz w:val="17"/>
                <w:szCs w:val="17"/>
              </w:rPr>
              <w:t>My child has previously visited a dental clinic</w:t>
            </w:r>
          </w:p>
        </w:tc>
        <w:tc>
          <w:tcPr>
            <w:tcW w:w="1350" w:type="dxa"/>
            <w:tcMar>
              <w:top w:w="25" w:type="dxa"/>
              <w:left w:w="70" w:type="dxa"/>
              <w:bottom w:w="25" w:type="dxa"/>
              <w:right w:w="70" w:type="dxa"/>
            </w:tcMar>
            <w:vAlign w:val="center"/>
          </w:tcPr>
          <w:p w14:paraId="1E52CC27" w14:textId="77777777" w:rsidR="00581635" w:rsidRDefault="00317EF8">
            <w:pPr>
              <w:pStyle w:val="Normal1"/>
              <w:keepNext/>
              <w:jc w:val="center"/>
            </w:pPr>
            <w:r>
              <w:rPr>
                <w:sz w:val="17"/>
                <w:szCs w:val="17"/>
              </w:rPr>
              <w:t>241 (62.0)</w:t>
            </w:r>
          </w:p>
        </w:tc>
        <w:tc>
          <w:tcPr>
            <w:tcW w:w="1350" w:type="dxa"/>
            <w:tcMar>
              <w:top w:w="25" w:type="dxa"/>
              <w:left w:w="70" w:type="dxa"/>
              <w:bottom w:w="25" w:type="dxa"/>
              <w:right w:w="70" w:type="dxa"/>
            </w:tcMar>
            <w:vAlign w:val="center"/>
          </w:tcPr>
          <w:p w14:paraId="696EB7C0" w14:textId="77777777" w:rsidR="00581635" w:rsidRDefault="00317EF8">
            <w:pPr>
              <w:pStyle w:val="Normal1"/>
              <w:keepNext/>
              <w:jc w:val="center"/>
            </w:pPr>
            <w:r>
              <w:rPr>
                <w:sz w:val="17"/>
                <w:szCs w:val="17"/>
              </w:rPr>
              <w:t>148 (38.0)</w:t>
            </w:r>
          </w:p>
        </w:tc>
      </w:tr>
      <w:tr w:rsidR="00581635" w14:paraId="60F285A4" w14:textId="77777777">
        <w:trPr>
          <w:cantSplit/>
          <w:tblHeader/>
          <w:jc w:val="center"/>
        </w:trPr>
        <w:tc>
          <w:tcPr>
            <w:tcW w:w="5508" w:type="dxa"/>
            <w:tcMar>
              <w:top w:w="25" w:type="dxa"/>
              <w:left w:w="70" w:type="dxa"/>
              <w:bottom w:w="25" w:type="dxa"/>
              <w:right w:w="70" w:type="dxa"/>
            </w:tcMar>
            <w:vAlign w:val="center"/>
          </w:tcPr>
          <w:p w14:paraId="39B8ECEB" w14:textId="77777777" w:rsidR="00581635" w:rsidRDefault="00317EF8">
            <w:pPr>
              <w:pStyle w:val="Normal1"/>
            </w:pPr>
            <w:r>
              <w:rPr>
                <w:b/>
                <w:bCs/>
                <w:sz w:val="17"/>
                <w:szCs w:val="17"/>
              </w:rPr>
              <w:t>Sub-total</w:t>
            </w:r>
          </w:p>
        </w:tc>
        <w:tc>
          <w:tcPr>
            <w:tcW w:w="1350" w:type="dxa"/>
            <w:tcMar>
              <w:top w:w="25" w:type="dxa"/>
              <w:left w:w="70" w:type="dxa"/>
              <w:bottom w:w="25" w:type="dxa"/>
              <w:right w:w="70" w:type="dxa"/>
            </w:tcMar>
            <w:vAlign w:val="center"/>
          </w:tcPr>
          <w:p w14:paraId="0665C56C" w14:textId="77777777" w:rsidR="00581635" w:rsidRDefault="00317EF8">
            <w:pPr>
              <w:pStyle w:val="Normal1"/>
              <w:jc w:val="center"/>
            </w:pPr>
            <w:r>
              <w:rPr>
                <w:b/>
                <w:bCs/>
                <w:sz w:val="17"/>
                <w:szCs w:val="17"/>
              </w:rPr>
              <w:t>1820 (66.8)</w:t>
            </w:r>
          </w:p>
        </w:tc>
        <w:tc>
          <w:tcPr>
            <w:tcW w:w="1350" w:type="dxa"/>
            <w:tcMar>
              <w:top w:w="25" w:type="dxa"/>
              <w:left w:w="70" w:type="dxa"/>
              <w:bottom w:w="25" w:type="dxa"/>
              <w:right w:w="70" w:type="dxa"/>
            </w:tcMar>
            <w:vAlign w:val="center"/>
          </w:tcPr>
          <w:p w14:paraId="09536FBE" w14:textId="77777777" w:rsidR="00581635" w:rsidRDefault="00317EF8">
            <w:pPr>
              <w:pStyle w:val="Normal1"/>
              <w:jc w:val="center"/>
            </w:pPr>
            <w:r>
              <w:rPr>
                <w:b/>
                <w:bCs/>
                <w:sz w:val="17"/>
                <w:szCs w:val="17"/>
              </w:rPr>
              <w:t>903 (33.2)</w:t>
            </w:r>
          </w:p>
        </w:tc>
      </w:tr>
    </w:tbl>
    <w:p w14:paraId="52FDD891" w14:textId="77777777" w:rsidR="00581635" w:rsidRDefault="00317EF8">
      <w:pPr>
        <w:pStyle w:val="Normal1"/>
        <w:spacing w:before="60" w:after="200"/>
        <w:jc w:val="both"/>
      </w:pPr>
      <w:proofErr w:type="spellStart"/>
      <w:r>
        <w:rPr>
          <w:sz w:val="16"/>
          <w:szCs w:val="16"/>
          <w:vertAlign w:val="superscript"/>
        </w:rPr>
        <w:t>a</w:t>
      </w:r>
      <w:r>
        <w:rPr>
          <w:sz w:val="16"/>
          <w:szCs w:val="16"/>
        </w:rPr>
        <w:t>Adverse</w:t>
      </w:r>
      <w:proofErr w:type="spellEnd"/>
      <w:r>
        <w:rPr>
          <w:sz w:val="16"/>
          <w:szCs w:val="16"/>
        </w:rPr>
        <w:t xml:space="preserve"> condition, for which “No” is the favorable response. Sub-totals are the proportions of “No” and “Yes” responses across items and do not account for this direction of scoring.</w:t>
      </w:r>
    </w:p>
    <w:p w14:paraId="6F6A1368" w14:textId="77777777" w:rsidR="00581635" w:rsidRDefault="00317EF8">
      <w:pPr>
        <w:pStyle w:val="Normal1"/>
        <w:spacing w:after="120" w:line="264" w:lineRule="auto"/>
        <w:jc w:val="both"/>
      </w:pPr>
      <w:r>
        <w:t xml:space="preserve">Fewer than half of households reported reliable safe water (41.4%), improved sanitation (47.8%) or proper waste disposal (42.7%), and fewer than one-third considered dental treatment affordable (29.6%). These findings are consistent with evidence that ECC follows social and environmental gradients, including poverty, water and sanitation conditions and community-level disadvantage (El Tantawi et al., 2024; Crystal et al., 2024; Folayan et al., 2025b; </w:t>
      </w:r>
      <w:proofErr w:type="spellStart"/>
      <w:r>
        <w:t>Maklennan</w:t>
      </w:r>
      <w:proofErr w:type="spellEnd"/>
      <w:r>
        <w:t xml:space="preserve"> et al., 2024). Southern African and international reviews have also identified limited access to services and the absence of a dental home as risk factors (Ogunlade et al., 2026; Khan et al., 2024), which is relevant in </w:t>
      </w:r>
      <w:proofErr w:type="spellStart"/>
      <w:r>
        <w:t>Okrika</w:t>
      </w:r>
      <w:proofErr w:type="spellEnd"/>
      <w:r>
        <w:t xml:space="preserve">, where no </w:t>
      </w:r>
      <w:proofErr w:type="spellStart"/>
      <w:r>
        <w:rPr>
          <w:highlight w:val="yellow"/>
        </w:rPr>
        <w:t>specialised</w:t>
      </w:r>
      <w:proofErr w:type="spellEnd"/>
      <w:r>
        <w:t xml:space="preserve"> dental facility exists. The uniform responses to the overcrowding and pollution items are surprising in densely populated communities with informal housing and inadequate waste management (Section 2.1) and may reflect social desirability or difficulty in understanding the items; these two items therefore add little information to the environmental classification.</w:t>
      </w:r>
    </w:p>
    <w:p w14:paraId="537769BA" w14:textId="77777777" w:rsidR="00581635" w:rsidRDefault="00317EF8">
      <w:pPr>
        <w:pStyle w:val="Heading2"/>
        <w:keepNext/>
        <w:spacing w:before="200" w:after="100"/>
      </w:pPr>
      <w:r>
        <w:lastRenderedPageBreak/>
        <w:t>3.7 FACTORS ASSOCIATED WITH CAREGIVER-REPORTED AND CLINICALLY ASSESSED CARIES</w:t>
      </w:r>
    </w:p>
    <w:p w14:paraId="271FE29B" w14:textId="77777777" w:rsidR="00581635" w:rsidRDefault="00317EF8">
      <w:pPr>
        <w:pStyle w:val="Normal1"/>
        <w:spacing w:after="120" w:line="264" w:lineRule="auto"/>
        <w:jc w:val="both"/>
      </w:pPr>
      <w:r>
        <w:t xml:space="preserve">Table 7 gives the binary logistic regression results. In the clinical model, no factor was significantly associated with caries: poor knowledge (AOR = 1.05; 95% CI: 0.30–3.74), fair knowledge (AOR = 1.17; 95% CI: 0.37–3.68), </w:t>
      </w:r>
      <w:r>
        <w:rPr>
          <w:highlight w:val="yellow"/>
        </w:rPr>
        <w:t>unfavourable</w:t>
      </w:r>
      <w:r>
        <w:t xml:space="preserve"> </w:t>
      </w:r>
      <w:r>
        <w:rPr>
          <w:highlight w:val="yellow"/>
        </w:rPr>
        <w:t>behaviour</w:t>
      </w:r>
      <w:r>
        <w:t xml:space="preserve"> (AOR = 0.68; 95% CI: 0.20–2.29), </w:t>
      </w:r>
      <w:r>
        <w:rPr>
          <w:highlight w:val="yellow"/>
        </w:rPr>
        <w:t>unfavourable</w:t>
      </w:r>
      <w:r>
        <w:t xml:space="preserve"> environment (AOR = 0.79; 95% CI: 0.26–2.38) and </w:t>
      </w:r>
      <w:r>
        <w:rPr>
          <w:highlight w:val="yellow"/>
        </w:rPr>
        <w:t>unfavourable</w:t>
      </w:r>
      <w:r>
        <w:t xml:space="preserve"> health-service factors (AOR = 0.71; 95% CI: 0.27–1.86) all had wide confidence intervals that included 1, reflecting the small number of clinically positive children. In the caregiver-reported model, an </w:t>
      </w:r>
      <w:r>
        <w:rPr>
          <w:highlight w:val="yellow"/>
        </w:rPr>
        <w:t>unfavourable</w:t>
      </w:r>
      <w:r>
        <w:t xml:space="preserve"> environment was strongly associated with positive caregiver-reported caries (AOR = 2.81; 95% CI: 1.64–4.81; </w:t>
      </w:r>
      <w:r>
        <w:rPr>
          <w:i/>
          <w:iCs/>
        </w:rPr>
        <w:t>P</w:t>
      </w:r>
      <w:r>
        <w:t xml:space="preserve"> &lt; .001). Poor knowledge (AOR = 1.85; 95% CI: 0.997–3.44; </w:t>
      </w:r>
      <w:r>
        <w:rPr>
          <w:i/>
          <w:iCs/>
        </w:rPr>
        <w:t>P</w:t>
      </w:r>
      <w:r>
        <w:t xml:space="preserve"> = .051) and </w:t>
      </w:r>
      <w:r>
        <w:rPr>
          <w:highlight w:val="yellow"/>
        </w:rPr>
        <w:t>unfavourable</w:t>
      </w:r>
      <w:r>
        <w:t xml:space="preserve"> health-service factors (AOR = 0.59; 95% CI: 0.34–1.00; </w:t>
      </w:r>
      <w:r>
        <w:rPr>
          <w:i/>
          <w:iCs/>
        </w:rPr>
        <w:t>P</w:t>
      </w:r>
      <w:r>
        <w:t xml:space="preserve"> = .051) did not reach statistical significance, and neither did fair knowledge (AOR = 0.995; </w:t>
      </w:r>
      <w:r>
        <w:rPr>
          <w:i/>
          <w:iCs/>
        </w:rPr>
        <w:t>P</w:t>
      </w:r>
      <w:r>
        <w:t xml:space="preserve"> = .98) or </w:t>
      </w:r>
      <w:r>
        <w:rPr>
          <w:highlight w:val="yellow"/>
        </w:rPr>
        <w:t>unfavourable</w:t>
      </w:r>
      <w:r>
        <w:t xml:space="preserve"> </w:t>
      </w:r>
      <w:r>
        <w:rPr>
          <w:highlight w:val="yellow"/>
        </w:rPr>
        <w:t>behaviour</w:t>
      </w:r>
      <w:r>
        <w:t xml:space="preserve"> (AOR = 1.22; 95% CI: 0.64–2.33; </w:t>
      </w:r>
      <w:r>
        <w:rPr>
          <w:i/>
          <w:iCs/>
        </w:rPr>
        <w:t>P</w:t>
      </w:r>
      <w:r>
        <w:t> = .56).</w:t>
      </w:r>
    </w:p>
    <w:p w14:paraId="0D452C94" w14:textId="77777777" w:rsidR="00581635" w:rsidRDefault="00317EF8">
      <w:pPr>
        <w:pStyle w:val="Normal1"/>
        <w:keepNext/>
        <w:spacing w:before="160" w:after="80"/>
      </w:pPr>
      <w:r>
        <w:rPr>
          <w:b/>
          <w:bCs/>
        </w:rPr>
        <w:t>Table 7.</w:t>
      </w:r>
      <w:r>
        <w:t> </w:t>
      </w:r>
      <w:r>
        <w:rPr>
          <w:b/>
          <w:bCs/>
        </w:rPr>
        <w:t>Binary logistic regression of factors associated with caregiver-reported and clinically assessed dental caries</w:t>
      </w:r>
    </w:p>
    <w:tbl>
      <w:tblPr>
        <w:tblStyle w:val="a5"/>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1948"/>
        <w:gridCol w:w="680"/>
        <w:gridCol w:w="580"/>
        <w:gridCol w:w="1800"/>
        <w:gridCol w:w="680"/>
        <w:gridCol w:w="580"/>
        <w:gridCol w:w="1940"/>
      </w:tblGrid>
      <w:tr w:rsidR="00581635" w14:paraId="27EE9B0D" w14:textId="77777777">
        <w:trPr>
          <w:cantSplit/>
          <w:tblHeader/>
          <w:jc w:val="center"/>
        </w:trPr>
        <w:tc>
          <w:tcPr>
            <w:tcW w:w="1948" w:type="dxa"/>
            <w:tcBorders>
              <w:bottom w:val="single" w:sz="4" w:space="0" w:color="000000"/>
            </w:tcBorders>
            <w:tcMar>
              <w:top w:w="25" w:type="dxa"/>
              <w:left w:w="70" w:type="dxa"/>
              <w:bottom w:w="25" w:type="dxa"/>
              <w:right w:w="70" w:type="dxa"/>
            </w:tcMar>
            <w:vAlign w:val="center"/>
          </w:tcPr>
          <w:p w14:paraId="31CBDC32" w14:textId="77777777" w:rsidR="00581635" w:rsidRDefault="00581635">
            <w:pPr>
              <w:pStyle w:val="Normal1"/>
              <w:keepNext/>
            </w:pPr>
          </w:p>
        </w:tc>
        <w:tc>
          <w:tcPr>
            <w:tcW w:w="3060" w:type="dxa"/>
            <w:gridSpan w:val="3"/>
            <w:tcBorders>
              <w:bottom w:val="single" w:sz="4" w:space="0" w:color="000000"/>
            </w:tcBorders>
            <w:tcMar>
              <w:top w:w="25" w:type="dxa"/>
              <w:left w:w="70" w:type="dxa"/>
              <w:bottom w:w="25" w:type="dxa"/>
              <w:right w:w="70" w:type="dxa"/>
            </w:tcMar>
            <w:vAlign w:val="center"/>
          </w:tcPr>
          <w:p w14:paraId="74CB2701" w14:textId="77777777" w:rsidR="00581635" w:rsidRDefault="00317EF8">
            <w:pPr>
              <w:pStyle w:val="Normal1"/>
              <w:keepNext/>
              <w:jc w:val="center"/>
            </w:pPr>
            <w:r>
              <w:rPr>
                <w:b/>
                <w:bCs/>
                <w:sz w:val="16"/>
                <w:szCs w:val="16"/>
              </w:rPr>
              <w:t>Clinically assessed caries</w:t>
            </w:r>
          </w:p>
        </w:tc>
        <w:tc>
          <w:tcPr>
            <w:tcW w:w="3200" w:type="dxa"/>
            <w:gridSpan w:val="3"/>
            <w:tcBorders>
              <w:bottom w:val="single" w:sz="4" w:space="0" w:color="000000"/>
            </w:tcBorders>
            <w:tcMar>
              <w:top w:w="25" w:type="dxa"/>
              <w:left w:w="70" w:type="dxa"/>
              <w:bottom w:w="25" w:type="dxa"/>
              <w:right w:w="70" w:type="dxa"/>
            </w:tcMar>
            <w:vAlign w:val="center"/>
          </w:tcPr>
          <w:p w14:paraId="30A43E16" w14:textId="77777777" w:rsidR="00581635" w:rsidRDefault="00317EF8">
            <w:pPr>
              <w:pStyle w:val="Normal1"/>
              <w:keepNext/>
              <w:jc w:val="center"/>
            </w:pPr>
            <w:r>
              <w:rPr>
                <w:b/>
                <w:bCs/>
                <w:sz w:val="16"/>
                <w:szCs w:val="16"/>
              </w:rPr>
              <w:t>Caregiver-reported caries</w:t>
            </w:r>
          </w:p>
        </w:tc>
      </w:tr>
      <w:tr w:rsidR="00581635" w14:paraId="22E47AAB" w14:textId="77777777">
        <w:trPr>
          <w:cantSplit/>
          <w:tblHeader/>
          <w:jc w:val="center"/>
        </w:trPr>
        <w:tc>
          <w:tcPr>
            <w:tcW w:w="1948" w:type="dxa"/>
            <w:tcBorders>
              <w:bottom w:val="single" w:sz="4" w:space="0" w:color="000000"/>
            </w:tcBorders>
            <w:tcMar>
              <w:top w:w="25" w:type="dxa"/>
              <w:left w:w="70" w:type="dxa"/>
              <w:bottom w:w="25" w:type="dxa"/>
              <w:right w:w="70" w:type="dxa"/>
            </w:tcMar>
            <w:vAlign w:val="center"/>
          </w:tcPr>
          <w:p w14:paraId="07BEF906" w14:textId="77777777" w:rsidR="00581635" w:rsidRDefault="00317EF8">
            <w:pPr>
              <w:pStyle w:val="Normal1"/>
              <w:keepNext/>
            </w:pPr>
            <w:r>
              <w:rPr>
                <w:b/>
                <w:bCs/>
                <w:sz w:val="16"/>
                <w:szCs w:val="16"/>
              </w:rPr>
              <w:t>Variable</w:t>
            </w:r>
          </w:p>
        </w:tc>
        <w:tc>
          <w:tcPr>
            <w:tcW w:w="680" w:type="dxa"/>
            <w:tcBorders>
              <w:bottom w:val="single" w:sz="4" w:space="0" w:color="000000"/>
            </w:tcBorders>
            <w:tcMar>
              <w:top w:w="25" w:type="dxa"/>
              <w:left w:w="70" w:type="dxa"/>
              <w:bottom w:w="25" w:type="dxa"/>
              <w:right w:w="70" w:type="dxa"/>
            </w:tcMar>
            <w:vAlign w:val="center"/>
          </w:tcPr>
          <w:p w14:paraId="4464109B" w14:textId="77777777" w:rsidR="00581635" w:rsidRDefault="00317EF8">
            <w:pPr>
              <w:pStyle w:val="Normal1"/>
              <w:keepNext/>
              <w:jc w:val="center"/>
            </w:pPr>
            <w:r>
              <w:rPr>
                <w:b/>
                <w:bCs/>
                <w:sz w:val="16"/>
                <w:szCs w:val="16"/>
              </w:rPr>
              <w:t>B</w:t>
            </w:r>
          </w:p>
        </w:tc>
        <w:tc>
          <w:tcPr>
            <w:tcW w:w="580" w:type="dxa"/>
            <w:tcBorders>
              <w:bottom w:val="single" w:sz="4" w:space="0" w:color="000000"/>
            </w:tcBorders>
            <w:tcMar>
              <w:top w:w="25" w:type="dxa"/>
              <w:left w:w="70" w:type="dxa"/>
              <w:bottom w:w="25" w:type="dxa"/>
              <w:right w:w="70" w:type="dxa"/>
            </w:tcMar>
            <w:vAlign w:val="center"/>
          </w:tcPr>
          <w:p w14:paraId="4DDDD157" w14:textId="77777777" w:rsidR="00581635" w:rsidRDefault="00317EF8">
            <w:pPr>
              <w:pStyle w:val="Normal1"/>
              <w:keepNext/>
              <w:jc w:val="center"/>
            </w:pPr>
            <w:r>
              <w:rPr>
                <w:b/>
                <w:bCs/>
                <w:i/>
                <w:iCs/>
                <w:sz w:val="16"/>
                <w:szCs w:val="16"/>
              </w:rPr>
              <w:t>P</w:t>
            </w:r>
          </w:p>
        </w:tc>
        <w:tc>
          <w:tcPr>
            <w:tcW w:w="1800" w:type="dxa"/>
            <w:tcBorders>
              <w:bottom w:val="single" w:sz="4" w:space="0" w:color="000000"/>
            </w:tcBorders>
            <w:tcMar>
              <w:top w:w="25" w:type="dxa"/>
              <w:left w:w="70" w:type="dxa"/>
              <w:bottom w:w="25" w:type="dxa"/>
              <w:right w:w="70" w:type="dxa"/>
            </w:tcMar>
            <w:vAlign w:val="center"/>
          </w:tcPr>
          <w:p w14:paraId="51B4D7F0" w14:textId="77777777" w:rsidR="00581635" w:rsidRDefault="00317EF8">
            <w:pPr>
              <w:pStyle w:val="Normal1"/>
              <w:keepNext/>
              <w:jc w:val="center"/>
            </w:pPr>
            <w:r>
              <w:rPr>
                <w:b/>
                <w:bCs/>
                <w:sz w:val="16"/>
                <w:szCs w:val="16"/>
              </w:rPr>
              <w:t>AOR (95% CI)</w:t>
            </w:r>
          </w:p>
        </w:tc>
        <w:tc>
          <w:tcPr>
            <w:tcW w:w="680" w:type="dxa"/>
            <w:tcBorders>
              <w:bottom w:val="single" w:sz="4" w:space="0" w:color="000000"/>
            </w:tcBorders>
            <w:tcMar>
              <w:top w:w="25" w:type="dxa"/>
              <w:left w:w="70" w:type="dxa"/>
              <w:bottom w:w="25" w:type="dxa"/>
              <w:right w:w="70" w:type="dxa"/>
            </w:tcMar>
            <w:vAlign w:val="center"/>
          </w:tcPr>
          <w:p w14:paraId="21CCEA28" w14:textId="77777777" w:rsidR="00581635" w:rsidRDefault="00317EF8">
            <w:pPr>
              <w:pStyle w:val="Normal1"/>
              <w:keepNext/>
              <w:jc w:val="center"/>
            </w:pPr>
            <w:r>
              <w:rPr>
                <w:b/>
                <w:bCs/>
                <w:sz w:val="16"/>
                <w:szCs w:val="16"/>
              </w:rPr>
              <w:t>B</w:t>
            </w:r>
          </w:p>
        </w:tc>
        <w:tc>
          <w:tcPr>
            <w:tcW w:w="580" w:type="dxa"/>
            <w:tcBorders>
              <w:bottom w:val="single" w:sz="4" w:space="0" w:color="000000"/>
            </w:tcBorders>
            <w:tcMar>
              <w:top w:w="25" w:type="dxa"/>
              <w:left w:w="70" w:type="dxa"/>
              <w:bottom w:w="25" w:type="dxa"/>
              <w:right w:w="70" w:type="dxa"/>
            </w:tcMar>
            <w:vAlign w:val="center"/>
          </w:tcPr>
          <w:p w14:paraId="4D3FBD73" w14:textId="77777777" w:rsidR="00581635" w:rsidRDefault="00317EF8">
            <w:pPr>
              <w:pStyle w:val="Normal1"/>
              <w:keepNext/>
              <w:jc w:val="center"/>
            </w:pPr>
            <w:r>
              <w:rPr>
                <w:b/>
                <w:bCs/>
                <w:i/>
                <w:iCs/>
                <w:sz w:val="16"/>
                <w:szCs w:val="16"/>
              </w:rPr>
              <w:t>P</w:t>
            </w:r>
          </w:p>
        </w:tc>
        <w:tc>
          <w:tcPr>
            <w:tcW w:w="1940" w:type="dxa"/>
            <w:tcBorders>
              <w:bottom w:val="single" w:sz="4" w:space="0" w:color="000000"/>
            </w:tcBorders>
            <w:tcMar>
              <w:top w:w="25" w:type="dxa"/>
              <w:left w:w="70" w:type="dxa"/>
              <w:bottom w:w="25" w:type="dxa"/>
              <w:right w:w="70" w:type="dxa"/>
            </w:tcMar>
            <w:vAlign w:val="center"/>
          </w:tcPr>
          <w:p w14:paraId="2153B21B" w14:textId="77777777" w:rsidR="00581635" w:rsidRDefault="00317EF8">
            <w:pPr>
              <w:pStyle w:val="Normal1"/>
              <w:keepNext/>
              <w:jc w:val="center"/>
            </w:pPr>
            <w:r>
              <w:rPr>
                <w:b/>
                <w:bCs/>
                <w:sz w:val="16"/>
                <w:szCs w:val="16"/>
              </w:rPr>
              <w:t>AOR (95% CI)</w:t>
            </w:r>
          </w:p>
        </w:tc>
      </w:tr>
      <w:tr w:rsidR="00581635" w14:paraId="1E17D46F" w14:textId="77777777">
        <w:trPr>
          <w:cantSplit/>
          <w:tblHeader/>
          <w:jc w:val="center"/>
        </w:trPr>
        <w:tc>
          <w:tcPr>
            <w:tcW w:w="1948" w:type="dxa"/>
            <w:tcMar>
              <w:top w:w="25" w:type="dxa"/>
              <w:left w:w="70" w:type="dxa"/>
              <w:bottom w:w="25" w:type="dxa"/>
              <w:right w:w="70" w:type="dxa"/>
            </w:tcMar>
            <w:vAlign w:val="center"/>
          </w:tcPr>
          <w:p w14:paraId="3242C930" w14:textId="77777777" w:rsidR="00581635" w:rsidRDefault="00317EF8">
            <w:pPr>
              <w:pStyle w:val="Normal1"/>
              <w:keepNext/>
            </w:pPr>
            <w:r>
              <w:rPr>
                <w:sz w:val="16"/>
                <w:szCs w:val="16"/>
              </w:rPr>
              <w:t>Knowledge: Poor</w:t>
            </w:r>
          </w:p>
        </w:tc>
        <w:tc>
          <w:tcPr>
            <w:tcW w:w="680" w:type="dxa"/>
            <w:tcMar>
              <w:top w:w="25" w:type="dxa"/>
              <w:left w:w="70" w:type="dxa"/>
              <w:bottom w:w="25" w:type="dxa"/>
              <w:right w:w="70" w:type="dxa"/>
            </w:tcMar>
            <w:vAlign w:val="center"/>
          </w:tcPr>
          <w:p w14:paraId="472D12D3" w14:textId="77777777" w:rsidR="00581635" w:rsidRDefault="00317EF8">
            <w:pPr>
              <w:pStyle w:val="Normal1"/>
              <w:keepNext/>
              <w:jc w:val="center"/>
            </w:pPr>
            <w:r>
              <w:rPr>
                <w:sz w:val="16"/>
                <w:szCs w:val="16"/>
              </w:rPr>
              <w:t>0.049</w:t>
            </w:r>
          </w:p>
        </w:tc>
        <w:tc>
          <w:tcPr>
            <w:tcW w:w="580" w:type="dxa"/>
            <w:tcMar>
              <w:top w:w="25" w:type="dxa"/>
              <w:left w:w="70" w:type="dxa"/>
              <w:bottom w:w="25" w:type="dxa"/>
              <w:right w:w="70" w:type="dxa"/>
            </w:tcMar>
            <w:vAlign w:val="center"/>
          </w:tcPr>
          <w:p w14:paraId="27380112" w14:textId="77777777" w:rsidR="00581635" w:rsidRDefault="00317EF8">
            <w:pPr>
              <w:pStyle w:val="Normal1"/>
              <w:keepNext/>
              <w:jc w:val="center"/>
            </w:pPr>
            <w:r>
              <w:rPr>
                <w:sz w:val="16"/>
                <w:szCs w:val="16"/>
              </w:rPr>
              <w:t>.94</w:t>
            </w:r>
          </w:p>
        </w:tc>
        <w:tc>
          <w:tcPr>
            <w:tcW w:w="1800" w:type="dxa"/>
            <w:tcMar>
              <w:top w:w="25" w:type="dxa"/>
              <w:left w:w="70" w:type="dxa"/>
              <w:bottom w:w="25" w:type="dxa"/>
              <w:right w:w="70" w:type="dxa"/>
            </w:tcMar>
            <w:vAlign w:val="center"/>
          </w:tcPr>
          <w:p w14:paraId="2A8DCFE7" w14:textId="77777777" w:rsidR="00581635" w:rsidRDefault="00317EF8">
            <w:pPr>
              <w:pStyle w:val="Normal1"/>
              <w:keepNext/>
              <w:jc w:val="center"/>
            </w:pPr>
            <w:r>
              <w:rPr>
                <w:sz w:val="16"/>
                <w:szCs w:val="16"/>
              </w:rPr>
              <w:t>1.050 (0.295–3.742)</w:t>
            </w:r>
          </w:p>
        </w:tc>
        <w:tc>
          <w:tcPr>
            <w:tcW w:w="680" w:type="dxa"/>
            <w:tcMar>
              <w:top w:w="25" w:type="dxa"/>
              <w:left w:w="70" w:type="dxa"/>
              <w:bottom w:w="25" w:type="dxa"/>
              <w:right w:w="70" w:type="dxa"/>
            </w:tcMar>
            <w:vAlign w:val="center"/>
          </w:tcPr>
          <w:p w14:paraId="1D6DABE2" w14:textId="77777777" w:rsidR="00581635" w:rsidRDefault="00317EF8">
            <w:pPr>
              <w:pStyle w:val="Normal1"/>
              <w:keepNext/>
              <w:jc w:val="center"/>
            </w:pPr>
            <w:r>
              <w:rPr>
                <w:sz w:val="16"/>
                <w:szCs w:val="16"/>
              </w:rPr>
              <w:t>0.616</w:t>
            </w:r>
          </w:p>
        </w:tc>
        <w:tc>
          <w:tcPr>
            <w:tcW w:w="580" w:type="dxa"/>
            <w:tcMar>
              <w:top w:w="25" w:type="dxa"/>
              <w:left w:w="70" w:type="dxa"/>
              <w:bottom w:w="25" w:type="dxa"/>
              <w:right w:w="70" w:type="dxa"/>
            </w:tcMar>
            <w:vAlign w:val="center"/>
          </w:tcPr>
          <w:p w14:paraId="1367C436" w14:textId="77777777" w:rsidR="00581635" w:rsidRDefault="00317EF8">
            <w:pPr>
              <w:pStyle w:val="Normal1"/>
              <w:keepNext/>
              <w:jc w:val="center"/>
            </w:pPr>
            <w:r>
              <w:rPr>
                <w:sz w:val="16"/>
                <w:szCs w:val="16"/>
              </w:rPr>
              <w:t>.051</w:t>
            </w:r>
          </w:p>
        </w:tc>
        <w:tc>
          <w:tcPr>
            <w:tcW w:w="1940" w:type="dxa"/>
            <w:tcMar>
              <w:top w:w="25" w:type="dxa"/>
              <w:left w:w="70" w:type="dxa"/>
              <w:bottom w:w="25" w:type="dxa"/>
              <w:right w:w="70" w:type="dxa"/>
            </w:tcMar>
            <w:vAlign w:val="center"/>
          </w:tcPr>
          <w:p w14:paraId="0EDF0D8F" w14:textId="77777777" w:rsidR="00581635" w:rsidRDefault="00317EF8">
            <w:pPr>
              <w:pStyle w:val="Normal1"/>
              <w:keepNext/>
              <w:jc w:val="center"/>
            </w:pPr>
            <w:r>
              <w:rPr>
                <w:sz w:val="16"/>
                <w:szCs w:val="16"/>
              </w:rPr>
              <w:t>1.852 (0.997–3.441)</w:t>
            </w:r>
          </w:p>
        </w:tc>
      </w:tr>
      <w:tr w:rsidR="00581635" w14:paraId="5DC11EEE" w14:textId="77777777">
        <w:trPr>
          <w:cantSplit/>
          <w:tblHeader/>
          <w:jc w:val="center"/>
        </w:trPr>
        <w:tc>
          <w:tcPr>
            <w:tcW w:w="1948" w:type="dxa"/>
            <w:tcMar>
              <w:top w:w="25" w:type="dxa"/>
              <w:left w:w="70" w:type="dxa"/>
              <w:bottom w:w="25" w:type="dxa"/>
              <w:right w:w="70" w:type="dxa"/>
            </w:tcMar>
            <w:vAlign w:val="center"/>
          </w:tcPr>
          <w:p w14:paraId="133D639E" w14:textId="77777777" w:rsidR="00581635" w:rsidRDefault="00317EF8">
            <w:pPr>
              <w:pStyle w:val="Normal1"/>
              <w:keepNext/>
            </w:pPr>
            <w:r>
              <w:rPr>
                <w:sz w:val="16"/>
                <w:szCs w:val="16"/>
              </w:rPr>
              <w:t>Knowledge: Fair</w:t>
            </w:r>
          </w:p>
        </w:tc>
        <w:tc>
          <w:tcPr>
            <w:tcW w:w="680" w:type="dxa"/>
            <w:tcMar>
              <w:top w:w="25" w:type="dxa"/>
              <w:left w:w="70" w:type="dxa"/>
              <w:bottom w:w="25" w:type="dxa"/>
              <w:right w:w="70" w:type="dxa"/>
            </w:tcMar>
            <w:vAlign w:val="center"/>
          </w:tcPr>
          <w:p w14:paraId="35236E34" w14:textId="77777777" w:rsidR="00581635" w:rsidRDefault="00317EF8">
            <w:pPr>
              <w:pStyle w:val="Normal1"/>
              <w:keepNext/>
              <w:jc w:val="center"/>
            </w:pPr>
            <w:r>
              <w:rPr>
                <w:sz w:val="16"/>
                <w:szCs w:val="16"/>
              </w:rPr>
              <w:t>0.158</w:t>
            </w:r>
          </w:p>
        </w:tc>
        <w:tc>
          <w:tcPr>
            <w:tcW w:w="580" w:type="dxa"/>
            <w:tcMar>
              <w:top w:w="25" w:type="dxa"/>
              <w:left w:w="70" w:type="dxa"/>
              <w:bottom w:w="25" w:type="dxa"/>
              <w:right w:w="70" w:type="dxa"/>
            </w:tcMar>
            <w:vAlign w:val="center"/>
          </w:tcPr>
          <w:p w14:paraId="2B479782" w14:textId="77777777" w:rsidR="00581635" w:rsidRDefault="00317EF8">
            <w:pPr>
              <w:pStyle w:val="Normal1"/>
              <w:keepNext/>
              <w:jc w:val="center"/>
            </w:pPr>
            <w:r>
              <w:rPr>
                <w:sz w:val="16"/>
                <w:szCs w:val="16"/>
              </w:rPr>
              <w:t>.79</w:t>
            </w:r>
          </w:p>
        </w:tc>
        <w:tc>
          <w:tcPr>
            <w:tcW w:w="1800" w:type="dxa"/>
            <w:tcMar>
              <w:top w:w="25" w:type="dxa"/>
              <w:left w:w="70" w:type="dxa"/>
              <w:bottom w:w="25" w:type="dxa"/>
              <w:right w:w="70" w:type="dxa"/>
            </w:tcMar>
            <w:vAlign w:val="center"/>
          </w:tcPr>
          <w:p w14:paraId="748C2F2A" w14:textId="77777777" w:rsidR="00581635" w:rsidRDefault="00317EF8">
            <w:pPr>
              <w:pStyle w:val="Normal1"/>
              <w:keepNext/>
              <w:jc w:val="center"/>
            </w:pPr>
            <w:r>
              <w:rPr>
                <w:sz w:val="16"/>
                <w:szCs w:val="16"/>
              </w:rPr>
              <w:t>1.171 (0.372–3.681)</w:t>
            </w:r>
          </w:p>
        </w:tc>
        <w:tc>
          <w:tcPr>
            <w:tcW w:w="680" w:type="dxa"/>
            <w:tcMar>
              <w:top w:w="25" w:type="dxa"/>
              <w:left w:w="70" w:type="dxa"/>
              <w:bottom w:w="25" w:type="dxa"/>
              <w:right w:w="70" w:type="dxa"/>
            </w:tcMar>
            <w:vAlign w:val="center"/>
          </w:tcPr>
          <w:p w14:paraId="40FA4F66" w14:textId="77777777" w:rsidR="00581635" w:rsidRDefault="00317EF8">
            <w:pPr>
              <w:pStyle w:val="Normal1"/>
              <w:keepNext/>
              <w:jc w:val="center"/>
            </w:pPr>
            <w:r>
              <w:rPr>
                <w:rFonts w:ascii="Arial Unicode MS" w:eastAsia="Arial Unicode MS" w:hAnsi="Arial Unicode MS" w:cs="Arial Unicode MS"/>
                <w:sz w:val="16"/>
                <w:szCs w:val="16"/>
              </w:rPr>
              <w:t>−0.005</w:t>
            </w:r>
          </w:p>
        </w:tc>
        <w:tc>
          <w:tcPr>
            <w:tcW w:w="580" w:type="dxa"/>
            <w:tcMar>
              <w:top w:w="25" w:type="dxa"/>
              <w:left w:w="70" w:type="dxa"/>
              <w:bottom w:w="25" w:type="dxa"/>
              <w:right w:w="70" w:type="dxa"/>
            </w:tcMar>
            <w:vAlign w:val="center"/>
          </w:tcPr>
          <w:p w14:paraId="5DC4E0AF" w14:textId="77777777" w:rsidR="00581635" w:rsidRDefault="00317EF8">
            <w:pPr>
              <w:pStyle w:val="Normal1"/>
              <w:keepNext/>
              <w:jc w:val="center"/>
            </w:pPr>
            <w:r>
              <w:rPr>
                <w:sz w:val="16"/>
                <w:szCs w:val="16"/>
              </w:rPr>
              <w:t>.98</w:t>
            </w:r>
          </w:p>
        </w:tc>
        <w:tc>
          <w:tcPr>
            <w:tcW w:w="1940" w:type="dxa"/>
            <w:tcMar>
              <w:top w:w="25" w:type="dxa"/>
              <w:left w:w="70" w:type="dxa"/>
              <w:bottom w:w="25" w:type="dxa"/>
              <w:right w:w="70" w:type="dxa"/>
            </w:tcMar>
            <w:vAlign w:val="center"/>
          </w:tcPr>
          <w:p w14:paraId="64EC713D" w14:textId="77777777" w:rsidR="00581635" w:rsidRDefault="00317EF8">
            <w:pPr>
              <w:pStyle w:val="Normal1"/>
              <w:keepNext/>
              <w:jc w:val="center"/>
            </w:pPr>
            <w:r>
              <w:rPr>
                <w:sz w:val="16"/>
                <w:szCs w:val="16"/>
              </w:rPr>
              <w:t>0.995 (0.578–1.711)</w:t>
            </w:r>
          </w:p>
        </w:tc>
      </w:tr>
      <w:tr w:rsidR="00581635" w14:paraId="6C8DC5D9" w14:textId="77777777">
        <w:trPr>
          <w:cantSplit/>
          <w:tblHeader/>
          <w:jc w:val="center"/>
        </w:trPr>
        <w:tc>
          <w:tcPr>
            <w:tcW w:w="1948" w:type="dxa"/>
            <w:tcMar>
              <w:top w:w="25" w:type="dxa"/>
              <w:left w:w="70" w:type="dxa"/>
              <w:bottom w:w="25" w:type="dxa"/>
              <w:right w:w="70" w:type="dxa"/>
            </w:tcMar>
            <w:vAlign w:val="center"/>
          </w:tcPr>
          <w:p w14:paraId="54CC6E45" w14:textId="77777777" w:rsidR="00581635" w:rsidRDefault="00317EF8">
            <w:pPr>
              <w:pStyle w:val="Normal1"/>
              <w:keepNext/>
            </w:pPr>
            <w:r>
              <w:rPr>
                <w:sz w:val="16"/>
                <w:szCs w:val="16"/>
              </w:rPr>
              <w:t>Knowledge: Good (ref.)</w:t>
            </w:r>
          </w:p>
        </w:tc>
        <w:tc>
          <w:tcPr>
            <w:tcW w:w="680" w:type="dxa"/>
            <w:tcMar>
              <w:top w:w="25" w:type="dxa"/>
              <w:left w:w="70" w:type="dxa"/>
              <w:bottom w:w="25" w:type="dxa"/>
              <w:right w:w="70" w:type="dxa"/>
            </w:tcMar>
            <w:vAlign w:val="center"/>
          </w:tcPr>
          <w:p w14:paraId="41AF36CA"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79D5C888" w14:textId="77777777" w:rsidR="00581635" w:rsidRDefault="00317EF8">
            <w:pPr>
              <w:pStyle w:val="Normal1"/>
              <w:keepNext/>
              <w:jc w:val="center"/>
            </w:pPr>
            <w:r>
              <w:rPr>
                <w:sz w:val="16"/>
                <w:szCs w:val="16"/>
              </w:rPr>
              <w:t>–</w:t>
            </w:r>
          </w:p>
        </w:tc>
        <w:tc>
          <w:tcPr>
            <w:tcW w:w="1800" w:type="dxa"/>
            <w:tcMar>
              <w:top w:w="25" w:type="dxa"/>
              <w:left w:w="70" w:type="dxa"/>
              <w:bottom w:w="25" w:type="dxa"/>
              <w:right w:w="70" w:type="dxa"/>
            </w:tcMar>
            <w:vAlign w:val="center"/>
          </w:tcPr>
          <w:p w14:paraId="197B11DA" w14:textId="77777777" w:rsidR="00581635" w:rsidRDefault="00317EF8">
            <w:pPr>
              <w:pStyle w:val="Normal1"/>
              <w:keepNext/>
              <w:jc w:val="center"/>
            </w:pPr>
            <w:r>
              <w:rPr>
                <w:sz w:val="16"/>
                <w:szCs w:val="16"/>
              </w:rPr>
              <w:t>1</w:t>
            </w:r>
          </w:p>
        </w:tc>
        <w:tc>
          <w:tcPr>
            <w:tcW w:w="680" w:type="dxa"/>
            <w:tcMar>
              <w:top w:w="25" w:type="dxa"/>
              <w:left w:w="70" w:type="dxa"/>
              <w:bottom w:w="25" w:type="dxa"/>
              <w:right w:w="70" w:type="dxa"/>
            </w:tcMar>
            <w:vAlign w:val="center"/>
          </w:tcPr>
          <w:p w14:paraId="2168A932"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472FA434" w14:textId="77777777" w:rsidR="00581635" w:rsidRDefault="00317EF8">
            <w:pPr>
              <w:pStyle w:val="Normal1"/>
              <w:keepNext/>
              <w:jc w:val="center"/>
            </w:pPr>
            <w:r>
              <w:rPr>
                <w:sz w:val="16"/>
                <w:szCs w:val="16"/>
              </w:rPr>
              <w:t>–</w:t>
            </w:r>
          </w:p>
        </w:tc>
        <w:tc>
          <w:tcPr>
            <w:tcW w:w="1940" w:type="dxa"/>
            <w:tcMar>
              <w:top w:w="25" w:type="dxa"/>
              <w:left w:w="70" w:type="dxa"/>
              <w:bottom w:w="25" w:type="dxa"/>
              <w:right w:w="70" w:type="dxa"/>
            </w:tcMar>
            <w:vAlign w:val="center"/>
          </w:tcPr>
          <w:p w14:paraId="09BB2BD8" w14:textId="77777777" w:rsidR="00581635" w:rsidRDefault="00317EF8">
            <w:pPr>
              <w:pStyle w:val="Normal1"/>
              <w:keepNext/>
              <w:jc w:val="center"/>
            </w:pPr>
            <w:r>
              <w:rPr>
                <w:sz w:val="16"/>
                <w:szCs w:val="16"/>
              </w:rPr>
              <w:t>1</w:t>
            </w:r>
          </w:p>
        </w:tc>
      </w:tr>
      <w:tr w:rsidR="00581635" w14:paraId="1E34BE93" w14:textId="77777777">
        <w:trPr>
          <w:cantSplit/>
          <w:tblHeader/>
          <w:jc w:val="center"/>
        </w:trPr>
        <w:tc>
          <w:tcPr>
            <w:tcW w:w="1948" w:type="dxa"/>
            <w:tcMar>
              <w:top w:w="25" w:type="dxa"/>
              <w:left w:w="70" w:type="dxa"/>
              <w:bottom w:w="25" w:type="dxa"/>
              <w:right w:w="70" w:type="dxa"/>
            </w:tcMar>
            <w:vAlign w:val="center"/>
          </w:tcPr>
          <w:p w14:paraId="15EC0182" w14:textId="77777777" w:rsidR="00581635" w:rsidRDefault="00317EF8">
            <w:pPr>
              <w:pStyle w:val="Normal1"/>
              <w:keepNext/>
            </w:pPr>
            <w:r>
              <w:rPr>
                <w:sz w:val="16"/>
                <w:szCs w:val="16"/>
              </w:rPr>
              <w:t>Behavior: Unfavorable</w:t>
            </w:r>
          </w:p>
        </w:tc>
        <w:tc>
          <w:tcPr>
            <w:tcW w:w="680" w:type="dxa"/>
            <w:tcMar>
              <w:top w:w="25" w:type="dxa"/>
              <w:left w:w="70" w:type="dxa"/>
              <w:bottom w:w="25" w:type="dxa"/>
              <w:right w:w="70" w:type="dxa"/>
            </w:tcMar>
            <w:vAlign w:val="center"/>
          </w:tcPr>
          <w:p w14:paraId="1A028C74" w14:textId="77777777" w:rsidR="00581635" w:rsidRDefault="00317EF8">
            <w:pPr>
              <w:pStyle w:val="Normal1"/>
              <w:keepNext/>
              <w:jc w:val="center"/>
            </w:pPr>
            <w:r>
              <w:rPr>
                <w:rFonts w:ascii="Arial Unicode MS" w:eastAsia="Arial Unicode MS" w:hAnsi="Arial Unicode MS" w:cs="Arial Unicode MS"/>
                <w:sz w:val="16"/>
                <w:szCs w:val="16"/>
              </w:rPr>
              <w:t>−0.388</w:t>
            </w:r>
          </w:p>
        </w:tc>
        <w:tc>
          <w:tcPr>
            <w:tcW w:w="580" w:type="dxa"/>
            <w:tcMar>
              <w:top w:w="25" w:type="dxa"/>
              <w:left w:w="70" w:type="dxa"/>
              <w:bottom w:w="25" w:type="dxa"/>
              <w:right w:w="70" w:type="dxa"/>
            </w:tcMar>
            <w:vAlign w:val="center"/>
          </w:tcPr>
          <w:p w14:paraId="6ED308C4" w14:textId="77777777" w:rsidR="00581635" w:rsidRDefault="00317EF8">
            <w:pPr>
              <w:pStyle w:val="Normal1"/>
              <w:keepNext/>
              <w:jc w:val="center"/>
            </w:pPr>
            <w:r>
              <w:rPr>
                <w:sz w:val="16"/>
                <w:szCs w:val="16"/>
              </w:rPr>
              <w:t>.53</w:t>
            </w:r>
          </w:p>
        </w:tc>
        <w:tc>
          <w:tcPr>
            <w:tcW w:w="1800" w:type="dxa"/>
            <w:tcMar>
              <w:top w:w="25" w:type="dxa"/>
              <w:left w:w="70" w:type="dxa"/>
              <w:bottom w:w="25" w:type="dxa"/>
              <w:right w:w="70" w:type="dxa"/>
            </w:tcMar>
            <w:vAlign w:val="center"/>
          </w:tcPr>
          <w:p w14:paraId="3104441C" w14:textId="77777777" w:rsidR="00581635" w:rsidRDefault="00317EF8">
            <w:pPr>
              <w:pStyle w:val="Normal1"/>
              <w:keepNext/>
              <w:jc w:val="center"/>
            </w:pPr>
            <w:r>
              <w:rPr>
                <w:sz w:val="16"/>
                <w:szCs w:val="16"/>
              </w:rPr>
              <w:t>0.678 (0.201–2.292)</w:t>
            </w:r>
          </w:p>
        </w:tc>
        <w:tc>
          <w:tcPr>
            <w:tcW w:w="680" w:type="dxa"/>
            <w:tcMar>
              <w:top w:w="25" w:type="dxa"/>
              <w:left w:w="70" w:type="dxa"/>
              <w:bottom w:w="25" w:type="dxa"/>
              <w:right w:w="70" w:type="dxa"/>
            </w:tcMar>
            <w:vAlign w:val="center"/>
          </w:tcPr>
          <w:p w14:paraId="0BB5B839" w14:textId="77777777" w:rsidR="00581635" w:rsidRDefault="00317EF8">
            <w:pPr>
              <w:pStyle w:val="Normal1"/>
              <w:keepNext/>
              <w:jc w:val="center"/>
            </w:pPr>
            <w:r>
              <w:rPr>
                <w:sz w:val="16"/>
                <w:szCs w:val="16"/>
              </w:rPr>
              <w:t>0.196</w:t>
            </w:r>
          </w:p>
        </w:tc>
        <w:tc>
          <w:tcPr>
            <w:tcW w:w="580" w:type="dxa"/>
            <w:tcMar>
              <w:top w:w="25" w:type="dxa"/>
              <w:left w:w="70" w:type="dxa"/>
              <w:bottom w:w="25" w:type="dxa"/>
              <w:right w:w="70" w:type="dxa"/>
            </w:tcMar>
            <w:vAlign w:val="center"/>
          </w:tcPr>
          <w:p w14:paraId="55691236" w14:textId="77777777" w:rsidR="00581635" w:rsidRDefault="00317EF8">
            <w:pPr>
              <w:pStyle w:val="Normal1"/>
              <w:keepNext/>
              <w:jc w:val="center"/>
            </w:pPr>
            <w:r>
              <w:rPr>
                <w:sz w:val="16"/>
                <w:szCs w:val="16"/>
              </w:rPr>
              <w:t>.56</w:t>
            </w:r>
          </w:p>
        </w:tc>
        <w:tc>
          <w:tcPr>
            <w:tcW w:w="1940" w:type="dxa"/>
            <w:tcMar>
              <w:top w:w="25" w:type="dxa"/>
              <w:left w:w="70" w:type="dxa"/>
              <w:bottom w:w="25" w:type="dxa"/>
              <w:right w:w="70" w:type="dxa"/>
            </w:tcMar>
            <w:vAlign w:val="center"/>
          </w:tcPr>
          <w:p w14:paraId="3AEC819A" w14:textId="77777777" w:rsidR="00581635" w:rsidRDefault="00317EF8">
            <w:pPr>
              <w:pStyle w:val="Normal1"/>
              <w:keepNext/>
              <w:jc w:val="center"/>
            </w:pPr>
            <w:r>
              <w:rPr>
                <w:sz w:val="16"/>
                <w:szCs w:val="16"/>
              </w:rPr>
              <w:t>1.217 (0.635–2.331)</w:t>
            </w:r>
          </w:p>
        </w:tc>
      </w:tr>
      <w:tr w:rsidR="00581635" w14:paraId="4C1293CA" w14:textId="77777777">
        <w:trPr>
          <w:cantSplit/>
          <w:tblHeader/>
          <w:jc w:val="center"/>
        </w:trPr>
        <w:tc>
          <w:tcPr>
            <w:tcW w:w="1948" w:type="dxa"/>
            <w:tcMar>
              <w:top w:w="25" w:type="dxa"/>
              <w:left w:w="70" w:type="dxa"/>
              <w:bottom w:w="25" w:type="dxa"/>
              <w:right w:w="70" w:type="dxa"/>
            </w:tcMar>
            <w:vAlign w:val="center"/>
          </w:tcPr>
          <w:p w14:paraId="687FC7C5" w14:textId="77777777" w:rsidR="00581635" w:rsidRDefault="00317EF8">
            <w:pPr>
              <w:pStyle w:val="Normal1"/>
              <w:keepNext/>
            </w:pPr>
            <w:r>
              <w:rPr>
                <w:sz w:val="16"/>
                <w:szCs w:val="16"/>
              </w:rPr>
              <w:t>Behavior: Favorable (ref.)</w:t>
            </w:r>
          </w:p>
        </w:tc>
        <w:tc>
          <w:tcPr>
            <w:tcW w:w="680" w:type="dxa"/>
            <w:tcMar>
              <w:top w:w="25" w:type="dxa"/>
              <w:left w:w="70" w:type="dxa"/>
              <w:bottom w:w="25" w:type="dxa"/>
              <w:right w:w="70" w:type="dxa"/>
            </w:tcMar>
            <w:vAlign w:val="center"/>
          </w:tcPr>
          <w:p w14:paraId="091FBD84"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21B6287A" w14:textId="77777777" w:rsidR="00581635" w:rsidRDefault="00317EF8">
            <w:pPr>
              <w:pStyle w:val="Normal1"/>
              <w:keepNext/>
              <w:jc w:val="center"/>
            </w:pPr>
            <w:r>
              <w:rPr>
                <w:sz w:val="16"/>
                <w:szCs w:val="16"/>
              </w:rPr>
              <w:t>–</w:t>
            </w:r>
          </w:p>
        </w:tc>
        <w:tc>
          <w:tcPr>
            <w:tcW w:w="1800" w:type="dxa"/>
            <w:tcMar>
              <w:top w:w="25" w:type="dxa"/>
              <w:left w:w="70" w:type="dxa"/>
              <w:bottom w:w="25" w:type="dxa"/>
              <w:right w:w="70" w:type="dxa"/>
            </w:tcMar>
            <w:vAlign w:val="center"/>
          </w:tcPr>
          <w:p w14:paraId="643B9AA6" w14:textId="77777777" w:rsidR="00581635" w:rsidRDefault="00317EF8">
            <w:pPr>
              <w:pStyle w:val="Normal1"/>
              <w:keepNext/>
              <w:jc w:val="center"/>
            </w:pPr>
            <w:r>
              <w:rPr>
                <w:sz w:val="16"/>
                <w:szCs w:val="16"/>
              </w:rPr>
              <w:t>1</w:t>
            </w:r>
          </w:p>
        </w:tc>
        <w:tc>
          <w:tcPr>
            <w:tcW w:w="680" w:type="dxa"/>
            <w:tcMar>
              <w:top w:w="25" w:type="dxa"/>
              <w:left w:w="70" w:type="dxa"/>
              <w:bottom w:w="25" w:type="dxa"/>
              <w:right w:w="70" w:type="dxa"/>
            </w:tcMar>
            <w:vAlign w:val="center"/>
          </w:tcPr>
          <w:p w14:paraId="5DA8B356"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2BF4CCB3" w14:textId="77777777" w:rsidR="00581635" w:rsidRDefault="00317EF8">
            <w:pPr>
              <w:pStyle w:val="Normal1"/>
              <w:keepNext/>
              <w:jc w:val="center"/>
            </w:pPr>
            <w:r>
              <w:rPr>
                <w:sz w:val="16"/>
                <w:szCs w:val="16"/>
              </w:rPr>
              <w:t>–</w:t>
            </w:r>
          </w:p>
        </w:tc>
        <w:tc>
          <w:tcPr>
            <w:tcW w:w="1940" w:type="dxa"/>
            <w:tcMar>
              <w:top w:w="25" w:type="dxa"/>
              <w:left w:w="70" w:type="dxa"/>
              <w:bottom w:w="25" w:type="dxa"/>
              <w:right w:w="70" w:type="dxa"/>
            </w:tcMar>
            <w:vAlign w:val="center"/>
          </w:tcPr>
          <w:p w14:paraId="695DBC6D" w14:textId="77777777" w:rsidR="00581635" w:rsidRDefault="00317EF8">
            <w:pPr>
              <w:pStyle w:val="Normal1"/>
              <w:keepNext/>
              <w:jc w:val="center"/>
            </w:pPr>
            <w:r>
              <w:rPr>
                <w:sz w:val="16"/>
                <w:szCs w:val="16"/>
              </w:rPr>
              <w:t>1</w:t>
            </w:r>
          </w:p>
        </w:tc>
      </w:tr>
      <w:tr w:rsidR="00581635" w14:paraId="60700F48" w14:textId="77777777">
        <w:trPr>
          <w:cantSplit/>
          <w:tblHeader/>
          <w:jc w:val="center"/>
        </w:trPr>
        <w:tc>
          <w:tcPr>
            <w:tcW w:w="1948" w:type="dxa"/>
            <w:tcMar>
              <w:top w:w="25" w:type="dxa"/>
              <w:left w:w="70" w:type="dxa"/>
              <w:bottom w:w="25" w:type="dxa"/>
              <w:right w:w="70" w:type="dxa"/>
            </w:tcMar>
            <w:vAlign w:val="center"/>
          </w:tcPr>
          <w:p w14:paraId="7FBC7F53" w14:textId="77777777" w:rsidR="00581635" w:rsidRDefault="00317EF8">
            <w:pPr>
              <w:pStyle w:val="Normal1"/>
              <w:keepNext/>
            </w:pPr>
            <w:r>
              <w:rPr>
                <w:sz w:val="16"/>
                <w:szCs w:val="16"/>
              </w:rPr>
              <w:t>Environment: Unfavorable</w:t>
            </w:r>
          </w:p>
        </w:tc>
        <w:tc>
          <w:tcPr>
            <w:tcW w:w="680" w:type="dxa"/>
            <w:tcMar>
              <w:top w:w="25" w:type="dxa"/>
              <w:left w:w="70" w:type="dxa"/>
              <w:bottom w:w="25" w:type="dxa"/>
              <w:right w:w="70" w:type="dxa"/>
            </w:tcMar>
            <w:vAlign w:val="center"/>
          </w:tcPr>
          <w:p w14:paraId="7D6D9646" w14:textId="77777777" w:rsidR="00581635" w:rsidRDefault="00317EF8">
            <w:pPr>
              <w:pStyle w:val="Normal1"/>
              <w:keepNext/>
              <w:jc w:val="center"/>
            </w:pPr>
            <w:r>
              <w:rPr>
                <w:rFonts w:ascii="Arial Unicode MS" w:eastAsia="Arial Unicode MS" w:hAnsi="Arial Unicode MS" w:cs="Arial Unicode MS"/>
                <w:sz w:val="16"/>
                <w:szCs w:val="16"/>
              </w:rPr>
              <w:t>−0.232</w:t>
            </w:r>
          </w:p>
        </w:tc>
        <w:tc>
          <w:tcPr>
            <w:tcW w:w="580" w:type="dxa"/>
            <w:tcMar>
              <w:top w:w="25" w:type="dxa"/>
              <w:left w:w="70" w:type="dxa"/>
              <w:bottom w:w="25" w:type="dxa"/>
              <w:right w:w="70" w:type="dxa"/>
            </w:tcMar>
            <w:vAlign w:val="center"/>
          </w:tcPr>
          <w:p w14:paraId="702AF6D5" w14:textId="77777777" w:rsidR="00581635" w:rsidRDefault="00317EF8">
            <w:pPr>
              <w:pStyle w:val="Normal1"/>
              <w:keepNext/>
              <w:jc w:val="center"/>
            </w:pPr>
            <w:r>
              <w:rPr>
                <w:sz w:val="16"/>
                <w:szCs w:val="16"/>
              </w:rPr>
              <w:t>.68</w:t>
            </w:r>
          </w:p>
        </w:tc>
        <w:tc>
          <w:tcPr>
            <w:tcW w:w="1800" w:type="dxa"/>
            <w:tcMar>
              <w:top w:w="25" w:type="dxa"/>
              <w:left w:w="70" w:type="dxa"/>
              <w:bottom w:w="25" w:type="dxa"/>
              <w:right w:w="70" w:type="dxa"/>
            </w:tcMar>
            <w:vAlign w:val="center"/>
          </w:tcPr>
          <w:p w14:paraId="3B4C4FE0" w14:textId="77777777" w:rsidR="00581635" w:rsidRDefault="00317EF8">
            <w:pPr>
              <w:pStyle w:val="Normal1"/>
              <w:keepNext/>
              <w:jc w:val="center"/>
            </w:pPr>
            <w:r>
              <w:rPr>
                <w:sz w:val="16"/>
                <w:szCs w:val="16"/>
              </w:rPr>
              <w:t>0.793 (0.264–2.377)</w:t>
            </w:r>
          </w:p>
        </w:tc>
        <w:tc>
          <w:tcPr>
            <w:tcW w:w="680" w:type="dxa"/>
            <w:tcMar>
              <w:top w:w="25" w:type="dxa"/>
              <w:left w:w="70" w:type="dxa"/>
              <w:bottom w:w="25" w:type="dxa"/>
              <w:right w:w="70" w:type="dxa"/>
            </w:tcMar>
            <w:vAlign w:val="center"/>
          </w:tcPr>
          <w:p w14:paraId="79A12002" w14:textId="77777777" w:rsidR="00581635" w:rsidRDefault="00317EF8">
            <w:pPr>
              <w:pStyle w:val="Normal1"/>
              <w:keepNext/>
              <w:jc w:val="center"/>
            </w:pPr>
            <w:r>
              <w:rPr>
                <w:sz w:val="16"/>
                <w:szCs w:val="16"/>
              </w:rPr>
              <w:t>1.032</w:t>
            </w:r>
          </w:p>
        </w:tc>
        <w:tc>
          <w:tcPr>
            <w:tcW w:w="580" w:type="dxa"/>
            <w:tcMar>
              <w:top w:w="25" w:type="dxa"/>
              <w:left w:w="70" w:type="dxa"/>
              <w:bottom w:w="25" w:type="dxa"/>
              <w:right w:w="70" w:type="dxa"/>
            </w:tcMar>
            <w:vAlign w:val="center"/>
          </w:tcPr>
          <w:p w14:paraId="3555F28D" w14:textId="77777777" w:rsidR="00581635" w:rsidRDefault="00317EF8">
            <w:pPr>
              <w:pStyle w:val="Normal1"/>
              <w:keepNext/>
              <w:jc w:val="center"/>
            </w:pPr>
            <w:r>
              <w:rPr>
                <w:sz w:val="16"/>
                <w:szCs w:val="16"/>
              </w:rPr>
              <w:t>&lt;.001</w:t>
            </w:r>
          </w:p>
        </w:tc>
        <w:tc>
          <w:tcPr>
            <w:tcW w:w="1940" w:type="dxa"/>
            <w:tcMar>
              <w:top w:w="25" w:type="dxa"/>
              <w:left w:w="70" w:type="dxa"/>
              <w:bottom w:w="25" w:type="dxa"/>
              <w:right w:w="70" w:type="dxa"/>
            </w:tcMar>
            <w:vAlign w:val="center"/>
          </w:tcPr>
          <w:p w14:paraId="3D46CE95" w14:textId="77777777" w:rsidR="00581635" w:rsidRDefault="00317EF8">
            <w:pPr>
              <w:pStyle w:val="Normal1"/>
              <w:keepNext/>
              <w:jc w:val="center"/>
            </w:pPr>
            <w:r>
              <w:rPr>
                <w:sz w:val="16"/>
                <w:szCs w:val="16"/>
              </w:rPr>
              <w:t>2.806 (1.636–4.813)</w:t>
            </w:r>
          </w:p>
        </w:tc>
      </w:tr>
      <w:tr w:rsidR="00581635" w14:paraId="5FDA0EDD" w14:textId="77777777">
        <w:trPr>
          <w:cantSplit/>
          <w:tblHeader/>
          <w:jc w:val="center"/>
        </w:trPr>
        <w:tc>
          <w:tcPr>
            <w:tcW w:w="1948" w:type="dxa"/>
            <w:tcMar>
              <w:top w:w="25" w:type="dxa"/>
              <w:left w:w="70" w:type="dxa"/>
              <w:bottom w:w="25" w:type="dxa"/>
              <w:right w:w="70" w:type="dxa"/>
            </w:tcMar>
            <w:vAlign w:val="center"/>
          </w:tcPr>
          <w:p w14:paraId="46071F3D" w14:textId="77777777" w:rsidR="00581635" w:rsidRDefault="00317EF8">
            <w:pPr>
              <w:pStyle w:val="Normal1"/>
              <w:keepNext/>
            </w:pPr>
            <w:r>
              <w:rPr>
                <w:sz w:val="16"/>
                <w:szCs w:val="16"/>
              </w:rPr>
              <w:t>Environment: Favorable (ref.)</w:t>
            </w:r>
          </w:p>
        </w:tc>
        <w:tc>
          <w:tcPr>
            <w:tcW w:w="680" w:type="dxa"/>
            <w:tcMar>
              <w:top w:w="25" w:type="dxa"/>
              <w:left w:w="70" w:type="dxa"/>
              <w:bottom w:w="25" w:type="dxa"/>
              <w:right w:w="70" w:type="dxa"/>
            </w:tcMar>
            <w:vAlign w:val="center"/>
          </w:tcPr>
          <w:p w14:paraId="1A463816"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12E25E11" w14:textId="77777777" w:rsidR="00581635" w:rsidRDefault="00317EF8">
            <w:pPr>
              <w:pStyle w:val="Normal1"/>
              <w:keepNext/>
              <w:jc w:val="center"/>
            </w:pPr>
            <w:r>
              <w:rPr>
                <w:sz w:val="16"/>
                <w:szCs w:val="16"/>
              </w:rPr>
              <w:t>–</w:t>
            </w:r>
          </w:p>
        </w:tc>
        <w:tc>
          <w:tcPr>
            <w:tcW w:w="1800" w:type="dxa"/>
            <w:tcMar>
              <w:top w:w="25" w:type="dxa"/>
              <w:left w:w="70" w:type="dxa"/>
              <w:bottom w:w="25" w:type="dxa"/>
              <w:right w:w="70" w:type="dxa"/>
            </w:tcMar>
            <w:vAlign w:val="center"/>
          </w:tcPr>
          <w:p w14:paraId="113F5CE3" w14:textId="77777777" w:rsidR="00581635" w:rsidRDefault="00317EF8">
            <w:pPr>
              <w:pStyle w:val="Normal1"/>
              <w:keepNext/>
              <w:jc w:val="center"/>
            </w:pPr>
            <w:r>
              <w:rPr>
                <w:sz w:val="16"/>
                <w:szCs w:val="16"/>
              </w:rPr>
              <w:t>1</w:t>
            </w:r>
          </w:p>
        </w:tc>
        <w:tc>
          <w:tcPr>
            <w:tcW w:w="680" w:type="dxa"/>
            <w:tcMar>
              <w:top w:w="25" w:type="dxa"/>
              <w:left w:w="70" w:type="dxa"/>
              <w:bottom w:w="25" w:type="dxa"/>
              <w:right w:w="70" w:type="dxa"/>
            </w:tcMar>
            <w:vAlign w:val="center"/>
          </w:tcPr>
          <w:p w14:paraId="46DB3879" w14:textId="77777777" w:rsidR="00581635" w:rsidRDefault="00317EF8">
            <w:pPr>
              <w:pStyle w:val="Normal1"/>
              <w:keepNext/>
              <w:jc w:val="center"/>
            </w:pPr>
            <w:r>
              <w:rPr>
                <w:sz w:val="16"/>
                <w:szCs w:val="16"/>
              </w:rPr>
              <w:t>0</w:t>
            </w:r>
          </w:p>
        </w:tc>
        <w:tc>
          <w:tcPr>
            <w:tcW w:w="580" w:type="dxa"/>
            <w:tcMar>
              <w:top w:w="25" w:type="dxa"/>
              <w:left w:w="70" w:type="dxa"/>
              <w:bottom w:w="25" w:type="dxa"/>
              <w:right w:w="70" w:type="dxa"/>
            </w:tcMar>
            <w:vAlign w:val="center"/>
          </w:tcPr>
          <w:p w14:paraId="631242C9" w14:textId="77777777" w:rsidR="00581635" w:rsidRDefault="00317EF8">
            <w:pPr>
              <w:pStyle w:val="Normal1"/>
              <w:keepNext/>
              <w:jc w:val="center"/>
            </w:pPr>
            <w:r>
              <w:rPr>
                <w:sz w:val="16"/>
                <w:szCs w:val="16"/>
              </w:rPr>
              <w:t>–</w:t>
            </w:r>
          </w:p>
        </w:tc>
        <w:tc>
          <w:tcPr>
            <w:tcW w:w="1940" w:type="dxa"/>
            <w:tcMar>
              <w:top w:w="25" w:type="dxa"/>
              <w:left w:w="70" w:type="dxa"/>
              <w:bottom w:w="25" w:type="dxa"/>
              <w:right w:w="70" w:type="dxa"/>
            </w:tcMar>
            <w:vAlign w:val="center"/>
          </w:tcPr>
          <w:p w14:paraId="4E990823" w14:textId="77777777" w:rsidR="00581635" w:rsidRDefault="00317EF8">
            <w:pPr>
              <w:pStyle w:val="Normal1"/>
              <w:keepNext/>
              <w:jc w:val="center"/>
            </w:pPr>
            <w:r>
              <w:rPr>
                <w:sz w:val="16"/>
                <w:szCs w:val="16"/>
              </w:rPr>
              <w:t>1</w:t>
            </w:r>
          </w:p>
        </w:tc>
      </w:tr>
      <w:tr w:rsidR="00581635" w14:paraId="718C7859" w14:textId="77777777">
        <w:trPr>
          <w:cantSplit/>
          <w:tblHeader/>
          <w:jc w:val="center"/>
        </w:trPr>
        <w:tc>
          <w:tcPr>
            <w:tcW w:w="1948" w:type="dxa"/>
            <w:tcMar>
              <w:top w:w="25" w:type="dxa"/>
              <w:left w:w="70" w:type="dxa"/>
              <w:bottom w:w="25" w:type="dxa"/>
              <w:right w:w="70" w:type="dxa"/>
            </w:tcMar>
            <w:vAlign w:val="center"/>
          </w:tcPr>
          <w:p w14:paraId="4B79208E" w14:textId="77777777" w:rsidR="00581635" w:rsidRDefault="00317EF8">
            <w:pPr>
              <w:pStyle w:val="Normal1"/>
              <w:keepNext/>
            </w:pPr>
            <w:r>
              <w:rPr>
                <w:sz w:val="16"/>
                <w:szCs w:val="16"/>
              </w:rPr>
              <w:t>Health service: Unfavorable</w:t>
            </w:r>
          </w:p>
        </w:tc>
        <w:tc>
          <w:tcPr>
            <w:tcW w:w="680" w:type="dxa"/>
            <w:tcMar>
              <w:top w:w="25" w:type="dxa"/>
              <w:left w:w="70" w:type="dxa"/>
              <w:bottom w:w="25" w:type="dxa"/>
              <w:right w:w="70" w:type="dxa"/>
            </w:tcMar>
            <w:vAlign w:val="center"/>
          </w:tcPr>
          <w:p w14:paraId="00E2D37D" w14:textId="77777777" w:rsidR="00581635" w:rsidRDefault="00317EF8">
            <w:pPr>
              <w:pStyle w:val="Normal1"/>
              <w:keepNext/>
              <w:jc w:val="center"/>
            </w:pPr>
            <w:r>
              <w:rPr>
                <w:rFonts w:ascii="Arial Unicode MS" w:eastAsia="Arial Unicode MS" w:hAnsi="Arial Unicode MS" w:cs="Arial Unicode MS"/>
                <w:sz w:val="16"/>
                <w:szCs w:val="16"/>
              </w:rPr>
              <w:t>−0.346</w:t>
            </w:r>
          </w:p>
        </w:tc>
        <w:tc>
          <w:tcPr>
            <w:tcW w:w="580" w:type="dxa"/>
            <w:tcMar>
              <w:top w:w="25" w:type="dxa"/>
              <w:left w:w="70" w:type="dxa"/>
              <w:bottom w:w="25" w:type="dxa"/>
              <w:right w:w="70" w:type="dxa"/>
            </w:tcMar>
            <w:vAlign w:val="center"/>
          </w:tcPr>
          <w:p w14:paraId="18D8051B" w14:textId="77777777" w:rsidR="00581635" w:rsidRDefault="00317EF8">
            <w:pPr>
              <w:pStyle w:val="Normal1"/>
              <w:keepNext/>
              <w:jc w:val="center"/>
            </w:pPr>
            <w:r>
              <w:rPr>
                <w:sz w:val="16"/>
                <w:szCs w:val="16"/>
              </w:rPr>
              <w:t>.48</w:t>
            </w:r>
          </w:p>
        </w:tc>
        <w:tc>
          <w:tcPr>
            <w:tcW w:w="1800" w:type="dxa"/>
            <w:tcMar>
              <w:top w:w="25" w:type="dxa"/>
              <w:left w:w="70" w:type="dxa"/>
              <w:bottom w:w="25" w:type="dxa"/>
              <w:right w:w="70" w:type="dxa"/>
            </w:tcMar>
            <w:vAlign w:val="center"/>
          </w:tcPr>
          <w:p w14:paraId="3248941C" w14:textId="77777777" w:rsidR="00581635" w:rsidRDefault="00317EF8">
            <w:pPr>
              <w:pStyle w:val="Normal1"/>
              <w:keepNext/>
              <w:jc w:val="center"/>
            </w:pPr>
            <w:r>
              <w:rPr>
                <w:sz w:val="16"/>
                <w:szCs w:val="16"/>
              </w:rPr>
              <w:t>0.708 (0.269–1.861)</w:t>
            </w:r>
          </w:p>
        </w:tc>
        <w:tc>
          <w:tcPr>
            <w:tcW w:w="680" w:type="dxa"/>
            <w:tcMar>
              <w:top w:w="25" w:type="dxa"/>
              <w:left w:w="70" w:type="dxa"/>
              <w:bottom w:w="25" w:type="dxa"/>
              <w:right w:w="70" w:type="dxa"/>
            </w:tcMar>
            <w:vAlign w:val="center"/>
          </w:tcPr>
          <w:p w14:paraId="2566B719" w14:textId="77777777" w:rsidR="00581635" w:rsidRDefault="00317EF8">
            <w:pPr>
              <w:pStyle w:val="Normal1"/>
              <w:keepNext/>
              <w:jc w:val="center"/>
            </w:pPr>
            <w:r>
              <w:rPr>
                <w:rFonts w:ascii="Arial Unicode MS" w:eastAsia="Arial Unicode MS" w:hAnsi="Arial Unicode MS" w:cs="Arial Unicode MS"/>
                <w:sz w:val="16"/>
                <w:szCs w:val="16"/>
              </w:rPr>
              <w:t>−0.535</w:t>
            </w:r>
          </w:p>
        </w:tc>
        <w:tc>
          <w:tcPr>
            <w:tcW w:w="580" w:type="dxa"/>
            <w:tcMar>
              <w:top w:w="25" w:type="dxa"/>
              <w:left w:w="70" w:type="dxa"/>
              <w:bottom w:w="25" w:type="dxa"/>
              <w:right w:w="70" w:type="dxa"/>
            </w:tcMar>
            <w:vAlign w:val="center"/>
          </w:tcPr>
          <w:p w14:paraId="708B0FC3" w14:textId="77777777" w:rsidR="00581635" w:rsidRDefault="00317EF8">
            <w:pPr>
              <w:pStyle w:val="Normal1"/>
              <w:keepNext/>
              <w:jc w:val="center"/>
            </w:pPr>
            <w:r>
              <w:rPr>
                <w:sz w:val="16"/>
                <w:szCs w:val="16"/>
              </w:rPr>
              <w:t>.051</w:t>
            </w:r>
          </w:p>
        </w:tc>
        <w:tc>
          <w:tcPr>
            <w:tcW w:w="1940" w:type="dxa"/>
            <w:tcMar>
              <w:top w:w="25" w:type="dxa"/>
              <w:left w:w="70" w:type="dxa"/>
              <w:bottom w:w="25" w:type="dxa"/>
              <w:right w:w="70" w:type="dxa"/>
            </w:tcMar>
            <w:vAlign w:val="center"/>
          </w:tcPr>
          <w:p w14:paraId="21E88D96" w14:textId="77777777" w:rsidR="00581635" w:rsidRDefault="00317EF8">
            <w:pPr>
              <w:pStyle w:val="Normal1"/>
              <w:keepNext/>
              <w:jc w:val="center"/>
            </w:pPr>
            <w:r>
              <w:rPr>
                <w:sz w:val="16"/>
                <w:szCs w:val="16"/>
              </w:rPr>
              <w:t>0.585 (0.342–1.001)</w:t>
            </w:r>
          </w:p>
        </w:tc>
      </w:tr>
      <w:tr w:rsidR="00581635" w14:paraId="2CCA87CD" w14:textId="77777777">
        <w:trPr>
          <w:cantSplit/>
          <w:tblHeader/>
          <w:jc w:val="center"/>
        </w:trPr>
        <w:tc>
          <w:tcPr>
            <w:tcW w:w="1948" w:type="dxa"/>
            <w:tcMar>
              <w:top w:w="25" w:type="dxa"/>
              <w:left w:w="70" w:type="dxa"/>
              <w:bottom w:w="25" w:type="dxa"/>
              <w:right w:w="70" w:type="dxa"/>
            </w:tcMar>
            <w:vAlign w:val="center"/>
          </w:tcPr>
          <w:p w14:paraId="34F1EBC3" w14:textId="77777777" w:rsidR="00581635" w:rsidRDefault="00317EF8">
            <w:pPr>
              <w:pStyle w:val="Normal1"/>
            </w:pPr>
            <w:r>
              <w:rPr>
                <w:sz w:val="16"/>
                <w:szCs w:val="16"/>
              </w:rPr>
              <w:t>Health service: Favorable (ref.)</w:t>
            </w:r>
          </w:p>
        </w:tc>
        <w:tc>
          <w:tcPr>
            <w:tcW w:w="680" w:type="dxa"/>
            <w:tcMar>
              <w:top w:w="25" w:type="dxa"/>
              <w:left w:w="70" w:type="dxa"/>
              <w:bottom w:w="25" w:type="dxa"/>
              <w:right w:w="70" w:type="dxa"/>
            </w:tcMar>
            <w:vAlign w:val="center"/>
          </w:tcPr>
          <w:p w14:paraId="3FEE7460" w14:textId="77777777" w:rsidR="00581635" w:rsidRDefault="00317EF8">
            <w:pPr>
              <w:pStyle w:val="Normal1"/>
              <w:jc w:val="center"/>
            </w:pPr>
            <w:r>
              <w:rPr>
                <w:sz w:val="16"/>
                <w:szCs w:val="16"/>
              </w:rPr>
              <w:t>0</w:t>
            </w:r>
          </w:p>
        </w:tc>
        <w:tc>
          <w:tcPr>
            <w:tcW w:w="580" w:type="dxa"/>
            <w:tcMar>
              <w:top w:w="25" w:type="dxa"/>
              <w:left w:w="70" w:type="dxa"/>
              <w:bottom w:w="25" w:type="dxa"/>
              <w:right w:w="70" w:type="dxa"/>
            </w:tcMar>
            <w:vAlign w:val="center"/>
          </w:tcPr>
          <w:p w14:paraId="39F36D3A" w14:textId="77777777" w:rsidR="00581635" w:rsidRDefault="00317EF8">
            <w:pPr>
              <w:pStyle w:val="Normal1"/>
              <w:jc w:val="center"/>
            </w:pPr>
            <w:r>
              <w:rPr>
                <w:sz w:val="16"/>
                <w:szCs w:val="16"/>
              </w:rPr>
              <w:t>–</w:t>
            </w:r>
          </w:p>
        </w:tc>
        <w:tc>
          <w:tcPr>
            <w:tcW w:w="1800" w:type="dxa"/>
            <w:tcMar>
              <w:top w:w="25" w:type="dxa"/>
              <w:left w:w="70" w:type="dxa"/>
              <w:bottom w:w="25" w:type="dxa"/>
              <w:right w:w="70" w:type="dxa"/>
            </w:tcMar>
            <w:vAlign w:val="center"/>
          </w:tcPr>
          <w:p w14:paraId="4AB2288E" w14:textId="77777777" w:rsidR="00581635" w:rsidRDefault="00317EF8">
            <w:pPr>
              <w:pStyle w:val="Normal1"/>
              <w:jc w:val="center"/>
            </w:pPr>
            <w:r>
              <w:rPr>
                <w:sz w:val="16"/>
                <w:szCs w:val="16"/>
              </w:rPr>
              <w:t>1</w:t>
            </w:r>
          </w:p>
        </w:tc>
        <w:tc>
          <w:tcPr>
            <w:tcW w:w="680" w:type="dxa"/>
            <w:tcMar>
              <w:top w:w="25" w:type="dxa"/>
              <w:left w:w="70" w:type="dxa"/>
              <w:bottom w:w="25" w:type="dxa"/>
              <w:right w:w="70" w:type="dxa"/>
            </w:tcMar>
            <w:vAlign w:val="center"/>
          </w:tcPr>
          <w:p w14:paraId="2FCAAB4D" w14:textId="77777777" w:rsidR="00581635" w:rsidRDefault="00317EF8">
            <w:pPr>
              <w:pStyle w:val="Normal1"/>
              <w:jc w:val="center"/>
            </w:pPr>
            <w:r>
              <w:rPr>
                <w:sz w:val="16"/>
                <w:szCs w:val="16"/>
              </w:rPr>
              <w:t>0</w:t>
            </w:r>
          </w:p>
        </w:tc>
        <w:tc>
          <w:tcPr>
            <w:tcW w:w="580" w:type="dxa"/>
            <w:tcMar>
              <w:top w:w="25" w:type="dxa"/>
              <w:left w:w="70" w:type="dxa"/>
              <w:bottom w:w="25" w:type="dxa"/>
              <w:right w:w="70" w:type="dxa"/>
            </w:tcMar>
            <w:vAlign w:val="center"/>
          </w:tcPr>
          <w:p w14:paraId="0D1A690A" w14:textId="77777777" w:rsidR="00581635" w:rsidRDefault="00317EF8">
            <w:pPr>
              <w:pStyle w:val="Normal1"/>
              <w:jc w:val="center"/>
            </w:pPr>
            <w:r>
              <w:rPr>
                <w:sz w:val="16"/>
                <w:szCs w:val="16"/>
              </w:rPr>
              <w:t>–</w:t>
            </w:r>
          </w:p>
        </w:tc>
        <w:tc>
          <w:tcPr>
            <w:tcW w:w="1940" w:type="dxa"/>
            <w:tcMar>
              <w:top w:w="25" w:type="dxa"/>
              <w:left w:w="70" w:type="dxa"/>
              <w:bottom w:w="25" w:type="dxa"/>
              <w:right w:w="70" w:type="dxa"/>
            </w:tcMar>
            <w:vAlign w:val="center"/>
          </w:tcPr>
          <w:p w14:paraId="493C63B9" w14:textId="77777777" w:rsidR="00581635" w:rsidRDefault="00317EF8">
            <w:pPr>
              <w:pStyle w:val="Normal1"/>
              <w:jc w:val="center"/>
            </w:pPr>
            <w:r>
              <w:rPr>
                <w:sz w:val="16"/>
                <w:szCs w:val="16"/>
              </w:rPr>
              <w:t>1</w:t>
            </w:r>
          </w:p>
        </w:tc>
      </w:tr>
    </w:tbl>
    <w:p w14:paraId="70C883E9" w14:textId="77777777" w:rsidR="00581635" w:rsidRDefault="00317EF8">
      <w:pPr>
        <w:pStyle w:val="Normal1"/>
        <w:spacing w:before="60" w:after="200"/>
        <w:jc w:val="both"/>
      </w:pPr>
      <w:r>
        <w:rPr>
          <w:sz w:val="16"/>
          <w:szCs w:val="16"/>
        </w:rPr>
        <w:t>B = regression coefficient; AOR = adjusted odds ratio; CI = confidence interval; ref. = reference category. Outcome reference: caries absent. All predictors were entered simultaneously in each model. Clinically assessed caries: 20 events; caregiver-reported caries: 269 events.</w:t>
      </w:r>
    </w:p>
    <w:p w14:paraId="57796393" w14:textId="77777777" w:rsidR="00581635" w:rsidRDefault="00317EF8">
      <w:pPr>
        <w:pStyle w:val="Normal1"/>
        <w:spacing w:after="120" w:line="264" w:lineRule="auto"/>
        <w:jc w:val="both"/>
      </w:pPr>
      <w:r>
        <w:t xml:space="preserve">Knowledge was not associated with clinical caries, and its adjusted association with the reported outcome did not reach statistical significance. In an unadjusted cross-tabulation, positive caregiver-reported caries was more frequent among caregivers with poor knowledge (105/131; 80.2%) than among those with fair (100/156; 64.1%) or good knowledge (64/102; 62.7%). Knowledge therefore appears, if anything, to relate to how caregivers perceive and report dental problems more than to clinically detected disease, consistent with the multifactorial nature of caries (Folayan et al., 2024). The composite </w:t>
      </w:r>
      <w:r>
        <w:rPr>
          <w:highlight w:val="yellow"/>
        </w:rPr>
        <w:t>behaviour</w:t>
      </w:r>
      <w:r>
        <w:t xml:space="preserve"> classification was not significantly associated with either outcome, which agrees with Nigerian reviews in which sugar intake was associated with caries in some studies and not in others (</w:t>
      </w:r>
      <w:proofErr w:type="spellStart"/>
      <w:r>
        <w:t>Akinsolu</w:t>
      </w:r>
      <w:proofErr w:type="spellEnd"/>
      <w:r>
        <w:t xml:space="preserve"> et al., 2024); combining protective and risk </w:t>
      </w:r>
      <w:r>
        <w:rPr>
          <w:highlight w:val="yellow"/>
        </w:rPr>
        <w:t>behaviours</w:t>
      </w:r>
      <w:r>
        <w:t xml:space="preserve"> into a single classification may have masked the contribution of individual </w:t>
      </w:r>
      <w:r>
        <w:rPr>
          <w:highlight w:val="yellow"/>
        </w:rPr>
        <w:t>behaviours</w:t>
      </w:r>
      <w:r>
        <w:t>.</w:t>
      </w:r>
    </w:p>
    <w:p w14:paraId="66EDE7D3" w14:textId="77777777" w:rsidR="00581635" w:rsidRDefault="00317EF8">
      <w:pPr>
        <w:pStyle w:val="Normal1"/>
        <w:spacing w:after="120" w:line="264" w:lineRule="auto"/>
        <w:jc w:val="both"/>
      </w:pPr>
      <w:r>
        <w:t xml:space="preserve">An </w:t>
      </w:r>
      <w:r>
        <w:rPr>
          <w:highlight w:val="yellow"/>
        </w:rPr>
        <w:t>unfavourable</w:t>
      </w:r>
      <w:r>
        <w:t xml:space="preserve"> environment was the strongest correlate of positive caregiver-reported caries. Because this outcome is a composite of perceived problems, the association may reflect a greater burden of symptoms such as pain or swelling in disadvantaged settings, or differences in how caregivers perceive and report them, rather than a higher prevalence of </w:t>
      </w:r>
      <w:r>
        <w:lastRenderedPageBreak/>
        <w:t xml:space="preserve">caries. The same association was not found for clinical caries, although with only 20 affected children a modest association cannot be excluded. The inverse association between </w:t>
      </w:r>
      <w:r>
        <w:rPr>
          <w:highlight w:val="yellow"/>
        </w:rPr>
        <w:t>unfavourable</w:t>
      </w:r>
      <w:r>
        <w:t xml:space="preserve"> health-service factors and the reported outcome also did not reach significance; if it were real, reverse causation or a reporting effect would be a plausible explanation, because caregivers who have used dental services may be more likely to have caries identified and to </w:t>
      </w:r>
      <w:r>
        <w:rPr>
          <w:highlight w:val="yellow"/>
        </w:rPr>
        <w:t>recognise</w:t>
      </w:r>
      <w:r>
        <w:t xml:space="preserve"> it. The absence of a clear association should not be taken to mean that access to services is unimportant. Finally, the clinical model had about four events per estimated parameter (20 events, five parameters), well below the commonly recommended ten, so its estimates are unstable and should be regarded as exploratory.</w:t>
      </w:r>
    </w:p>
    <w:p w14:paraId="4FE3794B" w14:textId="77777777" w:rsidR="00581635" w:rsidRDefault="00317EF8">
      <w:pPr>
        <w:pStyle w:val="Heading2"/>
        <w:keepNext/>
        <w:spacing w:before="200" w:after="100"/>
      </w:pPr>
      <w:r>
        <w:t>3.8 ASSOCIATION BETWEEN CAREGIVER-REPORTED AND CLINICALLY ASSESSED CARIES</w:t>
      </w:r>
    </w:p>
    <w:p w14:paraId="64B124CF" w14:textId="77777777" w:rsidR="00581635" w:rsidRPr="00130F17" w:rsidRDefault="00317EF8">
      <w:pPr>
        <w:pStyle w:val="Normal1"/>
        <w:spacing w:after="120" w:line="264" w:lineRule="auto"/>
        <w:jc w:val="both"/>
      </w:pPr>
      <w:r w:rsidRPr="00130F17">
        <w:t xml:space="preserve">Table 8 cross-tabulates the two measures. Among the 369 clinically caries-free children, 256 (65.8% of all children) were classified as positive by caregiver report and only 113 (29.0%) as negative. Among the 20 children with clinical caries, 13 (3.3%) were reported as positive and 7 (1.8%) as negative. There was no significant association (χ² = 0.17, </w:t>
      </w:r>
      <w:r w:rsidRPr="00130F17">
        <w:rPr>
          <w:i/>
          <w:iCs/>
        </w:rPr>
        <w:t>P</w:t>
      </w:r>
      <w:r w:rsidRPr="00130F17">
        <w:t xml:space="preserve"> = .68; Fisher’s exact </w:t>
      </w:r>
      <w:r w:rsidRPr="00130F17">
        <w:rPr>
          <w:i/>
          <w:iCs/>
        </w:rPr>
        <w:t>P</w:t>
      </w:r>
      <w:r w:rsidRPr="00130F17">
        <w:rPr>
          <w:rFonts w:eastAsia="Arial Unicode MS"/>
        </w:rPr>
        <w:t> = .80), the odds of a positive caregiver report were not higher in clinically affected children (OR = 0.82; 95% CI: 0.32–2.11), and agreement was no better than chance (κ = −0.006). Taking clinical examination as the reference, caregiver report had a sensitivity of 65.0% (13/20; 95% CI: 43.3–81.9), a specificity of 30.6% (113/369; 95% CI: 26.1–35.5), a positive predictive value of 4.8% (13/269; 95% CI: 2.8–8.1) and a negative predictive value of 94.2% (113/120; 95% CI: 88.4–97.1).</w:t>
      </w:r>
    </w:p>
    <w:p w14:paraId="7ADE0EFC" w14:textId="77777777" w:rsidR="00581635" w:rsidRDefault="00317EF8">
      <w:pPr>
        <w:pStyle w:val="Normal1"/>
        <w:keepNext/>
        <w:spacing w:before="160" w:after="80"/>
      </w:pPr>
      <w:r>
        <w:rPr>
          <w:b/>
          <w:bCs/>
        </w:rPr>
        <w:t>Table 8.</w:t>
      </w:r>
      <w:r>
        <w:t> </w:t>
      </w:r>
      <w:r>
        <w:rPr>
          <w:b/>
          <w:bCs/>
        </w:rPr>
        <w:t>Association between caregiver-reported and clinically assessed dental caries (N = 389)</w:t>
      </w:r>
    </w:p>
    <w:tbl>
      <w:tblPr>
        <w:tblStyle w:val="a6"/>
        <w:tblW w:w="8208" w:type="dxa"/>
        <w:jc w:val="center"/>
        <w:tblInd w:w="0" w:type="dxa"/>
        <w:tblBorders>
          <w:top w:val="single" w:sz="4" w:space="0" w:color="000000"/>
          <w:left w:val="nil"/>
          <w:bottom w:val="single" w:sz="4" w:space="0" w:color="000000"/>
          <w:right w:val="nil"/>
          <w:insideH w:val="single" w:sz="4" w:space="0" w:color="BFBFBF"/>
          <w:insideV w:val="nil"/>
        </w:tblBorders>
        <w:tblLayout w:type="fixed"/>
        <w:tblLook w:val="0000" w:firstRow="0" w:lastRow="0" w:firstColumn="0" w:lastColumn="0" w:noHBand="0" w:noVBand="0"/>
      </w:tblPr>
      <w:tblGrid>
        <w:gridCol w:w="2208"/>
        <w:gridCol w:w="2000"/>
        <w:gridCol w:w="2000"/>
        <w:gridCol w:w="2000"/>
      </w:tblGrid>
      <w:tr w:rsidR="00581635" w14:paraId="56691991" w14:textId="77777777">
        <w:trPr>
          <w:cantSplit/>
          <w:tblHeader/>
          <w:jc w:val="center"/>
        </w:trPr>
        <w:tc>
          <w:tcPr>
            <w:tcW w:w="2208" w:type="dxa"/>
            <w:tcBorders>
              <w:bottom w:val="single" w:sz="4" w:space="0" w:color="000000"/>
            </w:tcBorders>
            <w:tcMar>
              <w:top w:w="25" w:type="dxa"/>
              <w:left w:w="70" w:type="dxa"/>
              <w:bottom w:w="25" w:type="dxa"/>
              <w:right w:w="70" w:type="dxa"/>
            </w:tcMar>
            <w:vAlign w:val="center"/>
          </w:tcPr>
          <w:p w14:paraId="33F1C811" w14:textId="77777777" w:rsidR="00581635" w:rsidRDefault="00317EF8">
            <w:pPr>
              <w:pStyle w:val="Normal1"/>
              <w:keepNext/>
            </w:pPr>
            <w:r>
              <w:rPr>
                <w:b/>
                <w:bCs/>
                <w:sz w:val="17"/>
                <w:szCs w:val="17"/>
              </w:rPr>
              <w:t>Caregiver report</w:t>
            </w:r>
          </w:p>
        </w:tc>
        <w:tc>
          <w:tcPr>
            <w:tcW w:w="2000" w:type="dxa"/>
            <w:tcBorders>
              <w:bottom w:val="single" w:sz="4" w:space="0" w:color="000000"/>
            </w:tcBorders>
            <w:tcMar>
              <w:top w:w="25" w:type="dxa"/>
              <w:left w:w="70" w:type="dxa"/>
              <w:bottom w:w="25" w:type="dxa"/>
              <w:right w:w="70" w:type="dxa"/>
            </w:tcMar>
            <w:vAlign w:val="center"/>
          </w:tcPr>
          <w:p w14:paraId="5D950B04" w14:textId="77777777" w:rsidR="00581635" w:rsidRDefault="00317EF8">
            <w:pPr>
              <w:pStyle w:val="Normal1"/>
              <w:keepNext/>
              <w:jc w:val="center"/>
            </w:pPr>
            <w:r>
              <w:rPr>
                <w:b/>
                <w:bCs/>
                <w:sz w:val="17"/>
                <w:szCs w:val="17"/>
              </w:rPr>
              <w:t>Clinical caries absent (</w:t>
            </w:r>
            <w:proofErr w:type="spellStart"/>
            <w:r>
              <w:rPr>
                <w:b/>
                <w:bCs/>
                <w:sz w:val="17"/>
                <w:szCs w:val="17"/>
              </w:rPr>
              <w:t>dmft</w:t>
            </w:r>
            <w:proofErr w:type="spellEnd"/>
            <w:r>
              <w:rPr>
                <w:b/>
                <w:bCs/>
                <w:sz w:val="17"/>
                <w:szCs w:val="17"/>
              </w:rPr>
              <w:t> = 0), n (%)</w:t>
            </w:r>
          </w:p>
        </w:tc>
        <w:tc>
          <w:tcPr>
            <w:tcW w:w="2000" w:type="dxa"/>
            <w:tcBorders>
              <w:bottom w:val="single" w:sz="4" w:space="0" w:color="000000"/>
            </w:tcBorders>
            <w:tcMar>
              <w:top w:w="25" w:type="dxa"/>
              <w:left w:w="70" w:type="dxa"/>
              <w:bottom w:w="25" w:type="dxa"/>
              <w:right w:w="70" w:type="dxa"/>
            </w:tcMar>
            <w:vAlign w:val="center"/>
          </w:tcPr>
          <w:p w14:paraId="39D4864C" w14:textId="77777777" w:rsidR="00581635" w:rsidRDefault="00317EF8">
            <w:pPr>
              <w:pStyle w:val="Normal1"/>
              <w:keepNext/>
              <w:jc w:val="center"/>
            </w:pPr>
            <w:r>
              <w:rPr>
                <w:rFonts w:ascii="Arial Unicode MS" w:eastAsia="Arial Unicode MS" w:hAnsi="Arial Unicode MS" w:cs="Arial Unicode MS"/>
                <w:b/>
                <w:bCs/>
                <w:sz w:val="17"/>
                <w:szCs w:val="17"/>
              </w:rPr>
              <w:t>Clinical caries present (</w:t>
            </w:r>
            <w:proofErr w:type="spellStart"/>
            <w:r>
              <w:rPr>
                <w:rFonts w:ascii="Arial Unicode MS" w:eastAsia="Arial Unicode MS" w:hAnsi="Arial Unicode MS" w:cs="Arial Unicode MS"/>
                <w:b/>
                <w:bCs/>
                <w:sz w:val="17"/>
                <w:szCs w:val="17"/>
              </w:rPr>
              <w:t>dmft</w:t>
            </w:r>
            <w:proofErr w:type="spellEnd"/>
            <w:r>
              <w:rPr>
                <w:rFonts w:ascii="Arial Unicode MS" w:eastAsia="Arial Unicode MS" w:hAnsi="Arial Unicode MS" w:cs="Arial Unicode MS"/>
                <w:b/>
                <w:bCs/>
                <w:sz w:val="17"/>
                <w:szCs w:val="17"/>
              </w:rPr>
              <w:t> ≥ 1), n (%)</w:t>
            </w:r>
          </w:p>
        </w:tc>
        <w:tc>
          <w:tcPr>
            <w:tcW w:w="2000" w:type="dxa"/>
            <w:tcBorders>
              <w:bottom w:val="single" w:sz="4" w:space="0" w:color="000000"/>
            </w:tcBorders>
            <w:tcMar>
              <w:top w:w="25" w:type="dxa"/>
              <w:left w:w="70" w:type="dxa"/>
              <w:bottom w:w="25" w:type="dxa"/>
              <w:right w:w="70" w:type="dxa"/>
            </w:tcMar>
            <w:vAlign w:val="center"/>
          </w:tcPr>
          <w:p w14:paraId="2930F664" w14:textId="77777777" w:rsidR="00581635" w:rsidRDefault="00317EF8">
            <w:pPr>
              <w:pStyle w:val="Normal1"/>
              <w:keepNext/>
              <w:jc w:val="center"/>
            </w:pPr>
            <w:r>
              <w:rPr>
                <w:b/>
                <w:bCs/>
                <w:sz w:val="17"/>
                <w:szCs w:val="17"/>
              </w:rPr>
              <w:t>Total, n (%)</w:t>
            </w:r>
          </w:p>
        </w:tc>
      </w:tr>
      <w:tr w:rsidR="00581635" w14:paraId="197C0D08" w14:textId="77777777">
        <w:trPr>
          <w:cantSplit/>
          <w:tblHeader/>
          <w:jc w:val="center"/>
        </w:trPr>
        <w:tc>
          <w:tcPr>
            <w:tcW w:w="2208" w:type="dxa"/>
            <w:tcMar>
              <w:top w:w="25" w:type="dxa"/>
              <w:left w:w="70" w:type="dxa"/>
              <w:bottom w:w="25" w:type="dxa"/>
              <w:right w:w="70" w:type="dxa"/>
            </w:tcMar>
            <w:vAlign w:val="center"/>
          </w:tcPr>
          <w:p w14:paraId="1906B535" w14:textId="77777777" w:rsidR="00581635" w:rsidRDefault="00317EF8">
            <w:pPr>
              <w:pStyle w:val="Normal1"/>
              <w:keepNext/>
            </w:pPr>
            <w:r>
              <w:rPr>
                <w:sz w:val="17"/>
                <w:szCs w:val="17"/>
              </w:rPr>
              <w:t>Caries absent</w:t>
            </w:r>
          </w:p>
        </w:tc>
        <w:tc>
          <w:tcPr>
            <w:tcW w:w="2000" w:type="dxa"/>
            <w:tcMar>
              <w:top w:w="25" w:type="dxa"/>
              <w:left w:w="70" w:type="dxa"/>
              <w:bottom w:w="25" w:type="dxa"/>
              <w:right w:w="70" w:type="dxa"/>
            </w:tcMar>
            <w:vAlign w:val="center"/>
          </w:tcPr>
          <w:p w14:paraId="31626A74" w14:textId="77777777" w:rsidR="00581635" w:rsidRDefault="00317EF8">
            <w:pPr>
              <w:pStyle w:val="Normal1"/>
              <w:keepNext/>
              <w:jc w:val="center"/>
            </w:pPr>
            <w:r>
              <w:rPr>
                <w:sz w:val="17"/>
                <w:szCs w:val="17"/>
              </w:rPr>
              <w:t>113 (29.0)</w:t>
            </w:r>
          </w:p>
        </w:tc>
        <w:tc>
          <w:tcPr>
            <w:tcW w:w="2000" w:type="dxa"/>
            <w:tcMar>
              <w:top w:w="25" w:type="dxa"/>
              <w:left w:w="70" w:type="dxa"/>
              <w:bottom w:w="25" w:type="dxa"/>
              <w:right w:w="70" w:type="dxa"/>
            </w:tcMar>
            <w:vAlign w:val="center"/>
          </w:tcPr>
          <w:p w14:paraId="279AA076" w14:textId="77777777" w:rsidR="00581635" w:rsidRDefault="00317EF8">
            <w:pPr>
              <w:pStyle w:val="Normal1"/>
              <w:keepNext/>
              <w:jc w:val="center"/>
            </w:pPr>
            <w:r>
              <w:rPr>
                <w:sz w:val="17"/>
                <w:szCs w:val="17"/>
              </w:rPr>
              <w:t>7 (1.8)</w:t>
            </w:r>
          </w:p>
        </w:tc>
        <w:tc>
          <w:tcPr>
            <w:tcW w:w="2000" w:type="dxa"/>
            <w:tcMar>
              <w:top w:w="25" w:type="dxa"/>
              <w:left w:w="70" w:type="dxa"/>
              <w:bottom w:w="25" w:type="dxa"/>
              <w:right w:w="70" w:type="dxa"/>
            </w:tcMar>
            <w:vAlign w:val="center"/>
          </w:tcPr>
          <w:p w14:paraId="720A8ACF" w14:textId="77777777" w:rsidR="00581635" w:rsidRDefault="00317EF8">
            <w:pPr>
              <w:pStyle w:val="Normal1"/>
              <w:keepNext/>
              <w:jc w:val="center"/>
            </w:pPr>
            <w:r>
              <w:rPr>
                <w:sz w:val="17"/>
                <w:szCs w:val="17"/>
              </w:rPr>
              <w:t>120 (30.8)</w:t>
            </w:r>
          </w:p>
        </w:tc>
      </w:tr>
      <w:tr w:rsidR="00581635" w14:paraId="0B42EBAA" w14:textId="77777777">
        <w:trPr>
          <w:cantSplit/>
          <w:tblHeader/>
          <w:jc w:val="center"/>
        </w:trPr>
        <w:tc>
          <w:tcPr>
            <w:tcW w:w="2208" w:type="dxa"/>
            <w:tcMar>
              <w:top w:w="25" w:type="dxa"/>
              <w:left w:w="70" w:type="dxa"/>
              <w:bottom w:w="25" w:type="dxa"/>
              <w:right w:w="70" w:type="dxa"/>
            </w:tcMar>
            <w:vAlign w:val="center"/>
          </w:tcPr>
          <w:p w14:paraId="470C99B0" w14:textId="77777777" w:rsidR="00581635" w:rsidRDefault="00317EF8">
            <w:pPr>
              <w:pStyle w:val="Normal1"/>
              <w:keepNext/>
            </w:pPr>
            <w:r>
              <w:rPr>
                <w:sz w:val="17"/>
                <w:szCs w:val="17"/>
              </w:rPr>
              <w:t>Caries present</w:t>
            </w:r>
          </w:p>
        </w:tc>
        <w:tc>
          <w:tcPr>
            <w:tcW w:w="2000" w:type="dxa"/>
            <w:tcMar>
              <w:top w:w="25" w:type="dxa"/>
              <w:left w:w="70" w:type="dxa"/>
              <w:bottom w:w="25" w:type="dxa"/>
              <w:right w:w="70" w:type="dxa"/>
            </w:tcMar>
            <w:vAlign w:val="center"/>
          </w:tcPr>
          <w:p w14:paraId="4970CE1A" w14:textId="77777777" w:rsidR="00581635" w:rsidRDefault="00317EF8">
            <w:pPr>
              <w:pStyle w:val="Normal1"/>
              <w:keepNext/>
              <w:jc w:val="center"/>
            </w:pPr>
            <w:r>
              <w:rPr>
                <w:sz w:val="17"/>
                <w:szCs w:val="17"/>
              </w:rPr>
              <w:t>256 (65.8)</w:t>
            </w:r>
          </w:p>
        </w:tc>
        <w:tc>
          <w:tcPr>
            <w:tcW w:w="2000" w:type="dxa"/>
            <w:tcMar>
              <w:top w:w="25" w:type="dxa"/>
              <w:left w:w="70" w:type="dxa"/>
              <w:bottom w:w="25" w:type="dxa"/>
              <w:right w:w="70" w:type="dxa"/>
            </w:tcMar>
            <w:vAlign w:val="center"/>
          </w:tcPr>
          <w:p w14:paraId="079F9B22" w14:textId="77777777" w:rsidR="00581635" w:rsidRDefault="00317EF8">
            <w:pPr>
              <w:pStyle w:val="Normal1"/>
              <w:keepNext/>
              <w:jc w:val="center"/>
            </w:pPr>
            <w:r>
              <w:rPr>
                <w:sz w:val="17"/>
                <w:szCs w:val="17"/>
              </w:rPr>
              <w:t>13 (3.3)</w:t>
            </w:r>
          </w:p>
        </w:tc>
        <w:tc>
          <w:tcPr>
            <w:tcW w:w="2000" w:type="dxa"/>
            <w:tcMar>
              <w:top w:w="25" w:type="dxa"/>
              <w:left w:w="70" w:type="dxa"/>
              <w:bottom w:w="25" w:type="dxa"/>
              <w:right w:w="70" w:type="dxa"/>
            </w:tcMar>
            <w:vAlign w:val="center"/>
          </w:tcPr>
          <w:p w14:paraId="110F191B" w14:textId="77777777" w:rsidR="00581635" w:rsidRDefault="00317EF8">
            <w:pPr>
              <w:pStyle w:val="Normal1"/>
              <w:keepNext/>
              <w:jc w:val="center"/>
            </w:pPr>
            <w:r>
              <w:rPr>
                <w:sz w:val="17"/>
                <w:szCs w:val="17"/>
              </w:rPr>
              <w:t>269 (69.2)</w:t>
            </w:r>
          </w:p>
        </w:tc>
      </w:tr>
      <w:tr w:rsidR="00581635" w14:paraId="6D5FA365" w14:textId="77777777">
        <w:trPr>
          <w:cantSplit/>
          <w:tblHeader/>
          <w:jc w:val="center"/>
        </w:trPr>
        <w:tc>
          <w:tcPr>
            <w:tcW w:w="2208" w:type="dxa"/>
            <w:tcMar>
              <w:top w:w="25" w:type="dxa"/>
              <w:left w:w="70" w:type="dxa"/>
              <w:bottom w:w="25" w:type="dxa"/>
              <w:right w:w="70" w:type="dxa"/>
            </w:tcMar>
            <w:vAlign w:val="center"/>
          </w:tcPr>
          <w:p w14:paraId="21579DD8" w14:textId="77777777" w:rsidR="00581635" w:rsidRDefault="00317EF8">
            <w:pPr>
              <w:pStyle w:val="Normal1"/>
            </w:pPr>
            <w:r>
              <w:rPr>
                <w:b/>
                <w:bCs/>
                <w:sz w:val="17"/>
                <w:szCs w:val="17"/>
              </w:rPr>
              <w:t>Total</w:t>
            </w:r>
          </w:p>
        </w:tc>
        <w:tc>
          <w:tcPr>
            <w:tcW w:w="2000" w:type="dxa"/>
            <w:tcMar>
              <w:top w:w="25" w:type="dxa"/>
              <w:left w:w="70" w:type="dxa"/>
              <w:bottom w:w="25" w:type="dxa"/>
              <w:right w:w="70" w:type="dxa"/>
            </w:tcMar>
            <w:vAlign w:val="center"/>
          </w:tcPr>
          <w:p w14:paraId="394F2D14" w14:textId="77777777" w:rsidR="00581635" w:rsidRDefault="00317EF8">
            <w:pPr>
              <w:pStyle w:val="Normal1"/>
              <w:jc w:val="center"/>
            </w:pPr>
            <w:r>
              <w:rPr>
                <w:b/>
                <w:bCs/>
                <w:sz w:val="17"/>
                <w:szCs w:val="17"/>
              </w:rPr>
              <w:t>369 (94.9)</w:t>
            </w:r>
          </w:p>
        </w:tc>
        <w:tc>
          <w:tcPr>
            <w:tcW w:w="2000" w:type="dxa"/>
            <w:tcMar>
              <w:top w:w="25" w:type="dxa"/>
              <w:left w:w="70" w:type="dxa"/>
              <w:bottom w:w="25" w:type="dxa"/>
              <w:right w:w="70" w:type="dxa"/>
            </w:tcMar>
            <w:vAlign w:val="center"/>
          </w:tcPr>
          <w:p w14:paraId="2D81284A" w14:textId="77777777" w:rsidR="00581635" w:rsidRDefault="00317EF8">
            <w:pPr>
              <w:pStyle w:val="Normal1"/>
              <w:jc w:val="center"/>
            </w:pPr>
            <w:r>
              <w:rPr>
                <w:b/>
                <w:bCs/>
                <w:sz w:val="17"/>
                <w:szCs w:val="17"/>
              </w:rPr>
              <w:t>20 (5.1)</w:t>
            </w:r>
          </w:p>
        </w:tc>
        <w:tc>
          <w:tcPr>
            <w:tcW w:w="2000" w:type="dxa"/>
            <w:tcMar>
              <w:top w:w="25" w:type="dxa"/>
              <w:left w:w="70" w:type="dxa"/>
              <w:bottom w:w="25" w:type="dxa"/>
              <w:right w:w="70" w:type="dxa"/>
            </w:tcMar>
            <w:vAlign w:val="center"/>
          </w:tcPr>
          <w:p w14:paraId="4EF3786C" w14:textId="77777777" w:rsidR="00581635" w:rsidRDefault="00317EF8">
            <w:pPr>
              <w:pStyle w:val="Normal1"/>
              <w:jc w:val="center"/>
            </w:pPr>
            <w:r>
              <w:rPr>
                <w:b/>
                <w:bCs/>
                <w:sz w:val="17"/>
                <w:szCs w:val="17"/>
              </w:rPr>
              <w:t>389 (100)</w:t>
            </w:r>
          </w:p>
        </w:tc>
      </w:tr>
    </w:tbl>
    <w:p w14:paraId="090C4392" w14:textId="77777777" w:rsidR="00581635" w:rsidRDefault="00317EF8">
      <w:pPr>
        <w:pStyle w:val="Normal1"/>
        <w:spacing w:before="60" w:after="200"/>
        <w:jc w:val="both"/>
      </w:pPr>
      <w:r>
        <w:rPr>
          <w:sz w:val="16"/>
          <w:szCs w:val="16"/>
        </w:rPr>
        <w:t>χ² = 0.17 (</w:t>
      </w:r>
      <w:r>
        <w:rPr>
          <w:i/>
          <w:iCs/>
          <w:sz w:val="16"/>
          <w:szCs w:val="16"/>
        </w:rPr>
        <w:t>P</w:t>
      </w:r>
      <w:r>
        <w:rPr>
          <w:sz w:val="16"/>
          <w:szCs w:val="16"/>
        </w:rPr>
        <w:t xml:space="preserve"> = .68); Fisher’s exact </w:t>
      </w:r>
      <w:r>
        <w:rPr>
          <w:i/>
          <w:iCs/>
          <w:sz w:val="16"/>
          <w:szCs w:val="16"/>
        </w:rPr>
        <w:t>P</w:t>
      </w:r>
      <w:r>
        <w:rPr>
          <w:rFonts w:ascii="Arial Unicode MS" w:eastAsia="Arial Unicode MS" w:hAnsi="Arial Unicode MS" w:cs="Arial Unicode MS"/>
          <w:sz w:val="16"/>
          <w:szCs w:val="16"/>
        </w:rPr>
        <w:t> = .80; Cohen’s kappa = −0.006 (SE 0.016); OR = 0.82 (95% CI: 0.32–2.11).</w:t>
      </w:r>
    </w:p>
    <w:p w14:paraId="3688DE7A" w14:textId="77777777" w:rsidR="00581635" w:rsidRPr="00076387" w:rsidRDefault="00317EF8">
      <w:pPr>
        <w:pStyle w:val="Normal1"/>
        <w:spacing w:after="120" w:line="264" w:lineRule="auto"/>
        <w:jc w:val="both"/>
      </w:pPr>
      <w:r w:rsidRPr="00076387">
        <w:rPr>
          <w:rFonts w:eastAsia="Arial Unicode MS"/>
        </w:rPr>
        <w:t xml:space="preserve">This study examined clinically assessed caries, caregiver-reported caries indicators and the agreement between them among preschool children in selected communities of </w:t>
      </w:r>
      <w:proofErr w:type="spellStart"/>
      <w:r w:rsidRPr="00076387">
        <w:rPr>
          <w:rFonts w:eastAsia="Arial Unicode MS"/>
        </w:rPr>
        <w:t>Okrika</w:t>
      </w:r>
      <w:proofErr w:type="spellEnd"/>
      <w:r w:rsidRPr="00076387">
        <w:rPr>
          <w:rFonts w:eastAsia="Arial Unicode MS"/>
        </w:rPr>
        <w:t xml:space="preserve"> LGA. The central finding is a large gap between what caregivers reported and what was found on examination: 69.2% of children were classified as positive by caregiver report, whereas 5.1% had </w:t>
      </w:r>
      <w:proofErr w:type="spellStart"/>
      <w:r w:rsidRPr="00076387">
        <w:rPr>
          <w:rFonts w:eastAsia="Arial Unicode MS"/>
        </w:rPr>
        <w:t>dmft</w:t>
      </w:r>
      <w:proofErr w:type="spellEnd"/>
      <w:r w:rsidRPr="00076387">
        <w:rPr>
          <w:rFonts w:eastAsia="Arial Unicode MS"/>
        </w:rPr>
        <w:t> ≥ 1, and agreement between the two measures was no better than chance.</w:t>
      </w:r>
    </w:p>
    <w:p w14:paraId="3BCBCF21" w14:textId="77777777" w:rsidR="00581635" w:rsidRDefault="00317EF8">
      <w:pPr>
        <w:pStyle w:val="Normal1"/>
        <w:spacing w:after="120" w:line="264" w:lineRule="auto"/>
        <w:jc w:val="both"/>
      </w:pPr>
      <w:r>
        <w:t xml:space="preserve">The pattern differs in direction from the Ile-Ife validation study, where maternal report under-identified clinical ECC (sensitivity 9.4%, specificity 96.9%; Folayan et al., 2020). In </w:t>
      </w:r>
      <w:proofErr w:type="spellStart"/>
      <w:r>
        <w:rPr>
          <w:highlight w:val="yellow"/>
        </w:rPr>
        <w:t>Okrika</w:t>
      </w:r>
      <w:proofErr w:type="spellEnd"/>
      <w:r>
        <w:rPr>
          <w:highlight w:val="yellow"/>
        </w:rPr>
        <w:t>,</w:t>
      </w:r>
      <w:r>
        <w:t xml:space="preserve"> the composite measure over-identified caries: its specificity was only 30.6%, and 256 of 369 caries-free children were classified as positive. This is likely because the composite combined ten items, several of which were symptoms or past experiences (pain, swelling, </w:t>
      </w:r>
      <w:r>
        <w:rPr>
          <w:highlight w:val="yellow"/>
        </w:rPr>
        <w:t>discolouration</w:t>
      </w:r>
      <w:r>
        <w:t xml:space="preserve">, food trapping, facility visits) rather than a direct judgment that the child has caries (Section 2.8.2). Other explanations cannot be excluded: caregivers may have noticed early non-cavitated lesions, enamel defects or staining that the </w:t>
      </w:r>
      <w:proofErr w:type="spellStart"/>
      <w:r>
        <w:t>dmft</w:t>
      </w:r>
      <w:proofErr w:type="spellEnd"/>
      <w:r>
        <w:t xml:space="preserve"> index does not record; some responses may be unreliable (Section 3.3); and clinical caries may have been under-detected during field examination. The point estimate of sensitivity (65.0%) is higher than in Ile-Ife, but it rests on only 20 affected children and its confidence interval is wide. Because the positive predictive value was 4.8%, a positive caregiver report would be an unreliable guide to the presence of clinical caries in this population.</w:t>
      </w:r>
    </w:p>
    <w:p w14:paraId="14D5F28B" w14:textId="77777777" w:rsidR="00581635" w:rsidRDefault="00317EF8">
      <w:pPr>
        <w:pStyle w:val="Normal1"/>
        <w:spacing w:after="120" w:line="264" w:lineRule="auto"/>
        <w:jc w:val="both"/>
      </w:pPr>
      <w:r w:rsidRPr="00FC48D3">
        <w:rPr>
          <w:rFonts w:eastAsia="Arial Unicode MS"/>
        </w:rPr>
        <w:lastRenderedPageBreak/>
        <w:t>The near-zero kappa should be read as an absence of demonstrated agreement and not as proof that the two measures are unrelated, given the small number of clinical cases. Because the composite cut-off (≥ 0.5) was set a priori, a different cut-off or a subset of more specific items might perform differently; this was not tested here, and choosing a cut-off after the fact with only 20 clinical cases would risk overfitting. Both this study and the Ile-Ife study lead to the same practical conclusion: caregiver report and clinical examination are not interchangeable for estimating disease burden. Caregiver-reported indicators in these communities identify perceived oral problems and unmet need for assessment, but they do not estimate the clinical caries burden</w:t>
      </w:r>
      <w:r>
        <w:rPr>
          <w:rFonts w:ascii="Arial Unicode MS" w:eastAsia="Arial Unicode MS" w:hAnsi="Arial Unicode MS" w:cs="Arial Unicode MS"/>
        </w:rPr>
        <w:t>.</w:t>
      </w:r>
    </w:p>
    <w:p w14:paraId="6EC671E5" w14:textId="77777777" w:rsidR="00581635" w:rsidRDefault="00317EF8">
      <w:pPr>
        <w:pStyle w:val="Heading2"/>
        <w:keepNext/>
        <w:spacing w:before="200" w:after="100"/>
      </w:pPr>
      <w:r>
        <w:t>3.9 STRENGTHS AND LIMITATIONS OF THE STUDY</w:t>
      </w:r>
    </w:p>
    <w:p w14:paraId="4E0C4F42" w14:textId="77777777" w:rsidR="00581635" w:rsidRDefault="00317EF8">
      <w:pPr>
        <w:pStyle w:val="Normal1"/>
        <w:keepNext/>
        <w:spacing w:after="120" w:line="264" w:lineRule="auto"/>
        <w:jc w:val="both"/>
      </w:pPr>
      <w:r>
        <w:t>The following limitations should be considered when interpreting the findings:</w:t>
      </w:r>
    </w:p>
    <w:p w14:paraId="49497490"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The cross-sectional design measured exposures and outcomes at one point in time, so the associations observed cannot establish temporal or causal relationships.</w:t>
      </w:r>
    </w:p>
    <w:p w14:paraId="22098D22"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 xml:space="preserve">Most information was caregiver-reported and may be affected by recall bias, </w:t>
      </w:r>
      <w:r>
        <w:rPr>
          <w:color w:val="000000"/>
          <w:highlight w:val="yellow"/>
        </w:rPr>
        <w:t>differences in the understanding of dental symptoms</w:t>
      </w:r>
      <w:r>
        <w:rPr>
          <w:color w:val="000000"/>
        </w:rPr>
        <w:t xml:space="preserve"> and social desirability bias. The caregiver-reported indicators represent perceived signs and experiences, not clinical diagnoses.</w:t>
      </w:r>
    </w:p>
    <w:p w14:paraId="63781C81"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 xml:space="preserve">The composite caregiver-reported measure included items that are not specific to caries, its cut-off was not validated against clinical status, and its results may change </w:t>
      </w:r>
      <w:r>
        <w:rPr>
          <w:color w:val="000000"/>
          <w:highlight w:val="yellow"/>
        </w:rPr>
        <w:t>if a different cut-off were used</w:t>
      </w:r>
      <w:r>
        <w:rPr>
          <w:color w:val="000000"/>
        </w:rPr>
        <w:t>.</w:t>
      </w:r>
    </w:p>
    <w:p w14:paraId="11EA61D3"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Only 20 children (5.1%) had clinically detected caries, which limited the precision of analyses involving clinical caries; the confidence intervals are wide, the number of events per parameter was low, and the estimates should be interpreted cautiously.</w:t>
      </w:r>
    </w:p>
    <w:p w14:paraId="67B790C6"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 xml:space="preserve">The regression models included knowledge, </w:t>
      </w:r>
      <w:r>
        <w:rPr>
          <w:color w:val="000000"/>
          <w:highlight w:val="yellow"/>
        </w:rPr>
        <w:t>behavioural</w:t>
      </w:r>
      <w:r>
        <w:rPr>
          <w:color w:val="000000"/>
        </w:rPr>
        <w:t>, environmental and health-service factors only. Sociodemographic characteristics were not entered, so residual confounding is possible.</w:t>
      </w:r>
    </w:p>
    <w:p w14:paraId="0839F3D2"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highlight w:val="yellow"/>
        </w:rPr>
        <w:t>behavioural</w:t>
      </w:r>
      <w:r>
        <w:rPr>
          <w:color w:val="000000"/>
        </w:rPr>
        <w:t>, environmental and health-service factors were assessed through caregiver responses rather than direct observation, and two environmental items (overcrowding and pollution) received uniform responses that may not reflect conditions in the communities.</w:t>
      </w:r>
    </w:p>
    <w:p w14:paraId="324B6461"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 xml:space="preserve">The </w:t>
      </w:r>
      <w:proofErr w:type="spellStart"/>
      <w:r>
        <w:rPr>
          <w:color w:val="000000"/>
        </w:rPr>
        <w:t>dmft</w:t>
      </w:r>
      <w:proofErr w:type="spellEnd"/>
      <w:r>
        <w:rPr>
          <w:color w:val="000000"/>
        </w:rPr>
        <w:t xml:space="preserve"> index does not capture early non-cavitated lesions, so clinical prevalence may be underestimated, and a reliability coefficient for the questionnaire in this sample is not available.</w:t>
      </w:r>
    </w:p>
    <w:p w14:paraId="1156B3B5" w14:textId="77777777" w:rsidR="00581635" w:rsidRDefault="00317EF8">
      <w:pPr>
        <w:pStyle w:val="Normal1"/>
        <w:numPr>
          <w:ilvl w:val="0"/>
          <w:numId w:val="1"/>
        </w:numPr>
        <w:pBdr>
          <w:top w:val="nil"/>
          <w:left w:val="nil"/>
          <w:bottom w:val="nil"/>
          <w:right w:val="nil"/>
          <w:between w:val="nil"/>
        </w:pBdr>
        <w:spacing w:after="80" w:line="264" w:lineRule="auto"/>
        <w:jc w:val="both"/>
      </w:pPr>
      <w:r>
        <w:rPr>
          <w:color w:val="000000"/>
        </w:rPr>
        <w:t xml:space="preserve">The study was confined to five selected communities in </w:t>
      </w:r>
      <w:proofErr w:type="spellStart"/>
      <w:r>
        <w:rPr>
          <w:color w:val="000000"/>
        </w:rPr>
        <w:t>Okrika</w:t>
      </w:r>
      <w:proofErr w:type="spellEnd"/>
      <w:r>
        <w:rPr>
          <w:color w:val="000000"/>
        </w:rPr>
        <w:t xml:space="preserve"> LGA, so the findings may not </w:t>
      </w:r>
      <w:r>
        <w:rPr>
          <w:color w:val="000000"/>
          <w:highlight w:val="yellow"/>
        </w:rPr>
        <w:t>generalise</w:t>
      </w:r>
      <w:r>
        <w:rPr>
          <w:color w:val="000000"/>
        </w:rPr>
        <w:t xml:space="preserve"> to other communities in Rivers State or Nigeria.</w:t>
      </w:r>
    </w:p>
    <w:p w14:paraId="4638F1C2" w14:textId="77777777" w:rsidR="00581635" w:rsidRDefault="00317EF8">
      <w:pPr>
        <w:pStyle w:val="Normal1"/>
        <w:spacing w:before="80" w:after="120" w:line="264" w:lineRule="auto"/>
        <w:jc w:val="both"/>
      </w:pPr>
      <w:r>
        <w:t xml:space="preserve">Despite these limitations, combining caregiver reports with clinical </w:t>
      </w:r>
      <w:proofErr w:type="spellStart"/>
      <w:r>
        <w:t>dmft</w:t>
      </w:r>
      <w:proofErr w:type="spellEnd"/>
      <w:r>
        <w:t xml:space="preserve"> examination in the same children gave complementary perspectives on preschool oral health, and the study provides the first community-based data of this kind for </w:t>
      </w:r>
      <w:proofErr w:type="spellStart"/>
      <w:r>
        <w:t>Okrika</w:t>
      </w:r>
      <w:proofErr w:type="spellEnd"/>
      <w:r>
        <w:t xml:space="preserve"> LGA.</w:t>
      </w:r>
    </w:p>
    <w:p w14:paraId="119F7280" w14:textId="77777777" w:rsidR="00581635" w:rsidRDefault="00317EF8">
      <w:pPr>
        <w:pStyle w:val="Heading1"/>
        <w:keepNext/>
        <w:spacing w:before="240" w:after="120"/>
      </w:pPr>
      <w:r>
        <w:t>4. CONCLUSION</w:t>
      </w:r>
    </w:p>
    <w:p w14:paraId="2CF855DE" w14:textId="77777777" w:rsidR="00581635" w:rsidRPr="00FC48D3" w:rsidRDefault="00317EF8">
      <w:pPr>
        <w:pStyle w:val="Normal1"/>
        <w:spacing w:after="120" w:line="264" w:lineRule="auto"/>
        <w:jc w:val="both"/>
      </w:pPr>
      <w:r w:rsidRPr="00FC48D3">
        <w:rPr>
          <w:rFonts w:eastAsia="Arial Unicode MS"/>
        </w:rPr>
        <w:t xml:space="preserve">Caregivers in the studied </w:t>
      </w:r>
      <w:proofErr w:type="spellStart"/>
      <w:r w:rsidRPr="00FC48D3">
        <w:rPr>
          <w:rFonts w:eastAsia="Arial Unicode MS"/>
        </w:rPr>
        <w:t>Okrika</w:t>
      </w:r>
      <w:proofErr w:type="spellEnd"/>
      <w:r w:rsidRPr="00FC48D3">
        <w:rPr>
          <w:rFonts w:eastAsia="Arial Unicode MS"/>
        </w:rPr>
        <w:t xml:space="preserve"> communities reported many caries-related problems (69.2% positive by the composite measure), but only 5.1% of children had clinically detected caries, and the two measures showed no agreement beyond chance (κ = −0.006). Caregiver-reported indicators therefore reflect perceived oral health problems and unmet need for assessment rather than the clinical caries burden, and they should complement, not replace, clinical oral examination. An </w:t>
      </w:r>
      <w:r w:rsidRPr="00FC48D3">
        <w:rPr>
          <w:rFonts w:eastAsia="Arial Unicode MS"/>
          <w:highlight w:val="yellow"/>
        </w:rPr>
        <w:t>unfavourable</w:t>
      </w:r>
      <w:r w:rsidRPr="00FC48D3">
        <w:rPr>
          <w:rFonts w:eastAsia="Arial Unicode MS"/>
        </w:rPr>
        <w:t xml:space="preserve"> environment was associated with caregiver-</w:t>
      </w:r>
      <w:r w:rsidRPr="00FC48D3">
        <w:rPr>
          <w:rFonts w:eastAsia="Arial Unicode MS"/>
        </w:rPr>
        <w:lastRenderedPageBreak/>
        <w:t xml:space="preserve">reported caries, whereas no factor was associated with clinical caries, although only 20 children were affected. </w:t>
      </w:r>
      <w:r w:rsidRPr="00FC48D3">
        <w:rPr>
          <w:rFonts w:eastAsia="Arial Unicode MS"/>
          <w:highlight w:val="yellow"/>
        </w:rPr>
        <w:t>unfavourable</w:t>
      </w:r>
      <w:r w:rsidRPr="00FC48D3">
        <w:rPr>
          <w:rFonts w:eastAsia="Arial Unicode MS"/>
        </w:rPr>
        <w:t xml:space="preserve"> </w:t>
      </w:r>
      <w:r w:rsidRPr="00FC48D3">
        <w:rPr>
          <w:rFonts w:eastAsia="Arial Unicode MS"/>
          <w:highlight w:val="yellow"/>
        </w:rPr>
        <w:t>behaviours</w:t>
      </w:r>
      <w:r w:rsidRPr="00FC48D3">
        <w:rPr>
          <w:rFonts w:eastAsia="Arial Unicode MS"/>
        </w:rPr>
        <w:t>, poor knowledge and limited access to services were common.</w:t>
      </w:r>
    </w:p>
    <w:p w14:paraId="4E02F66C" w14:textId="77777777" w:rsidR="00581635" w:rsidRDefault="00317EF8">
      <w:pPr>
        <w:pStyle w:val="Normal1"/>
        <w:spacing w:after="120" w:line="264" w:lineRule="auto"/>
        <w:jc w:val="both"/>
      </w:pPr>
      <w:r>
        <w:t xml:space="preserve">Routine oral screening and referral should be built into maternal and child health services and preschool </w:t>
      </w:r>
      <w:proofErr w:type="spellStart"/>
      <w:r>
        <w:rPr>
          <w:highlight w:val="yellow"/>
        </w:rPr>
        <w:t>programmes</w:t>
      </w:r>
      <w:proofErr w:type="spellEnd"/>
      <w:r>
        <w:t xml:space="preserve"> in </w:t>
      </w:r>
      <w:proofErr w:type="spellStart"/>
      <w:r>
        <w:t>Okrika</w:t>
      </w:r>
      <w:proofErr w:type="spellEnd"/>
      <w:r>
        <w:t>, with caregiver education that corrects misconceptions about primary teeth, brushing and sugar, and with attention to water, sanitation and access to affordable preventive dental services. Because the low clinical prevalence offers a window for prevention, these measures should be sustained and not relaxed. Future studies should use a validated, caries-specific caregiver questionnaire and a larger sample.</w:t>
      </w:r>
    </w:p>
    <w:p w14:paraId="62B45FBB" w14:textId="77777777" w:rsidR="00581635" w:rsidRDefault="00317EF8">
      <w:pPr>
        <w:pStyle w:val="Heading1"/>
        <w:keepNext/>
        <w:spacing w:before="240" w:after="120"/>
      </w:pPr>
      <w:r>
        <w:t>ACKNOWLEDGEMENTS</w:t>
      </w:r>
    </w:p>
    <w:p w14:paraId="3CC96240" w14:textId="77777777" w:rsidR="00581635" w:rsidRDefault="00317EF8">
      <w:pPr>
        <w:pStyle w:val="Normal1"/>
        <w:spacing w:after="120" w:line="264" w:lineRule="auto"/>
        <w:jc w:val="both"/>
      </w:pPr>
      <w:r>
        <w:t xml:space="preserve">The authors thank the </w:t>
      </w:r>
      <w:proofErr w:type="spellStart"/>
      <w:r>
        <w:t>Okrika</w:t>
      </w:r>
      <w:proofErr w:type="spellEnd"/>
      <w:r>
        <w:t xml:space="preserve"> LGA authorities, the community leaders, the caregivers and children who took part, and the research assistants who helped with data collection. This study received no specific grant from any funding agency in the public, commercial or not-for-profit sectors, and no funder had any role in the study design, data collection, analysis or interpretation, or in the writing of the manuscript.</w:t>
      </w:r>
    </w:p>
    <w:p w14:paraId="14CAF883" w14:textId="77777777" w:rsidR="00581635" w:rsidRDefault="00317EF8">
      <w:pPr>
        <w:pStyle w:val="Heading1"/>
        <w:keepNext/>
        <w:spacing w:before="240" w:after="120"/>
      </w:pPr>
      <w:r>
        <w:t>COMPETING INTERESTS</w:t>
      </w:r>
    </w:p>
    <w:p w14:paraId="49AC631A" w14:textId="77777777" w:rsidR="00581635" w:rsidRDefault="00317EF8">
      <w:pPr>
        <w:pStyle w:val="Normal1"/>
        <w:spacing w:after="120" w:line="264" w:lineRule="auto"/>
        <w:jc w:val="both"/>
      </w:pPr>
      <w:r>
        <w:t>Authors have declared that no competing interests exist.</w:t>
      </w:r>
    </w:p>
    <w:p w14:paraId="7562A80C" w14:textId="77777777" w:rsidR="00581635" w:rsidRDefault="00317EF8">
      <w:pPr>
        <w:pStyle w:val="Heading1"/>
        <w:keepNext/>
        <w:spacing w:before="240" w:after="120"/>
      </w:pPr>
      <w:r>
        <w:t>AUTHORS’ CONTRIBUTIONS</w:t>
      </w:r>
    </w:p>
    <w:p w14:paraId="64D5B8C3" w14:textId="77777777" w:rsidR="00581635" w:rsidRDefault="00317EF8">
      <w:pPr>
        <w:pStyle w:val="Normal1"/>
        <w:spacing w:after="120" w:line="264" w:lineRule="auto"/>
        <w:jc w:val="both"/>
      </w:pPr>
      <w:proofErr w:type="spellStart"/>
      <w:r>
        <w:t>Olungwe</w:t>
      </w:r>
      <w:proofErr w:type="spellEnd"/>
      <w:r>
        <w:t xml:space="preserve"> Esther </w:t>
      </w:r>
      <w:proofErr w:type="spellStart"/>
      <w:r>
        <w:t>Dagogo</w:t>
      </w:r>
      <w:proofErr w:type="spellEnd"/>
      <w:r>
        <w:t xml:space="preserve"> designed the study, collected the data, performed the analysis and wrote the first draft of the manuscript. Ogbonda Priscilia </w:t>
      </w:r>
      <w:proofErr w:type="spellStart"/>
      <w:r>
        <w:t>Nyekpunwo</w:t>
      </w:r>
      <w:proofErr w:type="spellEnd"/>
      <w:r>
        <w:t xml:space="preserve"> and Ogba Amaka supervised the study. All authors read and approved the final manuscript.</w:t>
      </w:r>
    </w:p>
    <w:p w14:paraId="66C22972" w14:textId="77777777" w:rsidR="00422532" w:rsidRDefault="00422532" w:rsidP="00422532">
      <w:pPr>
        <w:pStyle w:val="Heading1"/>
        <w:keepNext/>
        <w:spacing w:before="240" w:after="120"/>
      </w:pPr>
      <w:r>
        <w:t>CONSENT</w:t>
      </w:r>
    </w:p>
    <w:p w14:paraId="41BCEC88" w14:textId="77777777" w:rsidR="00422532" w:rsidRDefault="00422532" w:rsidP="00422532">
      <w:pPr>
        <w:pStyle w:val="Normal1"/>
        <w:spacing w:after="120" w:line="264" w:lineRule="auto"/>
        <w:jc w:val="both"/>
      </w:pPr>
      <w:r>
        <w:t>Written informed consent was obtained from the primary caregiver of each participating child  A copy of the written consent form is available for review by the Editorial office/Chief Editor/Editorial Board members of this journal.</w:t>
      </w:r>
    </w:p>
    <w:p w14:paraId="0782A757" w14:textId="77777777" w:rsidR="00581635" w:rsidRDefault="00317EF8">
      <w:pPr>
        <w:pStyle w:val="Heading1"/>
        <w:keepNext/>
        <w:spacing w:before="240" w:after="120"/>
      </w:pPr>
      <w:r>
        <w:t>ETHICAL APPROVAL</w:t>
      </w:r>
    </w:p>
    <w:p w14:paraId="3A5A6A2E" w14:textId="77777777" w:rsidR="00581635" w:rsidRDefault="00317EF8">
      <w:pPr>
        <w:pStyle w:val="Normal1"/>
        <w:spacing w:after="120" w:line="264" w:lineRule="auto"/>
        <w:jc w:val="both"/>
      </w:pPr>
      <w:r>
        <w:t xml:space="preserve">All authors hereby declare that all experiments have been examined and approved by the appropriate ethics committee and have therefore been performed in accordance with the ethical standards laid down in the 1964 Declaration of Helsinki. Ethical approval for this study was obtained from the Ethics Committee of Rivers State University. Permission was also obtained from the </w:t>
      </w:r>
      <w:proofErr w:type="spellStart"/>
      <w:r>
        <w:t>Okrika</w:t>
      </w:r>
      <w:proofErr w:type="spellEnd"/>
      <w:r>
        <w:t xml:space="preserve"> LGA authorities and community leaders.</w:t>
      </w:r>
    </w:p>
    <w:p w14:paraId="5C8901C5" w14:textId="77777777" w:rsidR="00804DE2" w:rsidRDefault="00804DE2">
      <w:pPr>
        <w:pStyle w:val="Normal1"/>
        <w:spacing w:after="120" w:line="264" w:lineRule="auto"/>
        <w:jc w:val="both"/>
      </w:pPr>
    </w:p>
    <w:p w14:paraId="50682DC3" w14:textId="77777777" w:rsidR="00804DE2" w:rsidRDefault="00804DE2">
      <w:pPr>
        <w:pStyle w:val="Normal1"/>
        <w:spacing w:after="120" w:line="264" w:lineRule="auto"/>
        <w:jc w:val="both"/>
      </w:pPr>
    </w:p>
    <w:p w14:paraId="39A83BAE" w14:textId="77777777" w:rsidR="00272764" w:rsidRDefault="00272764" w:rsidP="00272764">
      <w:pPr>
        <w:jc w:val="both"/>
        <w:rPr>
          <w:b/>
          <w:bCs/>
        </w:rPr>
      </w:pPr>
      <w:r w:rsidRPr="005F5062">
        <w:rPr>
          <w:b/>
          <w:bCs/>
        </w:rPr>
        <w:t>Declaration of AI Use</w:t>
      </w:r>
    </w:p>
    <w:p w14:paraId="06065B4E" w14:textId="77777777" w:rsidR="00272764" w:rsidRPr="00542CB1" w:rsidRDefault="00272764" w:rsidP="00272764">
      <w:pPr>
        <w:jc w:val="both"/>
      </w:pPr>
      <w:r w:rsidRPr="00ED1B3D">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E971B0" w14:textId="77777777" w:rsidR="00027DDD" w:rsidRDefault="00027DDD">
      <w:pPr>
        <w:pStyle w:val="Normal1"/>
        <w:spacing w:after="120" w:line="264" w:lineRule="auto"/>
        <w:jc w:val="both"/>
      </w:pPr>
    </w:p>
    <w:p w14:paraId="62BB492C" w14:textId="77777777" w:rsidR="00581635" w:rsidRDefault="00317EF8">
      <w:pPr>
        <w:pStyle w:val="Heading1"/>
        <w:keepNext/>
        <w:spacing w:before="240" w:after="120"/>
      </w:pPr>
      <w:r>
        <w:lastRenderedPageBreak/>
        <w:t>REFERENCES</w:t>
      </w:r>
    </w:p>
    <w:p w14:paraId="45F30DD4" w14:textId="77777777" w:rsidR="00581635" w:rsidRDefault="00317EF8">
      <w:pPr>
        <w:pStyle w:val="Normal1"/>
        <w:spacing w:after="80" w:line="252" w:lineRule="auto"/>
        <w:ind w:left="360" w:hanging="360"/>
      </w:pPr>
      <w:r>
        <w:t xml:space="preserve">Adeniyi, A. A., &amp; Odusanya, O. O. (2017). Self-reported dental pain and dental caries among 8–12-year-old school children: An exploratory survey in Lagos, Nigeria. </w:t>
      </w:r>
      <w:r>
        <w:rPr>
          <w:i/>
        </w:rPr>
        <w:t>Nigerian Postgraduate Medical Journal</w:t>
      </w:r>
      <w:r>
        <w:t xml:space="preserve">, </w:t>
      </w:r>
      <w:r>
        <w:rPr>
          <w:i/>
        </w:rPr>
        <w:t>24</w:t>
      </w:r>
      <w:r>
        <w:t xml:space="preserve">(1), 37–43. </w:t>
      </w:r>
      <w:hyperlink r:id="rId10">
        <w:r>
          <w:rPr>
            <w:color w:val="0563C1"/>
            <w:u w:val="single"/>
          </w:rPr>
          <w:t>https://doi.org/10.4103/npmj.npmj_7_17</w:t>
        </w:r>
      </w:hyperlink>
    </w:p>
    <w:p w14:paraId="186646A0" w14:textId="77777777" w:rsidR="00581635" w:rsidRDefault="00317EF8">
      <w:pPr>
        <w:pStyle w:val="Normal1"/>
        <w:spacing w:after="80" w:line="252" w:lineRule="auto"/>
        <w:ind w:left="360" w:hanging="360"/>
      </w:pPr>
      <w:r>
        <w:t xml:space="preserve">Akinsolu, F. T., Gbaja-Biamila, T. A., Salako, A. O., Adewole, I. E., Olagunju, M. T., Abodunrin, O. R., Ola, O. M., Abel, C., Eleje, G. U., Ezechi, O. C., El Tantawi, M., Lusher, J., &amp; Folayan, M. O. (2024). A systematic review and meta-analysis of the association between sugar intake and dental caries in Nigeria. </w:t>
      </w:r>
      <w:r>
        <w:rPr>
          <w:i/>
        </w:rPr>
        <w:t>BMC Oral Health</w:t>
      </w:r>
      <w:r>
        <w:t xml:space="preserve">, </w:t>
      </w:r>
      <w:r>
        <w:rPr>
          <w:i/>
        </w:rPr>
        <w:t>24</w:t>
      </w:r>
      <w:r>
        <w:t xml:space="preserve">(1), 1532. </w:t>
      </w:r>
      <w:hyperlink r:id="rId11">
        <w:r>
          <w:rPr>
            <w:color w:val="0563C1"/>
            <w:u w:val="single"/>
          </w:rPr>
          <w:t>https://doi.org/10.1186/s12903-024-05309-z</w:t>
        </w:r>
      </w:hyperlink>
    </w:p>
    <w:p w14:paraId="26B01BFA" w14:textId="77777777" w:rsidR="00581635" w:rsidRDefault="00317EF8">
      <w:pPr>
        <w:pStyle w:val="Normal1"/>
        <w:spacing w:after="80" w:line="252" w:lineRule="auto"/>
        <w:ind w:left="360" w:hanging="360"/>
      </w:pPr>
      <w:r>
        <w:t xml:space="preserve">Alade, M., Folayan, M. O., El Tantawi, M., Oginni, A. B., Adeniyi, A. A., &amp; Finlayson, T. L. (2021). Early childhood caries: Are maternal psychosocial factors, decision-making ability, and caries status risk indicators for children in a sub-urban Nigerian population? </w:t>
      </w:r>
      <w:r>
        <w:rPr>
          <w:i/>
        </w:rPr>
        <w:t>BMC Oral Health</w:t>
      </w:r>
      <w:r>
        <w:t xml:space="preserve">, </w:t>
      </w:r>
      <w:r>
        <w:rPr>
          <w:i/>
        </w:rPr>
        <w:t>21</w:t>
      </w:r>
      <w:r>
        <w:t xml:space="preserve">(1), 73. </w:t>
      </w:r>
      <w:hyperlink r:id="rId12">
        <w:r>
          <w:rPr>
            <w:color w:val="0563C1"/>
            <w:u w:val="single"/>
          </w:rPr>
          <w:t>https://doi.org/10.1186/s12903-020-01324-y</w:t>
        </w:r>
      </w:hyperlink>
    </w:p>
    <w:p w14:paraId="4D2E13F8" w14:textId="77777777" w:rsidR="00581635" w:rsidRDefault="00317EF8">
      <w:pPr>
        <w:pStyle w:val="Normal1"/>
        <w:spacing w:after="80" w:line="252" w:lineRule="auto"/>
        <w:ind w:left="360" w:hanging="360"/>
      </w:pPr>
      <w:r>
        <w:t xml:space="preserve">Alshamrani, M. H., Kharif, M. A., Alshayiqi, N. M., Alqahtani, I. A., Diri, B., Diri, H. Y., Alkithri, M., &amp; Aldowsari, M. K. (2026). Parental knowledge of early childhood caries and its association with bottle-feeding practices: A cross-sectional analysis in the Riyadh Province, Saudi Arabia. </w:t>
      </w:r>
      <w:r>
        <w:rPr>
          <w:i/>
        </w:rPr>
        <w:t>PLoS ONE</w:t>
      </w:r>
      <w:r>
        <w:t xml:space="preserve">, </w:t>
      </w:r>
      <w:r>
        <w:rPr>
          <w:i/>
        </w:rPr>
        <w:t>21</w:t>
      </w:r>
      <w:r>
        <w:t xml:space="preserve">(5), e0348946. </w:t>
      </w:r>
      <w:hyperlink r:id="rId13">
        <w:r>
          <w:rPr>
            <w:color w:val="0563C1"/>
            <w:u w:val="single"/>
          </w:rPr>
          <w:t>https://doi.org/10.1371/journal.pone.0348946</w:t>
        </w:r>
      </w:hyperlink>
    </w:p>
    <w:p w14:paraId="7BC0FC3D" w14:textId="77777777" w:rsidR="00581635" w:rsidRPr="007F3B4B" w:rsidRDefault="00317EF8">
      <w:pPr>
        <w:pStyle w:val="Normal1"/>
        <w:spacing w:after="80" w:line="252" w:lineRule="auto"/>
        <w:ind w:left="360" w:hanging="360"/>
        <w:rPr>
          <w:lang w:val="nl-BE"/>
        </w:rPr>
      </w:pPr>
      <w:r>
        <w:t xml:space="preserve">Arigbede, A., &amp; Iruobe, F. (2023). Prevalence of dental caries and predisposing factors in Obio-Akpor Local Government Area, Port Harcourt, Rivers State, Nigeria. </w:t>
      </w:r>
      <w:r>
        <w:rPr>
          <w:i/>
        </w:rPr>
        <w:t>Nigerian Dental Journal</w:t>
      </w:r>
      <w:r>
        <w:t xml:space="preserve">, </w:t>
      </w:r>
      <w:r>
        <w:rPr>
          <w:i/>
        </w:rPr>
        <w:t>31</w:t>
      </w:r>
      <w:r>
        <w:t xml:space="preserve">(2). </w:t>
      </w:r>
      <w:hyperlink r:id="rId14">
        <w:r>
          <w:rPr>
            <w:color w:val="0563C1"/>
            <w:u w:val="single"/>
          </w:rPr>
          <w:t>https://doi.org/10.61172/ndj.v31i2.230</w:t>
        </w:r>
      </w:hyperlink>
    </w:p>
    <w:p w14:paraId="3599A69F" w14:textId="77777777" w:rsidR="00581635" w:rsidRDefault="00317EF8">
      <w:pPr>
        <w:pStyle w:val="Normal1"/>
        <w:spacing w:after="80" w:line="252" w:lineRule="auto"/>
        <w:ind w:left="360" w:hanging="360"/>
      </w:pPr>
      <w:r>
        <w:t xml:space="preserve">Cochran, W. G. (1977). </w:t>
      </w:r>
      <w:r>
        <w:rPr>
          <w:i/>
        </w:rPr>
        <w:t>Sampling techniques</w:t>
      </w:r>
      <w:r>
        <w:t xml:space="preserve"> (3rd ed.). John Wiley &amp; Sons. </w:t>
      </w:r>
      <w:hyperlink r:id="rId15">
        <w:r>
          <w:rPr>
            <w:color w:val="0563C1"/>
            <w:u w:val="single"/>
          </w:rPr>
          <w:t>https://www.wiley.com/en-us/Sampling+Techniques%2C+3rd+Edition-p-9780471162407</w:t>
        </w:r>
      </w:hyperlink>
    </w:p>
    <w:p w14:paraId="629A0258" w14:textId="77777777" w:rsidR="00581635" w:rsidRDefault="00317EF8">
      <w:pPr>
        <w:pStyle w:val="Normal1"/>
        <w:spacing w:after="80" w:line="252" w:lineRule="auto"/>
        <w:ind w:left="360" w:hanging="360"/>
      </w:pPr>
      <w:r>
        <w:t xml:space="preserve">Crystal, Y. O., Luo, Y. L., Duangthip, D., El Tantawi, M., Benzian, H., Schroth, R. J., Feldens, C. A., Virtanen, J. I., Al-Batayneh, O. B., Medina Diaz, A. C., Vukovic, A., Pavlic, V., Mfolo, T., Daryanavard, H. A., Gaffar, B. O., Shamala, A., Folayan, M. O., &amp; Early Childhood Caries Advocacy Group (2024). A scoping review of the links between early childhood caries and clean water and sanitation: The Sustainable Development Goal 6. </w:t>
      </w:r>
      <w:r>
        <w:rPr>
          <w:i/>
        </w:rPr>
        <w:t>BMC Oral Health</w:t>
      </w:r>
      <w:r>
        <w:t xml:space="preserve">, </w:t>
      </w:r>
      <w:r>
        <w:rPr>
          <w:i/>
        </w:rPr>
        <w:t>24</w:t>
      </w:r>
      <w:r>
        <w:t xml:space="preserve">(1), 769. </w:t>
      </w:r>
      <w:hyperlink r:id="rId16">
        <w:r>
          <w:rPr>
            <w:color w:val="0563C1"/>
            <w:u w:val="single"/>
          </w:rPr>
          <w:t>https://doi.org/10.1186/s12903-024-04535-9</w:t>
        </w:r>
      </w:hyperlink>
    </w:p>
    <w:p w14:paraId="4958C8FA" w14:textId="77777777" w:rsidR="00581635" w:rsidRDefault="00317EF8">
      <w:pPr>
        <w:pStyle w:val="Normal1"/>
        <w:spacing w:after="80" w:line="252" w:lineRule="auto"/>
        <w:ind w:left="360" w:hanging="360"/>
      </w:pPr>
      <w:r>
        <w:t xml:space="preserve">Ehizele, A. O., Afolabi, A. O., Nnawuihe, U. C., Alade, O. T., Lusher, J., Eleje, G. U., Abodunrin, O. R., Akinsolu, F. T., Nwaozuru, U., El Tantawi, M., Folayan, M. O., &amp; Nwaokorie, F. O. (2023). A scoping review of early childhood caries experience assessment tools used for studies in Nigeria. </w:t>
      </w:r>
      <w:r>
        <w:rPr>
          <w:i/>
        </w:rPr>
        <w:t>BioMed</w:t>
      </w:r>
      <w:r>
        <w:t xml:space="preserve">, </w:t>
      </w:r>
      <w:r>
        <w:rPr>
          <w:i/>
        </w:rPr>
        <w:t>3</w:t>
      </w:r>
      <w:r>
        <w:t xml:space="preserve">(3), 400–419. </w:t>
      </w:r>
      <w:hyperlink r:id="rId17">
        <w:r>
          <w:rPr>
            <w:color w:val="0563C1"/>
            <w:u w:val="single"/>
          </w:rPr>
          <w:t>https://doi.org/10.3390/biomed3030033</w:t>
        </w:r>
      </w:hyperlink>
    </w:p>
    <w:p w14:paraId="6E2304F2" w14:textId="77777777" w:rsidR="00581635" w:rsidRDefault="00317EF8">
      <w:pPr>
        <w:pStyle w:val="Normal1"/>
        <w:spacing w:after="80" w:line="252" w:lineRule="auto"/>
        <w:ind w:left="360" w:hanging="360"/>
      </w:pPr>
      <w:r>
        <w:t xml:space="preserve">Eigbobo, J. O., &amp; Etim, S. S. (2015). The pattern of dental caries in children in Port Harcourt, Nigeria. </w:t>
      </w:r>
      <w:r>
        <w:rPr>
          <w:i/>
        </w:rPr>
        <w:t>Journal of the West African College of Surgeons</w:t>
      </w:r>
      <w:r>
        <w:t xml:space="preserve">, </w:t>
      </w:r>
      <w:r>
        <w:rPr>
          <w:i/>
        </w:rPr>
        <w:t>5</w:t>
      </w:r>
      <w:r>
        <w:t xml:space="preserve">(1), 20–41. </w:t>
      </w:r>
      <w:hyperlink r:id="rId18">
        <w:r>
          <w:rPr>
            <w:color w:val="0563C1"/>
            <w:u w:val="single"/>
          </w:rPr>
          <w:t>https://pmc.ncbi.nlm.nih.gov/articles/PMC4866794/</w:t>
        </w:r>
      </w:hyperlink>
    </w:p>
    <w:p w14:paraId="5081A7DB" w14:textId="77777777" w:rsidR="00581635" w:rsidRDefault="00317EF8">
      <w:pPr>
        <w:pStyle w:val="Normal1"/>
        <w:spacing w:after="80" w:line="252" w:lineRule="auto"/>
        <w:ind w:left="360" w:hanging="360"/>
      </w:pPr>
      <w:r>
        <w:t xml:space="preserve">El Tantawi, M., Attia, D., Virtanen, J. I., Feldens, C. A., Schroth, R. J., Al-Batayneh, O. B., Arheiam, A., &amp; Folayan, M. O. (2024). A scoping review of early childhood caries, poverty and the first Sustainable Development Goal. </w:t>
      </w:r>
      <w:r>
        <w:rPr>
          <w:i/>
        </w:rPr>
        <w:t>BMC Oral Health</w:t>
      </w:r>
      <w:r>
        <w:t xml:space="preserve">, </w:t>
      </w:r>
      <w:r>
        <w:rPr>
          <w:i/>
        </w:rPr>
        <w:t>24</w:t>
      </w:r>
      <w:r>
        <w:t xml:space="preserve">(1), 1029. </w:t>
      </w:r>
      <w:hyperlink r:id="rId19">
        <w:r>
          <w:rPr>
            <w:color w:val="0563C1"/>
            <w:u w:val="single"/>
          </w:rPr>
          <w:t>https://doi.org/10.1186/s12903-024-04790-w</w:t>
        </w:r>
      </w:hyperlink>
    </w:p>
    <w:p w14:paraId="191164C9" w14:textId="77777777" w:rsidR="00581635" w:rsidRDefault="00317EF8">
      <w:pPr>
        <w:pStyle w:val="Normal1"/>
        <w:spacing w:after="80" w:line="252" w:lineRule="auto"/>
        <w:ind w:left="360" w:hanging="360"/>
      </w:pPr>
      <w:r>
        <w:t xml:space="preserve">Elidrissi, S. M., &amp; Naidoo, S. (2016). Prevalence of dental caries and toothbrushing habits among preschool children in Khartoum State, Sudan. </w:t>
      </w:r>
      <w:r>
        <w:rPr>
          <w:i/>
        </w:rPr>
        <w:t>International Dental Journal</w:t>
      </w:r>
      <w:r>
        <w:t xml:space="preserve">, </w:t>
      </w:r>
      <w:r>
        <w:rPr>
          <w:i/>
        </w:rPr>
        <w:t>66</w:t>
      </w:r>
      <w:r>
        <w:t xml:space="preserve">(4), 215–220. </w:t>
      </w:r>
      <w:hyperlink r:id="rId20">
        <w:r>
          <w:rPr>
            <w:color w:val="0563C1"/>
            <w:u w:val="single"/>
          </w:rPr>
          <w:t>https://doi.org/10.1111/idj.12223</w:t>
        </w:r>
      </w:hyperlink>
    </w:p>
    <w:p w14:paraId="4B543FE5" w14:textId="77777777" w:rsidR="00581635" w:rsidRDefault="00317EF8">
      <w:pPr>
        <w:pStyle w:val="Normal1"/>
        <w:spacing w:after="80" w:line="252" w:lineRule="auto"/>
        <w:ind w:left="360" w:hanging="360"/>
      </w:pPr>
      <w:r>
        <w:t xml:space="preserve">Farouk, M., Oumayma, W. H., &amp; Bentahar, O. (2026). Early childhood caries in Africa: Prevalence, determinants, and implications for oral health promotion—an umbrella review. </w:t>
      </w:r>
      <w:r>
        <w:rPr>
          <w:i/>
        </w:rPr>
        <w:t>Frontiers in Oral Health</w:t>
      </w:r>
      <w:r>
        <w:t xml:space="preserve">, </w:t>
      </w:r>
      <w:r>
        <w:rPr>
          <w:i/>
        </w:rPr>
        <w:t>7</w:t>
      </w:r>
      <w:r>
        <w:t xml:space="preserve">, 1901145. </w:t>
      </w:r>
      <w:hyperlink r:id="rId21">
        <w:r>
          <w:rPr>
            <w:color w:val="0563C1"/>
            <w:u w:val="single"/>
          </w:rPr>
          <w:t>https://doi.org/10.3389/froh.2026.1901145</w:t>
        </w:r>
      </w:hyperlink>
    </w:p>
    <w:p w14:paraId="7A241BF7" w14:textId="77777777" w:rsidR="00581635" w:rsidRDefault="00317EF8">
      <w:pPr>
        <w:pStyle w:val="Normal1"/>
        <w:spacing w:after="80" w:line="252" w:lineRule="auto"/>
        <w:ind w:left="360" w:hanging="360"/>
      </w:pPr>
      <w:r>
        <w:t xml:space="preserve">Folayan, M. O., Abeldaño Zuñiga, R. A., Alade, O. T., Bernard, O. T., Arowolo, O., Aliyu, T. K., Titus, O. S., Mohebbi, S. Z., &amp; Khami, M. R. (2025a). Jẹ̀díjẹ̀dí, free sugar </w:t>
      </w:r>
      <w:r>
        <w:lastRenderedPageBreak/>
        <w:t xml:space="preserve">consumption and early childhood caries experience in Ile-Ife, Nigeria: A cultural dimension to dental caries risk. </w:t>
      </w:r>
      <w:r>
        <w:rPr>
          <w:i/>
        </w:rPr>
        <w:t>Frontiers in Oral Health</w:t>
      </w:r>
      <w:r>
        <w:t xml:space="preserve">, </w:t>
      </w:r>
      <w:r>
        <w:rPr>
          <w:i/>
        </w:rPr>
        <w:t>6</w:t>
      </w:r>
      <w:r>
        <w:t xml:space="preserve">, 1608125. </w:t>
      </w:r>
      <w:hyperlink r:id="rId22">
        <w:r>
          <w:rPr>
            <w:color w:val="0563C1"/>
            <w:u w:val="single"/>
          </w:rPr>
          <w:t>https://doi.org/10.3389/froh.2025.1608125</w:t>
        </w:r>
      </w:hyperlink>
    </w:p>
    <w:p w14:paraId="5651C286" w14:textId="77777777" w:rsidR="00581635" w:rsidRDefault="00317EF8">
      <w:pPr>
        <w:pStyle w:val="Normal1"/>
        <w:spacing w:after="80" w:line="252" w:lineRule="auto"/>
        <w:ind w:left="360" w:hanging="360"/>
      </w:pPr>
      <w:r>
        <w:t xml:space="preserve">Folayan, M. O., Alimi, P., Alade, M. O., El Tantawi, M., Adeniyi, A. A., &amp; Finlayson, T. L. (2020). Validation of maternal report of early childhood caries status in Ile-Ife, Nigeria. </w:t>
      </w:r>
      <w:r>
        <w:rPr>
          <w:i/>
        </w:rPr>
        <w:t>BMC Oral Health</w:t>
      </w:r>
      <w:r>
        <w:t xml:space="preserve">, </w:t>
      </w:r>
      <w:r>
        <w:rPr>
          <w:i/>
        </w:rPr>
        <w:t>20</w:t>
      </w:r>
      <w:r>
        <w:t xml:space="preserve">(1), 336. </w:t>
      </w:r>
      <w:hyperlink r:id="rId23">
        <w:r>
          <w:rPr>
            <w:color w:val="0563C1"/>
            <w:u w:val="single"/>
          </w:rPr>
          <w:t>https://doi.org/10.1186/s12903-020-01288-z</w:t>
        </w:r>
      </w:hyperlink>
    </w:p>
    <w:p w14:paraId="19A068D2" w14:textId="77777777" w:rsidR="00581635" w:rsidRDefault="00317EF8">
      <w:pPr>
        <w:pStyle w:val="Normal1"/>
        <w:spacing w:after="80" w:line="252" w:lineRule="auto"/>
        <w:ind w:left="360" w:hanging="360"/>
      </w:pPr>
      <w:r>
        <w:t xml:space="preserve">Folayan, M. O., Coelho, E. M. R. B., Ayouni, I., Nguweneza, A., Al-Batayneh, O. B., Daryanavard, H., Duangthip, D., Sun, I. G., Arheiam, A., Virtanen, J. I., Gaffar, B., El Tantawi, M., Schroth, R. J., &amp; Feldens, C. A. (2024). Association between early childhood caries and parental education and the link to the Sustainable Development Goal 4: A scoping review. </w:t>
      </w:r>
      <w:r>
        <w:rPr>
          <w:i/>
        </w:rPr>
        <w:t>BMC Oral Health</w:t>
      </w:r>
      <w:r>
        <w:t xml:space="preserve">, </w:t>
      </w:r>
      <w:r>
        <w:rPr>
          <w:i/>
        </w:rPr>
        <w:t>24</w:t>
      </w:r>
      <w:r>
        <w:t xml:space="preserve">(1), 517. </w:t>
      </w:r>
      <w:hyperlink r:id="rId24">
        <w:r>
          <w:rPr>
            <w:color w:val="0563C1"/>
            <w:u w:val="single"/>
          </w:rPr>
          <w:t>https://doi.org/10.1186/s12903-024-04291-w</w:t>
        </w:r>
      </w:hyperlink>
    </w:p>
    <w:p w14:paraId="39E20779" w14:textId="77777777" w:rsidR="00581635" w:rsidRDefault="00317EF8">
      <w:pPr>
        <w:pStyle w:val="Normal1"/>
        <w:spacing w:after="80" w:line="252" w:lineRule="auto"/>
        <w:ind w:left="360" w:hanging="360"/>
      </w:pPr>
      <w:r>
        <w:t xml:space="preserve">Folayan, M. O., Oginni, A. B., El Tantawi, M., Finlayson, T. L., &amp; Adeniyi, A. (2021). Epidemiological profile of early childhood caries in a sub-urban population in Nigeria. </w:t>
      </w:r>
      <w:r>
        <w:rPr>
          <w:i/>
        </w:rPr>
        <w:t>BMC Oral Health</w:t>
      </w:r>
      <w:r>
        <w:t xml:space="preserve">, </w:t>
      </w:r>
      <w:r>
        <w:rPr>
          <w:i/>
        </w:rPr>
        <w:t>21</w:t>
      </w:r>
      <w:r>
        <w:t xml:space="preserve">(1), 415. </w:t>
      </w:r>
      <w:hyperlink r:id="rId25">
        <w:r>
          <w:rPr>
            <w:color w:val="0563C1"/>
            <w:u w:val="single"/>
          </w:rPr>
          <w:t>https://doi.org/10.1186/s12903-021-01780-0</w:t>
        </w:r>
      </w:hyperlink>
    </w:p>
    <w:p w14:paraId="2F4575DD" w14:textId="77777777" w:rsidR="00581635" w:rsidRDefault="00317EF8">
      <w:pPr>
        <w:pStyle w:val="Normal1"/>
        <w:spacing w:after="80" w:line="252" w:lineRule="auto"/>
        <w:ind w:left="360" w:hanging="360"/>
      </w:pPr>
      <w:r>
        <w:t xml:space="preserve">Folayan, M. O., Schroth, R. J., Olatosi, O., &amp; El Tantawi, M. (2025b). Environmental determinants of early childhood caries: A narrative synthesis of observational evidence and implications for global policy. </w:t>
      </w:r>
      <w:r>
        <w:rPr>
          <w:i/>
        </w:rPr>
        <w:t>Dentistry Journal</w:t>
      </w:r>
      <w:r>
        <w:t xml:space="preserve">, </w:t>
      </w:r>
      <w:r>
        <w:rPr>
          <w:i/>
        </w:rPr>
        <w:t>13</w:t>
      </w:r>
      <w:r>
        <w:t xml:space="preserve">(11), 484. </w:t>
      </w:r>
      <w:hyperlink r:id="rId26">
        <w:r>
          <w:rPr>
            <w:color w:val="0563C1"/>
            <w:u w:val="single"/>
          </w:rPr>
          <w:t>https://doi.org/10.3390/dj13110484</w:t>
        </w:r>
      </w:hyperlink>
    </w:p>
    <w:p w14:paraId="16C76F03" w14:textId="77777777" w:rsidR="00303123" w:rsidRDefault="009B385F">
      <w:pPr>
        <w:pStyle w:val="Normal1"/>
        <w:ind w:left="360"/>
      </w:pPr>
      <w:r>
        <w:t xml:space="preserve">Google. (n.d.). Okrika, Rivers State, Nigeria [Map]. Google Maps. Retrieved October 31, 2026, from </w:t>
      </w:r>
      <w:hyperlink r:id="rId27">
        <w:r w:rsidR="00303123">
          <w:rPr>
            <w:color w:val="0563C1"/>
            <w:u w:val="single"/>
          </w:rPr>
          <w:t>https://www.google.com/maps/</w:t>
        </w:r>
      </w:hyperlink>
    </w:p>
    <w:p w14:paraId="7BFA83C1" w14:textId="77777777" w:rsidR="00581635" w:rsidRDefault="00317EF8">
      <w:pPr>
        <w:pStyle w:val="Normal1"/>
        <w:spacing w:after="80" w:line="252" w:lineRule="auto"/>
        <w:ind w:left="360" w:hanging="360"/>
      </w:pPr>
      <w:r>
        <w:t xml:space="preserve">Golden, S. D., &amp; Earp, J. A. (2012). Social ecological approaches to individuals and their contexts: Twenty years of Health Education &amp; Behavior health promotion interventions. </w:t>
      </w:r>
      <w:r>
        <w:rPr>
          <w:i/>
        </w:rPr>
        <w:t>Health Education &amp; Behavior</w:t>
      </w:r>
      <w:r>
        <w:t xml:space="preserve">, </w:t>
      </w:r>
      <w:r>
        <w:rPr>
          <w:i/>
        </w:rPr>
        <w:t>39</w:t>
      </w:r>
      <w:r>
        <w:t xml:space="preserve">(3), 364–372. </w:t>
      </w:r>
      <w:hyperlink r:id="rId28">
        <w:r>
          <w:rPr>
            <w:color w:val="0563C1"/>
            <w:u w:val="single"/>
          </w:rPr>
          <w:t>https://doi.org/10.1177/1090198111418634</w:t>
        </w:r>
      </w:hyperlink>
    </w:p>
    <w:p w14:paraId="549D6FC2" w14:textId="77777777" w:rsidR="00303123" w:rsidRDefault="009B385F">
      <w:pPr>
        <w:pStyle w:val="Normal1"/>
        <w:spacing w:after="80"/>
        <w:ind w:left="360" w:hanging="360"/>
      </w:pPr>
      <w:r>
        <w:t xml:space="preserve">Gomersall, J. C., Slack-Smith, L., Kilpatrick, N., Muthu, M. S., &amp; Riggs, E. (2024). Interventions with pregnant women, new mothers and other primary caregivers for preventing early childhood caries. </w:t>
      </w:r>
      <w:r>
        <w:rPr>
          <w:i/>
        </w:rPr>
        <w:t>Cochrane Database of Systematic Reviews</w:t>
      </w:r>
      <w:r>
        <w:t xml:space="preserve">, </w:t>
      </w:r>
      <w:r>
        <w:rPr>
          <w:i/>
        </w:rPr>
        <w:t>2024</w:t>
      </w:r>
      <w:r>
        <w:t xml:space="preserve">(5), CD012155. </w:t>
      </w:r>
      <w:hyperlink r:id="rId29">
        <w:r w:rsidR="00303123">
          <w:rPr>
            <w:color w:val="0563C1"/>
            <w:u w:val="single"/>
          </w:rPr>
          <w:t>https://doi.org/10.1002/14651858.CD012155.pub3</w:t>
        </w:r>
      </w:hyperlink>
    </w:p>
    <w:p w14:paraId="36D54E01" w14:textId="77777777" w:rsidR="00581635" w:rsidRDefault="00317EF8">
      <w:pPr>
        <w:pStyle w:val="Normal1"/>
        <w:spacing w:after="80" w:line="252" w:lineRule="auto"/>
        <w:ind w:left="360" w:hanging="360"/>
      </w:pPr>
      <w:r>
        <w:t xml:space="preserve">Imes, E. P., Ginnis, J., Shrestha, P., Simancas-Pallares, M. A., &amp; Divaris, K. (2021). Guardian reports of children’s sub-optimal oral health are associated with clinically determined early childhood caries, unrestored caries lesions, and history of toothaches. </w:t>
      </w:r>
      <w:r>
        <w:rPr>
          <w:i/>
        </w:rPr>
        <w:t>Frontiers in Public Health</w:t>
      </w:r>
      <w:r>
        <w:t xml:space="preserve">, </w:t>
      </w:r>
      <w:r>
        <w:rPr>
          <w:i/>
        </w:rPr>
        <w:t>9</w:t>
      </w:r>
      <w:r>
        <w:t xml:space="preserve">, 751733. </w:t>
      </w:r>
      <w:hyperlink r:id="rId30">
        <w:r>
          <w:rPr>
            <w:color w:val="0563C1"/>
            <w:u w:val="single"/>
          </w:rPr>
          <w:t>https://doi.org/10.3389/fpubh.2021.751733</w:t>
        </w:r>
      </w:hyperlink>
    </w:p>
    <w:p w14:paraId="301E3EC0" w14:textId="77777777" w:rsidR="00303123" w:rsidRDefault="009B385F">
      <w:pPr>
        <w:pStyle w:val="Normal1"/>
        <w:spacing w:after="80"/>
        <w:ind w:left="360" w:hanging="360"/>
      </w:pPr>
      <w:r>
        <w:t xml:space="preserve">Janarthanan, S. R., Nisha, M., Vasanthakumari, A., Selvabalaji, A., Ramesh, V., &amp; Pandiyan, R. V. (2026). Assessing parental awareness regarding the first dental visit of children: A cross-sectional study. </w:t>
      </w:r>
      <w:r>
        <w:rPr>
          <w:i/>
        </w:rPr>
        <w:t>Asian Journal of Dental Sciences</w:t>
      </w:r>
      <w:r>
        <w:t xml:space="preserve">, </w:t>
      </w:r>
      <w:r>
        <w:rPr>
          <w:i/>
        </w:rPr>
        <w:t>9</w:t>
      </w:r>
      <w:r>
        <w:t xml:space="preserve">(1), 417–425. </w:t>
      </w:r>
      <w:hyperlink r:id="rId31">
        <w:r w:rsidR="00303123">
          <w:rPr>
            <w:color w:val="0563C1"/>
            <w:u w:val="single"/>
          </w:rPr>
          <w:t>https://doi.org/10.9734/ajds/2026/v9i1330</w:t>
        </w:r>
      </w:hyperlink>
    </w:p>
    <w:p w14:paraId="135A230B" w14:textId="77777777" w:rsidR="00581635" w:rsidRDefault="00317EF8">
      <w:pPr>
        <w:pStyle w:val="Normal1"/>
        <w:spacing w:after="80" w:line="252" w:lineRule="auto"/>
        <w:ind w:left="360" w:hanging="360"/>
      </w:pPr>
      <w:r>
        <w:t xml:space="preserve">Khan, S. Y., Schroth, R. J., Cruz de Jesus, V., Lee, V. H. K., Rothney, J., Dong, C. S., Javed, F., Yerex, K., Bertone, M., El Azrak, M., &amp; Menon, A. (2024). A systematic review of caries risk in children &lt; 6 years of age. </w:t>
      </w:r>
      <w:r>
        <w:rPr>
          <w:i/>
        </w:rPr>
        <w:t>International Journal of Paediatric Dentistry</w:t>
      </w:r>
      <w:r>
        <w:t xml:space="preserve">, </w:t>
      </w:r>
      <w:r>
        <w:rPr>
          <w:i/>
        </w:rPr>
        <w:t>34</w:t>
      </w:r>
      <w:r>
        <w:t xml:space="preserve">(4), 410–431. </w:t>
      </w:r>
      <w:hyperlink r:id="rId32">
        <w:r>
          <w:rPr>
            <w:color w:val="0563C1"/>
            <w:u w:val="single"/>
          </w:rPr>
          <w:t>https://doi.org/10.1111/ipd.13140</w:t>
        </w:r>
      </w:hyperlink>
    </w:p>
    <w:p w14:paraId="03FF27EE" w14:textId="77777777" w:rsidR="00F86A04" w:rsidRDefault="00F86A04">
      <w:pPr>
        <w:pStyle w:val="Normal1"/>
        <w:spacing w:after="80" w:line="252" w:lineRule="auto"/>
        <w:ind w:left="360" w:hanging="360"/>
      </w:pPr>
      <w:r>
        <w:t xml:space="preserve">Kimmie-Dhansay, F., Nkambule, N. R., Schoonraad, N., Albougy, H., &amp; Bhayat, A. (2026). Prevalence of early childhood caries in Africa: A systematic review. </w:t>
      </w:r>
      <w:r>
        <w:rPr>
          <w:i/>
        </w:rPr>
        <w:t>International Journal of Paediatric Dentistry</w:t>
      </w:r>
      <w:r>
        <w:t xml:space="preserve">, </w:t>
      </w:r>
      <w:r>
        <w:rPr>
          <w:i/>
        </w:rPr>
        <w:t>36</w:t>
      </w:r>
      <w:r>
        <w:t xml:space="preserve">(1), 157–186. </w:t>
      </w:r>
      <w:hyperlink r:id="rId33">
        <w:r>
          <w:rPr>
            <w:color w:val="0563C1"/>
            <w:u w:val="single"/>
          </w:rPr>
          <w:t>https://doi.org/10.1111/ipd.70038</w:t>
        </w:r>
      </w:hyperlink>
    </w:p>
    <w:p w14:paraId="6EAB7B26" w14:textId="77777777" w:rsidR="00581635" w:rsidRDefault="00317EF8">
      <w:pPr>
        <w:pStyle w:val="Normal1"/>
        <w:spacing w:after="80" w:line="252" w:lineRule="auto"/>
        <w:ind w:left="360" w:hanging="360"/>
      </w:pPr>
      <w:r>
        <w:t xml:space="preserve">Lennon, Á. M., Fluch-Maier, K., Hiller, K.-A., Schenke, I., Gade, N., Buchalla, W., Brandstetter, S., Köninger, A., Melter, M., Apfelbacher, C., Kabesch, M., &amp; KUNO-Kids Study Group. (2026). Factors associated with parent-reported caries in preschool children from the KUNO-Kids Health Study: Repeated cross-sectional analysis. </w:t>
      </w:r>
      <w:r>
        <w:rPr>
          <w:i/>
        </w:rPr>
        <w:t>Community Dentistry and Oral Epidemiology</w:t>
      </w:r>
      <w:r>
        <w:t xml:space="preserve">, </w:t>
      </w:r>
      <w:r>
        <w:rPr>
          <w:i/>
        </w:rPr>
        <w:t>54</w:t>
      </w:r>
      <w:r>
        <w:t xml:space="preserve">(5), 596–612. </w:t>
      </w:r>
      <w:hyperlink r:id="rId34">
        <w:r>
          <w:rPr>
            <w:color w:val="0563C1"/>
            <w:u w:val="single"/>
          </w:rPr>
          <w:t>https://doi.org/10.1111/cdoe.70078</w:t>
        </w:r>
      </w:hyperlink>
    </w:p>
    <w:p w14:paraId="43A048A8" w14:textId="77777777" w:rsidR="00581635" w:rsidRDefault="00317EF8">
      <w:pPr>
        <w:pStyle w:val="Normal1"/>
        <w:spacing w:after="80" w:line="252" w:lineRule="auto"/>
        <w:ind w:left="360" w:hanging="360"/>
      </w:pPr>
      <w:r>
        <w:lastRenderedPageBreak/>
        <w:t xml:space="preserve">Maklennan, A., Borg-Bartolo, R., Wierichs, R. J., Esteves-Oliveira, M., &amp; Campus, G. (2024). A systematic review and meta-analysis on early-childhood-caries global data. </w:t>
      </w:r>
      <w:r>
        <w:rPr>
          <w:i/>
        </w:rPr>
        <w:t>BMC Oral Health</w:t>
      </w:r>
      <w:r>
        <w:t xml:space="preserve">, </w:t>
      </w:r>
      <w:r>
        <w:rPr>
          <w:i/>
        </w:rPr>
        <w:t>24</w:t>
      </w:r>
      <w:r>
        <w:t xml:space="preserve">(1), 835. </w:t>
      </w:r>
      <w:hyperlink r:id="rId35">
        <w:r>
          <w:rPr>
            <w:color w:val="0563C1"/>
            <w:u w:val="single"/>
          </w:rPr>
          <w:t>https://doi.org/10.1186/s12903-024-04605-y</w:t>
        </w:r>
      </w:hyperlink>
    </w:p>
    <w:p w14:paraId="77102593" w14:textId="77777777" w:rsidR="00581635" w:rsidRDefault="00317EF8">
      <w:pPr>
        <w:pStyle w:val="Normal1"/>
        <w:spacing w:after="80" w:line="252" w:lineRule="auto"/>
        <w:ind w:left="360" w:hanging="360"/>
      </w:pPr>
      <w:r>
        <w:t xml:space="preserve">Mitiku Kidie, D., Kelkay, J. M., Guadie Kassie, D., &amp; Tezera Assimamaw, N. (2026). Parental knowledge and practices and associated factors of dental caries in school-age children in Debark Town, Northwest Ethiopia. </w:t>
      </w:r>
      <w:r>
        <w:rPr>
          <w:i/>
        </w:rPr>
        <w:t>Scientific Reports</w:t>
      </w:r>
      <w:r>
        <w:t xml:space="preserve">, </w:t>
      </w:r>
      <w:r>
        <w:rPr>
          <w:i/>
        </w:rPr>
        <w:t>16</w:t>
      </w:r>
      <w:r>
        <w:t xml:space="preserve">(1), 12379. </w:t>
      </w:r>
      <w:hyperlink r:id="rId36">
        <w:r>
          <w:rPr>
            <w:color w:val="0563C1"/>
            <w:u w:val="single"/>
          </w:rPr>
          <w:t>https://doi.org/10.1038/s41598-026-42344-y</w:t>
        </w:r>
      </w:hyperlink>
    </w:p>
    <w:p w14:paraId="417E82B8" w14:textId="77777777" w:rsidR="00581635" w:rsidRDefault="00317EF8">
      <w:pPr>
        <w:pStyle w:val="Normal1"/>
        <w:spacing w:after="80" w:line="252" w:lineRule="auto"/>
        <w:ind w:left="360" w:hanging="360"/>
      </w:pPr>
      <w:r>
        <w:t xml:space="preserve">Nassar, A. A., Fatani, B. A., Almobarak, O. T., Alotaibi, S. I., Alhazmi, R. A., &amp; Marghalani, A. A. (2022). Knowledge, attitude, and behavior of parents regarding early childhood caries prevention of preschool children in Western Region of Saudi Arabia: A cross-sectional study. </w:t>
      </w:r>
      <w:r>
        <w:rPr>
          <w:i/>
        </w:rPr>
        <w:t>Dentistry Journal</w:t>
      </w:r>
      <w:r>
        <w:t xml:space="preserve">, </w:t>
      </w:r>
      <w:r>
        <w:rPr>
          <w:i/>
        </w:rPr>
        <w:t>10</w:t>
      </w:r>
      <w:r>
        <w:t xml:space="preserve">(12), 218. </w:t>
      </w:r>
      <w:hyperlink r:id="rId37">
        <w:r>
          <w:rPr>
            <w:color w:val="0563C1"/>
            <w:u w:val="single"/>
          </w:rPr>
          <w:t>https://doi.org/10.3390/dj10120218</w:t>
        </w:r>
      </w:hyperlink>
    </w:p>
    <w:p w14:paraId="2D69B2AC" w14:textId="77777777" w:rsidR="00581635" w:rsidRDefault="00317EF8">
      <w:pPr>
        <w:pStyle w:val="Normal1"/>
        <w:spacing w:after="80" w:line="252" w:lineRule="auto"/>
        <w:ind w:left="360" w:hanging="360"/>
      </w:pPr>
      <w:r>
        <w:t xml:space="preserve">National Health Research Ethics Committee. (2007). </w:t>
      </w:r>
      <w:r>
        <w:rPr>
          <w:i/>
        </w:rPr>
        <w:t>National code of health research ethics</w:t>
      </w:r>
      <w:r>
        <w:t xml:space="preserve">. Federal Ministry of Health. </w:t>
      </w:r>
      <w:hyperlink r:id="rId38">
        <w:r>
          <w:rPr>
            <w:color w:val="0563C1"/>
            <w:u w:val="single"/>
          </w:rPr>
          <w:t>https://nhrec.gov.ng/</w:t>
        </w:r>
      </w:hyperlink>
    </w:p>
    <w:p w14:paraId="4AF8448E" w14:textId="77777777" w:rsidR="00581635" w:rsidRDefault="00317EF8">
      <w:pPr>
        <w:pStyle w:val="Normal1"/>
        <w:spacing w:after="80" w:line="252" w:lineRule="auto"/>
        <w:ind w:left="360" w:hanging="360"/>
      </w:pPr>
      <w:r>
        <w:t xml:space="preserve">National Population Commission. (2009). </w:t>
      </w:r>
      <w:r>
        <w:rPr>
          <w:i/>
        </w:rPr>
        <w:t>2006 population and housing census of the Federal Republic of Nigeria: National and state population and housing tables (Priority Tables, Vol</w:t>
      </w:r>
      <w:r>
        <w:t xml:space="preserve">. 1). </w:t>
      </w:r>
      <w:hyperlink r:id="rId39">
        <w:r>
          <w:rPr>
            <w:color w:val="0563C1"/>
            <w:u w:val="single"/>
          </w:rPr>
          <w:t>https://books.google.com.ng/books?id=Y_FPAQAAIAAJ</w:t>
        </w:r>
      </w:hyperlink>
    </w:p>
    <w:p w14:paraId="316ACDC9" w14:textId="77777777" w:rsidR="00581635" w:rsidRPr="007F3B4B" w:rsidRDefault="00317EF8">
      <w:pPr>
        <w:pStyle w:val="Normal1"/>
        <w:spacing w:after="80" w:line="252" w:lineRule="auto"/>
        <w:ind w:left="360" w:hanging="360"/>
        <w:rPr>
          <w:lang w:val="nl-BE"/>
        </w:rPr>
      </w:pPr>
      <w:r>
        <w:t xml:space="preserve">Ndekero, T. S., Carneiro, L. C., &amp; Masumo, R. M. (2021). Prevalence of early childhood caries, risk factors and nutritional status among 3–5-year-old preschool children in Kisarawe, Tanzania. </w:t>
      </w:r>
      <w:r>
        <w:rPr>
          <w:i/>
        </w:rPr>
        <w:t>PLoS ONE</w:t>
      </w:r>
      <w:r>
        <w:t xml:space="preserve">, </w:t>
      </w:r>
      <w:r>
        <w:rPr>
          <w:i/>
        </w:rPr>
        <w:t>16</w:t>
      </w:r>
      <w:r>
        <w:t xml:space="preserve">(2), e0247240. </w:t>
      </w:r>
      <w:hyperlink r:id="rId40">
        <w:r>
          <w:rPr>
            <w:color w:val="0563C1"/>
            <w:u w:val="single"/>
          </w:rPr>
          <w:t>https://doi.org/10.1371/journal.pone.0247240</w:t>
        </w:r>
      </w:hyperlink>
    </w:p>
    <w:p w14:paraId="69655575" w14:textId="77777777" w:rsidR="00303123" w:rsidRDefault="009B385F">
      <w:pPr>
        <w:pStyle w:val="Normal1"/>
        <w:spacing w:after="80"/>
        <w:ind w:left="360" w:hanging="360"/>
      </w:pPr>
      <w:r>
        <w:t xml:space="preserve">Ng Kwok Cheung, W. S., Su, E., Baker, T. I., &amp; Kroon, J. (2026). Caregiver’s oral health status as a risk factor for dental caries in children: A systematic review. </w:t>
      </w:r>
      <w:r>
        <w:rPr>
          <w:i/>
        </w:rPr>
        <w:t>Community Dental Health</w:t>
      </w:r>
      <w:r>
        <w:t xml:space="preserve">, </w:t>
      </w:r>
      <w:r>
        <w:rPr>
          <w:i/>
        </w:rPr>
        <w:t>43</w:t>
      </w:r>
      <w:r>
        <w:t xml:space="preserve">(3), 286–294. </w:t>
      </w:r>
      <w:hyperlink r:id="rId41">
        <w:r w:rsidR="00303123">
          <w:rPr>
            <w:color w:val="0563C1"/>
            <w:u w:val="single"/>
          </w:rPr>
          <w:t>https://doi.org/10.1177/0265539X251400913</w:t>
        </w:r>
      </w:hyperlink>
    </w:p>
    <w:p w14:paraId="6F8C679B" w14:textId="77777777" w:rsidR="00581635" w:rsidRDefault="00317EF8">
      <w:pPr>
        <w:pStyle w:val="Normal1"/>
        <w:spacing w:after="80" w:line="252" w:lineRule="auto"/>
        <w:ind w:left="360" w:hanging="360"/>
      </w:pPr>
      <w:r>
        <w:t xml:space="preserve">Ogunlade, O. B., Adu, R. A., Afolabi, A. O., Akinsolu, F. T., Ehizele, A. O., Eleje, G. U., Ezechi, O. C., Lawal, Q. O., Bhayat, A., &amp; Folayan, M. O. (2026). Prevalence of early childhood caries in Southern Africa: Systematic review and meta-analysis. </w:t>
      </w:r>
      <w:r>
        <w:rPr>
          <w:i/>
        </w:rPr>
        <w:t>BMC Oral Health</w:t>
      </w:r>
      <w:r>
        <w:t xml:space="preserve">, </w:t>
      </w:r>
      <w:r>
        <w:rPr>
          <w:i/>
        </w:rPr>
        <w:t>26</w:t>
      </w:r>
      <w:r>
        <w:t xml:space="preserve">(1), 331. </w:t>
      </w:r>
      <w:hyperlink r:id="rId42">
        <w:r>
          <w:rPr>
            <w:color w:val="0563C1"/>
            <w:u w:val="single"/>
          </w:rPr>
          <w:t>https://doi.org/10.1186/s12903-026-07724-w</w:t>
        </w:r>
      </w:hyperlink>
    </w:p>
    <w:p w14:paraId="786F9A0B" w14:textId="77777777" w:rsidR="00581635" w:rsidRDefault="00317EF8">
      <w:pPr>
        <w:pStyle w:val="Normal1"/>
        <w:spacing w:after="80" w:line="252" w:lineRule="auto"/>
        <w:ind w:left="360" w:hanging="360"/>
      </w:pPr>
      <w:r>
        <w:t xml:space="preserve">Okolo, C. C., Aborisade, A. O., Oguchi, C. O., Alalade, O., &amp; Adeyemo, Y. I. (2024). A systematic review and meta-analysis on the epidemiology of early childhood caries in Nigeria. </w:t>
      </w:r>
      <w:r>
        <w:rPr>
          <w:i/>
        </w:rPr>
        <w:t>Discover Public Health</w:t>
      </w:r>
      <w:r>
        <w:t xml:space="preserve">, </w:t>
      </w:r>
      <w:r>
        <w:rPr>
          <w:i/>
        </w:rPr>
        <w:t>21</w:t>
      </w:r>
      <w:r>
        <w:t xml:space="preserve">(1), 193. </w:t>
      </w:r>
      <w:hyperlink r:id="rId43">
        <w:r>
          <w:rPr>
            <w:color w:val="0563C1"/>
            <w:u w:val="single"/>
          </w:rPr>
          <w:t>https://doi.org/10.1186/s12982-024-00324-5</w:t>
        </w:r>
      </w:hyperlink>
    </w:p>
    <w:p w14:paraId="6C759832" w14:textId="77777777" w:rsidR="00581635" w:rsidRDefault="00317EF8">
      <w:pPr>
        <w:pStyle w:val="Normal1"/>
        <w:spacing w:after="80" w:line="252" w:lineRule="auto"/>
        <w:ind w:left="360" w:hanging="360"/>
      </w:pPr>
      <w:r>
        <w:t xml:space="preserve">Orhorhoro, E. E., Chukwumah, N. M., Adewale, O., Onyejaka, N. K., Ehizele, A. O., Akinsolu, F. T., Eleje, G. U., Ezechi, O. C., &amp; Folayan, M. O. (2026). Prevalence and associated risk indicators of early childhood caries in Nigeria: A systematic review and meta-analysis. </w:t>
      </w:r>
      <w:r>
        <w:rPr>
          <w:i/>
        </w:rPr>
        <w:t>BMC Oral Health</w:t>
      </w:r>
      <w:r>
        <w:t xml:space="preserve">, </w:t>
      </w:r>
      <w:r>
        <w:rPr>
          <w:i/>
        </w:rPr>
        <w:t>26</w:t>
      </w:r>
      <w:r>
        <w:t xml:space="preserve">(1), 917. </w:t>
      </w:r>
      <w:hyperlink r:id="rId44">
        <w:r>
          <w:rPr>
            <w:color w:val="0563C1"/>
            <w:u w:val="single"/>
          </w:rPr>
          <w:t>https://doi.org/10.1186/s12903-026-08092-1</w:t>
        </w:r>
      </w:hyperlink>
    </w:p>
    <w:p w14:paraId="765CAE45" w14:textId="77777777" w:rsidR="00581635" w:rsidRDefault="00317EF8">
      <w:pPr>
        <w:pStyle w:val="Normal1"/>
        <w:spacing w:after="80" w:line="252" w:lineRule="auto"/>
        <w:ind w:left="360" w:hanging="360"/>
      </w:pPr>
      <w:r>
        <w:t xml:space="preserve">Osadolor, O. O., Osadolor, A. J., &amp; Amobi, E. (2025). Dental caries among children in Africa slums. </w:t>
      </w:r>
      <w:r>
        <w:rPr>
          <w:i/>
        </w:rPr>
        <w:t>Nepal Mediciti Medical Journal</w:t>
      </w:r>
      <w:r>
        <w:t xml:space="preserve">, </w:t>
      </w:r>
      <w:r>
        <w:rPr>
          <w:i/>
        </w:rPr>
        <w:t>6</w:t>
      </w:r>
      <w:r>
        <w:t xml:space="preserve">(1), 33–35. </w:t>
      </w:r>
      <w:hyperlink r:id="rId45">
        <w:r>
          <w:rPr>
            <w:color w:val="0563C1"/>
            <w:u w:val="single"/>
          </w:rPr>
          <w:t>https://doi.org/10.3126/nmmj.v6i1.81113</w:t>
        </w:r>
      </w:hyperlink>
    </w:p>
    <w:p w14:paraId="5C9693DC" w14:textId="77777777" w:rsidR="00581635" w:rsidRDefault="00317EF8">
      <w:pPr>
        <w:pStyle w:val="Normal1"/>
        <w:spacing w:after="80" w:line="252" w:lineRule="auto"/>
        <w:ind w:left="360" w:hanging="360"/>
      </w:pPr>
      <w:r>
        <w:t xml:space="preserve">Pitts, N. B., Zero, D. T., Marsh, P. D., Ekstrand, K., Weintraub, J. A., Ramos-Gomez, F., Tagami, J., Twetman, S., Tsakos, G., &amp; Ismail, A. (2017). Dental caries. </w:t>
      </w:r>
      <w:r>
        <w:rPr>
          <w:i/>
        </w:rPr>
        <w:t>Nature Reviews Disease Primers</w:t>
      </w:r>
      <w:r>
        <w:t xml:space="preserve">, </w:t>
      </w:r>
      <w:r>
        <w:rPr>
          <w:i/>
        </w:rPr>
        <w:t>3</w:t>
      </w:r>
      <w:r>
        <w:t xml:space="preserve">, 17030. </w:t>
      </w:r>
      <w:hyperlink r:id="rId46">
        <w:r>
          <w:rPr>
            <w:color w:val="0563C1"/>
            <w:u w:val="single"/>
          </w:rPr>
          <w:t>https://doi.org/10.1038/nrdp.2017.30</w:t>
        </w:r>
      </w:hyperlink>
    </w:p>
    <w:p w14:paraId="17B3566F" w14:textId="77777777" w:rsidR="00581635" w:rsidRDefault="00317EF8">
      <w:pPr>
        <w:pStyle w:val="Normal1"/>
        <w:spacing w:after="80" w:line="252" w:lineRule="auto"/>
        <w:ind w:left="360" w:hanging="360"/>
      </w:pPr>
      <w:r>
        <w:t xml:space="preserve">Setia, M. S. (2016). Methodology series module 3: Cross-sectional studies. </w:t>
      </w:r>
      <w:r>
        <w:rPr>
          <w:i/>
        </w:rPr>
        <w:t>Indian Journal of Dermatology</w:t>
      </w:r>
      <w:r>
        <w:t xml:space="preserve">, </w:t>
      </w:r>
      <w:r>
        <w:rPr>
          <w:i/>
        </w:rPr>
        <w:t>61</w:t>
      </w:r>
      <w:r>
        <w:t xml:space="preserve">(3), 261–264. </w:t>
      </w:r>
      <w:hyperlink r:id="rId47">
        <w:r>
          <w:rPr>
            <w:color w:val="0563C1"/>
            <w:u w:val="single"/>
          </w:rPr>
          <w:t>https://doi.org/10.4103/0019-5154.182410</w:t>
        </w:r>
      </w:hyperlink>
    </w:p>
    <w:p w14:paraId="5607AF4C" w14:textId="77777777" w:rsidR="00303123" w:rsidRDefault="009B385F">
      <w:pPr>
        <w:pStyle w:val="Normal1"/>
        <w:spacing w:after="80"/>
        <w:ind w:left="360" w:hanging="360"/>
      </w:pPr>
      <w:r>
        <w:t xml:space="preserve">Shaikh, S., Sharma, D., Suryawanshi, A., Shetty, V., Patil, R., &amp; Ambildhok, K. (2025). Effectiveness of silver-modified atraumatic restorative technique versus ART in caries management using a split-mouth case study approach. </w:t>
      </w:r>
      <w:r>
        <w:rPr>
          <w:i/>
        </w:rPr>
        <w:t>Journal of Case Reports in Medical Science</w:t>
      </w:r>
      <w:r>
        <w:t xml:space="preserve">, </w:t>
      </w:r>
      <w:r>
        <w:rPr>
          <w:i/>
        </w:rPr>
        <w:t>11</w:t>
      </w:r>
      <w:r>
        <w:t xml:space="preserve">(1), 32–38. </w:t>
      </w:r>
      <w:hyperlink r:id="rId48">
        <w:r w:rsidR="00303123">
          <w:rPr>
            <w:color w:val="0563C1"/>
            <w:u w:val="single"/>
          </w:rPr>
          <w:t>https://doi.org/10.56557/jocrims/2025/v11i19701</w:t>
        </w:r>
      </w:hyperlink>
    </w:p>
    <w:p w14:paraId="7FDCE1AE" w14:textId="77777777" w:rsidR="00581635" w:rsidRDefault="00317EF8">
      <w:pPr>
        <w:pStyle w:val="Normal1"/>
        <w:spacing w:after="80" w:line="252" w:lineRule="auto"/>
        <w:ind w:left="360" w:hanging="360"/>
      </w:pPr>
      <w:r>
        <w:t xml:space="preserve">Shirzad, M., Taghdisi, M. H., Dehdari, T., &amp; Abolghasemi, J. (2016). Oral health education program among pre-school children: An application of health-promoting school’s </w:t>
      </w:r>
      <w:r>
        <w:lastRenderedPageBreak/>
        <w:t xml:space="preserve">approach. </w:t>
      </w:r>
      <w:r>
        <w:rPr>
          <w:i/>
        </w:rPr>
        <w:t>Health Promotion Perspectives</w:t>
      </w:r>
      <w:r>
        <w:t xml:space="preserve">, </w:t>
      </w:r>
      <w:r>
        <w:rPr>
          <w:i/>
        </w:rPr>
        <w:t>6</w:t>
      </w:r>
      <w:r>
        <w:t xml:space="preserve">(3), 164–170. </w:t>
      </w:r>
      <w:hyperlink r:id="rId49">
        <w:r>
          <w:rPr>
            <w:color w:val="0563C1"/>
            <w:u w:val="single"/>
          </w:rPr>
          <w:t>https://doi.org/10.15171/hpp.2016.26</w:t>
        </w:r>
      </w:hyperlink>
    </w:p>
    <w:p w14:paraId="57CABFB4" w14:textId="77777777" w:rsidR="00581635" w:rsidRDefault="00317EF8">
      <w:pPr>
        <w:pStyle w:val="Normal1"/>
        <w:spacing w:after="80" w:line="252" w:lineRule="auto"/>
        <w:ind w:left="360" w:hanging="360"/>
      </w:pPr>
      <w:r>
        <w:t xml:space="preserve">Tinanoff, N., Baez, R. J., Diaz Guillory, C., Donly, K. J., Feldens, C. A., McGrath, C., Phantumvanit, P., Pitts, N. B., Seow, W. K., Sharkov, N., Songpaisan, Y., &amp; Twetman, S. (2019). Early childhood caries epidemiology, aetiology, risk assessment, societal burden, management, education, and policy: Global perspective. </w:t>
      </w:r>
      <w:r>
        <w:rPr>
          <w:i/>
        </w:rPr>
        <w:t>International Journal of Paediatric Dentistry</w:t>
      </w:r>
      <w:r>
        <w:t xml:space="preserve">, </w:t>
      </w:r>
      <w:r>
        <w:rPr>
          <w:i/>
        </w:rPr>
        <w:t>29</w:t>
      </w:r>
      <w:r>
        <w:t xml:space="preserve">(3), 238–248. </w:t>
      </w:r>
      <w:hyperlink r:id="rId50">
        <w:r>
          <w:rPr>
            <w:color w:val="0563C1"/>
            <w:u w:val="single"/>
          </w:rPr>
          <w:t>https://doi.org/10.1111/ipd.12484</w:t>
        </w:r>
      </w:hyperlink>
    </w:p>
    <w:p w14:paraId="18294106" w14:textId="77777777" w:rsidR="00581635" w:rsidRDefault="00317EF8">
      <w:pPr>
        <w:pStyle w:val="Normal1"/>
        <w:spacing w:after="80" w:line="252" w:lineRule="auto"/>
        <w:ind w:left="360" w:hanging="360"/>
      </w:pPr>
      <w:r>
        <w:t xml:space="preserve">Uribe, S. E., Innes, N., &amp; Maldupa, I. (2021). The global prevalence of early childhood caries: A systematic review with meta-analysis using the WHO diagnostic criteria. </w:t>
      </w:r>
      <w:r>
        <w:rPr>
          <w:i/>
        </w:rPr>
        <w:t>International Journal of Paediatric Dentistry</w:t>
      </w:r>
      <w:r>
        <w:t xml:space="preserve">, </w:t>
      </w:r>
      <w:r>
        <w:rPr>
          <w:i/>
        </w:rPr>
        <w:t>31</w:t>
      </w:r>
      <w:r>
        <w:t xml:space="preserve">(6), 817–830. </w:t>
      </w:r>
      <w:hyperlink r:id="rId51">
        <w:r>
          <w:rPr>
            <w:color w:val="0563C1"/>
            <w:u w:val="single"/>
          </w:rPr>
          <w:t>https://doi.org/10.1111/ipd.12783</w:t>
        </w:r>
      </w:hyperlink>
    </w:p>
    <w:p w14:paraId="01B0347D" w14:textId="77777777" w:rsidR="00581635" w:rsidRDefault="00317EF8">
      <w:pPr>
        <w:pStyle w:val="Normal1"/>
        <w:spacing w:after="80" w:line="252" w:lineRule="auto"/>
        <w:ind w:left="360" w:hanging="360"/>
      </w:pPr>
      <w:r>
        <w:t xml:space="preserve">Wilson, A. R., Brega, A. G., Campagna, E. J., Braun, P. A., Henderson, W. G., Bryant, L. L., Batliner, T. S., Quissell, D. O., &amp; Albino, J. (2016). Validation and impact of caregivers’ oral health knowledge and behavior on children’s oral health status. </w:t>
      </w:r>
      <w:r>
        <w:rPr>
          <w:i/>
        </w:rPr>
        <w:t>Pediatric Dentistry</w:t>
      </w:r>
      <w:r>
        <w:t xml:space="preserve">, </w:t>
      </w:r>
      <w:r>
        <w:rPr>
          <w:i/>
        </w:rPr>
        <w:t>38</w:t>
      </w:r>
      <w:r>
        <w:t xml:space="preserve">(1), 47–54. </w:t>
      </w:r>
      <w:hyperlink r:id="rId52">
        <w:r>
          <w:rPr>
            <w:color w:val="0563C1"/>
            <w:u w:val="single"/>
          </w:rPr>
          <w:t>https://pubmed.ncbi.nlm.nih.gov/26892215/</w:t>
        </w:r>
      </w:hyperlink>
    </w:p>
    <w:p w14:paraId="5FDA4074" w14:textId="77777777" w:rsidR="00581635" w:rsidRDefault="00317EF8">
      <w:pPr>
        <w:pStyle w:val="Normal1"/>
        <w:spacing w:after="80" w:line="252" w:lineRule="auto"/>
        <w:ind w:left="360" w:hanging="360"/>
      </w:pPr>
      <w:r>
        <w:t xml:space="preserve">World Health Organization. (2013). </w:t>
      </w:r>
      <w:r>
        <w:rPr>
          <w:i/>
        </w:rPr>
        <w:t>Oral health surveys: Basic methods</w:t>
      </w:r>
      <w:r>
        <w:t xml:space="preserve"> (5th ed.). WHO. </w:t>
      </w:r>
      <w:hyperlink r:id="rId53">
        <w:r>
          <w:rPr>
            <w:color w:val="0563C1"/>
            <w:u w:val="single"/>
          </w:rPr>
          <w:t>https://www.who.int/publications-detail-redirect/9789241548649</w:t>
        </w:r>
      </w:hyperlink>
    </w:p>
    <w:p w14:paraId="52E77FF4" w14:textId="77777777" w:rsidR="00581635" w:rsidRDefault="00317EF8">
      <w:pPr>
        <w:pStyle w:val="Normal1"/>
        <w:spacing w:after="80" w:line="252" w:lineRule="auto"/>
        <w:ind w:left="360" w:hanging="360"/>
      </w:pPr>
      <w:r>
        <w:t xml:space="preserve">World Health Organization. (2010). </w:t>
      </w:r>
      <w:r>
        <w:rPr>
          <w:i/>
        </w:rPr>
        <w:t>A conceptual framework for action on the social determinants of health.</w:t>
      </w:r>
      <w:r>
        <w:t xml:space="preserve"> </w:t>
      </w:r>
      <w:hyperlink r:id="rId54">
        <w:r>
          <w:rPr>
            <w:color w:val="0563C1"/>
            <w:u w:val="single"/>
          </w:rPr>
          <w:t>https://www.who.int/publications/i/item/9789241500852</w:t>
        </w:r>
      </w:hyperlink>
    </w:p>
    <w:p w14:paraId="16248E02" w14:textId="77777777" w:rsidR="00581635" w:rsidRDefault="00317EF8">
      <w:pPr>
        <w:pStyle w:val="Normal1"/>
        <w:spacing w:after="80" w:line="252" w:lineRule="auto"/>
        <w:ind w:left="360" w:hanging="360"/>
      </w:pPr>
      <w:r>
        <w:t xml:space="preserve">World Medical Association. (2013). World Medical Association Declaration of Helsinki: Ethical principles for medical research involving human subjects. </w:t>
      </w:r>
      <w:r>
        <w:rPr>
          <w:i/>
        </w:rPr>
        <w:t>JAMA</w:t>
      </w:r>
      <w:r>
        <w:t xml:space="preserve">, </w:t>
      </w:r>
      <w:r>
        <w:rPr>
          <w:i/>
        </w:rPr>
        <w:t>310</w:t>
      </w:r>
      <w:r>
        <w:t xml:space="preserve">(20), 2191–2194. </w:t>
      </w:r>
      <w:hyperlink r:id="rId55">
        <w:r>
          <w:rPr>
            <w:color w:val="0563C1"/>
            <w:u w:val="single"/>
          </w:rPr>
          <w:t>https://doi.org/10.1001/jama.2013.281053</w:t>
        </w:r>
      </w:hyperlink>
    </w:p>
    <w:p w14:paraId="13689874" w14:textId="77777777" w:rsidR="00303123" w:rsidRDefault="009B385F">
      <w:pPr>
        <w:pStyle w:val="Normal1"/>
        <w:spacing w:after="120"/>
        <w:ind w:left="360"/>
      </w:pPr>
      <w:r>
        <w:t xml:space="preserve">Zhang, B., Zhou, F., Liu, Z., Gong, A., &amp; Li, M. (2025). Association of parental oral health literacy, early childhood oral health behaviors, and caries severity with oral health-related quality of life among preschool children. </w:t>
      </w:r>
      <w:r>
        <w:rPr>
          <w:i/>
        </w:rPr>
        <w:t>BMC Oral Health</w:t>
      </w:r>
      <w:r>
        <w:t xml:space="preserve">, </w:t>
      </w:r>
      <w:r>
        <w:rPr>
          <w:i/>
        </w:rPr>
        <w:t>25</w:t>
      </w:r>
      <w:r>
        <w:t xml:space="preserve">, Article 1808. </w:t>
      </w:r>
      <w:hyperlink r:id="rId56">
        <w:r w:rsidR="00303123">
          <w:rPr>
            <w:color w:val="0563C1"/>
            <w:u w:val="single"/>
          </w:rPr>
          <w:t>https://doi.org/10.1186/s12903-025-07159-9</w:t>
        </w:r>
      </w:hyperlink>
    </w:p>
    <w:p w14:paraId="2EAD56AF" w14:textId="77777777" w:rsidR="00581635" w:rsidRDefault="00317EF8">
      <w:pPr>
        <w:pStyle w:val="Heading1"/>
        <w:keepNext/>
        <w:spacing w:before="240" w:after="120"/>
      </w:pPr>
      <w:r>
        <w:t>DEFINITIONS, ACRONYMS, ABBREVIATIONS</w:t>
      </w:r>
    </w:p>
    <w:p w14:paraId="4AE3486C" w14:textId="77777777" w:rsidR="00581635" w:rsidRDefault="00317EF8">
      <w:pPr>
        <w:pStyle w:val="Normal1"/>
        <w:spacing w:after="40" w:line="264" w:lineRule="auto"/>
      </w:pPr>
      <w:r>
        <w:rPr>
          <w:b/>
          <w:bCs/>
        </w:rPr>
        <w:t>AOR</w:t>
      </w:r>
      <w:r>
        <w:t>: Adjusted odds ratio</w:t>
      </w:r>
    </w:p>
    <w:p w14:paraId="0C5E30B4" w14:textId="77777777" w:rsidR="00581635" w:rsidRDefault="00317EF8">
      <w:pPr>
        <w:pStyle w:val="Normal1"/>
        <w:spacing w:after="40" w:line="264" w:lineRule="auto"/>
      </w:pPr>
      <w:r>
        <w:rPr>
          <w:b/>
          <w:bCs/>
        </w:rPr>
        <w:t>CI</w:t>
      </w:r>
      <w:r>
        <w:t>: Confidence interval</w:t>
      </w:r>
    </w:p>
    <w:p w14:paraId="147F1839" w14:textId="77777777" w:rsidR="00581635" w:rsidRDefault="00317EF8">
      <w:pPr>
        <w:pStyle w:val="Normal1"/>
        <w:spacing w:after="40" w:line="264" w:lineRule="auto"/>
      </w:pPr>
      <w:proofErr w:type="spellStart"/>
      <w:r>
        <w:rPr>
          <w:b/>
          <w:bCs/>
        </w:rPr>
        <w:t>dmft</w:t>
      </w:r>
      <w:proofErr w:type="spellEnd"/>
      <w:r>
        <w:t>: Decayed, missing and filled primary teeth</w:t>
      </w:r>
    </w:p>
    <w:p w14:paraId="6AD10A56" w14:textId="77777777" w:rsidR="00581635" w:rsidRDefault="00317EF8">
      <w:pPr>
        <w:pStyle w:val="Normal1"/>
        <w:spacing w:after="40" w:line="264" w:lineRule="auto"/>
      </w:pPr>
      <w:r>
        <w:rPr>
          <w:b/>
          <w:bCs/>
        </w:rPr>
        <w:t>ECC</w:t>
      </w:r>
      <w:r>
        <w:t>: Early childhood caries</w:t>
      </w:r>
    </w:p>
    <w:p w14:paraId="708677F4" w14:textId="77777777" w:rsidR="00581635" w:rsidRDefault="00317EF8">
      <w:pPr>
        <w:pStyle w:val="Normal1"/>
        <w:spacing w:after="40" w:line="264" w:lineRule="auto"/>
      </w:pPr>
      <w:r>
        <w:rPr>
          <w:b/>
          <w:bCs/>
        </w:rPr>
        <w:t>LGA</w:t>
      </w:r>
      <w:r>
        <w:t>: Local Government Area</w:t>
      </w:r>
    </w:p>
    <w:p w14:paraId="71B4CF70" w14:textId="77777777" w:rsidR="00581635" w:rsidRDefault="00317EF8">
      <w:pPr>
        <w:pStyle w:val="Normal1"/>
        <w:spacing w:after="40" w:line="264" w:lineRule="auto"/>
      </w:pPr>
      <w:r>
        <w:rPr>
          <w:b/>
          <w:bCs/>
        </w:rPr>
        <w:t>OR</w:t>
      </w:r>
      <w:r>
        <w:t>: Odds ratio</w:t>
      </w:r>
    </w:p>
    <w:p w14:paraId="4086E902" w14:textId="77777777" w:rsidR="00581635" w:rsidRDefault="00317EF8">
      <w:pPr>
        <w:pStyle w:val="Normal1"/>
        <w:spacing w:after="40" w:line="264" w:lineRule="auto"/>
      </w:pPr>
      <w:r>
        <w:rPr>
          <w:b/>
          <w:bCs/>
        </w:rPr>
        <w:t>SD</w:t>
      </w:r>
      <w:r>
        <w:t>: Standard deviation</w:t>
      </w:r>
    </w:p>
    <w:p w14:paraId="12A5CC2B" w14:textId="77777777" w:rsidR="00581635" w:rsidRDefault="00317EF8">
      <w:pPr>
        <w:pStyle w:val="Normal1"/>
        <w:spacing w:after="40" w:line="264" w:lineRule="auto"/>
      </w:pPr>
      <w:r>
        <w:rPr>
          <w:b/>
          <w:bCs/>
        </w:rPr>
        <w:t>WHO</w:t>
      </w:r>
      <w:r>
        <w:t>: World Health Organization</w:t>
      </w:r>
    </w:p>
    <w:sectPr w:rsidR="00581635" w:rsidSect="008A368D">
      <w:footerReference w:type="default" r:id="rId57"/>
      <w:footerReference w:type="first" r:id="rId58"/>
      <w:pgSz w:w="12240" w:h="15840"/>
      <w:pgMar w:top="1440" w:right="2016" w:bottom="1440" w:left="2016"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965C3" w14:textId="77777777" w:rsidR="00C44173" w:rsidRDefault="00C44173" w:rsidP="00581635">
      <w:r>
        <w:separator/>
      </w:r>
    </w:p>
  </w:endnote>
  <w:endnote w:type="continuationSeparator" w:id="0">
    <w:p w14:paraId="79001E48" w14:textId="77777777" w:rsidR="00C44173" w:rsidRDefault="00C44173" w:rsidP="00581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00C0495-171D-467C-A451-60F8FE4E6D8B}"/>
  </w:font>
  <w:font w:name="Tahoma">
    <w:panose1 w:val="020B0604030504040204"/>
    <w:charset w:val="00"/>
    <w:family w:val="swiss"/>
    <w:pitch w:val="variable"/>
    <w:sig w:usb0="E1002EFF" w:usb1="C000605B" w:usb2="00000029" w:usb3="00000000" w:csb0="000101FF" w:csb1="00000000"/>
    <w:embedRegular r:id="rId2" w:fontKey="{09B3E3B0-1DF2-4209-B3A3-9191FE352474}"/>
  </w:font>
  <w:font w:name="Arial Unicode MS">
    <w:panose1 w:val="020B0604020202020204"/>
    <w:charset w:val="80"/>
    <w:family w:val="swiss"/>
    <w:pitch w:val="variable"/>
    <w:sig w:usb0="F7FFAFFF" w:usb1="E9DFFFFF" w:usb2="0000003F" w:usb3="00000000" w:csb0="003F01FF" w:csb1="00000000"/>
    <w:embedRegular r:id="rId3" w:subsetted="1" w:fontKey="{567EF7E8-715A-475C-932D-159F3C5A426C}"/>
    <w:embedBold r:id="rId4" w:subsetted="1" w:fontKey="{BCC5AE1F-B792-46CB-ABEF-6840086267B2}"/>
  </w:font>
  <w:font w:name="Calibri">
    <w:panose1 w:val="020F0502020204030204"/>
    <w:charset w:val="00"/>
    <w:family w:val="swiss"/>
    <w:pitch w:val="variable"/>
    <w:sig w:usb0="E4002EFF" w:usb1="C200247B" w:usb2="00000009" w:usb3="00000000" w:csb0="000001FF" w:csb1="00000000"/>
    <w:embedRegular r:id="rId5" w:fontKey="{98F62387-37C6-4C95-806E-C16B18801949}"/>
  </w:font>
  <w:font w:name="Cambria">
    <w:panose1 w:val="02040503050406030204"/>
    <w:charset w:val="00"/>
    <w:family w:val="roman"/>
    <w:pitch w:val="variable"/>
    <w:sig w:usb0="E00006FF" w:usb1="420024FF" w:usb2="02000000" w:usb3="00000000" w:csb0="0000019F" w:csb1="00000000"/>
    <w:embedRegular r:id="rId6" w:fontKey="{71004F8C-6435-4060-B80D-29B7EAABB5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E15B" w14:textId="77777777" w:rsidR="00581635" w:rsidRDefault="00581635">
    <w:pPr>
      <w:pStyle w:val="Normal1"/>
      <w:jc w:val="center"/>
    </w:pPr>
    <w:r>
      <w:rPr>
        <w:sz w:val="18"/>
        <w:szCs w:val="18"/>
      </w:rPr>
      <w:fldChar w:fldCharType="begin"/>
    </w:r>
    <w:r w:rsidR="00317EF8">
      <w:rPr>
        <w:sz w:val="18"/>
        <w:szCs w:val="18"/>
      </w:rPr>
      <w:instrText>PAGE</w:instrText>
    </w:r>
    <w:r>
      <w:rPr>
        <w:sz w:val="18"/>
        <w:szCs w:val="18"/>
      </w:rPr>
      <w:fldChar w:fldCharType="separate"/>
    </w:r>
    <w:r w:rsidR="000C5E13">
      <w:rPr>
        <w:noProof/>
        <w:sz w:val="18"/>
        <w:szCs w:val="18"/>
      </w:rPr>
      <w:t>4</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8F81" w14:textId="77777777" w:rsidR="00581635" w:rsidRDefault="00581635">
    <w:pPr>
      <w:pStyle w:val="Normal1"/>
      <w:pBdr>
        <w:top w:val="single" w:sz="6" w:space="4" w:color="000000"/>
      </w:pBdr>
    </w:pPr>
  </w:p>
  <w:p w14:paraId="250421B4" w14:textId="77777777" w:rsidR="00581635" w:rsidRDefault="00317EF8">
    <w:pPr>
      <w:pStyle w:val="Normal1"/>
    </w:pPr>
    <w:r>
      <w:rPr>
        <w:i/>
        <w:iCs/>
        <w:sz w:val="16"/>
        <w:szCs w:val="16"/>
      </w:rPr>
      <w:t xml:space="preserve">*Corresponding author: Email: </w:t>
    </w:r>
    <w:r w:rsidR="00C25903">
      <w:rPr>
        <w:i/>
        <w:iCs/>
        <w:sz w:val="16"/>
        <w:szCs w:val="16"/>
      </w:rPr>
      <w:t>dagogo.esther@rsu.edu.ng</w:t>
    </w:r>
    <w:r>
      <w:rPr>
        <w:i/>
        <w:iCs/>
        <w:sz w:val="16"/>
        <w:szCs w:val="16"/>
      </w:rPr>
      <w:t xml:space="preserve">; Tel.: </w:t>
    </w:r>
    <w:r w:rsidR="00C25903">
      <w:rPr>
        <w:i/>
        <w:iCs/>
        <w:sz w:val="16"/>
        <w:szCs w:val="16"/>
      </w:rPr>
      <w:t>+2348028173264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73B8" w14:textId="77777777" w:rsidR="00C44173" w:rsidRDefault="00C44173" w:rsidP="00581635">
      <w:r>
        <w:separator/>
      </w:r>
    </w:p>
  </w:footnote>
  <w:footnote w:type="continuationSeparator" w:id="0">
    <w:p w14:paraId="52BF7106" w14:textId="77777777" w:rsidR="00C44173" w:rsidRDefault="00C44173" w:rsidP="00581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96F94"/>
    <w:multiLevelType w:val="multilevel"/>
    <w:tmpl w:val="950C6B42"/>
    <w:lvl w:ilvl="0">
      <w:start w:val="1"/>
      <w:numFmt w:val="decimal"/>
      <w:lvlText w:val="%1."/>
      <w:lvlJc w:val="left"/>
      <w:pPr>
        <w:ind w:left="5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8367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rc0MDMwNzA1trAwtjBS0lEKTi0uzszPAykwqgUAgdG8yiwAAAA="/>
  </w:docVars>
  <w:rsids>
    <w:rsidRoot w:val="00581635"/>
    <w:rsid w:val="00027DDD"/>
    <w:rsid w:val="00076387"/>
    <w:rsid w:val="000C5E13"/>
    <w:rsid w:val="00130F17"/>
    <w:rsid w:val="00136DE6"/>
    <w:rsid w:val="001B0C28"/>
    <w:rsid w:val="001D55CC"/>
    <w:rsid w:val="00272764"/>
    <w:rsid w:val="002D3DD9"/>
    <w:rsid w:val="002E46C2"/>
    <w:rsid w:val="00303123"/>
    <w:rsid w:val="00317EF8"/>
    <w:rsid w:val="00351BAB"/>
    <w:rsid w:val="00416EAC"/>
    <w:rsid w:val="00422532"/>
    <w:rsid w:val="0049105E"/>
    <w:rsid w:val="004C34CE"/>
    <w:rsid w:val="004D439F"/>
    <w:rsid w:val="00581635"/>
    <w:rsid w:val="00641729"/>
    <w:rsid w:val="006F166C"/>
    <w:rsid w:val="007D1C36"/>
    <w:rsid w:val="007F0759"/>
    <w:rsid w:val="007F3B4B"/>
    <w:rsid w:val="007F789F"/>
    <w:rsid w:val="008034B6"/>
    <w:rsid w:val="00804BFC"/>
    <w:rsid w:val="00804DE2"/>
    <w:rsid w:val="00896B6C"/>
    <w:rsid w:val="008A368D"/>
    <w:rsid w:val="008A4230"/>
    <w:rsid w:val="00924C6F"/>
    <w:rsid w:val="009B385F"/>
    <w:rsid w:val="009C2456"/>
    <w:rsid w:val="00AC10CE"/>
    <w:rsid w:val="00C136AF"/>
    <w:rsid w:val="00C25903"/>
    <w:rsid w:val="00C44173"/>
    <w:rsid w:val="00CA2526"/>
    <w:rsid w:val="00CC1E95"/>
    <w:rsid w:val="00D21D3F"/>
    <w:rsid w:val="00D25C77"/>
    <w:rsid w:val="00D37B50"/>
    <w:rsid w:val="00DC584F"/>
    <w:rsid w:val="00E00075"/>
    <w:rsid w:val="00E01337"/>
    <w:rsid w:val="00EC5DA0"/>
    <w:rsid w:val="00F86A04"/>
    <w:rsid w:val="00FC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9E5E"/>
  <w15:docId w15:val="{0BD11577-BD22-4B75-A072-789EE0EC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link w:val="Heading1Char"/>
    <w:rsid w:val="00581635"/>
    <w:pPr>
      <w:pBdr>
        <w:top w:val="nil"/>
        <w:left w:val="nil"/>
        <w:bottom w:val="nil"/>
        <w:right w:val="nil"/>
        <w:between w:val="nil"/>
      </w:pBdr>
      <w:outlineLvl w:val="0"/>
    </w:pPr>
    <w:rPr>
      <w:b/>
      <w:bCs/>
      <w:color w:val="000000"/>
      <w:sz w:val="22"/>
      <w:szCs w:val="22"/>
    </w:rPr>
  </w:style>
  <w:style w:type="paragraph" w:styleId="Heading2">
    <w:name w:val="heading 2"/>
    <w:basedOn w:val="Normal1"/>
    <w:next w:val="Normal1"/>
    <w:rsid w:val="00581635"/>
    <w:pPr>
      <w:pBdr>
        <w:top w:val="nil"/>
        <w:left w:val="nil"/>
        <w:bottom w:val="nil"/>
        <w:right w:val="nil"/>
        <w:between w:val="nil"/>
      </w:pBdr>
      <w:outlineLvl w:val="1"/>
    </w:pPr>
    <w:rPr>
      <w:b/>
      <w:bCs/>
      <w:color w:val="000000"/>
      <w:sz w:val="22"/>
      <w:szCs w:val="22"/>
    </w:rPr>
  </w:style>
  <w:style w:type="paragraph" w:styleId="Heading3">
    <w:name w:val="heading 3"/>
    <w:basedOn w:val="Normal1"/>
    <w:next w:val="Normal1"/>
    <w:rsid w:val="00581635"/>
    <w:pPr>
      <w:pBdr>
        <w:top w:val="nil"/>
        <w:left w:val="nil"/>
        <w:bottom w:val="nil"/>
        <w:right w:val="nil"/>
        <w:between w:val="nil"/>
      </w:pBdr>
      <w:outlineLvl w:val="2"/>
    </w:pPr>
    <w:rPr>
      <w:b/>
      <w:bCs/>
      <w:color w:val="000000"/>
    </w:rPr>
  </w:style>
  <w:style w:type="paragraph" w:styleId="Heading4">
    <w:name w:val="heading 4"/>
    <w:basedOn w:val="Normal1"/>
    <w:next w:val="Normal1"/>
    <w:rsid w:val="00581635"/>
    <w:pPr>
      <w:pBdr>
        <w:top w:val="nil"/>
        <w:left w:val="nil"/>
        <w:bottom w:val="nil"/>
        <w:right w:val="nil"/>
        <w:between w:val="nil"/>
      </w:pBdr>
      <w:outlineLvl w:val="3"/>
    </w:pPr>
    <w:rPr>
      <w:i/>
      <w:iCs/>
      <w:color w:val="2E74B5"/>
    </w:rPr>
  </w:style>
  <w:style w:type="paragraph" w:styleId="Heading5">
    <w:name w:val="heading 5"/>
    <w:basedOn w:val="Normal1"/>
    <w:next w:val="Normal1"/>
    <w:rsid w:val="00581635"/>
    <w:pPr>
      <w:pBdr>
        <w:top w:val="nil"/>
        <w:left w:val="nil"/>
        <w:bottom w:val="nil"/>
        <w:right w:val="nil"/>
        <w:between w:val="nil"/>
      </w:pBdr>
      <w:outlineLvl w:val="4"/>
    </w:pPr>
    <w:rPr>
      <w:color w:val="2E74B5"/>
    </w:rPr>
  </w:style>
  <w:style w:type="paragraph" w:styleId="Heading6">
    <w:name w:val="heading 6"/>
    <w:basedOn w:val="Normal1"/>
    <w:next w:val="Normal1"/>
    <w:rsid w:val="00581635"/>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581635"/>
    <w:tblPr>
      <w:tblCellMar>
        <w:top w:w="100" w:type="dxa"/>
        <w:left w:w="100" w:type="dxa"/>
        <w:bottom w:w="100" w:type="dxa"/>
        <w:right w:w="100" w:type="dxa"/>
      </w:tblCellMar>
    </w:tblPr>
  </w:style>
  <w:style w:type="paragraph" w:customStyle="1" w:styleId="Normal1">
    <w:name w:val="Normal1"/>
    <w:rsid w:val="00581635"/>
  </w:style>
  <w:style w:type="paragraph" w:styleId="Title">
    <w:name w:val="Title"/>
    <w:basedOn w:val="Normal1"/>
    <w:next w:val="Normal1"/>
    <w:rsid w:val="00581635"/>
    <w:pPr>
      <w:pBdr>
        <w:top w:val="nil"/>
        <w:left w:val="nil"/>
        <w:bottom w:val="nil"/>
        <w:right w:val="nil"/>
        <w:between w:val="nil"/>
      </w:pBdr>
    </w:pPr>
    <w:rPr>
      <w:color w:val="000000"/>
      <w:sz w:val="56"/>
      <w:szCs w:val="56"/>
    </w:rPr>
  </w:style>
  <w:style w:type="paragraph" w:styleId="Subtitle">
    <w:name w:val="Subtitle"/>
    <w:basedOn w:val="Normal1"/>
    <w:next w:val="Normal1"/>
    <w:rsid w:val="00581635"/>
    <w:pPr>
      <w:keepNext/>
      <w:keepLines/>
      <w:spacing w:before="360" w:after="80"/>
    </w:pPr>
    <w:rPr>
      <w:rFonts w:ascii="Georgia" w:eastAsia="Georgia" w:hAnsi="Georgia" w:cs="Georgia"/>
      <w:i/>
      <w:iCs/>
      <w:color w:val="666666"/>
      <w:sz w:val="48"/>
      <w:szCs w:val="48"/>
    </w:rPr>
  </w:style>
  <w:style w:type="table" w:customStyle="1" w:styleId="a">
    <w:basedOn w:val="TableNormal0"/>
    <w:rsid w:val="00581635"/>
    <w:tblPr>
      <w:tblStyleRowBandSize w:val="1"/>
      <w:tblStyleColBandSize w:val="1"/>
      <w:tblCellMar>
        <w:top w:w="0" w:type="dxa"/>
        <w:left w:w="115" w:type="dxa"/>
        <w:bottom w:w="0" w:type="dxa"/>
        <w:right w:w="115" w:type="dxa"/>
      </w:tblCellMar>
    </w:tblPr>
  </w:style>
  <w:style w:type="table" w:customStyle="1" w:styleId="a0">
    <w:basedOn w:val="TableNormal0"/>
    <w:rsid w:val="00581635"/>
    <w:tblPr>
      <w:tblStyleRowBandSize w:val="1"/>
      <w:tblStyleColBandSize w:val="1"/>
      <w:tblCellMar>
        <w:top w:w="0" w:type="dxa"/>
        <w:left w:w="115" w:type="dxa"/>
        <w:bottom w:w="0" w:type="dxa"/>
        <w:right w:w="115" w:type="dxa"/>
      </w:tblCellMar>
    </w:tblPr>
  </w:style>
  <w:style w:type="table" w:customStyle="1" w:styleId="a1">
    <w:basedOn w:val="TableNormal0"/>
    <w:rsid w:val="00581635"/>
    <w:tblPr>
      <w:tblStyleRowBandSize w:val="1"/>
      <w:tblStyleColBandSize w:val="1"/>
      <w:tblCellMar>
        <w:top w:w="0" w:type="dxa"/>
        <w:left w:w="115" w:type="dxa"/>
        <w:bottom w:w="0" w:type="dxa"/>
        <w:right w:w="115" w:type="dxa"/>
      </w:tblCellMar>
    </w:tblPr>
  </w:style>
  <w:style w:type="table" w:customStyle="1" w:styleId="a2">
    <w:basedOn w:val="TableNormal0"/>
    <w:rsid w:val="00581635"/>
    <w:tblPr>
      <w:tblStyleRowBandSize w:val="1"/>
      <w:tblStyleColBandSize w:val="1"/>
      <w:tblCellMar>
        <w:top w:w="0" w:type="dxa"/>
        <w:left w:w="115" w:type="dxa"/>
        <w:bottom w:w="0" w:type="dxa"/>
        <w:right w:w="115" w:type="dxa"/>
      </w:tblCellMar>
    </w:tblPr>
  </w:style>
  <w:style w:type="table" w:customStyle="1" w:styleId="a3">
    <w:basedOn w:val="TableNormal0"/>
    <w:rsid w:val="00581635"/>
    <w:tblPr>
      <w:tblStyleRowBandSize w:val="1"/>
      <w:tblStyleColBandSize w:val="1"/>
      <w:tblCellMar>
        <w:top w:w="0" w:type="dxa"/>
        <w:left w:w="115" w:type="dxa"/>
        <w:bottom w:w="0" w:type="dxa"/>
        <w:right w:w="115" w:type="dxa"/>
      </w:tblCellMar>
    </w:tblPr>
  </w:style>
  <w:style w:type="table" w:customStyle="1" w:styleId="a4">
    <w:basedOn w:val="TableNormal0"/>
    <w:rsid w:val="00581635"/>
    <w:tblPr>
      <w:tblStyleRowBandSize w:val="1"/>
      <w:tblStyleColBandSize w:val="1"/>
      <w:tblCellMar>
        <w:top w:w="0" w:type="dxa"/>
        <w:left w:w="115" w:type="dxa"/>
        <w:bottom w:w="0" w:type="dxa"/>
        <w:right w:w="115" w:type="dxa"/>
      </w:tblCellMar>
    </w:tblPr>
  </w:style>
  <w:style w:type="table" w:customStyle="1" w:styleId="a5">
    <w:basedOn w:val="TableNormal0"/>
    <w:rsid w:val="00581635"/>
    <w:tblPr>
      <w:tblStyleRowBandSize w:val="1"/>
      <w:tblStyleColBandSize w:val="1"/>
      <w:tblCellMar>
        <w:top w:w="0" w:type="dxa"/>
        <w:left w:w="115" w:type="dxa"/>
        <w:bottom w:w="0" w:type="dxa"/>
        <w:right w:w="115" w:type="dxa"/>
      </w:tblCellMar>
    </w:tblPr>
  </w:style>
  <w:style w:type="table" w:customStyle="1" w:styleId="a6">
    <w:basedOn w:val="TableNormal0"/>
    <w:rsid w:val="00581635"/>
    <w:tblPr>
      <w:tblStyleRowBandSize w:val="1"/>
      <w:tblStyleColBandSize w:val="1"/>
      <w:tblCellMar>
        <w:top w:w="0" w:type="dxa"/>
        <w:left w:w="115" w:type="dxa"/>
        <w:bottom w:w="0" w:type="dxa"/>
        <w:right w:w="115" w:type="dxa"/>
      </w:tblCellMar>
    </w:tblPr>
  </w:style>
  <w:style w:type="character" w:styleId="LineNumber">
    <w:name w:val="line number"/>
    <w:basedOn w:val="DefaultParagraphFont"/>
    <w:uiPriority w:val="99"/>
    <w:semiHidden/>
    <w:unhideWhenUsed/>
    <w:rsid w:val="00D25C77"/>
  </w:style>
  <w:style w:type="paragraph" w:styleId="BalloonText">
    <w:name w:val="Balloon Text"/>
    <w:basedOn w:val="Normal"/>
    <w:link w:val="BalloonTextChar"/>
    <w:uiPriority w:val="99"/>
    <w:semiHidden/>
    <w:unhideWhenUsed/>
    <w:rsid w:val="00D21D3F"/>
    <w:rPr>
      <w:rFonts w:ascii="Tahoma" w:hAnsi="Tahoma" w:cs="Tahoma"/>
      <w:sz w:val="16"/>
      <w:szCs w:val="16"/>
    </w:rPr>
  </w:style>
  <w:style w:type="character" w:customStyle="1" w:styleId="BalloonTextChar">
    <w:name w:val="Balloon Text Char"/>
    <w:basedOn w:val="DefaultParagraphFont"/>
    <w:link w:val="BalloonText"/>
    <w:uiPriority w:val="99"/>
    <w:semiHidden/>
    <w:rsid w:val="00D21D3F"/>
    <w:rPr>
      <w:rFonts w:ascii="Tahoma" w:hAnsi="Tahoma" w:cs="Tahoma"/>
      <w:sz w:val="16"/>
      <w:szCs w:val="16"/>
    </w:rPr>
  </w:style>
  <w:style w:type="paragraph" w:styleId="NormalWeb">
    <w:name w:val="Normal (Web)"/>
    <w:basedOn w:val="Normal"/>
    <w:uiPriority w:val="99"/>
    <w:semiHidden/>
    <w:unhideWhenUsed/>
    <w:rsid w:val="00D21D3F"/>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C25903"/>
    <w:pPr>
      <w:tabs>
        <w:tab w:val="center" w:pos="4680"/>
        <w:tab w:val="right" w:pos="9360"/>
      </w:tabs>
    </w:pPr>
  </w:style>
  <w:style w:type="character" w:customStyle="1" w:styleId="HeaderChar">
    <w:name w:val="Header Char"/>
    <w:basedOn w:val="DefaultParagraphFont"/>
    <w:link w:val="Header"/>
    <w:uiPriority w:val="99"/>
    <w:semiHidden/>
    <w:rsid w:val="00C25903"/>
  </w:style>
  <w:style w:type="paragraph" w:styleId="Footer">
    <w:name w:val="footer"/>
    <w:basedOn w:val="Normal"/>
    <w:link w:val="FooterChar"/>
    <w:uiPriority w:val="99"/>
    <w:semiHidden/>
    <w:unhideWhenUsed/>
    <w:rsid w:val="00C25903"/>
    <w:pPr>
      <w:tabs>
        <w:tab w:val="center" w:pos="4680"/>
        <w:tab w:val="right" w:pos="9360"/>
      </w:tabs>
    </w:pPr>
  </w:style>
  <w:style w:type="character" w:customStyle="1" w:styleId="FooterChar">
    <w:name w:val="Footer Char"/>
    <w:basedOn w:val="DefaultParagraphFont"/>
    <w:link w:val="Footer"/>
    <w:uiPriority w:val="99"/>
    <w:semiHidden/>
    <w:rsid w:val="00C25903"/>
  </w:style>
  <w:style w:type="character" w:styleId="Hyperlink">
    <w:name w:val="Hyperlink"/>
    <w:basedOn w:val="DefaultParagraphFont"/>
    <w:uiPriority w:val="99"/>
    <w:unhideWhenUsed/>
    <w:rsid w:val="00E01337"/>
    <w:rPr>
      <w:color w:val="0000FF" w:themeColor="hyperlink"/>
      <w:u w:val="single"/>
    </w:rPr>
  </w:style>
  <w:style w:type="character" w:customStyle="1" w:styleId="math-inline">
    <w:name w:val="math-inline"/>
    <w:basedOn w:val="DefaultParagraphFont"/>
    <w:rsid w:val="004C34CE"/>
  </w:style>
  <w:style w:type="character" w:customStyle="1" w:styleId="Heading1Char">
    <w:name w:val="Heading 1 Char"/>
    <w:basedOn w:val="DefaultParagraphFont"/>
    <w:link w:val="Heading1"/>
    <w:rsid w:val="00422532"/>
    <w:rPr>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86037">
      <w:bodyDiv w:val="1"/>
      <w:marLeft w:val="0"/>
      <w:marRight w:val="0"/>
      <w:marTop w:val="0"/>
      <w:marBottom w:val="0"/>
      <w:divBdr>
        <w:top w:val="none" w:sz="0" w:space="0" w:color="auto"/>
        <w:left w:val="none" w:sz="0" w:space="0" w:color="auto"/>
        <w:bottom w:val="none" w:sz="0" w:space="0" w:color="auto"/>
        <w:right w:val="none" w:sz="0" w:space="0" w:color="auto"/>
      </w:divBdr>
    </w:div>
    <w:div w:id="947662532">
      <w:bodyDiv w:val="1"/>
      <w:marLeft w:val="0"/>
      <w:marRight w:val="0"/>
      <w:marTop w:val="0"/>
      <w:marBottom w:val="0"/>
      <w:divBdr>
        <w:top w:val="none" w:sz="0" w:space="0" w:color="auto"/>
        <w:left w:val="none" w:sz="0" w:space="0" w:color="auto"/>
        <w:bottom w:val="none" w:sz="0" w:space="0" w:color="auto"/>
        <w:right w:val="none" w:sz="0" w:space="0" w:color="auto"/>
      </w:divBdr>
    </w:div>
    <w:div w:id="1506818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371/journal.pone.0348946" TargetMode="External"/><Relationship Id="rId18" Type="http://schemas.openxmlformats.org/officeDocument/2006/relationships/hyperlink" Target="https://pmc.ncbi.nlm.nih.gov/articles/PMC4866794/" TargetMode="External"/><Relationship Id="rId26" Type="http://schemas.openxmlformats.org/officeDocument/2006/relationships/hyperlink" Target="https://doi.org/10.3390/dj13110484" TargetMode="External"/><Relationship Id="rId39" Type="http://schemas.openxmlformats.org/officeDocument/2006/relationships/hyperlink" Target="https://books.google.com.ng/books?id=Y_FPAQAAIAAJ" TargetMode="External"/><Relationship Id="rId21" Type="http://schemas.openxmlformats.org/officeDocument/2006/relationships/hyperlink" Target="https://doi.org/10.3389/froh.2026.1901145" TargetMode="External"/><Relationship Id="rId34" Type="http://schemas.openxmlformats.org/officeDocument/2006/relationships/hyperlink" Target="https://doi.org/10.1111/cdoe.70078" TargetMode="External"/><Relationship Id="rId42" Type="http://schemas.openxmlformats.org/officeDocument/2006/relationships/hyperlink" Target="https://doi.org/10.1186/s12903-026-07724-w" TargetMode="External"/><Relationship Id="rId47" Type="http://schemas.openxmlformats.org/officeDocument/2006/relationships/hyperlink" Target="https://doi.org/10.4103/0019-5154.182410" TargetMode="External"/><Relationship Id="rId50" Type="http://schemas.openxmlformats.org/officeDocument/2006/relationships/hyperlink" Target="https://doi.org/10.1111/ipd.12484" TargetMode="External"/><Relationship Id="rId55" Type="http://schemas.openxmlformats.org/officeDocument/2006/relationships/hyperlink" Target="https://doi.org/10.1001/jama.2013.28105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12903-024-04535-9" TargetMode="External"/><Relationship Id="rId29" Type="http://schemas.openxmlformats.org/officeDocument/2006/relationships/hyperlink" Target="https://doi.org/10.1002/14651858.CD012155.pub3" TargetMode="External"/><Relationship Id="rId11" Type="http://schemas.openxmlformats.org/officeDocument/2006/relationships/hyperlink" Target="https://doi.org/10.1186/s12903-024-05309-z" TargetMode="External"/><Relationship Id="rId24" Type="http://schemas.openxmlformats.org/officeDocument/2006/relationships/hyperlink" Target="https://doi.org/10.1186/s12903-024-04291-w" TargetMode="External"/><Relationship Id="rId32" Type="http://schemas.openxmlformats.org/officeDocument/2006/relationships/hyperlink" Target="https://doi.org/10.1111/ipd.13140" TargetMode="External"/><Relationship Id="rId37" Type="http://schemas.openxmlformats.org/officeDocument/2006/relationships/hyperlink" Target="https://doi.org/10.3390/dj10120218" TargetMode="External"/><Relationship Id="rId40" Type="http://schemas.openxmlformats.org/officeDocument/2006/relationships/hyperlink" Target="https://doi.org/10.1371/journal.pone.0247240" TargetMode="External"/><Relationship Id="rId45" Type="http://schemas.openxmlformats.org/officeDocument/2006/relationships/hyperlink" Target="https://doi.org/10.3126/nmmj.v6i1.81113" TargetMode="External"/><Relationship Id="rId53" Type="http://schemas.openxmlformats.org/officeDocument/2006/relationships/hyperlink" Target="https://www.who.int/publications-detail-redirect/9789241548649" TargetMode="External"/><Relationship Id="rId58"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doi.org/10.1186/s12903-024-04790-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61172/ndj.v31i2.230" TargetMode="External"/><Relationship Id="rId22" Type="http://schemas.openxmlformats.org/officeDocument/2006/relationships/hyperlink" Target="https://doi.org/10.3389/froh.2025.1608125" TargetMode="External"/><Relationship Id="rId27" Type="http://schemas.openxmlformats.org/officeDocument/2006/relationships/hyperlink" Target="https://www.google.com/maps/" TargetMode="External"/><Relationship Id="rId30" Type="http://schemas.openxmlformats.org/officeDocument/2006/relationships/hyperlink" Target="https://doi.org/10.3389/fpubh.2021.751733" TargetMode="External"/><Relationship Id="rId35" Type="http://schemas.openxmlformats.org/officeDocument/2006/relationships/hyperlink" Target="https://doi.org/10.1186/s12903-024-04605-y" TargetMode="External"/><Relationship Id="rId43" Type="http://schemas.openxmlformats.org/officeDocument/2006/relationships/hyperlink" Target="https://doi.org/10.1186/s12982-024-00324-5" TargetMode="External"/><Relationship Id="rId48" Type="http://schemas.openxmlformats.org/officeDocument/2006/relationships/hyperlink" Target="https://doi.org/10.56557/jocrims/2025/v11i19701" TargetMode="External"/><Relationship Id="rId56" Type="http://schemas.openxmlformats.org/officeDocument/2006/relationships/hyperlink" Target="https://doi.org/10.1186/s12903-025-07159-9" TargetMode="External"/><Relationship Id="rId8" Type="http://schemas.openxmlformats.org/officeDocument/2006/relationships/image" Target="media/image1.png"/><Relationship Id="rId51" Type="http://schemas.openxmlformats.org/officeDocument/2006/relationships/hyperlink" Target="https://doi.org/10.1111/ipd.12783" TargetMode="External"/><Relationship Id="rId3" Type="http://schemas.openxmlformats.org/officeDocument/2006/relationships/styles" Target="styles.xml"/><Relationship Id="rId12" Type="http://schemas.openxmlformats.org/officeDocument/2006/relationships/hyperlink" Target="https://doi.org/10.1186/s12903-020-01324-y" TargetMode="External"/><Relationship Id="rId17" Type="http://schemas.openxmlformats.org/officeDocument/2006/relationships/hyperlink" Target="https://doi.org/10.3390/biomed3030033" TargetMode="External"/><Relationship Id="rId25" Type="http://schemas.openxmlformats.org/officeDocument/2006/relationships/hyperlink" Target="https://doi.org/10.1186/s12903-021-01780-0" TargetMode="External"/><Relationship Id="rId33" Type="http://schemas.openxmlformats.org/officeDocument/2006/relationships/hyperlink" Target="https://doi.org/10.1111/ipd.70038" TargetMode="External"/><Relationship Id="rId38" Type="http://schemas.openxmlformats.org/officeDocument/2006/relationships/hyperlink" Target="https://nhrec.gov.ng/" TargetMode="External"/><Relationship Id="rId46" Type="http://schemas.openxmlformats.org/officeDocument/2006/relationships/hyperlink" Target="https://doi.org/10.1038/nrdp.2017.30" TargetMode="External"/><Relationship Id="rId59" Type="http://schemas.openxmlformats.org/officeDocument/2006/relationships/fontTable" Target="fontTable.xml"/><Relationship Id="rId20" Type="http://schemas.openxmlformats.org/officeDocument/2006/relationships/hyperlink" Target="https://doi.org/10.1111/idj.12223" TargetMode="External"/><Relationship Id="rId41" Type="http://schemas.openxmlformats.org/officeDocument/2006/relationships/hyperlink" Target="https://doi.org/10.1177/0265539X251400913" TargetMode="External"/><Relationship Id="rId54" Type="http://schemas.openxmlformats.org/officeDocument/2006/relationships/hyperlink" Target="https://www.who.int/publications/i/item/978924150085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wiley.com/en-us/Sampling+Techniques%2C+3rd+Edition-p-9780471162407" TargetMode="External"/><Relationship Id="rId23" Type="http://schemas.openxmlformats.org/officeDocument/2006/relationships/hyperlink" Target="https://doi.org/10.1186/s12903-020-01288-z" TargetMode="External"/><Relationship Id="rId28" Type="http://schemas.openxmlformats.org/officeDocument/2006/relationships/hyperlink" Target="https://doi.org/10.1177/1090198111418634" TargetMode="External"/><Relationship Id="rId36" Type="http://schemas.openxmlformats.org/officeDocument/2006/relationships/hyperlink" Target="https://doi.org/10.1038/s41598-026-42344-y" TargetMode="External"/><Relationship Id="rId49" Type="http://schemas.openxmlformats.org/officeDocument/2006/relationships/hyperlink" Target="https://doi.org/10.15171/hpp.2016.26" TargetMode="External"/><Relationship Id="rId57" Type="http://schemas.openxmlformats.org/officeDocument/2006/relationships/footer" Target="footer1.xml"/><Relationship Id="rId10" Type="http://schemas.openxmlformats.org/officeDocument/2006/relationships/hyperlink" Target="https://doi.org/10.4103/npmj.npmj_7_17" TargetMode="External"/><Relationship Id="rId31" Type="http://schemas.openxmlformats.org/officeDocument/2006/relationships/hyperlink" Target="https://doi.org/10.9734/ajds/2026/v9i1330" TargetMode="External"/><Relationship Id="rId44" Type="http://schemas.openxmlformats.org/officeDocument/2006/relationships/hyperlink" Target="https://doi.org/10.1186/s12903-026-08092-1" TargetMode="External"/><Relationship Id="rId52" Type="http://schemas.openxmlformats.org/officeDocument/2006/relationships/hyperlink" Target="https://pubmed.ncbi.nlm.nih.gov/26892215/"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88918-207D-4E50-B455-0DFB0C1E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9920</Words>
  <Characters>56547</Characters>
  <Application>Microsoft Office Word</Application>
  <DocSecurity>0</DocSecurity>
  <Lines>471</Lines>
  <Paragraphs>132</Paragraphs>
  <ScaleCrop>false</ScaleCrop>
  <Company/>
  <LinksUpToDate>false</LinksUpToDate>
  <CharactersWithSpaces>66335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1158</cp:lastModifiedBy>
  <cp:revision>27</cp:revision>
  <cp:lastPrinted>2026-10-29T20:04:00Z</cp:lastPrinted>
  <dcterms:created xsi:type="dcterms:W3CDTF">2026-10-29T20:06:00Z</dcterms:created>
  <dcterms:modified xsi:type="dcterms:W3CDTF">2026-10-31T13:06:00Z</dcterms:modified>
</cp:coreProperties>
</file>