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EF629" w14:textId="77777777" w:rsidR="0011403A" w:rsidRPr="00177FB9" w:rsidRDefault="0011403A" w:rsidP="00177FB9">
      <w:pPr>
        <w:jc w:val="center"/>
        <w:rPr>
          <w:rFonts w:ascii="Arial" w:hAnsi="Arial" w:cs="Arial"/>
          <w:b/>
          <w:sz w:val="24"/>
          <w:szCs w:val="24"/>
        </w:rPr>
      </w:pPr>
      <w:r w:rsidRPr="0011403A">
        <w:rPr>
          <w:rFonts w:ascii="Arial" w:hAnsi="Arial" w:cs="Arial"/>
          <w:b/>
          <w:sz w:val="24"/>
          <w:szCs w:val="24"/>
        </w:rPr>
        <w:t xml:space="preserve">Effects of Uprooting and Impala Herbicide Control of </w:t>
      </w:r>
      <w:r w:rsidR="0064294D">
        <w:rPr>
          <w:rFonts w:ascii="Arial" w:hAnsi="Arial" w:cs="Arial"/>
          <w:b/>
          <w:sz w:val="24"/>
          <w:szCs w:val="24"/>
        </w:rPr>
        <w:t xml:space="preserve">Black Wattle </w:t>
      </w:r>
      <w:r w:rsidRPr="0011403A">
        <w:rPr>
          <w:rFonts w:ascii="Arial" w:hAnsi="Arial" w:cs="Arial"/>
          <w:b/>
          <w:sz w:val="24"/>
          <w:szCs w:val="24"/>
        </w:rPr>
        <w:t>on Soil Physicochemical Properties in Nyika</w:t>
      </w:r>
      <w:r w:rsidR="00F04E90">
        <w:rPr>
          <w:rFonts w:ascii="Arial" w:hAnsi="Arial" w:cs="Arial"/>
          <w:b/>
          <w:sz w:val="24"/>
          <w:szCs w:val="24"/>
        </w:rPr>
        <w:t xml:space="preserve"> National-Park</w:t>
      </w:r>
    </w:p>
    <w:p w14:paraId="7BB6358B" w14:textId="77777777" w:rsidR="00177FB9" w:rsidRPr="00177FB9" w:rsidRDefault="00177FB9" w:rsidP="00177FB9">
      <w:pPr>
        <w:jc w:val="center"/>
        <w:rPr>
          <w:rFonts w:ascii="Arial" w:hAnsi="Arial" w:cs="Arial"/>
          <w:b/>
          <w:sz w:val="24"/>
          <w:szCs w:val="24"/>
        </w:rPr>
      </w:pPr>
    </w:p>
    <w:p w14:paraId="18310D9C" w14:textId="77777777" w:rsidR="00AC6FA3" w:rsidRDefault="00AC6FA3" w:rsidP="00177FB9">
      <w:pPr>
        <w:jc w:val="both"/>
        <w:rPr>
          <w:rFonts w:ascii="Arial" w:hAnsi="Arial" w:cs="Arial"/>
          <w:sz w:val="24"/>
          <w:szCs w:val="24"/>
        </w:rPr>
      </w:pPr>
    </w:p>
    <w:p w14:paraId="2CE3D3BE" w14:textId="77777777" w:rsidR="00AC6FA3" w:rsidRPr="00AC6FA3" w:rsidRDefault="00AC6FA3" w:rsidP="00177FB9">
      <w:pPr>
        <w:jc w:val="both"/>
        <w:rPr>
          <w:rFonts w:ascii="Arial" w:hAnsi="Arial" w:cs="Arial"/>
          <w:b/>
          <w:sz w:val="24"/>
          <w:szCs w:val="24"/>
        </w:rPr>
      </w:pPr>
      <w:r w:rsidRPr="00AC6FA3">
        <w:rPr>
          <w:rFonts w:ascii="Arial" w:hAnsi="Arial" w:cs="Arial"/>
          <w:b/>
          <w:sz w:val="24"/>
          <w:szCs w:val="24"/>
        </w:rPr>
        <w:t>Abstract</w:t>
      </w:r>
    </w:p>
    <w:p w14:paraId="3B3EF119" w14:textId="77777777" w:rsidR="00177FB9" w:rsidRPr="00AA04C5" w:rsidRDefault="00AC6FA3" w:rsidP="00AA04C5">
      <w:pPr>
        <w:spacing w:line="360" w:lineRule="auto"/>
        <w:jc w:val="both"/>
        <w:rPr>
          <w:rFonts w:ascii="Arial" w:hAnsi="Arial" w:cs="Arial"/>
          <w:sz w:val="24"/>
          <w:szCs w:val="24"/>
        </w:rPr>
      </w:pPr>
      <w:r w:rsidRPr="00AA04C5">
        <w:rPr>
          <w:rFonts w:ascii="Arial" w:hAnsi="Arial" w:cs="Arial"/>
          <w:sz w:val="24"/>
          <w:szCs w:val="24"/>
        </w:rPr>
        <w:t>Black wattle (</w:t>
      </w:r>
      <w:r w:rsidRPr="00AA04C5">
        <w:rPr>
          <w:rFonts w:ascii="Arial" w:hAnsi="Arial" w:cs="Arial"/>
          <w:i/>
          <w:iCs/>
          <w:sz w:val="24"/>
          <w:szCs w:val="24"/>
        </w:rPr>
        <w:t xml:space="preserve">Acacia </w:t>
      </w:r>
      <w:proofErr w:type="spellStart"/>
      <w:r w:rsidRPr="00AA04C5">
        <w:rPr>
          <w:rFonts w:ascii="Arial" w:hAnsi="Arial" w:cs="Arial"/>
          <w:i/>
          <w:iCs/>
          <w:sz w:val="24"/>
          <w:szCs w:val="24"/>
        </w:rPr>
        <w:t>mearnsii</w:t>
      </w:r>
      <w:proofErr w:type="spellEnd"/>
      <w:r w:rsidRPr="00AA04C5">
        <w:rPr>
          <w:rFonts w:ascii="Arial" w:hAnsi="Arial" w:cs="Arial"/>
          <w:sz w:val="24"/>
          <w:szCs w:val="24"/>
        </w:rPr>
        <w:t xml:space="preserve">) threatens montane grasslands and soil functioning in Nyika National Park, Malawi, but comparative evidence on the soil effects of alternative control methods is limited. </w:t>
      </w:r>
      <w:r>
        <w:rPr>
          <w:rFonts w:ascii="Arial" w:hAnsi="Arial" w:cs="Arial"/>
          <w:sz w:val="24"/>
          <w:szCs w:val="24"/>
          <w:highlight w:val="yellow"/>
        </w:rPr>
        <w:t>This four-year study</w:t>
      </w:r>
      <w:r>
        <w:rPr>
          <w:rFonts w:ascii="Arial" w:hAnsi="Arial" w:cs="Arial"/>
          <w:sz w:val="24"/>
          <w:szCs w:val="24"/>
        </w:rPr>
        <w:t xml:space="preserve"> evaluated the effects of mechanical uprooting and cutting followed by Impala herbicide application on selected soil physicochemical properties, using untreated invaded plots as controls in </w:t>
      </w:r>
      <w:r>
        <w:rPr>
          <w:rFonts w:ascii="Arial" w:hAnsi="Arial" w:cs="Arial"/>
          <w:sz w:val="24"/>
          <w:szCs w:val="24"/>
          <w:highlight w:val="yellow"/>
        </w:rPr>
        <w:t>a randomised complete block design</w:t>
      </w:r>
      <w:r>
        <w:rPr>
          <w:rFonts w:ascii="Arial" w:hAnsi="Arial" w:cs="Arial"/>
          <w:sz w:val="24"/>
          <w:szCs w:val="24"/>
        </w:rPr>
        <w:t xml:space="preserve">. Soil samples </w:t>
      </w:r>
      <w:r>
        <w:rPr>
          <w:rFonts w:ascii="Arial" w:hAnsi="Arial" w:cs="Arial"/>
          <w:sz w:val="24"/>
          <w:szCs w:val="24"/>
          <w:highlight w:val="yellow"/>
        </w:rPr>
        <w:t>were collected at a depth of 0–15 cm</w:t>
      </w:r>
      <w:r>
        <w:rPr>
          <w:rFonts w:ascii="Arial" w:hAnsi="Arial" w:cs="Arial"/>
          <w:sz w:val="24"/>
          <w:szCs w:val="24"/>
        </w:rPr>
        <w:t xml:space="preserve"> before and</w:t>
      </w:r>
      <w:r w:rsidR="00C56BB9" w:rsidRPr="00AA04C5">
        <w:rPr>
          <w:rFonts w:ascii="Arial" w:hAnsi="Arial" w:cs="Arial"/>
          <w:sz w:val="24"/>
          <w:szCs w:val="24"/>
        </w:rPr>
        <w:t xml:space="preserve"> after treatment and </w:t>
      </w:r>
      <w:r>
        <w:rPr>
          <w:rFonts w:ascii="Arial" w:hAnsi="Arial" w:cs="Arial"/>
          <w:sz w:val="24"/>
          <w:szCs w:val="24"/>
          <w:highlight w:val="yellow"/>
        </w:rPr>
        <w:t>analysed for</w:t>
      </w:r>
      <w:r w:rsidRPr="00AA04C5">
        <w:rPr>
          <w:rFonts w:ascii="Arial" w:hAnsi="Arial" w:cs="Arial"/>
          <w:sz w:val="24"/>
          <w:szCs w:val="24"/>
        </w:rPr>
        <w:t xml:space="preserve"> pH, soil organic carbon (SOC) stocks, total nitrogen (TN), available phosphorus (P), exchangeable sodium percentage (ESP), exchangeable calcium (Ca), exchangeable magnesium (Mg), and electrical conductivity (EC). </w:t>
      </w:r>
      <w:r w:rsidR="00A25420" w:rsidRPr="00AA04C5">
        <w:rPr>
          <w:rFonts w:ascii="Arial" w:hAnsi="Arial" w:cs="Arial"/>
          <w:sz w:val="24"/>
          <w:szCs w:val="24"/>
        </w:rPr>
        <w:t xml:space="preserve">One-way analysis of variance (ANOVA) was then performed in Minitab (version 21) to test for significant differences among treatments (α=0.05). </w:t>
      </w:r>
      <w:r w:rsidRPr="00AA04C5">
        <w:rPr>
          <w:rFonts w:ascii="Arial" w:hAnsi="Arial" w:cs="Arial"/>
          <w:sz w:val="24"/>
          <w:szCs w:val="24"/>
        </w:rPr>
        <w:t>Uprooting increased pH</w:t>
      </w:r>
      <w:r w:rsidR="00E81738" w:rsidRPr="00AA04C5">
        <w:rPr>
          <w:rFonts w:ascii="Arial" w:hAnsi="Arial" w:cs="Arial"/>
          <w:sz w:val="24"/>
          <w:szCs w:val="24"/>
        </w:rPr>
        <w:t xml:space="preserve"> by 7.3% (</w:t>
      </w:r>
      <w:r w:rsidRPr="00AA04C5">
        <w:rPr>
          <w:rFonts w:ascii="Arial" w:hAnsi="Arial" w:cs="Arial"/>
          <w:sz w:val="24"/>
          <w:szCs w:val="24"/>
        </w:rPr>
        <w:t>4.1 to 4.4</w:t>
      </w:r>
      <w:r w:rsidR="00E81738" w:rsidRPr="00AA04C5">
        <w:rPr>
          <w:rFonts w:ascii="Arial" w:hAnsi="Arial" w:cs="Arial"/>
          <w:sz w:val="24"/>
          <w:szCs w:val="24"/>
        </w:rPr>
        <w:t>)</w:t>
      </w:r>
      <w:r w:rsidRPr="00AA04C5">
        <w:rPr>
          <w:rFonts w:ascii="Arial" w:hAnsi="Arial" w:cs="Arial"/>
          <w:sz w:val="24"/>
          <w:szCs w:val="24"/>
        </w:rPr>
        <w:t xml:space="preserve"> and SOC stocks from 68.88 to 74.95 Mg C ha</w:t>
      </w:r>
      <w:r w:rsidRPr="00AA04C5">
        <w:rPr>
          <w:rFonts w:ascii="Cambria Math" w:hAnsi="Cambria Math" w:cs="Cambria Math"/>
          <w:sz w:val="24"/>
          <w:szCs w:val="24"/>
        </w:rPr>
        <w:t>⁻</w:t>
      </w:r>
      <w:r w:rsidRPr="00AA04C5">
        <w:rPr>
          <w:rFonts w:ascii="Arial" w:hAnsi="Arial" w:cs="Arial"/>
          <w:sz w:val="24"/>
          <w:szCs w:val="24"/>
        </w:rPr>
        <w:t xml:space="preserve">¹, whereas cutting/Impala increased SOC </w:t>
      </w:r>
      <w:r w:rsidR="001C6C28" w:rsidRPr="00AA04C5">
        <w:rPr>
          <w:rFonts w:ascii="Arial" w:hAnsi="Arial" w:cs="Arial"/>
          <w:sz w:val="24"/>
          <w:szCs w:val="24"/>
        </w:rPr>
        <w:t xml:space="preserve">by </w:t>
      </w:r>
      <w:r w:rsidR="001C6C28" w:rsidRPr="00AA04C5">
        <w:rPr>
          <w:rFonts w:ascii="Arial" w:eastAsia="Times New Roman" w:hAnsi="Arial" w:cs="Arial"/>
          <w:color w:val="000000"/>
          <w:sz w:val="24"/>
          <w:szCs w:val="24"/>
        </w:rPr>
        <w:t xml:space="preserve">43.8% </w:t>
      </w:r>
      <w:r w:rsidR="001C6C28" w:rsidRPr="00AA04C5">
        <w:rPr>
          <w:rFonts w:ascii="Arial" w:hAnsi="Arial" w:cs="Arial"/>
          <w:sz w:val="24"/>
          <w:szCs w:val="24"/>
        </w:rPr>
        <w:t>(</w:t>
      </w:r>
      <w:r w:rsidRPr="00AA04C5">
        <w:rPr>
          <w:rFonts w:ascii="Arial" w:hAnsi="Arial" w:cs="Arial"/>
          <w:sz w:val="24"/>
          <w:szCs w:val="24"/>
        </w:rPr>
        <w:t>64.82 to 93.18 Mg C ha</w:t>
      </w:r>
      <w:r w:rsidRPr="00AA04C5">
        <w:rPr>
          <w:rFonts w:ascii="Cambria Math" w:hAnsi="Cambria Math" w:cs="Cambria Math"/>
          <w:sz w:val="24"/>
          <w:szCs w:val="24"/>
        </w:rPr>
        <w:t>⁻</w:t>
      </w:r>
      <w:r w:rsidRPr="00AA04C5">
        <w:rPr>
          <w:rFonts w:ascii="Arial" w:hAnsi="Arial" w:cs="Arial"/>
          <w:sz w:val="24"/>
          <w:szCs w:val="24"/>
        </w:rPr>
        <w:t>¹</w:t>
      </w:r>
      <w:r w:rsidR="001C6C28" w:rsidRPr="00AA04C5">
        <w:rPr>
          <w:rFonts w:ascii="Arial" w:hAnsi="Arial" w:cs="Arial"/>
          <w:sz w:val="24"/>
          <w:szCs w:val="24"/>
        </w:rPr>
        <w:t>)</w:t>
      </w:r>
      <w:r w:rsidRPr="00AA04C5">
        <w:rPr>
          <w:rFonts w:ascii="Arial" w:hAnsi="Arial" w:cs="Arial"/>
          <w:sz w:val="24"/>
          <w:szCs w:val="24"/>
        </w:rPr>
        <w:t>. TN declined from 2.52% to 0.61% after uprooting and from 2.51% to 0.62% after cutting/Impala. Available P increased most under cutting/Impala, from 4.3 to 45.3 mg kg</w:t>
      </w:r>
      <w:r w:rsidRPr="00AA04C5">
        <w:rPr>
          <w:rFonts w:ascii="Cambria Math" w:hAnsi="Cambria Math" w:cs="Cambria Math"/>
          <w:sz w:val="24"/>
          <w:szCs w:val="24"/>
        </w:rPr>
        <w:t>⁻</w:t>
      </w:r>
      <w:r w:rsidRPr="00AA04C5">
        <w:rPr>
          <w:rFonts w:ascii="Arial" w:hAnsi="Arial" w:cs="Arial"/>
          <w:sz w:val="24"/>
          <w:szCs w:val="24"/>
        </w:rPr>
        <w:t xml:space="preserve">¹, while EC declined </w:t>
      </w:r>
      <w:r w:rsidR="00A25420" w:rsidRPr="00AA04C5">
        <w:rPr>
          <w:rFonts w:ascii="Arial" w:hAnsi="Arial" w:cs="Arial"/>
          <w:sz w:val="24"/>
          <w:szCs w:val="24"/>
        </w:rPr>
        <w:t>by 59.4% (</w:t>
      </w:r>
      <w:r w:rsidRPr="00AA04C5">
        <w:rPr>
          <w:rFonts w:ascii="Arial" w:hAnsi="Arial" w:cs="Arial"/>
          <w:sz w:val="24"/>
          <w:szCs w:val="24"/>
        </w:rPr>
        <w:t xml:space="preserve">1.92 to 0.78 </w:t>
      </w:r>
      <w:proofErr w:type="spellStart"/>
      <w:r w:rsidRPr="00AA04C5">
        <w:rPr>
          <w:rFonts w:ascii="Arial" w:hAnsi="Arial" w:cs="Arial"/>
          <w:sz w:val="24"/>
          <w:szCs w:val="24"/>
        </w:rPr>
        <w:t>mmho</w:t>
      </w:r>
      <w:proofErr w:type="spellEnd"/>
      <w:r w:rsidRPr="00AA04C5">
        <w:rPr>
          <w:rFonts w:ascii="Arial" w:hAnsi="Arial" w:cs="Arial"/>
          <w:sz w:val="24"/>
          <w:szCs w:val="24"/>
        </w:rPr>
        <w:t xml:space="preserve"> cm</w:t>
      </w:r>
      <w:r w:rsidRPr="00AA04C5">
        <w:rPr>
          <w:rFonts w:ascii="Cambria Math" w:hAnsi="Cambria Math" w:cs="Cambria Math"/>
          <w:sz w:val="24"/>
          <w:szCs w:val="24"/>
        </w:rPr>
        <w:t>⁻</w:t>
      </w:r>
      <w:r w:rsidRPr="00AA04C5">
        <w:rPr>
          <w:rFonts w:ascii="Arial" w:hAnsi="Arial" w:cs="Arial"/>
          <w:sz w:val="24"/>
          <w:szCs w:val="24"/>
        </w:rPr>
        <w:t>¹</w:t>
      </w:r>
      <w:r w:rsidR="00A25420" w:rsidRPr="00AA04C5">
        <w:rPr>
          <w:rFonts w:ascii="Arial" w:hAnsi="Arial" w:cs="Arial"/>
          <w:sz w:val="24"/>
          <w:szCs w:val="24"/>
        </w:rPr>
        <w:t xml:space="preserve">) </w:t>
      </w:r>
      <w:r w:rsidRPr="00AA04C5">
        <w:rPr>
          <w:rFonts w:ascii="Arial" w:hAnsi="Arial" w:cs="Arial"/>
          <w:sz w:val="24"/>
          <w:szCs w:val="24"/>
        </w:rPr>
        <w:t>after uprooting. Treatment effects were significant for TN (</w:t>
      </w:r>
      <w:r w:rsidRPr="00AA04C5">
        <w:rPr>
          <w:rFonts w:ascii="Arial" w:hAnsi="Arial" w:cs="Arial"/>
          <w:i/>
          <w:iCs/>
          <w:sz w:val="24"/>
          <w:szCs w:val="24"/>
        </w:rPr>
        <w:t>P</w:t>
      </w:r>
      <w:r w:rsidRPr="00AA04C5">
        <w:rPr>
          <w:rFonts w:ascii="Arial" w:hAnsi="Arial" w:cs="Arial"/>
          <w:sz w:val="24"/>
          <w:szCs w:val="24"/>
        </w:rPr>
        <w:t xml:space="preserve"> = 0.014), exchangeable Ca (</w:t>
      </w:r>
      <w:r w:rsidRPr="00AA04C5">
        <w:rPr>
          <w:rFonts w:ascii="Arial" w:hAnsi="Arial" w:cs="Arial"/>
          <w:i/>
          <w:iCs/>
          <w:sz w:val="24"/>
          <w:szCs w:val="24"/>
        </w:rPr>
        <w:t>P</w:t>
      </w:r>
      <w:r w:rsidRPr="00AA04C5">
        <w:rPr>
          <w:rFonts w:ascii="Arial" w:hAnsi="Arial" w:cs="Arial"/>
          <w:sz w:val="24"/>
          <w:szCs w:val="24"/>
        </w:rPr>
        <w:t xml:space="preserve"> = 0.045), exchangeable Mg (</w:t>
      </w:r>
      <w:r w:rsidRPr="00AA04C5">
        <w:rPr>
          <w:rFonts w:ascii="Arial" w:hAnsi="Arial" w:cs="Arial"/>
          <w:i/>
          <w:iCs/>
          <w:sz w:val="24"/>
          <w:szCs w:val="24"/>
        </w:rPr>
        <w:t>P</w:t>
      </w:r>
      <w:r w:rsidRPr="00AA04C5">
        <w:rPr>
          <w:rFonts w:ascii="Arial" w:hAnsi="Arial" w:cs="Arial"/>
          <w:sz w:val="24"/>
          <w:szCs w:val="24"/>
        </w:rPr>
        <w:t xml:space="preserve"> = 0.028), and EC (</w:t>
      </w:r>
      <w:r w:rsidRPr="00AA04C5">
        <w:rPr>
          <w:rFonts w:ascii="Arial" w:hAnsi="Arial" w:cs="Arial"/>
          <w:i/>
          <w:iCs/>
          <w:sz w:val="24"/>
          <w:szCs w:val="24"/>
        </w:rPr>
        <w:t>P</w:t>
      </w:r>
      <w:r w:rsidRPr="00AA04C5">
        <w:rPr>
          <w:rFonts w:ascii="Arial" w:hAnsi="Arial" w:cs="Arial"/>
          <w:sz w:val="24"/>
          <w:szCs w:val="24"/>
        </w:rPr>
        <w:t xml:space="preserve"> = 0.00</w:t>
      </w:r>
      <w:r w:rsidR="00C56BB9" w:rsidRPr="00AA04C5">
        <w:rPr>
          <w:rFonts w:ascii="Arial" w:hAnsi="Arial" w:cs="Arial"/>
          <w:sz w:val="24"/>
          <w:szCs w:val="24"/>
        </w:rPr>
        <w:t>1</w:t>
      </w:r>
      <w:r w:rsidRPr="00AA04C5">
        <w:rPr>
          <w:rFonts w:ascii="Arial" w:hAnsi="Arial" w:cs="Arial"/>
          <w:sz w:val="24"/>
          <w:szCs w:val="24"/>
        </w:rPr>
        <w:t xml:space="preserve">). </w:t>
      </w:r>
      <w:r>
        <w:rPr>
          <w:rFonts w:ascii="Arial" w:hAnsi="Arial" w:cs="Arial"/>
          <w:sz w:val="24"/>
          <w:szCs w:val="24"/>
          <w:highlight w:val="yellow"/>
        </w:rPr>
        <w:t>ESP declined by 60.5% (from 3.8% to 1.5%) following mechanical uprooting.</w:t>
      </w:r>
      <w:r w:rsidRPr="00AA04C5">
        <w:rPr>
          <w:rFonts w:ascii="Arial" w:hAnsi="Arial" w:cs="Arial"/>
          <w:sz w:val="24"/>
          <w:szCs w:val="24"/>
        </w:rPr>
        <w:t xml:space="preserve"> </w:t>
      </w:r>
      <w:r w:rsidR="00363740" w:rsidRPr="00AA04C5">
        <w:rPr>
          <w:rFonts w:ascii="Arial" w:hAnsi="Arial" w:cs="Arial"/>
          <w:sz w:val="24"/>
          <w:szCs w:val="24"/>
        </w:rPr>
        <w:t>Therefore, b</w:t>
      </w:r>
      <w:r w:rsidRPr="00AA04C5">
        <w:rPr>
          <w:rFonts w:ascii="Arial" w:hAnsi="Arial" w:cs="Arial"/>
          <w:sz w:val="24"/>
          <w:szCs w:val="24"/>
        </w:rPr>
        <w:t>oth methods altered soil properties, indicating that black-wattle control should integrate soil monitoring with vegetation restoration.</w:t>
      </w:r>
    </w:p>
    <w:p w14:paraId="78B41416" w14:textId="77777777" w:rsidR="00AC6FA3" w:rsidRPr="00AC6FA3" w:rsidRDefault="00AC6FA3" w:rsidP="00AC6FA3">
      <w:pPr>
        <w:jc w:val="both"/>
        <w:rPr>
          <w:rFonts w:ascii="Arial" w:hAnsi="Arial" w:cs="Arial"/>
          <w:sz w:val="24"/>
          <w:szCs w:val="24"/>
        </w:rPr>
      </w:pPr>
      <w:r>
        <w:rPr>
          <w:rFonts w:ascii="Arial" w:hAnsi="Arial" w:cs="Arial"/>
          <w:b/>
          <w:sz w:val="24"/>
          <w:szCs w:val="24"/>
        </w:rPr>
        <w:t xml:space="preserve">Key words; </w:t>
      </w:r>
      <w:r w:rsidR="00CE0CFA">
        <w:rPr>
          <w:rFonts w:ascii="Arial" w:hAnsi="Arial" w:cs="Arial"/>
          <w:bCs/>
          <w:sz w:val="24"/>
          <w:szCs w:val="24"/>
        </w:rPr>
        <w:t xml:space="preserve">Invasive </w:t>
      </w:r>
      <w:r w:rsidRPr="00AC6FA3">
        <w:rPr>
          <w:rFonts w:ascii="Arial" w:hAnsi="Arial" w:cs="Arial"/>
          <w:bCs/>
          <w:sz w:val="24"/>
          <w:szCs w:val="24"/>
        </w:rPr>
        <w:t>plant management</w:t>
      </w:r>
      <w:r w:rsidRPr="00AC6FA3">
        <w:rPr>
          <w:rFonts w:ascii="Arial" w:hAnsi="Arial" w:cs="Arial"/>
          <w:sz w:val="24"/>
          <w:szCs w:val="24"/>
        </w:rPr>
        <w:t xml:space="preserve">, </w:t>
      </w:r>
      <w:r w:rsidRPr="00AC6FA3">
        <w:rPr>
          <w:rFonts w:ascii="Arial" w:hAnsi="Arial" w:cs="Arial"/>
          <w:bCs/>
          <w:sz w:val="24"/>
          <w:szCs w:val="24"/>
        </w:rPr>
        <w:t>Black wattle (</w:t>
      </w:r>
      <w:r w:rsidRPr="00AC6FA3">
        <w:rPr>
          <w:rFonts w:ascii="Arial" w:hAnsi="Arial" w:cs="Arial"/>
          <w:bCs/>
          <w:i/>
          <w:iCs/>
          <w:sz w:val="24"/>
          <w:szCs w:val="24"/>
        </w:rPr>
        <w:t xml:space="preserve">Acacia </w:t>
      </w:r>
      <w:proofErr w:type="spellStart"/>
      <w:r w:rsidRPr="00AC6FA3">
        <w:rPr>
          <w:rFonts w:ascii="Arial" w:hAnsi="Arial" w:cs="Arial"/>
          <w:bCs/>
          <w:i/>
          <w:iCs/>
          <w:sz w:val="24"/>
          <w:szCs w:val="24"/>
        </w:rPr>
        <w:t>mearnsii</w:t>
      </w:r>
      <w:proofErr w:type="spellEnd"/>
      <w:r w:rsidRPr="00AC6FA3">
        <w:rPr>
          <w:rFonts w:ascii="Arial" w:hAnsi="Arial" w:cs="Arial"/>
          <w:bCs/>
          <w:sz w:val="24"/>
          <w:szCs w:val="24"/>
        </w:rPr>
        <w:t>)</w:t>
      </w:r>
      <w:r w:rsidRPr="00AC6FA3">
        <w:rPr>
          <w:rFonts w:ascii="Arial" w:hAnsi="Arial" w:cs="Arial"/>
          <w:sz w:val="24"/>
          <w:szCs w:val="24"/>
        </w:rPr>
        <w:t xml:space="preserve">, </w:t>
      </w:r>
      <w:r w:rsidRPr="00AC6FA3">
        <w:rPr>
          <w:rFonts w:ascii="Arial" w:hAnsi="Arial" w:cs="Arial"/>
          <w:bCs/>
          <w:sz w:val="24"/>
          <w:szCs w:val="24"/>
        </w:rPr>
        <w:t>Soil physicochemical properties</w:t>
      </w:r>
      <w:r w:rsidRPr="00AC6FA3">
        <w:rPr>
          <w:rFonts w:ascii="Arial" w:hAnsi="Arial" w:cs="Arial"/>
          <w:sz w:val="24"/>
          <w:szCs w:val="24"/>
        </w:rPr>
        <w:t xml:space="preserve">, </w:t>
      </w:r>
      <w:r w:rsidRPr="00AC6FA3">
        <w:rPr>
          <w:rFonts w:ascii="Arial" w:hAnsi="Arial" w:cs="Arial"/>
          <w:bCs/>
          <w:sz w:val="24"/>
          <w:szCs w:val="24"/>
        </w:rPr>
        <w:t xml:space="preserve">Mechanical uprooting, </w:t>
      </w:r>
      <w:r>
        <w:rPr>
          <w:rFonts w:ascii="Arial" w:hAnsi="Arial" w:cs="Arial"/>
          <w:bCs/>
          <w:sz w:val="24"/>
          <w:szCs w:val="24"/>
        </w:rPr>
        <w:t>Cutting/</w:t>
      </w:r>
      <w:r w:rsidRPr="00AC6FA3">
        <w:rPr>
          <w:rFonts w:ascii="Arial" w:hAnsi="Arial" w:cs="Arial"/>
          <w:bCs/>
          <w:sz w:val="24"/>
          <w:szCs w:val="24"/>
        </w:rPr>
        <w:t>Herbicide control</w:t>
      </w:r>
      <w:r w:rsidRPr="00AC6FA3">
        <w:rPr>
          <w:rFonts w:ascii="Arial" w:hAnsi="Arial" w:cs="Arial"/>
          <w:sz w:val="24"/>
          <w:szCs w:val="24"/>
        </w:rPr>
        <w:t xml:space="preserve">, </w:t>
      </w:r>
      <w:r w:rsidRPr="00AC6FA3">
        <w:rPr>
          <w:rFonts w:ascii="Arial" w:hAnsi="Arial" w:cs="Arial"/>
          <w:bCs/>
          <w:sz w:val="24"/>
          <w:szCs w:val="24"/>
        </w:rPr>
        <w:t>Ecological restoration</w:t>
      </w:r>
      <w:r w:rsidRPr="00AC6FA3">
        <w:rPr>
          <w:rFonts w:ascii="Arial" w:hAnsi="Arial" w:cs="Arial"/>
          <w:sz w:val="24"/>
          <w:szCs w:val="24"/>
        </w:rPr>
        <w:t xml:space="preserve"> </w:t>
      </w:r>
    </w:p>
    <w:p w14:paraId="2F737F30" w14:textId="77777777" w:rsidR="00177FB9" w:rsidRPr="00AC6FA3" w:rsidRDefault="00177FB9" w:rsidP="00177FB9">
      <w:pPr>
        <w:jc w:val="both"/>
        <w:rPr>
          <w:rFonts w:ascii="Arial" w:hAnsi="Arial" w:cs="Arial"/>
          <w:sz w:val="24"/>
          <w:szCs w:val="24"/>
        </w:rPr>
      </w:pPr>
    </w:p>
    <w:p w14:paraId="7CE31D31" w14:textId="77777777" w:rsidR="00177FB9" w:rsidRPr="00177FB9" w:rsidRDefault="00177FB9" w:rsidP="00177FB9">
      <w:pPr>
        <w:jc w:val="both"/>
        <w:rPr>
          <w:rFonts w:ascii="Arial" w:hAnsi="Arial" w:cs="Arial"/>
          <w:b/>
          <w:sz w:val="24"/>
          <w:szCs w:val="24"/>
        </w:rPr>
      </w:pPr>
    </w:p>
    <w:p w14:paraId="2FE3C8F4" w14:textId="77777777" w:rsidR="00177FB9" w:rsidRPr="00177FB9" w:rsidRDefault="00177FB9" w:rsidP="00177FB9">
      <w:pPr>
        <w:jc w:val="both"/>
        <w:rPr>
          <w:rFonts w:ascii="Arial" w:hAnsi="Arial" w:cs="Arial"/>
          <w:b/>
          <w:sz w:val="24"/>
          <w:szCs w:val="24"/>
        </w:rPr>
      </w:pPr>
    </w:p>
    <w:p w14:paraId="50A0FEB3" w14:textId="77777777" w:rsidR="00177FB9" w:rsidRPr="00177FB9" w:rsidRDefault="00177FB9" w:rsidP="00177FB9">
      <w:pPr>
        <w:jc w:val="both"/>
        <w:rPr>
          <w:rFonts w:ascii="Arial" w:hAnsi="Arial" w:cs="Arial"/>
          <w:b/>
          <w:sz w:val="24"/>
          <w:szCs w:val="24"/>
        </w:rPr>
      </w:pPr>
    </w:p>
    <w:p w14:paraId="4B57EC7F" w14:textId="77777777" w:rsidR="00B70DDE" w:rsidRPr="00A63B7A" w:rsidRDefault="00B70DDE" w:rsidP="00B70DDE">
      <w:pPr>
        <w:rPr>
          <w:rFonts w:ascii="Arial" w:hAnsi="Arial" w:cs="Arial"/>
          <w:b/>
          <w:bCs/>
          <w:sz w:val="24"/>
          <w:szCs w:val="24"/>
        </w:rPr>
      </w:pPr>
      <w:r w:rsidRPr="00A63B7A">
        <w:rPr>
          <w:rFonts w:ascii="Arial" w:hAnsi="Arial" w:cs="Arial"/>
          <w:b/>
          <w:bCs/>
          <w:sz w:val="24"/>
          <w:szCs w:val="24"/>
        </w:rPr>
        <w:t>1. INTRODUCTION</w:t>
      </w:r>
    </w:p>
    <w:p w14:paraId="0718AB51" w14:textId="77777777" w:rsidR="00007B78" w:rsidRPr="00007B78" w:rsidRDefault="009E2E85" w:rsidP="00007B78">
      <w:pPr>
        <w:spacing w:line="360" w:lineRule="auto"/>
        <w:jc w:val="both"/>
        <w:rPr>
          <w:rFonts w:ascii="Arial" w:hAnsi="Arial" w:cs="Arial"/>
          <w:sz w:val="24"/>
          <w:szCs w:val="24"/>
        </w:rPr>
      </w:pPr>
      <w:r>
        <w:rPr>
          <w:rFonts w:ascii="Arial" w:hAnsi="Arial" w:cs="Arial"/>
          <w:sz w:val="24"/>
          <w:szCs w:val="24"/>
        </w:rPr>
        <w:lastRenderedPageBreak/>
        <w:t xml:space="preserve"> </w:t>
      </w:r>
      <w:r w:rsidR="00007B78" w:rsidRPr="00007B78">
        <w:rPr>
          <w:rFonts w:ascii="Arial" w:hAnsi="Arial" w:cs="Arial"/>
          <w:sz w:val="24"/>
          <w:szCs w:val="24"/>
        </w:rPr>
        <w:t xml:space="preserve">Biological invasions are a major driver of biodiversity loss and ecosystem change, affecting ecological communities, ecosystem processes, and nature’s contributions to people </w:t>
      </w:r>
      <w:r>
        <w:rPr>
          <w:rFonts w:ascii="Arial" w:hAnsi="Arial" w:cs="Arial"/>
          <w:sz w:val="24"/>
          <w:szCs w:val="24"/>
          <w:highlight w:val="yellow"/>
        </w:rPr>
        <w:t>(Intergovernmental Science-Policy Platform on Biodiversity and Ecosystem Services [IPBES], 2023).</w:t>
      </w:r>
      <w:r>
        <w:rPr>
          <w:rFonts w:ascii="Arial" w:hAnsi="Arial" w:cs="Arial"/>
          <w:sz w:val="24"/>
          <w:szCs w:val="24"/>
        </w:rPr>
        <w:t xml:space="preserve"> Invasive alien plants can displace indigenous vegetation, modify nutrient and carbon cycling, alter soil physicochemical properties, and disrupt hydrological functioning, thereby undermining ecosystem resilience (</w:t>
      </w:r>
      <w:proofErr w:type="spellStart"/>
      <w:r w:rsidR="00007B78" w:rsidRPr="00007B78">
        <w:rPr>
          <w:rFonts w:ascii="Arial" w:hAnsi="Arial" w:cs="Arial"/>
          <w:sz w:val="24"/>
          <w:szCs w:val="24"/>
        </w:rPr>
        <w:t>Pyšek</w:t>
      </w:r>
      <w:proofErr w:type="spellEnd"/>
      <w:r w:rsidR="00007B78" w:rsidRPr="00007B78">
        <w:rPr>
          <w:rFonts w:ascii="Arial" w:hAnsi="Arial" w:cs="Arial"/>
          <w:sz w:val="24"/>
          <w:szCs w:val="24"/>
        </w:rPr>
        <w:t xml:space="preserve"> et al., 2012; </w:t>
      </w:r>
      <w:proofErr w:type="spellStart"/>
      <w:r w:rsidR="00007B78" w:rsidRPr="00007B78">
        <w:rPr>
          <w:rFonts w:ascii="Arial" w:hAnsi="Arial" w:cs="Arial"/>
          <w:sz w:val="24"/>
          <w:szCs w:val="24"/>
        </w:rPr>
        <w:t>Vilà</w:t>
      </w:r>
      <w:proofErr w:type="spellEnd"/>
      <w:r w:rsidR="00007B78" w:rsidRPr="00007B78">
        <w:rPr>
          <w:rFonts w:ascii="Arial" w:hAnsi="Arial" w:cs="Arial"/>
          <w:sz w:val="24"/>
          <w:szCs w:val="24"/>
        </w:rPr>
        <w:t xml:space="preserve"> et al., 2011; Gaertner et al., 2014). These impacts are particularly concerning in protected areas, where biodiversity conservation depends on maintaining ecological integrity and essential ecosystem functions. Consequently, invasive-plant management should extend beyond the elimination of target species to consider whether control interventions conserve soil resources and support </w:t>
      </w:r>
      <w:r>
        <w:rPr>
          <w:rFonts w:ascii="Arial" w:hAnsi="Arial" w:cs="Arial"/>
          <w:sz w:val="24"/>
          <w:szCs w:val="24"/>
          <w:highlight w:val="yellow"/>
        </w:rPr>
        <w:t>native vegetation recovery</w:t>
      </w:r>
      <w:r>
        <w:rPr>
          <w:rFonts w:ascii="Arial" w:hAnsi="Arial" w:cs="Arial"/>
          <w:sz w:val="24"/>
          <w:szCs w:val="24"/>
        </w:rPr>
        <w:t xml:space="preserve"> (Richardson &amp; Pyšek, 2012; IPBES, 2023).</w:t>
      </w:r>
    </w:p>
    <w:p w14:paraId="5870FA79" w14:textId="77777777" w:rsidR="00007B78" w:rsidRPr="00007B78" w:rsidRDefault="00007B78" w:rsidP="00007B78">
      <w:pPr>
        <w:spacing w:line="360" w:lineRule="auto"/>
        <w:jc w:val="both"/>
        <w:rPr>
          <w:rFonts w:ascii="Arial" w:hAnsi="Arial" w:cs="Arial"/>
          <w:sz w:val="24"/>
          <w:szCs w:val="24"/>
        </w:rPr>
      </w:pPr>
      <w:r w:rsidRPr="00007B78">
        <w:rPr>
          <w:rFonts w:ascii="Arial" w:hAnsi="Arial" w:cs="Arial"/>
          <w:sz w:val="24"/>
          <w:szCs w:val="24"/>
        </w:rPr>
        <w:t>Black wattle (</w:t>
      </w:r>
      <w:r w:rsidRPr="00007B78">
        <w:rPr>
          <w:rFonts w:ascii="Arial" w:hAnsi="Arial" w:cs="Arial"/>
          <w:i/>
          <w:iCs/>
          <w:sz w:val="24"/>
          <w:szCs w:val="24"/>
        </w:rPr>
        <w:t xml:space="preserve">Acacia </w:t>
      </w:r>
      <w:proofErr w:type="spellStart"/>
      <w:r w:rsidRPr="00007B78">
        <w:rPr>
          <w:rFonts w:ascii="Arial" w:hAnsi="Arial" w:cs="Arial"/>
          <w:i/>
          <w:iCs/>
          <w:sz w:val="24"/>
          <w:szCs w:val="24"/>
        </w:rPr>
        <w:t>mearnsii</w:t>
      </w:r>
      <w:proofErr w:type="spellEnd"/>
      <w:r w:rsidRPr="00007B78">
        <w:rPr>
          <w:rFonts w:ascii="Arial" w:hAnsi="Arial" w:cs="Arial"/>
          <w:sz w:val="24"/>
          <w:szCs w:val="24"/>
        </w:rPr>
        <w:t xml:space="preserve">) is a fast-growing, nitrogen-fixing tree native to south-eastern Australia that has been </w:t>
      </w:r>
      <w:r>
        <w:rPr>
          <w:rFonts w:ascii="Arial" w:hAnsi="Arial" w:cs="Arial"/>
          <w:sz w:val="24"/>
          <w:szCs w:val="24"/>
          <w:highlight w:val="yellow"/>
        </w:rPr>
        <w:t>widely introduced for</w:t>
      </w:r>
      <w:r>
        <w:rPr>
          <w:rFonts w:ascii="Arial" w:hAnsi="Arial" w:cs="Arial"/>
          <w:sz w:val="24"/>
          <w:szCs w:val="24"/>
        </w:rPr>
        <w:t xml:space="preserve"> tannin production, fuelwood, pulpwood, erosion control, and plantation forestry </w:t>
      </w:r>
      <w:r>
        <w:rPr>
          <w:rFonts w:ascii="Arial" w:hAnsi="Arial" w:cs="Arial"/>
          <w:sz w:val="24"/>
          <w:szCs w:val="24"/>
          <w:highlight w:val="yellow"/>
        </w:rPr>
        <w:t>(Moyo et al., 2009; Nyoka, 2003)</w:t>
      </w:r>
      <w:r w:rsidRPr="00007B78">
        <w:rPr>
          <w:rFonts w:ascii="Arial" w:hAnsi="Arial" w:cs="Arial"/>
          <w:sz w:val="24"/>
          <w:szCs w:val="24"/>
        </w:rPr>
        <w:t xml:space="preserve">. Despite its economic value, the species has become invasive across numerous regions outside its native range. Rapid growth, prolific seed production, persistent soil seed banks, environmental tolerance, and vigorous regeneration following disturbance contribute to its establishment and spread </w:t>
      </w:r>
      <w:r>
        <w:rPr>
          <w:rFonts w:ascii="Arial" w:hAnsi="Arial" w:cs="Arial"/>
          <w:sz w:val="24"/>
          <w:szCs w:val="24"/>
          <w:highlight w:val="yellow"/>
        </w:rPr>
        <w:t>(Nyoka, 2003)</w:t>
      </w:r>
      <w:r>
        <w:rPr>
          <w:rFonts w:ascii="Arial" w:hAnsi="Arial" w:cs="Arial"/>
          <w:sz w:val="24"/>
          <w:szCs w:val="24"/>
        </w:rPr>
        <w:t xml:space="preserve">. Dense stands suppress indigenous vegetation through competition for light, water, nutrients, and growing space, transforming grasslands and other native habitats into wattle-dominated communities </w:t>
      </w:r>
      <w:r>
        <w:rPr>
          <w:rFonts w:ascii="Arial" w:hAnsi="Arial" w:cs="Arial"/>
          <w:sz w:val="24"/>
          <w:szCs w:val="24"/>
          <w:highlight w:val="yellow"/>
        </w:rPr>
        <w:t>(Nyoka, 2003; Lusizi et al., 2024)</w:t>
      </w:r>
      <w:r>
        <w:rPr>
          <w:rFonts w:ascii="Arial" w:hAnsi="Arial" w:cs="Arial"/>
          <w:sz w:val="24"/>
          <w:szCs w:val="24"/>
        </w:rPr>
        <w:t xml:space="preserve">. Such changes can affect habitat structure, species interactions, and ecosystem functioning, consistent with broader concerns about invasive-species impacts on biodiversity </w:t>
      </w:r>
      <w:r>
        <w:rPr>
          <w:rFonts w:ascii="Arial" w:hAnsi="Arial" w:cs="Arial"/>
          <w:sz w:val="24"/>
          <w:szCs w:val="24"/>
          <w:highlight w:val="yellow"/>
        </w:rPr>
        <w:t>(Gaertner et al., 2014)</w:t>
      </w:r>
      <w:r w:rsidRPr="00007B78">
        <w:rPr>
          <w:rFonts w:ascii="Arial" w:hAnsi="Arial" w:cs="Arial"/>
          <w:sz w:val="24"/>
          <w:szCs w:val="24"/>
        </w:rPr>
        <w:t xml:space="preserve">. Black wattle is therefore </w:t>
      </w:r>
      <w:proofErr w:type="spellStart"/>
      <w:r w:rsidRPr="00007B78">
        <w:rPr>
          <w:rFonts w:ascii="Arial" w:hAnsi="Arial" w:cs="Arial"/>
          <w:sz w:val="24"/>
          <w:szCs w:val="24"/>
        </w:rPr>
        <w:t>recognised</w:t>
      </w:r>
      <w:proofErr w:type="spellEnd"/>
      <w:r w:rsidRPr="00007B78">
        <w:rPr>
          <w:rFonts w:ascii="Arial" w:hAnsi="Arial" w:cs="Arial"/>
          <w:sz w:val="24"/>
          <w:szCs w:val="24"/>
        </w:rPr>
        <w:t xml:space="preserve"> as a damaging invasive alien species, particularly in southern Africa, where it threatens biodiversity, water resources, and land productivity </w:t>
      </w:r>
      <w:r>
        <w:rPr>
          <w:rFonts w:ascii="Arial" w:hAnsi="Arial" w:cs="Arial"/>
          <w:sz w:val="24"/>
          <w:szCs w:val="24"/>
          <w:highlight w:val="yellow"/>
        </w:rPr>
        <w:t>(Global Invasive Species Database, n.d.; Le Maitre et al., 2011)</w:t>
      </w:r>
      <w:r>
        <w:rPr>
          <w:rFonts w:ascii="Arial" w:hAnsi="Arial" w:cs="Arial"/>
          <w:sz w:val="24"/>
          <w:szCs w:val="24"/>
        </w:rPr>
        <w:t>.</w:t>
      </w:r>
    </w:p>
    <w:p w14:paraId="0145C8B5" w14:textId="77777777" w:rsidR="00007B78" w:rsidRPr="006502AE" w:rsidRDefault="00007B78" w:rsidP="00007B78">
      <w:pPr>
        <w:spacing w:line="360" w:lineRule="auto"/>
        <w:jc w:val="both"/>
        <w:rPr>
          <w:rFonts w:ascii="Arial" w:hAnsi="Arial" w:cs="Arial"/>
          <w:bCs/>
          <w:sz w:val="24"/>
          <w:szCs w:val="24"/>
        </w:rPr>
      </w:pPr>
      <w:r w:rsidRPr="00007B78">
        <w:rPr>
          <w:rFonts w:ascii="Arial" w:hAnsi="Arial" w:cs="Arial"/>
          <w:sz w:val="24"/>
          <w:szCs w:val="24"/>
        </w:rPr>
        <w:t xml:space="preserve">Soil modification is an important pathway through which black wattle influences invaded ecosystems. Symbiotic nitrogen fixation, litter accumulation, and root turnover can alter organic-matter inputs, nutrient availability, and soil carbon dynamics </w:t>
      </w:r>
      <w:r>
        <w:rPr>
          <w:rFonts w:ascii="Arial" w:hAnsi="Arial" w:cs="Arial"/>
          <w:sz w:val="24"/>
          <w:szCs w:val="24"/>
          <w:highlight w:val="yellow"/>
        </w:rPr>
        <w:t>(Lusizi et al., 2024)</w:t>
      </w:r>
      <w:r>
        <w:rPr>
          <w:rFonts w:ascii="Arial" w:hAnsi="Arial" w:cs="Arial"/>
          <w:sz w:val="24"/>
          <w:szCs w:val="24"/>
        </w:rPr>
        <w:t xml:space="preserve">. These changes may shift competitive relationships within native plant communities and </w:t>
      </w:r>
      <w:r>
        <w:rPr>
          <w:rFonts w:ascii="Arial" w:hAnsi="Arial" w:cs="Arial"/>
          <w:sz w:val="24"/>
          <w:szCs w:val="24"/>
          <w:highlight w:val="yellow"/>
        </w:rPr>
        <w:t>influence their recovery after clearing (Slabbert et al., 2014).</w:t>
      </w:r>
      <w:r>
        <w:rPr>
          <w:rFonts w:ascii="Arial" w:hAnsi="Arial" w:cs="Arial"/>
          <w:sz w:val="24"/>
          <w:szCs w:val="24"/>
        </w:rPr>
        <w:t xml:space="preserve"> Nutrient enrichment should therefore not automatically be interpreted as ecological improvement, particularly in grasslands whose indigenous species are </w:t>
      </w:r>
      <w:r>
        <w:rPr>
          <w:rFonts w:ascii="Arial" w:hAnsi="Arial" w:cs="Arial"/>
          <w:sz w:val="24"/>
          <w:szCs w:val="24"/>
        </w:rPr>
        <w:lastRenderedPageBreak/>
        <w:t xml:space="preserve">adapted to relatively low </w:t>
      </w:r>
      <w:r w:rsidRPr="00007B78">
        <w:rPr>
          <w:rFonts w:ascii="Arial" w:hAnsi="Arial" w:cs="Arial"/>
          <w:sz w:val="24"/>
          <w:szCs w:val="24"/>
        </w:rPr>
        <w:t>nutrient availability. Black-wattle invasion also affects water balance through rainfall interception and transpiration, with implications for soil moisture and catchment streamflow (Dye &amp; Jarmain, 2004). Changes in vegetation cover and rooting patterns may further influence soil stability and erosion processes (</w:t>
      </w:r>
      <w:proofErr w:type="spellStart"/>
      <w:r w:rsidRPr="00007B78">
        <w:rPr>
          <w:rFonts w:ascii="Arial" w:hAnsi="Arial" w:cs="Arial"/>
          <w:sz w:val="24"/>
          <w:szCs w:val="24"/>
        </w:rPr>
        <w:t>Oelofse</w:t>
      </w:r>
      <w:proofErr w:type="spellEnd"/>
      <w:r w:rsidRPr="00007B78">
        <w:rPr>
          <w:rFonts w:ascii="Arial" w:hAnsi="Arial" w:cs="Arial"/>
          <w:sz w:val="24"/>
          <w:szCs w:val="24"/>
        </w:rPr>
        <w:t xml:space="preserve"> et al., 2016), while allelopathic effects may inhibit native-plant germination and establishment </w:t>
      </w:r>
      <w:r>
        <w:rPr>
          <w:rFonts w:ascii="Arial" w:hAnsi="Arial" w:cs="Arial"/>
          <w:sz w:val="24"/>
          <w:szCs w:val="24"/>
          <w:highlight w:val="yellow"/>
        </w:rPr>
        <w:t>(Zhou et al., 2011). In an arid reserve</w:t>
      </w:r>
      <w:r>
        <w:rPr>
          <w:b/>
          <w:sz w:val="24"/>
          <w:highlight w:val="yellow"/>
        </w:rPr>
        <w:t xml:space="preserve">, </w:t>
      </w:r>
      <w:r w:rsidRPr="006502AE">
        <w:rPr>
          <w:bCs/>
          <w:sz w:val="24"/>
          <w:highlight w:val="yellow"/>
        </w:rPr>
        <w:t xml:space="preserve">invasive </w:t>
      </w:r>
      <w:r w:rsidRPr="006502AE">
        <w:rPr>
          <w:bCs/>
          <w:i/>
          <w:sz w:val="24"/>
          <w:highlight w:val="yellow"/>
        </w:rPr>
        <w:t>Acacia tortilis</w:t>
      </w:r>
      <w:r w:rsidRPr="006502AE">
        <w:rPr>
          <w:bCs/>
          <w:sz w:val="24"/>
          <w:highlight w:val="yellow"/>
        </w:rPr>
        <w:t xml:space="preserve"> was associated with higher soil organic carbon beneath tree canopies than in open areas (Joyea &amp; Yadav, 2025).</w:t>
      </w:r>
    </w:p>
    <w:p w14:paraId="6D316593" w14:textId="77777777" w:rsidR="00007B78" w:rsidRPr="006502AE" w:rsidRDefault="00007B78" w:rsidP="00007B78">
      <w:pPr>
        <w:spacing w:line="360" w:lineRule="auto"/>
        <w:jc w:val="both"/>
        <w:rPr>
          <w:rFonts w:ascii="Arial" w:hAnsi="Arial" w:cs="Arial"/>
          <w:bCs/>
          <w:sz w:val="24"/>
          <w:szCs w:val="24"/>
        </w:rPr>
      </w:pPr>
      <w:r w:rsidRPr="00007B78">
        <w:rPr>
          <w:rFonts w:ascii="Arial" w:hAnsi="Arial" w:cs="Arial"/>
          <w:sz w:val="24"/>
          <w:szCs w:val="24"/>
        </w:rPr>
        <w:t xml:space="preserve">The soil consequences of invasion may persist after tree removal, and control methods may influence subsequent recovery through different pathways. Mechanical uprooting removes trees and root systems but can disturb soil aggregates, expose mineral soil, redistribute organic matter, and increase susceptibility to erosion. Disturbance may also stimulate recruitment from persistent black-wattle seed banks </w:t>
      </w:r>
      <w:r>
        <w:rPr>
          <w:rFonts w:ascii="Arial" w:hAnsi="Arial" w:cs="Arial"/>
          <w:sz w:val="24"/>
          <w:szCs w:val="24"/>
          <w:highlight w:val="yellow"/>
        </w:rPr>
        <w:t>(Nyoka, 2003)</w:t>
      </w:r>
      <w:r>
        <w:rPr>
          <w:rFonts w:ascii="Arial" w:hAnsi="Arial" w:cs="Arial"/>
          <w:sz w:val="24"/>
          <w:szCs w:val="24"/>
        </w:rPr>
        <w:t xml:space="preserve">. In contrast, cutting followed by herbicide application may limit direct physical disturbance while leaving roots, stumps, and other residues to decompose. The cessation of nitrogen fixation and nutrient uptake, together with decomposition of retained biomass, may alter soil carbon, nutrient availability, and soluble-ion concentrations. These contrasting processes highlight the importance of evaluating soil responses rather than assuming that successful tree control necessarily produces </w:t>
      </w:r>
      <w:proofErr w:type="spellStart"/>
      <w:r w:rsidRPr="00007B78">
        <w:rPr>
          <w:rFonts w:ascii="Arial" w:hAnsi="Arial" w:cs="Arial"/>
          <w:sz w:val="24"/>
          <w:szCs w:val="24"/>
        </w:rPr>
        <w:t>favourable</w:t>
      </w:r>
      <w:proofErr w:type="spellEnd"/>
      <w:r w:rsidRPr="00007B78">
        <w:rPr>
          <w:rFonts w:ascii="Arial" w:hAnsi="Arial" w:cs="Arial"/>
          <w:sz w:val="24"/>
          <w:szCs w:val="24"/>
        </w:rPr>
        <w:t xml:space="preserve"> </w:t>
      </w:r>
      <w:r>
        <w:rPr>
          <w:rFonts w:ascii="Arial" w:hAnsi="Arial" w:cs="Arial"/>
          <w:sz w:val="24"/>
          <w:szCs w:val="24"/>
          <w:highlight w:val="yellow"/>
        </w:rPr>
        <w:t>restoration outcomes (Ndou &amp; Ruwanza, 2016).</w:t>
      </w:r>
      <w:r>
        <w:rPr>
          <w:rFonts w:ascii="Arial" w:hAnsi="Arial" w:cs="Arial"/>
          <w:sz w:val="24"/>
          <w:szCs w:val="24"/>
        </w:rPr>
        <w:t xml:space="preserve"> Evidence from invasive-tree removal and restoration studies further indicates the need to interpret recovery within its environmental and management context </w:t>
      </w:r>
      <w:r>
        <w:rPr>
          <w:rFonts w:ascii="Arial" w:hAnsi="Arial" w:cs="Arial"/>
          <w:sz w:val="24"/>
          <w:szCs w:val="24"/>
          <w:highlight w:val="yellow"/>
        </w:rPr>
        <w:t>(Moyo et al., 2009; Galatowitsch &amp; Richardson, 2005; Le Maitre et al., 2011; Boudiaf et al., 2013)</w:t>
      </w:r>
      <w:r w:rsidRPr="00007B78">
        <w:rPr>
          <w:rFonts w:ascii="Arial" w:hAnsi="Arial" w:cs="Arial"/>
          <w:sz w:val="24"/>
          <w:szCs w:val="24"/>
        </w:rPr>
        <w:t>.</w:t>
      </w:r>
      <w:r>
        <w:rPr>
          <w:b/>
          <w:sz w:val="24"/>
          <w:highlight w:val="yellow"/>
        </w:rPr>
        <w:t xml:space="preserve"> </w:t>
      </w:r>
      <w:r w:rsidRPr="006502AE">
        <w:rPr>
          <w:bCs/>
          <w:sz w:val="24"/>
          <w:highlight w:val="yellow"/>
        </w:rPr>
        <w:t xml:space="preserve">Removal of </w:t>
      </w:r>
      <w:r w:rsidRPr="006502AE">
        <w:rPr>
          <w:bCs/>
          <w:i/>
          <w:sz w:val="24"/>
          <w:highlight w:val="yellow"/>
        </w:rPr>
        <w:t>Acacia saligna</w:t>
      </w:r>
      <w:r w:rsidRPr="006502AE">
        <w:rPr>
          <w:bCs/>
          <w:sz w:val="24"/>
          <w:highlight w:val="yellow"/>
        </w:rPr>
        <w:t xml:space="preserve"> was associated with persistent soil effects and slower recovery of soil bacteria than native vegetation (Yannelli et al., 2025). A review of another invasive plant also noted soil-mediated interactions and context-dependent effects of biomass use and removal (Vijapur et al., 2026).</w:t>
      </w:r>
    </w:p>
    <w:p w14:paraId="1B129D7C" w14:textId="77777777" w:rsidR="00007B78" w:rsidRPr="006502AE" w:rsidRDefault="00007B78" w:rsidP="00007B78">
      <w:pPr>
        <w:spacing w:line="360" w:lineRule="auto"/>
        <w:jc w:val="both"/>
        <w:rPr>
          <w:rFonts w:ascii="Arial" w:hAnsi="Arial" w:cs="Arial"/>
          <w:bCs/>
          <w:sz w:val="24"/>
          <w:szCs w:val="24"/>
        </w:rPr>
      </w:pPr>
      <w:r w:rsidRPr="00007B78">
        <w:rPr>
          <w:rFonts w:ascii="Arial" w:hAnsi="Arial" w:cs="Arial"/>
          <w:sz w:val="24"/>
          <w:szCs w:val="24"/>
        </w:rPr>
        <w:t xml:space="preserve">This management challenge is particularly relevant to Nyika National Park, Malawi, where montane grasslands, woodlands, forest patches, wetlands, and headwater catchments support biodiversity conservation and water regulation. At Chelinda Camp, black-wattle invasion threatens native vegetation and the ecological character of the highland landscape. Its rapid growth and persistent seed bank complicate management because removal of established trees may be followed by renewed recruitment after disturbance </w:t>
      </w:r>
      <w:r>
        <w:rPr>
          <w:rFonts w:ascii="Arial" w:hAnsi="Arial" w:cs="Arial"/>
          <w:sz w:val="24"/>
          <w:szCs w:val="24"/>
          <w:highlight w:val="yellow"/>
        </w:rPr>
        <w:t>(Nyoka, 2003)</w:t>
      </w:r>
      <w:r>
        <w:rPr>
          <w:rFonts w:ascii="Arial" w:hAnsi="Arial" w:cs="Arial"/>
          <w:sz w:val="24"/>
          <w:szCs w:val="24"/>
        </w:rPr>
        <w:t xml:space="preserve">. Competition for </w:t>
      </w:r>
      <w:r>
        <w:rPr>
          <w:rFonts w:ascii="Arial" w:hAnsi="Arial" w:cs="Arial"/>
          <w:sz w:val="24"/>
          <w:szCs w:val="24"/>
        </w:rPr>
        <w:lastRenderedPageBreak/>
        <w:t xml:space="preserve">moisture, nutrients, and light also creates management concerns beyond protected areas, including agricultural landscapes </w:t>
      </w:r>
      <w:r>
        <w:rPr>
          <w:rFonts w:ascii="Arial" w:hAnsi="Arial" w:cs="Arial"/>
          <w:sz w:val="24"/>
          <w:szCs w:val="24"/>
          <w:highlight w:val="yellow"/>
        </w:rPr>
        <w:t>(Le Maitre et al., 2011)</w:t>
      </w:r>
      <w:r w:rsidRPr="00007B78">
        <w:rPr>
          <w:rFonts w:ascii="Arial" w:hAnsi="Arial" w:cs="Arial"/>
          <w:sz w:val="24"/>
          <w:szCs w:val="24"/>
        </w:rPr>
        <w:t>. Within Nyika, control interventions must therefore address established trees while conserving soil conditions that support indigenous vegetation and reduce opportunities for reinvasion.</w:t>
      </w:r>
      <w:r>
        <w:rPr>
          <w:b/>
          <w:sz w:val="24"/>
          <w:highlight w:val="yellow"/>
        </w:rPr>
        <w:t xml:space="preserve"> </w:t>
      </w:r>
      <w:r w:rsidRPr="006502AE">
        <w:rPr>
          <w:bCs/>
          <w:sz w:val="24"/>
          <w:highlight w:val="yellow"/>
        </w:rPr>
        <w:t xml:space="preserve">In South African grasslands, cleared sites still differed from uninvaded sites in their soil seed-bank communities after </w:t>
      </w:r>
      <w:r w:rsidRPr="006502AE">
        <w:rPr>
          <w:bCs/>
          <w:i/>
          <w:sz w:val="24"/>
          <w:highlight w:val="yellow"/>
        </w:rPr>
        <w:t>Acacia dealbata</w:t>
      </w:r>
      <w:r w:rsidRPr="006502AE">
        <w:rPr>
          <w:bCs/>
          <w:sz w:val="24"/>
          <w:highlight w:val="yellow"/>
        </w:rPr>
        <w:t xml:space="preserve"> removal (Ruwanza, 2025).</w:t>
      </w:r>
    </w:p>
    <w:p w14:paraId="34305E69" w14:textId="77777777" w:rsidR="00007B78" w:rsidRDefault="00007B78" w:rsidP="00007B78">
      <w:pPr>
        <w:spacing w:line="360" w:lineRule="auto"/>
        <w:jc w:val="both"/>
        <w:rPr>
          <w:rFonts w:ascii="Arial" w:hAnsi="Arial" w:cs="Arial"/>
          <w:sz w:val="24"/>
          <w:szCs w:val="24"/>
        </w:rPr>
      </w:pPr>
      <w:r w:rsidRPr="00007B78">
        <w:rPr>
          <w:rFonts w:ascii="Arial" w:hAnsi="Arial" w:cs="Arial"/>
          <w:sz w:val="24"/>
          <w:szCs w:val="24"/>
        </w:rPr>
        <w:t>Despite the importance of these considerations, comparative evidence on the effects of mechanical uprooting and cutting followed by Impala herbicide application on soil physicochemical properties in Nyika National Park remains limited. This knowledge gap constrains the selection of control methods that balance invasive-tree removal with soil conservation and ecological recovery. Moreover, untreated invaded plots are necessary to distinguish treatment-associated changes from temporal variation arising from rainfall, decomposition, and other environmental processes. Locally grounded comparisons can thus inform management decisions without assuming that outcomes observed elsewhere will apply directly to Nyika’s montane environment.</w:t>
      </w:r>
    </w:p>
    <w:p w14:paraId="3EA2BD1C" w14:textId="77777777" w:rsidR="00007B78" w:rsidRDefault="00007B78" w:rsidP="00007B78">
      <w:pPr>
        <w:spacing w:line="360" w:lineRule="auto"/>
        <w:jc w:val="both"/>
        <w:rPr>
          <w:rFonts w:ascii="Arial" w:hAnsi="Arial" w:cs="Arial"/>
          <w:sz w:val="24"/>
          <w:szCs w:val="24"/>
        </w:rPr>
      </w:pPr>
      <w:r w:rsidRPr="00007B78">
        <w:rPr>
          <w:rFonts w:ascii="Arial" w:hAnsi="Arial" w:cs="Arial"/>
          <w:sz w:val="24"/>
          <w:szCs w:val="24"/>
        </w:rPr>
        <w:t xml:space="preserve">This study evaluated the effects of mechanical uprooting and cutting followed by Impala herbicide application on selected soil physicochemical properties in </w:t>
      </w:r>
      <w:r>
        <w:rPr>
          <w:rFonts w:ascii="Arial" w:hAnsi="Arial" w:cs="Arial"/>
          <w:i/>
          <w:sz w:val="24"/>
          <w:szCs w:val="24"/>
        </w:rPr>
        <w:t xml:space="preserve">Acacia </w:t>
      </w:r>
      <w:proofErr w:type="spellStart"/>
      <w:r w:rsidRPr="00007B78">
        <w:rPr>
          <w:rFonts w:ascii="Arial" w:hAnsi="Arial" w:cs="Arial"/>
          <w:i/>
          <w:sz w:val="24"/>
          <w:szCs w:val="24"/>
        </w:rPr>
        <w:t>mearnsii</w:t>
      </w:r>
      <w:proofErr w:type="spellEnd"/>
      <w:r w:rsidRPr="00007B78">
        <w:rPr>
          <w:rFonts w:ascii="Arial" w:hAnsi="Arial" w:cs="Arial"/>
          <w:sz w:val="24"/>
          <w:szCs w:val="24"/>
        </w:rPr>
        <w:t xml:space="preserve">-invaded sites in Nyika National Park, Malawi. Specifically, the study was designed to: (1) compare the effects of mechanical uprooting, cutting followed by Impala herbicide application, and an untreated invaded control on soil pH, soil organic carbon stocks, total nitrogen, available phosphorus, exchangeable sodium percentage, exchangeable calcium, exchangeable magnesium, and electrical conductivity; (2) quantify changes in these soil properties before and after treatment; and (3) assess the implications of each control method for soil health and nutrient availability in the context of post-treatment ecological restoration. The study tested the null hypothesis that mechanical uprooting and cutting followed by Impala herbicide application have no significant effects on the selected soil physicochemical properties of black-wattle-invaded sites. The findings are expected to provide site-specific evidence to guide protected-area managers, restoration practitioners, and policy-makers in selecting black-wattle control interventions that </w:t>
      </w:r>
      <w:proofErr w:type="spellStart"/>
      <w:r w:rsidRPr="00007B78">
        <w:rPr>
          <w:rFonts w:ascii="Arial" w:hAnsi="Arial" w:cs="Arial"/>
          <w:sz w:val="24"/>
          <w:szCs w:val="24"/>
        </w:rPr>
        <w:t>minimise</w:t>
      </w:r>
      <w:proofErr w:type="spellEnd"/>
      <w:r w:rsidRPr="00007B78">
        <w:rPr>
          <w:rFonts w:ascii="Arial" w:hAnsi="Arial" w:cs="Arial"/>
          <w:sz w:val="24"/>
          <w:szCs w:val="24"/>
        </w:rPr>
        <w:t xml:space="preserve"> adverse soil impacts while supporting the recovery of indigenous vegetation in Nyika National Park and comparable montane ecosystems.</w:t>
      </w:r>
    </w:p>
    <w:p w14:paraId="043DA248" w14:textId="77777777" w:rsidR="00007B78" w:rsidRDefault="00007B78" w:rsidP="00B70DDE"/>
    <w:p w14:paraId="4B876618" w14:textId="77777777" w:rsidR="00177FB9" w:rsidRPr="00177FB9" w:rsidRDefault="00177FB9" w:rsidP="00177FB9">
      <w:pPr>
        <w:keepNext/>
        <w:jc w:val="both"/>
        <w:rPr>
          <w:rFonts w:ascii="Arial" w:hAnsi="Arial" w:cs="Arial"/>
          <w:b/>
          <w:sz w:val="24"/>
          <w:szCs w:val="24"/>
        </w:rPr>
      </w:pPr>
      <w:r w:rsidRPr="00177FB9">
        <w:rPr>
          <w:rFonts w:ascii="Arial" w:hAnsi="Arial" w:cs="Arial"/>
          <w:b/>
          <w:sz w:val="24"/>
          <w:szCs w:val="24"/>
        </w:rPr>
        <w:t>2.0 MATERIALS AND METHODS</w:t>
      </w:r>
    </w:p>
    <w:p w14:paraId="24647A91" w14:textId="77777777" w:rsidR="00177FB9" w:rsidRPr="00177FB9" w:rsidRDefault="00177FB9" w:rsidP="00177FB9">
      <w:pPr>
        <w:autoSpaceDE w:val="0"/>
        <w:autoSpaceDN w:val="0"/>
        <w:adjustRightInd w:val="0"/>
        <w:spacing w:after="0" w:line="360" w:lineRule="auto"/>
        <w:rPr>
          <w:rFonts w:ascii="Arial" w:hAnsi="Arial" w:cs="Arial"/>
          <w:b/>
          <w:bCs/>
          <w:sz w:val="24"/>
          <w:szCs w:val="24"/>
        </w:rPr>
      </w:pPr>
      <w:r>
        <w:rPr>
          <w:rFonts w:ascii="Arial" w:hAnsi="Arial" w:cs="Arial"/>
          <w:b/>
          <w:bCs/>
          <w:sz w:val="24"/>
          <w:szCs w:val="24"/>
          <w:highlight w:val="yellow"/>
        </w:rPr>
        <w:t>Study design and sites</w:t>
      </w:r>
    </w:p>
    <w:p w14:paraId="3DBEC9F8" w14:textId="77777777" w:rsidR="00177FB9" w:rsidRPr="00177FB9" w:rsidRDefault="00177FB9" w:rsidP="00177FB9">
      <w:pPr>
        <w:autoSpaceDE w:val="0"/>
        <w:autoSpaceDN w:val="0"/>
        <w:adjustRightInd w:val="0"/>
        <w:spacing w:after="0" w:line="360" w:lineRule="auto"/>
        <w:jc w:val="both"/>
        <w:rPr>
          <w:rFonts w:ascii="Arial" w:hAnsi="Arial" w:cs="Arial"/>
          <w:bCs/>
          <w:sz w:val="24"/>
          <w:szCs w:val="24"/>
        </w:rPr>
      </w:pPr>
      <w:r w:rsidRPr="00177FB9">
        <w:rPr>
          <w:rFonts w:ascii="Arial" w:hAnsi="Arial" w:cs="Arial"/>
          <w:bCs/>
          <w:sz w:val="24"/>
          <w:szCs w:val="24"/>
        </w:rPr>
        <w:t xml:space="preserve">Two adjacent experimental blocks (each 29 m × 23 m) were established within the park. Within each block, the area was subdivided into 5 m × 5 m </w:t>
      </w:r>
      <w:r>
        <w:rPr>
          <w:rFonts w:ascii="Arial" w:hAnsi="Arial" w:cs="Arial"/>
          <w:bCs/>
          <w:sz w:val="24"/>
          <w:szCs w:val="24"/>
          <w:highlight w:val="yellow"/>
        </w:rPr>
        <w:t>subplots</w:t>
      </w:r>
      <w:r w:rsidRPr="00177FB9">
        <w:rPr>
          <w:rFonts w:ascii="Arial" w:hAnsi="Arial" w:cs="Arial"/>
          <w:bCs/>
          <w:sz w:val="24"/>
          <w:szCs w:val="24"/>
        </w:rPr>
        <w:t xml:space="preserve"> (experimental units) with 1 m buffer zones to </w:t>
      </w:r>
      <w:r>
        <w:rPr>
          <w:rFonts w:ascii="Arial" w:hAnsi="Arial" w:cs="Arial"/>
          <w:bCs/>
          <w:sz w:val="24"/>
          <w:szCs w:val="24"/>
          <w:highlight w:val="yellow"/>
        </w:rPr>
        <w:t>minimise edge effects</w:t>
      </w:r>
      <w:r>
        <w:rPr>
          <w:rFonts w:ascii="Arial" w:hAnsi="Arial" w:cs="Arial"/>
          <w:bCs/>
          <w:sz w:val="24"/>
          <w:szCs w:val="24"/>
        </w:rPr>
        <w:t xml:space="preserve"> and spray drift. </w:t>
      </w:r>
      <w:r>
        <w:rPr>
          <w:rFonts w:ascii="Arial" w:hAnsi="Arial" w:cs="Arial"/>
          <w:bCs/>
          <w:sz w:val="24"/>
          <w:szCs w:val="24"/>
          <w:highlight w:val="yellow"/>
        </w:rPr>
        <w:t>The treatments—mechanical uprooting, Impala herbicide application and an untreated control—were</w:t>
      </w:r>
      <w:r>
        <w:rPr>
          <w:rFonts w:ascii="Arial" w:hAnsi="Arial" w:cs="Arial"/>
          <w:bCs/>
          <w:sz w:val="24"/>
          <w:szCs w:val="24"/>
        </w:rPr>
        <w:t xml:space="preserve"> randomly assigned to subplots in a </w:t>
      </w:r>
      <w:r>
        <w:rPr>
          <w:rFonts w:ascii="Arial" w:hAnsi="Arial" w:cs="Arial"/>
          <w:bCs/>
          <w:sz w:val="24"/>
          <w:szCs w:val="24"/>
          <w:highlight w:val="yellow"/>
        </w:rPr>
        <w:t>randomised complete block design</w:t>
      </w:r>
      <w:r>
        <w:rPr>
          <w:rFonts w:ascii="Arial" w:hAnsi="Arial" w:cs="Arial"/>
          <w:bCs/>
          <w:sz w:val="24"/>
          <w:szCs w:val="24"/>
        </w:rPr>
        <w:t xml:space="preserve"> with a minimum of five replicates per treatment. </w:t>
      </w:r>
      <w:r>
        <w:rPr>
          <w:rFonts w:ascii="Arial" w:hAnsi="Arial" w:cs="Arial"/>
          <w:bCs/>
          <w:sz w:val="24"/>
          <w:szCs w:val="24"/>
          <w:highlight w:val="yellow"/>
        </w:rPr>
        <w:t>Baseline characterisation</w:t>
      </w:r>
      <w:r w:rsidRPr="00177FB9">
        <w:rPr>
          <w:rFonts w:ascii="Arial" w:hAnsi="Arial" w:cs="Arial"/>
          <w:bCs/>
          <w:sz w:val="24"/>
          <w:szCs w:val="24"/>
        </w:rPr>
        <w:t xml:space="preserve"> included systematic pre-treatment soil sampling </w:t>
      </w:r>
      <w:r>
        <w:rPr>
          <w:rFonts w:ascii="Arial" w:hAnsi="Arial" w:cs="Arial"/>
          <w:bCs/>
          <w:sz w:val="24"/>
          <w:szCs w:val="24"/>
          <w:highlight w:val="yellow"/>
        </w:rPr>
        <w:t>using composites of five cores</w:t>
      </w:r>
      <w:r>
        <w:rPr>
          <w:rFonts w:ascii="Arial" w:hAnsi="Arial" w:cs="Arial"/>
          <w:bCs/>
          <w:sz w:val="24"/>
          <w:szCs w:val="24"/>
        </w:rPr>
        <w:t xml:space="preserve"> per subplot from 0–0.15 m, recorded bulk density cores for stock calculations, vegetation cover and species composition surveys, and mapping of topography and microhabitats; these baseline data informed a priori power analyses used to justify replication and detectable effect sizes. Treatments were applied under </w:t>
      </w:r>
      <w:r>
        <w:rPr>
          <w:rFonts w:ascii="Arial" w:hAnsi="Arial" w:cs="Arial"/>
          <w:bCs/>
          <w:sz w:val="24"/>
          <w:szCs w:val="24"/>
          <w:highlight w:val="yellow"/>
        </w:rPr>
        <w:t>standardised conditions</w:t>
      </w:r>
      <w:r>
        <w:rPr>
          <w:rFonts w:ascii="Arial" w:hAnsi="Arial" w:cs="Arial"/>
          <w:bCs/>
          <w:sz w:val="24"/>
          <w:szCs w:val="24"/>
        </w:rPr>
        <w:t xml:space="preserve"> (documented applicator, equipment, nozzle,</w:t>
      </w:r>
      <w:r w:rsidR="00D57F56">
        <w:rPr>
          <w:rFonts w:ascii="Arial" w:hAnsi="Arial" w:cs="Arial"/>
          <w:bCs/>
          <w:sz w:val="24"/>
          <w:szCs w:val="24"/>
        </w:rPr>
        <w:t xml:space="preserve"> pressure, and weather windows).</w:t>
      </w:r>
    </w:p>
    <w:p w14:paraId="5B56F8E6" w14:textId="77777777" w:rsidR="00533BFA" w:rsidRPr="003C56EA" w:rsidRDefault="00533BFA" w:rsidP="003C56EA">
      <w:pPr>
        <w:spacing w:line="240" w:lineRule="auto"/>
        <w:jc w:val="both"/>
        <w:rPr>
          <w:rFonts w:ascii="Arial" w:hAnsi="Arial" w:cs="Arial"/>
          <w:b/>
          <w:bCs/>
          <w:sz w:val="16"/>
          <w:szCs w:val="16"/>
        </w:rPr>
      </w:pPr>
    </w:p>
    <w:p w14:paraId="3297662C" w14:textId="77777777" w:rsidR="00177FB9" w:rsidRPr="00177FB9" w:rsidRDefault="00177FB9" w:rsidP="00177FB9">
      <w:pPr>
        <w:jc w:val="both"/>
        <w:rPr>
          <w:rFonts w:ascii="Arial" w:hAnsi="Arial" w:cs="Arial"/>
          <w:b/>
          <w:bCs/>
          <w:sz w:val="24"/>
          <w:szCs w:val="24"/>
        </w:rPr>
      </w:pPr>
      <w:r>
        <w:rPr>
          <w:rFonts w:ascii="Arial" w:hAnsi="Arial" w:cs="Arial"/>
          <w:b/>
          <w:bCs/>
          <w:sz w:val="24"/>
          <w:szCs w:val="24"/>
          <w:highlight w:val="yellow"/>
        </w:rPr>
        <w:t>Laboratory analysis methods</w:t>
      </w:r>
    </w:p>
    <w:p w14:paraId="75377EEC" w14:textId="77777777" w:rsidR="00533BFA" w:rsidRDefault="00533BFA" w:rsidP="00533BFA">
      <w:pPr>
        <w:autoSpaceDE w:val="0"/>
        <w:autoSpaceDN w:val="0"/>
        <w:adjustRightInd w:val="0"/>
        <w:spacing w:after="0" w:line="360" w:lineRule="auto"/>
        <w:jc w:val="both"/>
        <w:rPr>
          <w:rFonts w:ascii="Arial" w:eastAsiaTheme="minorHAnsi" w:hAnsi="Arial" w:cs="Arial"/>
          <w:bCs/>
          <w:sz w:val="24"/>
          <w:szCs w:val="24"/>
          <w:lang w:eastAsia="en-US"/>
        </w:rPr>
      </w:pPr>
      <w:r w:rsidRPr="00533BFA">
        <w:rPr>
          <w:rFonts w:ascii="Arial" w:eastAsiaTheme="minorHAnsi" w:hAnsi="Arial" w:cs="Arial"/>
          <w:bCs/>
          <w:sz w:val="24"/>
          <w:szCs w:val="24"/>
          <w:lang w:eastAsia="en-US"/>
        </w:rPr>
        <w:t xml:space="preserve">All soil analyses were conducted at the Forestry Research Institute of Malawi (FRIM) Soil Laboratory. Prior to analysis, samples were air-dried at approximately 30 °C, gently crushed, </w:t>
      </w:r>
      <w:proofErr w:type="spellStart"/>
      <w:r w:rsidRPr="00533BFA">
        <w:rPr>
          <w:rFonts w:ascii="Arial" w:eastAsiaTheme="minorHAnsi" w:hAnsi="Arial" w:cs="Arial"/>
          <w:bCs/>
          <w:sz w:val="24"/>
          <w:szCs w:val="24"/>
          <w:lang w:eastAsia="en-US"/>
        </w:rPr>
        <w:t>homogenised</w:t>
      </w:r>
      <w:proofErr w:type="spellEnd"/>
      <w:r w:rsidRPr="00533BFA">
        <w:rPr>
          <w:rFonts w:ascii="Arial" w:eastAsiaTheme="minorHAnsi" w:hAnsi="Arial" w:cs="Arial"/>
          <w:bCs/>
          <w:sz w:val="24"/>
          <w:szCs w:val="24"/>
          <w:lang w:eastAsia="en-US"/>
        </w:rPr>
        <w:t>, and sieved. Material passing a 2-mm sieve was used for soil pH, available phosphorus, and exchangeable-cation analyses, whereas finely ground material passing a 0.2-mm sieve was used for soil organic carbon (SOC) and total nitrogen (TN) determination. Soil pH was measured potentiometrically in a 0.01 M CaCl</w:t>
      </w:r>
      <w:r w:rsidRPr="00D57F56">
        <w:rPr>
          <w:rFonts w:ascii="Arial" w:eastAsiaTheme="minorHAnsi" w:hAnsi="Arial" w:cs="Arial"/>
          <w:bCs/>
          <w:sz w:val="24"/>
          <w:szCs w:val="24"/>
          <w:vertAlign w:val="subscript"/>
          <w:lang w:eastAsia="en-US"/>
        </w:rPr>
        <w:t>2</w:t>
      </w:r>
      <w:r w:rsidR="00D57F56">
        <w:rPr>
          <w:rFonts w:ascii="Arial" w:eastAsiaTheme="minorHAnsi" w:hAnsi="Arial" w:cs="Arial"/>
          <w:bCs/>
          <w:sz w:val="24"/>
          <w:szCs w:val="24"/>
          <w:lang w:eastAsia="en-US"/>
        </w:rPr>
        <w:t xml:space="preserve"> </w:t>
      </w:r>
      <w:r w:rsidRPr="00533BFA">
        <w:rPr>
          <w:rFonts w:ascii="Arial" w:eastAsiaTheme="minorHAnsi" w:hAnsi="Arial" w:cs="Arial"/>
          <w:bCs/>
          <w:sz w:val="24"/>
          <w:szCs w:val="24"/>
          <w:lang w:eastAsia="en-US"/>
        </w:rPr>
        <w:t>suspension at a soil-to-solution ratio of 1:10 (w/v), following 30–60 min of equilibration, using a calibrated glass-electrode pH meter. Measurement of pH in CaCl</w:t>
      </w:r>
      <w:r w:rsidRPr="00D57F56">
        <w:rPr>
          <w:rFonts w:ascii="Arial" w:eastAsiaTheme="minorHAnsi" w:hAnsi="Arial" w:cs="Arial"/>
          <w:bCs/>
          <w:sz w:val="24"/>
          <w:szCs w:val="24"/>
          <w:vertAlign w:val="subscript"/>
          <w:lang w:eastAsia="en-US"/>
        </w:rPr>
        <w:t>2</w:t>
      </w:r>
      <w:r w:rsidR="00D57F56">
        <w:rPr>
          <w:rFonts w:ascii="Arial" w:eastAsiaTheme="minorHAnsi" w:hAnsi="Arial" w:cs="Arial"/>
          <w:bCs/>
          <w:sz w:val="24"/>
          <w:szCs w:val="24"/>
          <w:lang w:eastAsia="en-US"/>
        </w:rPr>
        <w:t xml:space="preserve"> </w:t>
      </w:r>
      <w:r w:rsidRPr="00533BFA">
        <w:rPr>
          <w:rFonts w:ascii="Arial" w:eastAsiaTheme="minorHAnsi" w:hAnsi="Arial" w:cs="Arial"/>
          <w:bCs/>
          <w:sz w:val="24"/>
          <w:szCs w:val="24"/>
          <w:lang w:eastAsia="en-US"/>
        </w:rPr>
        <w:t>was selected to provide a consistent measure of effective soil acidity in these strongly acidic, variable-charge tropical soils (</w:t>
      </w:r>
      <w:proofErr w:type="spellStart"/>
      <w:r w:rsidRPr="00533BFA">
        <w:rPr>
          <w:rFonts w:ascii="Arial" w:eastAsiaTheme="minorHAnsi" w:hAnsi="Arial" w:cs="Arial"/>
          <w:bCs/>
          <w:sz w:val="24"/>
          <w:szCs w:val="24"/>
          <w:lang w:eastAsia="en-US"/>
        </w:rPr>
        <w:t>Okalebo</w:t>
      </w:r>
      <w:proofErr w:type="spellEnd"/>
      <w:r w:rsidRPr="00533BFA">
        <w:rPr>
          <w:rFonts w:ascii="Arial" w:eastAsiaTheme="minorHAnsi" w:hAnsi="Arial" w:cs="Arial"/>
          <w:bCs/>
          <w:sz w:val="24"/>
          <w:szCs w:val="24"/>
          <w:lang w:eastAsia="en-US"/>
        </w:rPr>
        <w:t xml:space="preserve"> et al., 2002; Tan, 2005; Brady &amp; Weil, 2016).</w:t>
      </w:r>
    </w:p>
    <w:p w14:paraId="6D0D14E0" w14:textId="77777777" w:rsidR="00533BFA" w:rsidRPr="003C56EA" w:rsidRDefault="00533BFA" w:rsidP="003C56EA">
      <w:pPr>
        <w:autoSpaceDE w:val="0"/>
        <w:autoSpaceDN w:val="0"/>
        <w:adjustRightInd w:val="0"/>
        <w:spacing w:after="0" w:line="240" w:lineRule="auto"/>
        <w:jc w:val="both"/>
        <w:rPr>
          <w:rFonts w:ascii="Arial" w:eastAsiaTheme="minorHAnsi" w:hAnsi="Arial" w:cs="Arial"/>
          <w:bCs/>
          <w:sz w:val="16"/>
          <w:szCs w:val="16"/>
          <w:lang w:eastAsia="en-US"/>
        </w:rPr>
      </w:pPr>
    </w:p>
    <w:p w14:paraId="29E6BA01" w14:textId="77777777" w:rsidR="00533BFA" w:rsidRDefault="00533BFA" w:rsidP="00533BFA">
      <w:pPr>
        <w:autoSpaceDE w:val="0"/>
        <w:autoSpaceDN w:val="0"/>
        <w:adjustRightInd w:val="0"/>
        <w:spacing w:after="0" w:line="360" w:lineRule="auto"/>
        <w:jc w:val="both"/>
        <w:rPr>
          <w:rFonts w:ascii="Arial" w:eastAsiaTheme="minorHAnsi" w:hAnsi="Arial" w:cs="Arial"/>
          <w:bCs/>
          <w:sz w:val="24"/>
          <w:szCs w:val="24"/>
          <w:lang w:eastAsia="en-US"/>
        </w:rPr>
      </w:pPr>
      <w:r w:rsidRPr="00533BFA">
        <w:rPr>
          <w:rFonts w:ascii="Arial" w:eastAsiaTheme="minorHAnsi" w:hAnsi="Arial" w:cs="Arial"/>
          <w:bCs/>
          <w:sz w:val="24"/>
          <w:szCs w:val="24"/>
          <w:lang w:eastAsia="en-US"/>
        </w:rPr>
        <w:t xml:space="preserve">Soil organic carbon was determined using the Walkley–Black wet-oxidation procedure. Briefly, organic carbon was </w:t>
      </w:r>
      <w:proofErr w:type="spellStart"/>
      <w:r w:rsidRPr="00533BFA">
        <w:rPr>
          <w:rFonts w:ascii="Arial" w:eastAsiaTheme="minorHAnsi" w:hAnsi="Arial" w:cs="Arial"/>
          <w:bCs/>
          <w:sz w:val="24"/>
          <w:szCs w:val="24"/>
          <w:lang w:eastAsia="en-US"/>
        </w:rPr>
        <w:t>oxidised</w:t>
      </w:r>
      <w:proofErr w:type="spellEnd"/>
      <w:r w:rsidRPr="00533BFA">
        <w:rPr>
          <w:rFonts w:ascii="Arial" w:eastAsiaTheme="minorHAnsi" w:hAnsi="Arial" w:cs="Arial"/>
          <w:bCs/>
          <w:sz w:val="24"/>
          <w:szCs w:val="24"/>
          <w:lang w:eastAsia="en-US"/>
        </w:rPr>
        <w:t xml:space="preserve"> with potassium dichromate (K2Cr2O7K2​Cr2​O7​) in concentrated sulfuric acid (H</w:t>
      </w:r>
      <w:r w:rsidRPr="00D57F56">
        <w:rPr>
          <w:rFonts w:ascii="Arial" w:eastAsiaTheme="minorHAnsi" w:hAnsi="Arial" w:cs="Arial"/>
          <w:bCs/>
          <w:sz w:val="24"/>
          <w:szCs w:val="24"/>
          <w:vertAlign w:val="subscript"/>
          <w:lang w:eastAsia="en-US"/>
        </w:rPr>
        <w:t>2</w:t>
      </w:r>
      <w:r w:rsidRPr="00533BFA">
        <w:rPr>
          <w:rFonts w:ascii="Arial" w:eastAsiaTheme="minorHAnsi" w:hAnsi="Arial" w:cs="Arial"/>
          <w:bCs/>
          <w:sz w:val="24"/>
          <w:szCs w:val="24"/>
          <w:lang w:eastAsia="en-US"/>
        </w:rPr>
        <w:t>SO</w:t>
      </w:r>
      <w:r w:rsidRPr="00D57F56">
        <w:rPr>
          <w:rFonts w:ascii="Arial" w:eastAsiaTheme="minorHAnsi" w:hAnsi="Arial" w:cs="Arial"/>
          <w:bCs/>
          <w:sz w:val="24"/>
          <w:szCs w:val="24"/>
          <w:vertAlign w:val="subscript"/>
          <w:lang w:eastAsia="en-US"/>
        </w:rPr>
        <w:t>4</w:t>
      </w:r>
      <w:r w:rsidRPr="00533BFA">
        <w:rPr>
          <w:rFonts w:ascii="Arial" w:eastAsiaTheme="minorHAnsi" w:hAnsi="Arial" w:cs="Arial"/>
          <w:bCs/>
          <w:sz w:val="24"/>
          <w:szCs w:val="24"/>
          <w:lang w:eastAsia="en-US"/>
        </w:rPr>
        <w:t>H</w:t>
      </w:r>
      <w:r w:rsidRPr="00D57F56">
        <w:rPr>
          <w:rFonts w:ascii="Arial" w:eastAsiaTheme="minorHAnsi" w:hAnsi="Arial" w:cs="Arial"/>
          <w:bCs/>
          <w:sz w:val="24"/>
          <w:szCs w:val="24"/>
          <w:vertAlign w:val="subscript"/>
          <w:lang w:eastAsia="en-US"/>
        </w:rPr>
        <w:t>2</w:t>
      </w:r>
      <w:r w:rsidRPr="00533BFA">
        <w:rPr>
          <w:rFonts w:ascii="Arial" w:eastAsiaTheme="minorHAnsi" w:hAnsi="Arial" w:cs="Arial"/>
          <w:bCs/>
          <w:sz w:val="24"/>
          <w:szCs w:val="24"/>
          <w:lang w:eastAsia="en-US"/>
        </w:rPr>
        <w:t>​SO</w:t>
      </w:r>
      <w:r w:rsidRPr="00D57F56">
        <w:rPr>
          <w:rFonts w:ascii="Arial" w:eastAsiaTheme="minorHAnsi" w:hAnsi="Arial" w:cs="Arial"/>
          <w:bCs/>
          <w:sz w:val="24"/>
          <w:szCs w:val="24"/>
          <w:vertAlign w:val="subscript"/>
          <w:lang w:eastAsia="en-US"/>
        </w:rPr>
        <w:t>4</w:t>
      </w:r>
      <w:r w:rsidRPr="00533BFA">
        <w:rPr>
          <w:rFonts w:ascii="Arial" w:eastAsiaTheme="minorHAnsi" w:hAnsi="Arial" w:cs="Arial"/>
          <w:bCs/>
          <w:sz w:val="24"/>
          <w:szCs w:val="24"/>
          <w:lang w:eastAsia="en-US"/>
        </w:rPr>
        <w:t xml:space="preserve">​), after which the residual dichromate was back-titrated with </w:t>
      </w:r>
      <w:proofErr w:type="spellStart"/>
      <w:r w:rsidRPr="00533BFA">
        <w:rPr>
          <w:rFonts w:ascii="Arial" w:eastAsiaTheme="minorHAnsi" w:hAnsi="Arial" w:cs="Arial"/>
          <w:bCs/>
          <w:sz w:val="24"/>
          <w:szCs w:val="24"/>
          <w:lang w:eastAsia="en-US"/>
        </w:rPr>
        <w:t>standardised</w:t>
      </w:r>
      <w:proofErr w:type="spellEnd"/>
      <w:r w:rsidRPr="00533BFA">
        <w:rPr>
          <w:rFonts w:ascii="Arial" w:eastAsiaTheme="minorHAnsi" w:hAnsi="Arial" w:cs="Arial"/>
          <w:bCs/>
          <w:sz w:val="24"/>
          <w:szCs w:val="24"/>
          <w:lang w:eastAsia="en-US"/>
        </w:rPr>
        <w:t xml:space="preserve"> ferrous ammonium sulfate. Total nitrogen was determined using the Kjeldahl method, involving digestion of soil with concentrated sulfuric acid in the presence of selenium–</w:t>
      </w:r>
      <w:r w:rsidRPr="00533BFA">
        <w:rPr>
          <w:rFonts w:ascii="Arial" w:eastAsiaTheme="minorHAnsi" w:hAnsi="Arial" w:cs="Arial"/>
          <w:bCs/>
          <w:sz w:val="24"/>
          <w:szCs w:val="24"/>
          <w:lang w:eastAsia="en-US"/>
        </w:rPr>
        <w:lastRenderedPageBreak/>
        <w:t>copper sulfate catalyst, conversion of organic and ammonium nitrogen to ammonium sulfate, steam distillation of liberated ammonia into boric acid, an</w:t>
      </w:r>
      <w:r w:rsidR="00D57F56">
        <w:rPr>
          <w:rFonts w:ascii="Arial" w:eastAsiaTheme="minorHAnsi" w:hAnsi="Arial" w:cs="Arial"/>
          <w:bCs/>
          <w:sz w:val="24"/>
          <w:szCs w:val="24"/>
          <w:lang w:eastAsia="en-US"/>
        </w:rPr>
        <w:t xml:space="preserve">d titration with standard acid </w:t>
      </w:r>
      <w:r w:rsidRPr="00533BFA">
        <w:rPr>
          <w:rFonts w:ascii="Arial" w:eastAsiaTheme="minorHAnsi" w:hAnsi="Arial" w:cs="Arial"/>
          <w:bCs/>
          <w:sz w:val="24"/>
          <w:szCs w:val="24"/>
          <w:lang w:eastAsia="en-US"/>
        </w:rPr>
        <w:t>(</w:t>
      </w:r>
      <w:proofErr w:type="spellStart"/>
      <w:r w:rsidRPr="00533BFA">
        <w:rPr>
          <w:rFonts w:ascii="Arial" w:eastAsiaTheme="minorHAnsi" w:hAnsi="Arial" w:cs="Arial"/>
          <w:bCs/>
          <w:sz w:val="24"/>
          <w:szCs w:val="24"/>
          <w:lang w:eastAsia="en-US"/>
        </w:rPr>
        <w:t>Okalebo</w:t>
      </w:r>
      <w:proofErr w:type="spellEnd"/>
      <w:r w:rsidRPr="00533BFA">
        <w:rPr>
          <w:rFonts w:ascii="Arial" w:eastAsiaTheme="minorHAnsi" w:hAnsi="Arial" w:cs="Arial"/>
          <w:bCs/>
          <w:sz w:val="24"/>
          <w:szCs w:val="24"/>
          <w:lang w:eastAsia="en-US"/>
        </w:rPr>
        <w:t xml:space="preserve"> et al., 2002; Brady &amp; Weil, 2016; Tan, 2005).</w:t>
      </w:r>
    </w:p>
    <w:p w14:paraId="137A901B" w14:textId="77777777" w:rsidR="00533BFA" w:rsidRPr="003C56EA" w:rsidRDefault="00533BFA" w:rsidP="003C56EA">
      <w:pPr>
        <w:autoSpaceDE w:val="0"/>
        <w:autoSpaceDN w:val="0"/>
        <w:adjustRightInd w:val="0"/>
        <w:spacing w:after="0" w:line="240" w:lineRule="auto"/>
        <w:jc w:val="both"/>
        <w:rPr>
          <w:rFonts w:ascii="Arial" w:eastAsiaTheme="minorHAnsi" w:hAnsi="Arial" w:cs="Arial"/>
          <w:bCs/>
          <w:sz w:val="16"/>
          <w:szCs w:val="16"/>
          <w:lang w:eastAsia="en-US"/>
        </w:rPr>
      </w:pPr>
    </w:p>
    <w:p w14:paraId="5FF72A2F" w14:textId="77777777" w:rsidR="00533BFA" w:rsidRDefault="00533BFA" w:rsidP="00533BFA">
      <w:pPr>
        <w:autoSpaceDE w:val="0"/>
        <w:autoSpaceDN w:val="0"/>
        <w:adjustRightInd w:val="0"/>
        <w:spacing w:after="0" w:line="360" w:lineRule="auto"/>
        <w:jc w:val="both"/>
        <w:rPr>
          <w:rFonts w:ascii="Arial" w:eastAsiaTheme="minorHAnsi" w:hAnsi="Arial" w:cs="Arial"/>
          <w:bCs/>
          <w:sz w:val="24"/>
          <w:szCs w:val="24"/>
          <w:lang w:eastAsia="en-US"/>
        </w:rPr>
      </w:pPr>
      <w:r w:rsidRPr="00533BFA">
        <w:rPr>
          <w:rFonts w:ascii="Arial" w:eastAsiaTheme="minorHAnsi" w:hAnsi="Arial" w:cs="Arial"/>
          <w:bCs/>
          <w:sz w:val="24"/>
          <w:szCs w:val="24"/>
          <w:lang w:eastAsia="en-US"/>
        </w:rPr>
        <w:t xml:space="preserve">Available phosphorus and exchangeable calcium and magnesium were extracted using Mehlich-3 solution at a soil-to-extractant ratio of 1:10 (w/v). Soil suspensions were shaken end-over-end for 5 min at 200 rpm and filtered before analysis. Phosphorus concentration in the extract was quantified </w:t>
      </w:r>
      <w:proofErr w:type="spellStart"/>
      <w:r w:rsidRPr="00533BFA">
        <w:rPr>
          <w:rFonts w:ascii="Arial" w:eastAsiaTheme="minorHAnsi" w:hAnsi="Arial" w:cs="Arial"/>
          <w:bCs/>
          <w:sz w:val="24"/>
          <w:szCs w:val="24"/>
          <w:lang w:eastAsia="en-US"/>
        </w:rPr>
        <w:t>colorimetrically</w:t>
      </w:r>
      <w:proofErr w:type="spellEnd"/>
      <w:r w:rsidRPr="00533BFA">
        <w:rPr>
          <w:rFonts w:ascii="Arial" w:eastAsiaTheme="minorHAnsi" w:hAnsi="Arial" w:cs="Arial"/>
          <w:bCs/>
          <w:sz w:val="24"/>
          <w:szCs w:val="24"/>
          <w:lang w:eastAsia="en-US"/>
        </w:rPr>
        <w:t xml:space="preserve"> </w:t>
      </w:r>
      <w:r>
        <w:rPr>
          <w:rFonts w:ascii="Arial" w:eastAsiaTheme="minorHAnsi" w:hAnsi="Arial" w:cs="Arial"/>
          <w:bCs/>
          <w:sz w:val="24"/>
          <w:szCs w:val="24"/>
          <w:highlight w:val="yellow"/>
          <w:lang w:eastAsia="en-US"/>
        </w:rPr>
        <w:t>using the Murphy and Riley (1962) molybdenum-blue method</w:t>
      </w:r>
      <w:r>
        <w:rPr>
          <w:rFonts w:ascii="Arial" w:eastAsiaTheme="minorHAnsi" w:hAnsi="Arial" w:cs="Arial"/>
          <w:bCs/>
          <w:sz w:val="24"/>
          <w:szCs w:val="24"/>
          <w:lang w:eastAsia="en-US"/>
        </w:rPr>
        <w:t xml:space="preserve"> with ascorbic </w:t>
      </w:r>
      <w:r w:rsidRPr="00533BFA">
        <w:rPr>
          <w:rFonts w:ascii="Arial" w:eastAsiaTheme="minorHAnsi" w:hAnsi="Arial" w:cs="Arial"/>
          <w:bCs/>
          <w:sz w:val="24"/>
          <w:szCs w:val="24"/>
          <w:lang w:eastAsia="en-US"/>
        </w:rPr>
        <w:t xml:space="preserve">acid as the reducing agent and measurement on a UV–visible spectrophotometer. Exchangeable Ca and Mg were determined by inductively coupled plasma optical-emission spectrometry (ICP–OES), using matrix-matched calibration standards to reduce analytical interference. </w:t>
      </w:r>
    </w:p>
    <w:p w14:paraId="281A26C4" w14:textId="77777777" w:rsidR="00533BFA" w:rsidRPr="003C56EA" w:rsidRDefault="00533BFA" w:rsidP="003C56EA">
      <w:pPr>
        <w:autoSpaceDE w:val="0"/>
        <w:autoSpaceDN w:val="0"/>
        <w:adjustRightInd w:val="0"/>
        <w:spacing w:after="0" w:line="240" w:lineRule="auto"/>
        <w:jc w:val="both"/>
        <w:rPr>
          <w:rFonts w:ascii="Arial" w:eastAsiaTheme="minorHAnsi" w:hAnsi="Arial" w:cs="Arial"/>
          <w:bCs/>
          <w:sz w:val="16"/>
          <w:szCs w:val="16"/>
          <w:lang w:eastAsia="en-US"/>
        </w:rPr>
      </w:pPr>
    </w:p>
    <w:p w14:paraId="0E4DF0F1" w14:textId="77777777" w:rsidR="00533BFA" w:rsidRPr="00533BFA" w:rsidRDefault="00533BFA" w:rsidP="00533BFA">
      <w:pPr>
        <w:autoSpaceDE w:val="0"/>
        <w:autoSpaceDN w:val="0"/>
        <w:adjustRightInd w:val="0"/>
        <w:spacing w:after="0" w:line="360" w:lineRule="auto"/>
        <w:jc w:val="both"/>
        <w:rPr>
          <w:rFonts w:ascii="Arial" w:eastAsiaTheme="minorHAnsi" w:hAnsi="Arial" w:cs="Arial"/>
          <w:bCs/>
          <w:sz w:val="24"/>
          <w:szCs w:val="24"/>
          <w:lang w:eastAsia="en-US"/>
        </w:rPr>
      </w:pPr>
      <w:r w:rsidRPr="00533BFA">
        <w:rPr>
          <w:rFonts w:ascii="Arial" w:eastAsiaTheme="minorHAnsi" w:hAnsi="Arial" w:cs="Arial"/>
          <w:bCs/>
          <w:sz w:val="24"/>
          <w:szCs w:val="24"/>
          <w:lang w:eastAsia="en-US"/>
        </w:rPr>
        <w:t xml:space="preserve">Analytical quality assurance and quality control procedures included reagent blanks, duplicate analysis of samples, spiked-sample recovery tests, and use of certified reference materials. Duplicate analyses were maintained at a coefficient of variation below 5%, while spike recoveries were maintained within 90–105%. </w:t>
      </w:r>
      <w:r>
        <w:rPr>
          <w:rFonts w:ascii="Arial" w:eastAsiaTheme="minorHAnsi" w:hAnsi="Arial" w:cs="Arial"/>
          <w:bCs/>
          <w:sz w:val="24"/>
          <w:szCs w:val="24"/>
          <w:highlight w:val="yellow"/>
          <w:lang w:eastAsia="en-US"/>
        </w:rPr>
        <w:t>A graphite furnace atomic absorption spectrophotometer</w:t>
      </w:r>
      <w:r>
        <w:rPr>
          <w:rFonts w:ascii="Arial" w:eastAsiaTheme="minorHAnsi" w:hAnsi="Arial" w:cs="Arial"/>
          <w:bCs/>
          <w:sz w:val="24"/>
          <w:szCs w:val="24"/>
          <w:lang w:eastAsia="en-US"/>
        </w:rPr>
        <w:t xml:space="preserve"> (GFAA-7000 series) was used as an additional quality-control instrument for cation verification, and a UV–visible 1800 spectrophotometer was used for phosphorus determination. These </w:t>
      </w:r>
      <w:proofErr w:type="spellStart"/>
      <w:r w:rsidRPr="00533BFA">
        <w:rPr>
          <w:rFonts w:ascii="Arial" w:eastAsiaTheme="minorHAnsi" w:hAnsi="Arial" w:cs="Arial"/>
          <w:bCs/>
          <w:sz w:val="24"/>
          <w:szCs w:val="24"/>
          <w:lang w:eastAsia="en-US"/>
        </w:rPr>
        <w:t>standardised</w:t>
      </w:r>
      <w:proofErr w:type="spellEnd"/>
      <w:r w:rsidRPr="00533BFA">
        <w:rPr>
          <w:rFonts w:ascii="Arial" w:eastAsiaTheme="minorHAnsi" w:hAnsi="Arial" w:cs="Arial"/>
          <w:bCs/>
          <w:sz w:val="24"/>
          <w:szCs w:val="24"/>
          <w:lang w:eastAsia="en-US"/>
        </w:rPr>
        <w:t xml:space="preserve"> laboratory procedures were selected to ensure reliable, reproducible, and comparable measurements of soil physicochemical properties in the acidic montane soils of Nyika National Park (</w:t>
      </w:r>
      <w:proofErr w:type="spellStart"/>
      <w:r w:rsidRPr="00533BFA">
        <w:rPr>
          <w:rFonts w:ascii="Arial" w:eastAsiaTheme="minorHAnsi" w:hAnsi="Arial" w:cs="Arial"/>
          <w:bCs/>
          <w:sz w:val="24"/>
          <w:szCs w:val="24"/>
          <w:lang w:eastAsia="en-US"/>
        </w:rPr>
        <w:t>Okalebo</w:t>
      </w:r>
      <w:proofErr w:type="spellEnd"/>
      <w:r w:rsidRPr="00533BFA">
        <w:rPr>
          <w:rFonts w:ascii="Arial" w:eastAsiaTheme="minorHAnsi" w:hAnsi="Arial" w:cs="Arial"/>
          <w:bCs/>
          <w:sz w:val="24"/>
          <w:szCs w:val="24"/>
          <w:lang w:eastAsia="en-US"/>
        </w:rPr>
        <w:t xml:space="preserve"> et al., 2002; Brady &amp; Weil, 2016; Tan, 2005).</w:t>
      </w:r>
    </w:p>
    <w:p w14:paraId="5F2108D1" w14:textId="77777777" w:rsidR="003C56EA" w:rsidRDefault="003C56EA" w:rsidP="00177FB9">
      <w:pPr>
        <w:autoSpaceDE w:val="0"/>
        <w:autoSpaceDN w:val="0"/>
        <w:adjustRightInd w:val="0"/>
        <w:spacing w:after="0" w:line="360" w:lineRule="auto"/>
        <w:rPr>
          <w:rFonts w:ascii="Arial" w:eastAsiaTheme="minorHAnsi" w:hAnsi="Arial" w:cs="Arial"/>
          <w:b/>
          <w:bCs/>
          <w:sz w:val="24"/>
          <w:szCs w:val="24"/>
          <w:lang w:eastAsia="en-US"/>
        </w:rPr>
      </w:pPr>
    </w:p>
    <w:p w14:paraId="115C2DC5" w14:textId="77777777" w:rsidR="00177FB9" w:rsidRPr="00177FB9" w:rsidRDefault="00177FB9" w:rsidP="00177FB9">
      <w:pPr>
        <w:autoSpaceDE w:val="0"/>
        <w:autoSpaceDN w:val="0"/>
        <w:adjustRightInd w:val="0"/>
        <w:spacing w:after="0" w:line="360" w:lineRule="auto"/>
        <w:rPr>
          <w:rFonts w:ascii="Arial" w:eastAsiaTheme="minorHAnsi" w:hAnsi="Arial" w:cs="Arial"/>
          <w:b/>
          <w:bCs/>
          <w:sz w:val="24"/>
          <w:szCs w:val="24"/>
          <w:lang w:eastAsia="en-US"/>
        </w:rPr>
      </w:pPr>
      <w:r w:rsidRPr="00177FB9">
        <w:rPr>
          <w:rFonts w:ascii="Arial" w:eastAsiaTheme="minorHAnsi" w:hAnsi="Arial" w:cs="Arial"/>
          <w:b/>
          <w:bCs/>
          <w:sz w:val="24"/>
          <w:szCs w:val="24"/>
          <w:lang w:eastAsia="en-US"/>
        </w:rPr>
        <w:t>Study site description</w:t>
      </w:r>
    </w:p>
    <w:p w14:paraId="18548B00" w14:textId="77777777" w:rsidR="00177FB9" w:rsidRPr="00177FB9" w:rsidRDefault="00177FB9" w:rsidP="00177FB9">
      <w:pPr>
        <w:autoSpaceDE w:val="0"/>
        <w:autoSpaceDN w:val="0"/>
        <w:adjustRightInd w:val="0"/>
        <w:spacing w:after="0" w:line="240" w:lineRule="auto"/>
        <w:rPr>
          <w:rFonts w:ascii="Arial" w:eastAsiaTheme="minorHAnsi" w:hAnsi="Arial" w:cs="Arial"/>
          <w:bCs/>
          <w:sz w:val="24"/>
          <w:szCs w:val="24"/>
          <w:lang w:eastAsia="en-US"/>
        </w:rPr>
      </w:pPr>
      <w:r w:rsidRPr="00177FB9">
        <w:rPr>
          <w:rFonts w:ascii="Arial" w:eastAsiaTheme="minorHAnsi" w:hAnsi="Arial" w:cs="Arial"/>
          <w:bCs/>
          <w:sz w:val="24"/>
          <w:szCs w:val="24"/>
          <w:lang w:eastAsia="en-US"/>
        </w:rPr>
        <w:t>Table 1: Site description for the study area; Black wattle experimental plot</w:t>
      </w:r>
      <w:r w:rsidR="00533BFA">
        <w:rPr>
          <w:rFonts w:ascii="Arial" w:eastAsiaTheme="minorHAnsi" w:hAnsi="Arial" w:cs="Arial"/>
          <w:bCs/>
          <w:sz w:val="24"/>
          <w:szCs w:val="24"/>
          <w:lang w:eastAsia="en-US"/>
        </w:rPr>
        <w:t>s</w:t>
      </w:r>
      <w:r w:rsidRPr="00177FB9">
        <w:rPr>
          <w:rFonts w:ascii="Arial" w:eastAsiaTheme="minorHAnsi" w:hAnsi="Arial" w:cs="Arial"/>
          <w:bCs/>
          <w:sz w:val="24"/>
          <w:szCs w:val="24"/>
          <w:lang w:eastAsia="en-US"/>
        </w:rPr>
        <w:t xml:space="preserve"> at Chelinda Camp in Nyika National Park</w:t>
      </w:r>
    </w:p>
    <w:tbl>
      <w:tblPr>
        <w:tblW w:w="10580" w:type="dxa"/>
        <w:jc w:val="center"/>
        <w:tblBorders>
          <w:top w:val="single" w:sz="4" w:space="0" w:color="auto"/>
          <w:bottom w:val="single" w:sz="4" w:space="0" w:color="auto"/>
        </w:tblBorders>
        <w:tblLayout w:type="fixed"/>
        <w:tblLook w:val="04A0" w:firstRow="1" w:lastRow="0" w:firstColumn="1" w:lastColumn="0" w:noHBand="0" w:noVBand="1"/>
      </w:tblPr>
      <w:tblGrid>
        <w:gridCol w:w="604"/>
        <w:gridCol w:w="1510"/>
        <w:gridCol w:w="1095"/>
        <w:gridCol w:w="1822"/>
        <w:gridCol w:w="1722"/>
        <w:gridCol w:w="1134"/>
        <w:gridCol w:w="1001"/>
        <w:gridCol w:w="1692"/>
      </w:tblGrid>
      <w:tr w:rsidR="00177FB9" w:rsidRPr="00177FB9" w14:paraId="344A8A43" w14:textId="77777777" w:rsidTr="00416DDB">
        <w:trPr>
          <w:jc w:val="center"/>
        </w:trPr>
        <w:tc>
          <w:tcPr>
            <w:tcW w:w="604" w:type="dxa"/>
            <w:tcBorders>
              <w:top w:val="single" w:sz="4" w:space="0" w:color="auto"/>
              <w:bottom w:val="single" w:sz="4" w:space="0" w:color="auto"/>
            </w:tcBorders>
            <w:vAlign w:val="center"/>
          </w:tcPr>
          <w:p w14:paraId="7E654DD2" w14:textId="77777777" w:rsidR="00177FB9" w:rsidRPr="004277E9" w:rsidRDefault="00177FB9" w:rsidP="00C104CA">
            <w:pPr>
              <w:autoSpaceDE w:val="0"/>
              <w:autoSpaceDN w:val="0"/>
              <w:adjustRightInd w:val="0"/>
              <w:spacing w:after="0" w:line="240" w:lineRule="auto"/>
              <w:rPr>
                <w:rFonts w:ascii="Arial" w:eastAsiaTheme="minorHAnsi" w:hAnsi="Arial" w:cs="Arial"/>
                <w:bCs/>
                <w:sz w:val="24"/>
                <w:szCs w:val="24"/>
                <w:lang w:val="en-GB" w:eastAsia="en-US"/>
              </w:rPr>
            </w:pPr>
            <w:r w:rsidRPr="004277E9">
              <w:rPr>
                <w:rFonts w:ascii="Arial" w:eastAsiaTheme="minorHAnsi" w:hAnsi="Arial" w:cs="Arial"/>
                <w:bCs/>
                <w:sz w:val="24"/>
                <w:szCs w:val="24"/>
                <w:lang w:val="en-GB" w:eastAsia="en-US"/>
              </w:rPr>
              <w:t>No.</w:t>
            </w:r>
          </w:p>
        </w:tc>
        <w:tc>
          <w:tcPr>
            <w:tcW w:w="1510" w:type="dxa"/>
            <w:tcBorders>
              <w:top w:val="single" w:sz="4" w:space="0" w:color="auto"/>
              <w:bottom w:val="single" w:sz="4" w:space="0" w:color="auto"/>
            </w:tcBorders>
            <w:vAlign w:val="center"/>
          </w:tcPr>
          <w:p w14:paraId="0F6774CB" w14:textId="77777777" w:rsidR="00177FB9" w:rsidRPr="004277E9" w:rsidRDefault="00177FB9" w:rsidP="00C104CA">
            <w:pPr>
              <w:autoSpaceDE w:val="0"/>
              <w:autoSpaceDN w:val="0"/>
              <w:adjustRightInd w:val="0"/>
              <w:spacing w:after="0" w:line="240" w:lineRule="auto"/>
              <w:rPr>
                <w:rFonts w:ascii="Arial" w:eastAsiaTheme="minorHAnsi" w:hAnsi="Arial" w:cs="Arial"/>
                <w:bCs/>
                <w:sz w:val="24"/>
                <w:szCs w:val="24"/>
                <w:lang w:val="en-GB" w:eastAsia="en-US"/>
              </w:rPr>
            </w:pPr>
            <w:r w:rsidRPr="004277E9">
              <w:rPr>
                <w:rFonts w:ascii="Arial" w:eastAsiaTheme="minorHAnsi" w:hAnsi="Arial" w:cs="Arial"/>
                <w:bCs/>
                <w:sz w:val="24"/>
                <w:szCs w:val="24"/>
                <w:lang w:val="en-GB" w:eastAsia="en-US"/>
              </w:rPr>
              <w:t>Location</w:t>
            </w:r>
          </w:p>
        </w:tc>
        <w:tc>
          <w:tcPr>
            <w:tcW w:w="1095" w:type="dxa"/>
            <w:tcBorders>
              <w:top w:val="single" w:sz="4" w:space="0" w:color="auto"/>
              <w:bottom w:val="single" w:sz="4" w:space="0" w:color="auto"/>
            </w:tcBorders>
            <w:vAlign w:val="center"/>
          </w:tcPr>
          <w:p w14:paraId="0EF83AD5" w14:textId="77777777" w:rsidR="00177FB9" w:rsidRPr="004277E9" w:rsidRDefault="00177FB9" w:rsidP="00C104CA">
            <w:pPr>
              <w:autoSpaceDE w:val="0"/>
              <w:autoSpaceDN w:val="0"/>
              <w:adjustRightInd w:val="0"/>
              <w:spacing w:after="0" w:line="240" w:lineRule="auto"/>
              <w:rPr>
                <w:rFonts w:ascii="Arial" w:eastAsiaTheme="minorHAnsi" w:hAnsi="Arial" w:cs="Arial"/>
                <w:bCs/>
                <w:sz w:val="24"/>
                <w:szCs w:val="24"/>
                <w:lang w:val="en-GB" w:eastAsia="en-US"/>
              </w:rPr>
            </w:pPr>
            <w:r w:rsidRPr="004277E9">
              <w:rPr>
                <w:rFonts w:ascii="Arial" w:eastAsiaTheme="minorHAnsi" w:hAnsi="Arial" w:cs="Arial"/>
                <w:bCs/>
                <w:sz w:val="24"/>
                <w:szCs w:val="24"/>
                <w:lang w:val="en-GB" w:eastAsia="en-US"/>
              </w:rPr>
              <w:t>Site</w:t>
            </w:r>
          </w:p>
        </w:tc>
        <w:tc>
          <w:tcPr>
            <w:tcW w:w="1822" w:type="dxa"/>
            <w:tcBorders>
              <w:top w:val="single" w:sz="4" w:space="0" w:color="auto"/>
              <w:bottom w:val="single" w:sz="4" w:space="0" w:color="auto"/>
            </w:tcBorders>
            <w:vAlign w:val="center"/>
          </w:tcPr>
          <w:p w14:paraId="63F5C1DD" w14:textId="77777777" w:rsidR="00177FB9" w:rsidRPr="004277E9" w:rsidRDefault="00177FB9" w:rsidP="00C104CA">
            <w:pPr>
              <w:autoSpaceDE w:val="0"/>
              <w:autoSpaceDN w:val="0"/>
              <w:adjustRightInd w:val="0"/>
              <w:spacing w:after="0" w:line="240" w:lineRule="auto"/>
              <w:jc w:val="center"/>
              <w:rPr>
                <w:rFonts w:ascii="Arial" w:eastAsiaTheme="minorHAnsi" w:hAnsi="Arial" w:cs="Arial"/>
                <w:bCs/>
                <w:sz w:val="24"/>
                <w:szCs w:val="24"/>
                <w:lang w:val="en-GB" w:eastAsia="en-US"/>
              </w:rPr>
            </w:pPr>
            <w:r w:rsidRPr="004277E9">
              <w:rPr>
                <w:rFonts w:ascii="Arial" w:eastAsiaTheme="minorHAnsi" w:hAnsi="Arial" w:cs="Arial"/>
                <w:bCs/>
                <w:sz w:val="24"/>
                <w:szCs w:val="24"/>
                <w:lang w:val="en-GB" w:eastAsia="en-US"/>
              </w:rPr>
              <w:t>Latitude</w:t>
            </w:r>
          </w:p>
          <w:p w14:paraId="661B15DF" w14:textId="77777777" w:rsidR="00177FB9" w:rsidRPr="004277E9" w:rsidRDefault="00177FB9" w:rsidP="00C104CA">
            <w:pPr>
              <w:autoSpaceDE w:val="0"/>
              <w:autoSpaceDN w:val="0"/>
              <w:adjustRightInd w:val="0"/>
              <w:spacing w:after="0" w:line="240" w:lineRule="auto"/>
              <w:jc w:val="center"/>
              <w:rPr>
                <w:rFonts w:ascii="Arial" w:eastAsiaTheme="minorHAnsi" w:hAnsi="Arial" w:cs="Arial"/>
                <w:bCs/>
                <w:sz w:val="24"/>
                <w:szCs w:val="24"/>
                <w:lang w:eastAsia="en-US"/>
              </w:rPr>
            </w:pPr>
            <w:r w:rsidRPr="004277E9">
              <w:rPr>
                <w:rFonts w:ascii="Arial" w:eastAsiaTheme="minorHAnsi" w:hAnsi="Arial" w:cs="Arial"/>
                <w:bCs/>
                <w:sz w:val="24"/>
                <w:szCs w:val="24"/>
                <w:lang w:val="en-GB" w:eastAsia="en-US"/>
              </w:rPr>
              <w:t>(South)</w:t>
            </w:r>
          </w:p>
        </w:tc>
        <w:tc>
          <w:tcPr>
            <w:tcW w:w="1722" w:type="dxa"/>
            <w:tcBorders>
              <w:top w:val="single" w:sz="4" w:space="0" w:color="auto"/>
              <w:bottom w:val="single" w:sz="4" w:space="0" w:color="auto"/>
            </w:tcBorders>
            <w:vAlign w:val="center"/>
          </w:tcPr>
          <w:p w14:paraId="3822FD01" w14:textId="77777777" w:rsidR="00177FB9" w:rsidRPr="004277E9" w:rsidRDefault="00177FB9" w:rsidP="00C104CA">
            <w:pPr>
              <w:autoSpaceDE w:val="0"/>
              <w:autoSpaceDN w:val="0"/>
              <w:adjustRightInd w:val="0"/>
              <w:spacing w:after="0" w:line="240" w:lineRule="auto"/>
              <w:jc w:val="center"/>
              <w:rPr>
                <w:rFonts w:ascii="Arial" w:eastAsiaTheme="minorHAnsi" w:hAnsi="Arial" w:cs="Arial"/>
                <w:bCs/>
                <w:sz w:val="24"/>
                <w:szCs w:val="24"/>
                <w:lang w:eastAsia="en-US"/>
              </w:rPr>
            </w:pPr>
            <w:r w:rsidRPr="004277E9">
              <w:rPr>
                <w:rFonts w:ascii="Arial" w:eastAsiaTheme="minorHAnsi" w:hAnsi="Arial" w:cs="Arial"/>
                <w:bCs/>
                <w:sz w:val="24"/>
                <w:szCs w:val="24"/>
                <w:lang w:val="en-GB" w:eastAsia="en-US"/>
              </w:rPr>
              <w:t>Longitude (East)</w:t>
            </w:r>
          </w:p>
        </w:tc>
        <w:tc>
          <w:tcPr>
            <w:tcW w:w="1134" w:type="dxa"/>
            <w:tcBorders>
              <w:top w:val="single" w:sz="4" w:space="0" w:color="auto"/>
              <w:bottom w:val="single" w:sz="4" w:space="0" w:color="auto"/>
            </w:tcBorders>
            <w:vAlign w:val="center"/>
          </w:tcPr>
          <w:p w14:paraId="3150E5E8" w14:textId="77777777" w:rsidR="00177FB9" w:rsidRPr="004277E9" w:rsidRDefault="00177FB9" w:rsidP="00C104CA">
            <w:pPr>
              <w:autoSpaceDE w:val="0"/>
              <w:autoSpaceDN w:val="0"/>
              <w:adjustRightInd w:val="0"/>
              <w:spacing w:after="0" w:line="240" w:lineRule="auto"/>
              <w:jc w:val="center"/>
              <w:rPr>
                <w:rFonts w:ascii="Arial" w:eastAsiaTheme="minorHAnsi" w:hAnsi="Arial" w:cs="Arial"/>
                <w:bCs/>
                <w:sz w:val="24"/>
                <w:szCs w:val="24"/>
                <w:lang w:val="en-GB" w:eastAsia="en-US"/>
              </w:rPr>
            </w:pPr>
            <w:r w:rsidRPr="004277E9">
              <w:rPr>
                <w:rFonts w:ascii="Arial" w:eastAsiaTheme="minorHAnsi" w:hAnsi="Arial" w:cs="Arial"/>
                <w:bCs/>
                <w:sz w:val="24"/>
                <w:szCs w:val="24"/>
                <w:lang w:val="en-GB" w:eastAsia="en-US"/>
              </w:rPr>
              <w:t>Altitude</w:t>
            </w:r>
          </w:p>
          <w:p w14:paraId="0790C742" w14:textId="77777777" w:rsidR="00177FB9" w:rsidRPr="004277E9" w:rsidRDefault="00177FB9" w:rsidP="00C104CA">
            <w:pPr>
              <w:autoSpaceDE w:val="0"/>
              <w:autoSpaceDN w:val="0"/>
              <w:adjustRightInd w:val="0"/>
              <w:spacing w:after="0" w:line="240" w:lineRule="auto"/>
              <w:jc w:val="center"/>
              <w:rPr>
                <w:rFonts w:ascii="Arial" w:eastAsiaTheme="minorHAnsi" w:hAnsi="Arial" w:cs="Arial"/>
                <w:bCs/>
                <w:sz w:val="24"/>
                <w:szCs w:val="24"/>
                <w:lang w:eastAsia="en-US"/>
              </w:rPr>
            </w:pPr>
            <w:r w:rsidRPr="004277E9">
              <w:rPr>
                <w:rFonts w:ascii="Arial" w:eastAsiaTheme="minorHAnsi" w:hAnsi="Arial" w:cs="Arial"/>
                <w:bCs/>
                <w:sz w:val="24"/>
                <w:szCs w:val="24"/>
                <w:lang w:val="en-GB" w:eastAsia="en-US"/>
              </w:rPr>
              <w:t>(m)</w:t>
            </w:r>
          </w:p>
        </w:tc>
        <w:tc>
          <w:tcPr>
            <w:tcW w:w="1001" w:type="dxa"/>
            <w:tcBorders>
              <w:top w:val="single" w:sz="4" w:space="0" w:color="auto"/>
              <w:bottom w:val="single" w:sz="4" w:space="0" w:color="auto"/>
            </w:tcBorders>
          </w:tcPr>
          <w:p w14:paraId="5838D783" w14:textId="77777777" w:rsidR="00177FB9" w:rsidRPr="004277E9" w:rsidRDefault="00177FB9" w:rsidP="00C104CA">
            <w:pPr>
              <w:autoSpaceDE w:val="0"/>
              <w:autoSpaceDN w:val="0"/>
              <w:adjustRightInd w:val="0"/>
              <w:spacing w:after="0" w:line="240" w:lineRule="auto"/>
              <w:jc w:val="center"/>
              <w:rPr>
                <w:rFonts w:ascii="Arial" w:eastAsiaTheme="minorHAnsi" w:hAnsi="Arial" w:cs="Arial"/>
                <w:bCs/>
                <w:lang w:val="en-GB" w:eastAsia="en-US"/>
              </w:rPr>
            </w:pPr>
            <w:r w:rsidRPr="004277E9">
              <w:rPr>
                <w:rFonts w:ascii="Arial" w:eastAsiaTheme="minorHAnsi" w:hAnsi="Arial" w:cs="Arial"/>
                <w:bCs/>
                <w:lang w:val="en-GB" w:eastAsia="en-US"/>
              </w:rPr>
              <w:t>Rainfall (mm)</w:t>
            </w:r>
          </w:p>
        </w:tc>
        <w:tc>
          <w:tcPr>
            <w:tcW w:w="1692" w:type="dxa"/>
            <w:tcBorders>
              <w:top w:val="single" w:sz="4" w:space="0" w:color="auto"/>
              <w:bottom w:val="single" w:sz="4" w:space="0" w:color="auto"/>
            </w:tcBorders>
            <w:vAlign w:val="center"/>
          </w:tcPr>
          <w:p w14:paraId="17B0A0B2" w14:textId="77777777" w:rsidR="00177FB9" w:rsidRPr="004277E9" w:rsidRDefault="00177FB9" w:rsidP="00C104CA">
            <w:pPr>
              <w:autoSpaceDE w:val="0"/>
              <w:autoSpaceDN w:val="0"/>
              <w:adjustRightInd w:val="0"/>
              <w:spacing w:after="0" w:line="240" w:lineRule="auto"/>
              <w:jc w:val="center"/>
              <w:rPr>
                <w:rFonts w:ascii="Arial" w:eastAsiaTheme="minorHAnsi" w:hAnsi="Arial" w:cs="Arial"/>
                <w:bCs/>
                <w:sz w:val="24"/>
                <w:szCs w:val="24"/>
                <w:lang w:val="en-GB" w:eastAsia="en-US"/>
              </w:rPr>
            </w:pPr>
            <w:r w:rsidRPr="004277E9">
              <w:rPr>
                <w:rFonts w:ascii="Arial" w:eastAsiaTheme="minorHAnsi" w:hAnsi="Arial" w:cs="Arial"/>
                <w:bCs/>
                <w:sz w:val="24"/>
                <w:szCs w:val="24"/>
                <w:lang w:val="en-GB" w:eastAsia="en-US"/>
              </w:rPr>
              <w:t>Temperature</w:t>
            </w:r>
          </w:p>
          <w:p w14:paraId="6E1199EA" w14:textId="77777777" w:rsidR="00177FB9" w:rsidRPr="004277E9" w:rsidRDefault="00177FB9" w:rsidP="00C104CA">
            <w:pPr>
              <w:autoSpaceDE w:val="0"/>
              <w:autoSpaceDN w:val="0"/>
              <w:adjustRightInd w:val="0"/>
              <w:spacing w:after="0" w:line="240" w:lineRule="auto"/>
              <w:jc w:val="center"/>
              <w:rPr>
                <w:rFonts w:ascii="Arial" w:eastAsiaTheme="minorHAnsi" w:hAnsi="Arial" w:cs="Arial"/>
                <w:bCs/>
                <w:sz w:val="24"/>
                <w:szCs w:val="24"/>
                <w:lang w:eastAsia="en-US"/>
              </w:rPr>
            </w:pPr>
            <w:r w:rsidRPr="004277E9">
              <w:rPr>
                <w:rFonts w:ascii="Arial" w:eastAsiaTheme="minorHAnsi" w:hAnsi="Arial" w:cs="Arial"/>
                <w:bCs/>
                <w:sz w:val="24"/>
                <w:szCs w:val="24"/>
                <w:lang w:val="en-GB" w:eastAsia="en-US"/>
              </w:rPr>
              <w:t>(</w:t>
            </w:r>
            <w:r w:rsidRPr="004277E9">
              <w:rPr>
                <w:rFonts w:ascii="Arial" w:eastAsiaTheme="minorHAnsi" w:hAnsi="Arial" w:cs="Arial"/>
                <w:bCs/>
                <w:sz w:val="24"/>
                <w:szCs w:val="24"/>
                <w:vertAlign w:val="superscript"/>
                <w:lang w:val="en-GB" w:eastAsia="en-US"/>
              </w:rPr>
              <w:t>0</w:t>
            </w:r>
            <w:r w:rsidRPr="004277E9">
              <w:rPr>
                <w:rFonts w:ascii="Arial" w:eastAsiaTheme="minorHAnsi" w:hAnsi="Arial" w:cs="Arial"/>
                <w:bCs/>
                <w:sz w:val="24"/>
                <w:szCs w:val="24"/>
                <w:lang w:val="en-GB" w:eastAsia="en-US"/>
              </w:rPr>
              <w:t>C)</w:t>
            </w:r>
          </w:p>
        </w:tc>
      </w:tr>
      <w:tr w:rsidR="00177FB9" w:rsidRPr="00D57F56" w14:paraId="4D8C6B4F" w14:textId="77777777" w:rsidTr="00416DDB">
        <w:trPr>
          <w:jc w:val="center"/>
        </w:trPr>
        <w:tc>
          <w:tcPr>
            <w:tcW w:w="604" w:type="dxa"/>
            <w:tcBorders>
              <w:top w:val="single" w:sz="4" w:space="0" w:color="auto"/>
            </w:tcBorders>
            <w:vAlign w:val="center"/>
          </w:tcPr>
          <w:p w14:paraId="2AA707AE" w14:textId="77777777" w:rsidR="00177FB9" w:rsidRPr="004277E9" w:rsidRDefault="00177FB9" w:rsidP="00C104CA">
            <w:pPr>
              <w:autoSpaceDE w:val="0"/>
              <w:autoSpaceDN w:val="0"/>
              <w:adjustRightInd w:val="0"/>
              <w:spacing w:before="240" w:after="0" w:line="360" w:lineRule="auto"/>
              <w:rPr>
                <w:rFonts w:ascii="Arial" w:eastAsiaTheme="minorHAnsi" w:hAnsi="Arial" w:cs="Arial"/>
                <w:bCs/>
                <w:sz w:val="24"/>
                <w:szCs w:val="24"/>
                <w:lang w:eastAsia="en-US"/>
              </w:rPr>
            </w:pPr>
            <w:r w:rsidRPr="004277E9">
              <w:rPr>
                <w:rFonts w:ascii="Arial" w:eastAsiaTheme="minorHAnsi" w:hAnsi="Arial" w:cs="Arial"/>
                <w:bCs/>
                <w:sz w:val="24"/>
                <w:szCs w:val="24"/>
                <w:lang w:eastAsia="en-US"/>
              </w:rPr>
              <w:t>1</w:t>
            </w:r>
          </w:p>
        </w:tc>
        <w:tc>
          <w:tcPr>
            <w:tcW w:w="1510" w:type="dxa"/>
            <w:tcBorders>
              <w:top w:val="single" w:sz="4" w:space="0" w:color="auto"/>
            </w:tcBorders>
          </w:tcPr>
          <w:p w14:paraId="64DE61CB" w14:textId="77777777" w:rsidR="00177FB9" w:rsidRPr="004277E9" w:rsidRDefault="00177FB9" w:rsidP="00C104CA">
            <w:pPr>
              <w:autoSpaceDE w:val="0"/>
              <w:autoSpaceDN w:val="0"/>
              <w:adjustRightInd w:val="0"/>
              <w:spacing w:before="240" w:after="0" w:line="360" w:lineRule="auto"/>
              <w:rPr>
                <w:rFonts w:ascii="Arial" w:eastAsiaTheme="minorHAnsi" w:hAnsi="Arial" w:cs="Arial"/>
                <w:bCs/>
                <w:sz w:val="24"/>
                <w:szCs w:val="24"/>
                <w:lang w:eastAsia="en-US"/>
              </w:rPr>
            </w:pPr>
            <w:r w:rsidRPr="004277E9">
              <w:rPr>
                <w:rFonts w:ascii="Arial" w:eastAsiaTheme="minorHAnsi" w:hAnsi="Arial" w:cs="Arial"/>
                <w:bCs/>
                <w:sz w:val="24"/>
                <w:szCs w:val="24"/>
                <w:lang w:eastAsia="en-US"/>
              </w:rPr>
              <w:t>Chelinda-Camp</w:t>
            </w:r>
          </w:p>
        </w:tc>
        <w:tc>
          <w:tcPr>
            <w:tcW w:w="1095" w:type="dxa"/>
            <w:tcBorders>
              <w:top w:val="single" w:sz="4" w:space="0" w:color="auto"/>
            </w:tcBorders>
          </w:tcPr>
          <w:p w14:paraId="425AA2CE" w14:textId="77777777" w:rsidR="00177FB9" w:rsidRPr="004277E9" w:rsidRDefault="00177FB9" w:rsidP="00C104CA">
            <w:pPr>
              <w:autoSpaceDE w:val="0"/>
              <w:autoSpaceDN w:val="0"/>
              <w:adjustRightInd w:val="0"/>
              <w:spacing w:before="240" w:after="0" w:line="360" w:lineRule="auto"/>
              <w:rPr>
                <w:rFonts w:ascii="Arial" w:eastAsiaTheme="minorHAnsi" w:hAnsi="Arial" w:cs="Arial"/>
                <w:bCs/>
                <w:sz w:val="24"/>
                <w:szCs w:val="24"/>
                <w:lang w:val="en-GB" w:eastAsia="en-US"/>
              </w:rPr>
            </w:pPr>
            <w:r w:rsidRPr="004277E9">
              <w:rPr>
                <w:rFonts w:ascii="Arial" w:eastAsiaTheme="minorHAnsi" w:hAnsi="Arial" w:cs="Arial"/>
                <w:bCs/>
                <w:sz w:val="24"/>
                <w:szCs w:val="24"/>
                <w:lang w:val="en-GB" w:eastAsia="en-US"/>
              </w:rPr>
              <w:t>Nyika Plateau</w:t>
            </w:r>
          </w:p>
        </w:tc>
        <w:tc>
          <w:tcPr>
            <w:tcW w:w="1822" w:type="dxa"/>
            <w:tcBorders>
              <w:top w:val="single" w:sz="4" w:space="0" w:color="auto"/>
            </w:tcBorders>
            <w:vAlign w:val="center"/>
          </w:tcPr>
          <w:p w14:paraId="2A248E8E" w14:textId="77777777" w:rsidR="00177FB9" w:rsidRPr="004277E9" w:rsidRDefault="00177FB9" w:rsidP="00C104CA">
            <w:pPr>
              <w:autoSpaceDE w:val="0"/>
              <w:autoSpaceDN w:val="0"/>
              <w:adjustRightInd w:val="0"/>
              <w:spacing w:before="240" w:after="0" w:line="360" w:lineRule="auto"/>
              <w:rPr>
                <w:rFonts w:ascii="Arial" w:eastAsiaTheme="minorHAnsi" w:hAnsi="Arial" w:cs="Arial"/>
                <w:bCs/>
                <w:sz w:val="24"/>
                <w:szCs w:val="24"/>
                <w:lang w:eastAsia="en-US"/>
              </w:rPr>
            </w:pPr>
            <w:r w:rsidRPr="004277E9">
              <w:rPr>
                <w:rFonts w:ascii="Arial" w:eastAsiaTheme="minorHAnsi" w:hAnsi="Arial" w:cs="Arial"/>
                <w:bCs/>
                <w:sz w:val="24"/>
                <w:szCs w:val="24"/>
                <w:lang w:eastAsia="en-US"/>
              </w:rPr>
              <w:t>10°33'42.192"</w:t>
            </w:r>
          </w:p>
        </w:tc>
        <w:tc>
          <w:tcPr>
            <w:tcW w:w="1722" w:type="dxa"/>
            <w:tcBorders>
              <w:top w:val="single" w:sz="4" w:space="0" w:color="auto"/>
            </w:tcBorders>
            <w:vAlign w:val="center"/>
          </w:tcPr>
          <w:p w14:paraId="577DAFA2" w14:textId="77777777" w:rsidR="00177FB9" w:rsidRPr="004277E9" w:rsidRDefault="00177FB9" w:rsidP="00C104CA">
            <w:pPr>
              <w:autoSpaceDE w:val="0"/>
              <w:autoSpaceDN w:val="0"/>
              <w:adjustRightInd w:val="0"/>
              <w:spacing w:before="240" w:after="0" w:line="360" w:lineRule="auto"/>
              <w:rPr>
                <w:rFonts w:ascii="Arial" w:eastAsiaTheme="minorHAnsi" w:hAnsi="Arial" w:cs="Arial"/>
                <w:bCs/>
                <w:sz w:val="24"/>
                <w:szCs w:val="24"/>
                <w:lang w:eastAsia="en-US"/>
              </w:rPr>
            </w:pPr>
            <w:r w:rsidRPr="004277E9">
              <w:rPr>
                <w:rFonts w:ascii="Arial" w:eastAsiaTheme="minorHAnsi" w:hAnsi="Arial" w:cs="Arial"/>
                <w:bCs/>
                <w:sz w:val="24"/>
                <w:szCs w:val="24"/>
                <w:lang w:eastAsia="en-US"/>
              </w:rPr>
              <w:t>33°31' 40.08" </w:t>
            </w:r>
          </w:p>
        </w:tc>
        <w:tc>
          <w:tcPr>
            <w:tcW w:w="1134" w:type="dxa"/>
            <w:tcBorders>
              <w:top w:val="single" w:sz="4" w:space="0" w:color="auto"/>
            </w:tcBorders>
            <w:vAlign w:val="center"/>
          </w:tcPr>
          <w:p w14:paraId="0BC7AFB9" w14:textId="77777777" w:rsidR="00177FB9" w:rsidRPr="004277E9" w:rsidRDefault="00177FB9" w:rsidP="00C104CA">
            <w:pPr>
              <w:autoSpaceDE w:val="0"/>
              <w:autoSpaceDN w:val="0"/>
              <w:adjustRightInd w:val="0"/>
              <w:spacing w:before="240" w:after="0" w:line="360" w:lineRule="auto"/>
              <w:jc w:val="center"/>
              <w:rPr>
                <w:rFonts w:ascii="Arial" w:eastAsiaTheme="minorHAnsi" w:hAnsi="Arial" w:cs="Arial"/>
                <w:bCs/>
                <w:sz w:val="24"/>
                <w:szCs w:val="24"/>
                <w:lang w:eastAsia="en-US"/>
              </w:rPr>
            </w:pPr>
            <w:r w:rsidRPr="004277E9">
              <w:rPr>
                <w:rFonts w:ascii="Arial" w:eastAsiaTheme="minorHAnsi" w:hAnsi="Arial" w:cs="Arial"/>
                <w:bCs/>
                <w:sz w:val="24"/>
                <w:szCs w:val="24"/>
                <w:lang w:val="en-GB" w:eastAsia="en-US"/>
              </w:rPr>
              <w:t>2,494</w:t>
            </w:r>
          </w:p>
        </w:tc>
        <w:tc>
          <w:tcPr>
            <w:tcW w:w="1001" w:type="dxa"/>
            <w:tcBorders>
              <w:top w:val="single" w:sz="4" w:space="0" w:color="auto"/>
            </w:tcBorders>
            <w:vAlign w:val="center"/>
          </w:tcPr>
          <w:p w14:paraId="06AD05D5" w14:textId="77777777" w:rsidR="00177FB9" w:rsidRPr="004277E9" w:rsidRDefault="00177FB9" w:rsidP="00C104CA">
            <w:pPr>
              <w:autoSpaceDE w:val="0"/>
              <w:autoSpaceDN w:val="0"/>
              <w:adjustRightInd w:val="0"/>
              <w:spacing w:before="240" w:after="0" w:line="360" w:lineRule="auto"/>
              <w:jc w:val="center"/>
              <w:rPr>
                <w:rFonts w:ascii="Arial" w:eastAsiaTheme="minorHAnsi" w:hAnsi="Arial" w:cs="Arial"/>
                <w:bCs/>
                <w:sz w:val="24"/>
                <w:szCs w:val="24"/>
                <w:lang w:eastAsia="en-US"/>
              </w:rPr>
            </w:pPr>
            <w:r w:rsidRPr="004277E9">
              <w:rPr>
                <w:rFonts w:ascii="Arial" w:eastAsiaTheme="minorHAnsi" w:hAnsi="Arial" w:cs="Arial"/>
                <w:bCs/>
                <w:sz w:val="24"/>
                <w:szCs w:val="24"/>
                <w:lang w:val="en-GB" w:eastAsia="en-US"/>
              </w:rPr>
              <w:t>1,700-2,200</w:t>
            </w:r>
          </w:p>
        </w:tc>
        <w:tc>
          <w:tcPr>
            <w:tcW w:w="1692" w:type="dxa"/>
            <w:tcBorders>
              <w:top w:val="single" w:sz="4" w:space="0" w:color="auto"/>
            </w:tcBorders>
            <w:vAlign w:val="center"/>
          </w:tcPr>
          <w:p w14:paraId="36C563A4" w14:textId="77777777" w:rsidR="00177FB9" w:rsidRPr="004277E9" w:rsidRDefault="00177FB9" w:rsidP="00C104CA">
            <w:pPr>
              <w:autoSpaceDE w:val="0"/>
              <w:autoSpaceDN w:val="0"/>
              <w:adjustRightInd w:val="0"/>
              <w:spacing w:before="240" w:after="0" w:line="360" w:lineRule="auto"/>
              <w:jc w:val="center"/>
              <w:rPr>
                <w:rFonts w:ascii="Arial" w:eastAsiaTheme="minorHAnsi" w:hAnsi="Arial" w:cs="Arial"/>
                <w:bCs/>
                <w:sz w:val="24"/>
                <w:szCs w:val="24"/>
                <w:lang w:eastAsia="en-US"/>
              </w:rPr>
            </w:pPr>
            <w:r w:rsidRPr="004277E9">
              <w:rPr>
                <w:rFonts w:ascii="Arial" w:eastAsiaTheme="minorHAnsi" w:hAnsi="Arial" w:cs="Arial"/>
                <w:bCs/>
                <w:sz w:val="24"/>
                <w:szCs w:val="24"/>
                <w:lang w:eastAsia="en-US"/>
              </w:rPr>
              <w:t>11 - 26</w:t>
            </w:r>
          </w:p>
        </w:tc>
      </w:tr>
    </w:tbl>
    <w:p w14:paraId="1EFDA2A6" w14:textId="77777777" w:rsidR="003C56EA" w:rsidRDefault="003C56EA" w:rsidP="00177FB9">
      <w:pPr>
        <w:autoSpaceDE w:val="0"/>
        <w:autoSpaceDN w:val="0"/>
        <w:adjustRightInd w:val="0"/>
        <w:spacing w:line="360" w:lineRule="auto"/>
        <w:rPr>
          <w:rFonts w:ascii="Arial" w:hAnsi="Arial" w:cs="Arial"/>
          <w:b/>
          <w:bCs/>
          <w:sz w:val="24"/>
          <w:szCs w:val="24"/>
        </w:rPr>
      </w:pPr>
    </w:p>
    <w:p w14:paraId="035571D5" w14:textId="77777777" w:rsidR="003C56EA" w:rsidRDefault="003C56EA" w:rsidP="00177FB9">
      <w:pPr>
        <w:autoSpaceDE w:val="0"/>
        <w:autoSpaceDN w:val="0"/>
        <w:adjustRightInd w:val="0"/>
        <w:spacing w:line="360" w:lineRule="auto"/>
        <w:rPr>
          <w:rFonts w:ascii="Arial" w:hAnsi="Arial" w:cs="Arial"/>
          <w:b/>
          <w:bCs/>
          <w:sz w:val="24"/>
          <w:szCs w:val="24"/>
        </w:rPr>
      </w:pPr>
    </w:p>
    <w:p w14:paraId="7FFC9C57" w14:textId="77777777" w:rsidR="006D3634" w:rsidRDefault="006D3634" w:rsidP="00177FB9">
      <w:pPr>
        <w:autoSpaceDE w:val="0"/>
        <w:autoSpaceDN w:val="0"/>
        <w:adjustRightInd w:val="0"/>
        <w:spacing w:line="360" w:lineRule="auto"/>
        <w:rPr>
          <w:rFonts w:ascii="Arial" w:hAnsi="Arial" w:cs="Arial"/>
          <w:b/>
          <w:bCs/>
          <w:sz w:val="24"/>
          <w:szCs w:val="24"/>
        </w:rPr>
      </w:pPr>
    </w:p>
    <w:p w14:paraId="1906BD02" w14:textId="77777777" w:rsidR="006D3634" w:rsidRDefault="006D3634" w:rsidP="00177FB9">
      <w:pPr>
        <w:autoSpaceDE w:val="0"/>
        <w:autoSpaceDN w:val="0"/>
        <w:adjustRightInd w:val="0"/>
        <w:spacing w:line="360" w:lineRule="auto"/>
        <w:rPr>
          <w:rFonts w:ascii="Arial" w:hAnsi="Arial" w:cs="Arial"/>
          <w:b/>
          <w:bCs/>
          <w:sz w:val="24"/>
          <w:szCs w:val="24"/>
        </w:rPr>
      </w:pPr>
    </w:p>
    <w:p w14:paraId="328DA276" w14:textId="77777777" w:rsidR="006D3634" w:rsidRDefault="006D3634" w:rsidP="00177FB9">
      <w:pPr>
        <w:autoSpaceDE w:val="0"/>
        <w:autoSpaceDN w:val="0"/>
        <w:adjustRightInd w:val="0"/>
        <w:spacing w:line="360" w:lineRule="auto"/>
        <w:rPr>
          <w:rFonts w:ascii="Arial" w:hAnsi="Arial" w:cs="Arial"/>
          <w:b/>
          <w:bCs/>
          <w:sz w:val="24"/>
          <w:szCs w:val="24"/>
        </w:rPr>
      </w:pPr>
    </w:p>
    <w:p w14:paraId="7E9E4D33" w14:textId="77777777" w:rsidR="006D3634" w:rsidRDefault="006D3634" w:rsidP="00177FB9">
      <w:pPr>
        <w:autoSpaceDE w:val="0"/>
        <w:autoSpaceDN w:val="0"/>
        <w:adjustRightInd w:val="0"/>
        <w:spacing w:line="360" w:lineRule="auto"/>
        <w:rPr>
          <w:rFonts w:ascii="Arial" w:hAnsi="Arial" w:cs="Arial"/>
          <w:b/>
          <w:bCs/>
          <w:sz w:val="24"/>
          <w:szCs w:val="24"/>
        </w:rPr>
      </w:pPr>
    </w:p>
    <w:p w14:paraId="1A04908B" w14:textId="77777777" w:rsidR="006D3634" w:rsidRDefault="006D3634" w:rsidP="00177FB9">
      <w:pPr>
        <w:autoSpaceDE w:val="0"/>
        <w:autoSpaceDN w:val="0"/>
        <w:adjustRightInd w:val="0"/>
        <w:spacing w:line="360" w:lineRule="auto"/>
        <w:rPr>
          <w:rFonts w:ascii="Arial" w:hAnsi="Arial" w:cs="Arial"/>
          <w:b/>
          <w:bCs/>
          <w:sz w:val="24"/>
          <w:szCs w:val="24"/>
        </w:rPr>
      </w:pPr>
    </w:p>
    <w:p w14:paraId="3C29F771" w14:textId="77777777" w:rsidR="003C56EA" w:rsidRDefault="003C56EA" w:rsidP="00177FB9">
      <w:pPr>
        <w:autoSpaceDE w:val="0"/>
        <w:autoSpaceDN w:val="0"/>
        <w:adjustRightInd w:val="0"/>
        <w:spacing w:line="360" w:lineRule="auto"/>
        <w:rPr>
          <w:rFonts w:ascii="Arial" w:hAnsi="Arial" w:cs="Arial"/>
          <w:b/>
          <w:bCs/>
          <w:sz w:val="24"/>
          <w:szCs w:val="24"/>
        </w:rPr>
      </w:pPr>
    </w:p>
    <w:p w14:paraId="310686D0" w14:textId="77777777" w:rsidR="00177FB9" w:rsidRPr="00177FB9" w:rsidRDefault="00177FB9" w:rsidP="00177FB9">
      <w:pPr>
        <w:autoSpaceDE w:val="0"/>
        <w:autoSpaceDN w:val="0"/>
        <w:adjustRightInd w:val="0"/>
        <w:spacing w:line="360" w:lineRule="auto"/>
        <w:rPr>
          <w:rFonts w:ascii="Arial" w:hAnsi="Arial" w:cs="Arial"/>
          <w:b/>
          <w:bCs/>
          <w:sz w:val="24"/>
          <w:szCs w:val="24"/>
        </w:rPr>
      </w:pPr>
      <w:r w:rsidRPr="00177FB9">
        <w:rPr>
          <w:rFonts w:ascii="Arial" w:hAnsi="Arial" w:cs="Arial"/>
          <w:b/>
          <w:bCs/>
          <w:sz w:val="24"/>
          <w:szCs w:val="24"/>
        </w:rPr>
        <w:t>Study area</w:t>
      </w:r>
    </w:p>
    <w:p w14:paraId="626EAE74" w14:textId="77777777" w:rsidR="00177FB9" w:rsidRPr="00177FB9" w:rsidRDefault="00177FB9" w:rsidP="00177FB9">
      <w:pPr>
        <w:autoSpaceDE w:val="0"/>
        <w:autoSpaceDN w:val="0"/>
        <w:adjustRightInd w:val="0"/>
        <w:spacing w:after="0" w:line="360" w:lineRule="auto"/>
        <w:jc w:val="both"/>
        <w:rPr>
          <w:rFonts w:ascii="Arial" w:hAnsi="Arial" w:cs="Arial"/>
          <w:bCs/>
          <w:sz w:val="24"/>
          <w:szCs w:val="24"/>
        </w:rPr>
      </w:pPr>
      <w:r w:rsidRPr="00177FB9">
        <w:rPr>
          <w:rFonts w:ascii="Arial" w:hAnsi="Arial" w:cs="Arial"/>
          <w:bCs/>
          <w:sz w:val="24"/>
          <w:szCs w:val="24"/>
        </w:rPr>
        <w:t xml:space="preserve">The study was conducted at Nyika National Park (Chelinda Camp) </w:t>
      </w:r>
      <w:r>
        <w:rPr>
          <w:rFonts w:ascii="Arial" w:hAnsi="Arial" w:cs="Arial"/>
          <w:bCs/>
          <w:sz w:val="24"/>
          <w:szCs w:val="24"/>
          <w:highlight w:val="yellow"/>
        </w:rPr>
        <w:t>located in northern Malawi at</w:t>
      </w:r>
      <w:r>
        <w:rPr>
          <w:rFonts w:ascii="Arial" w:hAnsi="Arial" w:cs="Arial"/>
          <w:bCs/>
          <w:sz w:val="24"/>
          <w:szCs w:val="24"/>
        </w:rPr>
        <w:t xml:space="preserve"> 10°33'42.192"N, 33°31' 40.08" E </w:t>
      </w:r>
      <w:r>
        <w:rPr>
          <w:rFonts w:ascii="Arial" w:hAnsi="Arial" w:cs="Arial"/>
          <w:bCs/>
          <w:sz w:val="24"/>
          <w:szCs w:val="24"/>
          <w:highlight w:val="yellow"/>
        </w:rPr>
        <w:t>(Figure 1)</w:t>
      </w:r>
      <w:r>
        <w:rPr>
          <w:rFonts w:ascii="Arial" w:hAnsi="Arial" w:cs="Arial"/>
          <w:bCs/>
          <w:sz w:val="24"/>
          <w:szCs w:val="24"/>
        </w:rPr>
        <w:t>.</w:t>
      </w:r>
    </w:p>
    <w:p w14:paraId="4B2790A0" w14:textId="77777777" w:rsidR="00177FB9" w:rsidRPr="00177FB9" w:rsidRDefault="00177FB9" w:rsidP="00177FB9">
      <w:pPr>
        <w:jc w:val="both"/>
        <w:rPr>
          <w:rFonts w:ascii="Arial" w:hAnsi="Arial" w:cs="Arial"/>
          <w:b/>
          <w:sz w:val="24"/>
          <w:szCs w:val="24"/>
        </w:rPr>
      </w:pPr>
      <w:r w:rsidRPr="00177FB9">
        <w:rPr>
          <w:rFonts w:ascii="Arial" w:hAnsi="Arial" w:cs="Arial"/>
          <w:b/>
          <w:noProof/>
          <w:sz w:val="24"/>
          <w:szCs w:val="24"/>
          <w:lang w:eastAsia="en-US"/>
        </w:rPr>
        <w:lastRenderedPageBreak/>
        <w:drawing>
          <wp:inline distT="0" distB="0" distL="0" distR="0" wp14:anchorId="6CCFC2D1" wp14:editId="7971C216">
            <wp:extent cx="5958840" cy="6752813"/>
            <wp:effectExtent l="0" t="0" r="3810" b="0"/>
            <wp:docPr id="1" name="Picture 1" descr="C:\Users\DELL VOSRTO 11TH GEN\Downloads\Black_watt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 VOSRTO 11TH GEN\Downloads\Black_wattle.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22135" cy="6824541"/>
                    </a:xfrm>
                    <a:prstGeom prst="rect">
                      <a:avLst/>
                    </a:prstGeom>
                    <a:noFill/>
                    <a:ln>
                      <a:noFill/>
                    </a:ln>
                  </pic:spPr>
                </pic:pic>
              </a:graphicData>
            </a:graphic>
          </wp:inline>
        </w:drawing>
      </w:r>
    </w:p>
    <w:p w14:paraId="47E426F6" w14:textId="77777777" w:rsidR="00177FB9" w:rsidRPr="00177FB9" w:rsidRDefault="00E81738" w:rsidP="00177FB9">
      <w:pPr>
        <w:jc w:val="both"/>
        <w:rPr>
          <w:rFonts w:ascii="Arial" w:hAnsi="Arial" w:cs="Arial"/>
          <w:sz w:val="24"/>
          <w:szCs w:val="24"/>
        </w:rPr>
      </w:pPr>
      <w:r>
        <w:rPr>
          <w:rFonts w:ascii="Arial" w:hAnsi="Arial" w:cs="Arial"/>
          <w:sz w:val="24"/>
          <w:szCs w:val="24"/>
        </w:rPr>
        <w:t>Figure 1</w:t>
      </w:r>
      <w:r w:rsidR="00177FB9" w:rsidRPr="00177FB9">
        <w:rPr>
          <w:rFonts w:ascii="Arial" w:hAnsi="Arial" w:cs="Arial"/>
          <w:sz w:val="24"/>
          <w:szCs w:val="24"/>
        </w:rPr>
        <w:t>: Map of</w:t>
      </w:r>
      <w:r w:rsidR="00A42FC1">
        <w:rPr>
          <w:rFonts w:ascii="Arial" w:hAnsi="Arial" w:cs="Arial"/>
          <w:sz w:val="24"/>
          <w:szCs w:val="24"/>
        </w:rPr>
        <w:t xml:space="preserve"> n</w:t>
      </w:r>
      <w:r w:rsidR="0023258E">
        <w:rPr>
          <w:rFonts w:ascii="Arial" w:hAnsi="Arial" w:cs="Arial"/>
          <w:sz w:val="24"/>
          <w:szCs w:val="24"/>
        </w:rPr>
        <w:t xml:space="preserve">orthern region of </w:t>
      </w:r>
      <w:r w:rsidR="00B61EB2">
        <w:rPr>
          <w:rFonts w:ascii="Arial" w:hAnsi="Arial" w:cs="Arial"/>
          <w:sz w:val="24"/>
          <w:szCs w:val="24"/>
        </w:rPr>
        <w:t>Malawi locating</w:t>
      </w:r>
      <w:r w:rsidR="00177FB9" w:rsidRPr="00177FB9">
        <w:rPr>
          <w:rFonts w:ascii="Arial" w:hAnsi="Arial" w:cs="Arial"/>
          <w:sz w:val="24"/>
          <w:szCs w:val="24"/>
        </w:rPr>
        <w:t xml:space="preserve"> Nyika Nationa</w:t>
      </w:r>
      <w:r w:rsidR="00A42FC1">
        <w:rPr>
          <w:rFonts w:ascii="Arial" w:hAnsi="Arial" w:cs="Arial"/>
          <w:sz w:val="24"/>
          <w:szCs w:val="24"/>
        </w:rPr>
        <w:t xml:space="preserve">l </w:t>
      </w:r>
      <w:r w:rsidR="00C33BFC">
        <w:rPr>
          <w:rFonts w:ascii="Arial" w:hAnsi="Arial" w:cs="Arial"/>
          <w:sz w:val="24"/>
          <w:szCs w:val="24"/>
        </w:rPr>
        <w:t>Park</w:t>
      </w:r>
      <w:r w:rsidR="00C27FE0">
        <w:rPr>
          <w:rFonts w:ascii="Arial" w:hAnsi="Arial" w:cs="Arial"/>
          <w:sz w:val="24"/>
          <w:szCs w:val="24"/>
        </w:rPr>
        <w:t xml:space="preserve"> (</w:t>
      </w:r>
      <w:r w:rsidR="00B61EB2">
        <w:rPr>
          <w:rFonts w:ascii="Arial" w:hAnsi="Arial" w:cs="Arial"/>
          <w:sz w:val="24"/>
          <w:szCs w:val="24"/>
        </w:rPr>
        <w:t>Chelinda camp</w:t>
      </w:r>
      <w:r w:rsidR="00C27FE0">
        <w:rPr>
          <w:rFonts w:ascii="Arial" w:hAnsi="Arial" w:cs="Arial"/>
          <w:sz w:val="24"/>
          <w:szCs w:val="24"/>
        </w:rPr>
        <w:t>)</w:t>
      </w:r>
      <w:r w:rsidR="00C33BFC">
        <w:rPr>
          <w:rFonts w:ascii="Arial" w:hAnsi="Arial" w:cs="Arial"/>
          <w:sz w:val="24"/>
          <w:szCs w:val="24"/>
        </w:rPr>
        <w:t xml:space="preserve"> </w:t>
      </w:r>
      <w:r w:rsidR="00C33BFC" w:rsidRPr="00177FB9">
        <w:rPr>
          <w:rFonts w:ascii="Arial" w:hAnsi="Arial" w:cs="Arial"/>
          <w:sz w:val="24"/>
          <w:szCs w:val="24"/>
        </w:rPr>
        <w:t>as</w:t>
      </w:r>
      <w:r w:rsidR="00177FB9" w:rsidRPr="00177FB9">
        <w:rPr>
          <w:rFonts w:ascii="Arial" w:hAnsi="Arial" w:cs="Arial"/>
          <w:sz w:val="24"/>
          <w:szCs w:val="24"/>
        </w:rPr>
        <w:t xml:space="preserve"> a study area.</w:t>
      </w:r>
    </w:p>
    <w:p w14:paraId="16B7873B" w14:textId="77777777" w:rsidR="00177FB9" w:rsidRPr="00177FB9" w:rsidRDefault="00177FB9" w:rsidP="00177FB9">
      <w:pPr>
        <w:autoSpaceDE w:val="0"/>
        <w:autoSpaceDN w:val="0"/>
        <w:adjustRightInd w:val="0"/>
        <w:spacing w:line="360" w:lineRule="auto"/>
        <w:rPr>
          <w:rFonts w:ascii="Arial" w:eastAsiaTheme="minorHAnsi" w:hAnsi="Arial" w:cs="Arial"/>
          <w:b/>
          <w:bCs/>
          <w:sz w:val="24"/>
          <w:szCs w:val="24"/>
          <w:lang w:eastAsia="en-US"/>
        </w:rPr>
      </w:pPr>
      <w:r w:rsidRPr="00177FB9">
        <w:rPr>
          <w:rFonts w:ascii="Arial" w:eastAsiaTheme="minorHAnsi" w:hAnsi="Arial" w:cs="Arial"/>
          <w:b/>
          <w:bCs/>
          <w:sz w:val="24"/>
          <w:szCs w:val="24"/>
          <w:lang w:eastAsia="en-US"/>
        </w:rPr>
        <w:t>Data analysis</w:t>
      </w:r>
    </w:p>
    <w:p w14:paraId="19CBB070" w14:textId="77777777" w:rsidR="00177FB9" w:rsidRDefault="00177FB9" w:rsidP="00177FB9">
      <w:pPr>
        <w:autoSpaceDE w:val="0"/>
        <w:autoSpaceDN w:val="0"/>
        <w:adjustRightInd w:val="0"/>
        <w:spacing w:after="0" w:line="360" w:lineRule="auto"/>
        <w:jc w:val="both"/>
        <w:rPr>
          <w:rFonts w:ascii="Arial" w:eastAsiaTheme="minorHAnsi" w:hAnsi="Arial" w:cs="Arial"/>
          <w:bCs/>
          <w:sz w:val="24"/>
          <w:szCs w:val="24"/>
          <w:lang w:eastAsia="en-US"/>
        </w:rPr>
      </w:pPr>
      <w:r w:rsidRPr="00177FB9">
        <w:rPr>
          <w:rFonts w:ascii="Arial" w:eastAsiaTheme="minorHAnsi" w:hAnsi="Arial" w:cs="Arial"/>
          <w:bCs/>
          <w:sz w:val="24"/>
          <w:szCs w:val="24"/>
          <w:lang w:eastAsia="en-US"/>
        </w:rPr>
        <w:t xml:space="preserve">Prior to analysis, data normality was verified using Shapiro–Wilk tests. One-way analysis of variance (ANOVA) was then performed in Minitab (version 21) to test for significant differences </w:t>
      </w:r>
      <w:r w:rsidRPr="00177FB9">
        <w:rPr>
          <w:rFonts w:ascii="Arial" w:eastAsiaTheme="minorHAnsi" w:hAnsi="Arial" w:cs="Arial"/>
          <w:bCs/>
          <w:sz w:val="24"/>
          <w:szCs w:val="24"/>
          <w:lang w:eastAsia="en-US"/>
        </w:rPr>
        <w:lastRenderedPageBreak/>
        <w:t>among treatments (</w:t>
      </w:r>
      <w:r w:rsidRPr="00177FB9">
        <w:rPr>
          <w:rFonts w:ascii="Arial" w:eastAsiaTheme="minorHAnsi" w:hAnsi="Arial" w:cs="Arial"/>
          <w:bCs/>
          <w:i/>
          <w:iCs/>
          <w:sz w:val="24"/>
          <w:szCs w:val="24"/>
          <w:lang w:eastAsia="en-US"/>
        </w:rPr>
        <w:t>α</w:t>
      </w:r>
      <w:r w:rsidRPr="00177FB9">
        <w:rPr>
          <w:rFonts w:ascii="Arial" w:eastAsiaTheme="minorHAnsi" w:hAnsi="Arial" w:cs="Arial"/>
          <w:bCs/>
          <w:sz w:val="24"/>
          <w:szCs w:val="24"/>
          <w:lang w:eastAsia="en-US"/>
        </w:rPr>
        <w:t xml:space="preserve">=0.05), the standard threshold in ecological studies for discerning biologically relevant impacts of control methods on soil chemistry. The design employed a </w:t>
      </w:r>
      <w:r>
        <w:rPr>
          <w:rFonts w:ascii="Arial" w:eastAsiaTheme="minorHAnsi" w:hAnsi="Arial" w:cs="Arial"/>
          <w:bCs/>
          <w:sz w:val="24"/>
          <w:szCs w:val="24"/>
          <w:highlight w:val="yellow"/>
          <w:lang w:eastAsia="en-US"/>
        </w:rPr>
        <w:t>randomised complete block design</w:t>
      </w:r>
      <w:r>
        <w:rPr>
          <w:rFonts w:ascii="Arial" w:eastAsiaTheme="minorHAnsi" w:hAnsi="Arial" w:cs="Arial"/>
          <w:bCs/>
          <w:sz w:val="24"/>
          <w:szCs w:val="24"/>
          <w:lang w:eastAsia="en-US"/>
        </w:rPr>
        <w:t xml:space="preserve"> (RCBD), treating</w:t>
      </w:r>
      <w:r w:rsidR="00BC0370">
        <w:rPr>
          <w:rFonts w:ascii="Arial" w:eastAsiaTheme="minorHAnsi" w:hAnsi="Arial" w:cs="Arial"/>
          <w:bCs/>
          <w:sz w:val="24"/>
          <w:szCs w:val="24"/>
          <w:lang w:eastAsia="en-US"/>
        </w:rPr>
        <w:t xml:space="preserve"> Nyika site as a block, with three</w:t>
      </w:r>
      <w:r w:rsidRPr="00177FB9">
        <w:rPr>
          <w:rFonts w:ascii="Arial" w:eastAsiaTheme="minorHAnsi" w:hAnsi="Arial" w:cs="Arial"/>
          <w:bCs/>
          <w:sz w:val="24"/>
          <w:szCs w:val="24"/>
          <w:lang w:eastAsia="en-US"/>
        </w:rPr>
        <w:t xml:space="preserve"> treatments </w:t>
      </w:r>
      <w:r>
        <w:rPr>
          <w:rFonts w:ascii="Arial" w:eastAsiaTheme="minorHAnsi" w:hAnsi="Arial" w:cs="Arial"/>
          <w:bCs/>
          <w:sz w:val="24"/>
          <w:szCs w:val="24"/>
          <w:highlight w:val="yellow"/>
          <w:lang w:eastAsia="en-US"/>
        </w:rPr>
        <w:t>randomised within</w:t>
      </w:r>
      <w:r w:rsidR="00BC0370">
        <w:rPr>
          <w:rFonts w:ascii="Arial" w:eastAsiaTheme="minorHAnsi" w:hAnsi="Arial" w:cs="Arial"/>
          <w:bCs/>
          <w:sz w:val="24"/>
          <w:szCs w:val="24"/>
          <w:lang w:eastAsia="en-US"/>
        </w:rPr>
        <w:t xml:space="preserve"> 15 sub-plots</w:t>
      </w:r>
      <w:r w:rsidRPr="00177FB9">
        <w:rPr>
          <w:rFonts w:ascii="Arial" w:eastAsiaTheme="minorHAnsi" w:hAnsi="Arial" w:cs="Arial"/>
          <w:bCs/>
          <w:sz w:val="24"/>
          <w:szCs w:val="24"/>
          <w:lang w:eastAsia="en-US"/>
        </w:rPr>
        <w:t xml:space="preserve"> per block (</w:t>
      </w:r>
      <w:r>
        <w:rPr>
          <w:rFonts w:ascii="Arial" w:eastAsiaTheme="minorHAnsi" w:hAnsi="Arial" w:cs="Arial"/>
          <w:bCs/>
          <w:sz w:val="24"/>
          <w:szCs w:val="24"/>
          <w:highlight w:val="yellow"/>
          <w:lang w:eastAsia="en-US"/>
        </w:rPr>
        <w:t>n ≥ 5 replicates per treatment</w:t>
      </w:r>
      <w:r w:rsidRPr="00177FB9">
        <w:rPr>
          <w:rFonts w:ascii="Arial" w:eastAsiaTheme="minorHAnsi" w:hAnsi="Arial" w:cs="Arial"/>
          <w:bCs/>
          <w:sz w:val="24"/>
          <w:szCs w:val="24"/>
          <w:lang w:eastAsia="en-US"/>
        </w:rPr>
        <w:t>). The ANOVA model is given by</w:t>
      </w:r>
    </w:p>
    <w:p w14:paraId="363C6F89" w14:textId="77777777" w:rsidR="007C3012" w:rsidRPr="00177FB9" w:rsidRDefault="007C3012" w:rsidP="00177FB9">
      <w:pPr>
        <w:autoSpaceDE w:val="0"/>
        <w:autoSpaceDN w:val="0"/>
        <w:adjustRightInd w:val="0"/>
        <w:spacing w:after="0" w:line="360" w:lineRule="auto"/>
        <w:jc w:val="both"/>
        <w:rPr>
          <w:rFonts w:ascii="Arial" w:eastAsiaTheme="minorHAnsi" w:hAnsi="Arial" w:cs="Arial"/>
          <w:bCs/>
          <w:sz w:val="24"/>
          <w:szCs w:val="24"/>
          <w:lang w:eastAsia="en-US"/>
        </w:rPr>
      </w:pPr>
    </w:p>
    <w:p w14:paraId="478FB31C" w14:textId="77777777" w:rsidR="00177FB9" w:rsidRPr="00566F62" w:rsidRDefault="00177FB9" w:rsidP="00177FB9">
      <w:pPr>
        <w:autoSpaceDE w:val="0"/>
        <w:autoSpaceDN w:val="0"/>
        <w:adjustRightInd w:val="0"/>
        <w:spacing w:after="0" w:line="360" w:lineRule="auto"/>
        <w:rPr>
          <w:rFonts w:ascii="Arial" w:eastAsiaTheme="minorHAnsi" w:hAnsi="Arial" w:cs="Arial"/>
          <w:bCs/>
          <w:sz w:val="40"/>
          <w:szCs w:val="40"/>
          <w:lang w:eastAsia="en-US"/>
        </w:rPr>
      </w:pPr>
      <w:proofErr w:type="spellStart"/>
      <w:r w:rsidRPr="00566F62">
        <w:rPr>
          <w:rFonts w:ascii="Arial" w:eastAsiaTheme="minorHAnsi" w:hAnsi="Arial" w:cs="Arial"/>
          <w:bCs/>
          <w:i/>
          <w:iCs/>
          <w:sz w:val="40"/>
          <w:szCs w:val="40"/>
          <w:lang w:eastAsia="en-US"/>
        </w:rPr>
        <w:t>Yijk</w:t>
      </w:r>
      <w:proofErr w:type="spellEnd"/>
      <w:r w:rsidRPr="00566F62">
        <w:rPr>
          <w:rFonts w:ascii="Arial" w:eastAsiaTheme="minorHAnsi" w:hAnsi="Arial" w:cs="Arial"/>
          <w:bCs/>
          <w:sz w:val="40"/>
          <w:szCs w:val="40"/>
          <w:lang w:eastAsia="en-US"/>
        </w:rPr>
        <w:t xml:space="preserve">​ = </w:t>
      </w:r>
      <w:r w:rsidRPr="00566F62">
        <w:rPr>
          <w:rFonts w:ascii="Arial" w:eastAsiaTheme="minorHAnsi" w:hAnsi="Arial" w:cs="Arial"/>
          <w:bCs/>
          <w:i/>
          <w:iCs/>
          <w:sz w:val="40"/>
          <w:szCs w:val="40"/>
          <w:lang w:eastAsia="en-US"/>
        </w:rPr>
        <w:t xml:space="preserve">μ </w:t>
      </w:r>
      <w:r w:rsidRPr="00566F62">
        <w:rPr>
          <w:rFonts w:ascii="Arial" w:eastAsiaTheme="minorHAnsi" w:hAnsi="Arial" w:cs="Arial"/>
          <w:bCs/>
          <w:sz w:val="40"/>
          <w:szCs w:val="40"/>
          <w:lang w:eastAsia="en-US"/>
        </w:rPr>
        <w:t xml:space="preserve">+ </w:t>
      </w:r>
      <w:proofErr w:type="spellStart"/>
      <w:r w:rsidRPr="00566F62">
        <w:rPr>
          <w:rFonts w:ascii="Arial" w:eastAsiaTheme="minorHAnsi" w:hAnsi="Arial" w:cs="Arial"/>
          <w:bCs/>
          <w:i/>
          <w:iCs/>
          <w:sz w:val="40"/>
          <w:szCs w:val="40"/>
          <w:lang w:eastAsia="en-US"/>
        </w:rPr>
        <w:t>ρi</w:t>
      </w:r>
      <w:proofErr w:type="spellEnd"/>
      <w:r w:rsidRPr="00566F62">
        <w:rPr>
          <w:rFonts w:ascii="Arial" w:eastAsiaTheme="minorHAnsi" w:hAnsi="Arial" w:cs="Arial"/>
          <w:bCs/>
          <w:sz w:val="40"/>
          <w:szCs w:val="40"/>
          <w:lang w:eastAsia="en-US"/>
        </w:rPr>
        <w:t xml:space="preserve">​ + </w:t>
      </w:r>
      <w:proofErr w:type="spellStart"/>
      <w:r w:rsidRPr="00566F62">
        <w:rPr>
          <w:rFonts w:ascii="Arial" w:eastAsiaTheme="minorHAnsi" w:hAnsi="Arial" w:cs="Arial"/>
          <w:bCs/>
          <w:i/>
          <w:iCs/>
          <w:sz w:val="40"/>
          <w:szCs w:val="40"/>
          <w:lang w:eastAsia="en-US"/>
        </w:rPr>
        <w:t>τj</w:t>
      </w:r>
      <w:proofErr w:type="spellEnd"/>
      <w:r w:rsidRPr="00566F62">
        <w:rPr>
          <w:rFonts w:ascii="Arial" w:eastAsiaTheme="minorHAnsi" w:hAnsi="Arial" w:cs="Arial"/>
          <w:bCs/>
          <w:sz w:val="40"/>
          <w:szCs w:val="40"/>
          <w:lang w:eastAsia="en-US"/>
        </w:rPr>
        <w:t xml:space="preserve">​ + </w:t>
      </w:r>
      <w:r w:rsidRPr="00566F62">
        <w:rPr>
          <w:rFonts w:ascii="Arial" w:eastAsiaTheme="minorHAnsi" w:hAnsi="Arial" w:cs="Arial"/>
          <w:bCs/>
          <w:i/>
          <w:iCs/>
          <w:sz w:val="40"/>
          <w:szCs w:val="40"/>
          <w:lang w:eastAsia="en-US"/>
        </w:rPr>
        <w:t>ϵ</w:t>
      </w:r>
      <w:proofErr w:type="spellStart"/>
      <w:r w:rsidRPr="00566F62">
        <w:rPr>
          <w:rFonts w:ascii="Arial" w:eastAsiaTheme="minorHAnsi" w:hAnsi="Arial" w:cs="Arial"/>
          <w:bCs/>
          <w:i/>
          <w:iCs/>
          <w:sz w:val="40"/>
          <w:szCs w:val="40"/>
          <w:lang w:eastAsia="en-US"/>
        </w:rPr>
        <w:t>ij</w:t>
      </w:r>
      <w:proofErr w:type="spellEnd"/>
      <w:r w:rsidRPr="00566F62">
        <w:rPr>
          <w:rFonts w:ascii="Arial" w:eastAsiaTheme="minorHAnsi" w:hAnsi="Arial" w:cs="Arial"/>
          <w:bCs/>
          <w:sz w:val="40"/>
          <w:szCs w:val="40"/>
          <w:lang w:eastAsia="en-US"/>
        </w:rPr>
        <w:t>(</w:t>
      </w:r>
      <w:r w:rsidRPr="00566F62">
        <w:rPr>
          <w:rFonts w:ascii="Arial" w:eastAsiaTheme="minorHAnsi" w:hAnsi="Arial" w:cs="Arial"/>
          <w:bCs/>
          <w:i/>
          <w:iCs/>
          <w:sz w:val="40"/>
          <w:szCs w:val="40"/>
          <w:lang w:eastAsia="en-US"/>
        </w:rPr>
        <w:t>k</w:t>
      </w:r>
      <w:r w:rsidRPr="00566F62">
        <w:rPr>
          <w:rFonts w:ascii="Arial" w:eastAsiaTheme="minorHAnsi" w:hAnsi="Arial" w:cs="Arial"/>
          <w:bCs/>
          <w:sz w:val="40"/>
          <w:szCs w:val="40"/>
          <w:lang w:eastAsia="en-US"/>
        </w:rPr>
        <w:t>)​</w:t>
      </w:r>
    </w:p>
    <w:p w14:paraId="6ED718ED" w14:textId="77777777" w:rsidR="00177FB9" w:rsidRPr="00177FB9" w:rsidRDefault="00177FB9" w:rsidP="00177FB9">
      <w:pPr>
        <w:autoSpaceDE w:val="0"/>
        <w:autoSpaceDN w:val="0"/>
        <w:adjustRightInd w:val="0"/>
        <w:spacing w:after="0" w:line="480" w:lineRule="auto"/>
        <w:rPr>
          <w:rFonts w:ascii="Arial" w:eastAsiaTheme="minorHAnsi" w:hAnsi="Arial" w:cs="Arial"/>
          <w:bCs/>
          <w:sz w:val="24"/>
          <w:szCs w:val="24"/>
          <w:lang w:eastAsia="en-US"/>
        </w:rPr>
      </w:pPr>
      <w:r w:rsidRPr="00177FB9">
        <w:rPr>
          <w:rFonts w:ascii="Arial" w:eastAsiaTheme="minorHAnsi" w:hAnsi="Arial" w:cs="Arial"/>
          <w:bCs/>
          <w:sz w:val="24"/>
          <w:szCs w:val="24"/>
          <w:lang w:eastAsia="en-US"/>
        </w:rPr>
        <w:t>Where:</w:t>
      </w:r>
    </w:p>
    <w:p w14:paraId="4CE4418B" w14:textId="77777777" w:rsidR="00177FB9" w:rsidRPr="00177FB9" w:rsidRDefault="00177FB9" w:rsidP="00177FB9">
      <w:pPr>
        <w:numPr>
          <w:ilvl w:val="0"/>
          <w:numId w:val="3"/>
        </w:numPr>
        <w:autoSpaceDE w:val="0"/>
        <w:autoSpaceDN w:val="0"/>
        <w:adjustRightInd w:val="0"/>
        <w:spacing w:after="0" w:line="480" w:lineRule="auto"/>
        <w:rPr>
          <w:rFonts w:ascii="Arial" w:eastAsiaTheme="minorHAnsi" w:hAnsi="Arial" w:cs="Arial"/>
          <w:bCs/>
          <w:sz w:val="24"/>
          <w:szCs w:val="24"/>
          <w:lang w:eastAsia="en-US"/>
        </w:rPr>
      </w:pPr>
      <w:proofErr w:type="spellStart"/>
      <w:r w:rsidRPr="00177FB9">
        <w:rPr>
          <w:rFonts w:ascii="Arial" w:eastAsiaTheme="minorHAnsi" w:hAnsi="Arial" w:cs="Arial"/>
          <w:bCs/>
          <w:sz w:val="24"/>
          <w:szCs w:val="24"/>
          <w:lang w:eastAsia="en-US"/>
        </w:rPr>
        <w:t>Yijk</w:t>
      </w:r>
      <w:r w:rsidRPr="00177FB9">
        <w:rPr>
          <w:rFonts w:ascii="Arial" w:eastAsiaTheme="minorHAnsi" w:hAnsi="Arial" w:cs="Arial"/>
          <w:bCs/>
          <w:i/>
          <w:iCs/>
          <w:sz w:val="24"/>
          <w:szCs w:val="24"/>
          <w:lang w:eastAsia="en-US"/>
        </w:rPr>
        <w:t>Yijk</w:t>
      </w:r>
      <w:proofErr w:type="spellEnd"/>
      <w:r w:rsidRPr="00177FB9">
        <w:rPr>
          <w:rFonts w:ascii="Arial" w:eastAsiaTheme="minorHAnsi" w:hAnsi="Arial" w:cs="Arial"/>
          <w:bCs/>
          <w:sz w:val="24"/>
          <w:szCs w:val="24"/>
          <w:lang w:eastAsia="en-US"/>
        </w:rPr>
        <w:t>​: Soil parameter (e.g., pH) for k-</w:t>
      </w:r>
      <w:proofErr w:type="spellStart"/>
      <w:r w:rsidRPr="00177FB9">
        <w:rPr>
          <w:rFonts w:ascii="Arial" w:eastAsiaTheme="minorHAnsi" w:hAnsi="Arial" w:cs="Arial"/>
          <w:bCs/>
          <w:sz w:val="24"/>
          <w:szCs w:val="24"/>
          <w:lang w:eastAsia="en-US"/>
        </w:rPr>
        <w:t>th</w:t>
      </w:r>
      <w:proofErr w:type="spellEnd"/>
      <w:r w:rsidRPr="00177FB9">
        <w:rPr>
          <w:rFonts w:ascii="Arial" w:eastAsiaTheme="minorHAnsi" w:hAnsi="Arial" w:cs="Arial"/>
          <w:bCs/>
          <w:sz w:val="24"/>
          <w:szCs w:val="24"/>
          <w:lang w:eastAsia="en-US"/>
        </w:rPr>
        <w:t xml:space="preserve"> replicate in block </w:t>
      </w:r>
      <w:proofErr w:type="spellStart"/>
      <w:r w:rsidRPr="00177FB9">
        <w:rPr>
          <w:rFonts w:ascii="Arial" w:eastAsiaTheme="minorHAnsi" w:hAnsi="Arial" w:cs="Arial"/>
          <w:bCs/>
          <w:sz w:val="24"/>
          <w:szCs w:val="24"/>
          <w:lang w:eastAsia="en-US"/>
        </w:rPr>
        <w:t>i</w:t>
      </w:r>
      <w:proofErr w:type="spellEnd"/>
      <w:r w:rsidRPr="00177FB9">
        <w:rPr>
          <w:rFonts w:ascii="Arial" w:eastAsiaTheme="minorHAnsi" w:hAnsi="Arial" w:cs="Arial"/>
          <w:bCs/>
          <w:sz w:val="24"/>
          <w:szCs w:val="24"/>
          <w:lang w:eastAsia="en-US"/>
        </w:rPr>
        <w:t>, treatment j</w:t>
      </w:r>
    </w:p>
    <w:p w14:paraId="6BB35EAA" w14:textId="77777777" w:rsidR="00177FB9" w:rsidRPr="00177FB9" w:rsidRDefault="00177FB9" w:rsidP="00177FB9">
      <w:pPr>
        <w:numPr>
          <w:ilvl w:val="0"/>
          <w:numId w:val="3"/>
        </w:numPr>
        <w:autoSpaceDE w:val="0"/>
        <w:autoSpaceDN w:val="0"/>
        <w:adjustRightInd w:val="0"/>
        <w:spacing w:after="0" w:line="480" w:lineRule="auto"/>
        <w:rPr>
          <w:rFonts w:ascii="Arial" w:eastAsiaTheme="minorHAnsi" w:hAnsi="Arial" w:cs="Arial"/>
          <w:bCs/>
          <w:sz w:val="24"/>
          <w:szCs w:val="24"/>
          <w:lang w:eastAsia="en-US"/>
        </w:rPr>
      </w:pPr>
      <w:proofErr w:type="spellStart"/>
      <w:r w:rsidRPr="00177FB9">
        <w:rPr>
          <w:rFonts w:ascii="Arial" w:eastAsiaTheme="minorHAnsi" w:hAnsi="Arial" w:cs="Arial"/>
          <w:bCs/>
          <w:sz w:val="24"/>
          <w:szCs w:val="24"/>
          <w:lang w:eastAsia="en-US"/>
        </w:rPr>
        <w:t>μ</w:t>
      </w:r>
      <w:r w:rsidRPr="00177FB9">
        <w:rPr>
          <w:rFonts w:ascii="Arial" w:eastAsiaTheme="minorHAnsi" w:hAnsi="Arial" w:cs="Arial"/>
          <w:bCs/>
          <w:i/>
          <w:iCs/>
          <w:sz w:val="24"/>
          <w:szCs w:val="24"/>
          <w:lang w:eastAsia="en-US"/>
        </w:rPr>
        <w:t>μ</w:t>
      </w:r>
      <w:proofErr w:type="spellEnd"/>
      <w:r w:rsidRPr="00177FB9">
        <w:rPr>
          <w:rFonts w:ascii="Arial" w:eastAsiaTheme="minorHAnsi" w:hAnsi="Arial" w:cs="Arial"/>
          <w:bCs/>
          <w:sz w:val="24"/>
          <w:szCs w:val="24"/>
          <w:lang w:eastAsia="en-US"/>
        </w:rPr>
        <w:t>: Overall mean</w:t>
      </w:r>
    </w:p>
    <w:p w14:paraId="5B43928C" w14:textId="77777777" w:rsidR="00177FB9" w:rsidRPr="00177FB9" w:rsidRDefault="00177FB9" w:rsidP="00177FB9">
      <w:pPr>
        <w:numPr>
          <w:ilvl w:val="0"/>
          <w:numId w:val="3"/>
        </w:numPr>
        <w:autoSpaceDE w:val="0"/>
        <w:autoSpaceDN w:val="0"/>
        <w:adjustRightInd w:val="0"/>
        <w:spacing w:after="0" w:line="480" w:lineRule="auto"/>
        <w:rPr>
          <w:rFonts w:ascii="Arial" w:eastAsiaTheme="minorHAnsi" w:hAnsi="Arial" w:cs="Arial"/>
          <w:bCs/>
          <w:sz w:val="24"/>
          <w:szCs w:val="24"/>
          <w:lang w:eastAsia="en-US"/>
        </w:rPr>
      </w:pPr>
      <w:proofErr w:type="spellStart"/>
      <w:r w:rsidRPr="00177FB9">
        <w:rPr>
          <w:rFonts w:ascii="Arial" w:eastAsiaTheme="minorHAnsi" w:hAnsi="Arial" w:cs="Arial"/>
          <w:bCs/>
          <w:sz w:val="24"/>
          <w:szCs w:val="24"/>
          <w:lang w:eastAsia="en-US"/>
        </w:rPr>
        <w:t>ρi</w:t>
      </w:r>
      <w:r w:rsidRPr="00177FB9">
        <w:rPr>
          <w:rFonts w:ascii="Arial" w:eastAsiaTheme="minorHAnsi" w:hAnsi="Arial" w:cs="Arial"/>
          <w:bCs/>
          <w:i/>
          <w:iCs/>
          <w:sz w:val="24"/>
          <w:szCs w:val="24"/>
          <w:lang w:eastAsia="en-US"/>
        </w:rPr>
        <w:t>ρi</w:t>
      </w:r>
      <w:proofErr w:type="spellEnd"/>
      <w:r w:rsidRPr="00177FB9">
        <w:rPr>
          <w:rFonts w:ascii="Arial" w:eastAsiaTheme="minorHAnsi" w:hAnsi="Arial" w:cs="Arial"/>
          <w:bCs/>
          <w:sz w:val="24"/>
          <w:szCs w:val="24"/>
          <w:lang w:eastAsia="en-US"/>
        </w:rPr>
        <w:t xml:space="preserve">​: Fixed effect of </w:t>
      </w:r>
      <w:proofErr w:type="spellStart"/>
      <w:r w:rsidRPr="00177FB9">
        <w:rPr>
          <w:rFonts w:ascii="Arial" w:eastAsiaTheme="minorHAnsi" w:hAnsi="Arial" w:cs="Arial"/>
          <w:bCs/>
          <w:sz w:val="24"/>
          <w:szCs w:val="24"/>
          <w:lang w:eastAsia="en-US"/>
        </w:rPr>
        <w:t>i-th</w:t>
      </w:r>
      <w:proofErr w:type="spellEnd"/>
      <w:r w:rsidRPr="00177FB9">
        <w:rPr>
          <w:rFonts w:ascii="Arial" w:eastAsiaTheme="minorHAnsi" w:hAnsi="Arial" w:cs="Arial"/>
          <w:bCs/>
          <w:sz w:val="24"/>
          <w:szCs w:val="24"/>
          <w:lang w:eastAsia="en-US"/>
        </w:rPr>
        <w:t xml:space="preserve"> block (</w:t>
      </w:r>
      <w:proofErr w:type="spellStart"/>
      <w:r w:rsidRPr="00177FB9">
        <w:rPr>
          <w:rFonts w:ascii="Arial" w:eastAsiaTheme="minorHAnsi" w:hAnsi="Arial" w:cs="Arial"/>
          <w:bCs/>
          <w:sz w:val="24"/>
          <w:szCs w:val="24"/>
          <w:lang w:eastAsia="en-US"/>
        </w:rPr>
        <w:t>i</w:t>
      </w:r>
      <w:proofErr w:type="spellEnd"/>
      <w:r w:rsidRPr="00177FB9">
        <w:rPr>
          <w:rFonts w:ascii="Arial" w:eastAsiaTheme="minorHAnsi" w:hAnsi="Arial" w:cs="Arial"/>
          <w:bCs/>
          <w:sz w:val="24"/>
          <w:szCs w:val="24"/>
          <w:lang w:eastAsia="en-US"/>
        </w:rPr>
        <w:t>=1, Nyika)</w:t>
      </w:r>
    </w:p>
    <w:p w14:paraId="4A59E930" w14:textId="77777777" w:rsidR="00177FB9" w:rsidRPr="00177FB9" w:rsidRDefault="00177FB9" w:rsidP="00177FB9">
      <w:pPr>
        <w:numPr>
          <w:ilvl w:val="0"/>
          <w:numId w:val="3"/>
        </w:numPr>
        <w:autoSpaceDE w:val="0"/>
        <w:autoSpaceDN w:val="0"/>
        <w:adjustRightInd w:val="0"/>
        <w:spacing w:after="0" w:line="480" w:lineRule="auto"/>
        <w:rPr>
          <w:rFonts w:ascii="Arial" w:eastAsiaTheme="minorHAnsi" w:hAnsi="Arial" w:cs="Arial"/>
          <w:bCs/>
          <w:sz w:val="24"/>
          <w:szCs w:val="24"/>
          <w:lang w:eastAsia="en-US"/>
        </w:rPr>
      </w:pPr>
      <w:proofErr w:type="spellStart"/>
      <w:r w:rsidRPr="00177FB9">
        <w:rPr>
          <w:rFonts w:ascii="Arial" w:eastAsiaTheme="minorHAnsi" w:hAnsi="Arial" w:cs="Arial"/>
          <w:bCs/>
          <w:sz w:val="24"/>
          <w:szCs w:val="24"/>
          <w:lang w:eastAsia="en-US"/>
        </w:rPr>
        <w:t>τj</w:t>
      </w:r>
      <w:r w:rsidRPr="00177FB9">
        <w:rPr>
          <w:rFonts w:ascii="Arial" w:eastAsiaTheme="minorHAnsi" w:hAnsi="Arial" w:cs="Arial"/>
          <w:bCs/>
          <w:i/>
          <w:iCs/>
          <w:sz w:val="24"/>
          <w:szCs w:val="24"/>
          <w:lang w:eastAsia="en-US"/>
        </w:rPr>
        <w:t>τj</w:t>
      </w:r>
      <w:proofErr w:type="spellEnd"/>
      <w:r w:rsidRPr="00177FB9">
        <w:rPr>
          <w:rFonts w:ascii="Arial" w:eastAsiaTheme="minorHAnsi" w:hAnsi="Arial" w:cs="Arial"/>
          <w:bCs/>
          <w:sz w:val="24"/>
          <w:szCs w:val="24"/>
          <w:lang w:eastAsia="en-US"/>
        </w:rPr>
        <w:t>​: Fixed</w:t>
      </w:r>
      <w:r w:rsidR="00C27FE0">
        <w:rPr>
          <w:rFonts w:ascii="Arial" w:eastAsiaTheme="minorHAnsi" w:hAnsi="Arial" w:cs="Arial"/>
          <w:bCs/>
          <w:sz w:val="24"/>
          <w:szCs w:val="24"/>
          <w:lang w:eastAsia="en-US"/>
        </w:rPr>
        <w:t xml:space="preserve"> effect of j-</w:t>
      </w:r>
      <w:proofErr w:type="spellStart"/>
      <w:r w:rsidR="00C27FE0">
        <w:rPr>
          <w:rFonts w:ascii="Arial" w:eastAsiaTheme="minorHAnsi" w:hAnsi="Arial" w:cs="Arial"/>
          <w:bCs/>
          <w:sz w:val="24"/>
          <w:szCs w:val="24"/>
          <w:lang w:eastAsia="en-US"/>
        </w:rPr>
        <w:t>th</w:t>
      </w:r>
      <w:proofErr w:type="spellEnd"/>
      <w:r w:rsidR="00C27FE0">
        <w:rPr>
          <w:rFonts w:ascii="Arial" w:eastAsiaTheme="minorHAnsi" w:hAnsi="Arial" w:cs="Arial"/>
          <w:bCs/>
          <w:sz w:val="24"/>
          <w:szCs w:val="24"/>
          <w:lang w:eastAsia="en-US"/>
        </w:rPr>
        <w:t xml:space="preserve"> treatment (j=1…3</w:t>
      </w:r>
      <w:r w:rsidRPr="00177FB9">
        <w:rPr>
          <w:rFonts w:ascii="Arial" w:eastAsiaTheme="minorHAnsi" w:hAnsi="Arial" w:cs="Arial"/>
          <w:bCs/>
          <w:i/>
          <w:iCs/>
          <w:sz w:val="24"/>
          <w:szCs w:val="24"/>
          <w:lang w:eastAsia="en-US"/>
        </w:rPr>
        <w:t>j</w:t>
      </w:r>
      <w:r w:rsidR="00C27FE0">
        <w:rPr>
          <w:rFonts w:ascii="Arial" w:eastAsiaTheme="minorHAnsi" w:hAnsi="Arial" w:cs="Arial"/>
          <w:bCs/>
          <w:sz w:val="24"/>
          <w:szCs w:val="24"/>
          <w:lang w:eastAsia="en-US"/>
        </w:rPr>
        <w:t>=1…3</w:t>
      </w:r>
      <w:r w:rsidRPr="00177FB9">
        <w:rPr>
          <w:rFonts w:ascii="Arial" w:eastAsiaTheme="minorHAnsi" w:hAnsi="Arial" w:cs="Arial"/>
          <w:bCs/>
          <w:sz w:val="24"/>
          <w:szCs w:val="24"/>
          <w:lang w:eastAsia="en-US"/>
        </w:rPr>
        <w:t>; Uprooting, Impala Chemical application, etc.), ∑</w:t>
      </w:r>
      <w:proofErr w:type="spellStart"/>
      <w:r w:rsidRPr="00177FB9">
        <w:rPr>
          <w:rFonts w:ascii="Arial" w:eastAsiaTheme="minorHAnsi" w:hAnsi="Arial" w:cs="Arial"/>
          <w:bCs/>
          <w:sz w:val="24"/>
          <w:szCs w:val="24"/>
          <w:lang w:eastAsia="en-US"/>
        </w:rPr>
        <w:t>τj</w:t>
      </w:r>
      <w:proofErr w:type="spellEnd"/>
      <w:r w:rsidRPr="00177FB9">
        <w:rPr>
          <w:rFonts w:ascii="Arial" w:eastAsiaTheme="minorHAnsi" w:hAnsi="Arial" w:cs="Arial"/>
          <w:bCs/>
          <w:sz w:val="24"/>
          <w:szCs w:val="24"/>
          <w:lang w:eastAsia="en-US"/>
        </w:rPr>
        <w:t>=0∑</w:t>
      </w:r>
      <w:r w:rsidRPr="00177FB9">
        <w:rPr>
          <w:rFonts w:ascii="Arial" w:eastAsiaTheme="minorHAnsi" w:hAnsi="Arial" w:cs="Arial"/>
          <w:bCs/>
          <w:i/>
          <w:iCs/>
          <w:sz w:val="24"/>
          <w:szCs w:val="24"/>
          <w:lang w:eastAsia="en-US"/>
        </w:rPr>
        <w:t>τj</w:t>
      </w:r>
      <w:r w:rsidRPr="00177FB9">
        <w:rPr>
          <w:rFonts w:ascii="Arial" w:eastAsiaTheme="minorHAnsi" w:hAnsi="Arial" w:cs="Arial"/>
          <w:bCs/>
          <w:sz w:val="24"/>
          <w:szCs w:val="24"/>
          <w:lang w:eastAsia="en-US"/>
        </w:rPr>
        <w:t>​=0</w:t>
      </w:r>
    </w:p>
    <w:p w14:paraId="7653B897" w14:textId="77777777" w:rsidR="00177FB9" w:rsidRPr="00177FB9" w:rsidRDefault="00177FB9" w:rsidP="00177FB9">
      <w:pPr>
        <w:numPr>
          <w:ilvl w:val="0"/>
          <w:numId w:val="3"/>
        </w:numPr>
        <w:autoSpaceDE w:val="0"/>
        <w:autoSpaceDN w:val="0"/>
        <w:adjustRightInd w:val="0"/>
        <w:spacing w:after="0" w:line="480" w:lineRule="auto"/>
        <w:rPr>
          <w:rFonts w:ascii="Arial" w:eastAsiaTheme="minorHAnsi" w:hAnsi="Arial" w:cs="Arial"/>
          <w:bCs/>
          <w:sz w:val="24"/>
          <w:szCs w:val="24"/>
          <w:lang w:eastAsia="en-US"/>
        </w:rPr>
      </w:pPr>
      <w:r w:rsidRPr="00177FB9">
        <w:rPr>
          <w:rFonts w:ascii="Arial" w:eastAsiaTheme="minorHAnsi" w:hAnsi="Arial" w:cs="Arial"/>
          <w:bCs/>
          <w:sz w:val="24"/>
          <w:szCs w:val="24"/>
          <w:lang w:eastAsia="en-US"/>
        </w:rPr>
        <w:t>ϵ</w:t>
      </w:r>
      <w:proofErr w:type="spellStart"/>
      <w:r w:rsidRPr="00177FB9">
        <w:rPr>
          <w:rFonts w:ascii="Arial" w:eastAsiaTheme="minorHAnsi" w:hAnsi="Arial" w:cs="Arial"/>
          <w:bCs/>
          <w:sz w:val="24"/>
          <w:szCs w:val="24"/>
          <w:lang w:eastAsia="en-US"/>
        </w:rPr>
        <w:t>ij</w:t>
      </w:r>
      <w:proofErr w:type="spellEnd"/>
      <w:r w:rsidRPr="00177FB9">
        <w:rPr>
          <w:rFonts w:ascii="Arial" w:eastAsiaTheme="minorHAnsi" w:hAnsi="Arial" w:cs="Arial"/>
          <w:bCs/>
          <w:sz w:val="24"/>
          <w:szCs w:val="24"/>
          <w:lang w:eastAsia="en-US"/>
        </w:rPr>
        <w:t>(k)</w:t>
      </w:r>
      <w:r w:rsidRPr="00177FB9">
        <w:rPr>
          <w:rFonts w:ascii="Cambria Math" w:eastAsiaTheme="minorHAnsi" w:hAnsi="Cambria Math" w:cs="Cambria Math"/>
          <w:bCs/>
          <w:sz w:val="24"/>
          <w:szCs w:val="24"/>
          <w:lang w:eastAsia="en-US"/>
        </w:rPr>
        <w:t>∼</w:t>
      </w:r>
      <w:r w:rsidRPr="00177FB9">
        <w:rPr>
          <w:rFonts w:ascii="Arial" w:eastAsiaTheme="minorHAnsi" w:hAnsi="Arial" w:cs="Arial"/>
          <w:bCs/>
          <w:sz w:val="24"/>
          <w:szCs w:val="24"/>
          <w:lang w:eastAsia="en-US"/>
        </w:rPr>
        <w:t>N(0,σ2)</w:t>
      </w:r>
      <w:r w:rsidRPr="00177FB9">
        <w:rPr>
          <w:rFonts w:ascii="Arial" w:eastAsiaTheme="minorHAnsi" w:hAnsi="Arial" w:cs="Arial"/>
          <w:bCs/>
          <w:i/>
          <w:iCs/>
          <w:sz w:val="24"/>
          <w:szCs w:val="24"/>
          <w:lang w:eastAsia="en-US"/>
        </w:rPr>
        <w:t>ϵ</w:t>
      </w:r>
      <w:proofErr w:type="spellStart"/>
      <w:r w:rsidRPr="00177FB9">
        <w:rPr>
          <w:rFonts w:ascii="Arial" w:eastAsiaTheme="minorHAnsi" w:hAnsi="Arial" w:cs="Arial"/>
          <w:bCs/>
          <w:i/>
          <w:iCs/>
          <w:sz w:val="24"/>
          <w:szCs w:val="24"/>
          <w:lang w:eastAsia="en-US"/>
        </w:rPr>
        <w:t>ij</w:t>
      </w:r>
      <w:proofErr w:type="spellEnd"/>
      <w:r w:rsidRPr="00177FB9">
        <w:rPr>
          <w:rFonts w:ascii="Arial" w:eastAsiaTheme="minorHAnsi" w:hAnsi="Arial" w:cs="Arial"/>
          <w:bCs/>
          <w:sz w:val="24"/>
          <w:szCs w:val="24"/>
          <w:lang w:eastAsia="en-US"/>
        </w:rPr>
        <w:t>(</w:t>
      </w:r>
      <w:r w:rsidRPr="00177FB9">
        <w:rPr>
          <w:rFonts w:ascii="Arial" w:eastAsiaTheme="minorHAnsi" w:hAnsi="Arial" w:cs="Arial"/>
          <w:bCs/>
          <w:i/>
          <w:iCs/>
          <w:sz w:val="24"/>
          <w:szCs w:val="24"/>
          <w:lang w:eastAsia="en-US"/>
        </w:rPr>
        <w:t>k</w:t>
      </w:r>
      <w:r w:rsidRPr="00177FB9">
        <w:rPr>
          <w:rFonts w:ascii="Arial" w:eastAsiaTheme="minorHAnsi" w:hAnsi="Arial" w:cs="Arial"/>
          <w:bCs/>
          <w:sz w:val="24"/>
          <w:szCs w:val="24"/>
          <w:lang w:eastAsia="en-US"/>
        </w:rPr>
        <w:t>)​</w:t>
      </w:r>
      <w:r w:rsidRPr="00177FB9">
        <w:rPr>
          <w:rFonts w:ascii="Cambria Math" w:eastAsiaTheme="minorHAnsi" w:hAnsi="Cambria Math" w:cs="Cambria Math"/>
          <w:bCs/>
          <w:sz w:val="24"/>
          <w:szCs w:val="24"/>
          <w:lang w:eastAsia="en-US"/>
        </w:rPr>
        <w:t>∼</w:t>
      </w:r>
      <w:r w:rsidRPr="00177FB9">
        <w:rPr>
          <w:rFonts w:ascii="Arial" w:eastAsiaTheme="minorHAnsi" w:hAnsi="Arial" w:cs="Arial"/>
          <w:bCs/>
          <w:i/>
          <w:iCs/>
          <w:sz w:val="24"/>
          <w:szCs w:val="24"/>
          <w:lang w:eastAsia="en-US"/>
        </w:rPr>
        <w:t>N</w:t>
      </w:r>
      <w:r w:rsidRPr="00177FB9">
        <w:rPr>
          <w:rFonts w:ascii="Arial" w:eastAsiaTheme="minorHAnsi" w:hAnsi="Arial" w:cs="Arial"/>
          <w:bCs/>
          <w:sz w:val="24"/>
          <w:szCs w:val="24"/>
          <w:lang w:eastAsia="en-US"/>
        </w:rPr>
        <w:t>(0,</w:t>
      </w:r>
      <w:r w:rsidRPr="00177FB9">
        <w:rPr>
          <w:rFonts w:ascii="Arial" w:eastAsiaTheme="minorHAnsi" w:hAnsi="Arial" w:cs="Arial"/>
          <w:bCs/>
          <w:i/>
          <w:iCs/>
          <w:sz w:val="24"/>
          <w:szCs w:val="24"/>
          <w:lang w:eastAsia="en-US"/>
        </w:rPr>
        <w:t>σ</w:t>
      </w:r>
      <w:r w:rsidRPr="00177FB9">
        <w:rPr>
          <w:rFonts w:ascii="Arial" w:eastAsiaTheme="minorHAnsi" w:hAnsi="Arial" w:cs="Arial"/>
          <w:bCs/>
          <w:sz w:val="24"/>
          <w:szCs w:val="24"/>
          <w:lang w:eastAsia="en-US"/>
        </w:rPr>
        <w:t>2): Random error</w:t>
      </w:r>
    </w:p>
    <w:p w14:paraId="04DD771D" w14:textId="77777777" w:rsidR="00177FB9" w:rsidRPr="00177FB9" w:rsidRDefault="00177FB9" w:rsidP="00177FB9">
      <w:pPr>
        <w:autoSpaceDE w:val="0"/>
        <w:autoSpaceDN w:val="0"/>
        <w:adjustRightInd w:val="0"/>
        <w:spacing w:after="0" w:line="360" w:lineRule="auto"/>
        <w:rPr>
          <w:rFonts w:ascii="Arial" w:eastAsiaTheme="minorHAnsi" w:hAnsi="Arial" w:cs="Arial"/>
          <w:bCs/>
          <w:sz w:val="24"/>
          <w:szCs w:val="24"/>
          <w:lang w:eastAsia="en-US"/>
        </w:rPr>
      </w:pPr>
    </w:p>
    <w:p w14:paraId="3F2F498F" w14:textId="77777777" w:rsidR="00177FB9" w:rsidRPr="00177FB9" w:rsidRDefault="00177FB9" w:rsidP="00177FB9">
      <w:pPr>
        <w:jc w:val="both"/>
        <w:rPr>
          <w:rFonts w:ascii="Arial" w:hAnsi="Arial" w:cs="Arial"/>
          <w:b/>
          <w:sz w:val="24"/>
          <w:szCs w:val="24"/>
        </w:rPr>
      </w:pPr>
    </w:p>
    <w:p w14:paraId="1425CB5E" w14:textId="77777777" w:rsidR="00177FB9" w:rsidRPr="00177FB9" w:rsidRDefault="00177FB9" w:rsidP="00177FB9">
      <w:pPr>
        <w:jc w:val="both"/>
        <w:rPr>
          <w:rFonts w:ascii="Arial" w:hAnsi="Arial" w:cs="Arial"/>
          <w:b/>
          <w:sz w:val="24"/>
          <w:szCs w:val="24"/>
        </w:rPr>
      </w:pPr>
    </w:p>
    <w:p w14:paraId="08F79584" w14:textId="77777777" w:rsidR="00177FB9" w:rsidRPr="00177FB9" w:rsidRDefault="00177FB9" w:rsidP="00177FB9">
      <w:pPr>
        <w:jc w:val="both"/>
        <w:rPr>
          <w:rFonts w:ascii="Arial" w:hAnsi="Arial" w:cs="Arial"/>
          <w:b/>
          <w:sz w:val="24"/>
          <w:szCs w:val="24"/>
        </w:rPr>
      </w:pPr>
    </w:p>
    <w:p w14:paraId="1D2F9D8E" w14:textId="77777777" w:rsidR="00177FB9" w:rsidRPr="00177FB9" w:rsidRDefault="00177FB9" w:rsidP="00177FB9">
      <w:pPr>
        <w:jc w:val="both"/>
        <w:rPr>
          <w:rFonts w:ascii="Arial" w:hAnsi="Arial" w:cs="Arial"/>
          <w:b/>
          <w:sz w:val="24"/>
          <w:szCs w:val="24"/>
        </w:rPr>
      </w:pPr>
    </w:p>
    <w:p w14:paraId="46BC17B1" w14:textId="77777777" w:rsidR="00177FB9" w:rsidRDefault="00177FB9" w:rsidP="00177FB9">
      <w:pPr>
        <w:jc w:val="both"/>
        <w:rPr>
          <w:rFonts w:ascii="Arial" w:hAnsi="Arial" w:cs="Arial"/>
          <w:b/>
          <w:sz w:val="24"/>
          <w:szCs w:val="24"/>
        </w:rPr>
      </w:pPr>
    </w:p>
    <w:p w14:paraId="38E5C99A" w14:textId="77777777" w:rsidR="001A6FE9" w:rsidRDefault="001A6FE9" w:rsidP="00177FB9">
      <w:pPr>
        <w:jc w:val="both"/>
        <w:rPr>
          <w:rFonts w:ascii="Arial" w:hAnsi="Arial" w:cs="Arial"/>
          <w:b/>
          <w:sz w:val="24"/>
          <w:szCs w:val="24"/>
        </w:rPr>
      </w:pPr>
    </w:p>
    <w:p w14:paraId="6273ECCA" w14:textId="77777777" w:rsidR="001A6FE9" w:rsidRPr="00177FB9" w:rsidRDefault="001A6FE9" w:rsidP="00177FB9">
      <w:pPr>
        <w:jc w:val="both"/>
        <w:rPr>
          <w:rFonts w:ascii="Arial" w:hAnsi="Arial" w:cs="Arial"/>
          <w:b/>
          <w:sz w:val="24"/>
          <w:szCs w:val="24"/>
        </w:rPr>
      </w:pPr>
    </w:p>
    <w:p w14:paraId="144FE50A" w14:textId="77777777" w:rsidR="00177FB9" w:rsidRPr="00177FB9" w:rsidRDefault="00177FB9" w:rsidP="00177FB9">
      <w:pPr>
        <w:jc w:val="both"/>
        <w:rPr>
          <w:rFonts w:ascii="Arial" w:hAnsi="Arial" w:cs="Arial"/>
          <w:b/>
          <w:sz w:val="24"/>
          <w:szCs w:val="24"/>
        </w:rPr>
      </w:pPr>
    </w:p>
    <w:p w14:paraId="58127A70" w14:textId="77777777" w:rsidR="00177FB9" w:rsidRDefault="00177FB9" w:rsidP="00177FB9">
      <w:pPr>
        <w:jc w:val="both"/>
        <w:rPr>
          <w:rFonts w:ascii="Arial" w:hAnsi="Arial" w:cs="Arial"/>
          <w:b/>
          <w:sz w:val="24"/>
          <w:szCs w:val="24"/>
        </w:rPr>
      </w:pPr>
    </w:p>
    <w:p w14:paraId="57EFF14E" w14:textId="77777777" w:rsidR="00177FB9" w:rsidRPr="002B1E6B" w:rsidRDefault="002B1E6B" w:rsidP="002B1E6B">
      <w:pPr>
        <w:jc w:val="both"/>
        <w:rPr>
          <w:rFonts w:ascii="Arial" w:hAnsi="Arial" w:cs="Arial"/>
          <w:b/>
          <w:sz w:val="24"/>
          <w:szCs w:val="24"/>
        </w:rPr>
      </w:pPr>
      <w:r>
        <w:rPr>
          <w:rFonts w:ascii="Arial" w:hAnsi="Arial" w:cs="Arial"/>
          <w:b/>
          <w:sz w:val="24"/>
          <w:szCs w:val="24"/>
        </w:rPr>
        <w:t xml:space="preserve">3.0 </w:t>
      </w:r>
      <w:r w:rsidR="00232EF2" w:rsidRPr="002B1E6B">
        <w:rPr>
          <w:rFonts w:ascii="Arial" w:hAnsi="Arial" w:cs="Arial"/>
          <w:b/>
          <w:sz w:val="24"/>
          <w:szCs w:val="24"/>
        </w:rPr>
        <w:t>RESULTS</w:t>
      </w:r>
      <w:r w:rsidR="002A1F4E">
        <w:rPr>
          <w:rFonts w:ascii="Arial" w:hAnsi="Arial" w:cs="Arial"/>
          <w:b/>
          <w:sz w:val="24"/>
          <w:szCs w:val="24"/>
        </w:rPr>
        <w:t xml:space="preserve"> AND </w:t>
      </w:r>
      <w:r w:rsidR="002A1F4E" w:rsidRPr="002A1F4E">
        <w:rPr>
          <w:rFonts w:ascii="Arial" w:hAnsi="Arial" w:cs="Arial"/>
          <w:b/>
          <w:sz w:val="24"/>
          <w:szCs w:val="24"/>
        </w:rPr>
        <w:t>DISCUSSION</w:t>
      </w:r>
    </w:p>
    <w:p w14:paraId="2B091647" w14:textId="77777777" w:rsidR="00177FB9" w:rsidRPr="001A4654" w:rsidRDefault="00177FB9" w:rsidP="00177FB9">
      <w:pPr>
        <w:autoSpaceDE w:val="0"/>
        <w:autoSpaceDN w:val="0"/>
        <w:adjustRightInd w:val="0"/>
        <w:spacing w:after="0" w:line="240" w:lineRule="auto"/>
        <w:rPr>
          <w:rFonts w:ascii="Arial" w:eastAsiaTheme="minorHAnsi" w:hAnsi="Arial" w:cs="Arial"/>
          <w:lang w:eastAsia="en-US"/>
        </w:rPr>
      </w:pPr>
      <w:r w:rsidRPr="001A4654">
        <w:rPr>
          <w:rFonts w:ascii="Arial" w:eastAsiaTheme="minorHAnsi" w:hAnsi="Arial" w:cs="Arial"/>
          <w:lang w:eastAsia="en-US"/>
        </w:rPr>
        <w:t>Table 2: ANOVA table summary for Black wattle soil parameters unde</w:t>
      </w:r>
      <w:r w:rsidR="00C27FE0">
        <w:rPr>
          <w:rFonts w:ascii="Arial" w:eastAsiaTheme="minorHAnsi" w:hAnsi="Arial" w:cs="Arial"/>
          <w:lang w:eastAsia="en-US"/>
        </w:rPr>
        <w:t xml:space="preserve">r uprooting and Impala herbicide </w:t>
      </w:r>
      <w:r w:rsidRPr="001A4654">
        <w:rPr>
          <w:rFonts w:ascii="Arial" w:eastAsiaTheme="minorHAnsi" w:hAnsi="Arial" w:cs="Arial"/>
          <w:lang w:eastAsia="en-US"/>
        </w:rPr>
        <w:t>application a</w:t>
      </w:r>
      <w:r w:rsidR="00C27FE0">
        <w:rPr>
          <w:rFonts w:ascii="Arial" w:eastAsiaTheme="minorHAnsi" w:hAnsi="Arial" w:cs="Arial"/>
          <w:lang w:eastAsia="en-US"/>
        </w:rPr>
        <w:t>cross the two experimental</w:t>
      </w:r>
      <w:r w:rsidRPr="001A4654">
        <w:rPr>
          <w:rFonts w:ascii="Arial" w:eastAsiaTheme="minorHAnsi" w:hAnsi="Arial" w:cs="Arial"/>
          <w:lang w:eastAsia="en-US"/>
        </w:rPr>
        <w:t xml:space="preserve"> plots at Nyika National Park</w:t>
      </w:r>
      <w:r w:rsidRPr="00177FB9">
        <w:rPr>
          <w:rFonts w:ascii="Arial" w:eastAsiaTheme="minorHAnsi" w:hAnsi="Arial" w:cs="Arial"/>
          <w:sz w:val="24"/>
          <w:szCs w:val="24"/>
          <w:lang w:eastAsia="en-US"/>
        </w:rPr>
        <w:fldChar w:fldCharType="begin"/>
      </w:r>
      <w:r w:rsidRPr="00177FB9">
        <w:rPr>
          <w:rFonts w:ascii="Arial" w:eastAsiaTheme="minorHAnsi" w:hAnsi="Arial" w:cs="Arial"/>
          <w:sz w:val="24"/>
          <w:szCs w:val="24"/>
          <w:lang w:eastAsia="en-US"/>
        </w:rPr>
        <w:instrText xml:space="preserve"> LINK </w:instrText>
      </w:r>
      <w:r w:rsidR="00E10409">
        <w:rPr>
          <w:rFonts w:ascii="Arial" w:eastAsiaTheme="minorHAnsi" w:hAnsi="Arial" w:cs="Arial"/>
          <w:sz w:val="24"/>
          <w:szCs w:val="24"/>
          <w:lang w:eastAsia="en-US"/>
        </w:rPr>
        <w:instrText xml:space="preserve">Excel.Sheet.12 "C:\\Users\\DELL VOSRTO 11TH GEN\\Desktop\\WILLEY PUBLICATIONS\\Soils data GRAPHS_Self contained.xlsx" "ANOVA TABLE!R4C3:R11C9" </w:instrText>
      </w:r>
      <w:r w:rsidRPr="00177FB9">
        <w:rPr>
          <w:rFonts w:ascii="Arial" w:eastAsiaTheme="minorHAnsi" w:hAnsi="Arial" w:cs="Arial"/>
          <w:sz w:val="24"/>
          <w:szCs w:val="24"/>
          <w:lang w:eastAsia="en-US"/>
        </w:rPr>
        <w:instrText xml:space="preserve">\a \f 4 \h  \* MERGEFORMAT </w:instrText>
      </w:r>
      <w:r w:rsidRPr="00177FB9">
        <w:rPr>
          <w:rFonts w:ascii="Arial" w:eastAsiaTheme="minorHAnsi" w:hAnsi="Arial" w:cs="Arial"/>
          <w:sz w:val="24"/>
          <w:szCs w:val="24"/>
          <w:lang w:eastAsia="en-US"/>
        </w:rPr>
        <w:fldChar w:fldCharType="separate"/>
      </w:r>
    </w:p>
    <w:tbl>
      <w:tblPr>
        <w:tblW w:w="10170" w:type="dxa"/>
        <w:jc w:val="center"/>
        <w:tblLook w:val="04A0" w:firstRow="1" w:lastRow="0" w:firstColumn="1" w:lastColumn="0" w:noHBand="0" w:noVBand="1"/>
      </w:tblPr>
      <w:tblGrid>
        <w:gridCol w:w="2552"/>
        <w:gridCol w:w="1218"/>
        <w:gridCol w:w="602"/>
        <w:gridCol w:w="1218"/>
        <w:gridCol w:w="1334"/>
        <w:gridCol w:w="1890"/>
        <w:gridCol w:w="1440"/>
      </w:tblGrid>
      <w:tr w:rsidR="00177FB9" w:rsidRPr="00177FB9" w14:paraId="079A8A28" w14:textId="77777777" w:rsidTr="00C104CA">
        <w:trPr>
          <w:trHeight w:val="288"/>
          <w:jc w:val="center"/>
        </w:trPr>
        <w:tc>
          <w:tcPr>
            <w:tcW w:w="2552" w:type="dxa"/>
            <w:tcBorders>
              <w:top w:val="single" w:sz="8" w:space="0" w:color="auto"/>
              <w:left w:val="nil"/>
              <w:bottom w:val="single" w:sz="4" w:space="0" w:color="auto"/>
              <w:right w:val="nil"/>
            </w:tcBorders>
            <w:noWrap/>
            <w:vAlign w:val="bottom"/>
            <w:hideMark/>
          </w:tcPr>
          <w:p w14:paraId="16A86C93" w14:textId="77777777" w:rsidR="00177FB9" w:rsidRPr="00177FB9" w:rsidRDefault="00177FB9" w:rsidP="00C104CA">
            <w:pPr>
              <w:spacing w:after="0" w:line="360" w:lineRule="auto"/>
              <w:rPr>
                <w:rFonts w:ascii="Arial" w:eastAsia="Times New Roman" w:hAnsi="Arial" w:cs="Arial"/>
                <w:b/>
                <w:i/>
                <w:iCs/>
                <w:color w:val="000000"/>
                <w:sz w:val="24"/>
                <w:szCs w:val="24"/>
                <w:lang w:eastAsia="en-US"/>
              </w:rPr>
            </w:pPr>
            <w:r w:rsidRPr="00177FB9">
              <w:rPr>
                <w:rFonts w:ascii="Arial" w:eastAsia="Times New Roman" w:hAnsi="Arial" w:cs="Arial"/>
                <w:b/>
                <w:i/>
                <w:iCs/>
                <w:color w:val="000000"/>
                <w:sz w:val="24"/>
                <w:szCs w:val="24"/>
                <w:lang w:eastAsia="en-US"/>
              </w:rPr>
              <w:lastRenderedPageBreak/>
              <w:t>Soil Parameter</w:t>
            </w:r>
          </w:p>
        </w:tc>
        <w:tc>
          <w:tcPr>
            <w:tcW w:w="1134" w:type="dxa"/>
            <w:tcBorders>
              <w:top w:val="single" w:sz="8" w:space="0" w:color="auto"/>
              <w:left w:val="nil"/>
              <w:bottom w:val="single" w:sz="4" w:space="0" w:color="auto"/>
              <w:right w:val="nil"/>
            </w:tcBorders>
            <w:noWrap/>
            <w:vAlign w:val="bottom"/>
            <w:hideMark/>
          </w:tcPr>
          <w:p w14:paraId="565A0184" w14:textId="77777777" w:rsidR="00177FB9" w:rsidRPr="00177FB9" w:rsidRDefault="00177FB9" w:rsidP="00C104CA">
            <w:pPr>
              <w:spacing w:after="0" w:line="360" w:lineRule="auto"/>
              <w:jc w:val="center"/>
              <w:rPr>
                <w:rFonts w:ascii="Arial" w:eastAsia="Times New Roman" w:hAnsi="Arial" w:cs="Arial"/>
                <w:b/>
                <w:i/>
                <w:iCs/>
                <w:color w:val="000000"/>
                <w:sz w:val="24"/>
                <w:szCs w:val="24"/>
                <w:lang w:eastAsia="en-US"/>
              </w:rPr>
            </w:pPr>
            <w:r w:rsidRPr="00177FB9">
              <w:rPr>
                <w:rFonts w:ascii="Arial" w:eastAsia="Times New Roman" w:hAnsi="Arial" w:cs="Arial"/>
                <w:b/>
                <w:i/>
                <w:iCs/>
                <w:color w:val="000000"/>
                <w:sz w:val="24"/>
                <w:szCs w:val="24"/>
                <w:lang w:eastAsia="en-US"/>
              </w:rPr>
              <w:t>SS</w:t>
            </w:r>
          </w:p>
        </w:tc>
        <w:tc>
          <w:tcPr>
            <w:tcW w:w="602" w:type="dxa"/>
            <w:tcBorders>
              <w:top w:val="single" w:sz="8" w:space="0" w:color="auto"/>
              <w:left w:val="nil"/>
              <w:bottom w:val="single" w:sz="4" w:space="0" w:color="auto"/>
              <w:right w:val="nil"/>
            </w:tcBorders>
            <w:noWrap/>
            <w:vAlign w:val="bottom"/>
            <w:hideMark/>
          </w:tcPr>
          <w:p w14:paraId="55F9150B" w14:textId="77777777" w:rsidR="00177FB9" w:rsidRPr="00177FB9" w:rsidRDefault="00177FB9" w:rsidP="00C104CA">
            <w:pPr>
              <w:spacing w:after="0" w:line="360" w:lineRule="auto"/>
              <w:jc w:val="center"/>
              <w:rPr>
                <w:rFonts w:ascii="Arial" w:eastAsia="Times New Roman" w:hAnsi="Arial" w:cs="Arial"/>
                <w:b/>
                <w:i/>
                <w:iCs/>
                <w:color w:val="000000"/>
                <w:sz w:val="24"/>
                <w:szCs w:val="24"/>
                <w:lang w:eastAsia="en-US"/>
              </w:rPr>
            </w:pPr>
            <w:proofErr w:type="spellStart"/>
            <w:r w:rsidRPr="00177FB9">
              <w:rPr>
                <w:rFonts w:ascii="Arial" w:eastAsia="Times New Roman" w:hAnsi="Arial" w:cs="Arial"/>
                <w:b/>
                <w:i/>
                <w:iCs/>
                <w:color w:val="000000"/>
                <w:sz w:val="24"/>
                <w:szCs w:val="24"/>
                <w:lang w:eastAsia="en-US"/>
              </w:rPr>
              <w:t>df</w:t>
            </w:r>
            <w:proofErr w:type="spellEnd"/>
          </w:p>
        </w:tc>
        <w:tc>
          <w:tcPr>
            <w:tcW w:w="1218" w:type="dxa"/>
            <w:tcBorders>
              <w:top w:val="single" w:sz="8" w:space="0" w:color="auto"/>
              <w:left w:val="nil"/>
              <w:bottom w:val="single" w:sz="4" w:space="0" w:color="auto"/>
              <w:right w:val="nil"/>
            </w:tcBorders>
            <w:noWrap/>
            <w:vAlign w:val="bottom"/>
            <w:hideMark/>
          </w:tcPr>
          <w:p w14:paraId="4FA93D02" w14:textId="77777777" w:rsidR="00177FB9" w:rsidRPr="00177FB9" w:rsidRDefault="00177FB9" w:rsidP="00C104CA">
            <w:pPr>
              <w:spacing w:after="0" w:line="360" w:lineRule="auto"/>
              <w:jc w:val="center"/>
              <w:rPr>
                <w:rFonts w:ascii="Arial" w:eastAsia="Times New Roman" w:hAnsi="Arial" w:cs="Arial"/>
                <w:b/>
                <w:i/>
                <w:iCs/>
                <w:color w:val="000000"/>
                <w:sz w:val="24"/>
                <w:szCs w:val="24"/>
                <w:lang w:eastAsia="en-US"/>
              </w:rPr>
            </w:pPr>
            <w:r w:rsidRPr="00177FB9">
              <w:rPr>
                <w:rFonts w:ascii="Arial" w:eastAsia="Times New Roman" w:hAnsi="Arial" w:cs="Arial"/>
                <w:b/>
                <w:i/>
                <w:iCs/>
                <w:color w:val="000000"/>
                <w:sz w:val="24"/>
                <w:szCs w:val="24"/>
                <w:lang w:eastAsia="en-US"/>
              </w:rPr>
              <w:t>MS</w:t>
            </w:r>
          </w:p>
        </w:tc>
        <w:tc>
          <w:tcPr>
            <w:tcW w:w="1334" w:type="dxa"/>
            <w:tcBorders>
              <w:top w:val="single" w:sz="8" w:space="0" w:color="auto"/>
              <w:left w:val="nil"/>
              <w:bottom w:val="single" w:sz="4" w:space="0" w:color="auto"/>
              <w:right w:val="nil"/>
            </w:tcBorders>
            <w:noWrap/>
            <w:vAlign w:val="bottom"/>
            <w:hideMark/>
          </w:tcPr>
          <w:p w14:paraId="2A9652CA" w14:textId="77777777" w:rsidR="00177FB9" w:rsidRPr="00177FB9" w:rsidRDefault="00177FB9" w:rsidP="00C104CA">
            <w:pPr>
              <w:spacing w:after="0" w:line="360" w:lineRule="auto"/>
              <w:jc w:val="center"/>
              <w:rPr>
                <w:rFonts w:ascii="Arial" w:eastAsia="Times New Roman" w:hAnsi="Arial" w:cs="Arial"/>
                <w:b/>
                <w:i/>
                <w:iCs/>
                <w:color w:val="000000"/>
                <w:sz w:val="24"/>
                <w:szCs w:val="24"/>
                <w:lang w:eastAsia="en-US"/>
              </w:rPr>
            </w:pPr>
            <w:r w:rsidRPr="00177FB9">
              <w:rPr>
                <w:rFonts w:ascii="Arial" w:eastAsia="Times New Roman" w:hAnsi="Arial" w:cs="Arial"/>
                <w:b/>
                <w:i/>
                <w:iCs/>
                <w:color w:val="000000"/>
                <w:sz w:val="24"/>
                <w:szCs w:val="24"/>
                <w:lang w:eastAsia="en-US"/>
              </w:rPr>
              <w:t>F</w:t>
            </w:r>
          </w:p>
        </w:tc>
        <w:tc>
          <w:tcPr>
            <w:tcW w:w="1890" w:type="dxa"/>
            <w:tcBorders>
              <w:top w:val="single" w:sz="8" w:space="0" w:color="auto"/>
              <w:left w:val="nil"/>
              <w:bottom w:val="single" w:sz="4" w:space="0" w:color="auto"/>
              <w:right w:val="nil"/>
            </w:tcBorders>
            <w:noWrap/>
            <w:vAlign w:val="bottom"/>
            <w:hideMark/>
          </w:tcPr>
          <w:p w14:paraId="63F2D9C9" w14:textId="77777777" w:rsidR="00177FB9" w:rsidRPr="00177FB9" w:rsidRDefault="00177FB9" w:rsidP="00C104CA">
            <w:pPr>
              <w:spacing w:after="0" w:line="360" w:lineRule="auto"/>
              <w:jc w:val="center"/>
              <w:rPr>
                <w:rFonts w:ascii="Arial" w:eastAsia="Times New Roman" w:hAnsi="Arial" w:cs="Arial"/>
                <w:b/>
                <w:i/>
                <w:iCs/>
                <w:color w:val="000000"/>
                <w:sz w:val="24"/>
                <w:szCs w:val="24"/>
                <w:lang w:eastAsia="en-US"/>
              </w:rPr>
            </w:pPr>
            <w:r w:rsidRPr="00177FB9">
              <w:rPr>
                <w:rFonts w:ascii="Arial" w:eastAsia="Times New Roman" w:hAnsi="Arial" w:cs="Arial"/>
                <w:b/>
                <w:i/>
                <w:iCs/>
                <w:color w:val="000000"/>
                <w:sz w:val="24"/>
                <w:szCs w:val="24"/>
                <w:lang w:eastAsia="en-US"/>
              </w:rPr>
              <w:t>P-value</w:t>
            </w:r>
          </w:p>
        </w:tc>
        <w:tc>
          <w:tcPr>
            <w:tcW w:w="1440" w:type="dxa"/>
            <w:tcBorders>
              <w:top w:val="single" w:sz="8" w:space="0" w:color="auto"/>
              <w:left w:val="nil"/>
              <w:bottom w:val="single" w:sz="4" w:space="0" w:color="auto"/>
              <w:right w:val="nil"/>
            </w:tcBorders>
            <w:noWrap/>
            <w:vAlign w:val="bottom"/>
            <w:hideMark/>
          </w:tcPr>
          <w:p w14:paraId="7699DC04" w14:textId="77777777" w:rsidR="00177FB9" w:rsidRPr="00177FB9" w:rsidRDefault="00177FB9" w:rsidP="00C104CA">
            <w:pPr>
              <w:spacing w:after="0" w:line="360" w:lineRule="auto"/>
              <w:jc w:val="center"/>
              <w:rPr>
                <w:rFonts w:ascii="Arial" w:eastAsia="Times New Roman" w:hAnsi="Arial" w:cs="Arial"/>
                <w:b/>
                <w:color w:val="000000"/>
                <w:sz w:val="24"/>
                <w:szCs w:val="24"/>
                <w:lang w:eastAsia="en-US"/>
              </w:rPr>
            </w:pPr>
            <w:proofErr w:type="spellStart"/>
            <w:r w:rsidRPr="00177FB9">
              <w:rPr>
                <w:rFonts w:ascii="Arial" w:eastAsia="Times New Roman" w:hAnsi="Arial" w:cs="Arial"/>
                <w:b/>
                <w:color w:val="000000"/>
                <w:sz w:val="24"/>
                <w:szCs w:val="24"/>
                <w:lang w:eastAsia="en-US"/>
              </w:rPr>
              <w:t>Pr</w:t>
            </w:r>
            <w:proofErr w:type="spellEnd"/>
            <w:r w:rsidRPr="00177FB9">
              <w:rPr>
                <w:rFonts w:ascii="Arial" w:eastAsia="Times New Roman" w:hAnsi="Arial" w:cs="Arial"/>
                <w:b/>
                <w:color w:val="000000"/>
                <w:sz w:val="24"/>
                <w:szCs w:val="24"/>
                <w:lang w:eastAsia="en-US"/>
              </w:rPr>
              <w:t xml:space="preserve"> (&gt;F)</w:t>
            </w:r>
          </w:p>
        </w:tc>
      </w:tr>
      <w:tr w:rsidR="00177FB9" w:rsidRPr="00177FB9" w14:paraId="673C1BDF" w14:textId="77777777" w:rsidTr="00C104CA">
        <w:trPr>
          <w:trHeight w:val="288"/>
          <w:jc w:val="center"/>
        </w:trPr>
        <w:tc>
          <w:tcPr>
            <w:tcW w:w="2552" w:type="dxa"/>
            <w:tcBorders>
              <w:top w:val="nil"/>
              <w:left w:val="nil"/>
              <w:bottom w:val="nil"/>
              <w:right w:val="nil"/>
            </w:tcBorders>
            <w:noWrap/>
            <w:vAlign w:val="bottom"/>
            <w:hideMark/>
          </w:tcPr>
          <w:p w14:paraId="4EB2C805" w14:textId="77777777" w:rsidR="00177FB9" w:rsidRPr="009F72EA" w:rsidRDefault="00177FB9" w:rsidP="00C104CA">
            <w:pPr>
              <w:spacing w:after="0" w:line="360" w:lineRule="auto"/>
              <w:rPr>
                <w:rFonts w:ascii="Arial" w:eastAsia="Times New Roman" w:hAnsi="Arial" w:cs="Arial"/>
                <w:b/>
                <w:color w:val="000000"/>
                <w:lang w:eastAsia="en-US"/>
              </w:rPr>
            </w:pPr>
            <w:r w:rsidRPr="009F72EA">
              <w:rPr>
                <w:rFonts w:ascii="Arial" w:eastAsia="Times New Roman" w:hAnsi="Arial" w:cs="Arial"/>
                <w:b/>
                <w:color w:val="000000"/>
                <w:lang w:eastAsia="en-US"/>
              </w:rPr>
              <w:t>Exchangeable Na %</w:t>
            </w:r>
          </w:p>
        </w:tc>
        <w:tc>
          <w:tcPr>
            <w:tcW w:w="1134" w:type="dxa"/>
            <w:tcBorders>
              <w:top w:val="nil"/>
              <w:left w:val="nil"/>
              <w:bottom w:val="nil"/>
              <w:right w:val="nil"/>
            </w:tcBorders>
            <w:noWrap/>
            <w:vAlign w:val="bottom"/>
            <w:hideMark/>
          </w:tcPr>
          <w:p w14:paraId="3BB03717"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100.0417</w:t>
            </w:r>
          </w:p>
        </w:tc>
        <w:tc>
          <w:tcPr>
            <w:tcW w:w="602" w:type="dxa"/>
            <w:tcBorders>
              <w:top w:val="nil"/>
              <w:left w:val="nil"/>
              <w:bottom w:val="nil"/>
              <w:right w:val="nil"/>
            </w:tcBorders>
            <w:noWrap/>
            <w:vAlign w:val="bottom"/>
            <w:hideMark/>
          </w:tcPr>
          <w:p w14:paraId="723E4DEF"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w:t>
            </w:r>
          </w:p>
        </w:tc>
        <w:tc>
          <w:tcPr>
            <w:tcW w:w="1218" w:type="dxa"/>
            <w:tcBorders>
              <w:top w:val="nil"/>
              <w:left w:val="nil"/>
              <w:bottom w:val="nil"/>
              <w:right w:val="nil"/>
            </w:tcBorders>
            <w:noWrap/>
            <w:vAlign w:val="bottom"/>
            <w:hideMark/>
          </w:tcPr>
          <w:p w14:paraId="5B40CF32"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100.0417</w:t>
            </w:r>
          </w:p>
        </w:tc>
        <w:tc>
          <w:tcPr>
            <w:tcW w:w="1334" w:type="dxa"/>
            <w:tcBorders>
              <w:top w:val="nil"/>
              <w:left w:val="nil"/>
              <w:bottom w:val="nil"/>
              <w:right w:val="nil"/>
            </w:tcBorders>
            <w:noWrap/>
            <w:vAlign w:val="bottom"/>
            <w:hideMark/>
          </w:tcPr>
          <w:p w14:paraId="6059974A"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0.662162</w:t>
            </w:r>
          </w:p>
        </w:tc>
        <w:tc>
          <w:tcPr>
            <w:tcW w:w="1890" w:type="dxa"/>
            <w:tcBorders>
              <w:top w:val="nil"/>
              <w:left w:val="nil"/>
              <w:bottom w:val="nil"/>
              <w:right w:val="nil"/>
            </w:tcBorders>
            <w:noWrap/>
            <w:vAlign w:val="bottom"/>
            <w:hideMark/>
          </w:tcPr>
          <w:p w14:paraId="680DE1D3"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0.461462</w:t>
            </w:r>
          </w:p>
        </w:tc>
        <w:tc>
          <w:tcPr>
            <w:tcW w:w="1440" w:type="dxa"/>
            <w:tcBorders>
              <w:top w:val="nil"/>
              <w:left w:val="nil"/>
              <w:bottom w:val="nil"/>
              <w:right w:val="nil"/>
            </w:tcBorders>
            <w:noWrap/>
            <w:vAlign w:val="bottom"/>
            <w:hideMark/>
          </w:tcPr>
          <w:p w14:paraId="779D43BA"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&gt;</w:t>
            </w:r>
            <w:r w:rsidR="00E32FAA">
              <w:rPr>
                <w:rFonts w:ascii="Arial" w:eastAsia="Times New Roman" w:hAnsi="Arial" w:cs="Arial"/>
                <w:color w:val="000000"/>
                <w:sz w:val="24"/>
                <w:szCs w:val="24"/>
                <w:lang w:eastAsia="en-US"/>
              </w:rPr>
              <w:t xml:space="preserve"> </w:t>
            </w:r>
            <w:r w:rsidRPr="00177FB9">
              <w:rPr>
                <w:rFonts w:ascii="Arial" w:eastAsia="Times New Roman" w:hAnsi="Arial" w:cs="Arial"/>
                <w:color w:val="000000"/>
                <w:sz w:val="24"/>
                <w:szCs w:val="24"/>
                <w:lang w:eastAsia="en-US"/>
              </w:rPr>
              <w:t>0.05</w:t>
            </w:r>
          </w:p>
        </w:tc>
      </w:tr>
      <w:tr w:rsidR="00177FB9" w:rsidRPr="00177FB9" w14:paraId="0A50DCE6" w14:textId="77777777" w:rsidTr="00C104CA">
        <w:trPr>
          <w:trHeight w:val="288"/>
          <w:jc w:val="center"/>
        </w:trPr>
        <w:tc>
          <w:tcPr>
            <w:tcW w:w="2552" w:type="dxa"/>
            <w:tcBorders>
              <w:top w:val="nil"/>
              <w:left w:val="nil"/>
              <w:bottom w:val="nil"/>
              <w:right w:val="nil"/>
            </w:tcBorders>
            <w:noWrap/>
            <w:vAlign w:val="bottom"/>
            <w:hideMark/>
          </w:tcPr>
          <w:p w14:paraId="08062A09" w14:textId="77777777" w:rsidR="00177FB9" w:rsidRPr="009F72EA" w:rsidRDefault="00177FB9" w:rsidP="00C104CA">
            <w:pPr>
              <w:spacing w:after="0" w:line="360" w:lineRule="auto"/>
              <w:rPr>
                <w:rFonts w:ascii="Arial" w:eastAsia="Times New Roman" w:hAnsi="Arial" w:cs="Arial"/>
                <w:b/>
                <w:color w:val="000000"/>
                <w:lang w:eastAsia="en-US"/>
              </w:rPr>
            </w:pPr>
            <w:r w:rsidRPr="009F72EA">
              <w:rPr>
                <w:rFonts w:ascii="Arial" w:eastAsia="Times New Roman" w:hAnsi="Arial" w:cs="Arial"/>
                <w:b/>
                <w:color w:val="000000"/>
                <w:lang w:eastAsia="en-US"/>
              </w:rPr>
              <w:t>Available P</w:t>
            </w:r>
          </w:p>
        </w:tc>
        <w:tc>
          <w:tcPr>
            <w:tcW w:w="1134" w:type="dxa"/>
            <w:tcBorders>
              <w:top w:val="nil"/>
              <w:left w:val="nil"/>
              <w:bottom w:val="nil"/>
              <w:right w:val="nil"/>
            </w:tcBorders>
            <w:noWrap/>
            <w:vAlign w:val="bottom"/>
            <w:hideMark/>
          </w:tcPr>
          <w:p w14:paraId="6F873D96"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543.4017</w:t>
            </w:r>
          </w:p>
        </w:tc>
        <w:tc>
          <w:tcPr>
            <w:tcW w:w="602" w:type="dxa"/>
            <w:tcBorders>
              <w:top w:val="nil"/>
              <w:left w:val="nil"/>
              <w:bottom w:val="nil"/>
              <w:right w:val="nil"/>
            </w:tcBorders>
            <w:noWrap/>
            <w:vAlign w:val="bottom"/>
            <w:hideMark/>
          </w:tcPr>
          <w:p w14:paraId="325284AD"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w:t>
            </w:r>
          </w:p>
        </w:tc>
        <w:tc>
          <w:tcPr>
            <w:tcW w:w="1218" w:type="dxa"/>
            <w:tcBorders>
              <w:top w:val="nil"/>
              <w:left w:val="nil"/>
              <w:bottom w:val="nil"/>
              <w:right w:val="nil"/>
            </w:tcBorders>
            <w:noWrap/>
            <w:vAlign w:val="bottom"/>
            <w:hideMark/>
          </w:tcPr>
          <w:p w14:paraId="22B8AAF4"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543.4017</w:t>
            </w:r>
          </w:p>
        </w:tc>
        <w:tc>
          <w:tcPr>
            <w:tcW w:w="1334" w:type="dxa"/>
            <w:tcBorders>
              <w:top w:val="nil"/>
              <w:left w:val="nil"/>
              <w:bottom w:val="nil"/>
              <w:right w:val="nil"/>
            </w:tcBorders>
            <w:noWrap/>
            <w:vAlign w:val="bottom"/>
            <w:hideMark/>
          </w:tcPr>
          <w:p w14:paraId="21831EC5"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2.928863</w:t>
            </w:r>
          </w:p>
        </w:tc>
        <w:tc>
          <w:tcPr>
            <w:tcW w:w="1890" w:type="dxa"/>
            <w:tcBorders>
              <w:top w:val="nil"/>
              <w:left w:val="nil"/>
              <w:bottom w:val="nil"/>
              <w:right w:val="nil"/>
            </w:tcBorders>
            <w:noWrap/>
            <w:vAlign w:val="bottom"/>
            <w:hideMark/>
          </w:tcPr>
          <w:p w14:paraId="3E403406"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0.162176</w:t>
            </w:r>
          </w:p>
        </w:tc>
        <w:tc>
          <w:tcPr>
            <w:tcW w:w="1440" w:type="dxa"/>
            <w:tcBorders>
              <w:top w:val="nil"/>
              <w:left w:val="nil"/>
              <w:bottom w:val="nil"/>
              <w:right w:val="nil"/>
            </w:tcBorders>
            <w:noWrap/>
            <w:vAlign w:val="bottom"/>
            <w:hideMark/>
          </w:tcPr>
          <w:p w14:paraId="40189675"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&gt;</w:t>
            </w:r>
            <w:r w:rsidR="00E32FAA">
              <w:rPr>
                <w:rFonts w:ascii="Arial" w:eastAsia="Times New Roman" w:hAnsi="Arial" w:cs="Arial"/>
                <w:color w:val="000000"/>
                <w:sz w:val="24"/>
                <w:szCs w:val="24"/>
                <w:lang w:eastAsia="en-US"/>
              </w:rPr>
              <w:t xml:space="preserve"> </w:t>
            </w:r>
            <w:r w:rsidRPr="00177FB9">
              <w:rPr>
                <w:rFonts w:ascii="Arial" w:eastAsia="Times New Roman" w:hAnsi="Arial" w:cs="Arial"/>
                <w:color w:val="000000"/>
                <w:sz w:val="24"/>
                <w:szCs w:val="24"/>
                <w:lang w:eastAsia="en-US"/>
              </w:rPr>
              <w:t>0.05</w:t>
            </w:r>
          </w:p>
        </w:tc>
      </w:tr>
      <w:tr w:rsidR="00177FB9" w:rsidRPr="00177FB9" w14:paraId="7B5A7FCD" w14:textId="77777777" w:rsidTr="00C104CA">
        <w:trPr>
          <w:trHeight w:val="288"/>
          <w:jc w:val="center"/>
        </w:trPr>
        <w:tc>
          <w:tcPr>
            <w:tcW w:w="2552" w:type="dxa"/>
            <w:tcBorders>
              <w:top w:val="nil"/>
              <w:left w:val="nil"/>
              <w:bottom w:val="nil"/>
              <w:right w:val="nil"/>
            </w:tcBorders>
            <w:noWrap/>
            <w:vAlign w:val="bottom"/>
            <w:hideMark/>
          </w:tcPr>
          <w:p w14:paraId="5B372797" w14:textId="77777777" w:rsidR="00177FB9" w:rsidRPr="009F72EA" w:rsidRDefault="00177FB9" w:rsidP="00C104CA">
            <w:pPr>
              <w:spacing w:after="0" w:line="360" w:lineRule="auto"/>
              <w:rPr>
                <w:rFonts w:ascii="Arial" w:eastAsia="Times New Roman" w:hAnsi="Arial" w:cs="Arial"/>
                <w:b/>
                <w:color w:val="000000"/>
                <w:lang w:eastAsia="en-US"/>
              </w:rPr>
            </w:pPr>
            <w:r w:rsidRPr="009F72EA">
              <w:rPr>
                <w:rFonts w:ascii="Arial" w:eastAsia="Times New Roman" w:hAnsi="Arial" w:cs="Arial"/>
                <w:b/>
                <w:color w:val="000000"/>
                <w:lang w:eastAsia="en-US"/>
              </w:rPr>
              <w:t>Total N</w:t>
            </w:r>
          </w:p>
        </w:tc>
        <w:tc>
          <w:tcPr>
            <w:tcW w:w="1134" w:type="dxa"/>
            <w:tcBorders>
              <w:top w:val="nil"/>
              <w:left w:val="nil"/>
              <w:bottom w:val="nil"/>
              <w:right w:val="nil"/>
            </w:tcBorders>
            <w:noWrap/>
            <w:vAlign w:val="bottom"/>
            <w:hideMark/>
          </w:tcPr>
          <w:p w14:paraId="6DF6A2FF"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3.480817</w:t>
            </w:r>
          </w:p>
        </w:tc>
        <w:tc>
          <w:tcPr>
            <w:tcW w:w="602" w:type="dxa"/>
            <w:tcBorders>
              <w:top w:val="nil"/>
              <w:left w:val="nil"/>
              <w:bottom w:val="nil"/>
              <w:right w:val="nil"/>
            </w:tcBorders>
            <w:noWrap/>
            <w:vAlign w:val="bottom"/>
            <w:hideMark/>
          </w:tcPr>
          <w:p w14:paraId="29D7F3FE"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w:t>
            </w:r>
          </w:p>
        </w:tc>
        <w:tc>
          <w:tcPr>
            <w:tcW w:w="1218" w:type="dxa"/>
            <w:tcBorders>
              <w:top w:val="nil"/>
              <w:left w:val="nil"/>
              <w:bottom w:val="nil"/>
              <w:right w:val="nil"/>
            </w:tcBorders>
            <w:noWrap/>
            <w:vAlign w:val="bottom"/>
            <w:hideMark/>
          </w:tcPr>
          <w:p w14:paraId="5CB82BB7"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3.480817</w:t>
            </w:r>
          </w:p>
        </w:tc>
        <w:tc>
          <w:tcPr>
            <w:tcW w:w="1334" w:type="dxa"/>
            <w:tcBorders>
              <w:top w:val="nil"/>
              <w:left w:val="nil"/>
              <w:bottom w:val="nil"/>
              <w:right w:val="nil"/>
            </w:tcBorders>
            <w:noWrap/>
            <w:vAlign w:val="bottom"/>
            <w:hideMark/>
          </w:tcPr>
          <w:p w14:paraId="20720085"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17.39828</w:t>
            </w:r>
          </w:p>
        </w:tc>
        <w:tc>
          <w:tcPr>
            <w:tcW w:w="1890" w:type="dxa"/>
            <w:tcBorders>
              <w:top w:val="nil"/>
              <w:left w:val="nil"/>
              <w:bottom w:val="nil"/>
              <w:right w:val="nil"/>
            </w:tcBorders>
            <w:noWrap/>
            <w:vAlign w:val="bottom"/>
            <w:hideMark/>
          </w:tcPr>
          <w:p w14:paraId="508ABD84"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0.014018</w:t>
            </w:r>
          </w:p>
        </w:tc>
        <w:tc>
          <w:tcPr>
            <w:tcW w:w="1440" w:type="dxa"/>
            <w:tcBorders>
              <w:top w:val="nil"/>
              <w:left w:val="nil"/>
              <w:bottom w:val="nil"/>
              <w:right w:val="nil"/>
            </w:tcBorders>
            <w:noWrap/>
            <w:vAlign w:val="bottom"/>
            <w:hideMark/>
          </w:tcPr>
          <w:p w14:paraId="75954A90"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&lt;</w:t>
            </w:r>
            <w:r w:rsidR="00E32FAA">
              <w:rPr>
                <w:rFonts w:ascii="Arial" w:eastAsia="Times New Roman" w:hAnsi="Arial" w:cs="Arial"/>
                <w:color w:val="000000"/>
                <w:sz w:val="24"/>
                <w:szCs w:val="24"/>
                <w:lang w:eastAsia="en-US"/>
              </w:rPr>
              <w:t xml:space="preserve"> </w:t>
            </w:r>
            <w:r w:rsidRPr="00177FB9">
              <w:rPr>
                <w:rFonts w:ascii="Arial" w:eastAsia="Times New Roman" w:hAnsi="Arial" w:cs="Arial"/>
                <w:color w:val="000000"/>
                <w:sz w:val="24"/>
                <w:szCs w:val="24"/>
                <w:lang w:eastAsia="en-US"/>
              </w:rPr>
              <w:t>0.05</w:t>
            </w:r>
          </w:p>
        </w:tc>
      </w:tr>
      <w:tr w:rsidR="00177FB9" w:rsidRPr="00177FB9" w14:paraId="18F66973" w14:textId="77777777" w:rsidTr="00C104CA">
        <w:trPr>
          <w:trHeight w:val="288"/>
          <w:jc w:val="center"/>
        </w:trPr>
        <w:tc>
          <w:tcPr>
            <w:tcW w:w="2552" w:type="dxa"/>
            <w:tcBorders>
              <w:top w:val="nil"/>
              <w:left w:val="nil"/>
              <w:bottom w:val="nil"/>
              <w:right w:val="nil"/>
            </w:tcBorders>
            <w:noWrap/>
            <w:vAlign w:val="bottom"/>
            <w:hideMark/>
          </w:tcPr>
          <w:p w14:paraId="59E5E7AA" w14:textId="77777777" w:rsidR="00177FB9" w:rsidRPr="009F72EA" w:rsidRDefault="00177FB9" w:rsidP="00C104CA">
            <w:pPr>
              <w:spacing w:after="0" w:line="360" w:lineRule="auto"/>
              <w:rPr>
                <w:rFonts w:ascii="Arial" w:eastAsia="Times New Roman" w:hAnsi="Arial" w:cs="Arial"/>
                <w:b/>
                <w:color w:val="000000"/>
                <w:lang w:eastAsia="en-US"/>
              </w:rPr>
            </w:pPr>
            <w:r w:rsidRPr="009F72EA">
              <w:rPr>
                <w:rFonts w:ascii="Arial" w:eastAsia="Times New Roman" w:hAnsi="Arial" w:cs="Arial"/>
                <w:b/>
                <w:color w:val="000000"/>
                <w:lang w:eastAsia="en-US"/>
              </w:rPr>
              <w:t>Calcium</w:t>
            </w:r>
          </w:p>
        </w:tc>
        <w:tc>
          <w:tcPr>
            <w:tcW w:w="1134" w:type="dxa"/>
            <w:tcBorders>
              <w:top w:val="nil"/>
              <w:left w:val="nil"/>
              <w:bottom w:val="nil"/>
              <w:right w:val="nil"/>
            </w:tcBorders>
            <w:noWrap/>
            <w:vAlign w:val="bottom"/>
            <w:hideMark/>
          </w:tcPr>
          <w:p w14:paraId="63F538E7"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0.814017</w:t>
            </w:r>
          </w:p>
        </w:tc>
        <w:tc>
          <w:tcPr>
            <w:tcW w:w="602" w:type="dxa"/>
            <w:tcBorders>
              <w:top w:val="nil"/>
              <w:left w:val="nil"/>
              <w:bottom w:val="nil"/>
              <w:right w:val="nil"/>
            </w:tcBorders>
            <w:noWrap/>
            <w:vAlign w:val="bottom"/>
            <w:hideMark/>
          </w:tcPr>
          <w:p w14:paraId="5194CF15"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w:t>
            </w:r>
          </w:p>
        </w:tc>
        <w:tc>
          <w:tcPr>
            <w:tcW w:w="1218" w:type="dxa"/>
            <w:tcBorders>
              <w:top w:val="nil"/>
              <w:left w:val="nil"/>
              <w:bottom w:val="nil"/>
              <w:right w:val="nil"/>
            </w:tcBorders>
            <w:noWrap/>
            <w:vAlign w:val="bottom"/>
            <w:hideMark/>
          </w:tcPr>
          <w:p w14:paraId="54D93850"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0.814017</w:t>
            </w:r>
          </w:p>
        </w:tc>
        <w:tc>
          <w:tcPr>
            <w:tcW w:w="1334" w:type="dxa"/>
            <w:tcBorders>
              <w:top w:val="nil"/>
              <w:left w:val="nil"/>
              <w:bottom w:val="nil"/>
              <w:right w:val="nil"/>
            </w:tcBorders>
            <w:noWrap/>
            <w:vAlign w:val="bottom"/>
            <w:hideMark/>
          </w:tcPr>
          <w:p w14:paraId="2C522D2E"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8.292190</w:t>
            </w:r>
          </w:p>
        </w:tc>
        <w:tc>
          <w:tcPr>
            <w:tcW w:w="1890" w:type="dxa"/>
            <w:tcBorders>
              <w:top w:val="nil"/>
              <w:left w:val="nil"/>
              <w:bottom w:val="nil"/>
              <w:right w:val="nil"/>
            </w:tcBorders>
            <w:noWrap/>
            <w:vAlign w:val="bottom"/>
            <w:hideMark/>
          </w:tcPr>
          <w:p w14:paraId="679C0890"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0.045030</w:t>
            </w:r>
          </w:p>
        </w:tc>
        <w:tc>
          <w:tcPr>
            <w:tcW w:w="1440" w:type="dxa"/>
            <w:tcBorders>
              <w:top w:val="nil"/>
              <w:left w:val="nil"/>
              <w:bottom w:val="nil"/>
              <w:right w:val="nil"/>
            </w:tcBorders>
            <w:noWrap/>
            <w:vAlign w:val="bottom"/>
            <w:hideMark/>
          </w:tcPr>
          <w:p w14:paraId="680167C2"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&lt;</w:t>
            </w:r>
            <w:r w:rsidR="00E32FAA">
              <w:rPr>
                <w:rFonts w:ascii="Arial" w:eastAsia="Times New Roman" w:hAnsi="Arial" w:cs="Arial"/>
                <w:color w:val="000000"/>
                <w:sz w:val="24"/>
                <w:szCs w:val="24"/>
                <w:lang w:eastAsia="en-US"/>
              </w:rPr>
              <w:t xml:space="preserve"> </w:t>
            </w:r>
            <w:r w:rsidRPr="00177FB9">
              <w:rPr>
                <w:rFonts w:ascii="Arial" w:eastAsia="Times New Roman" w:hAnsi="Arial" w:cs="Arial"/>
                <w:color w:val="000000"/>
                <w:sz w:val="24"/>
                <w:szCs w:val="24"/>
                <w:lang w:eastAsia="en-US"/>
              </w:rPr>
              <w:t>0.05</w:t>
            </w:r>
          </w:p>
        </w:tc>
      </w:tr>
      <w:tr w:rsidR="00177FB9" w:rsidRPr="00177FB9" w14:paraId="2C9E4171" w14:textId="77777777" w:rsidTr="00C104CA">
        <w:trPr>
          <w:trHeight w:val="288"/>
          <w:jc w:val="center"/>
        </w:trPr>
        <w:tc>
          <w:tcPr>
            <w:tcW w:w="2552" w:type="dxa"/>
            <w:tcBorders>
              <w:top w:val="nil"/>
              <w:left w:val="nil"/>
              <w:bottom w:val="nil"/>
              <w:right w:val="nil"/>
            </w:tcBorders>
            <w:noWrap/>
            <w:vAlign w:val="bottom"/>
            <w:hideMark/>
          </w:tcPr>
          <w:p w14:paraId="403830CD" w14:textId="77777777" w:rsidR="00177FB9" w:rsidRPr="009F72EA" w:rsidRDefault="009F72EA" w:rsidP="00C104CA">
            <w:pPr>
              <w:spacing w:after="0" w:line="360" w:lineRule="auto"/>
              <w:rPr>
                <w:rFonts w:ascii="Arial" w:eastAsia="Times New Roman" w:hAnsi="Arial" w:cs="Arial"/>
                <w:b/>
                <w:color w:val="000000"/>
                <w:lang w:eastAsia="en-US"/>
              </w:rPr>
            </w:pPr>
            <w:r>
              <w:rPr>
                <w:rFonts w:ascii="Arial" w:eastAsia="Times New Roman" w:hAnsi="Arial" w:cs="Arial"/>
                <w:b/>
                <w:color w:val="000000"/>
                <w:lang w:eastAsia="en-US"/>
              </w:rPr>
              <w:t xml:space="preserve">Soil </w:t>
            </w:r>
            <w:r w:rsidR="00177FB9" w:rsidRPr="009F72EA">
              <w:rPr>
                <w:rFonts w:ascii="Arial" w:eastAsia="Times New Roman" w:hAnsi="Arial" w:cs="Arial"/>
                <w:b/>
                <w:color w:val="000000"/>
                <w:lang w:eastAsia="en-US"/>
              </w:rPr>
              <w:t>pH</w:t>
            </w:r>
          </w:p>
        </w:tc>
        <w:tc>
          <w:tcPr>
            <w:tcW w:w="1134" w:type="dxa"/>
            <w:tcBorders>
              <w:top w:val="nil"/>
              <w:left w:val="nil"/>
              <w:bottom w:val="nil"/>
              <w:right w:val="nil"/>
            </w:tcBorders>
            <w:noWrap/>
            <w:vAlign w:val="bottom"/>
            <w:hideMark/>
          </w:tcPr>
          <w:p w14:paraId="46B50203"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0.001667</w:t>
            </w:r>
          </w:p>
        </w:tc>
        <w:tc>
          <w:tcPr>
            <w:tcW w:w="602" w:type="dxa"/>
            <w:tcBorders>
              <w:top w:val="nil"/>
              <w:left w:val="nil"/>
              <w:bottom w:val="nil"/>
              <w:right w:val="nil"/>
            </w:tcBorders>
            <w:noWrap/>
            <w:vAlign w:val="bottom"/>
            <w:hideMark/>
          </w:tcPr>
          <w:p w14:paraId="291B0941"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w:t>
            </w:r>
          </w:p>
        </w:tc>
        <w:tc>
          <w:tcPr>
            <w:tcW w:w="1218" w:type="dxa"/>
            <w:tcBorders>
              <w:top w:val="nil"/>
              <w:left w:val="nil"/>
              <w:bottom w:val="nil"/>
              <w:right w:val="nil"/>
            </w:tcBorders>
            <w:noWrap/>
            <w:vAlign w:val="bottom"/>
            <w:hideMark/>
          </w:tcPr>
          <w:p w14:paraId="0D3EC621"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0.001667</w:t>
            </w:r>
          </w:p>
        </w:tc>
        <w:tc>
          <w:tcPr>
            <w:tcW w:w="1334" w:type="dxa"/>
            <w:tcBorders>
              <w:top w:val="nil"/>
              <w:left w:val="nil"/>
              <w:bottom w:val="nil"/>
              <w:right w:val="nil"/>
            </w:tcBorders>
            <w:noWrap/>
            <w:vAlign w:val="bottom"/>
            <w:hideMark/>
          </w:tcPr>
          <w:p w14:paraId="3C43865A"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0.142857</w:t>
            </w:r>
          </w:p>
        </w:tc>
        <w:tc>
          <w:tcPr>
            <w:tcW w:w="1890" w:type="dxa"/>
            <w:tcBorders>
              <w:top w:val="nil"/>
              <w:left w:val="nil"/>
              <w:bottom w:val="nil"/>
              <w:right w:val="nil"/>
            </w:tcBorders>
            <w:noWrap/>
            <w:vAlign w:val="bottom"/>
            <w:hideMark/>
          </w:tcPr>
          <w:p w14:paraId="0586048A"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0.724659</w:t>
            </w:r>
          </w:p>
        </w:tc>
        <w:tc>
          <w:tcPr>
            <w:tcW w:w="1440" w:type="dxa"/>
            <w:tcBorders>
              <w:top w:val="nil"/>
              <w:left w:val="nil"/>
              <w:bottom w:val="nil"/>
              <w:right w:val="nil"/>
            </w:tcBorders>
            <w:noWrap/>
            <w:vAlign w:val="bottom"/>
            <w:hideMark/>
          </w:tcPr>
          <w:p w14:paraId="0168CD72"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&gt;</w:t>
            </w:r>
            <w:r w:rsidR="00E32FAA">
              <w:rPr>
                <w:rFonts w:ascii="Arial" w:eastAsia="Times New Roman" w:hAnsi="Arial" w:cs="Arial"/>
                <w:color w:val="000000"/>
                <w:sz w:val="24"/>
                <w:szCs w:val="24"/>
                <w:lang w:eastAsia="en-US"/>
              </w:rPr>
              <w:t xml:space="preserve"> </w:t>
            </w:r>
            <w:r w:rsidRPr="00177FB9">
              <w:rPr>
                <w:rFonts w:ascii="Arial" w:eastAsia="Times New Roman" w:hAnsi="Arial" w:cs="Arial"/>
                <w:color w:val="000000"/>
                <w:sz w:val="24"/>
                <w:szCs w:val="24"/>
                <w:lang w:eastAsia="en-US"/>
              </w:rPr>
              <w:t>0.05</w:t>
            </w:r>
          </w:p>
        </w:tc>
      </w:tr>
      <w:tr w:rsidR="00177FB9" w:rsidRPr="00177FB9" w14:paraId="68658B30" w14:textId="77777777" w:rsidTr="00C104CA">
        <w:trPr>
          <w:trHeight w:val="288"/>
          <w:jc w:val="center"/>
        </w:trPr>
        <w:tc>
          <w:tcPr>
            <w:tcW w:w="2552" w:type="dxa"/>
            <w:tcBorders>
              <w:top w:val="nil"/>
              <w:left w:val="nil"/>
              <w:bottom w:val="nil"/>
              <w:right w:val="nil"/>
            </w:tcBorders>
            <w:noWrap/>
            <w:vAlign w:val="bottom"/>
            <w:hideMark/>
          </w:tcPr>
          <w:p w14:paraId="4E415A47" w14:textId="77777777" w:rsidR="00177FB9" w:rsidRPr="009F72EA" w:rsidRDefault="00177FB9" w:rsidP="00C104CA">
            <w:pPr>
              <w:spacing w:after="0" w:line="360" w:lineRule="auto"/>
              <w:rPr>
                <w:rFonts w:ascii="Arial" w:eastAsia="Times New Roman" w:hAnsi="Arial" w:cs="Arial"/>
                <w:b/>
                <w:color w:val="000000"/>
                <w:sz w:val="20"/>
                <w:szCs w:val="20"/>
                <w:lang w:eastAsia="en-US"/>
              </w:rPr>
            </w:pPr>
            <w:r w:rsidRPr="009F72EA">
              <w:rPr>
                <w:rFonts w:ascii="Arial" w:eastAsia="Times New Roman" w:hAnsi="Arial" w:cs="Arial"/>
                <w:b/>
                <w:color w:val="000000"/>
                <w:sz w:val="20"/>
                <w:szCs w:val="20"/>
                <w:lang w:eastAsia="en-US"/>
              </w:rPr>
              <w:t xml:space="preserve">Organic Carbon </w:t>
            </w:r>
            <w:r w:rsidR="00B27F8A" w:rsidRPr="009F72EA">
              <w:rPr>
                <w:rFonts w:ascii="Arial" w:eastAsia="Times New Roman" w:hAnsi="Arial" w:cs="Arial"/>
                <w:b/>
                <w:color w:val="000000"/>
                <w:sz w:val="20"/>
                <w:szCs w:val="20"/>
                <w:lang w:eastAsia="en-US"/>
              </w:rPr>
              <w:t>Stocks</w:t>
            </w:r>
          </w:p>
        </w:tc>
        <w:tc>
          <w:tcPr>
            <w:tcW w:w="1134" w:type="dxa"/>
            <w:tcBorders>
              <w:top w:val="nil"/>
              <w:left w:val="nil"/>
              <w:bottom w:val="nil"/>
              <w:right w:val="nil"/>
            </w:tcBorders>
            <w:noWrap/>
            <w:vAlign w:val="bottom"/>
            <w:hideMark/>
          </w:tcPr>
          <w:p w14:paraId="3C312D0C" w14:textId="77777777" w:rsidR="00177FB9" w:rsidRPr="00177FB9" w:rsidRDefault="00B21104" w:rsidP="00B21104">
            <w:pPr>
              <w:jc w:val="center"/>
              <w:rPr>
                <w:rFonts w:ascii="Arial" w:hAnsi="Arial" w:cs="Arial"/>
                <w:color w:val="000000"/>
                <w:sz w:val="24"/>
                <w:szCs w:val="24"/>
              </w:rPr>
            </w:pPr>
            <w:r>
              <w:rPr>
                <w:rFonts w:ascii="Arial" w:hAnsi="Arial" w:cs="Arial"/>
                <w:color w:val="000000"/>
                <w:sz w:val="24"/>
                <w:szCs w:val="24"/>
              </w:rPr>
              <w:t>134.053</w:t>
            </w:r>
          </w:p>
        </w:tc>
        <w:tc>
          <w:tcPr>
            <w:tcW w:w="602" w:type="dxa"/>
            <w:tcBorders>
              <w:top w:val="nil"/>
              <w:left w:val="nil"/>
              <w:bottom w:val="nil"/>
              <w:right w:val="nil"/>
            </w:tcBorders>
            <w:noWrap/>
            <w:vAlign w:val="bottom"/>
            <w:hideMark/>
          </w:tcPr>
          <w:p w14:paraId="459A0006"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w:t>
            </w:r>
          </w:p>
        </w:tc>
        <w:tc>
          <w:tcPr>
            <w:tcW w:w="1218" w:type="dxa"/>
            <w:tcBorders>
              <w:top w:val="nil"/>
              <w:left w:val="nil"/>
              <w:bottom w:val="nil"/>
              <w:right w:val="nil"/>
            </w:tcBorders>
            <w:noWrap/>
            <w:vAlign w:val="bottom"/>
            <w:hideMark/>
          </w:tcPr>
          <w:p w14:paraId="3FFFB7C7" w14:textId="77777777" w:rsidR="00177FB9" w:rsidRPr="00177FB9" w:rsidRDefault="00B21104" w:rsidP="00C104CA">
            <w:pPr>
              <w:jc w:val="center"/>
              <w:rPr>
                <w:rFonts w:ascii="Arial" w:hAnsi="Arial" w:cs="Arial"/>
                <w:color w:val="000000"/>
                <w:sz w:val="24"/>
                <w:szCs w:val="24"/>
              </w:rPr>
            </w:pPr>
            <w:r>
              <w:rPr>
                <w:rFonts w:ascii="Arial" w:hAnsi="Arial" w:cs="Arial"/>
                <w:color w:val="000000"/>
                <w:sz w:val="24"/>
                <w:szCs w:val="24"/>
              </w:rPr>
              <w:t>134.053</w:t>
            </w:r>
          </w:p>
        </w:tc>
        <w:tc>
          <w:tcPr>
            <w:tcW w:w="1334" w:type="dxa"/>
            <w:tcBorders>
              <w:top w:val="nil"/>
              <w:left w:val="nil"/>
              <w:bottom w:val="nil"/>
              <w:right w:val="nil"/>
            </w:tcBorders>
            <w:noWrap/>
            <w:vAlign w:val="bottom"/>
            <w:hideMark/>
          </w:tcPr>
          <w:p w14:paraId="503A1FB7"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1.351724</w:t>
            </w:r>
          </w:p>
        </w:tc>
        <w:tc>
          <w:tcPr>
            <w:tcW w:w="1890" w:type="dxa"/>
            <w:tcBorders>
              <w:top w:val="nil"/>
              <w:left w:val="nil"/>
              <w:bottom w:val="nil"/>
              <w:right w:val="nil"/>
            </w:tcBorders>
            <w:noWrap/>
            <w:vAlign w:val="bottom"/>
            <w:hideMark/>
          </w:tcPr>
          <w:p w14:paraId="60DF81D3"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0.309613</w:t>
            </w:r>
          </w:p>
        </w:tc>
        <w:tc>
          <w:tcPr>
            <w:tcW w:w="1440" w:type="dxa"/>
            <w:tcBorders>
              <w:top w:val="nil"/>
              <w:left w:val="nil"/>
              <w:bottom w:val="nil"/>
              <w:right w:val="nil"/>
            </w:tcBorders>
            <w:noWrap/>
            <w:vAlign w:val="bottom"/>
            <w:hideMark/>
          </w:tcPr>
          <w:p w14:paraId="79846D64"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&gt;</w:t>
            </w:r>
            <w:r w:rsidR="00E32FAA">
              <w:rPr>
                <w:rFonts w:ascii="Arial" w:eastAsia="Times New Roman" w:hAnsi="Arial" w:cs="Arial"/>
                <w:color w:val="000000"/>
                <w:sz w:val="24"/>
                <w:szCs w:val="24"/>
                <w:lang w:eastAsia="en-US"/>
              </w:rPr>
              <w:t xml:space="preserve"> </w:t>
            </w:r>
            <w:r w:rsidRPr="00177FB9">
              <w:rPr>
                <w:rFonts w:ascii="Arial" w:eastAsia="Times New Roman" w:hAnsi="Arial" w:cs="Arial"/>
                <w:color w:val="000000"/>
                <w:sz w:val="24"/>
                <w:szCs w:val="24"/>
                <w:lang w:eastAsia="en-US"/>
              </w:rPr>
              <w:t>0.05</w:t>
            </w:r>
          </w:p>
        </w:tc>
      </w:tr>
      <w:tr w:rsidR="00177FB9" w:rsidRPr="00177FB9" w14:paraId="27CD5837" w14:textId="77777777" w:rsidTr="00C104CA">
        <w:trPr>
          <w:trHeight w:val="300"/>
          <w:jc w:val="center"/>
        </w:trPr>
        <w:tc>
          <w:tcPr>
            <w:tcW w:w="2552" w:type="dxa"/>
            <w:tcBorders>
              <w:top w:val="nil"/>
              <w:left w:val="nil"/>
              <w:bottom w:val="nil"/>
              <w:right w:val="nil"/>
            </w:tcBorders>
            <w:noWrap/>
            <w:vAlign w:val="bottom"/>
            <w:hideMark/>
          </w:tcPr>
          <w:p w14:paraId="1A99A601" w14:textId="77777777" w:rsidR="00177FB9" w:rsidRPr="009F72EA" w:rsidRDefault="00177FB9" w:rsidP="00C104CA">
            <w:pPr>
              <w:spacing w:after="0" w:line="360" w:lineRule="auto"/>
              <w:rPr>
                <w:rFonts w:ascii="Arial" w:eastAsia="Times New Roman" w:hAnsi="Arial" w:cs="Arial"/>
                <w:b/>
                <w:color w:val="000000"/>
                <w:lang w:eastAsia="en-US"/>
              </w:rPr>
            </w:pPr>
            <w:r w:rsidRPr="009F72EA">
              <w:rPr>
                <w:rFonts w:ascii="Arial" w:eastAsia="Times New Roman" w:hAnsi="Arial" w:cs="Arial"/>
                <w:b/>
                <w:color w:val="000000"/>
                <w:lang w:eastAsia="en-US"/>
              </w:rPr>
              <w:t>Magnesium</w:t>
            </w:r>
          </w:p>
        </w:tc>
        <w:tc>
          <w:tcPr>
            <w:tcW w:w="1134" w:type="dxa"/>
            <w:tcBorders>
              <w:top w:val="nil"/>
              <w:left w:val="nil"/>
              <w:bottom w:val="nil"/>
              <w:right w:val="nil"/>
            </w:tcBorders>
            <w:noWrap/>
            <w:vAlign w:val="bottom"/>
            <w:hideMark/>
          </w:tcPr>
          <w:p w14:paraId="1382279E"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3.360017</w:t>
            </w:r>
          </w:p>
        </w:tc>
        <w:tc>
          <w:tcPr>
            <w:tcW w:w="602" w:type="dxa"/>
            <w:tcBorders>
              <w:top w:val="nil"/>
              <w:left w:val="nil"/>
              <w:bottom w:val="nil"/>
              <w:right w:val="nil"/>
            </w:tcBorders>
            <w:noWrap/>
            <w:vAlign w:val="bottom"/>
            <w:hideMark/>
          </w:tcPr>
          <w:p w14:paraId="0336952B"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w:t>
            </w:r>
          </w:p>
        </w:tc>
        <w:tc>
          <w:tcPr>
            <w:tcW w:w="1218" w:type="dxa"/>
            <w:tcBorders>
              <w:top w:val="nil"/>
              <w:left w:val="nil"/>
              <w:bottom w:val="nil"/>
              <w:right w:val="nil"/>
            </w:tcBorders>
            <w:noWrap/>
            <w:vAlign w:val="bottom"/>
            <w:hideMark/>
          </w:tcPr>
          <w:p w14:paraId="60055202"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3.360017</w:t>
            </w:r>
          </w:p>
        </w:tc>
        <w:tc>
          <w:tcPr>
            <w:tcW w:w="1334" w:type="dxa"/>
            <w:tcBorders>
              <w:top w:val="nil"/>
              <w:left w:val="nil"/>
              <w:bottom w:val="nil"/>
              <w:right w:val="nil"/>
            </w:tcBorders>
            <w:noWrap/>
            <w:vAlign w:val="bottom"/>
            <w:hideMark/>
          </w:tcPr>
          <w:p w14:paraId="47280A31"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11.47285</w:t>
            </w:r>
          </w:p>
        </w:tc>
        <w:tc>
          <w:tcPr>
            <w:tcW w:w="1890" w:type="dxa"/>
            <w:tcBorders>
              <w:top w:val="nil"/>
              <w:left w:val="nil"/>
              <w:bottom w:val="nil"/>
              <w:right w:val="nil"/>
            </w:tcBorders>
            <w:noWrap/>
            <w:vAlign w:val="bottom"/>
            <w:hideMark/>
          </w:tcPr>
          <w:p w14:paraId="661BE71F" w14:textId="77777777" w:rsidR="00177FB9" w:rsidRPr="00177FB9" w:rsidRDefault="00177FB9" w:rsidP="00C104CA">
            <w:pPr>
              <w:jc w:val="center"/>
              <w:rPr>
                <w:rFonts w:ascii="Arial" w:hAnsi="Arial" w:cs="Arial"/>
                <w:color w:val="000000"/>
                <w:sz w:val="24"/>
                <w:szCs w:val="24"/>
              </w:rPr>
            </w:pPr>
            <w:r w:rsidRPr="00177FB9">
              <w:rPr>
                <w:rFonts w:ascii="Arial" w:hAnsi="Arial" w:cs="Arial"/>
                <w:color w:val="000000"/>
                <w:sz w:val="24"/>
                <w:szCs w:val="24"/>
              </w:rPr>
              <w:t>0.027602</w:t>
            </w:r>
          </w:p>
        </w:tc>
        <w:tc>
          <w:tcPr>
            <w:tcW w:w="1440" w:type="dxa"/>
            <w:tcBorders>
              <w:top w:val="nil"/>
              <w:left w:val="nil"/>
              <w:bottom w:val="nil"/>
              <w:right w:val="nil"/>
            </w:tcBorders>
            <w:noWrap/>
            <w:vAlign w:val="bottom"/>
            <w:hideMark/>
          </w:tcPr>
          <w:p w14:paraId="577E6AA0"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&lt;</w:t>
            </w:r>
            <w:r w:rsidR="00E32FAA">
              <w:rPr>
                <w:rFonts w:ascii="Arial" w:eastAsia="Times New Roman" w:hAnsi="Arial" w:cs="Arial"/>
                <w:color w:val="000000"/>
                <w:sz w:val="24"/>
                <w:szCs w:val="24"/>
                <w:lang w:eastAsia="en-US"/>
              </w:rPr>
              <w:t xml:space="preserve"> </w:t>
            </w:r>
            <w:r w:rsidRPr="00177FB9">
              <w:rPr>
                <w:rFonts w:ascii="Arial" w:eastAsia="Times New Roman" w:hAnsi="Arial" w:cs="Arial"/>
                <w:color w:val="000000"/>
                <w:sz w:val="24"/>
                <w:szCs w:val="24"/>
                <w:lang w:eastAsia="en-US"/>
              </w:rPr>
              <w:t>0.05</w:t>
            </w:r>
          </w:p>
        </w:tc>
      </w:tr>
      <w:tr w:rsidR="00177FB9" w:rsidRPr="00177FB9" w14:paraId="5D782AB3" w14:textId="77777777" w:rsidTr="00C104CA">
        <w:trPr>
          <w:trHeight w:val="300"/>
          <w:jc w:val="center"/>
        </w:trPr>
        <w:tc>
          <w:tcPr>
            <w:tcW w:w="2552" w:type="dxa"/>
            <w:tcBorders>
              <w:top w:val="nil"/>
              <w:left w:val="nil"/>
              <w:bottom w:val="single" w:sz="8" w:space="0" w:color="auto"/>
              <w:right w:val="nil"/>
            </w:tcBorders>
            <w:noWrap/>
            <w:vAlign w:val="bottom"/>
          </w:tcPr>
          <w:p w14:paraId="0BBDF287" w14:textId="77777777" w:rsidR="00177FB9" w:rsidRPr="009F72EA" w:rsidRDefault="00177FB9" w:rsidP="00C104CA">
            <w:pPr>
              <w:spacing w:after="0" w:line="360" w:lineRule="auto"/>
              <w:rPr>
                <w:rFonts w:ascii="Arial" w:eastAsia="Times New Roman" w:hAnsi="Arial" w:cs="Arial"/>
                <w:b/>
                <w:color w:val="000000"/>
                <w:lang w:eastAsia="en-US"/>
              </w:rPr>
            </w:pPr>
            <w:r w:rsidRPr="009F72EA">
              <w:rPr>
                <w:rFonts w:ascii="Arial" w:eastAsia="Times New Roman" w:hAnsi="Arial" w:cs="Arial"/>
                <w:b/>
                <w:color w:val="000000"/>
                <w:lang w:eastAsia="en-US"/>
              </w:rPr>
              <w:t>Electric Conductivity</w:t>
            </w:r>
          </w:p>
        </w:tc>
        <w:tc>
          <w:tcPr>
            <w:tcW w:w="1134" w:type="dxa"/>
            <w:tcBorders>
              <w:top w:val="nil"/>
              <w:left w:val="nil"/>
              <w:bottom w:val="single" w:sz="8" w:space="0" w:color="auto"/>
              <w:right w:val="nil"/>
            </w:tcBorders>
            <w:noWrap/>
            <w:vAlign w:val="bottom"/>
          </w:tcPr>
          <w:p w14:paraId="110DCF88"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1.460267</w:t>
            </w:r>
          </w:p>
        </w:tc>
        <w:tc>
          <w:tcPr>
            <w:tcW w:w="602" w:type="dxa"/>
            <w:tcBorders>
              <w:top w:val="nil"/>
              <w:left w:val="nil"/>
              <w:bottom w:val="single" w:sz="8" w:space="0" w:color="auto"/>
              <w:right w:val="nil"/>
            </w:tcBorders>
            <w:noWrap/>
            <w:vAlign w:val="bottom"/>
          </w:tcPr>
          <w:p w14:paraId="59DF4782"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1</w:t>
            </w:r>
          </w:p>
        </w:tc>
        <w:tc>
          <w:tcPr>
            <w:tcW w:w="1218" w:type="dxa"/>
            <w:tcBorders>
              <w:top w:val="nil"/>
              <w:left w:val="nil"/>
              <w:bottom w:val="single" w:sz="8" w:space="0" w:color="auto"/>
              <w:right w:val="nil"/>
            </w:tcBorders>
            <w:noWrap/>
            <w:vAlign w:val="bottom"/>
          </w:tcPr>
          <w:p w14:paraId="65C71B6B"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1.460267</w:t>
            </w:r>
          </w:p>
        </w:tc>
        <w:tc>
          <w:tcPr>
            <w:tcW w:w="1334" w:type="dxa"/>
            <w:tcBorders>
              <w:top w:val="nil"/>
              <w:left w:val="nil"/>
              <w:bottom w:val="single" w:sz="8" w:space="0" w:color="auto"/>
              <w:right w:val="nil"/>
            </w:tcBorders>
            <w:noWrap/>
            <w:vAlign w:val="bottom"/>
          </w:tcPr>
          <w:p w14:paraId="2273C5DE"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71.17465</w:t>
            </w:r>
          </w:p>
        </w:tc>
        <w:tc>
          <w:tcPr>
            <w:tcW w:w="1890" w:type="dxa"/>
            <w:tcBorders>
              <w:top w:val="nil"/>
              <w:left w:val="nil"/>
              <w:bottom w:val="single" w:sz="8" w:space="0" w:color="auto"/>
              <w:right w:val="nil"/>
            </w:tcBorders>
            <w:noWrap/>
            <w:vAlign w:val="bottom"/>
          </w:tcPr>
          <w:p w14:paraId="4E7AA200"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0.001081</w:t>
            </w:r>
          </w:p>
        </w:tc>
        <w:tc>
          <w:tcPr>
            <w:tcW w:w="1440" w:type="dxa"/>
            <w:tcBorders>
              <w:top w:val="nil"/>
              <w:left w:val="nil"/>
              <w:bottom w:val="single" w:sz="8" w:space="0" w:color="auto"/>
              <w:right w:val="nil"/>
            </w:tcBorders>
            <w:noWrap/>
            <w:vAlign w:val="bottom"/>
          </w:tcPr>
          <w:p w14:paraId="51A5B75C" w14:textId="77777777" w:rsidR="00177FB9" w:rsidRPr="00177FB9" w:rsidRDefault="00177FB9" w:rsidP="00C104CA">
            <w:pPr>
              <w:spacing w:after="0" w:line="360" w:lineRule="auto"/>
              <w:jc w:val="center"/>
              <w:rPr>
                <w:rFonts w:ascii="Arial" w:eastAsia="Times New Roman" w:hAnsi="Arial" w:cs="Arial"/>
                <w:color w:val="000000"/>
                <w:sz w:val="24"/>
                <w:szCs w:val="24"/>
                <w:lang w:eastAsia="en-US"/>
              </w:rPr>
            </w:pPr>
            <w:r w:rsidRPr="00177FB9">
              <w:rPr>
                <w:rFonts w:ascii="Arial" w:eastAsia="Times New Roman" w:hAnsi="Arial" w:cs="Arial"/>
                <w:color w:val="000000"/>
                <w:sz w:val="24"/>
                <w:szCs w:val="24"/>
                <w:lang w:eastAsia="en-US"/>
              </w:rPr>
              <w:t>&lt;</w:t>
            </w:r>
            <w:r w:rsidR="00E32FAA">
              <w:rPr>
                <w:rFonts w:ascii="Arial" w:eastAsia="Times New Roman" w:hAnsi="Arial" w:cs="Arial"/>
                <w:color w:val="000000"/>
                <w:sz w:val="24"/>
                <w:szCs w:val="24"/>
                <w:lang w:eastAsia="en-US"/>
              </w:rPr>
              <w:t xml:space="preserve"> </w:t>
            </w:r>
            <w:r w:rsidRPr="00177FB9">
              <w:rPr>
                <w:rFonts w:ascii="Arial" w:eastAsia="Times New Roman" w:hAnsi="Arial" w:cs="Arial"/>
                <w:color w:val="000000"/>
                <w:sz w:val="24"/>
                <w:szCs w:val="24"/>
                <w:lang w:eastAsia="en-US"/>
              </w:rPr>
              <w:t>0.01</w:t>
            </w:r>
          </w:p>
        </w:tc>
      </w:tr>
    </w:tbl>
    <w:p w14:paraId="660AEC8B" w14:textId="77777777" w:rsidR="00361736" w:rsidRDefault="00177FB9" w:rsidP="00E90381">
      <w:pPr>
        <w:jc w:val="both"/>
        <w:rPr>
          <w:rFonts w:ascii="Arial" w:eastAsiaTheme="minorHAnsi" w:hAnsi="Arial" w:cs="Arial"/>
          <w:bCs/>
          <w:sz w:val="24"/>
          <w:szCs w:val="24"/>
          <w:lang w:eastAsia="en-US"/>
          <w14:textOutline w14:w="15875" w14:cap="rnd" w14:cmpd="sng" w14:algn="ctr">
            <w14:solidFill>
              <w14:schemeClr w14:val="tx1"/>
            </w14:solidFill>
            <w14:prstDash w14:val="solid"/>
            <w14:bevel/>
          </w14:textOutline>
        </w:rPr>
      </w:pPr>
      <w:r w:rsidRPr="00177FB9">
        <w:rPr>
          <w:rFonts w:ascii="Arial" w:eastAsiaTheme="minorHAnsi" w:hAnsi="Arial" w:cs="Arial"/>
          <w:bCs/>
          <w:sz w:val="24"/>
          <w:szCs w:val="24"/>
          <w:lang w:eastAsia="en-US"/>
          <w14:textOutline w14:w="15875" w14:cap="rnd" w14:cmpd="sng" w14:algn="ctr">
            <w14:solidFill>
              <w14:schemeClr w14:val="tx1"/>
            </w14:solidFill>
            <w14:prstDash w14:val="solid"/>
            <w14:bevel/>
          </w14:textOutline>
        </w:rPr>
        <w:fldChar w:fldCharType="end"/>
      </w:r>
    </w:p>
    <w:p w14:paraId="4C217054" w14:textId="77777777" w:rsidR="00C8694E" w:rsidRPr="00C8694E" w:rsidRDefault="004351BE" w:rsidP="00E90381">
      <w:pPr>
        <w:jc w:val="both"/>
        <w:rPr>
          <w:rFonts w:ascii="Arial" w:eastAsiaTheme="minorHAnsi" w:hAnsi="Arial" w:cs="Arial"/>
          <w:bCs/>
          <w:sz w:val="20"/>
          <w:szCs w:val="20"/>
          <w:lang w:eastAsia="en-US"/>
        </w:rPr>
      </w:pPr>
      <w:r>
        <w:rPr>
          <w:rFonts w:ascii="Arial" w:eastAsiaTheme="minorHAnsi" w:hAnsi="Arial" w:cs="Arial"/>
          <w:bCs/>
          <w:sz w:val="20"/>
          <w:szCs w:val="20"/>
          <w:lang w:eastAsia="en-US"/>
        </w:rPr>
        <w:t>Table 3</w:t>
      </w:r>
      <w:r w:rsidR="00C8694E" w:rsidRPr="00C8694E">
        <w:rPr>
          <w:rFonts w:ascii="Arial" w:eastAsiaTheme="minorHAnsi" w:hAnsi="Arial" w:cs="Arial"/>
          <w:bCs/>
          <w:sz w:val="20"/>
          <w:szCs w:val="20"/>
          <w:lang w:eastAsia="en-US"/>
        </w:rPr>
        <w:t xml:space="preserve">: Mean soil results for </w:t>
      </w:r>
      <w:r w:rsidR="00A4583E">
        <w:rPr>
          <w:rFonts w:ascii="Arial" w:eastAsiaTheme="minorHAnsi" w:hAnsi="Arial" w:cs="Arial"/>
          <w:bCs/>
          <w:sz w:val="20"/>
          <w:szCs w:val="20"/>
          <w:lang w:eastAsia="en-US"/>
        </w:rPr>
        <w:t>Soil pH</w:t>
      </w:r>
      <w:r w:rsidR="00C8694E" w:rsidRPr="00C8694E">
        <w:rPr>
          <w:rFonts w:ascii="Arial" w:eastAsiaTheme="minorHAnsi" w:hAnsi="Arial" w:cs="Arial"/>
          <w:bCs/>
          <w:sz w:val="20"/>
          <w:szCs w:val="20"/>
          <w:lang w:eastAsia="en-US"/>
        </w:rPr>
        <w:t xml:space="preserve">, </w:t>
      </w:r>
      <w:r w:rsidR="009B086F">
        <w:rPr>
          <w:rFonts w:ascii="Arial" w:eastAsiaTheme="minorHAnsi" w:hAnsi="Arial" w:cs="Arial"/>
          <w:bCs/>
          <w:sz w:val="20"/>
          <w:szCs w:val="20"/>
          <w:lang w:eastAsia="en-US"/>
        </w:rPr>
        <w:t xml:space="preserve">Soil </w:t>
      </w:r>
      <w:r w:rsidR="00C8694E" w:rsidRPr="00C8694E">
        <w:rPr>
          <w:rFonts w:ascii="Arial" w:eastAsiaTheme="minorHAnsi" w:hAnsi="Arial" w:cs="Arial"/>
          <w:bCs/>
          <w:sz w:val="20"/>
          <w:szCs w:val="20"/>
          <w:lang w:eastAsia="en-US"/>
        </w:rPr>
        <w:t xml:space="preserve">Carbon stocks, </w:t>
      </w:r>
      <w:r w:rsidR="009B086F">
        <w:rPr>
          <w:rFonts w:ascii="Arial" w:eastAsiaTheme="minorHAnsi" w:hAnsi="Arial" w:cs="Arial"/>
          <w:bCs/>
          <w:sz w:val="20"/>
          <w:szCs w:val="20"/>
          <w:lang w:eastAsia="en-US"/>
        </w:rPr>
        <w:t xml:space="preserve">Total </w:t>
      </w:r>
      <w:r w:rsidR="00C8694E" w:rsidRPr="00C8694E">
        <w:rPr>
          <w:rFonts w:ascii="Arial" w:eastAsiaTheme="minorHAnsi" w:hAnsi="Arial" w:cs="Arial"/>
          <w:bCs/>
          <w:sz w:val="20"/>
          <w:szCs w:val="20"/>
          <w:lang w:eastAsia="en-US"/>
        </w:rPr>
        <w:t>Nitrogen</w:t>
      </w:r>
      <w:r w:rsidR="009B086F">
        <w:rPr>
          <w:rFonts w:ascii="Arial" w:eastAsiaTheme="minorHAnsi" w:hAnsi="Arial" w:cs="Arial"/>
          <w:bCs/>
          <w:sz w:val="20"/>
          <w:szCs w:val="20"/>
          <w:lang w:eastAsia="en-US"/>
        </w:rPr>
        <w:t xml:space="preserve"> (N)</w:t>
      </w:r>
      <w:r w:rsidR="00771A1A">
        <w:rPr>
          <w:rFonts w:ascii="Arial" w:eastAsiaTheme="minorHAnsi" w:hAnsi="Arial" w:cs="Arial"/>
          <w:bCs/>
          <w:sz w:val="20"/>
          <w:szCs w:val="20"/>
          <w:lang w:eastAsia="en-US"/>
        </w:rPr>
        <w:t xml:space="preserve"> </w:t>
      </w:r>
      <w:r w:rsidR="00C8694E" w:rsidRPr="00C8694E">
        <w:rPr>
          <w:rFonts w:ascii="Arial" w:eastAsiaTheme="minorHAnsi" w:hAnsi="Arial" w:cs="Arial"/>
          <w:bCs/>
          <w:sz w:val="20"/>
          <w:szCs w:val="20"/>
          <w:lang w:eastAsia="en-US"/>
        </w:rPr>
        <w:t>collected before and after the treatments</w:t>
      </w:r>
      <w:r w:rsidR="007B00E4">
        <w:rPr>
          <w:rFonts w:ascii="Arial" w:eastAsiaTheme="minorHAnsi" w:hAnsi="Arial" w:cs="Arial"/>
          <w:bCs/>
          <w:sz w:val="20"/>
          <w:szCs w:val="20"/>
          <w:lang w:eastAsia="en-US"/>
        </w:rPr>
        <w:t xml:space="preserve"> </w:t>
      </w:r>
      <w:r w:rsidR="005845DB">
        <w:rPr>
          <w:rFonts w:ascii="Arial" w:eastAsiaTheme="minorHAnsi" w:hAnsi="Arial" w:cs="Arial"/>
          <w:bCs/>
          <w:sz w:val="20"/>
          <w:szCs w:val="20"/>
          <w:lang w:eastAsia="en-US"/>
        </w:rPr>
        <w:t>experimental trial plots at Nyika National Park.</w:t>
      </w:r>
    </w:p>
    <w:tbl>
      <w:tblPr>
        <w:tblW w:w="10367" w:type="dxa"/>
        <w:jc w:val="center"/>
        <w:tblLook w:val="04A0" w:firstRow="1" w:lastRow="0" w:firstColumn="1" w:lastColumn="0" w:noHBand="0" w:noVBand="1"/>
      </w:tblPr>
      <w:tblGrid>
        <w:gridCol w:w="2593"/>
        <w:gridCol w:w="1080"/>
        <w:gridCol w:w="972"/>
        <w:gridCol w:w="1620"/>
        <w:gridCol w:w="1024"/>
        <w:gridCol w:w="1925"/>
        <w:gridCol w:w="1153"/>
      </w:tblGrid>
      <w:tr w:rsidR="00C8694E" w:rsidRPr="00C8694E" w14:paraId="22A28F81" w14:textId="77777777" w:rsidTr="00C104CA">
        <w:trPr>
          <w:trHeight w:val="399"/>
          <w:jc w:val="center"/>
        </w:trPr>
        <w:tc>
          <w:tcPr>
            <w:tcW w:w="2593" w:type="dxa"/>
            <w:vMerge w:val="restart"/>
            <w:tcBorders>
              <w:top w:val="single" w:sz="8" w:space="0" w:color="auto"/>
              <w:left w:val="nil"/>
              <w:bottom w:val="single" w:sz="8" w:space="0" w:color="000000"/>
              <w:right w:val="nil"/>
            </w:tcBorders>
            <w:noWrap/>
            <w:vAlign w:val="bottom"/>
            <w:hideMark/>
          </w:tcPr>
          <w:p w14:paraId="39DF2C92" w14:textId="77777777" w:rsidR="00C8694E" w:rsidRPr="00C8694E" w:rsidRDefault="00C8694E" w:rsidP="00C8694E">
            <w:pPr>
              <w:spacing w:after="0" w:line="360" w:lineRule="auto"/>
              <w:rPr>
                <w:rFonts w:ascii="Arial" w:eastAsia="Times New Roman" w:hAnsi="Arial" w:cs="Arial"/>
                <w:b/>
                <w:color w:val="000000"/>
                <w:sz w:val="24"/>
                <w:szCs w:val="24"/>
              </w:rPr>
            </w:pPr>
            <w:r w:rsidRPr="00C8694E">
              <w:rPr>
                <w:rFonts w:ascii="Arial" w:eastAsia="Times New Roman" w:hAnsi="Arial" w:cs="Arial"/>
                <w:b/>
                <w:color w:val="000000"/>
                <w:sz w:val="24"/>
                <w:szCs w:val="24"/>
              </w:rPr>
              <w:t>Treatment</w:t>
            </w:r>
          </w:p>
        </w:tc>
        <w:tc>
          <w:tcPr>
            <w:tcW w:w="7774" w:type="dxa"/>
            <w:gridSpan w:val="6"/>
            <w:tcBorders>
              <w:top w:val="single" w:sz="8" w:space="0" w:color="auto"/>
              <w:left w:val="nil"/>
              <w:bottom w:val="single" w:sz="8" w:space="0" w:color="auto"/>
              <w:right w:val="nil"/>
            </w:tcBorders>
            <w:noWrap/>
            <w:vAlign w:val="bottom"/>
            <w:hideMark/>
          </w:tcPr>
          <w:p w14:paraId="41BD9FA7" w14:textId="77777777" w:rsidR="00C8694E" w:rsidRPr="00C8694E" w:rsidRDefault="00C8694E" w:rsidP="00C8694E">
            <w:pPr>
              <w:spacing w:after="0" w:line="360" w:lineRule="auto"/>
              <w:jc w:val="center"/>
              <w:rPr>
                <w:rFonts w:ascii="Arial" w:eastAsia="Times New Roman" w:hAnsi="Arial" w:cs="Arial"/>
                <w:b/>
                <w:color w:val="000000"/>
                <w:sz w:val="20"/>
                <w:szCs w:val="20"/>
              </w:rPr>
            </w:pPr>
            <w:r w:rsidRPr="00C8694E">
              <w:rPr>
                <w:rFonts w:ascii="Arial" w:eastAsia="Times New Roman" w:hAnsi="Arial" w:cs="Arial"/>
                <w:b/>
                <w:color w:val="000000"/>
                <w:sz w:val="20"/>
                <w:szCs w:val="20"/>
              </w:rPr>
              <w:t>Soil parameter</w:t>
            </w:r>
          </w:p>
        </w:tc>
      </w:tr>
      <w:tr w:rsidR="00C8694E" w:rsidRPr="00C8694E" w14:paraId="1D9D5CE8" w14:textId="77777777" w:rsidTr="00C104CA">
        <w:trPr>
          <w:trHeight w:val="399"/>
          <w:jc w:val="center"/>
        </w:trPr>
        <w:tc>
          <w:tcPr>
            <w:tcW w:w="2593" w:type="dxa"/>
            <w:vMerge/>
            <w:tcBorders>
              <w:top w:val="single" w:sz="8" w:space="0" w:color="auto"/>
              <w:left w:val="nil"/>
              <w:bottom w:val="single" w:sz="8" w:space="0" w:color="000000"/>
              <w:right w:val="nil"/>
            </w:tcBorders>
            <w:vAlign w:val="center"/>
          </w:tcPr>
          <w:p w14:paraId="5168066D" w14:textId="77777777" w:rsidR="00C8694E" w:rsidRPr="00C8694E" w:rsidRDefault="00C8694E" w:rsidP="00C8694E">
            <w:pPr>
              <w:spacing w:after="0" w:line="360" w:lineRule="auto"/>
              <w:rPr>
                <w:rFonts w:ascii="Arial" w:eastAsia="Times New Roman" w:hAnsi="Arial" w:cs="Arial"/>
                <w:b/>
                <w:color w:val="000000"/>
                <w:sz w:val="18"/>
                <w:szCs w:val="18"/>
              </w:rPr>
            </w:pPr>
          </w:p>
        </w:tc>
        <w:tc>
          <w:tcPr>
            <w:tcW w:w="2052" w:type="dxa"/>
            <w:gridSpan w:val="2"/>
            <w:tcBorders>
              <w:top w:val="nil"/>
              <w:left w:val="nil"/>
              <w:bottom w:val="single" w:sz="8" w:space="0" w:color="auto"/>
              <w:right w:val="nil"/>
            </w:tcBorders>
            <w:noWrap/>
            <w:vAlign w:val="bottom"/>
          </w:tcPr>
          <w:p w14:paraId="1ECB7724" w14:textId="77777777" w:rsidR="00C8694E" w:rsidRPr="00C8694E" w:rsidRDefault="000D009A" w:rsidP="00C8694E">
            <w:pPr>
              <w:spacing w:after="0" w:line="240" w:lineRule="auto"/>
              <w:jc w:val="center"/>
              <w:rPr>
                <w:rFonts w:ascii="Arial" w:eastAsia="Times New Roman" w:hAnsi="Arial" w:cs="Arial"/>
                <w:b/>
                <w:color w:val="000000"/>
                <w:sz w:val="20"/>
                <w:szCs w:val="20"/>
              </w:rPr>
            </w:pPr>
            <w:r w:rsidRPr="000D009A">
              <w:rPr>
                <w:rFonts w:ascii="Arial" w:eastAsia="Times New Roman" w:hAnsi="Arial" w:cs="Arial"/>
                <w:b/>
                <w:color w:val="000000"/>
                <w:sz w:val="20"/>
                <w:szCs w:val="20"/>
              </w:rPr>
              <w:t>Soil pH</w:t>
            </w:r>
          </w:p>
          <w:p w14:paraId="7EA656FF" w14:textId="77777777" w:rsidR="00C8694E" w:rsidRPr="00C8694E" w:rsidRDefault="000D009A" w:rsidP="00C8694E">
            <w:pPr>
              <w:spacing w:after="0" w:line="240" w:lineRule="auto"/>
              <w:jc w:val="center"/>
              <w:rPr>
                <w:rFonts w:ascii="Arial" w:eastAsia="Times New Roman" w:hAnsi="Arial" w:cs="Arial"/>
                <w:b/>
                <w:color w:val="000000"/>
                <w:sz w:val="20"/>
                <w:szCs w:val="20"/>
              </w:rPr>
            </w:pPr>
            <w:r>
              <w:rPr>
                <w:rFonts w:ascii="Arial" w:hAnsi="Arial" w:cs="Arial"/>
                <w:b/>
                <w:sz w:val="20"/>
                <w:szCs w:val="20"/>
              </w:rPr>
              <w:t>(</w:t>
            </w:r>
            <w:proofErr w:type="spellStart"/>
            <w:r w:rsidRPr="000D009A">
              <w:rPr>
                <w:rFonts w:ascii="Arial" w:hAnsi="Arial" w:cs="Arial"/>
                <w:b/>
                <w:sz w:val="20"/>
                <w:szCs w:val="20"/>
              </w:rPr>
              <w:t>CaCl</w:t>
            </w:r>
            <w:proofErr w:type="spellEnd"/>
            <w:r w:rsidRPr="000D009A">
              <w:rPr>
                <w:rFonts w:ascii="Cambria Math" w:hAnsi="Cambria Math" w:cs="Cambria Math"/>
                <w:b/>
                <w:sz w:val="20"/>
                <w:szCs w:val="20"/>
              </w:rPr>
              <w:t>₂</w:t>
            </w:r>
            <w:r>
              <w:rPr>
                <w:rFonts w:ascii="Cambria Math" w:hAnsi="Cambria Math" w:cs="Cambria Math"/>
                <w:b/>
                <w:sz w:val="20"/>
                <w:szCs w:val="20"/>
              </w:rPr>
              <w:t>)</w:t>
            </w:r>
          </w:p>
        </w:tc>
        <w:tc>
          <w:tcPr>
            <w:tcW w:w="2644" w:type="dxa"/>
            <w:gridSpan w:val="2"/>
            <w:tcBorders>
              <w:top w:val="nil"/>
              <w:left w:val="nil"/>
              <w:bottom w:val="single" w:sz="8" w:space="0" w:color="auto"/>
              <w:right w:val="nil"/>
            </w:tcBorders>
            <w:noWrap/>
            <w:vAlign w:val="bottom"/>
          </w:tcPr>
          <w:p w14:paraId="4E647A4F" w14:textId="77777777" w:rsidR="00C8694E" w:rsidRPr="00C8694E" w:rsidRDefault="00C8694E" w:rsidP="00C8694E">
            <w:pPr>
              <w:spacing w:after="0" w:line="240" w:lineRule="auto"/>
              <w:jc w:val="center"/>
              <w:rPr>
                <w:rFonts w:ascii="Arial" w:eastAsia="Times New Roman" w:hAnsi="Arial" w:cs="Arial"/>
                <w:b/>
                <w:color w:val="000000"/>
                <w:sz w:val="20"/>
                <w:szCs w:val="20"/>
              </w:rPr>
            </w:pPr>
            <w:r w:rsidRPr="00C8694E">
              <w:rPr>
                <w:rFonts w:ascii="Arial" w:eastAsia="Times New Roman" w:hAnsi="Arial" w:cs="Arial"/>
                <w:b/>
                <w:color w:val="000000"/>
                <w:sz w:val="20"/>
                <w:szCs w:val="20"/>
              </w:rPr>
              <w:t>Soil Carbon stocks</w:t>
            </w:r>
          </w:p>
          <w:p w14:paraId="7FB50455" w14:textId="77777777" w:rsidR="00C8694E" w:rsidRPr="00C8694E" w:rsidRDefault="00535D27" w:rsidP="00C8694E">
            <w:pPr>
              <w:spacing w:after="0" w:line="240" w:lineRule="auto"/>
              <w:jc w:val="center"/>
              <w:rPr>
                <w:rFonts w:ascii="Arial" w:eastAsia="Times New Roman" w:hAnsi="Arial" w:cs="Arial"/>
                <w:b/>
                <w:color w:val="000000"/>
                <w:sz w:val="20"/>
                <w:szCs w:val="20"/>
                <w:vertAlign w:val="superscript"/>
              </w:rPr>
            </w:pPr>
            <w:r>
              <w:rPr>
                <w:rFonts w:ascii="Arial" w:eastAsia="Times New Roman" w:hAnsi="Arial" w:cs="Arial"/>
                <w:b/>
                <w:color w:val="000000"/>
                <w:sz w:val="20"/>
                <w:szCs w:val="20"/>
              </w:rPr>
              <w:t>Mg C ha</w:t>
            </w:r>
            <w:r>
              <w:rPr>
                <w:rFonts w:ascii="Arial" w:eastAsia="Times New Roman" w:hAnsi="Arial" w:cs="Arial"/>
                <w:b/>
                <w:color w:val="000000"/>
                <w:sz w:val="20"/>
                <w:szCs w:val="20"/>
                <w:vertAlign w:val="superscript"/>
              </w:rPr>
              <w:t>-1</w:t>
            </w:r>
          </w:p>
        </w:tc>
        <w:tc>
          <w:tcPr>
            <w:tcW w:w="3078" w:type="dxa"/>
            <w:gridSpan w:val="2"/>
            <w:tcBorders>
              <w:top w:val="nil"/>
              <w:left w:val="nil"/>
              <w:bottom w:val="single" w:sz="8" w:space="0" w:color="auto"/>
            </w:tcBorders>
            <w:noWrap/>
            <w:vAlign w:val="bottom"/>
          </w:tcPr>
          <w:p w14:paraId="5E7436B3" w14:textId="77777777" w:rsidR="00C8694E" w:rsidRPr="00C8694E" w:rsidRDefault="00C27FE0" w:rsidP="00C8694E">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Tota</w:t>
            </w:r>
            <w:r w:rsidR="00E81738">
              <w:rPr>
                <w:rFonts w:ascii="Arial" w:eastAsia="Times New Roman" w:hAnsi="Arial" w:cs="Arial"/>
                <w:b/>
                <w:color w:val="000000"/>
                <w:sz w:val="20"/>
                <w:szCs w:val="20"/>
              </w:rPr>
              <w:t>l</w:t>
            </w:r>
            <w:r>
              <w:rPr>
                <w:rFonts w:ascii="Arial" w:eastAsia="Times New Roman" w:hAnsi="Arial" w:cs="Arial"/>
                <w:b/>
                <w:color w:val="000000"/>
                <w:sz w:val="20"/>
                <w:szCs w:val="20"/>
              </w:rPr>
              <w:t xml:space="preserve"> Nitrogen (T</w:t>
            </w:r>
            <w:r w:rsidR="00BF69F3" w:rsidRPr="000D009A">
              <w:rPr>
                <w:rFonts w:ascii="Arial" w:eastAsia="Times New Roman" w:hAnsi="Arial" w:cs="Arial"/>
                <w:b/>
                <w:color w:val="000000"/>
                <w:sz w:val="20"/>
                <w:szCs w:val="20"/>
              </w:rPr>
              <w:t>N</w:t>
            </w:r>
            <w:r>
              <w:rPr>
                <w:rFonts w:ascii="Arial" w:eastAsia="Times New Roman" w:hAnsi="Arial" w:cs="Arial"/>
                <w:b/>
                <w:color w:val="000000"/>
                <w:sz w:val="20"/>
                <w:szCs w:val="20"/>
              </w:rPr>
              <w:t>)</w:t>
            </w:r>
          </w:p>
          <w:p w14:paraId="2B635AC1" w14:textId="77777777" w:rsidR="00C8694E" w:rsidRPr="00C8694E" w:rsidRDefault="00BF69F3" w:rsidP="00BF69F3">
            <w:pPr>
              <w:spacing w:after="0" w:line="240" w:lineRule="auto"/>
              <w:jc w:val="center"/>
              <w:rPr>
                <w:rFonts w:ascii="Arial" w:eastAsia="Times New Roman" w:hAnsi="Arial" w:cs="Arial"/>
                <w:b/>
                <w:color w:val="000000"/>
                <w:sz w:val="20"/>
                <w:szCs w:val="20"/>
              </w:rPr>
            </w:pPr>
            <w:r w:rsidRPr="000D009A">
              <w:rPr>
                <w:rFonts w:ascii="Arial" w:eastAsia="Times New Roman" w:hAnsi="Arial" w:cs="Arial"/>
                <w:b/>
                <w:color w:val="000000"/>
                <w:sz w:val="20"/>
                <w:szCs w:val="20"/>
              </w:rPr>
              <w:t>(%)</w:t>
            </w:r>
          </w:p>
        </w:tc>
      </w:tr>
      <w:tr w:rsidR="00C8694E" w:rsidRPr="00C8694E" w14:paraId="501D07DC" w14:textId="77777777" w:rsidTr="00127497">
        <w:trPr>
          <w:trHeight w:val="399"/>
          <w:jc w:val="center"/>
        </w:trPr>
        <w:tc>
          <w:tcPr>
            <w:tcW w:w="2593" w:type="dxa"/>
            <w:vMerge/>
            <w:tcBorders>
              <w:top w:val="single" w:sz="8" w:space="0" w:color="auto"/>
              <w:left w:val="nil"/>
              <w:bottom w:val="single" w:sz="8" w:space="0" w:color="000000"/>
              <w:right w:val="nil"/>
            </w:tcBorders>
            <w:vAlign w:val="center"/>
            <w:hideMark/>
          </w:tcPr>
          <w:p w14:paraId="3901EC00" w14:textId="77777777" w:rsidR="00C8694E" w:rsidRPr="00C8694E" w:rsidRDefault="00C8694E" w:rsidP="00C8694E">
            <w:pPr>
              <w:spacing w:after="0" w:line="360" w:lineRule="auto"/>
              <w:rPr>
                <w:rFonts w:ascii="Arial" w:eastAsia="Times New Roman" w:hAnsi="Arial" w:cs="Arial"/>
                <w:b/>
                <w:color w:val="000000"/>
                <w:sz w:val="18"/>
                <w:szCs w:val="18"/>
              </w:rPr>
            </w:pPr>
          </w:p>
        </w:tc>
        <w:tc>
          <w:tcPr>
            <w:tcW w:w="1080" w:type="dxa"/>
            <w:tcBorders>
              <w:top w:val="nil"/>
              <w:left w:val="nil"/>
              <w:bottom w:val="single" w:sz="8" w:space="0" w:color="auto"/>
              <w:right w:val="nil"/>
            </w:tcBorders>
            <w:noWrap/>
            <w:vAlign w:val="bottom"/>
            <w:hideMark/>
          </w:tcPr>
          <w:p w14:paraId="19C78CED" w14:textId="77777777" w:rsidR="00C8694E" w:rsidRPr="00C8694E" w:rsidRDefault="00C8694E" w:rsidP="00C8694E">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Before</w:t>
            </w:r>
          </w:p>
        </w:tc>
        <w:tc>
          <w:tcPr>
            <w:tcW w:w="972" w:type="dxa"/>
            <w:tcBorders>
              <w:top w:val="nil"/>
              <w:left w:val="nil"/>
              <w:bottom w:val="single" w:sz="8" w:space="0" w:color="auto"/>
              <w:right w:val="nil"/>
            </w:tcBorders>
            <w:noWrap/>
            <w:vAlign w:val="bottom"/>
            <w:hideMark/>
          </w:tcPr>
          <w:p w14:paraId="17761A2B" w14:textId="77777777" w:rsidR="00C8694E" w:rsidRPr="00C8694E" w:rsidRDefault="00C8694E" w:rsidP="00C8694E">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After</w:t>
            </w:r>
          </w:p>
        </w:tc>
        <w:tc>
          <w:tcPr>
            <w:tcW w:w="1620" w:type="dxa"/>
            <w:tcBorders>
              <w:top w:val="nil"/>
              <w:left w:val="nil"/>
              <w:bottom w:val="single" w:sz="8" w:space="0" w:color="auto"/>
              <w:right w:val="nil"/>
            </w:tcBorders>
            <w:noWrap/>
            <w:vAlign w:val="bottom"/>
            <w:hideMark/>
          </w:tcPr>
          <w:p w14:paraId="28D6B4B2" w14:textId="77777777" w:rsidR="00C8694E" w:rsidRPr="00C8694E" w:rsidRDefault="00C8694E" w:rsidP="00C8694E">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Before</w:t>
            </w:r>
          </w:p>
        </w:tc>
        <w:tc>
          <w:tcPr>
            <w:tcW w:w="1024" w:type="dxa"/>
            <w:tcBorders>
              <w:top w:val="nil"/>
              <w:left w:val="nil"/>
              <w:bottom w:val="single" w:sz="8" w:space="0" w:color="auto"/>
              <w:right w:val="nil"/>
            </w:tcBorders>
            <w:noWrap/>
            <w:vAlign w:val="bottom"/>
            <w:hideMark/>
          </w:tcPr>
          <w:p w14:paraId="4FDED8AB" w14:textId="77777777" w:rsidR="00C8694E" w:rsidRPr="00C8694E" w:rsidRDefault="00C8694E" w:rsidP="00C8694E">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After</w:t>
            </w:r>
          </w:p>
        </w:tc>
        <w:tc>
          <w:tcPr>
            <w:tcW w:w="1925" w:type="dxa"/>
            <w:tcBorders>
              <w:top w:val="nil"/>
              <w:left w:val="nil"/>
              <w:bottom w:val="single" w:sz="8" w:space="0" w:color="auto"/>
              <w:right w:val="nil"/>
            </w:tcBorders>
            <w:noWrap/>
            <w:vAlign w:val="bottom"/>
            <w:hideMark/>
          </w:tcPr>
          <w:p w14:paraId="332B0751" w14:textId="77777777" w:rsidR="00C8694E" w:rsidRPr="00C8694E" w:rsidRDefault="00C8694E" w:rsidP="00C8694E">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Before</w:t>
            </w:r>
          </w:p>
        </w:tc>
        <w:tc>
          <w:tcPr>
            <w:tcW w:w="1153" w:type="dxa"/>
            <w:tcBorders>
              <w:top w:val="nil"/>
              <w:left w:val="nil"/>
              <w:bottom w:val="single" w:sz="8" w:space="0" w:color="auto"/>
            </w:tcBorders>
            <w:noWrap/>
            <w:vAlign w:val="bottom"/>
            <w:hideMark/>
          </w:tcPr>
          <w:p w14:paraId="14C4772F" w14:textId="77777777" w:rsidR="00C8694E" w:rsidRPr="00C8694E" w:rsidRDefault="00C8694E" w:rsidP="00C8694E">
            <w:pPr>
              <w:spacing w:after="0" w:line="240" w:lineRule="auto"/>
              <w:rPr>
                <w:rFonts w:ascii="Arial" w:eastAsia="Times New Roman" w:hAnsi="Arial" w:cs="Arial"/>
                <w:b/>
                <w:color w:val="000000"/>
                <w:sz w:val="18"/>
                <w:szCs w:val="18"/>
              </w:rPr>
            </w:pPr>
            <w:r w:rsidRPr="00C8694E">
              <w:rPr>
                <w:rFonts w:ascii="Arial" w:eastAsia="Times New Roman" w:hAnsi="Arial" w:cs="Arial"/>
                <w:b/>
                <w:color w:val="000000"/>
                <w:sz w:val="18"/>
                <w:szCs w:val="18"/>
              </w:rPr>
              <w:t>After</w:t>
            </w:r>
          </w:p>
        </w:tc>
      </w:tr>
      <w:tr w:rsidR="00C8694E" w:rsidRPr="00C8694E" w14:paraId="4527217C" w14:textId="77777777" w:rsidTr="00127497">
        <w:trPr>
          <w:trHeight w:val="383"/>
          <w:jc w:val="center"/>
        </w:trPr>
        <w:tc>
          <w:tcPr>
            <w:tcW w:w="2593" w:type="dxa"/>
            <w:tcBorders>
              <w:top w:val="nil"/>
              <w:left w:val="nil"/>
              <w:bottom w:val="nil"/>
              <w:right w:val="nil"/>
            </w:tcBorders>
            <w:noWrap/>
            <w:vAlign w:val="bottom"/>
            <w:hideMark/>
          </w:tcPr>
          <w:p w14:paraId="04C36F32" w14:textId="77777777" w:rsidR="00C8694E" w:rsidRPr="00C8694E" w:rsidRDefault="00C8694E" w:rsidP="00C8694E">
            <w:pPr>
              <w:spacing w:after="0" w:line="360" w:lineRule="auto"/>
              <w:rPr>
                <w:rFonts w:ascii="Arial" w:eastAsia="Times New Roman" w:hAnsi="Arial" w:cs="Arial"/>
                <w:color w:val="000000"/>
                <w:sz w:val="24"/>
                <w:szCs w:val="24"/>
              </w:rPr>
            </w:pPr>
            <w:r w:rsidRPr="00C8694E">
              <w:rPr>
                <w:rFonts w:ascii="Arial" w:eastAsia="Times New Roman" w:hAnsi="Arial" w:cs="Arial"/>
                <w:color w:val="000000"/>
                <w:sz w:val="24"/>
                <w:szCs w:val="24"/>
              </w:rPr>
              <w:t>Control</w:t>
            </w:r>
          </w:p>
        </w:tc>
        <w:tc>
          <w:tcPr>
            <w:tcW w:w="1080" w:type="dxa"/>
            <w:tcBorders>
              <w:top w:val="nil"/>
              <w:left w:val="nil"/>
              <w:bottom w:val="nil"/>
              <w:right w:val="nil"/>
            </w:tcBorders>
            <w:noWrap/>
            <w:vAlign w:val="bottom"/>
          </w:tcPr>
          <w:p w14:paraId="588D96B2" w14:textId="77777777" w:rsidR="00C8694E" w:rsidRPr="00C8694E" w:rsidRDefault="00BA0B57" w:rsidP="00BA0B57">
            <w:pPr>
              <w:spacing w:after="0" w:line="360" w:lineRule="auto"/>
              <w:jc w:val="center"/>
              <w:rPr>
                <w:rFonts w:ascii="Arial" w:eastAsia="Times New Roman" w:hAnsi="Arial" w:cs="Arial"/>
                <w:color w:val="000000"/>
              </w:rPr>
            </w:pPr>
            <w:r>
              <w:rPr>
                <w:rFonts w:ascii="Arial" w:eastAsia="Times New Roman" w:hAnsi="Arial" w:cs="Arial"/>
                <w:color w:val="000000"/>
              </w:rPr>
              <w:t>3.9</w:t>
            </w:r>
          </w:p>
        </w:tc>
        <w:tc>
          <w:tcPr>
            <w:tcW w:w="972" w:type="dxa"/>
            <w:tcBorders>
              <w:top w:val="nil"/>
              <w:left w:val="nil"/>
              <w:bottom w:val="nil"/>
              <w:right w:val="nil"/>
            </w:tcBorders>
            <w:noWrap/>
            <w:vAlign w:val="bottom"/>
          </w:tcPr>
          <w:p w14:paraId="4ADB1A15" w14:textId="77777777" w:rsidR="00C8694E" w:rsidRPr="00C8694E" w:rsidRDefault="00BA0B57" w:rsidP="00C8694E">
            <w:pPr>
              <w:spacing w:after="0" w:line="360" w:lineRule="auto"/>
              <w:jc w:val="center"/>
              <w:rPr>
                <w:rFonts w:ascii="Arial" w:eastAsia="Times New Roman" w:hAnsi="Arial" w:cs="Arial"/>
                <w:color w:val="000000"/>
              </w:rPr>
            </w:pPr>
            <w:r>
              <w:rPr>
                <w:rFonts w:ascii="Arial" w:eastAsia="Times New Roman" w:hAnsi="Arial" w:cs="Arial"/>
                <w:color w:val="000000"/>
              </w:rPr>
              <w:t>3.9</w:t>
            </w:r>
          </w:p>
        </w:tc>
        <w:tc>
          <w:tcPr>
            <w:tcW w:w="1620" w:type="dxa"/>
            <w:tcBorders>
              <w:top w:val="nil"/>
              <w:left w:val="nil"/>
              <w:bottom w:val="nil"/>
              <w:right w:val="nil"/>
            </w:tcBorders>
            <w:noWrap/>
            <w:vAlign w:val="bottom"/>
          </w:tcPr>
          <w:p w14:paraId="5284754A" w14:textId="77777777" w:rsidR="00C8694E" w:rsidRPr="00C8694E" w:rsidRDefault="00C8694E" w:rsidP="00C8694E">
            <w:pPr>
              <w:spacing w:after="0" w:line="360" w:lineRule="auto"/>
              <w:jc w:val="center"/>
              <w:rPr>
                <w:rFonts w:ascii="Arial" w:eastAsia="Times New Roman" w:hAnsi="Arial" w:cs="Arial"/>
                <w:color w:val="000000"/>
                <w:vertAlign w:val="superscript"/>
              </w:rPr>
            </w:pPr>
            <w:r w:rsidRPr="00C8694E">
              <w:rPr>
                <w:rFonts w:ascii="Arial" w:eastAsia="Times New Roman" w:hAnsi="Arial" w:cs="Arial"/>
                <w:color w:val="000000"/>
              </w:rPr>
              <w:t>7</w:t>
            </w:r>
            <w:r w:rsidR="004B3546">
              <w:rPr>
                <w:rFonts w:ascii="Arial" w:eastAsia="Times New Roman" w:hAnsi="Arial" w:cs="Arial"/>
                <w:color w:val="000000"/>
              </w:rPr>
              <w:t>2.93</w:t>
            </w:r>
          </w:p>
        </w:tc>
        <w:tc>
          <w:tcPr>
            <w:tcW w:w="1024" w:type="dxa"/>
            <w:tcBorders>
              <w:top w:val="nil"/>
              <w:left w:val="nil"/>
              <w:bottom w:val="nil"/>
              <w:right w:val="nil"/>
            </w:tcBorders>
            <w:noWrap/>
            <w:vAlign w:val="bottom"/>
          </w:tcPr>
          <w:p w14:paraId="3E9473AC" w14:textId="77777777" w:rsidR="00C8694E" w:rsidRPr="00C8694E" w:rsidRDefault="00C2553F" w:rsidP="00C8694E">
            <w:pPr>
              <w:spacing w:after="0" w:line="360" w:lineRule="auto"/>
              <w:jc w:val="center"/>
              <w:rPr>
                <w:rFonts w:ascii="Arial" w:eastAsia="Times New Roman" w:hAnsi="Arial" w:cs="Arial"/>
                <w:color w:val="000000"/>
              </w:rPr>
            </w:pPr>
            <w:r>
              <w:rPr>
                <w:rFonts w:ascii="Arial" w:eastAsia="Times New Roman" w:hAnsi="Arial" w:cs="Arial"/>
                <w:color w:val="000000"/>
              </w:rPr>
              <w:t>66</w:t>
            </w:r>
            <w:r w:rsidR="008F0B07">
              <w:rPr>
                <w:rFonts w:ascii="Arial" w:eastAsia="Times New Roman" w:hAnsi="Arial" w:cs="Arial"/>
                <w:color w:val="000000"/>
              </w:rPr>
              <w:t>.</w:t>
            </w:r>
            <w:r>
              <w:rPr>
                <w:rFonts w:ascii="Arial" w:eastAsia="Times New Roman" w:hAnsi="Arial" w:cs="Arial"/>
                <w:color w:val="000000"/>
              </w:rPr>
              <w:t>85</w:t>
            </w:r>
          </w:p>
        </w:tc>
        <w:tc>
          <w:tcPr>
            <w:tcW w:w="1925" w:type="dxa"/>
            <w:tcBorders>
              <w:top w:val="nil"/>
              <w:left w:val="nil"/>
              <w:bottom w:val="nil"/>
              <w:right w:val="nil"/>
            </w:tcBorders>
            <w:noWrap/>
            <w:vAlign w:val="bottom"/>
          </w:tcPr>
          <w:p w14:paraId="60265484" w14:textId="77777777" w:rsidR="00C8694E" w:rsidRPr="00C8694E" w:rsidRDefault="003F403E" w:rsidP="00C8694E">
            <w:pPr>
              <w:spacing w:after="0" w:line="360" w:lineRule="auto"/>
              <w:jc w:val="center"/>
              <w:rPr>
                <w:rFonts w:ascii="Arial" w:eastAsia="Times New Roman" w:hAnsi="Arial" w:cs="Arial"/>
                <w:color w:val="000000"/>
              </w:rPr>
            </w:pPr>
            <w:r>
              <w:rPr>
                <w:rFonts w:ascii="Arial" w:eastAsia="Times New Roman" w:hAnsi="Arial" w:cs="Arial"/>
                <w:color w:val="000000"/>
              </w:rPr>
              <w:t>2.48</w:t>
            </w:r>
          </w:p>
        </w:tc>
        <w:tc>
          <w:tcPr>
            <w:tcW w:w="1153" w:type="dxa"/>
            <w:tcBorders>
              <w:top w:val="nil"/>
              <w:left w:val="nil"/>
              <w:bottom w:val="nil"/>
            </w:tcBorders>
            <w:noWrap/>
            <w:vAlign w:val="bottom"/>
          </w:tcPr>
          <w:p w14:paraId="39852D49" w14:textId="77777777" w:rsidR="00C8694E" w:rsidRPr="00C8694E" w:rsidRDefault="003F403E" w:rsidP="00C8694E">
            <w:pPr>
              <w:spacing w:after="0" w:line="360" w:lineRule="auto"/>
              <w:rPr>
                <w:rFonts w:ascii="Arial" w:eastAsia="Times New Roman" w:hAnsi="Arial" w:cs="Arial"/>
                <w:color w:val="000000"/>
              </w:rPr>
            </w:pPr>
            <w:r>
              <w:rPr>
                <w:rFonts w:ascii="Arial" w:eastAsia="Times New Roman" w:hAnsi="Arial" w:cs="Arial"/>
                <w:color w:val="000000"/>
              </w:rPr>
              <w:t>1.71</w:t>
            </w:r>
          </w:p>
        </w:tc>
      </w:tr>
      <w:tr w:rsidR="00C8694E" w:rsidRPr="00C8694E" w14:paraId="060AE795" w14:textId="77777777" w:rsidTr="00127497">
        <w:trPr>
          <w:trHeight w:val="383"/>
          <w:jc w:val="center"/>
        </w:trPr>
        <w:tc>
          <w:tcPr>
            <w:tcW w:w="2593" w:type="dxa"/>
            <w:tcBorders>
              <w:top w:val="nil"/>
              <w:left w:val="nil"/>
              <w:bottom w:val="nil"/>
              <w:right w:val="nil"/>
            </w:tcBorders>
            <w:noWrap/>
            <w:vAlign w:val="bottom"/>
            <w:hideMark/>
          </w:tcPr>
          <w:p w14:paraId="093C7555" w14:textId="77777777" w:rsidR="00C8694E" w:rsidRPr="00C8694E" w:rsidRDefault="000D009A" w:rsidP="00C8694E">
            <w:pPr>
              <w:spacing w:after="0" w:line="360" w:lineRule="auto"/>
              <w:rPr>
                <w:rFonts w:ascii="Arial" w:eastAsia="Times New Roman" w:hAnsi="Arial" w:cs="Arial"/>
                <w:color w:val="000000"/>
                <w:sz w:val="24"/>
                <w:szCs w:val="24"/>
              </w:rPr>
            </w:pPr>
            <w:r>
              <w:rPr>
                <w:rFonts w:ascii="Arial" w:eastAsia="Times New Roman" w:hAnsi="Arial" w:cs="Arial"/>
                <w:color w:val="000000"/>
                <w:sz w:val="24"/>
                <w:szCs w:val="24"/>
              </w:rPr>
              <w:t>Cutting/Impala</w:t>
            </w:r>
          </w:p>
        </w:tc>
        <w:tc>
          <w:tcPr>
            <w:tcW w:w="1080" w:type="dxa"/>
            <w:tcBorders>
              <w:top w:val="nil"/>
              <w:left w:val="nil"/>
              <w:bottom w:val="nil"/>
              <w:right w:val="nil"/>
            </w:tcBorders>
            <w:noWrap/>
            <w:vAlign w:val="bottom"/>
          </w:tcPr>
          <w:p w14:paraId="6F6DE4D7" w14:textId="77777777" w:rsidR="00C8694E" w:rsidRPr="00C8694E" w:rsidRDefault="00BA0B57" w:rsidP="00BA0B57">
            <w:pPr>
              <w:spacing w:after="0" w:line="360" w:lineRule="auto"/>
              <w:jc w:val="center"/>
              <w:rPr>
                <w:rFonts w:ascii="Arial" w:eastAsia="Times New Roman" w:hAnsi="Arial" w:cs="Arial"/>
                <w:color w:val="000000"/>
              </w:rPr>
            </w:pPr>
            <w:r>
              <w:rPr>
                <w:rFonts w:ascii="Arial" w:eastAsia="Times New Roman" w:hAnsi="Arial" w:cs="Arial"/>
                <w:color w:val="000000"/>
              </w:rPr>
              <w:t>4.0</w:t>
            </w:r>
          </w:p>
        </w:tc>
        <w:tc>
          <w:tcPr>
            <w:tcW w:w="972" w:type="dxa"/>
            <w:tcBorders>
              <w:top w:val="nil"/>
              <w:left w:val="nil"/>
              <w:bottom w:val="nil"/>
              <w:right w:val="nil"/>
            </w:tcBorders>
            <w:noWrap/>
            <w:vAlign w:val="bottom"/>
          </w:tcPr>
          <w:p w14:paraId="65F0F753" w14:textId="77777777" w:rsidR="00C8694E" w:rsidRPr="00C8694E" w:rsidRDefault="00BA0B57" w:rsidP="00C8694E">
            <w:pPr>
              <w:spacing w:after="0" w:line="360" w:lineRule="auto"/>
              <w:jc w:val="center"/>
              <w:rPr>
                <w:rFonts w:ascii="Arial" w:eastAsia="Times New Roman" w:hAnsi="Arial" w:cs="Arial"/>
                <w:color w:val="000000"/>
              </w:rPr>
            </w:pPr>
            <w:r>
              <w:rPr>
                <w:rFonts w:ascii="Arial" w:eastAsia="Times New Roman" w:hAnsi="Arial" w:cs="Arial"/>
                <w:color w:val="000000"/>
              </w:rPr>
              <w:t>3.9</w:t>
            </w:r>
          </w:p>
        </w:tc>
        <w:tc>
          <w:tcPr>
            <w:tcW w:w="1620" w:type="dxa"/>
            <w:tcBorders>
              <w:top w:val="nil"/>
              <w:left w:val="nil"/>
              <w:bottom w:val="nil"/>
              <w:right w:val="nil"/>
            </w:tcBorders>
            <w:noWrap/>
            <w:vAlign w:val="bottom"/>
          </w:tcPr>
          <w:p w14:paraId="684D28A8" w14:textId="77777777" w:rsidR="00C8694E" w:rsidRPr="00C8694E" w:rsidRDefault="004B3546" w:rsidP="00C8694E">
            <w:pPr>
              <w:spacing w:after="0" w:line="360" w:lineRule="auto"/>
              <w:jc w:val="center"/>
              <w:rPr>
                <w:rFonts w:ascii="Arial" w:eastAsia="Times New Roman" w:hAnsi="Arial" w:cs="Arial"/>
                <w:color w:val="000000"/>
              </w:rPr>
            </w:pPr>
            <w:r>
              <w:rPr>
                <w:rFonts w:ascii="Arial" w:eastAsia="Times New Roman" w:hAnsi="Arial" w:cs="Arial"/>
                <w:color w:val="000000"/>
              </w:rPr>
              <w:t>64.82</w:t>
            </w:r>
          </w:p>
        </w:tc>
        <w:tc>
          <w:tcPr>
            <w:tcW w:w="1024" w:type="dxa"/>
            <w:tcBorders>
              <w:top w:val="nil"/>
              <w:left w:val="nil"/>
              <w:bottom w:val="nil"/>
              <w:right w:val="nil"/>
            </w:tcBorders>
            <w:noWrap/>
            <w:vAlign w:val="bottom"/>
          </w:tcPr>
          <w:p w14:paraId="731D9862" w14:textId="77777777" w:rsidR="00C8694E" w:rsidRPr="00C8694E" w:rsidRDefault="00945123" w:rsidP="00C8694E">
            <w:pPr>
              <w:spacing w:after="0" w:line="360" w:lineRule="auto"/>
              <w:jc w:val="center"/>
              <w:rPr>
                <w:rFonts w:ascii="Arial" w:eastAsia="Times New Roman" w:hAnsi="Arial" w:cs="Arial"/>
                <w:color w:val="000000"/>
              </w:rPr>
            </w:pPr>
            <w:r>
              <w:rPr>
                <w:rFonts w:ascii="Arial" w:eastAsia="Times New Roman" w:hAnsi="Arial" w:cs="Arial"/>
                <w:color w:val="000000"/>
              </w:rPr>
              <w:t>93.18</w:t>
            </w:r>
          </w:p>
        </w:tc>
        <w:tc>
          <w:tcPr>
            <w:tcW w:w="1925" w:type="dxa"/>
            <w:tcBorders>
              <w:top w:val="nil"/>
              <w:left w:val="nil"/>
              <w:bottom w:val="nil"/>
              <w:right w:val="nil"/>
            </w:tcBorders>
            <w:noWrap/>
            <w:vAlign w:val="bottom"/>
          </w:tcPr>
          <w:p w14:paraId="516BE242" w14:textId="77777777" w:rsidR="00C8694E" w:rsidRPr="00C8694E" w:rsidRDefault="005B5AD6" w:rsidP="00C8694E">
            <w:pPr>
              <w:spacing w:after="0" w:line="360" w:lineRule="auto"/>
              <w:jc w:val="center"/>
              <w:rPr>
                <w:rFonts w:ascii="Arial" w:eastAsia="Times New Roman" w:hAnsi="Arial" w:cs="Arial"/>
                <w:color w:val="000000"/>
              </w:rPr>
            </w:pPr>
            <w:r>
              <w:rPr>
                <w:rFonts w:ascii="Arial" w:eastAsia="Times New Roman" w:hAnsi="Arial" w:cs="Arial"/>
                <w:color w:val="000000"/>
              </w:rPr>
              <w:t>2.51</w:t>
            </w:r>
          </w:p>
        </w:tc>
        <w:tc>
          <w:tcPr>
            <w:tcW w:w="1153" w:type="dxa"/>
            <w:tcBorders>
              <w:top w:val="nil"/>
              <w:left w:val="nil"/>
              <w:bottom w:val="nil"/>
            </w:tcBorders>
            <w:noWrap/>
            <w:vAlign w:val="bottom"/>
          </w:tcPr>
          <w:p w14:paraId="32D3E527" w14:textId="77777777" w:rsidR="00C8694E" w:rsidRPr="00C8694E" w:rsidRDefault="005B5AD6" w:rsidP="00C8694E">
            <w:pPr>
              <w:spacing w:after="0" w:line="360" w:lineRule="auto"/>
              <w:rPr>
                <w:rFonts w:ascii="Arial" w:eastAsia="Times New Roman" w:hAnsi="Arial" w:cs="Arial"/>
                <w:color w:val="000000"/>
              </w:rPr>
            </w:pPr>
            <w:r>
              <w:rPr>
                <w:rFonts w:ascii="Arial" w:eastAsia="Times New Roman" w:hAnsi="Arial" w:cs="Arial"/>
                <w:color w:val="000000"/>
              </w:rPr>
              <w:t>0.62</w:t>
            </w:r>
          </w:p>
        </w:tc>
      </w:tr>
      <w:tr w:rsidR="00113820" w:rsidRPr="00C8694E" w14:paraId="79A720A4" w14:textId="77777777" w:rsidTr="00127497">
        <w:trPr>
          <w:trHeight w:val="399"/>
          <w:jc w:val="center"/>
        </w:trPr>
        <w:tc>
          <w:tcPr>
            <w:tcW w:w="2593" w:type="dxa"/>
            <w:tcBorders>
              <w:top w:val="nil"/>
              <w:left w:val="nil"/>
              <w:bottom w:val="single" w:sz="8" w:space="0" w:color="auto"/>
              <w:right w:val="nil"/>
            </w:tcBorders>
            <w:noWrap/>
            <w:vAlign w:val="bottom"/>
          </w:tcPr>
          <w:p w14:paraId="6B62ED82" w14:textId="77777777" w:rsidR="00113820" w:rsidRPr="00C8694E" w:rsidRDefault="000D009A" w:rsidP="00113820">
            <w:pPr>
              <w:spacing w:after="0" w:line="360" w:lineRule="auto"/>
              <w:rPr>
                <w:rFonts w:ascii="Arial" w:eastAsia="Times New Roman" w:hAnsi="Arial" w:cs="Arial"/>
                <w:color w:val="000000"/>
                <w:sz w:val="24"/>
                <w:szCs w:val="24"/>
              </w:rPr>
            </w:pPr>
            <w:r>
              <w:rPr>
                <w:rFonts w:ascii="Arial" w:eastAsia="Times New Roman" w:hAnsi="Arial" w:cs="Arial"/>
                <w:color w:val="000000"/>
                <w:sz w:val="24"/>
                <w:szCs w:val="24"/>
              </w:rPr>
              <w:t>Uprooting</w:t>
            </w:r>
          </w:p>
        </w:tc>
        <w:tc>
          <w:tcPr>
            <w:tcW w:w="1080" w:type="dxa"/>
            <w:tcBorders>
              <w:top w:val="nil"/>
              <w:left w:val="nil"/>
              <w:bottom w:val="single" w:sz="8" w:space="0" w:color="auto"/>
              <w:right w:val="nil"/>
            </w:tcBorders>
            <w:noWrap/>
            <w:vAlign w:val="bottom"/>
          </w:tcPr>
          <w:p w14:paraId="4D3E7EC6" w14:textId="77777777" w:rsidR="00113820" w:rsidRPr="00C8694E" w:rsidRDefault="00BA0B57" w:rsidP="00113820">
            <w:pPr>
              <w:spacing w:after="0" w:line="360" w:lineRule="auto"/>
              <w:jc w:val="center"/>
              <w:rPr>
                <w:rFonts w:ascii="Arial" w:eastAsia="Times New Roman" w:hAnsi="Arial" w:cs="Arial"/>
                <w:color w:val="000000"/>
              </w:rPr>
            </w:pPr>
            <w:r>
              <w:rPr>
                <w:rFonts w:ascii="Arial" w:eastAsia="Times New Roman" w:hAnsi="Arial" w:cs="Arial"/>
                <w:color w:val="000000"/>
              </w:rPr>
              <w:t>4.1</w:t>
            </w:r>
          </w:p>
        </w:tc>
        <w:tc>
          <w:tcPr>
            <w:tcW w:w="972" w:type="dxa"/>
            <w:tcBorders>
              <w:top w:val="nil"/>
              <w:left w:val="nil"/>
              <w:bottom w:val="single" w:sz="8" w:space="0" w:color="auto"/>
              <w:right w:val="nil"/>
            </w:tcBorders>
            <w:noWrap/>
            <w:vAlign w:val="bottom"/>
          </w:tcPr>
          <w:p w14:paraId="71925728" w14:textId="77777777" w:rsidR="00113820" w:rsidRPr="00C8694E" w:rsidRDefault="00BA0B57" w:rsidP="00113820">
            <w:pPr>
              <w:spacing w:after="0" w:line="360" w:lineRule="auto"/>
              <w:jc w:val="center"/>
              <w:rPr>
                <w:rFonts w:ascii="Arial" w:eastAsia="Times New Roman" w:hAnsi="Arial" w:cs="Arial"/>
                <w:color w:val="000000"/>
              </w:rPr>
            </w:pPr>
            <w:r>
              <w:rPr>
                <w:rFonts w:ascii="Arial" w:eastAsia="Times New Roman" w:hAnsi="Arial" w:cs="Arial"/>
                <w:color w:val="000000"/>
              </w:rPr>
              <w:t>4.4</w:t>
            </w:r>
          </w:p>
        </w:tc>
        <w:tc>
          <w:tcPr>
            <w:tcW w:w="1620" w:type="dxa"/>
            <w:tcBorders>
              <w:top w:val="nil"/>
              <w:left w:val="nil"/>
              <w:bottom w:val="single" w:sz="8" w:space="0" w:color="auto"/>
              <w:right w:val="nil"/>
            </w:tcBorders>
            <w:noWrap/>
            <w:vAlign w:val="bottom"/>
          </w:tcPr>
          <w:p w14:paraId="16268295" w14:textId="77777777" w:rsidR="00113820" w:rsidRPr="00C8694E" w:rsidRDefault="004B3546" w:rsidP="00113820">
            <w:pPr>
              <w:spacing w:after="0" w:line="360" w:lineRule="auto"/>
              <w:jc w:val="center"/>
              <w:rPr>
                <w:rFonts w:ascii="Arial" w:eastAsia="Times New Roman" w:hAnsi="Arial" w:cs="Arial"/>
                <w:color w:val="000000"/>
              </w:rPr>
            </w:pPr>
            <w:r>
              <w:rPr>
                <w:rFonts w:ascii="Arial" w:eastAsia="Times New Roman" w:hAnsi="Arial" w:cs="Arial"/>
                <w:color w:val="000000"/>
              </w:rPr>
              <w:t>68.88</w:t>
            </w:r>
          </w:p>
        </w:tc>
        <w:tc>
          <w:tcPr>
            <w:tcW w:w="1024" w:type="dxa"/>
            <w:tcBorders>
              <w:top w:val="nil"/>
              <w:left w:val="nil"/>
              <w:bottom w:val="single" w:sz="8" w:space="0" w:color="auto"/>
              <w:right w:val="nil"/>
            </w:tcBorders>
            <w:noWrap/>
            <w:vAlign w:val="bottom"/>
          </w:tcPr>
          <w:p w14:paraId="5E6C5B14" w14:textId="77777777" w:rsidR="00113820" w:rsidRPr="00C8694E" w:rsidRDefault="008F0B07" w:rsidP="00945123">
            <w:pPr>
              <w:spacing w:after="0" w:line="360" w:lineRule="auto"/>
              <w:jc w:val="center"/>
              <w:rPr>
                <w:rFonts w:ascii="Arial" w:eastAsia="Times New Roman" w:hAnsi="Arial" w:cs="Arial"/>
                <w:color w:val="000000"/>
              </w:rPr>
            </w:pPr>
            <w:r>
              <w:rPr>
                <w:rFonts w:ascii="Arial" w:eastAsia="Times New Roman" w:hAnsi="Arial" w:cs="Arial"/>
                <w:color w:val="000000"/>
              </w:rPr>
              <w:t>7</w:t>
            </w:r>
            <w:r w:rsidR="00945123">
              <w:rPr>
                <w:rFonts w:ascii="Arial" w:eastAsia="Times New Roman" w:hAnsi="Arial" w:cs="Arial"/>
                <w:color w:val="000000"/>
              </w:rPr>
              <w:t>4.95</w:t>
            </w:r>
          </w:p>
        </w:tc>
        <w:tc>
          <w:tcPr>
            <w:tcW w:w="1925" w:type="dxa"/>
            <w:tcBorders>
              <w:top w:val="nil"/>
              <w:left w:val="nil"/>
              <w:bottom w:val="single" w:sz="8" w:space="0" w:color="auto"/>
              <w:right w:val="nil"/>
            </w:tcBorders>
            <w:noWrap/>
            <w:vAlign w:val="bottom"/>
          </w:tcPr>
          <w:p w14:paraId="7DEEFD02" w14:textId="77777777" w:rsidR="00113820" w:rsidRPr="00C8694E" w:rsidRDefault="005B5AD6" w:rsidP="00113820">
            <w:pPr>
              <w:spacing w:after="0" w:line="360" w:lineRule="auto"/>
              <w:jc w:val="center"/>
              <w:rPr>
                <w:rFonts w:ascii="Arial" w:eastAsia="Times New Roman" w:hAnsi="Arial" w:cs="Arial"/>
                <w:color w:val="000000"/>
              </w:rPr>
            </w:pPr>
            <w:r>
              <w:rPr>
                <w:rFonts w:ascii="Arial" w:eastAsia="Times New Roman" w:hAnsi="Arial" w:cs="Arial"/>
                <w:color w:val="000000"/>
              </w:rPr>
              <w:t>2.52</w:t>
            </w:r>
          </w:p>
        </w:tc>
        <w:tc>
          <w:tcPr>
            <w:tcW w:w="1153" w:type="dxa"/>
            <w:tcBorders>
              <w:top w:val="nil"/>
              <w:left w:val="nil"/>
              <w:bottom w:val="single" w:sz="8" w:space="0" w:color="auto"/>
            </w:tcBorders>
            <w:noWrap/>
            <w:vAlign w:val="bottom"/>
          </w:tcPr>
          <w:p w14:paraId="546D2166" w14:textId="77777777" w:rsidR="00113820" w:rsidRPr="00C8694E" w:rsidRDefault="005B5AD6" w:rsidP="00113820">
            <w:pPr>
              <w:spacing w:after="0" w:line="360" w:lineRule="auto"/>
              <w:rPr>
                <w:rFonts w:ascii="Arial" w:eastAsia="Times New Roman" w:hAnsi="Arial" w:cs="Arial"/>
                <w:color w:val="000000"/>
              </w:rPr>
            </w:pPr>
            <w:r>
              <w:rPr>
                <w:rFonts w:ascii="Arial" w:eastAsia="Times New Roman" w:hAnsi="Arial" w:cs="Arial"/>
                <w:color w:val="000000"/>
              </w:rPr>
              <w:t>0.61</w:t>
            </w:r>
          </w:p>
        </w:tc>
      </w:tr>
    </w:tbl>
    <w:p w14:paraId="1B9C2493" w14:textId="77777777" w:rsidR="00E81738" w:rsidRDefault="00E81738" w:rsidP="007F1691">
      <w:pPr>
        <w:autoSpaceDE w:val="0"/>
        <w:autoSpaceDN w:val="0"/>
        <w:adjustRightInd w:val="0"/>
        <w:spacing w:after="0" w:line="240" w:lineRule="auto"/>
        <w:rPr>
          <w:rFonts w:ascii="Arial" w:eastAsiaTheme="minorHAnsi" w:hAnsi="Arial" w:cs="Arial"/>
          <w:bCs/>
          <w:sz w:val="20"/>
          <w:szCs w:val="20"/>
          <w:lang w:eastAsia="en-US"/>
        </w:rPr>
      </w:pPr>
    </w:p>
    <w:p w14:paraId="5033CB95" w14:textId="77777777" w:rsidR="007F1691" w:rsidRPr="00C8694E" w:rsidRDefault="009F3C5B" w:rsidP="007F1691">
      <w:pPr>
        <w:autoSpaceDE w:val="0"/>
        <w:autoSpaceDN w:val="0"/>
        <w:adjustRightInd w:val="0"/>
        <w:spacing w:after="0" w:line="240" w:lineRule="auto"/>
        <w:rPr>
          <w:rFonts w:ascii="Arial" w:eastAsiaTheme="minorHAnsi" w:hAnsi="Arial" w:cs="Arial"/>
          <w:bCs/>
          <w:sz w:val="20"/>
          <w:szCs w:val="20"/>
          <w:lang w:eastAsia="en-US"/>
        </w:rPr>
      </w:pPr>
      <w:r>
        <w:rPr>
          <w:rFonts w:ascii="Arial" w:eastAsiaTheme="minorHAnsi" w:hAnsi="Arial" w:cs="Arial"/>
          <w:bCs/>
          <w:sz w:val="20"/>
          <w:szCs w:val="20"/>
          <w:lang w:eastAsia="en-US"/>
        </w:rPr>
        <w:t>T</w:t>
      </w:r>
      <w:r w:rsidR="00D80C0B">
        <w:rPr>
          <w:rFonts w:ascii="Arial" w:eastAsiaTheme="minorHAnsi" w:hAnsi="Arial" w:cs="Arial"/>
          <w:bCs/>
          <w:sz w:val="20"/>
          <w:szCs w:val="20"/>
          <w:lang w:eastAsia="en-US"/>
        </w:rPr>
        <w:t>able 4</w:t>
      </w:r>
      <w:r w:rsidR="007F1691" w:rsidRPr="00C8694E">
        <w:rPr>
          <w:rFonts w:ascii="Arial" w:eastAsiaTheme="minorHAnsi" w:hAnsi="Arial" w:cs="Arial"/>
          <w:bCs/>
          <w:sz w:val="20"/>
          <w:szCs w:val="20"/>
          <w:lang w:eastAsia="en-US"/>
        </w:rPr>
        <w:t xml:space="preserve">: Mean soil results for </w:t>
      </w:r>
      <w:r w:rsidR="00BE77AE">
        <w:rPr>
          <w:rFonts w:ascii="Arial" w:eastAsiaTheme="minorHAnsi" w:hAnsi="Arial" w:cs="Arial"/>
          <w:bCs/>
          <w:sz w:val="20"/>
          <w:szCs w:val="20"/>
          <w:lang w:eastAsia="en-US"/>
        </w:rPr>
        <w:t>Exchangeable Sodium Percentage (ESP)</w:t>
      </w:r>
      <w:r w:rsidR="0044019E">
        <w:rPr>
          <w:rFonts w:ascii="Arial" w:eastAsiaTheme="minorHAnsi" w:hAnsi="Arial" w:cs="Arial"/>
          <w:bCs/>
          <w:sz w:val="20"/>
          <w:szCs w:val="20"/>
          <w:lang w:eastAsia="en-US"/>
        </w:rPr>
        <w:t xml:space="preserve">, Available Phosphorus (P) and Electrical Conductivity (EC) </w:t>
      </w:r>
      <w:r w:rsidR="007F1691" w:rsidRPr="00C8694E">
        <w:rPr>
          <w:rFonts w:ascii="Arial" w:eastAsiaTheme="minorHAnsi" w:hAnsi="Arial" w:cs="Arial"/>
          <w:bCs/>
          <w:sz w:val="20"/>
          <w:szCs w:val="20"/>
          <w:lang w:eastAsia="en-US"/>
        </w:rPr>
        <w:t>collected before and after the treatments</w:t>
      </w:r>
      <w:r w:rsidR="007F1691">
        <w:rPr>
          <w:rFonts w:ascii="Arial" w:eastAsiaTheme="minorHAnsi" w:hAnsi="Arial" w:cs="Arial"/>
          <w:bCs/>
          <w:sz w:val="20"/>
          <w:szCs w:val="20"/>
          <w:lang w:eastAsia="en-US"/>
        </w:rPr>
        <w:t xml:space="preserve"> </w:t>
      </w:r>
      <w:r w:rsidR="0044019E">
        <w:rPr>
          <w:rFonts w:ascii="Arial" w:eastAsiaTheme="minorHAnsi" w:hAnsi="Arial" w:cs="Arial"/>
          <w:bCs/>
          <w:sz w:val="20"/>
          <w:szCs w:val="20"/>
          <w:lang w:eastAsia="en-US"/>
        </w:rPr>
        <w:t xml:space="preserve">at </w:t>
      </w:r>
      <w:r w:rsidR="007F1691">
        <w:rPr>
          <w:rFonts w:ascii="Arial" w:eastAsiaTheme="minorHAnsi" w:hAnsi="Arial" w:cs="Arial"/>
          <w:bCs/>
          <w:sz w:val="20"/>
          <w:szCs w:val="20"/>
          <w:lang w:eastAsia="en-US"/>
        </w:rPr>
        <w:t>Nyika National Park</w:t>
      </w:r>
      <w:r w:rsidR="0044019E">
        <w:rPr>
          <w:rFonts w:ascii="Arial" w:eastAsiaTheme="minorHAnsi" w:hAnsi="Arial" w:cs="Arial"/>
          <w:bCs/>
          <w:sz w:val="20"/>
          <w:szCs w:val="20"/>
          <w:lang w:eastAsia="en-US"/>
        </w:rPr>
        <w:t>.</w:t>
      </w:r>
    </w:p>
    <w:tbl>
      <w:tblPr>
        <w:tblW w:w="10367" w:type="dxa"/>
        <w:jc w:val="center"/>
        <w:tblLook w:val="04A0" w:firstRow="1" w:lastRow="0" w:firstColumn="1" w:lastColumn="0" w:noHBand="0" w:noVBand="1"/>
      </w:tblPr>
      <w:tblGrid>
        <w:gridCol w:w="2593"/>
        <w:gridCol w:w="1080"/>
        <w:gridCol w:w="1430"/>
        <w:gridCol w:w="1418"/>
        <w:gridCol w:w="1417"/>
        <w:gridCol w:w="1276"/>
        <w:gridCol w:w="1153"/>
      </w:tblGrid>
      <w:tr w:rsidR="007F1691" w:rsidRPr="00C8694E" w14:paraId="5F254525" w14:textId="77777777" w:rsidTr="00C104CA">
        <w:trPr>
          <w:trHeight w:val="399"/>
          <w:jc w:val="center"/>
        </w:trPr>
        <w:tc>
          <w:tcPr>
            <w:tcW w:w="2593" w:type="dxa"/>
            <w:vMerge w:val="restart"/>
            <w:tcBorders>
              <w:top w:val="single" w:sz="8" w:space="0" w:color="auto"/>
              <w:left w:val="nil"/>
              <w:bottom w:val="single" w:sz="8" w:space="0" w:color="000000"/>
              <w:right w:val="nil"/>
            </w:tcBorders>
            <w:noWrap/>
            <w:vAlign w:val="bottom"/>
            <w:hideMark/>
          </w:tcPr>
          <w:p w14:paraId="6E15E519" w14:textId="77777777" w:rsidR="007F1691" w:rsidRPr="00C8694E" w:rsidRDefault="007F1691" w:rsidP="00C104CA">
            <w:pPr>
              <w:spacing w:after="0" w:line="360" w:lineRule="auto"/>
              <w:rPr>
                <w:rFonts w:ascii="Arial" w:eastAsia="Times New Roman" w:hAnsi="Arial" w:cs="Arial"/>
                <w:b/>
                <w:color w:val="000000"/>
                <w:sz w:val="24"/>
                <w:szCs w:val="24"/>
              </w:rPr>
            </w:pPr>
            <w:r w:rsidRPr="00C8694E">
              <w:rPr>
                <w:rFonts w:ascii="Arial" w:eastAsia="Times New Roman" w:hAnsi="Arial" w:cs="Arial"/>
                <w:b/>
                <w:color w:val="000000"/>
                <w:sz w:val="24"/>
                <w:szCs w:val="24"/>
              </w:rPr>
              <w:t>Treatment</w:t>
            </w:r>
          </w:p>
        </w:tc>
        <w:tc>
          <w:tcPr>
            <w:tcW w:w="7774" w:type="dxa"/>
            <w:gridSpan w:val="6"/>
            <w:tcBorders>
              <w:top w:val="single" w:sz="8" w:space="0" w:color="auto"/>
              <w:left w:val="nil"/>
              <w:bottom w:val="single" w:sz="8" w:space="0" w:color="auto"/>
              <w:right w:val="nil"/>
            </w:tcBorders>
            <w:noWrap/>
            <w:vAlign w:val="bottom"/>
            <w:hideMark/>
          </w:tcPr>
          <w:p w14:paraId="5902E558" w14:textId="77777777" w:rsidR="007F1691" w:rsidRPr="00C8694E" w:rsidRDefault="007F1691" w:rsidP="00C104CA">
            <w:pPr>
              <w:spacing w:after="0" w:line="360" w:lineRule="auto"/>
              <w:jc w:val="center"/>
              <w:rPr>
                <w:rFonts w:ascii="Arial" w:eastAsia="Times New Roman" w:hAnsi="Arial" w:cs="Arial"/>
                <w:b/>
                <w:color w:val="000000"/>
                <w:sz w:val="20"/>
                <w:szCs w:val="20"/>
              </w:rPr>
            </w:pPr>
            <w:r w:rsidRPr="00C8694E">
              <w:rPr>
                <w:rFonts w:ascii="Arial" w:eastAsia="Times New Roman" w:hAnsi="Arial" w:cs="Arial"/>
                <w:b/>
                <w:color w:val="000000"/>
                <w:sz w:val="20"/>
                <w:szCs w:val="20"/>
              </w:rPr>
              <w:t>Soil parameter</w:t>
            </w:r>
          </w:p>
        </w:tc>
      </w:tr>
      <w:tr w:rsidR="007F1691" w:rsidRPr="00C8694E" w14:paraId="531E48B5" w14:textId="77777777" w:rsidTr="0075044E">
        <w:trPr>
          <w:trHeight w:val="399"/>
          <w:jc w:val="center"/>
        </w:trPr>
        <w:tc>
          <w:tcPr>
            <w:tcW w:w="2593" w:type="dxa"/>
            <w:vMerge/>
            <w:tcBorders>
              <w:top w:val="single" w:sz="8" w:space="0" w:color="auto"/>
              <w:left w:val="nil"/>
              <w:bottom w:val="single" w:sz="8" w:space="0" w:color="000000"/>
              <w:right w:val="nil"/>
            </w:tcBorders>
            <w:vAlign w:val="center"/>
          </w:tcPr>
          <w:p w14:paraId="33DA9706" w14:textId="77777777" w:rsidR="007F1691" w:rsidRPr="00C8694E" w:rsidRDefault="007F1691" w:rsidP="00C104CA">
            <w:pPr>
              <w:spacing w:after="0" w:line="360" w:lineRule="auto"/>
              <w:rPr>
                <w:rFonts w:ascii="Arial" w:eastAsia="Times New Roman" w:hAnsi="Arial" w:cs="Arial"/>
                <w:b/>
                <w:color w:val="000000"/>
                <w:sz w:val="18"/>
                <w:szCs w:val="18"/>
              </w:rPr>
            </w:pPr>
          </w:p>
        </w:tc>
        <w:tc>
          <w:tcPr>
            <w:tcW w:w="2510" w:type="dxa"/>
            <w:gridSpan w:val="2"/>
            <w:tcBorders>
              <w:top w:val="nil"/>
              <w:left w:val="nil"/>
              <w:bottom w:val="single" w:sz="8" w:space="0" w:color="auto"/>
              <w:right w:val="nil"/>
            </w:tcBorders>
            <w:noWrap/>
            <w:vAlign w:val="bottom"/>
          </w:tcPr>
          <w:p w14:paraId="63E0A150" w14:textId="77777777" w:rsidR="007F1691" w:rsidRPr="00C8694E" w:rsidRDefault="004D524A" w:rsidP="00C104CA">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Ex</w:t>
            </w:r>
            <w:r w:rsidR="00BE77AE">
              <w:rPr>
                <w:rFonts w:ascii="Arial" w:eastAsia="Times New Roman" w:hAnsi="Arial" w:cs="Arial"/>
                <w:b/>
                <w:color w:val="000000"/>
                <w:sz w:val="20"/>
                <w:szCs w:val="20"/>
              </w:rPr>
              <w:t>changeable Sodium</w:t>
            </w:r>
          </w:p>
          <w:p w14:paraId="3B9955A0" w14:textId="77777777" w:rsidR="007F1691" w:rsidRPr="00C8694E" w:rsidRDefault="00BE77AE" w:rsidP="00C104CA">
            <w:pPr>
              <w:spacing w:after="0" w:line="240" w:lineRule="auto"/>
              <w:jc w:val="center"/>
              <w:rPr>
                <w:rFonts w:ascii="Arial" w:eastAsia="Times New Roman" w:hAnsi="Arial" w:cs="Arial"/>
                <w:b/>
                <w:color w:val="000000"/>
                <w:sz w:val="20"/>
                <w:szCs w:val="20"/>
              </w:rPr>
            </w:pPr>
            <w:r>
              <w:rPr>
                <w:rFonts w:ascii="Arial" w:hAnsi="Arial" w:cs="Arial"/>
                <w:b/>
                <w:sz w:val="20"/>
                <w:szCs w:val="20"/>
              </w:rPr>
              <w:t>Percentage (ESP)</w:t>
            </w:r>
          </w:p>
        </w:tc>
        <w:tc>
          <w:tcPr>
            <w:tcW w:w="2835" w:type="dxa"/>
            <w:gridSpan w:val="2"/>
            <w:tcBorders>
              <w:top w:val="nil"/>
              <w:left w:val="nil"/>
              <w:bottom w:val="single" w:sz="8" w:space="0" w:color="auto"/>
              <w:right w:val="nil"/>
            </w:tcBorders>
            <w:noWrap/>
            <w:vAlign w:val="bottom"/>
          </w:tcPr>
          <w:p w14:paraId="0476B39F" w14:textId="77777777" w:rsidR="007F1691" w:rsidRPr="00C8694E" w:rsidRDefault="00535D27" w:rsidP="00C104CA">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Available P</w:t>
            </w:r>
          </w:p>
          <w:p w14:paraId="58D57BBB" w14:textId="77777777" w:rsidR="007F1691" w:rsidRPr="00C8694E" w:rsidRDefault="00207815" w:rsidP="00C104CA">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(mg kg</w:t>
            </w:r>
            <w:r>
              <w:rPr>
                <w:rFonts w:ascii="Arial" w:eastAsia="Times New Roman" w:hAnsi="Arial" w:cs="Arial"/>
                <w:b/>
                <w:color w:val="000000"/>
                <w:sz w:val="20"/>
                <w:szCs w:val="20"/>
                <w:vertAlign w:val="superscript"/>
              </w:rPr>
              <w:t>-1</w:t>
            </w:r>
            <w:r>
              <w:rPr>
                <w:rFonts w:ascii="Arial" w:eastAsia="Times New Roman" w:hAnsi="Arial" w:cs="Arial"/>
                <w:b/>
                <w:color w:val="000000"/>
                <w:sz w:val="20"/>
                <w:szCs w:val="20"/>
              </w:rPr>
              <w:t>)</w:t>
            </w:r>
          </w:p>
        </w:tc>
        <w:tc>
          <w:tcPr>
            <w:tcW w:w="2429" w:type="dxa"/>
            <w:gridSpan w:val="2"/>
            <w:tcBorders>
              <w:top w:val="nil"/>
              <w:left w:val="nil"/>
              <w:bottom w:val="single" w:sz="8" w:space="0" w:color="auto"/>
            </w:tcBorders>
            <w:noWrap/>
            <w:vAlign w:val="bottom"/>
          </w:tcPr>
          <w:p w14:paraId="10F88BC7" w14:textId="77777777" w:rsidR="007F1691" w:rsidRPr="00C8694E" w:rsidRDefault="000C1143" w:rsidP="00C104CA">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Electrical Conductivity</w:t>
            </w:r>
          </w:p>
          <w:p w14:paraId="2A1718C7" w14:textId="77777777" w:rsidR="007F1691" w:rsidRPr="00C8694E" w:rsidRDefault="000C1143" w:rsidP="00C104CA">
            <w:pPr>
              <w:spacing w:after="0" w:line="240" w:lineRule="auto"/>
              <w:jc w:val="center"/>
              <w:rPr>
                <w:rFonts w:ascii="Arial" w:eastAsia="Times New Roman" w:hAnsi="Arial" w:cs="Arial"/>
                <w:b/>
                <w:color w:val="000000"/>
                <w:sz w:val="20"/>
                <w:szCs w:val="20"/>
              </w:rPr>
            </w:pPr>
            <w:r w:rsidRPr="000C1143">
              <w:rPr>
                <w:rFonts w:ascii="Arial" w:eastAsia="Times New Roman" w:hAnsi="Arial" w:cs="Arial"/>
                <w:b/>
                <w:color w:val="000000"/>
                <w:sz w:val="20"/>
                <w:szCs w:val="20"/>
              </w:rPr>
              <w:t>(</w:t>
            </w:r>
            <w:proofErr w:type="spellStart"/>
            <w:r w:rsidRPr="000C1143">
              <w:rPr>
                <w:rFonts w:ascii="Arial" w:hAnsi="Arial" w:cs="Arial"/>
                <w:b/>
                <w:sz w:val="20"/>
                <w:szCs w:val="20"/>
              </w:rPr>
              <w:t>mmho</w:t>
            </w:r>
            <w:proofErr w:type="spellEnd"/>
            <w:r w:rsidRPr="000C1143">
              <w:rPr>
                <w:rFonts w:ascii="Arial" w:hAnsi="Arial" w:cs="Arial"/>
                <w:b/>
                <w:sz w:val="20"/>
                <w:szCs w:val="20"/>
              </w:rPr>
              <w:t xml:space="preserve"> cm</w:t>
            </w:r>
            <w:r w:rsidRPr="000C1143">
              <w:rPr>
                <w:rFonts w:ascii="Arial" w:hAnsi="Arial" w:cs="Arial"/>
                <w:b/>
                <w:sz w:val="20"/>
                <w:szCs w:val="20"/>
                <w:vertAlign w:val="superscript"/>
              </w:rPr>
              <w:t>-1</w:t>
            </w:r>
            <w:r w:rsidRPr="000C1143">
              <w:rPr>
                <w:rFonts w:ascii="Arial" w:hAnsi="Arial" w:cs="Arial"/>
                <w:b/>
                <w:sz w:val="20"/>
                <w:szCs w:val="20"/>
              </w:rPr>
              <w:t>)</w:t>
            </w:r>
          </w:p>
        </w:tc>
      </w:tr>
      <w:tr w:rsidR="007F1691" w:rsidRPr="00C8694E" w14:paraId="75185C19" w14:textId="77777777" w:rsidTr="0075044E">
        <w:trPr>
          <w:trHeight w:val="399"/>
          <w:jc w:val="center"/>
        </w:trPr>
        <w:tc>
          <w:tcPr>
            <w:tcW w:w="2593" w:type="dxa"/>
            <w:vMerge/>
            <w:tcBorders>
              <w:top w:val="single" w:sz="8" w:space="0" w:color="auto"/>
              <w:left w:val="nil"/>
              <w:bottom w:val="single" w:sz="8" w:space="0" w:color="000000"/>
              <w:right w:val="nil"/>
            </w:tcBorders>
            <w:vAlign w:val="center"/>
            <w:hideMark/>
          </w:tcPr>
          <w:p w14:paraId="4BD82D5B" w14:textId="77777777" w:rsidR="007F1691" w:rsidRPr="00C8694E" w:rsidRDefault="007F1691" w:rsidP="00C104CA">
            <w:pPr>
              <w:spacing w:after="0" w:line="360" w:lineRule="auto"/>
              <w:rPr>
                <w:rFonts w:ascii="Arial" w:eastAsia="Times New Roman" w:hAnsi="Arial" w:cs="Arial"/>
                <w:b/>
                <w:color w:val="000000"/>
                <w:sz w:val="18"/>
                <w:szCs w:val="18"/>
              </w:rPr>
            </w:pPr>
          </w:p>
        </w:tc>
        <w:tc>
          <w:tcPr>
            <w:tcW w:w="1080" w:type="dxa"/>
            <w:tcBorders>
              <w:top w:val="nil"/>
              <w:left w:val="nil"/>
              <w:bottom w:val="single" w:sz="8" w:space="0" w:color="auto"/>
              <w:right w:val="nil"/>
            </w:tcBorders>
            <w:noWrap/>
            <w:vAlign w:val="bottom"/>
            <w:hideMark/>
          </w:tcPr>
          <w:p w14:paraId="3F50E196" w14:textId="77777777" w:rsidR="007F1691" w:rsidRPr="00C8694E" w:rsidRDefault="007F1691" w:rsidP="00C104CA">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Before</w:t>
            </w:r>
          </w:p>
        </w:tc>
        <w:tc>
          <w:tcPr>
            <w:tcW w:w="1430" w:type="dxa"/>
            <w:tcBorders>
              <w:top w:val="nil"/>
              <w:left w:val="nil"/>
              <w:bottom w:val="single" w:sz="8" w:space="0" w:color="auto"/>
              <w:right w:val="nil"/>
            </w:tcBorders>
            <w:noWrap/>
            <w:vAlign w:val="bottom"/>
            <w:hideMark/>
          </w:tcPr>
          <w:p w14:paraId="1CEB160E" w14:textId="77777777" w:rsidR="007F1691" w:rsidRPr="00C8694E" w:rsidRDefault="007F1691" w:rsidP="00C104CA">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After</w:t>
            </w:r>
          </w:p>
        </w:tc>
        <w:tc>
          <w:tcPr>
            <w:tcW w:w="1418" w:type="dxa"/>
            <w:tcBorders>
              <w:top w:val="nil"/>
              <w:left w:val="nil"/>
              <w:bottom w:val="single" w:sz="8" w:space="0" w:color="auto"/>
              <w:right w:val="nil"/>
            </w:tcBorders>
            <w:noWrap/>
            <w:vAlign w:val="bottom"/>
            <w:hideMark/>
          </w:tcPr>
          <w:p w14:paraId="01B9D368" w14:textId="77777777" w:rsidR="007F1691" w:rsidRPr="00C8694E" w:rsidRDefault="007F1691" w:rsidP="00C104CA">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Before</w:t>
            </w:r>
          </w:p>
        </w:tc>
        <w:tc>
          <w:tcPr>
            <w:tcW w:w="1417" w:type="dxa"/>
            <w:tcBorders>
              <w:top w:val="nil"/>
              <w:left w:val="nil"/>
              <w:bottom w:val="single" w:sz="8" w:space="0" w:color="auto"/>
              <w:right w:val="nil"/>
            </w:tcBorders>
            <w:noWrap/>
            <w:vAlign w:val="bottom"/>
            <w:hideMark/>
          </w:tcPr>
          <w:p w14:paraId="50EFF8B9" w14:textId="77777777" w:rsidR="007F1691" w:rsidRPr="00C8694E" w:rsidRDefault="007F1691" w:rsidP="00C104CA">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After</w:t>
            </w:r>
          </w:p>
        </w:tc>
        <w:tc>
          <w:tcPr>
            <w:tcW w:w="1276" w:type="dxa"/>
            <w:tcBorders>
              <w:top w:val="nil"/>
              <w:left w:val="nil"/>
              <w:bottom w:val="single" w:sz="8" w:space="0" w:color="auto"/>
              <w:right w:val="nil"/>
            </w:tcBorders>
            <w:noWrap/>
            <w:vAlign w:val="bottom"/>
            <w:hideMark/>
          </w:tcPr>
          <w:p w14:paraId="2125B70A" w14:textId="77777777" w:rsidR="007F1691" w:rsidRPr="00C8694E" w:rsidRDefault="007F1691" w:rsidP="00C104CA">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Before</w:t>
            </w:r>
          </w:p>
        </w:tc>
        <w:tc>
          <w:tcPr>
            <w:tcW w:w="1153" w:type="dxa"/>
            <w:tcBorders>
              <w:top w:val="nil"/>
              <w:left w:val="nil"/>
              <w:bottom w:val="single" w:sz="8" w:space="0" w:color="auto"/>
            </w:tcBorders>
            <w:noWrap/>
            <w:vAlign w:val="bottom"/>
            <w:hideMark/>
          </w:tcPr>
          <w:p w14:paraId="3EEBBF58" w14:textId="77777777" w:rsidR="007F1691" w:rsidRPr="00C8694E" w:rsidRDefault="007F1691" w:rsidP="00CD795C">
            <w:pPr>
              <w:spacing w:after="0" w:line="240" w:lineRule="auto"/>
              <w:jc w:val="center"/>
              <w:rPr>
                <w:rFonts w:ascii="Arial" w:eastAsia="Times New Roman" w:hAnsi="Arial" w:cs="Arial"/>
                <w:b/>
                <w:color w:val="000000"/>
                <w:sz w:val="18"/>
                <w:szCs w:val="18"/>
              </w:rPr>
            </w:pPr>
            <w:r w:rsidRPr="00C8694E">
              <w:rPr>
                <w:rFonts w:ascii="Arial" w:eastAsia="Times New Roman" w:hAnsi="Arial" w:cs="Arial"/>
                <w:b/>
                <w:color w:val="000000"/>
                <w:sz w:val="18"/>
                <w:szCs w:val="18"/>
              </w:rPr>
              <w:t>After</w:t>
            </w:r>
          </w:p>
        </w:tc>
      </w:tr>
      <w:tr w:rsidR="007F1691" w:rsidRPr="00C8694E" w14:paraId="62971C95" w14:textId="77777777" w:rsidTr="0075044E">
        <w:trPr>
          <w:trHeight w:val="383"/>
          <w:jc w:val="center"/>
        </w:trPr>
        <w:tc>
          <w:tcPr>
            <w:tcW w:w="2593" w:type="dxa"/>
            <w:tcBorders>
              <w:top w:val="nil"/>
              <w:left w:val="nil"/>
              <w:bottom w:val="nil"/>
              <w:right w:val="nil"/>
            </w:tcBorders>
            <w:noWrap/>
            <w:vAlign w:val="bottom"/>
            <w:hideMark/>
          </w:tcPr>
          <w:p w14:paraId="42920FB6" w14:textId="77777777" w:rsidR="007F1691" w:rsidRPr="00C8694E" w:rsidRDefault="007F1691" w:rsidP="00C104CA">
            <w:pPr>
              <w:spacing w:after="0" w:line="360" w:lineRule="auto"/>
              <w:rPr>
                <w:rFonts w:ascii="Arial" w:eastAsia="Times New Roman" w:hAnsi="Arial" w:cs="Arial"/>
                <w:color w:val="000000"/>
                <w:sz w:val="24"/>
                <w:szCs w:val="24"/>
              </w:rPr>
            </w:pPr>
            <w:r w:rsidRPr="00C8694E">
              <w:rPr>
                <w:rFonts w:ascii="Arial" w:eastAsia="Times New Roman" w:hAnsi="Arial" w:cs="Arial"/>
                <w:color w:val="000000"/>
                <w:sz w:val="24"/>
                <w:szCs w:val="24"/>
              </w:rPr>
              <w:t>Control</w:t>
            </w:r>
          </w:p>
        </w:tc>
        <w:tc>
          <w:tcPr>
            <w:tcW w:w="1080" w:type="dxa"/>
            <w:tcBorders>
              <w:top w:val="nil"/>
              <w:left w:val="nil"/>
              <w:bottom w:val="nil"/>
              <w:right w:val="nil"/>
            </w:tcBorders>
            <w:noWrap/>
            <w:vAlign w:val="bottom"/>
          </w:tcPr>
          <w:p w14:paraId="787190DB" w14:textId="77777777" w:rsidR="007F1691" w:rsidRPr="00C8694E" w:rsidRDefault="0075044E" w:rsidP="00C104CA">
            <w:pPr>
              <w:spacing w:after="0" w:line="360" w:lineRule="auto"/>
              <w:jc w:val="center"/>
              <w:rPr>
                <w:rFonts w:ascii="Arial" w:eastAsia="Times New Roman" w:hAnsi="Arial" w:cs="Arial"/>
                <w:color w:val="000000"/>
              </w:rPr>
            </w:pPr>
            <w:r>
              <w:rPr>
                <w:rFonts w:ascii="Arial" w:eastAsia="Times New Roman" w:hAnsi="Arial" w:cs="Arial"/>
                <w:color w:val="000000"/>
              </w:rPr>
              <w:t>3.8</w:t>
            </w:r>
          </w:p>
        </w:tc>
        <w:tc>
          <w:tcPr>
            <w:tcW w:w="1430" w:type="dxa"/>
            <w:tcBorders>
              <w:top w:val="nil"/>
              <w:left w:val="nil"/>
              <w:bottom w:val="nil"/>
              <w:right w:val="nil"/>
            </w:tcBorders>
            <w:noWrap/>
            <w:vAlign w:val="bottom"/>
          </w:tcPr>
          <w:p w14:paraId="37CF164C" w14:textId="77777777" w:rsidR="007F1691" w:rsidRPr="00C8694E" w:rsidRDefault="0075044E" w:rsidP="00C104CA">
            <w:pPr>
              <w:spacing w:after="0" w:line="360" w:lineRule="auto"/>
              <w:jc w:val="center"/>
              <w:rPr>
                <w:rFonts w:ascii="Arial" w:eastAsia="Times New Roman" w:hAnsi="Arial" w:cs="Arial"/>
                <w:color w:val="000000"/>
              </w:rPr>
            </w:pPr>
            <w:r>
              <w:rPr>
                <w:rFonts w:ascii="Arial" w:eastAsia="Times New Roman" w:hAnsi="Arial" w:cs="Arial"/>
                <w:color w:val="000000"/>
              </w:rPr>
              <w:t>2.3</w:t>
            </w:r>
          </w:p>
        </w:tc>
        <w:tc>
          <w:tcPr>
            <w:tcW w:w="1418" w:type="dxa"/>
            <w:tcBorders>
              <w:top w:val="nil"/>
              <w:left w:val="nil"/>
              <w:bottom w:val="nil"/>
              <w:right w:val="nil"/>
            </w:tcBorders>
            <w:noWrap/>
            <w:vAlign w:val="bottom"/>
          </w:tcPr>
          <w:p w14:paraId="1E973B73" w14:textId="77777777" w:rsidR="007F1691" w:rsidRPr="00714D89" w:rsidRDefault="00714D89" w:rsidP="00C104CA">
            <w:pPr>
              <w:spacing w:after="0" w:line="360" w:lineRule="auto"/>
              <w:jc w:val="center"/>
              <w:rPr>
                <w:rFonts w:ascii="Arial" w:eastAsia="Times New Roman" w:hAnsi="Arial" w:cs="Arial"/>
                <w:color w:val="000000"/>
              </w:rPr>
            </w:pPr>
            <w:r w:rsidRPr="00714D89">
              <w:rPr>
                <w:rFonts w:ascii="Arial" w:eastAsia="Times New Roman" w:hAnsi="Arial" w:cs="Arial"/>
                <w:color w:val="000000"/>
              </w:rPr>
              <w:t>4.2</w:t>
            </w:r>
          </w:p>
        </w:tc>
        <w:tc>
          <w:tcPr>
            <w:tcW w:w="1417" w:type="dxa"/>
            <w:tcBorders>
              <w:top w:val="nil"/>
              <w:left w:val="nil"/>
              <w:bottom w:val="nil"/>
              <w:right w:val="nil"/>
            </w:tcBorders>
            <w:noWrap/>
            <w:vAlign w:val="bottom"/>
          </w:tcPr>
          <w:p w14:paraId="2AD07C73" w14:textId="77777777" w:rsidR="007F1691" w:rsidRPr="00C8694E" w:rsidRDefault="00714D89" w:rsidP="00C104CA">
            <w:pPr>
              <w:spacing w:after="0" w:line="360" w:lineRule="auto"/>
              <w:jc w:val="center"/>
              <w:rPr>
                <w:rFonts w:ascii="Arial" w:eastAsia="Times New Roman" w:hAnsi="Arial" w:cs="Arial"/>
                <w:color w:val="000000"/>
              </w:rPr>
            </w:pPr>
            <w:r>
              <w:rPr>
                <w:rFonts w:ascii="Arial" w:eastAsia="Times New Roman" w:hAnsi="Arial" w:cs="Arial"/>
                <w:color w:val="000000"/>
              </w:rPr>
              <w:t>15.6</w:t>
            </w:r>
          </w:p>
        </w:tc>
        <w:tc>
          <w:tcPr>
            <w:tcW w:w="1276" w:type="dxa"/>
            <w:tcBorders>
              <w:top w:val="nil"/>
              <w:left w:val="nil"/>
              <w:bottom w:val="nil"/>
              <w:right w:val="nil"/>
            </w:tcBorders>
            <w:noWrap/>
            <w:vAlign w:val="bottom"/>
          </w:tcPr>
          <w:p w14:paraId="1B43212B" w14:textId="77777777" w:rsidR="007F1691" w:rsidRPr="00C8694E" w:rsidRDefault="00CD795C" w:rsidP="00C104CA">
            <w:pPr>
              <w:spacing w:after="0" w:line="360" w:lineRule="auto"/>
              <w:jc w:val="center"/>
              <w:rPr>
                <w:rFonts w:ascii="Arial" w:eastAsia="Times New Roman" w:hAnsi="Arial" w:cs="Arial"/>
                <w:color w:val="000000"/>
              </w:rPr>
            </w:pPr>
            <w:r>
              <w:rPr>
                <w:rFonts w:ascii="Arial" w:eastAsia="Times New Roman" w:hAnsi="Arial" w:cs="Arial"/>
                <w:color w:val="000000"/>
              </w:rPr>
              <w:t>1.8</w:t>
            </w:r>
          </w:p>
        </w:tc>
        <w:tc>
          <w:tcPr>
            <w:tcW w:w="1153" w:type="dxa"/>
            <w:tcBorders>
              <w:top w:val="nil"/>
              <w:left w:val="nil"/>
              <w:bottom w:val="nil"/>
            </w:tcBorders>
            <w:noWrap/>
            <w:vAlign w:val="bottom"/>
          </w:tcPr>
          <w:p w14:paraId="795C3CD8" w14:textId="77777777" w:rsidR="007F1691" w:rsidRPr="00C8694E" w:rsidRDefault="00CD795C" w:rsidP="00CD795C">
            <w:pPr>
              <w:spacing w:after="0" w:line="360" w:lineRule="auto"/>
              <w:jc w:val="center"/>
              <w:rPr>
                <w:rFonts w:ascii="Arial" w:eastAsia="Times New Roman" w:hAnsi="Arial" w:cs="Arial"/>
                <w:color w:val="000000"/>
              </w:rPr>
            </w:pPr>
            <w:r>
              <w:rPr>
                <w:rFonts w:ascii="Arial" w:eastAsia="Times New Roman" w:hAnsi="Arial" w:cs="Arial"/>
                <w:color w:val="000000"/>
              </w:rPr>
              <w:t>1.09</w:t>
            </w:r>
          </w:p>
        </w:tc>
      </w:tr>
      <w:tr w:rsidR="007F1691" w:rsidRPr="00C8694E" w14:paraId="0BC0A588" w14:textId="77777777" w:rsidTr="0075044E">
        <w:trPr>
          <w:trHeight w:val="383"/>
          <w:jc w:val="center"/>
        </w:trPr>
        <w:tc>
          <w:tcPr>
            <w:tcW w:w="2593" w:type="dxa"/>
            <w:tcBorders>
              <w:top w:val="nil"/>
              <w:left w:val="nil"/>
              <w:bottom w:val="nil"/>
              <w:right w:val="nil"/>
            </w:tcBorders>
            <w:noWrap/>
            <w:vAlign w:val="bottom"/>
            <w:hideMark/>
          </w:tcPr>
          <w:p w14:paraId="5A30728B" w14:textId="77777777" w:rsidR="007F1691" w:rsidRPr="00C8694E" w:rsidRDefault="007F1691" w:rsidP="00C104CA">
            <w:pPr>
              <w:spacing w:after="0" w:line="360" w:lineRule="auto"/>
              <w:rPr>
                <w:rFonts w:ascii="Arial" w:eastAsia="Times New Roman" w:hAnsi="Arial" w:cs="Arial"/>
                <w:color w:val="000000"/>
                <w:sz w:val="24"/>
                <w:szCs w:val="24"/>
              </w:rPr>
            </w:pPr>
            <w:r>
              <w:rPr>
                <w:rFonts w:ascii="Arial" w:eastAsia="Times New Roman" w:hAnsi="Arial" w:cs="Arial"/>
                <w:color w:val="000000"/>
                <w:sz w:val="24"/>
                <w:szCs w:val="24"/>
              </w:rPr>
              <w:t>Cutting/Impala</w:t>
            </w:r>
          </w:p>
        </w:tc>
        <w:tc>
          <w:tcPr>
            <w:tcW w:w="1080" w:type="dxa"/>
            <w:tcBorders>
              <w:top w:val="nil"/>
              <w:left w:val="nil"/>
              <w:bottom w:val="nil"/>
              <w:right w:val="nil"/>
            </w:tcBorders>
            <w:noWrap/>
            <w:vAlign w:val="bottom"/>
          </w:tcPr>
          <w:p w14:paraId="0FA7265A" w14:textId="77777777" w:rsidR="007F1691" w:rsidRPr="00C8694E" w:rsidRDefault="0075044E" w:rsidP="00C104CA">
            <w:pPr>
              <w:spacing w:after="0" w:line="360" w:lineRule="auto"/>
              <w:jc w:val="center"/>
              <w:rPr>
                <w:rFonts w:ascii="Arial" w:eastAsia="Times New Roman" w:hAnsi="Arial" w:cs="Arial"/>
                <w:color w:val="000000"/>
              </w:rPr>
            </w:pPr>
            <w:r>
              <w:rPr>
                <w:rFonts w:ascii="Arial" w:eastAsia="Times New Roman" w:hAnsi="Arial" w:cs="Arial"/>
                <w:color w:val="000000"/>
              </w:rPr>
              <w:t>3.7</w:t>
            </w:r>
          </w:p>
        </w:tc>
        <w:tc>
          <w:tcPr>
            <w:tcW w:w="1430" w:type="dxa"/>
            <w:tcBorders>
              <w:top w:val="nil"/>
              <w:left w:val="nil"/>
              <w:bottom w:val="nil"/>
              <w:right w:val="nil"/>
            </w:tcBorders>
            <w:noWrap/>
            <w:vAlign w:val="bottom"/>
          </w:tcPr>
          <w:p w14:paraId="1A76F4BC" w14:textId="77777777" w:rsidR="007F1691" w:rsidRPr="00C8694E" w:rsidRDefault="0075044E" w:rsidP="00C104CA">
            <w:pPr>
              <w:spacing w:after="0" w:line="360" w:lineRule="auto"/>
              <w:jc w:val="center"/>
              <w:rPr>
                <w:rFonts w:ascii="Arial" w:eastAsia="Times New Roman" w:hAnsi="Arial" w:cs="Arial"/>
                <w:color w:val="000000"/>
              </w:rPr>
            </w:pPr>
            <w:r>
              <w:rPr>
                <w:rFonts w:ascii="Arial" w:eastAsia="Times New Roman" w:hAnsi="Arial" w:cs="Arial"/>
                <w:color w:val="000000"/>
              </w:rPr>
              <w:t>3.2</w:t>
            </w:r>
          </w:p>
        </w:tc>
        <w:tc>
          <w:tcPr>
            <w:tcW w:w="1418" w:type="dxa"/>
            <w:tcBorders>
              <w:top w:val="nil"/>
              <w:left w:val="nil"/>
              <w:bottom w:val="nil"/>
              <w:right w:val="nil"/>
            </w:tcBorders>
            <w:noWrap/>
            <w:vAlign w:val="bottom"/>
          </w:tcPr>
          <w:p w14:paraId="60977FF3" w14:textId="77777777" w:rsidR="007F1691" w:rsidRPr="00C8694E" w:rsidRDefault="00204250" w:rsidP="00C104CA">
            <w:pPr>
              <w:spacing w:after="0" w:line="360" w:lineRule="auto"/>
              <w:jc w:val="center"/>
              <w:rPr>
                <w:rFonts w:ascii="Arial" w:eastAsia="Times New Roman" w:hAnsi="Arial" w:cs="Arial"/>
                <w:color w:val="000000"/>
              </w:rPr>
            </w:pPr>
            <w:r>
              <w:rPr>
                <w:rFonts w:ascii="Arial" w:eastAsia="Times New Roman" w:hAnsi="Arial" w:cs="Arial"/>
                <w:color w:val="000000"/>
              </w:rPr>
              <w:t>4.3</w:t>
            </w:r>
          </w:p>
        </w:tc>
        <w:tc>
          <w:tcPr>
            <w:tcW w:w="1417" w:type="dxa"/>
            <w:tcBorders>
              <w:top w:val="nil"/>
              <w:left w:val="nil"/>
              <w:bottom w:val="nil"/>
              <w:right w:val="nil"/>
            </w:tcBorders>
            <w:noWrap/>
            <w:vAlign w:val="bottom"/>
          </w:tcPr>
          <w:p w14:paraId="2F147B33" w14:textId="77777777" w:rsidR="007F1691" w:rsidRPr="00C8694E" w:rsidRDefault="00204250" w:rsidP="00C104CA">
            <w:pPr>
              <w:spacing w:after="0" w:line="360" w:lineRule="auto"/>
              <w:jc w:val="center"/>
              <w:rPr>
                <w:rFonts w:ascii="Arial" w:eastAsia="Times New Roman" w:hAnsi="Arial" w:cs="Arial"/>
                <w:color w:val="000000"/>
              </w:rPr>
            </w:pPr>
            <w:r>
              <w:rPr>
                <w:rFonts w:ascii="Arial" w:eastAsia="Times New Roman" w:hAnsi="Arial" w:cs="Arial"/>
                <w:color w:val="000000"/>
              </w:rPr>
              <w:t>45.3</w:t>
            </w:r>
          </w:p>
        </w:tc>
        <w:tc>
          <w:tcPr>
            <w:tcW w:w="1276" w:type="dxa"/>
            <w:tcBorders>
              <w:top w:val="nil"/>
              <w:left w:val="nil"/>
              <w:bottom w:val="nil"/>
              <w:right w:val="nil"/>
            </w:tcBorders>
            <w:noWrap/>
            <w:vAlign w:val="bottom"/>
          </w:tcPr>
          <w:p w14:paraId="3FC718E9" w14:textId="77777777" w:rsidR="007F1691" w:rsidRPr="00C8694E" w:rsidRDefault="00CD795C" w:rsidP="00C104CA">
            <w:pPr>
              <w:spacing w:after="0" w:line="360" w:lineRule="auto"/>
              <w:jc w:val="center"/>
              <w:rPr>
                <w:rFonts w:ascii="Arial" w:eastAsia="Times New Roman" w:hAnsi="Arial" w:cs="Arial"/>
                <w:color w:val="000000"/>
              </w:rPr>
            </w:pPr>
            <w:r>
              <w:rPr>
                <w:rFonts w:ascii="Arial" w:eastAsia="Times New Roman" w:hAnsi="Arial" w:cs="Arial"/>
                <w:color w:val="000000"/>
              </w:rPr>
              <w:t>2.06</w:t>
            </w:r>
          </w:p>
        </w:tc>
        <w:tc>
          <w:tcPr>
            <w:tcW w:w="1153" w:type="dxa"/>
            <w:tcBorders>
              <w:top w:val="nil"/>
              <w:left w:val="nil"/>
              <w:bottom w:val="nil"/>
            </w:tcBorders>
            <w:noWrap/>
            <w:vAlign w:val="bottom"/>
          </w:tcPr>
          <w:p w14:paraId="54138420" w14:textId="77777777" w:rsidR="007F1691" w:rsidRPr="00C8694E" w:rsidRDefault="00CD795C" w:rsidP="00CD795C">
            <w:pPr>
              <w:spacing w:after="0" w:line="360" w:lineRule="auto"/>
              <w:jc w:val="center"/>
              <w:rPr>
                <w:rFonts w:ascii="Arial" w:eastAsia="Times New Roman" w:hAnsi="Arial" w:cs="Arial"/>
                <w:color w:val="000000"/>
              </w:rPr>
            </w:pPr>
            <w:r>
              <w:rPr>
                <w:rFonts w:ascii="Arial" w:eastAsia="Times New Roman" w:hAnsi="Arial" w:cs="Arial"/>
                <w:color w:val="000000"/>
              </w:rPr>
              <w:t>0.95</w:t>
            </w:r>
          </w:p>
        </w:tc>
      </w:tr>
      <w:tr w:rsidR="007F1691" w:rsidRPr="00C8694E" w14:paraId="5D6D66AD" w14:textId="77777777" w:rsidTr="0075044E">
        <w:trPr>
          <w:trHeight w:val="399"/>
          <w:jc w:val="center"/>
        </w:trPr>
        <w:tc>
          <w:tcPr>
            <w:tcW w:w="2593" w:type="dxa"/>
            <w:tcBorders>
              <w:top w:val="nil"/>
              <w:left w:val="nil"/>
              <w:bottom w:val="single" w:sz="8" w:space="0" w:color="auto"/>
              <w:right w:val="nil"/>
            </w:tcBorders>
            <w:noWrap/>
            <w:vAlign w:val="bottom"/>
          </w:tcPr>
          <w:p w14:paraId="789B0714" w14:textId="77777777" w:rsidR="007F1691" w:rsidRPr="00C8694E" w:rsidRDefault="007F1691" w:rsidP="00C104CA">
            <w:pPr>
              <w:spacing w:after="0" w:line="360" w:lineRule="auto"/>
              <w:rPr>
                <w:rFonts w:ascii="Arial" w:eastAsia="Times New Roman" w:hAnsi="Arial" w:cs="Arial"/>
                <w:color w:val="000000"/>
                <w:sz w:val="24"/>
                <w:szCs w:val="24"/>
              </w:rPr>
            </w:pPr>
            <w:r>
              <w:rPr>
                <w:rFonts w:ascii="Arial" w:eastAsia="Times New Roman" w:hAnsi="Arial" w:cs="Arial"/>
                <w:color w:val="000000"/>
                <w:sz w:val="24"/>
                <w:szCs w:val="24"/>
              </w:rPr>
              <w:t>Uprooting</w:t>
            </w:r>
          </w:p>
        </w:tc>
        <w:tc>
          <w:tcPr>
            <w:tcW w:w="1080" w:type="dxa"/>
            <w:tcBorders>
              <w:top w:val="nil"/>
              <w:left w:val="nil"/>
              <w:bottom w:val="single" w:sz="8" w:space="0" w:color="auto"/>
              <w:right w:val="nil"/>
            </w:tcBorders>
            <w:noWrap/>
            <w:vAlign w:val="bottom"/>
          </w:tcPr>
          <w:p w14:paraId="6E6B7EB4" w14:textId="77777777" w:rsidR="007F1691" w:rsidRPr="00C8694E" w:rsidRDefault="0075044E" w:rsidP="00C104CA">
            <w:pPr>
              <w:spacing w:after="0" w:line="360" w:lineRule="auto"/>
              <w:jc w:val="center"/>
              <w:rPr>
                <w:rFonts w:ascii="Arial" w:eastAsia="Times New Roman" w:hAnsi="Arial" w:cs="Arial"/>
                <w:color w:val="000000"/>
              </w:rPr>
            </w:pPr>
            <w:r>
              <w:rPr>
                <w:rFonts w:ascii="Arial" w:eastAsia="Times New Roman" w:hAnsi="Arial" w:cs="Arial"/>
                <w:color w:val="000000"/>
              </w:rPr>
              <w:t>3.8</w:t>
            </w:r>
          </w:p>
        </w:tc>
        <w:tc>
          <w:tcPr>
            <w:tcW w:w="1430" w:type="dxa"/>
            <w:tcBorders>
              <w:top w:val="nil"/>
              <w:left w:val="nil"/>
              <w:bottom w:val="single" w:sz="8" w:space="0" w:color="auto"/>
              <w:right w:val="nil"/>
            </w:tcBorders>
            <w:noWrap/>
            <w:vAlign w:val="bottom"/>
          </w:tcPr>
          <w:p w14:paraId="2CE8A3B9" w14:textId="77777777" w:rsidR="007F1691" w:rsidRPr="00C8694E" w:rsidRDefault="0075044E" w:rsidP="00C104CA">
            <w:pPr>
              <w:spacing w:after="0" w:line="360" w:lineRule="auto"/>
              <w:jc w:val="center"/>
              <w:rPr>
                <w:rFonts w:ascii="Arial" w:eastAsia="Times New Roman" w:hAnsi="Arial" w:cs="Arial"/>
                <w:color w:val="000000"/>
              </w:rPr>
            </w:pPr>
            <w:r>
              <w:rPr>
                <w:rFonts w:ascii="Arial" w:eastAsia="Times New Roman" w:hAnsi="Arial" w:cs="Arial"/>
                <w:color w:val="000000"/>
              </w:rPr>
              <w:t>1.5</w:t>
            </w:r>
          </w:p>
        </w:tc>
        <w:tc>
          <w:tcPr>
            <w:tcW w:w="1418" w:type="dxa"/>
            <w:tcBorders>
              <w:top w:val="nil"/>
              <w:left w:val="nil"/>
              <w:bottom w:val="single" w:sz="8" w:space="0" w:color="auto"/>
              <w:right w:val="nil"/>
            </w:tcBorders>
            <w:noWrap/>
            <w:vAlign w:val="bottom"/>
          </w:tcPr>
          <w:p w14:paraId="73DDAC12" w14:textId="77777777" w:rsidR="007F1691" w:rsidRPr="00C8694E" w:rsidRDefault="00204250" w:rsidP="00C104CA">
            <w:pPr>
              <w:spacing w:after="0" w:line="360" w:lineRule="auto"/>
              <w:jc w:val="center"/>
              <w:rPr>
                <w:rFonts w:ascii="Arial" w:eastAsia="Times New Roman" w:hAnsi="Arial" w:cs="Arial"/>
                <w:color w:val="000000"/>
              </w:rPr>
            </w:pPr>
            <w:r>
              <w:rPr>
                <w:rFonts w:ascii="Arial" w:eastAsia="Times New Roman" w:hAnsi="Arial" w:cs="Arial"/>
                <w:color w:val="000000"/>
              </w:rPr>
              <w:t>4.5</w:t>
            </w:r>
          </w:p>
        </w:tc>
        <w:tc>
          <w:tcPr>
            <w:tcW w:w="1417" w:type="dxa"/>
            <w:tcBorders>
              <w:top w:val="nil"/>
              <w:left w:val="nil"/>
              <w:bottom w:val="single" w:sz="8" w:space="0" w:color="auto"/>
              <w:right w:val="nil"/>
            </w:tcBorders>
            <w:noWrap/>
            <w:vAlign w:val="bottom"/>
          </w:tcPr>
          <w:p w14:paraId="1A1F33C4" w14:textId="77777777" w:rsidR="007F1691" w:rsidRPr="00C8694E" w:rsidRDefault="00204250" w:rsidP="00C104CA">
            <w:pPr>
              <w:spacing w:after="0" w:line="360" w:lineRule="auto"/>
              <w:jc w:val="center"/>
              <w:rPr>
                <w:rFonts w:ascii="Arial" w:eastAsia="Times New Roman" w:hAnsi="Arial" w:cs="Arial"/>
                <w:color w:val="000000"/>
              </w:rPr>
            </w:pPr>
            <w:r>
              <w:rPr>
                <w:rFonts w:ascii="Arial" w:eastAsia="Times New Roman" w:hAnsi="Arial" w:cs="Arial"/>
                <w:color w:val="000000"/>
              </w:rPr>
              <w:t>9.2</w:t>
            </w:r>
          </w:p>
        </w:tc>
        <w:tc>
          <w:tcPr>
            <w:tcW w:w="1276" w:type="dxa"/>
            <w:tcBorders>
              <w:top w:val="nil"/>
              <w:left w:val="nil"/>
              <w:bottom w:val="single" w:sz="8" w:space="0" w:color="auto"/>
              <w:right w:val="nil"/>
            </w:tcBorders>
            <w:noWrap/>
            <w:vAlign w:val="bottom"/>
          </w:tcPr>
          <w:p w14:paraId="3A11982E" w14:textId="77777777" w:rsidR="007F1691" w:rsidRPr="00C8694E" w:rsidRDefault="00CD795C" w:rsidP="00CD795C">
            <w:pPr>
              <w:spacing w:after="0" w:line="360" w:lineRule="auto"/>
              <w:jc w:val="center"/>
              <w:rPr>
                <w:rFonts w:ascii="Arial" w:eastAsia="Times New Roman" w:hAnsi="Arial" w:cs="Arial"/>
                <w:color w:val="000000"/>
              </w:rPr>
            </w:pPr>
            <w:r w:rsidRPr="00CD795C">
              <w:rPr>
                <w:rFonts w:ascii="Arial" w:eastAsia="Times New Roman" w:hAnsi="Arial" w:cs="Arial"/>
                <w:color w:val="000000"/>
              </w:rPr>
              <w:t>1.92</w:t>
            </w:r>
          </w:p>
        </w:tc>
        <w:tc>
          <w:tcPr>
            <w:tcW w:w="1153" w:type="dxa"/>
            <w:tcBorders>
              <w:top w:val="nil"/>
              <w:left w:val="nil"/>
              <w:bottom w:val="single" w:sz="8" w:space="0" w:color="auto"/>
            </w:tcBorders>
            <w:noWrap/>
            <w:vAlign w:val="bottom"/>
          </w:tcPr>
          <w:p w14:paraId="5007FC78" w14:textId="77777777" w:rsidR="007F1691" w:rsidRPr="00C8694E" w:rsidRDefault="00CD795C" w:rsidP="00CD795C">
            <w:pPr>
              <w:spacing w:after="0" w:line="360" w:lineRule="auto"/>
              <w:jc w:val="center"/>
              <w:rPr>
                <w:rFonts w:ascii="Arial" w:eastAsia="Times New Roman" w:hAnsi="Arial" w:cs="Arial"/>
                <w:color w:val="000000"/>
              </w:rPr>
            </w:pPr>
            <w:r w:rsidRPr="00CD795C">
              <w:rPr>
                <w:rFonts w:ascii="Arial" w:eastAsia="Times New Roman" w:hAnsi="Arial" w:cs="Arial"/>
                <w:color w:val="000000"/>
              </w:rPr>
              <w:t>0.78</w:t>
            </w:r>
          </w:p>
        </w:tc>
      </w:tr>
    </w:tbl>
    <w:p w14:paraId="4908E7F1" w14:textId="77777777" w:rsidR="00361736" w:rsidRDefault="00361736" w:rsidP="000C6661">
      <w:pPr>
        <w:spacing w:after="0"/>
        <w:jc w:val="both"/>
        <w:rPr>
          <w:rFonts w:ascii="Arial" w:hAnsi="Arial" w:cs="Arial"/>
        </w:rPr>
      </w:pPr>
    </w:p>
    <w:p w14:paraId="75B6F45F" w14:textId="77777777" w:rsidR="00E81738" w:rsidRDefault="00E81738" w:rsidP="000C6661">
      <w:pPr>
        <w:spacing w:after="0"/>
        <w:jc w:val="both"/>
        <w:rPr>
          <w:rFonts w:ascii="Arial" w:hAnsi="Arial" w:cs="Arial"/>
        </w:rPr>
      </w:pPr>
    </w:p>
    <w:p w14:paraId="06C9C8F7" w14:textId="77777777" w:rsidR="00E81738" w:rsidRDefault="00E81738" w:rsidP="000C6661">
      <w:pPr>
        <w:spacing w:after="0"/>
        <w:jc w:val="both"/>
        <w:rPr>
          <w:rFonts w:ascii="Arial" w:hAnsi="Arial" w:cs="Arial"/>
        </w:rPr>
      </w:pPr>
    </w:p>
    <w:p w14:paraId="062F674D" w14:textId="77777777" w:rsidR="00177FB9" w:rsidRPr="000C6661" w:rsidRDefault="00D80C0B" w:rsidP="000C6661">
      <w:pPr>
        <w:spacing w:after="0"/>
        <w:jc w:val="both"/>
        <w:rPr>
          <w:rFonts w:ascii="Arial" w:hAnsi="Arial" w:cs="Arial"/>
        </w:rPr>
      </w:pPr>
      <w:r>
        <w:rPr>
          <w:rFonts w:ascii="Arial" w:hAnsi="Arial" w:cs="Arial"/>
        </w:rPr>
        <w:t>Table 5:</w:t>
      </w:r>
      <w:r w:rsidR="00177FB9" w:rsidRPr="000C6661">
        <w:rPr>
          <w:rFonts w:ascii="Arial" w:hAnsi="Arial" w:cs="Arial"/>
        </w:rPr>
        <w:t xml:space="preserve"> Formulae for</w:t>
      </w:r>
      <w:r w:rsidR="00541B8D" w:rsidRPr="000C6661">
        <w:rPr>
          <w:rFonts w:ascii="Arial" w:hAnsi="Arial" w:cs="Arial"/>
        </w:rPr>
        <w:t xml:space="preserve"> estimating</w:t>
      </w:r>
      <w:r w:rsidR="00177FB9" w:rsidRPr="000C6661">
        <w:rPr>
          <w:rFonts w:ascii="Arial" w:hAnsi="Arial" w:cs="Arial"/>
        </w:rPr>
        <w:t xml:space="preserve"> Exchangeable Sodium Percentage and Soil Organic Carbon stocks</w:t>
      </w:r>
    </w:p>
    <w:tbl>
      <w:tblPr>
        <w:tblW w:w="10632" w:type="dxa"/>
        <w:tblBorders>
          <w:top w:val="single" w:sz="4" w:space="0" w:color="auto"/>
          <w:bottom w:val="single" w:sz="4" w:space="0" w:color="auto"/>
        </w:tblBorders>
        <w:tblLayout w:type="fixed"/>
        <w:tblLook w:val="04A0" w:firstRow="1" w:lastRow="0" w:firstColumn="1" w:lastColumn="0" w:noHBand="0" w:noVBand="1"/>
      </w:tblPr>
      <w:tblGrid>
        <w:gridCol w:w="284"/>
        <w:gridCol w:w="992"/>
        <w:gridCol w:w="4536"/>
        <w:gridCol w:w="4253"/>
        <w:gridCol w:w="283"/>
        <w:gridCol w:w="9"/>
        <w:gridCol w:w="275"/>
      </w:tblGrid>
      <w:tr w:rsidR="00177FB9" w:rsidRPr="00177FB9" w14:paraId="6318751A" w14:textId="77777777" w:rsidTr="000C6661">
        <w:trPr>
          <w:gridAfter w:val="1"/>
          <w:wAfter w:w="275" w:type="dxa"/>
        </w:trPr>
        <w:tc>
          <w:tcPr>
            <w:tcW w:w="284" w:type="dxa"/>
            <w:tcBorders>
              <w:top w:val="single" w:sz="4" w:space="0" w:color="auto"/>
              <w:bottom w:val="single" w:sz="4" w:space="0" w:color="auto"/>
            </w:tcBorders>
            <w:vAlign w:val="center"/>
          </w:tcPr>
          <w:p w14:paraId="639AB7F5" w14:textId="77777777" w:rsidR="00177FB9" w:rsidRPr="00177FB9" w:rsidRDefault="00177FB9" w:rsidP="00C104CA">
            <w:pPr>
              <w:spacing w:after="0" w:line="240" w:lineRule="auto"/>
              <w:ind w:left="-107" w:right="-76"/>
              <w:jc w:val="center"/>
              <w:rPr>
                <w:rFonts w:ascii="Arial" w:eastAsia="Times New Roman" w:hAnsi="Arial" w:cs="Arial"/>
                <w:b/>
                <w:bCs/>
                <w:sz w:val="24"/>
                <w:szCs w:val="24"/>
                <w:lang w:val="en-GB" w:eastAsia="en-GB"/>
              </w:rPr>
            </w:pPr>
          </w:p>
        </w:tc>
        <w:tc>
          <w:tcPr>
            <w:tcW w:w="992" w:type="dxa"/>
            <w:tcBorders>
              <w:top w:val="single" w:sz="4" w:space="0" w:color="auto"/>
              <w:bottom w:val="single" w:sz="4" w:space="0" w:color="auto"/>
            </w:tcBorders>
            <w:vAlign w:val="center"/>
          </w:tcPr>
          <w:p w14:paraId="41901AAE" w14:textId="77777777" w:rsidR="00177FB9" w:rsidRPr="000C6661" w:rsidRDefault="00177FB9" w:rsidP="00C104CA">
            <w:pPr>
              <w:spacing w:after="0" w:line="240" w:lineRule="auto"/>
              <w:ind w:left="-120" w:right="-100"/>
              <w:jc w:val="center"/>
              <w:rPr>
                <w:rFonts w:ascii="Arial" w:eastAsia="Times New Roman" w:hAnsi="Arial" w:cs="Arial"/>
                <w:b/>
                <w:bCs/>
                <w:sz w:val="20"/>
                <w:szCs w:val="20"/>
                <w:lang w:val="en-GB" w:eastAsia="en-GB"/>
              </w:rPr>
            </w:pPr>
            <w:r w:rsidRPr="000C6661">
              <w:rPr>
                <w:rFonts w:ascii="Arial" w:eastAsia="Times New Roman" w:hAnsi="Arial" w:cs="Arial"/>
                <w:b/>
                <w:bCs/>
                <w:sz w:val="20"/>
                <w:szCs w:val="20"/>
                <w:lang w:val="en-GB" w:eastAsia="en-GB"/>
              </w:rPr>
              <w:t xml:space="preserve">Soil Parameter calculated </w:t>
            </w:r>
          </w:p>
        </w:tc>
        <w:tc>
          <w:tcPr>
            <w:tcW w:w="4536" w:type="dxa"/>
            <w:tcBorders>
              <w:top w:val="single" w:sz="4" w:space="0" w:color="auto"/>
              <w:bottom w:val="single" w:sz="4" w:space="0" w:color="auto"/>
            </w:tcBorders>
            <w:vAlign w:val="center"/>
          </w:tcPr>
          <w:p w14:paraId="505C5589" w14:textId="77777777" w:rsidR="00177FB9" w:rsidRPr="000C6661" w:rsidRDefault="00177FB9" w:rsidP="00C104CA">
            <w:pPr>
              <w:spacing w:after="0" w:line="240" w:lineRule="auto"/>
              <w:jc w:val="center"/>
              <w:rPr>
                <w:rFonts w:ascii="Arial" w:eastAsia="Times New Roman" w:hAnsi="Arial" w:cs="Arial"/>
                <w:b/>
                <w:bCs/>
                <w:lang w:val="en-GB" w:eastAsia="en-GB"/>
              </w:rPr>
            </w:pPr>
            <w:r w:rsidRPr="000C6661">
              <w:rPr>
                <w:rFonts w:ascii="Arial" w:eastAsia="Times New Roman" w:hAnsi="Arial" w:cs="Arial"/>
                <w:b/>
                <w:bCs/>
                <w:lang w:val="en-GB" w:eastAsia="en-GB"/>
              </w:rPr>
              <w:t>Formula for calculation</w:t>
            </w:r>
          </w:p>
        </w:tc>
        <w:tc>
          <w:tcPr>
            <w:tcW w:w="4253" w:type="dxa"/>
            <w:tcBorders>
              <w:top w:val="single" w:sz="4" w:space="0" w:color="auto"/>
              <w:bottom w:val="single" w:sz="4" w:space="0" w:color="auto"/>
            </w:tcBorders>
            <w:vAlign w:val="center"/>
          </w:tcPr>
          <w:p w14:paraId="014A37D3" w14:textId="77777777" w:rsidR="00177FB9" w:rsidRPr="000C6661" w:rsidRDefault="00177FB9" w:rsidP="00C104CA">
            <w:pPr>
              <w:spacing w:after="0" w:line="240" w:lineRule="auto"/>
              <w:jc w:val="center"/>
              <w:rPr>
                <w:rFonts w:ascii="Arial" w:eastAsia="Times New Roman" w:hAnsi="Arial" w:cs="Arial"/>
                <w:b/>
                <w:bCs/>
                <w:lang w:val="en-GB" w:eastAsia="en-GB"/>
              </w:rPr>
            </w:pPr>
            <w:r w:rsidRPr="00177FB9">
              <w:rPr>
                <w:rFonts w:ascii="Arial" w:eastAsia="Times New Roman" w:hAnsi="Arial" w:cs="Arial"/>
                <w:b/>
                <w:bCs/>
                <w:sz w:val="24"/>
                <w:szCs w:val="24"/>
                <w:lang w:val="en-GB" w:eastAsia="en-GB"/>
              </w:rPr>
              <w:t xml:space="preserve">           </w:t>
            </w:r>
            <w:r w:rsidRPr="000C6661">
              <w:rPr>
                <w:rFonts w:ascii="Arial" w:eastAsia="Times New Roman" w:hAnsi="Arial" w:cs="Arial"/>
                <w:b/>
                <w:bCs/>
                <w:lang w:val="en-GB" w:eastAsia="en-GB"/>
              </w:rPr>
              <w:t>Description of terms</w:t>
            </w:r>
          </w:p>
        </w:tc>
        <w:tc>
          <w:tcPr>
            <w:tcW w:w="292" w:type="dxa"/>
            <w:gridSpan w:val="2"/>
            <w:tcBorders>
              <w:top w:val="single" w:sz="4" w:space="0" w:color="auto"/>
              <w:bottom w:val="single" w:sz="4" w:space="0" w:color="auto"/>
            </w:tcBorders>
            <w:vAlign w:val="center"/>
          </w:tcPr>
          <w:p w14:paraId="174C3EF8" w14:textId="77777777" w:rsidR="00177FB9" w:rsidRPr="00177FB9" w:rsidRDefault="00177FB9" w:rsidP="00C104CA">
            <w:pPr>
              <w:spacing w:after="0" w:line="240" w:lineRule="auto"/>
              <w:rPr>
                <w:rFonts w:ascii="Arial" w:eastAsia="Times New Roman" w:hAnsi="Arial" w:cs="Arial"/>
                <w:b/>
                <w:bCs/>
                <w:sz w:val="24"/>
                <w:szCs w:val="24"/>
                <w:lang w:val="en-GB" w:eastAsia="en-GB"/>
              </w:rPr>
            </w:pPr>
          </w:p>
        </w:tc>
      </w:tr>
      <w:tr w:rsidR="00177FB9" w:rsidRPr="00177FB9" w14:paraId="56824E32" w14:textId="77777777" w:rsidTr="000C6661">
        <w:tc>
          <w:tcPr>
            <w:tcW w:w="284" w:type="dxa"/>
            <w:vMerge w:val="restart"/>
            <w:tcBorders>
              <w:top w:val="single" w:sz="4" w:space="0" w:color="auto"/>
            </w:tcBorders>
            <w:vAlign w:val="center"/>
          </w:tcPr>
          <w:p w14:paraId="3C5156F3" w14:textId="77777777" w:rsidR="00177FB9" w:rsidRPr="00177FB9" w:rsidRDefault="00177FB9" w:rsidP="00C104CA">
            <w:pPr>
              <w:spacing w:after="0" w:line="240" w:lineRule="auto"/>
              <w:jc w:val="center"/>
              <w:rPr>
                <w:rFonts w:ascii="Arial" w:eastAsia="Times New Roman" w:hAnsi="Arial" w:cs="Arial"/>
                <w:b/>
                <w:bCs/>
                <w:sz w:val="24"/>
                <w:szCs w:val="24"/>
                <w:lang w:val="en-GB" w:eastAsia="en-GB"/>
              </w:rPr>
            </w:pPr>
          </w:p>
        </w:tc>
        <w:tc>
          <w:tcPr>
            <w:tcW w:w="992" w:type="dxa"/>
            <w:tcBorders>
              <w:top w:val="single" w:sz="4" w:space="0" w:color="auto"/>
              <w:bottom w:val="single" w:sz="4" w:space="0" w:color="auto"/>
            </w:tcBorders>
            <w:vAlign w:val="center"/>
          </w:tcPr>
          <w:p w14:paraId="17818B09" w14:textId="77777777" w:rsidR="00177FB9" w:rsidRPr="00177FB9" w:rsidRDefault="00177FB9" w:rsidP="00C104CA">
            <w:pPr>
              <w:spacing w:after="0" w:line="240" w:lineRule="auto"/>
              <w:ind w:left="-120" w:right="-100"/>
              <w:jc w:val="center"/>
              <w:rPr>
                <w:rFonts w:ascii="Arial" w:eastAsia="Times New Roman" w:hAnsi="Arial" w:cs="Arial"/>
                <w:bCs/>
                <w:sz w:val="24"/>
                <w:szCs w:val="24"/>
                <w:lang w:val="en-GB" w:eastAsia="en-GB"/>
              </w:rPr>
            </w:pPr>
            <w:r w:rsidRPr="00177FB9">
              <w:rPr>
                <w:rFonts w:ascii="Arial" w:eastAsia="Times New Roman" w:hAnsi="Arial" w:cs="Arial"/>
                <w:bCs/>
                <w:sz w:val="24"/>
                <w:szCs w:val="24"/>
                <w:lang w:val="en-GB" w:eastAsia="en-GB"/>
              </w:rPr>
              <w:t>Exchangeable Sodium Percentage (ESP)</w:t>
            </w:r>
          </w:p>
        </w:tc>
        <w:tc>
          <w:tcPr>
            <w:tcW w:w="4536" w:type="dxa"/>
            <w:tcBorders>
              <w:top w:val="single" w:sz="4" w:space="0" w:color="auto"/>
              <w:bottom w:val="single" w:sz="4" w:space="0" w:color="auto"/>
            </w:tcBorders>
            <w:vAlign w:val="center"/>
          </w:tcPr>
          <w:p w14:paraId="5FBF9B2E" w14:textId="77777777" w:rsidR="00177FB9" w:rsidRPr="00177FB9" w:rsidRDefault="00177FB9" w:rsidP="00C104CA">
            <w:pPr>
              <w:spacing w:after="0" w:line="240" w:lineRule="auto"/>
              <w:jc w:val="center"/>
              <w:rPr>
                <w:rFonts w:ascii="Arial" w:eastAsia="Times New Roman" w:hAnsi="Arial" w:cs="Arial"/>
                <w:sz w:val="24"/>
                <w:szCs w:val="24"/>
                <w:lang w:val="en-GB" w:eastAsia="en-GB"/>
              </w:rPr>
            </w:pPr>
          </w:p>
          <w:p w14:paraId="54B1156B" w14:textId="77777777" w:rsidR="00177FB9" w:rsidRPr="00177FB9" w:rsidRDefault="00177FB9" w:rsidP="00C104CA">
            <w:pPr>
              <w:spacing w:after="0" w:line="240" w:lineRule="auto"/>
              <w:jc w:val="center"/>
              <w:rPr>
                <w:rFonts w:ascii="Arial" w:eastAsia="Times New Roman" w:hAnsi="Arial" w:cs="Arial"/>
                <w:sz w:val="24"/>
                <w:szCs w:val="24"/>
                <w:lang w:val="en-GB" w:eastAsia="en-GB"/>
              </w:rPr>
            </w:pPr>
            <w:r w:rsidRPr="00177FB9">
              <w:rPr>
                <w:rFonts w:ascii="Arial" w:eastAsia="Times New Roman" w:hAnsi="Arial" w:cs="Arial"/>
                <w:noProof/>
                <w:sz w:val="24"/>
                <w:szCs w:val="24"/>
                <w:lang w:eastAsia="en-US"/>
              </w:rPr>
              <w:drawing>
                <wp:inline distT="0" distB="0" distL="0" distR="0" wp14:anchorId="1C2FB111" wp14:editId="6CA8A261">
                  <wp:extent cx="1633855" cy="55499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3855" cy="554990"/>
                          </a:xfrm>
                          <a:prstGeom prst="rect">
                            <a:avLst/>
                          </a:prstGeom>
                          <a:noFill/>
                        </pic:spPr>
                      </pic:pic>
                    </a:graphicData>
                  </a:graphic>
                </wp:inline>
              </w:drawing>
            </w:r>
          </w:p>
          <w:p w14:paraId="288F7E51" w14:textId="77777777" w:rsidR="00177FB9" w:rsidRPr="00177FB9" w:rsidRDefault="00177FB9" w:rsidP="00C104CA">
            <w:pPr>
              <w:spacing w:after="0" w:line="240" w:lineRule="auto"/>
              <w:jc w:val="center"/>
              <w:rPr>
                <w:rFonts w:ascii="Arial" w:eastAsia="Times New Roman" w:hAnsi="Arial" w:cs="Arial"/>
                <w:sz w:val="24"/>
                <w:szCs w:val="24"/>
                <w:lang w:val="en-GB" w:eastAsia="en-GB"/>
              </w:rPr>
            </w:pPr>
          </w:p>
          <w:p w14:paraId="23EDB81A" w14:textId="77777777" w:rsidR="00177FB9" w:rsidRPr="00177FB9" w:rsidRDefault="00177FB9" w:rsidP="00C104CA">
            <w:pPr>
              <w:spacing w:after="0" w:line="240" w:lineRule="auto"/>
              <w:jc w:val="center"/>
              <w:rPr>
                <w:rFonts w:ascii="Arial" w:eastAsia="Times New Roman" w:hAnsi="Arial" w:cs="Arial"/>
                <w:sz w:val="24"/>
                <w:szCs w:val="24"/>
                <w:lang w:val="en-GB" w:eastAsia="en-GB"/>
              </w:rPr>
            </w:pPr>
          </w:p>
          <w:p w14:paraId="71BC8CA4" w14:textId="77777777" w:rsidR="00177FB9" w:rsidRPr="00177FB9" w:rsidRDefault="00177FB9" w:rsidP="00C104CA">
            <w:pPr>
              <w:spacing w:after="0" w:line="240" w:lineRule="auto"/>
              <w:jc w:val="center"/>
              <w:rPr>
                <w:rFonts w:ascii="Arial" w:eastAsia="Times New Roman" w:hAnsi="Arial" w:cs="Arial"/>
                <w:sz w:val="24"/>
                <w:szCs w:val="24"/>
                <w:lang w:val="en-GB" w:eastAsia="en-GB"/>
              </w:rPr>
            </w:pPr>
          </w:p>
          <w:p w14:paraId="696C6F8E" w14:textId="77777777" w:rsidR="00177FB9" w:rsidRPr="00177FB9" w:rsidRDefault="00177FB9" w:rsidP="00C104CA">
            <w:pPr>
              <w:spacing w:after="83" w:line="246" w:lineRule="auto"/>
              <w:ind w:left="275" w:hanging="10"/>
              <w:jc w:val="center"/>
              <w:rPr>
                <w:rFonts w:ascii="Arial" w:eastAsia="Century Gothic" w:hAnsi="Arial" w:cs="Arial"/>
                <w:color w:val="000000"/>
                <w:sz w:val="24"/>
                <w:szCs w:val="24"/>
                <w:lang w:eastAsia="en-US"/>
              </w:rPr>
            </w:pPr>
            <w:r w:rsidRPr="00177FB9">
              <w:rPr>
                <w:rFonts w:ascii="Arial" w:eastAsia="Calibri" w:hAnsi="Arial" w:cs="Arial"/>
                <w:noProof/>
                <w:color w:val="000000"/>
                <w:position w:val="-21"/>
                <w:sz w:val="24"/>
                <w:szCs w:val="24"/>
                <w:lang w:eastAsia="en-US"/>
              </w:rPr>
              <w:drawing>
                <wp:inline distT="0" distB="0" distL="0" distR="0" wp14:anchorId="1C6A4ED6" wp14:editId="355F3B4A">
                  <wp:extent cx="1927860" cy="36195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93892" name="Picture 93892"/>
                          <pic:cNvPicPr/>
                        </pic:nvPicPr>
                        <pic:blipFill>
                          <a:blip r:embed="rId9"/>
                          <a:stretch>
                            <a:fillRect/>
                          </a:stretch>
                        </pic:blipFill>
                        <pic:spPr>
                          <a:xfrm>
                            <a:off x="0" y="0"/>
                            <a:ext cx="1927860" cy="361950"/>
                          </a:xfrm>
                          <a:prstGeom prst="rect">
                            <a:avLst/>
                          </a:prstGeom>
                        </pic:spPr>
                      </pic:pic>
                    </a:graphicData>
                  </a:graphic>
                </wp:inline>
              </w:drawing>
            </w:r>
            <w:r w:rsidRPr="00177FB9">
              <w:rPr>
                <w:rFonts w:ascii="Arial" w:eastAsia="Century Gothic" w:hAnsi="Arial" w:cs="Arial"/>
                <w:color w:val="000000"/>
                <w:sz w:val="24"/>
                <w:szCs w:val="24"/>
                <w:lang w:eastAsia="en-US"/>
              </w:rPr>
              <w:t xml:space="preserve">% </w:t>
            </w:r>
          </w:p>
        </w:tc>
        <w:tc>
          <w:tcPr>
            <w:tcW w:w="4536" w:type="dxa"/>
            <w:gridSpan w:val="2"/>
            <w:tcBorders>
              <w:top w:val="single" w:sz="4" w:space="0" w:color="auto"/>
              <w:bottom w:val="single" w:sz="4" w:space="0" w:color="auto"/>
            </w:tcBorders>
          </w:tcPr>
          <w:p w14:paraId="00007DB8" w14:textId="77777777" w:rsidR="00177FB9" w:rsidRPr="00177FB9" w:rsidRDefault="00177FB9" w:rsidP="00C104CA">
            <w:pPr>
              <w:spacing w:after="0" w:line="240" w:lineRule="auto"/>
              <w:ind w:left="30" w:right="-80"/>
              <w:jc w:val="both"/>
              <w:rPr>
                <w:rFonts w:ascii="Arial" w:eastAsia="Times New Roman" w:hAnsi="Arial" w:cs="Arial"/>
                <w:sz w:val="24"/>
                <w:szCs w:val="24"/>
                <w:lang w:eastAsia="en-GB"/>
              </w:rPr>
            </w:pPr>
          </w:p>
          <w:p w14:paraId="2DE3BB3C" w14:textId="77777777" w:rsidR="00177FB9" w:rsidRPr="00177FB9" w:rsidRDefault="00177FB9" w:rsidP="00C104CA">
            <w:pPr>
              <w:spacing w:after="0" w:line="240" w:lineRule="auto"/>
              <w:ind w:left="30" w:right="-80"/>
              <w:jc w:val="both"/>
              <w:rPr>
                <w:rFonts w:ascii="Arial" w:eastAsia="Times New Roman" w:hAnsi="Arial" w:cs="Arial"/>
                <w:sz w:val="24"/>
                <w:szCs w:val="24"/>
                <w:lang w:eastAsia="en-GB"/>
              </w:rPr>
            </w:pPr>
            <w:r w:rsidRPr="00177FB9">
              <w:rPr>
                <w:rFonts w:ascii="Arial" w:eastAsia="Times New Roman" w:hAnsi="Arial" w:cs="Arial"/>
                <w:sz w:val="24"/>
                <w:szCs w:val="24"/>
                <w:lang w:eastAsia="en-GB"/>
              </w:rPr>
              <w:t>Where Na, Ca and Mg are milli equivalents/</w:t>
            </w:r>
            <w:proofErr w:type="spellStart"/>
            <w:r w:rsidRPr="00177FB9">
              <w:rPr>
                <w:rFonts w:ascii="Arial" w:eastAsia="Times New Roman" w:hAnsi="Arial" w:cs="Arial"/>
                <w:sz w:val="24"/>
                <w:szCs w:val="24"/>
                <w:lang w:eastAsia="en-GB"/>
              </w:rPr>
              <w:t>litre</w:t>
            </w:r>
            <w:proofErr w:type="spellEnd"/>
            <w:r w:rsidRPr="00177FB9">
              <w:rPr>
                <w:rFonts w:ascii="Arial" w:eastAsia="Times New Roman" w:hAnsi="Arial" w:cs="Arial"/>
                <w:sz w:val="24"/>
                <w:szCs w:val="24"/>
                <w:lang w:eastAsia="en-GB"/>
              </w:rPr>
              <w:t xml:space="preserve"> (</w:t>
            </w:r>
            <w:proofErr w:type="spellStart"/>
            <w:r w:rsidRPr="00177FB9">
              <w:rPr>
                <w:rFonts w:ascii="Arial" w:eastAsia="Times New Roman" w:hAnsi="Arial" w:cs="Arial"/>
                <w:sz w:val="24"/>
                <w:szCs w:val="24"/>
                <w:lang w:eastAsia="en-GB"/>
              </w:rPr>
              <w:t>meq</w:t>
            </w:r>
            <w:proofErr w:type="spellEnd"/>
            <w:r w:rsidRPr="00177FB9">
              <w:rPr>
                <w:rFonts w:ascii="Arial" w:eastAsia="Times New Roman" w:hAnsi="Arial" w:cs="Arial"/>
                <w:sz w:val="24"/>
                <w:szCs w:val="24"/>
                <w:lang w:eastAsia="en-GB"/>
              </w:rPr>
              <w:t xml:space="preserve">/L) </w:t>
            </w:r>
          </w:p>
          <w:p w14:paraId="1492B9E7" w14:textId="77777777" w:rsidR="00177FB9" w:rsidRPr="00177FB9" w:rsidRDefault="00177FB9" w:rsidP="00C104CA">
            <w:pPr>
              <w:spacing w:after="0" w:line="240" w:lineRule="auto"/>
              <w:ind w:left="30" w:right="-80"/>
              <w:jc w:val="both"/>
              <w:rPr>
                <w:rFonts w:ascii="Arial" w:eastAsia="Times New Roman" w:hAnsi="Arial" w:cs="Arial"/>
                <w:sz w:val="24"/>
                <w:szCs w:val="24"/>
                <w:lang w:eastAsia="en-GB"/>
              </w:rPr>
            </w:pPr>
          </w:p>
          <w:p w14:paraId="5BF290A8" w14:textId="77777777" w:rsidR="00177FB9" w:rsidRPr="00177FB9" w:rsidRDefault="00177FB9" w:rsidP="00C104CA">
            <w:pPr>
              <w:spacing w:after="0" w:line="240" w:lineRule="auto"/>
              <w:ind w:left="30" w:right="-80"/>
              <w:jc w:val="both"/>
              <w:rPr>
                <w:rFonts w:ascii="Arial" w:eastAsia="Times New Roman" w:hAnsi="Arial" w:cs="Arial"/>
                <w:sz w:val="24"/>
                <w:szCs w:val="24"/>
                <w:lang w:val="en-GB" w:eastAsia="en-GB"/>
              </w:rPr>
            </w:pPr>
          </w:p>
        </w:tc>
        <w:tc>
          <w:tcPr>
            <w:tcW w:w="284" w:type="dxa"/>
            <w:gridSpan w:val="2"/>
            <w:vMerge w:val="restart"/>
            <w:tcBorders>
              <w:top w:val="single" w:sz="4" w:space="0" w:color="auto"/>
            </w:tcBorders>
            <w:vAlign w:val="center"/>
          </w:tcPr>
          <w:p w14:paraId="03A470A6" w14:textId="77777777" w:rsidR="00177FB9" w:rsidRPr="00177FB9" w:rsidRDefault="00177FB9" w:rsidP="00C104CA">
            <w:pPr>
              <w:spacing w:after="0" w:line="360" w:lineRule="auto"/>
              <w:jc w:val="both"/>
              <w:rPr>
                <w:rFonts w:ascii="Arial" w:eastAsia="Calibri" w:hAnsi="Arial" w:cs="Arial"/>
                <w:b/>
                <w:bCs/>
                <w:sz w:val="24"/>
                <w:szCs w:val="24"/>
                <w:lang w:val="fr-FR" w:eastAsia="en-US"/>
              </w:rPr>
            </w:pPr>
          </w:p>
        </w:tc>
      </w:tr>
      <w:tr w:rsidR="00177FB9" w:rsidRPr="00177FB9" w14:paraId="5193082B" w14:textId="77777777" w:rsidTr="000C6661">
        <w:tc>
          <w:tcPr>
            <w:tcW w:w="284" w:type="dxa"/>
            <w:vMerge/>
            <w:vAlign w:val="center"/>
          </w:tcPr>
          <w:p w14:paraId="5FFEAF5A" w14:textId="77777777" w:rsidR="00177FB9" w:rsidRPr="00177FB9" w:rsidRDefault="00177FB9" w:rsidP="00C104CA">
            <w:pPr>
              <w:spacing w:after="0" w:line="240" w:lineRule="auto"/>
              <w:jc w:val="center"/>
              <w:rPr>
                <w:rFonts w:ascii="Arial" w:eastAsia="Times New Roman" w:hAnsi="Arial" w:cs="Arial"/>
                <w:sz w:val="24"/>
                <w:szCs w:val="24"/>
                <w:lang w:val="fr-FR" w:eastAsia="en-GB"/>
              </w:rPr>
            </w:pPr>
          </w:p>
        </w:tc>
        <w:tc>
          <w:tcPr>
            <w:tcW w:w="992" w:type="dxa"/>
            <w:tcBorders>
              <w:top w:val="single" w:sz="4" w:space="0" w:color="auto"/>
              <w:bottom w:val="single" w:sz="4" w:space="0" w:color="auto"/>
            </w:tcBorders>
            <w:vAlign w:val="center"/>
          </w:tcPr>
          <w:p w14:paraId="4899EBB5" w14:textId="77777777" w:rsidR="00177FB9" w:rsidRPr="00177FB9" w:rsidRDefault="00177FB9" w:rsidP="00C104CA">
            <w:pPr>
              <w:spacing w:after="0" w:line="240" w:lineRule="auto"/>
              <w:ind w:right="-100"/>
              <w:jc w:val="center"/>
              <w:rPr>
                <w:rFonts w:ascii="Arial" w:eastAsia="Times New Roman" w:hAnsi="Arial" w:cs="Arial"/>
                <w:bCs/>
                <w:sz w:val="24"/>
                <w:szCs w:val="24"/>
                <w:lang w:val="en-GB" w:eastAsia="en-GB"/>
              </w:rPr>
            </w:pPr>
            <w:r w:rsidRPr="00177FB9">
              <w:rPr>
                <w:rFonts w:ascii="Arial" w:eastAsia="Times New Roman" w:hAnsi="Arial" w:cs="Arial"/>
                <w:bCs/>
                <w:sz w:val="24"/>
                <w:szCs w:val="24"/>
                <w:lang w:val="en-GB" w:eastAsia="en-GB"/>
              </w:rPr>
              <w:t>Soil Organic Carbon (SOC</w:t>
            </w:r>
            <w:r w:rsidRPr="00177FB9">
              <w:rPr>
                <w:rFonts w:ascii="Arial" w:eastAsia="Times New Roman" w:hAnsi="Arial" w:cs="Arial"/>
                <w:bCs/>
                <w:sz w:val="24"/>
                <w:szCs w:val="24"/>
                <w:vertAlign w:val="subscript"/>
                <w:lang w:val="en-GB" w:eastAsia="en-GB"/>
              </w:rPr>
              <w:t>%</w:t>
            </w:r>
            <w:r w:rsidRPr="00177FB9">
              <w:rPr>
                <w:rFonts w:ascii="Arial" w:eastAsia="Times New Roman" w:hAnsi="Arial" w:cs="Arial"/>
                <w:bCs/>
                <w:sz w:val="24"/>
                <w:szCs w:val="24"/>
                <w:lang w:val="en-GB" w:eastAsia="en-GB"/>
              </w:rPr>
              <w:t>)</w:t>
            </w:r>
          </w:p>
        </w:tc>
        <w:tc>
          <w:tcPr>
            <w:tcW w:w="4536" w:type="dxa"/>
            <w:tcBorders>
              <w:top w:val="single" w:sz="4" w:space="0" w:color="auto"/>
              <w:bottom w:val="single" w:sz="4" w:space="0" w:color="auto"/>
            </w:tcBorders>
            <w:vAlign w:val="center"/>
          </w:tcPr>
          <w:p w14:paraId="53F45AB1" w14:textId="77777777" w:rsidR="00177FB9" w:rsidRPr="00177FB9" w:rsidRDefault="00177FB9" w:rsidP="00C104CA">
            <w:pPr>
              <w:spacing w:line="240" w:lineRule="auto"/>
              <w:rPr>
                <w:rFonts w:ascii="Arial" w:eastAsia="Times New Roman" w:hAnsi="Arial" w:cs="Arial"/>
                <w:sz w:val="24"/>
                <w:szCs w:val="24"/>
              </w:rPr>
            </w:pPr>
          </w:p>
          <w:p w14:paraId="60480D45" w14:textId="77777777" w:rsidR="00177FB9" w:rsidRPr="00666A9E" w:rsidRDefault="00177FB9" w:rsidP="00C104CA">
            <w:pPr>
              <w:spacing w:line="240" w:lineRule="auto"/>
              <w:ind w:left="50"/>
              <w:rPr>
                <w:rFonts w:ascii="Arial" w:hAnsi="Arial" w:cs="Arial"/>
                <w:sz w:val="20"/>
                <w:szCs w:val="20"/>
              </w:rPr>
            </w:pPr>
            <m:oMathPara>
              <m:oMath>
                <m:r>
                  <m:rPr>
                    <m:sty m:val="p"/>
                  </m:rPr>
                  <w:rPr>
                    <w:rFonts w:ascii="Cambria Math" w:hAnsi="Cambria Math" w:cs="Arial"/>
                    <w:sz w:val="20"/>
                    <w:szCs w:val="20"/>
                  </w:rPr>
                  <m:t>%OC=</m:t>
                </m:r>
                <m:f>
                  <m:fPr>
                    <m:ctrlPr>
                      <w:rPr>
                        <w:rFonts w:ascii="Cambria Math" w:hAnsi="Cambria Math" w:cs="Arial"/>
                        <w:sz w:val="20"/>
                        <w:szCs w:val="20"/>
                      </w:rPr>
                    </m:ctrlPr>
                  </m:fPr>
                  <m:num>
                    <m:sSub>
                      <m:sSubPr>
                        <m:ctrlPr>
                          <w:rPr>
                            <w:rFonts w:ascii="Cambria Math" w:hAnsi="Cambria Math" w:cs="Arial"/>
                            <w:sz w:val="20"/>
                            <w:szCs w:val="20"/>
                          </w:rPr>
                        </m:ctrlPr>
                      </m:sSubPr>
                      <m:e>
                        <m:r>
                          <w:rPr>
                            <w:rFonts w:ascii="Cambria Math" w:hAnsi="Cambria Math" w:cs="Arial"/>
                            <w:sz w:val="20"/>
                            <w:szCs w:val="20"/>
                          </w:rPr>
                          <m:t>W(V</m:t>
                        </m:r>
                      </m:e>
                      <m:sub>
                        <m:r>
                          <w:rPr>
                            <w:rFonts w:ascii="Cambria Math" w:hAnsi="Cambria Math" w:cs="Arial"/>
                            <w:sz w:val="20"/>
                            <w:szCs w:val="20"/>
                          </w:rPr>
                          <m:t>b</m:t>
                        </m:r>
                      </m:sub>
                    </m:sSub>
                    <m: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V</m:t>
                        </m:r>
                      </m:e>
                      <m:sub>
                        <m:r>
                          <w:rPr>
                            <w:rFonts w:ascii="Cambria Math" w:hAnsi="Cambria Math" w:cs="Arial"/>
                            <w:sz w:val="20"/>
                            <w:szCs w:val="20"/>
                          </w:rPr>
                          <m:t>s</m:t>
                        </m:r>
                      </m:sub>
                    </m:sSub>
                    <m:r>
                      <w:rPr>
                        <w:rFonts w:ascii="Cambria Math" w:hAnsi="Cambria Math" w:cs="Arial"/>
                        <w:sz w:val="20"/>
                        <w:szCs w:val="20"/>
                      </w:rPr>
                      <m:t xml:space="preserve">) </m:t>
                    </m:r>
                    <m:r>
                      <m:rPr>
                        <m:sty m:val="p"/>
                      </m:rPr>
                      <w:rPr>
                        <w:rFonts w:ascii="Cambria Math" w:eastAsia="Times New Roman" w:hAnsi="Cambria Math" w:cs="Arial"/>
                        <w:sz w:val="20"/>
                        <w:szCs w:val="20"/>
                        <w:lang w:eastAsia="en-US"/>
                      </w:rPr>
                      <m:t>×M×0.003×100×f×mfc</m:t>
                    </m:r>
                  </m:num>
                  <m:den>
                    <m:r>
                      <w:rPr>
                        <w:rFonts w:ascii="Cambria Math" w:hAnsi="Cambria Math" w:cs="Arial"/>
                        <w:sz w:val="20"/>
                        <w:szCs w:val="20"/>
                      </w:rPr>
                      <m:t>W</m:t>
                    </m:r>
                  </m:den>
                </m:f>
              </m:oMath>
            </m:oMathPara>
          </w:p>
          <w:p w14:paraId="4731E928" w14:textId="77777777" w:rsidR="00177FB9" w:rsidRPr="00177FB9" w:rsidRDefault="00177FB9" w:rsidP="00C104CA">
            <w:pPr>
              <w:spacing w:line="240" w:lineRule="auto"/>
              <w:ind w:left="50"/>
              <w:rPr>
                <w:rFonts w:ascii="Arial" w:hAnsi="Arial" w:cs="Arial"/>
                <w:sz w:val="24"/>
                <w:szCs w:val="24"/>
              </w:rPr>
            </w:pPr>
          </w:p>
          <w:p w14:paraId="60CA7C3F" w14:textId="77777777" w:rsidR="00177FB9" w:rsidRPr="00177FB9" w:rsidRDefault="00177FB9" w:rsidP="00C104CA">
            <w:pPr>
              <w:spacing w:after="0" w:line="240" w:lineRule="auto"/>
              <w:jc w:val="center"/>
              <w:rPr>
                <w:rFonts w:ascii="Arial" w:eastAsia="Times New Roman" w:hAnsi="Arial" w:cs="Arial"/>
                <w:sz w:val="24"/>
                <w:szCs w:val="24"/>
                <w:lang w:val="en-GB" w:eastAsia="en-GB"/>
              </w:rPr>
            </w:pPr>
          </w:p>
        </w:tc>
        <w:tc>
          <w:tcPr>
            <w:tcW w:w="4536" w:type="dxa"/>
            <w:gridSpan w:val="2"/>
            <w:tcBorders>
              <w:top w:val="single" w:sz="4" w:space="0" w:color="auto"/>
              <w:bottom w:val="single" w:sz="4" w:space="0" w:color="auto"/>
            </w:tcBorders>
          </w:tcPr>
          <w:p w14:paraId="530D591F" w14:textId="77777777" w:rsidR="00177FB9" w:rsidRPr="00177FB9" w:rsidRDefault="00177FB9" w:rsidP="00C104CA">
            <w:pPr>
              <w:pStyle w:val="my-2"/>
              <w:spacing w:before="0" w:beforeAutospacing="0" w:after="0" w:afterAutospacing="0"/>
              <w:jc w:val="both"/>
              <w:rPr>
                <w:rStyle w:val="mord"/>
                <w:rFonts w:ascii="Arial" w:hAnsi="Arial" w:cs="Arial"/>
                <w:b/>
              </w:rPr>
            </w:pPr>
          </w:p>
          <w:p w14:paraId="4220EB1B" w14:textId="77777777" w:rsidR="00177FB9" w:rsidRPr="00177FB9" w:rsidRDefault="00177FB9" w:rsidP="00C104CA">
            <w:pPr>
              <w:pStyle w:val="my-2"/>
              <w:spacing w:before="0" w:beforeAutospacing="0" w:after="0" w:afterAutospacing="0"/>
              <w:jc w:val="both"/>
              <w:rPr>
                <w:rFonts w:ascii="Arial" w:hAnsi="Arial" w:cs="Arial"/>
              </w:rPr>
            </w:pPr>
            <w:r w:rsidRPr="00177FB9">
              <w:rPr>
                <w:rStyle w:val="mord"/>
                <w:rFonts w:ascii="Arial" w:hAnsi="Arial" w:cs="Arial"/>
                <w:b/>
              </w:rPr>
              <w:t>%OC</w:t>
            </w:r>
            <w:r w:rsidRPr="00177FB9">
              <w:rPr>
                <w:rFonts w:ascii="Arial" w:hAnsi="Arial" w:cs="Arial"/>
              </w:rPr>
              <w:t xml:space="preserve"> = percentage organic carbon in the soil sample</w:t>
            </w:r>
          </w:p>
          <w:p w14:paraId="03E8336B" w14:textId="77777777" w:rsidR="00177FB9" w:rsidRPr="00177FB9" w:rsidRDefault="00177FB9" w:rsidP="00C104CA">
            <w:pPr>
              <w:pStyle w:val="my-2"/>
              <w:spacing w:before="0" w:beforeAutospacing="0" w:after="0" w:afterAutospacing="0"/>
              <w:jc w:val="both"/>
              <w:rPr>
                <w:rFonts w:ascii="Arial" w:hAnsi="Arial" w:cs="Arial"/>
              </w:rPr>
            </w:pPr>
          </w:p>
          <w:p w14:paraId="7E0943B8" w14:textId="77777777" w:rsidR="00177FB9" w:rsidRPr="00177FB9" w:rsidRDefault="00177FB9" w:rsidP="00C104CA">
            <w:pPr>
              <w:pStyle w:val="my-2"/>
              <w:spacing w:before="0" w:beforeAutospacing="0" w:after="0" w:afterAutospacing="0"/>
              <w:jc w:val="both"/>
              <w:rPr>
                <w:rFonts w:ascii="Arial" w:hAnsi="Arial" w:cs="Arial"/>
              </w:rPr>
            </w:pPr>
            <w:proofErr w:type="spellStart"/>
            <w:r w:rsidRPr="00177FB9">
              <w:rPr>
                <w:rStyle w:val="katex-mathml"/>
                <w:rFonts w:ascii="Arial" w:hAnsi="Arial" w:cs="Arial"/>
                <w:b/>
              </w:rPr>
              <w:t>Vb</w:t>
            </w:r>
            <w:proofErr w:type="spellEnd"/>
            <w:r w:rsidRPr="00177FB9">
              <w:rPr>
                <w:rStyle w:val="vlist-s"/>
                <w:rFonts w:ascii="Arial" w:hAnsi="Arial" w:cs="Arial"/>
                <w:b/>
              </w:rPr>
              <w:t>​</w:t>
            </w:r>
            <w:r w:rsidRPr="00177FB9">
              <w:rPr>
                <w:rFonts w:ascii="Arial" w:hAnsi="Arial" w:cs="Arial"/>
              </w:rPr>
              <w:t xml:space="preserve"> = volume of titrant used for the blank</w:t>
            </w:r>
          </w:p>
          <w:p w14:paraId="4477DE5B" w14:textId="77777777" w:rsidR="00177FB9" w:rsidRPr="00177FB9" w:rsidRDefault="00177FB9" w:rsidP="00C104CA">
            <w:pPr>
              <w:pStyle w:val="my-2"/>
              <w:spacing w:before="0" w:beforeAutospacing="0" w:after="0" w:afterAutospacing="0"/>
              <w:jc w:val="both"/>
              <w:rPr>
                <w:rFonts w:ascii="Arial" w:hAnsi="Arial" w:cs="Arial"/>
              </w:rPr>
            </w:pPr>
          </w:p>
          <w:p w14:paraId="459A3448" w14:textId="77777777" w:rsidR="00177FB9" w:rsidRPr="00177FB9" w:rsidRDefault="00177FB9" w:rsidP="00C104CA">
            <w:pPr>
              <w:pStyle w:val="my-2"/>
              <w:spacing w:before="0" w:beforeAutospacing="0" w:after="0" w:afterAutospacing="0" w:line="360" w:lineRule="auto"/>
              <w:jc w:val="both"/>
              <w:rPr>
                <w:rFonts w:ascii="Arial" w:hAnsi="Arial" w:cs="Arial"/>
              </w:rPr>
            </w:pPr>
            <w:r w:rsidRPr="00177FB9">
              <w:rPr>
                <w:rStyle w:val="katex-mathml"/>
                <w:rFonts w:ascii="Arial" w:hAnsi="Arial" w:cs="Arial"/>
                <w:b/>
              </w:rPr>
              <w:t>Vs</w:t>
            </w:r>
            <w:r w:rsidRPr="00177FB9">
              <w:rPr>
                <w:rStyle w:val="vlist-s"/>
                <w:rFonts w:ascii="Arial" w:hAnsi="Arial" w:cs="Arial"/>
              </w:rPr>
              <w:t>​</w:t>
            </w:r>
            <w:r w:rsidRPr="00177FB9">
              <w:rPr>
                <w:rFonts w:ascii="Arial" w:hAnsi="Arial" w:cs="Arial"/>
              </w:rPr>
              <w:t xml:space="preserve"> = volume of titrant used for the sample</w:t>
            </w:r>
          </w:p>
          <w:p w14:paraId="47D48539" w14:textId="77777777" w:rsidR="00177FB9" w:rsidRPr="00177FB9" w:rsidRDefault="00177FB9" w:rsidP="00C104CA">
            <w:pPr>
              <w:pStyle w:val="my-2"/>
              <w:spacing w:before="0" w:beforeAutospacing="0" w:after="0" w:afterAutospacing="0"/>
              <w:jc w:val="both"/>
              <w:rPr>
                <w:rFonts w:ascii="Arial" w:hAnsi="Arial" w:cs="Arial"/>
              </w:rPr>
            </w:pPr>
            <w:r w:rsidRPr="00177FB9">
              <w:rPr>
                <w:rStyle w:val="katex-mathml"/>
                <w:rFonts w:ascii="Arial" w:hAnsi="Arial" w:cs="Arial"/>
                <w:b/>
              </w:rPr>
              <w:t>M</w:t>
            </w:r>
            <w:r w:rsidRPr="00177FB9">
              <w:rPr>
                <w:rFonts w:ascii="Arial" w:hAnsi="Arial" w:cs="Arial"/>
              </w:rPr>
              <w:t>= molarity of standardized ferrous ammonium sulfate or ferrous sulfate</w:t>
            </w:r>
          </w:p>
          <w:p w14:paraId="3F07B818" w14:textId="77777777" w:rsidR="00177FB9" w:rsidRPr="00177FB9" w:rsidRDefault="00177FB9" w:rsidP="00C104CA">
            <w:pPr>
              <w:pStyle w:val="my-2"/>
              <w:spacing w:before="0" w:beforeAutospacing="0" w:after="0" w:afterAutospacing="0"/>
              <w:jc w:val="both"/>
              <w:rPr>
                <w:rFonts w:ascii="Arial" w:hAnsi="Arial" w:cs="Arial"/>
              </w:rPr>
            </w:pPr>
          </w:p>
          <w:p w14:paraId="262E4923" w14:textId="77777777" w:rsidR="00177FB9" w:rsidRPr="00177FB9" w:rsidRDefault="00177FB9" w:rsidP="00C104CA">
            <w:pPr>
              <w:pStyle w:val="my-2"/>
              <w:spacing w:before="0" w:beforeAutospacing="0" w:after="0" w:afterAutospacing="0" w:line="360" w:lineRule="auto"/>
              <w:jc w:val="both"/>
              <w:rPr>
                <w:rFonts w:ascii="Arial" w:hAnsi="Arial" w:cs="Arial"/>
              </w:rPr>
            </w:pPr>
            <w:r w:rsidRPr="00177FB9">
              <w:rPr>
                <w:rStyle w:val="mord"/>
                <w:rFonts w:ascii="Arial" w:hAnsi="Arial" w:cs="Arial"/>
              </w:rPr>
              <w:t>0.003</w:t>
            </w:r>
            <w:r w:rsidRPr="00177FB9">
              <w:rPr>
                <w:rFonts w:ascii="Arial" w:hAnsi="Arial" w:cs="Arial"/>
              </w:rPr>
              <w:t xml:space="preserve"> = carbon equivalent of 1 mL of 1 N dichromate, in grams of C</w:t>
            </w:r>
          </w:p>
          <w:p w14:paraId="58B88414" w14:textId="77777777" w:rsidR="00177FB9" w:rsidRPr="00177FB9" w:rsidRDefault="00177FB9" w:rsidP="00C104CA">
            <w:pPr>
              <w:pStyle w:val="my-2"/>
              <w:spacing w:before="0" w:beforeAutospacing="0" w:after="0" w:afterAutospacing="0" w:line="360" w:lineRule="auto"/>
              <w:jc w:val="both"/>
              <w:rPr>
                <w:rFonts w:ascii="Arial" w:hAnsi="Arial" w:cs="Arial"/>
              </w:rPr>
            </w:pPr>
            <w:r w:rsidRPr="00177FB9">
              <w:rPr>
                <w:rStyle w:val="mord"/>
                <w:rFonts w:ascii="Arial" w:hAnsi="Arial" w:cs="Arial"/>
                <w:b/>
              </w:rPr>
              <w:t>f</w:t>
            </w:r>
            <w:r w:rsidRPr="00177FB9">
              <w:rPr>
                <w:rFonts w:ascii="Arial" w:hAnsi="Arial" w:cs="Arial"/>
                <w:b/>
              </w:rPr>
              <w:t xml:space="preserve"> </w:t>
            </w:r>
            <w:r w:rsidRPr="00177FB9">
              <w:rPr>
                <w:rFonts w:ascii="Arial" w:hAnsi="Arial" w:cs="Arial"/>
              </w:rPr>
              <w:t>= correction or recovery factor</w:t>
            </w:r>
          </w:p>
          <w:p w14:paraId="39AFCE3B" w14:textId="77777777" w:rsidR="00177FB9" w:rsidRPr="00177FB9" w:rsidRDefault="00177FB9" w:rsidP="00C104CA">
            <w:pPr>
              <w:pStyle w:val="my-2"/>
              <w:spacing w:before="0" w:beforeAutospacing="0" w:after="0" w:afterAutospacing="0" w:line="360" w:lineRule="auto"/>
              <w:jc w:val="both"/>
              <w:rPr>
                <w:rFonts w:ascii="Arial" w:hAnsi="Arial" w:cs="Arial"/>
              </w:rPr>
            </w:pPr>
            <w:r w:rsidRPr="00177FB9">
              <w:rPr>
                <w:rStyle w:val="katex-mathml"/>
                <w:rFonts w:ascii="Arial" w:hAnsi="Arial" w:cs="Arial"/>
                <w:b/>
              </w:rPr>
              <w:t>mcf</w:t>
            </w:r>
            <w:r w:rsidRPr="00177FB9">
              <w:rPr>
                <w:rFonts w:ascii="Arial" w:hAnsi="Arial" w:cs="Arial"/>
                <w:b/>
              </w:rPr>
              <w:t xml:space="preserve"> </w:t>
            </w:r>
            <w:r w:rsidRPr="00177FB9">
              <w:rPr>
                <w:rFonts w:ascii="Arial" w:hAnsi="Arial" w:cs="Arial"/>
              </w:rPr>
              <w:t>= moisture correction factor</w:t>
            </w:r>
          </w:p>
          <w:p w14:paraId="2887748B" w14:textId="77777777" w:rsidR="00177FB9" w:rsidRPr="00177FB9" w:rsidRDefault="00177FB9" w:rsidP="00C104CA">
            <w:pPr>
              <w:pStyle w:val="my-2"/>
              <w:spacing w:before="0" w:beforeAutospacing="0" w:after="0" w:afterAutospacing="0" w:line="360" w:lineRule="auto"/>
              <w:jc w:val="both"/>
              <w:rPr>
                <w:rFonts w:ascii="Arial" w:hAnsi="Arial" w:cs="Arial"/>
              </w:rPr>
            </w:pPr>
            <w:r w:rsidRPr="00177FB9">
              <w:rPr>
                <w:rStyle w:val="katex-mathml"/>
                <w:rFonts w:ascii="Arial" w:hAnsi="Arial" w:cs="Arial"/>
                <w:b/>
              </w:rPr>
              <w:t>W</w:t>
            </w:r>
            <w:r w:rsidRPr="00177FB9">
              <w:rPr>
                <w:rFonts w:ascii="Arial" w:hAnsi="Arial" w:cs="Arial"/>
              </w:rPr>
              <w:t>= weight of soil sample, in grams</w:t>
            </w:r>
          </w:p>
        </w:tc>
        <w:tc>
          <w:tcPr>
            <w:tcW w:w="284" w:type="dxa"/>
            <w:gridSpan w:val="2"/>
            <w:vMerge/>
            <w:vAlign w:val="center"/>
          </w:tcPr>
          <w:p w14:paraId="6F8EBA6E" w14:textId="77777777" w:rsidR="00177FB9" w:rsidRPr="00177FB9" w:rsidRDefault="00177FB9" w:rsidP="00C104CA">
            <w:pPr>
              <w:spacing w:after="0" w:line="240" w:lineRule="auto"/>
              <w:jc w:val="center"/>
              <w:rPr>
                <w:rFonts w:ascii="Arial" w:eastAsia="Times New Roman" w:hAnsi="Arial" w:cs="Arial"/>
                <w:b/>
                <w:bCs/>
                <w:sz w:val="24"/>
                <w:szCs w:val="24"/>
                <w:lang w:val="en-GB" w:eastAsia="en-GB"/>
              </w:rPr>
            </w:pPr>
          </w:p>
        </w:tc>
      </w:tr>
      <w:tr w:rsidR="00177FB9" w:rsidRPr="00177FB9" w14:paraId="61B698C5" w14:textId="77777777" w:rsidTr="000C6661">
        <w:tc>
          <w:tcPr>
            <w:tcW w:w="284" w:type="dxa"/>
            <w:vMerge/>
            <w:vAlign w:val="center"/>
          </w:tcPr>
          <w:p w14:paraId="10AD3D5B" w14:textId="77777777" w:rsidR="00177FB9" w:rsidRPr="00177FB9" w:rsidRDefault="00177FB9" w:rsidP="00C104CA">
            <w:pPr>
              <w:spacing w:after="0" w:line="240" w:lineRule="auto"/>
              <w:jc w:val="center"/>
              <w:rPr>
                <w:rFonts w:ascii="Arial" w:eastAsia="Times New Roman" w:hAnsi="Arial" w:cs="Arial"/>
                <w:sz w:val="24"/>
                <w:szCs w:val="24"/>
                <w:lang w:val="en-GB" w:eastAsia="en-GB"/>
              </w:rPr>
            </w:pPr>
          </w:p>
        </w:tc>
        <w:tc>
          <w:tcPr>
            <w:tcW w:w="992" w:type="dxa"/>
            <w:tcBorders>
              <w:top w:val="single" w:sz="4" w:space="0" w:color="auto"/>
              <w:bottom w:val="single" w:sz="4" w:space="0" w:color="auto"/>
            </w:tcBorders>
            <w:vAlign w:val="center"/>
          </w:tcPr>
          <w:p w14:paraId="61177677" w14:textId="77777777" w:rsidR="00177FB9" w:rsidRPr="00177FB9" w:rsidRDefault="00177FB9" w:rsidP="00C104CA">
            <w:pPr>
              <w:spacing w:after="0" w:line="240" w:lineRule="auto"/>
              <w:ind w:left="-120" w:right="-100"/>
              <w:jc w:val="center"/>
              <w:rPr>
                <w:rFonts w:ascii="Arial" w:eastAsia="Times New Roman" w:hAnsi="Arial" w:cs="Arial"/>
                <w:sz w:val="24"/>
                <w:szCs w:val="24"/>
                <w:lang w:val="en-GB" w:eastAsia="en-GB"/>
              </w:rPr>
            </w:pPr>
            <w:r w:rsidRPr="00177FB9">
              <w:rPr>
                <w:rFonts w:ascii="Arial" w:eastAsia="Times New Roman" w:hAnsi="Arial" w:cs="Arial"/>
                <w:sz w:val="24"/>
                <w:szCs w:val="24"/>
                <w:lang w:val="en-GB" w:eastAsia="en-GB"/>
              </w:rPr>
              <w:t xml:space="preserve">Soil Organic Carbon Stocks </w:t>
            </w:r>
          </w:p>
          <w:p w14:paraId="5C28AC17" w14:textId="77777777" w:rsidR="00177FB9" w:rsidRPr="00177FB9" w:rsidRDefault="00177FB9" w:rsidP="00C104CA">
            <w:pPr>
              <w:spacing w:after="0" w:line="240" w:lineRule="auto"/>
              <w:ind w:left="-120" w:right="-100"/>
              <w:jc w:val="center"/>
              <w:rPr>
                <w:rFonts w:ascii="Arial" w:eastAsia="Times New Roman" w:hAnsi="Arial" w:cs="Arial"/>
                <w:sz w:val="24"/>
                <w:szCs w:val="24"/>
                <w:lang w:val="en-GB" w:eastAsia="en-GB"/>
              </w:rPr>
            </w:pPr>
            <w:r w:rsidRPr="00177FB9">
              <w:rPr>
                <w:rFonts w:ascii="Arial" w:eastAsia="Times New Roman" w:hAnsi="Arial" w:cs="Arial"/>
                <w:sz w:val="24"/>
                <w:szCs w:val="24"/>
                <w:lang w:val="en-GB" w:eastAsia="en-GB"/>
              </w:rPr>
              <w:t>(</w:t>
            </w:r>
            <w:r w:rsidR="00DD5D2A">
              <w:rPr>
                <w:rFonts w:ascii="Arial" w:hAnsi="Arial" w:cs="Arial"/>
                <w:sz w:val="24"/>
                <w:szCs w:val="24"/>
              </w:rPr>
              <w:t>Mg</w:t>
            </w:r>
            <w:r w:rsidRPr="00177FB9">
              <w:rPr>
                <w:rFonts w:ascii="Arial" w:hAnsi="Arial" w:cs="Arial"/>
                <w:sz w:val="24"/>
                <w:szCs w:val="24"/>
              </w:rPr>
              <w:t xml:space="preserve"> C ha</w:t>
            </w:r>
            <w:r w:rsidRPr="00177FB9">
              <w:rPr>
                <w:rFonts w:ascii="Cambria Math" w:hAnsi="Cambria Math" w:cs="Cambria Math"/>
                <w:sz w:val="24"/>
                <w:szCs w:val="24"/>
              </w:rPr>
              <w:t>⁻</w:t>
            </w:r>
            <w:r w:rsidRPr="00177FB9">
              <w:rPr>
                <w:rFonts w:ascii="Arial" w:hAnsi="Arial" w:cs="Arial"/>
                <w:sz w:val="24"/>
                <w:szCs w:val="24"/>
              </w:rPr>
              <w:t>¹)</w:t>
            </w:r>
          </w:p>
        </w:tc>
        <w:tc>
          <w:tcPr>
            <w:tcW w:w="4536" w:type="dxa"/>
            <w:tcBorders>
              <w:top w:val="single" w:sz="4" w:space="0" w:color="auto"/>
              <w:bottom w:val="single" w:sz="4" w:space="0" w:color="auto"/>
            </w:tcBorders>
            <w:vAlign w:val="center"/>
          </w:tcPr>
          <w:p w14:paraId="1F5EC7AC" w14:textId="77777777" w:rsidR="00177FB9" w:rsidRPr="00177FB9" w:rsidRDefault="00177FB9" w:rsidP="00C104CA">
            <w:pPr>
              <w:spacing w:after="0" w:line="240" w:lineRule="auto"/>
              <w:rPr>
                <w:rFonts w:ascii="Arial" w:eastAsia="Calibri" w:hAnsi="Arial" w:cs="Arial"/>
                <w:sz w:val="24"/>
                <w:szCs w:val="24"/>
                <w:lang w:eastAsia="en-US"/>
              </w:rPr>
            </w:pPr>
            <w:r w:rsidRPr="00177FB9">
              <w:rPr>
                <w:rFonts w:ascii="Arial" w:eastAsia="Calibri" w:hAnsi="Arial" w:cs="Arial"/>
                <w:sz w:val="24"/>
                <w:szCs w:val="24"/>
                <w:lang w:eastAsia="en-US"/>
              </w:rPr>
              <w:t xml:space="preserve">   SOC</w:t>
            </w:r>
            <w:r w:rsidRPr="00177FB9">
              <w:rPr>
                <w:rFonts w:ascii="Arial" w:eastAsia="Calibri" w:hAnsi="Arial" w:cs="Arial"/>
                <w:sz w:val="24"/>
                <w:szCs w:val="24"/>
                <w:vertAlign w:val="subscript"/>
                <w:lang w:eastAsia="en-US"/>
              </w:rPr>
              <w:t>stock</w:t>
            </w:r>
            <w:r w:rsidRPr="00177FB9">
              <w:rPr>
                <w:rFonts w:ascii="Arial" w:eastAsia="Calibri" w:hAnsi="Arial" w:cs="Arial"/>
                <w:sz w:val="24"/>
                <w:szCs w:val="24"/>
                <w:lang w:eastAsia="en-US"/>
              </w:rPr>
              <w:t>​=SOC</w:t>
            </w:r>
            <w:r w:rsidRPr="00177FB9">
              <w:rPr>
                <w:rFonts w:ascii="Arial" w:eastAsia="Calibri" w:hAnsi="Arial" w:cs="Arial"/>
                <w:sz w:val="24"/>
                <w:szCs w:val="24"/>
                <w:vertAlign w:val="subscript"/>
                <w:lang w:eastAsia="en-US"/>
              </w:rPr>
              <w:t>%​</w:t>
            </w:r>
            <w:r w:rsidRPr="00177FB9">
              <w:rPr>
                <w:rFonts w:ascii="Arial" w:eastAsia="Calibri" w:hAnsi="Arial" w:cs="Arial"/>
                <w:sz w:val="24"/>
                <w:szCs w:val="24"/>
                <w:lang w:eastAsia="en-US"/>
              </w:rPr>
              <w:t>×BD×D×(1−CF)×10</w:t>
            </w:r>
          </w:p>
          <w:p w14:paraId="121ED8BF" w14:textId="77777777" w:rsidR="00177FB9" w:rsidRPr="00177FB9" w:rsidRDefault="00177FB9" w:rsidP="00C104CA">
            <w:pPr>
              <w:spacing w:after="0" w:line="240" w:lineRule="auto"/>
              <w:ind w:left="-96" w:right="-96"/>
              <w:jc w:val="center"/>
              <w:rPr>
                <w:rFonts w:ascii="Arial" w:eastAsia="Times New Roman" w:hAnsi="Arial" w:cs="Arial"/>
                <w:sz w:val="24"/>
                <w:szCs w:val="24"/>
                <w:lang w:val="en-GB" w:eastAsia="en-GB"/>
              </w:rPr>
            </w:pPr>
          </w:p>
        </w:tc>
        <w:tc>
          <w:tcPr>
            <w:tcW w:w="4536" w:type="dxa"/>
            <w:gridSpan w:val="2"/>
            <w:tcBorders>
              <w:top w:val="single" w:sz="4" w:space="0" w:color="auto"/>
              <w:bottom w:val="single" w:sz="4" w:space="0" w:color="auto"/>
            </w:tcBorders>
            <w:vAlign w:val="center"/>
          </w:tcPr>
          <w:p w14:paraId="446DC0E6" w14:textId="77777777" w:rsidR="00177FB9" w:rsidRPr="00177FB9" w:rsidRDefault="00177FB9" w:rsidP="00C104CA">
            <w:pPr>
              <w:spacing w:before="100" w:after="100" w:line="240" w:lineRule="auto"/>
              <w:ind w:left="30"/>
              <w:jc w:val="both"/>
              <w:rPr>
                <w:rFonts w:ascii="Arial" w:eastAsia="Times New Roman" w:hAnsi="Arial" w:cs="Arial"/>
                <w:sz w:val="24"/>
                <w:szCs w:val="24"/>
                <w:lang w:eastAsia="en-GB"/>
              </w:rPr>
            </w:pPr>
            <w:r w:rsidRPr="00177FB9">
              <w:rPr>
                <w:rFonts w:ascii="Arial" w:eastAsia="Times New Roman" w:hAnsi="Arial" w:cs="Arial"/>
                <w:b/>
                <w:bCs/>
                <w:sz w:val="24"/>
                <w:szCs w:val="24"/>
                <w:lang w:eastAsia="en-GB"/>
              </w:rPr>
              <w:t>SOC%</w:t>
            </w:r>
            <w:r w:rsidRPr="00177FB9">
              <w:rPr>
                <w:rFonts w:ascii="Arial" w:eastAsia="Times New Roman" w:hAnsi="Arial" w:cs="Arial"/>
                <w:sz w:val="24"/>
                <w:szCs w:val="24"/>
                <w:lang w:eastAsia="en-GB"/>
              </w:rPr>
              <w:t xml:space="preserve"> = Soil organic carbon concentration in the </w:t>
            </w:r>
            <w:r w:rsidRPr="00177FB9">
              <w:rPr>
                <w:rFonts w:ascii="Arial" w:eastAsia="Times New Roman" w:hAnsi="Arial" w:cs="Arial"/>
                <w:bCs/>
                <w:sz w:val="24"/>
                <w:szCs w:val="24"/>
                <w:lang w:eastAsia="en-GB"/>
              </w:rPr>
              <w:t>fine earth (&lt; 2 mm)</w:t>
            </w:r>
            <w:r w:rsidRPr="00177FB9">
              <w:rPr>
                <w:rFonts w:ascii="Arial" w:eastAsia="Times New Roman" w:hAnsi="Arial" w:cs="Arial"/>
                <w:sz w:val="24"/>
                <w:szCs w:val="24"/>
                <w:lang w:eastAsia="en-GB"/>
              </w:rPr>
              <w:t>.</w:t>
            </w:r>
          </w:p>
          <w:p w14:paraId="418E0328" w14:textId="77777777" w:rsidR="00177FB9" w:rsidRPr="00177FB9" w:rsidRDefault="00177FB9" w:rsidP="00C104CA">
            <w:pPr>
              <w:spacing w:before="100" w:after="100" w:line="240" w:lineRule="auto"/>
              <w:ind w:left="30"/>
              <w:jc w:val="both"/>
              <w:rPr>
                <w:rFonts w:ascii="Arial" w:eastAsia="Times New Roman" w:hAnsi="Arial" w:cs="Arial"/>
                <w:sz w:val="24"/>
                <w:szCs w:val="24"/>
                <w:lang w:eastAsia="en-GB"/>
              </w:rPr>
            </w:pPr>
            <w:r w:rsidRPr="00177FB9">
              <w:rPr>
                <w:rFonts w:ascii="Arial" w:eastAsia="Times New Roman" w:hAnsi="Arial" w:cs="Arial"/>
                <w:b/>
                <w:bCs/>
                <w:sz w:val="24"/>
                <w:szCs w:val="24"/>
                <w:lang w:eastAsia="en-GB"/>
              </w:rPr>
              <w:t>BD</w:t>
            </w:r>
            <w:r w:rsidRPr="00177FB9">
              <w:rPr>
                <w:rFonts w:ascii="Arial" w:eastAsia="Times New Roman" w:hAnsi="Arial" w:cs="Arial"/>
                <w:sz w:val="24"/>
                <w:szCs w:val="24"/>
                <w:lang w:eastAsia="en-GB"/>
              </w:rPr>
              <w:t xml:space="preserve"> = </w:t>
            </w:r>
            <w:r w:rsidRPr="00177FB9">
              <w:rPr>
                <w:rFonts w:ascii="Arial" w:eastAsia="Times New Roman" w:hAnsi="Arial" w:cs="Arial"/>
                <w:bCs/>
                <w:sz w:val="24"/>
                <w:szCs w:val="24"/>
                <w:lang w:eastAsia="en-GB"/>
              </w:rPr>
              <w:t>Bulk density</w:t>
            </w:r>
            <w:r w:rsidRPr="00177FB9">
              <w:rPr>
                <w:rFonts w:ascii="Arial" w:eastAsia="Times New Roman" w:hAnsi="Arial" w:cs="Arial"/>
                <w:sz w:val="24"/>
                <w:szCs w:val="24"/>
                <w:lang w:eastAsia="en-GB"/>
              </w:rPr>
              <w:t xml:space="preserve"> of the fine earth, in </w:t>
            </w:r>
            <w:r w:rsidRPr="00177FB9">
              <w:rPr>
                <w:rFonts w:ascii="Arial" w:eastAsia="Times New Roman" w:hAnsi="Arial" w:cs="Arial"/>
                <w:bCs/>
                <w:sz w:val="24"/>
                <w:szCs w:val="24"/>
                <w:lang w:eastAsia="en-GB"/>
              </w:rPr>
              <w:t>g cm</w:t>
            </w:r>
            <w:r w:rsidRPr="00177FB9">
              <w:rPr>
                <w:rFonts w:ascii="Cambria Math" w:eastAsia="Times New Roman" w:hAnsi="Cambria Math" w:cs="Cambria Math"/>
                <w:bCs/>
                <w:sz w:val="24"/>
                <w:szCs w:val="24"/>
                <w:lang w:eastAsia="en-GB"/>
              </w:rPr>
              <w:t>⁻</w:t>
            </w:r>
            <w:r w:rsidRPr="00177FB9">
              <w:rPr>
                <w:rFonts w:ascii="Arial" w:eastAsia="Times New Roman" w:hAnsi="Arial" w:cs="Arial"/>
                <w:bCs/>
                <w:sz w:val="24"/>
                <w:szCs w:val="24"/>
                <w:lang w:eastAsia="en-GB"/>
              </w:rPr>
              <w:t>³</w:t>
            </w:r>
            <w:r w:rsidRPr="00177FB9">
              <w:rPr>
                <w:rFonts w:ascii="Arial" w:eastAsia="Times New Roman" w:hAnsi="Arial" w:cs="Arial"/>
                <w:sz w:val="24"/>
                <w:szCs w:val="24"/>
                <w:lang w:eastAsia="en-GB"/>
              </w:rPr>
              <w:t xml:space="preserve"> (dry mass of fine soil per unit volume)</w:t>
            </w:r>
          </w:p>
          <w:p w14:paraId="001BF9F0" w14:textId="77777777" w:rsidR="00177FB9" w:rsidRPr="00177FB9" w:rsidRDefault="00177FB9" w:rsidP="00C104CA">
            <w:pPr>
              <w:spacing w:before="100" w:after="100" w:line="240" w:lineRule="auto"/>
              <w:ind w:left="30"/>
              <w:jc w:val="both"/>
              <w:rPr>
                <w:rFonts w:ascii="Arial" w:eastAsia="Times New Roman" w:hAnsi="Arial" w:cs="Arial"/>
                <w:sz w:val="24"/>
                <w:szCs w:val="24"/>
                <w:lang w:eastAsia="en-GB"/>
              </w:rPr>
            </w:pPr>
            <w:r w:rsidRPr="00177FB9">
              <w:rPr>
                <w:rFonts w:ascii="Arial" w:eastAsia="Times New Roman" w:hAnsi="Arial" w:cs="Arial"/>
                <w:b/>
                <w:bCs/>
                <w:sz w:val="24"/>
                <w:szCs w:val="24"/>
                <w:lang w:eastAsia="en-GB"/>
              </w:rPr>
              <w:t>D</w:t>
            </w:r>
            <w:r w:rsidRPr="00177FB9">
              <w:rPr>
                <w:rFonts w:ascii="Arial" w:eastAsia="Times New Roman" w:hAnsi="Arial" w:cs="Arial"/>
                <w:bCs/>
                <w:sz w:val="24"/>
                <w:szCs w:val="24"/>
                <w:lang w:eastAsia="en-GB"/>
              </w:rPr>
              <w:t xml:space="preserve"> </w:t>
            </w:r>
            <w:r w:rsidRPr="00177FB9">
              <w:rPr>
                <w:rFonts w:ascii="Arial" w:eastAsia="Times New Roman" w:hAnsi="Arial" w:cs="Arial"/>
                <w:sz w:val="24"/>
                <w:szCs w:val="24"/>
                <w:lang w:eastAsia="en-GB"/>
              </w:rPr>
              <w:t xml:space="preserve">= Thickness (depth) of the soil layer, in </w:t>
            </w:r>
            <w:r w:rsidRPr="00177FB9">
              <w:rPr>
                <w:rFonts w:ascii="Arial" w:eastAsia="Times New Roman" w:hAnsi="Arial" w:cs="Arial"/>
                <w:bCs/>
                <w:sz w:val="24"/>
                <w:szCs w:val="24"/>
                <w:lang w:eastAsia="en-GB"/>
              </w:rPr>
              <w:t>cm</w:t>
            </w:r>
          </w:p>
          <w:p w14:paraId="4C502EF3" w14:textId="77777777" w:rsidR="00177FB9" w:rsidRPr="00177FB9" w:rsidRDefault="00177FB9" w:rsidP="00C104CA">
            <w:pPr>
              <w:spacing w:before="100" w:after="100" w:line="240" w:lineRule="auto"/>
              <w:ind w:left="30"/>
              <w:jc w:val="both"/>
              <w:rPr>
                <w:rFonts w:ascii="Arial" w:eastAsia="Times New Roman" w:hAnsi="Arial" w:cs="Arial"/>
                <w:sz w:val="24"/>
                <w:szCs w:val="24"/>
                <w:lang w:eastAsia="en-GB"/>
              </w:rPr>
            </w:pPr>
            <w:r w:rsidRPr="00177FB9">
              <w:rPr>
                <w:rFonts w:ascii="Arial" w:eastAsia="Times New Roman" w:hAnsi="Arial" w:cs="Arial"/>
                <w:b/>
                <w:bCs/>
                <w:sz w:val="24"/>
                <w:szCs w:val="24"/>
                <w:lang w:eastAsia="en-GB"/>
              </w:rPr>
              <w:t>CF</w:t>
            </w:r>
            <w:r w:rsidRPr="00177FB9">
              <w:rPr>
                <w:rFonts w:ascii="Arial" w:eastAsia="Times New Roman" w:hAnsi="Arial" w:cs="Arial"/>
                <w:sz w:val="24"/>
                <w:szCs w:val="24"/>
                <w:lang w:eastAsia="en-GB"/>
              </w:rPr>
              <w:t xml:space="preserve"> = </w:t>
            </w:r>
            <w:r w:rsidRPr="00177FB9">
              <w:rPr>
                <w:rFonts w:ascii="Arial" w:eastAsia="Times New Roman" w:hAnsi="Arial" w:cs="Arial"/>
                <w:bCs/>
                <w:sz w:val="24"/>
                <w:szCs w:val="24"/>
                <w:lang w:eastAsia="en-GB"/>
              </w:rPr>
              <w:t>Coarse-fragment fraction</w:t>
            </w:r>
            <w:r w:rsidRPr="00177FB9">
              <w:rPr>
                <w:rFonts w:ascii="Arial" w:eastAsia="Times New Roman" w:hAnsi="Arial" w:cs="Arial"/>
                <w:sz w:val="24"/>
                <w:szCs w:val="24"/>
                <w:lang w:eastAsia="en-GB"/>
              </w:rPr>
              <w:t xml:space="preserve"> (gravel/stones &gt; 2 mm)</w:t>
            </w:r>
          </w:p>
          <w:p w14:paraId="3B25F40D" w14:textId="77777777" w:rsidR="00177FB9" w:rsidRPr="00177FB9" w:rsidRDefault="00177FB9" w:rsidP="00C104CA">
            <w:pPr>
              <w:spacing w:before="100" w:after="100" w:line="240" w:lineRule="auto"/>
              <w:jc w:val="both"/>
              <w:rPr>
                <w:rFonts w:ascii="Arial" w:eastAsia="Times New Roman" w:hAnsi="Arial" w:cs="Arial"/>
                <w:sz w:val="24"/>
                <w:szCs w:val="24"/>
                <w:lang w:eastAsia="en-GB"/>
              </w:rPr>
            </w:pPr>
            <w:r w:rsidRPr="00177FB9">
              <w:rPr>
                <w:rFonts w:ascii="Arial" w:eastAsia="Times New Roman" w:hAnsi="Arial" w:cs="Arial"/>
                <w:b/>
                <w:bCs/>
                <w:sz w:val="24"/>
                <w:szCs w:val="24"/>
                <w:lang w:eastAsia="en-GB"/>
              </w:rPr>
              <w:t>10</w:t>
            </w:r>
            <w:r w:rsidRPr="00177FB9">
              <w:rPr>
                <w:rFonts w:ascii="Arial" w:eastAsia="Times New Roman" w:hAnsi="Arial" w:cs="Arial"/>
                <w:b/>
                <w:sz w:val="24"/>
                <w:szCs w:val="24"/>
                <w:lang w:eastAsia="en-GB"/>
              </w:rPr>
              <w:t xml:space="preserve"> </w:t>
            </w:r>
            <w:r w:rsidRPr="00177FB9">
              <w:rPr>
                <w:rFonts w:ascii="Arial" w:eastAsia="Times New Roman" w:hAnsi="Arial" w:cs="Arial"/>
                <w:sz w:val="24"/>
                <w:szCs w:val="24"/>
                <w:lang w:eastAsia="en-GB"/>
              </w:rPr>
              <w:t xml:space="preserve">= Unit-conversion factor </w:t>
            </w:r>
          </w:p>
          <w:p w14:paraId="3A105B6F" w14:textId="77777777" w:rsidR="00177FB9" w:rsidRPr="00177FB9" w:rsidRDefault="00177FB9" w:rsidP="00C104CA">
            <w:pPr>
              <w:spacing w:before="100" w:after="100" w:line="240" w:lineRule="auto"/>
              <w:ind w:left="30"/>
              <w:jc w:val="both"/>
              <w:rPr>
                <w:rFonts w:ascii="Arial" w:eastAsia="Times New Roman" w:hAnsi="Arial" w:cs="Arial"/>
                <w:sz w:val="24"/>
                <w:szCs w:val="24"/>
                <w:lang w:eastAsia="en-GB"/>
              </w:rPr>
            </w:pPr>
          </w:p>
        </w:tc>
        <w:tc>
          <w:tcPr>
            <w:tcW w:w="284" w:type="dxa"/>
            <w:gridSpan w:val="2"/>
            <w:vMerge/>
            <w:vAlign w:val="center"/>
          </w:tcPr>
          <w:p w14:paraId="20907A75" w14:textId="77777777" w:rsidR="00177FB9" w:rsidRPr="00177FB9" w:rsidRDefault="00177FB9" w:rsidP="00C104CA">
            <w:pPr>
              <w:spacing w:after="0" w:line="240" w:lineRule="auto"/>
              <w:jc w:val="center"/>
              <w:rPr>
                <w:rFonts w:ascii="Arial" w:eastAsia="Times New Roman" w:hAnsi="Arial" w:cs="Arial"/>
                <w:b/>
                <w:bCs/>
                <w:sz w:val="24"/>
                <w:szCs w:val="24"/>
                <w:lang w:val="en-GB" w:eastAsia="en-GB"/>
              </w:rPr>
            </w:pPr>
          </w:p>
        </w:tc>
      </w:tr>
    </w:tbl>
    <w:p w14:paraId="350F953C" w14:textId="77777777" w:rsidR="00177FB9" w:rsidRDefault="00177FB9" w:rsidP="00177FB9">
      <w:pPr>
        <w:jc w:val="both"/>
        <w:rPr>
          <w:rFonts w:ascii="Arial" w:hAnsi="Arial" w:cs="Arial"/>
          <w:sz w:val="24"/>
          <w:szCs w:val="24"/>
        </w:rPr>
      </w:pPr>
    </w:p>
    <w:p w14:paraId="31DCE634" w14:textId="77777777" w:rsidR="00DD5D2A" w:rsidRPr="00177FB9" w:rsidRDefault="00DD5D2A" w:rsidP="00177FB9">
      <w:pPr>
        <w:jc w:val="both"/>
        <w:rPr>
          <w:rFonts w:ascii="Arial" w:hAnsi="Arial" w:cs="Arial"/>
          <w:sz w:val="24"/>
          <w:szCs w:val="24"/>
        </w:rPr>
      </w:pPr>
    </w:p>
    <w:p w14:paraId="027836B4" w14:textId="77777777" w:rsidR="00232EF2" w:rsidRDefault="002A439D" w:rsidP="00414872">
      <w:pPr>
        <w:jc w:val="center"/>
        <w:rPr>
          <w:rFonts w:ascii="Arial" w:hAnsi="Arial" w:cs="Arial"/>
          <w:b/>
          <w:sz w:val="24"/>
          <w:szCs w:val="24"/>
        </w:rPr>
      </w:pPr>
      <w:r>
        <w:rPr>
          <w:noProof/>
          <w:lang w:eastAsia="en-US"/>
        </w:rPr>
        <w:lastRenderedPageBreak/>
        <w:drawing>
          <wp:inline distT="0" distB="0" distL="0" distR="0" wp14:anchorId="2CFE7C74" wp14:editId="265A72C3">
            <wp:extent cx="6080760" cy="3535680"/>
            <wp:effectExtent l="0" t="0" r="15240" b="762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8D75AC0" w14:textId="77777777" w:rsidR="002A439D" w:rsidRDefault="00E81738" w:rsidP="00177FB9">
      <w:pPr>
        <w:jc w:val="both"/>
        <w:rPr>
          <w:rFonts w:ascii="Arial" w:hAnsi="Arial" w:cs="Arial"/>
          <w:b/>
          <w:sz w:val="24"/>
          <w:szCs w:val="24"/>
        </w:rPr>
      </w:pPr>
      <w:r>
        <w:rPr>
          <w:rFonts w:ascii="Arial" w:hAnsi="Arial" w:cs="Arial"/>
          <w:sz w:val="24"/>
          <w:szCs w:val="24"/>
        </w:rPr>
        <w:t>Figure 2</w:t>
      </w:r>
      <w:r w:rsidR="001A6FE9" w:rsidRPr="00177FB9">
        <w:rPr>
          <w:rFonts w:ascii="Arial" w:hAnsi="Arial" w:cs="Arial"/>
          <w:sz w:val="24"/>
          <w:szCs w:val="24"/>
        </w:rPr>
        <w:t xml:space="preserve">: </w:t>
      </w:r>
      <w:r w:rsidR="00771A1A">
        <w:rPr>
          <w:rFonts w:ascii="Arial" w:hAnsi="Arial" w:cs="Arial"/>
          <w:sz w:val="24"/>
          <w:szCs w:val="24"/>
        </w:rPr>
        <w:t>Mean soil results for Exchangeable Soil Magnesium and Soil Calcium</w:t>
      </w:r>
      <w:r w:rsidR="00771A1A" w:rsidRPr="00771A1A">
        <w:rPr>
          <w:rFonts w:ascii="Arial" w:hAnsi="Arial" w:cs="Arial"/>
          <w:sz w:val="24"/>
          <w:szCs w:val="24"/>
        </w:rPr>
        <w:t xml:space="preserve"> collected before and after the treatments at Nyika National Park</w:t>
      </w:r>
    </w:p>
    <w:p w14:paraId="58C15CE8" w14:textId="77777777" w:rsidR="00232EF2" w:rsidRDefault="00232EF2" w:rsidP="00177FB9">
      <w:pPr>
        <w:jc w:val="both"/>
        <w:rPr>
          <w:rFonts w:ascii="Arial" w:hAnsi="Arial" w:cs="Arial"/>
          <w:b/>
          <w:sz w:val="24"/>
          <w:szCs w:val="24"/>
        </w:rPr>
      </w:pPr>
    </w:p>
    <w:p w14:paraId="0D160301" w14:textId="77777777" w:rsidR="008A7CBB" w:rsidRDefault="00C546BA" w:rsidP="00177FB9">
      <w:pPr>
        <w:jc w:val="both"/>
        <w:rPr>
          <w:rFonts w:ascii="Arial" w:hAnsi="Arial" w:cs="Arial"/>
          <w:b/>
          <w:sz w:val="24"/>
          <w:szCs w:val="24"/>
        </w:rPr>
      </w:pPr>
      <w:r>
        <w:rPr>
          <w:rFonts w:ascii="Arial" w:hAnsi="Arial" w:cs="Arial"/>
          <w:b/>
          <w:sz w:val="24"/>
          <w:szCs w:val="24"/>
        </w:rPr>
        <w:t>Soil pH</w:t>
      </w:r>
    </w:p>
    <w:p w14:paraId="207E0539" w14:textId="77777777" w:rsidR="00B70DDE" w:rsidRPr="00B70DDE" w:rsidRDefault="00B70DDE" w:rsidP="00B70DDE">
      <w:pPr>
        <w:spacing w:line="360" w:lineRule="auto"/>
        <w:jc w:val="both"/>
        <w:rPr>
          <w:rFonts w:ascii="Arial" w:hAnsi="Arial" w:cs="Arial"/>
          <w:sz w:val="24"/>
          <w:szCs w:val="24"/>
        </w:rPr>
      </w:pPr>
      <w:r w:rsidRPr="00B70DDE">
        <w:rPr>
          <w:rFonts w:ascii="Arial" w:hAnsi="Arial" w:cs="Arial"/>
          <w:sz w:val="24"/>
          <w:szCs w:val="24"/>
        </w:rPr>
        <w:t xml:space="preserve">Soil pH changed only slightly following black-wattle control. </w:t>
      </w:r>
      <w:r>
        <w:rPr>
          <w:rFonts w:ascii="Arial" w:hAnsi="Arial" w:cs="Arial"/>
          <w:sz w:val="24"/>
          <w:szCs w:val="24"/>
          <w:highlight w:val="yellow"/>
        </w:rPr>
        <w:t>As summarised in Tables 2 and 3, the untreated control remained</w:t>
      </w:r>
      <w:r>
        <w:rPr>
          <w:rFonts w:ascii="Arial" w:hAnsi="Arial" w:cs="Arial"/>
          <w:sz w:val="24"/>
          <w:szCs w:val="24"/>
        </w:rPr>
        <w:t xml:space="preserve"> at pH 3.9, while Cutting/Impala declined marginally from pH 4.0 to 3.9, representing a 2.5% decrease. In contrast, mechanical uprooting increased pH from 4.1 to 4.4</w:t>
      </w:r>
      <w:r w:rsidR="00B24AF3">
        <w:rPr>
          <w:rFonts w:ascii="Arial" w:hAnsi="Arial" w:cs="Arial"/>
          <w:sz w:val="24"/>
          <w:szCs w:val="24"/>
        </w:rPr>
        <w:t xml:space="preserve"> (Table 3)</w:t>
      </w:r>
      <w:r w:rsidRPr="00B70DDE">
        <w:rPr>
          <w:rFonts w:ascii="Arial" w:hAnsi="Arial" w:cs="Arial"/>
          <w:sz w:val="24"/>
          <w:szCs w:val="24"/>
        </w:rPr>
        <w:t>, equivalent to a 7.3% increase. This rise indicates a slight </w:t>
      </w:r>
      <w:r w:rsidRPr="00B70DDE">
        <w:rPr>
          <w:rFonts w:ascii="Arial" w:hAnsi="Arial" w:cs="Arial"/>
          <w:bCs/>
          <w:sz w:val="24"/>
          <w:szCs w:val="24"/>
        </w:rPr>
        <w:t>reduction in soil acidity</w:t>
      </w:r>
      <w:r w:rsidRPr="00B70DDE">
        <w:rPr>
          <w:rFonts w:ascii="Arial" w:hAnsi="Arial" w:cs="Arial"/>
          <w:sz w:val="24"/>
          <w:szCs w:val="24"/>
        </w:rPr>
        <w:t xml:space="preserve">, not increased acidity. Nevertheless, the treatment effect was not statistically significant </w:t>
      </w:r>
      <w:r w:rsidRPr="00CD7628">
        <w:rPr>
          <w:rFonts w:ascii="Arial" w:hAnsi="Arial" w:cs="Arial"/>
          <w:sz w:val="24"/>
          <w:szCs w:val="24"/>
        </w:rPr>
        <w:t>(</w:t>
      </w:r>
      <w:r w:rsidRPr="00CD7628">
        <w:rPr>
          <w:rFonts w:ascii="Arial" w:hAnsi="Arial" w:cs="Arial"/>
          <w:iCs/>
          <w:sz w:val="24"/>
          <w:szCs w:val="24"/>
        </w:rPr>
        <w:t>P</w:t>
      </w:r>
      <w:r w:rsidRPr="00CD7628">
        <w:rPr>
          <w:rFonts w:ascii="Arial" w:hAnsi="Arial" w:cs="Arial"/>
          <w:sz w:val="24"/>
          <w:szCs w:val="24"/>
        </w:rPr>
        <w:t xml:space="preserve">=0.725), </w:t>
      </w:r>
      <w:r w:rsidRPr="00B70DDE">
        <w:rPr>
          <w:rFonts w:ascii="Arial" w:hAnsi="Arial" w:cs="Arial"/>
          <w:sz w:val="24"/>
          <w:szCs w:val="24"/>
        </w:rPr>
        <w:t xml:space="preserve">demonstrating that </w:t>
      </w:r>
      <w:r>
        <w:rPr>
          <w:rFonts w:ascii="Arial" w:hAnsi="Arial" w:cs="Arial"/>
          <w:sz w:val="24"/>
          <w:szCs w:val="24"/>
          <w:highlight w:val="yellow"/>
        </w:rPr>
        <w:t>neither uprooting nor Cutting/Impala application produced a statistically significant change</w:t>
      </w:r>
      <w:r>
        <w:rPr>
          <w:rFonts w:ascii="Arial" w:hAnsi="Arial" w:cs="Arial"/>
          <w:sz w:val="24"/>
          <w:szCs w:val="24"/>
        </w:rPr>
        <w:t xml:space="preserve"> in soil pH relative to the untreated control during the study period. All plots remained strongly acidic at baseline and post-treatment assessment, indicating that soil acidity was primarily governed by the inherent properties of the Nyika Plateau soils rather than by the control treatments.</w:t>
      </w:r>
    </w:p>
    <w:p w14:paraId="1D9B169A" w14:textId="77777777" w:rsidR="00B70DDE" w:rsidRPr="00B70DDE" w:rsidRDefault="00B70DDE" w:rsidP="00B70DDE">
      <w:pPr>
        <w:spacing w:line="360" w:lineRule="auto"/>
        <w:jc w:val="both"/>
        <w:rPr>
          <w:rFonts w:ascii="Arial" w:hAnsi="Arial" w:cs="Arial"/>
          <w:sz w:val="24"/>
          <w:szCs w:val="24"/>
        </w:rPr>
      </w:pPr>
      <w:r w:rsidRPr="00B70DDE">
        <w:rPr>
          <w:rFonts w:ascii="Arial" w:hAnsi="Arial" w:cs="Arial"/>
          <w:sz w:val="24"/>
          <w:szCs w:val="24"/>
        </w:rPr>
        <w:t xml:space="preserve">The persistence of strongly acidic soil conditions is plausible under the high-rainfall montane environment of Chelinda, Nyika National Park, where annual precipitation of approximately 1,700–2,200 mm may promote prolonged weathering and leaching of base cations, including </w:t>
      </w:r>
      <w:r w:rsidRPr="00B70DDE">
        <w:rPr>
          <w:rFonts w:ascii="Arial" w:hAnsi="Arial" w:cs="Arial"/>
          <w:sz w:val="24"/>
          <w:szCs w:val="24"/>
        </w:rPr>
        <w:lastRenderedPageBreak/>
        <w:t>calcium and magnesium. Such conditions can maintain low pH through the progressive loss of basic cations and the relative dominance of acidic cations in the exchange complex. The slight</w:t>
      </w:r>
      <w:r w:rsidR="00B24AF3">
        <w:rPr>
          <w:rFonts w:ascii="Arial" w:hAnsi="Arial" w:cs="Arial"/>
          <w:sz w:val="24"/>
          <w:szCs w:val="24"/>
        </w:rPr>
        <w:t xml:space="preserve"> pH</w:t>
      </w:r>
      <w:r w:rsidRPr="00B70DDE">
        <w:rPr>
          <w:rFonts w:ascii="Arial" w:hAnsi="Arial" w:cs="Arial"/>
          <w:sz w:val="24"/>
          <w:szCs w:val="24"/>
        </w:rPr>
        <w:t xml:space="preserve"> decline under Cutting/Impala may be associated with post-treatment decomposition of black-wattle roots and residues, </w:t>
      </w:r>
      <w:proofErr w:type="spellStart"/>
      <w:r w:rsidRPr="00B70DDE">
        <w:rPr>
          <w:rFonts w:ascii="Arial" w:hAnsi="Arial" w:cs="Arial"/>
          <w:sz w:val="24"/>
          <w:szCs w:val="24"/>
        </w:rPr>
        <w:t>mineralisation</w:t>
      </w:r>
      <w:proofErr w:type="spellEnd"/>
      <w:r w:rsidRPr="00B70DDE">
        <w:rPr>
          <w:rFonts w:ascii="Arial" w:hAnsi="Arial" w:cs="Arial"/>
          <w:sz w:val="24"/>
          <w:szCs w:val="24"/>
        </w:rPr>
        <w:t xml:space="preserve"> and nitrification of nitrogen-rich organic matter, and potential herbicide-related effects on soil biogeochemical processes. Previous work in South African riparian systems has shown that herbic</w:t>
      </w:r>
      <w:r w:rsidR="00B846C9">
        <w:rPr>
          <w:rFonts w:ascii="Arial" w:hAnsi="Arial" w:cs="Arial"/>
          <w:sz w:val="24"/>
          <w:szCs w:val="24"/>
        </w:rPr>
        <w:t>ide t</w:t>
      </w:r>
      <w:r w:rsidR="00B24AF3">
        <w:rPr>
          <w:rFonts w:ascii="Arial" w:hAnsi="Arial" w:cs="Arial"/>
          <w:sz w:val="24"/>
          <w:szCs w:val="24"/>
        </w:rPr>
        <w:t>reatment can reduce soil pH</w:t>
      </w:r>
      <w:r w:rsidRPr="00B70DDE">
        <w:rPr>
          <w:rFonts w:ascii="Arial" w:hAnsi="Arial" w:cs="Arial"/>
          <w:sz w:val="24"/>
          <w:szCs w:val="24"/>
        </w:rPr>
        <w:t xml:space="preserve"> under some conditions, although the response depends on herbicide chemistry, application concentration, soil buffering capacity, and local environmental conditions (Jacobs et al., 2013).</w:t>
      </w:r>
    </w:p>
    <w:p w14:paraId="61BEE2F1" w14:textId="77777777" w:rsidR="00B70DDE" w:rsidRPr="00B70DDE" w:rsidRDefault="00B70DDE" w:rsidP="00B70DDE">
      <w:pPr>
        <w:spacing w:line="360" w:lineRule="auto"/>
        <w:jc w:val="both"/>
        <w:rPr>
          <w:rFonts w:ascii="Arial" w:hAnsi="Arial" w:cs="Arial"/>
          <w:sz w:val="24"/>
          <w:szCs w:val="24"/>
        </w:rPr>
      </w:pPr>
      <w:r w:rsidRPr="00B70DDE">
        <w:rPr>
          <w:rFonts w:ascii="Arial" w:hAnsi="Arial" w:cs="Arial"/>
          <w:sz w:val="24"/>
          <w:szCs w:val="24"/>
        </w:rPr>
        <w:t>The slight increase in pH under uprooting may reflect soil disturbance, cessation of root-mediated acidification, or changes in the availability of base cations after removal of black-wattle roots; notably, exchangeable calcium increased in the uprooted plots from 0.29 to 0.73</w:t>
      </w:r>
      <w:r w:rsidR="00B24AF3">
        <w:rPr>
          <w:rFonts w:ascii="Arial" w:hAnsi="Arial" w:cs="Arial"/>
          <w:sz w:val="24"/>
          <w:szCs w:val="24"/>
        </w:rPr>
        <w:t xml:space="preserve"> (Figure 2)</w:t>
      </w:r>
      <w:r w:rsidRPr="00B70DDE">
        <w:rPr>
          <w:rFonts w:ascii="Arial" w:hAnsi="Arial" w:cs="Arial"/>
          <w:sz w:val="24"/>
          <w:szCs w:val="24"/>
        </w:rPr>
        <w:t xml:space="preserve"> in the present study. However, this association does not establish causation, and the non-significant treatment effect indicates substantial plot-level variability. The result agrees with the broader literature showing that soil-pH responses to </w:t>
      </w:r>
      <w:r w:rsidRPr="00B70DDE">
        <w:rPr>
          <w:rFonts w:ascii="Arial" w:hAnsi="Arial" w:cs="Arial"/>
          <w:i/>
          <w:iCs/>
          <w:sz w:val="24"/>
          <w:szCs w:val="24"/>
        </w:rPr>
        <w:t xml:space="preserve">Acacia </w:t>
      </w:r>
      <w:proofErr w:type="spellStart"/>
      <w:r w:rsidRPr="00B70DDE">
        <w:rPr>
          <w:rFonts w:ascii="Arial" w:hAnsi="Arial" w:cs="Arial"/>
          <w:i/>
          <w:iCs/>
          <w:sz w:val="24"/>
          <w:szCs w:val="24"/>
        </w:rPr>
        <w:t>mearnsii</w:t>
      </w:r>
      <w:proofErr w:type="spellEnd"/>
      <w:r w:rsidRPr="00B70DDE">
        <w:rPr>
          <w:rFonts w:ascii="Arial" w:hAnsi="Arial" w:cs="Arial"/>
          <w:sz w:val="24"/>
          <w:szCs w:val="24"/>
        </w:rPr>
        <w:t> invasion and clearing are inconsistent and strongly site dependent. A systematic review of South African studies concluded that clearing can cause only minor changes in soil physicochemical properties, with outcomes influenced by soil type, climate, invasion history, clearing approach, and time since treatment (</w:t>
      </w:r>
      <w:proofErr w:type="spellStart"/>
      <w:r w:rsidRPr="00B70DDE">
        <w:rPr>
          <w:rFonts w:ascii="Arial" w:hAnsi="Arial" w:cs="Arial"/>
          <w:sz w:val="24"/>
          <w:szCs w:val="24"/>
        </w:rPr>
        <w:t>Lusizi</w:t>
      </w:r>
      <w:proofErr w:type="spellEnd"/>
      <w:r w:rsidRPr="00B70DDE">
        <w:rPr>
          <w:rFonts w:ascii="Arial" w:hAnsi="Arial" w:cs="Arial"/>
          <w:sz w:val="24"/>
          <w:szCs w:val="24"/>
        </w:rPr>
        <w:t xml:space="preserve"> et al., 2024). Accordingly, the pH results suggest that</w:t>
      </w:r>
      <w:r w:rsidR="004D5812">
        <w:rPr>
          <w:rFonts w:ascii="Arial" w:hAnsi="Arial" w:cs="Arial"/>
          <w:sz w:val="24"/>
          <w:szCs w:val="24"/>
        </w:rPr>
        <w:t xml:space="preserve">, </w:t>
      </w:r>
      <w:r>
        <w:rPr>
          <w:rFonts w:ascii="Arial" w:hAnsi="Arial" w:cs="Arial"/>
          <w:sz w:val="24"/>
          <w:szCs w:val="24"/>
          <w:highlight w:val="yellow"/>
        </w:rPr>
        <w:t>during the four-year study period</w:t>
      </w:r>
      <w:r w:rsidRPr="00B70DDE">
        <w:rPr>
          <w:rFonts w:ascii="Arial" w:hAnsi="Arial" w:cs="Arial"/>
          <w:sz w:val="24"/>
          <w:szCs w:val="24"/>
        </w:rPr>
        <w:t xml:space="preserve">, neither control method substantially modified the strong baseline acidity of Nyika soils. Longer-term monitoring, supported by measurements of exchangeable acidity, </w:t>
      </w:r>
      <w:proofErr w:type="spellStart"/>
      <w:r w:rsidRPr="00B70DDE">
        <w:rPr>
          <w:rFonts w:ascii="Arial" w:hAnsi="Arial" w:cs="Arial"/>
          <w:sz w:val="24"/>
          <w:szCs w:val="24"/>
        </w:rPr>
        <w:t>aluminium</w:t>
      </w:r>
      <w:proofErr w:type="spellEnd"/>
      <w:r w:rsidRPr="00B70DDE">
        <w:rPr>
          <w:rFonts w:ascii="Arial" w:hAnsi="Arial" w:cs="Arial"/>
          <w:sz w:val="24"/>
          <w:szCs w:val="24"/>
        </w:rPr>
        <w:t>, base saturation, cation-exchange capacity, and native-vegetation recovery, is needed to determine whether treatment-related changes in soil acidity develop as the cleared sites recover.</w:t>
      </w:r>
    </w:p>
    <w:p w14:paraId="73151EF3" w14:textId="77777777" w:rsidR="003C5C46" w:rsidRPr="003C5C46" w:rsidRDefault="003C5C46" w:rsidP="004D5812">
      <w:pPr>
        <w:spacing w:line="360" w:lineRule="auto"/>
        <w:jc w:val="both"/>
        <w:rPr>
          <w:rFonts w:ascii="Arial" w:hAnsi="Arial" w:cs="Arial"/>
          <w:b/>
          <w:sz w:val="24"/>
          <w:szCs w:val="24"/>
        </w:rPr>
      </w:pPr>
      <w:r>
        <w:rPr>
          <w:rFonts w:ascii="Arial" w:hAnsi="Arial" w:cs="Arial"/>
          <w:b/>
          <w:sz w:val="24"/>
          <w:szCs w:val="24"/>
          <w:highlight w:val="yellow"/>
        </w:rPr>
        <w:t>Electrical Conductivity (EC)</w:t>
      </w:r>
    </w:p>
    <w:p w14:paraId="0C514398" w14:textId="77777777" w:rsidR="001D38D0" w:rsidRPr="001D38D0" w:rsidRDefault="001D38D0" w:rsidP="004E3011">
      <w:pPr>
        <w:spacing w:line="360" w:lineRule="auto"/>
        <w:jc w:val="both"/>
        <w:rPr>
          <w:rFonts w:ascii="Arial" w:hAnsi="Arial" w:cs="Arial"/>
          <w:sz w:val="24"/>
          <w:szCs w:val="24"/>
        </w:rPr>
      </w:pPr>
      <w:r w:rsidRPr="001D38D0">
        <w:rPr>
          <w:rFonts w:ascii="Arial" w:hAnsi="Arial" w:cs="Arial"/>
          <w:sz w:val="24"/>
          <w:szCs w:val="24"/>
        </w:rPr>
        <w:t>Electrical conductivity (EC) decreased significantly among treatments following black-wattle co</w:t>
      </w:r>
      <w:r w:rsidR="004D5812">
        <w:rPr>
          <w:rFonts w:ascii="Arial" w:hAnsi="Arial" w:cs="Arial"/>
          <w:sz w:val="24"/>
          <w:szCs w:val="24"/>
        </w:rPr>
        <w:t>ntrol (</w:t>
      </w:r>
      <w:r w:rsidR="00A25420">
        <w:rPr>
          <w:rFonts w:ascii="Arial" w:hAnsi="Arial" w:cs="Arial"/>
          <w:sz w:val="24"/>
          <w:szCs w:val="24"/>
        </w:rPr>
        <w:t>P &lt; 0.001</w:t>
      </w:r>
      <w:r w:rsidRPr="001D38D0">
        <w:rPr>
          <w:rFonts w:ascii="Arial" w:hAnsi="Arial" w:cs="Arial"/>
          <w:sz w:val="24"/>
          <w:szCs w:val="24"/>
        </w:rPr>
        <w:t>). EC declined fr</w:t>
      </w:r>
      <w:r w:rsidR="00A25420">
        <w:rPr>
          <w:rFonts w:ascii="Arial" w:hAnsi="Arial" w:cs="Arial"/>
          <w:sz w:val="24"/>
          <w:szCs w:val="24"/>
        </w:rPr>
        <w:t xml:space="preserve">om 1.80 to 1.09 </w:t>
      </w:r>
      <w:proofErr w:type="spellStart"/>
      <w:r w:rsidR="00A25420">
        <w:rPr>
          <w:rFonts w:ascii="Arial" w:hAnsi="Arial" w:cs="Arial"/>
          <w:sz w:val="24"/>
          <w:szCs w:val="24"/>
        </w:rPr>
        <w:t>mmho</w:t>
      </w:r>
      <w:proofErr w:type="spellEnd"/>
      <w:r w:rsidR="00A25420">
        <w:rPr>
          <w:rFonts w:ascii="Arial" w:hAnsi="Arial" w:cs="Arial"/>
          <w:sz w:val="24"/>
          <w:szCs w:val="24"/>
        </w:rPr>
        <w:t xml:space="preserve"> cm</w:t>
      </w:r>
      <w:r w:rsidR="00A25420" w:rsidRPr="00A25420">
        <w:rPr>
          <w:rFonts w:ascii="Arial" w:hAnsi="Arial" w:cs="Arial"/>
          <w:sz w:val="24"/>
          <w:szCs w:val="24"/>
          <w:vertAlign w:val="superscript"/>
        </w:rPr>
        <w:t>−1</w:t>
      </w:r>
      <w:r w:rsidRPr="001D38D0">
        <w:rPr>
          <w:rFonts w:ascii="Arial" w:hAnsi="Arial" w:cs="Arial"/>
          <w:sz w:val="24"/>
          <w:szCs w:val="24"/>
        </w:rPr>
        <w:t xml:space="preserve"> in the untreated control, from 2.06 to 0.95 </w:t>
      </w:r>
      <w:proofErr w:type="spellStart"/>
      <w:r w:rsidR="00A25420" w:rsidRPr="00A25420">
        <w:rPr>
          <w:rFonts w:ascii="Arial" w:hAnsi="Arial" w:cs="Arial"/>
          <w:sz w:val="24"/>
          <w:szCs w:val="24"/>
        </w:rPr>
        <w:t>mmho</w:t>
      </w:r>
      <w:proofErr w:type="spellEnd"/>
      <w:r w:rsidR="00A25420" w:rsidRPr="00A25420">
        <w:rPr>
          <w:rFonts w:ascii="Arial" w:hAnsi="Arial" w:cs="Arial"/>
          <w:sz w:val="24"/>
          <w:szCs w:val="24"/>
        </w:rPr>
        <w:t xml:space="preserve"> cm</w:t>
      </w:r>
      <w:r w:rsidR="00A25420" w:rsidRPr="00A25420">
        <w:rPr>
          <w:rFonts w:ascii="Arial" w:hAnsi="Arial" w:cs="Arial"/>
          <w:sz w:val="24"/>
          <w:szCs w:val="24"/>
          <w:vertAlign w:val="superscript"/>
        </w:rPr>
        <w:t>−1</w:t>
      </w:r>
      <w:r w:rsidR="00A25420" w:rsidRPr="00A25420">
        <w:rPr>
          <w:rFonts w:ascii="Arial" w:hAnsi="Arial" w:cs="Arial"/>
          <w:sz w:val="24"/>
          <w:szCs w:val="24"/>
        </w:rPr>
        <w:t xml:space="preserve"> </w:t>
      </w:r>
      <w:r w:rsidRPr="001D38D0">
        <w:rPr>
          <w:rFonts w:ascii="Arial" w:hAnsi="Arial" w:cs="Arial"/>
          <w:sz w:val="24"/>
          <w:szCs w:val="24"/>
        </w:rPr>
        <w:t xml:space="preserve">under Cutting/Impala, and from 1.92 to 0.78 </w:t>
      </w:r>
      <w:proofErr w:type="spellStart"/>
      <w:r>
        <w:rPr>
          <w:rFonts w:ascii="Arial" w:hAnsi="Arial" w:cs="Arial"/>
          <w:sz w:val="24"/>
          <w:szCs w:val="24"/>
          <w:highlight w:val="yellow"/>
        </w:rPr>
        <w:t>mmho</w:t>
      </w:r>
      <w:proofErr w:type="spellEnd"/>
      <w:r>
        <w:rPr>
          <w:rFonts w:ascii="Arial" w:hAnsi="Arial" w:cs="Arial"/>
          <w:sz w:val="24"/>
          <w:szCs w:val="24"/>
          <w:highlight w:val="yellow"/>
        </w:rPr>
        <w:t xml:space="preserve"> cm−1</w:t>
      </w:r>
      <w:r w:rsidR="00A25420" w:rsidRPr="00A25420">
        <w:rPr>
          <w:rFonts w:ascii="Arial" w:hAnsi="Arial" w:cs="Arial"/>
          <w:sz w:val="24"/>
          <w:szCs w:val="24"/>
        </w:rPr>
        <w:t xml:space="preserve"> </w:t>
      </w:r>
      <w:r w:rsidRPr="001D38D0">
        <w:rPr>
          <w:rFonts w:ascii="Arial" w:hAnsi="Arial" w:cs="Arial"/>
          <w:sz w:val="24"/>
          <w:szCs w:val="24"/>
        </w:rPr>
        <w:t xml:space="preserve">after uprooting. </w:t>
      </w:r>
      <w:r>
        <w:rPr>
          <w:rFonts w:ascii="Arial" w:hAnsi="Arial" w:cs="Arial"/>
          <w:sz w:val="24"/>
          <w:szCs w:val="24"/>
          <w:highlight w:val="yellow"/>
        </w:rPr>
        <w:t>These changes represent reductions in EC</w:t>
      </w:r>
      <w:r>
        <w:rPr>
          <w:rFonts w:ascii="Arial" w:hAnsi="Arial" w:cs="Arial"/>
          <w:sz w:val="24"/>
          <w:szCs w:val="24"/>
        </w:rPr>
        <w:t xml:space="preserve"> of 39.4%, 53.9%, and 59.4%, respectively, indicating that uprooting produced the greatest decline, followed by Cutting/Impala. However, the substantial decline in the untreated control indicates that the overall reduction in EC cannot be attributed exclusively to black-wattle control. Electrical conductivity reflects the concentration </w:t>
      </w:r>
      <w:r w:rsidRPr="001D38D0">
        <w:rPr>
          <w:rFonts w:ascii="Arial" w:hAnsi="Arial" w:cs="Arial"/>
          <w:sz w:val="24"/>
          <w:szCs w:val="24"/>
        </w:rPr>
        <w:t xml:space="preserve">of </w:t>
      </w:r>
      <w:r w:rsidRPr="001D38D0">
        <w:rPr>
          <w:rFonts w:ascii="Arial" w:hAnsi="Arial" w:cs="Arial"/>
          <w:sz w:val="24"/>
          <w:szCs w:val="24"/>
        </w:rPr>
        <w:lastRenderedPageBreak/>
        <w:t xml:space="preserve">soluble ions in soil solution; consequently, variation in EC may result from changes in soluble salts, nutrient ions, soil moisture, </w:t>
      </w:r>
      <w:proofErr w:type="spellStart"/>
      <w:r w:rsidRPr="001D38D0">
        <w:rPr>
          <w:rFonts w:ascii="Arial" w:hAnsi="Arial" w:cs="Arial"/>
          <w:sz w:val="24"/>
          <w:szCs w:val="24"/>
        </w:rPr>
        <w:t>mineralisation</w:t>
      </w:r>
      <w:proofErr w:type="spellEnd"/>
      <w:r w:rsidRPr="001D38D0">
        <w:rPr>
          <w:rFonts w:ascii="Arial" w:hAnsi="Arial" w:cs="Arial"/>
          <w:sz w:val="24"/>
          <w:szCs w:val="24"/>
        </w:rPr>
        <w:t>, plant uptake, and leaching processes rather than from treatment effects alone (Rhoades et al., 1999; Corwin &amp; Lesch, 2005).</w:t>
      </w:r>
    </w:p>
    <w:p w14:paraId="249AE6AD" w14:textId="77777777" w:rsidR="001D38D0" w:rsidRPr="001D38D0" w:rsidRDefault="001D38D0" w:rsidP="004E3011">
      <w:pPr>
        <w:spacing w:line="360" w:lineRule="auto"/>
        <w:jc w:val="both"/>
        <w:rPr>
          <w:rFonts w:ascii="Arial" w:hAnsi="Arial" w:cs="Arial"/>
          <w:sz w:val="24"/>
          <w:szCs w:val="24"/>
        </w:rPr>
      </w:pPr>
      <w:r w:rsidRPr="001D38D0">
        <w:rPr>
          <w:rFonts w:ascii="Arial" w:hAnsi="Arial" w:cs="Arial"/>
          <w:sz w:val="24"/>
          <w:szCs w:val="24"/>
        </w:rPr>
        <w:t>The general decline in EC is consistent with the high-rainfall montane conditions of Nyika National Park, where annual rainfall of approximately 1,700–2,200 mm</w:t>
      </w:r>
      <w:r w:rsidR="009C1E03">
        <w:rPr>
          <w:rFonts w:ascii="Arial" w:hAnsi="Arial" w:cs="Arial"/>
          <w:sz w:val="24"/>
          <w:szCs w:val="24"/>
        </w:rPr>
        <w:t xml:space="preserve"> (Table 1)</w:t>
      </w:r>
      <w:r w:rsidRPr="001D38D0">
        <w:rPr>
          <w:rFonts w:ascii="Arial" w:hAnsi="Arial" w:cs="Arial"/>
          <w:sz w:val="24"/>
          <w:szCs w:val="24"/>
        </w:rPr>
        <w:t xml:space="preserve"> may promote leaching of soluble salts and nutrient cations from the upper soil layer. Mechanical uprooting may have intensified this process by disturbing the soil, exposing the surface, disrupting roots, and increasing the susceptibility of soluble ions to redistribution and leaching. In contrast, the decline under Cutting/Impala may reflect reduced nutrient uptake by killed black-wattle trees, changes in root and litter decomposition, and altered soil microbial and </w:t>
      </w:r>
      <w:proofErr w:type="spellStart"/>
      <w:r w:rsidRPr="001D38D0">
        <w:rPr>
          <w:rFonts w:ascii="Arial" w:hAnsi="Arial" w:cs="Arial"/>
          <w:sz w:val="24"/>
          <w:szCs w:val="24"/>
        </w:rPr>
        <w:t>mineralisation</w:t>
      </w:r>
      <w:proofErr w:type="spellEnd"/>
      <w:r w:rsidRPr="001D38D0">
        <w:rPr>
          <w:rFonts w:ascii="Arial" w:hAnsi="Arial" w:cs="Arial"/>
          <w:sz w:val="24"/>
          <w:szCs w:val="24"/>
        </w:rPr>
        <w:t xml:space="preserve"> processes. Similar research in South African riparian systems has shown that invasive-plant removal and herbicide application can affect soil chemical properties, including EC, but the direction and magnitude of response depend on herbicide type and concentration, soil texture, rainfall, vegetation recovery, and the duration after treatment (</w:t>
      </w:r>
      <w:r w:rsidR="00A07D98">
        <w:rPr>
          <w:rFonts w:ascii="Arial" w:hAnsi="Arial" w:cs="Arial"/>
          <w:sz w:val="24"/>
          <w:szCs w:val="24"/>
        </w:rPr>
        <w:t xml:space="preserve">Jacobs et al., 2013; </w:t>
      </w:r>
      <w:proofErr w:type="spellStart"/>
      <w:r>
        <w:rPr>
          <w:rFonts w:ascii="Arial" w:hAnsi="Arial" w:cs="Arial"/>
          <w:sz w:val="24"/>
          <w:szCs w:val="24"/>
          <w:highlight w:val="yellow"/>
        </w:rPr>
        <w:t>Lusizi</w:t>
      </w:r>
      <w:proofErr w:type="spellEnd"/>
      <w:r>
        <w:rPr>
          <w:rFonts w:ascii="Arial" w:hAnsi="Arial" w:cs="Arial"/>
          <w:sz w:val="24"/>
          <w:szCs w:val="24"/>
          <w:highlight w:val="yellow"/>
        </w:rPr>
        <w:t xml:space="preserve"> et al., 2024</w:t>
      </w:r>
      <w:r w:rsidR="009C1E03">
        <w:rPr>
          <w:rFonts w:ascii="Arial" w:hAnsi="Arial" w:cs="Arial"/>
          <w:sz w:val="24"/>
          <w:szCs w:val="24"/>
        </w:rPr>
        <w:t>).</w:t>
      </w:r>
    </w:p>
    <w:p w14:paraId="6590471F" w14:textId="77777777" w:rsidR="001D38D0" w:rsidRPr="001D38D0" w:rsidRDefault="001D38D0" w:rsidP="004E3011">
      <w:pPr>
        <w:spacing w:line="360" w:lineRule="auto"/>
        <w:jc w:val="both"/>
        <w:rPr>
          <w:rFonts w:ascii="Arial" w:hAnsi="Arial" w:cs="Arial"/>
          <w:sz w:val="24"/>
          <w:szCs w:val="24"/>
        </w:rPr>
      </w:pPr>
      <w:r w:rsidRPr="001D38D0">
        <w:rPr>
          <w:rFonts w:ascii="Arial" w:hAnsi="Arial" w:cs="Arial"/>
          <w:sz w:val="24"/>
          <w:szCs w:val="24"/>
        </w:rPr>
        <w:t xml:space="preserve">The post-treatment EC values of 0.78–1.09 </w:t>
      </w:r>
      <w:proofErr w:type="spellStart"/>
      <w:r>
        <w:rPr>
          <w:rFonts w:ascii="Arial" w:hAnsi="Arial" w:cs="Arial"/>
          <w:sz w:val="24"/>
          <w:szCs w:val="24"/>
          <w:highlight w:val="yellow"/>
        </w:rPr>
        <w:t>mmho</w:t>
      </w:r>
      <w:proofErr w:type="spellEnd"/>
      <w:r>
        <w:rPr>
          <w:rFonts w:ascii="Arial" w:hAnsi="Arial" w:cs="Arial"/>
          <w:sz w:val="24"/>
          <w:szCs w:val="24"/>
          <w:highlight w:val="yellow"/>
        </w:rPr>
        <w:t xml:space="preserve"> cm−1 (equivalent to 0.78–1.09 </w:t>
      </w:r>
      <w:proofErr w:type="spellStart"/>
      <w:r>
        <w:rPr>
          <w:rFonts w:ascii="Arial" w:hAnsi="Arial" w:cs="Arial"/>
          <w:sz w:val="24"/>
          <w:szCs w:val="24"/>
          <w:highlight w:val="yellow"/>
        </w:rPr>
        <w:t>dS</w:t>
      </w:r>
      <w:proofErr w:type="spellEnd"/>
      <w:r>
        <w:rPr>
          <w:rFonts w:ascii="Arial" w:hAnsi="Arial" w:cs="Arial"/>
          <w:sz w:val="24"/>
          <w:szCs w:val="24"/>
          <w:highlight w:val="yellow"/>
        </w:rPr>
        <w:t xml:space="preserve"> m−1) indicate</w:t>
      </w:r>
      <w:r w:rsidRPr="001D38D0">
        <w:rPr>
          <w:rFonts w:ascii="Arial" w:hAnsi="Arial" w:cs="Arial"/>
          <w:sz w:val="24"/>
          <w:szCs w:val="24"/>
        </w:rPr>
        <w:t xml:space="preserve"> non-saline conditions and are unlikely to constrain the establishmen</w:t>
      </w:r>
      <w:r w:rsidR="00742459">
        <w:rPr>
          <w:rFonts w:ascii="Arial" w:hAnsi="Arial" w:cs="Arial"/>
          <w:sz w:val="24"/>
          <w:szCs w:val="24"/>
        </w:rPr>
        <w:t>t of most native plant species (United States Department of Agriculture, Natural Resources Conservation Service, 2022)</w:t>
      </w:r>
      <w:r w:rsidRPr="001D38D0">
        <w:rPr>
          <w:rFonts w:ascii="Arial" w:hAnsi="Arial" w:cs="Arial"/>
          <w:sz w:val="24"/>
          <w:szCs w:val="24"/>
        </w:rPr>
        <w:t xml:space="preserve">. The reduction in EC should therefore not automatically be interpreted as improved soil quality because it may also reflect leaching of essential nutrient cations. Future monitoring should assess EC together with soluble calcium, magnesium, potassium, sodium, nitrate, soil moisture, and vegetation recovery to distinguish beneficial salt reduction from nutrient depletion </w:t>
      </w:r>
      <w:r>
        <w:rPr>
          <w:rFonts w:ascii="Arial" w:hAnsi="Arial" w:cs="Arial"/>
          <w:sz w:val="24"/>
          <w:szCs w:val="24"/>
          <w:highlight w:val="yellow"/>
        </w:rPr>
        <w:t>following black-wattle control (Food and Agriculture Organization of the United Nations, 2021).</w:t>
      </w:r>
    </w:p>
    <w:p w14:paraId="6B056D04" w14:textId="77777777" w:rsidR="001F705F" w:rsidRDefault="001F705F" w:rsidP="001F705F">
      <w:pPr>
        <w:spacing w:after="0" w:line="240" w:lineRule="auto"/>
        <w:rPr>
          <w:rFonts w:ascii="Arial" w:eastAsia="Times New Roman" w:hAnsi="Arial" w:cs="Arial"/>
          <w:b/>
          <w:color w:val="000000"/>
          <w:sz w:val="24"/>
          <w:szCs w:val="24"/>
        </w:rPr>
      </w:pPr>
      <w:r>
        <w:rPr>
          <w:rFonts w:ascii="Arial" w:eastAsia="Times New Roman" w:hAnsi="Arial" w:cs="Arial"/>
          <w:b/>
          <w:color w:val="000000"/>
          <w:sz w:val="24"/>
          <w:szCs w:val="24"/>
          <w:highlight w:val="yellow"/>
        </w:rPr>
        <w:t>Soil carbon stocks</w:t>
      </w:r>
    </w:p>
    <w:p w14:paraId="4A341CDA" w14:textId="77777777" w:rsidR="00E13B30" w:rsidRDefault="00E13B30" w:rsidP="001F705F">
      <w:pPr>
        <w:spacing w:after="0" w:line="240" w:lineRule="auto"/>
        <w:rPr>
          <w:rFonts w:ascii="Arial" w:eastAsia="Times New Roman" w:hAnsi="Arial" w:cs="Arial"/>
          <w:b/>
          <w:color w:val="000000"/>
          <w:sz w:val="24"/>
          <w:szCs w:val="24"/>
        </w:rPr>
      </w:pPr>
    </w:p>
    <w:p w14:paraId="4C43AE56" w14:textId="77777777" w:rsidR="00CE31C2" w:rsidRPr="00CE31C2" w:rsidRDefault="00CE31C2" w:rsidP="00CE31C2">
      <w:pPr>
        <w:spacing w:after="0" w:line="360" w:lineRule="auto"/>
        <w:jc w:val="both"/>
        <w:rPr>
          <w:rFonts w:ascii="Arial" w:eastAsia="Times New Roman" w:hAnsi="Arial" w:cs="Arial"/>
          <w:color w:val="000000"/>
          <w:sz w:val="24"/>
          <w:szCs w:val="24"/>
        </w:rPr>
      </w:pPr>
      <w:r w:rsidRPr="00CE31C2">
        <w:rPr>
          <w:rFonts w:ascii="Arial" w:eastAsia="Times New Roman" w:hAnsi="Arial" w:cs="Arial"/>
          <w:color w:val="000000"/>
          <w:sz w:val="24"/>
          <w:szCs w:val="24"/>
        </w:rPr>
        <w:t>Soil organic carbon (SOC) stocks increased numerically under both black-wattle control treatments but declined in the untreated control. Mechanical uprooting increased SOC from 68.88 to 74.95 Mg C ha</w:t>
      </w:r>
      <w:r w:rsidRPr="001C6C28">
        <w:rPr>
          <w:rFonts w:ascii="Arial" w:eastAsia="Times New Roman" w:hAnsi="Arial" w:cs="Arial"/>
          <w:color w:val="000000"/>
          <w:sz w:val="24"/>
          <w:szCs w:val="24"/>
          <w:vertAlign w:val="superscript"/>
        </w:rPr>
        <w:t>−1</w:t>
      </w:r>
      <w:r w:rsidRPr="00CE31C2">
        <w:rPr>
          <w:rFonts w:ascii="Arial" w:eastAsia="Times New Roman" w:hAnsi="Arial" w:cs="Arial"/>
          <w:color w:val="000000"/>
          <w:sz w:val="24"/>
          <w:szCs w:val="24"/>
        </w:rPr>
        <w:t xml:space="preserve">, representing an 8.8% increase, whereas Cutting/Impala increased SOC from 64.82 to 93.18 </w:t>
      </w:r>
      <w:r w:rsidR="004F5723" w:rsidRPr="004F5723">
        <w:rPr>
          <w:rFonts w:ascii="Arial" w:eastAsia="Times New Roman" w:hAnsi="Arial" w:cs="Arial"/>
          <w:color w:val="000000"/>
          <w:sz w:val="24"/>
          <w:szCs w:val="24"/>
        </w:rPr>
        <w:t>Mg C ha</w:t>
      </w:r>
      <w:r w:rsidR="004F5723" w:rsidRPr="004F5723">
        <w:rPr>
          <w:rFonts w:ascii="Arial" w:eastAsia="Times New Roman" w:hAnsi="Arial" w:cs="Arial"/>
          <w:color w:val="000000"/>
          <w:sz w:val="24"/>
          <w:szCs w:val="24"/>
          <w:vertAlign w:val="superscript"/>
        </w:rPr>
        <w:t>−1</w:t>
      </w:r>
      <w:r w:rsidRPr="00CE31C2">
        <w:rPr>
          <w:rFonts w:ascii="Arial" w:eastAsia="Times New Roman" w:hAnsi="Arial" w:cs="Arial"/>
          <w:color w:val="000000"/>
          <w:sz w:val="24"/>
          <w:szCs w:val="24"/>
        </w:rPr>
        <w:t xml:space="preserve">, representing a 43.8% increase. In contrast, SOC in the control declined from 72.93 to 66.85 </w:t>
      </w:r>
      <w:r w:rsidR="004F5723" w:rsidRPr="004F5723">
        <w:rPr>
          <w:rFonts w:ascii="Arial" w:eastAsia="Times New Roman" w:hAnsi="Arial" w:cs="Arial"/>
          <w:color w:val="000000"/>
          <w:sz w:val="24"/>
          <w:szCs w:val="24"/>
        </w:rPr>
        <w:t>Mg C ha</w:t>
      </w:r>
      <w:r w:rsidR="004F5723" w:rsidRPr="004F5723">
        <w:rPr>
          <w:rFonts w:ascii="Arial" w:eastAsia="Times New Roman" w:hAnsi="Arial" w:cs="Arial"/>
          <w:color w:val="000000"/>
          <w:sz w:val="24"/>
          <w:szCs w:val="24"/>
          <w:vertAlign w:val="superscript"/>
        </w:rPr>
        <w:t>−1</w:t>
      </w:r>
      <w:r w:rsidRPr="00CE31C2">
        <w:rPr>
          <w:rFonts w:ascii="Arial" w:eastAsia="Times New Roman" w:hAnsi="Arial" w:cs="Arial"/>
          <w:color w:val="000000"/>
          <w:sz w:val="24"/>
          <w:szCs w:val="24"/>
        </w:rPr>
        <w:t xml:space="preserve">, an 8.3% reduction. Although the proportional SOC increase under Cutting/Impala was approximately five times larger than that observed under uprooting, the differences among treatments were not statistically significant </w:t>
      </w:r>
      <w:r w:rsidR="00B24EE5">
        <w:rPr>
          <w:rFonts w:ascii="Arial" w:eastAsia="Times New Roman" w:hAnsi="Arial" w:cs="Arial"/>
          <w:color w:val="000000"/>
          <w:sz w:val="24"/>
          <w:szCs w:val="24"/>
        </w:rPr>
        <w:t>(</w:t>
      </w:r>
      <w:r w:rsidRPr="00CE31C2">
        <w:rPr>
          <w:rFonts w:ascii="Arial" w:eastAsia="Times New Roman" w:hAnsi="Arial" w:cs="Arial"/>
          <w:color w:val="000000"/>
          <w:sz w:val="24"/>
          <w:szCs w:val="24"/>
        </w:rPr>
        <w:t xml:space="preserve">P=0.310). </w:t>
      </w:r>
      <w:r w:rsidRPr="00CE31C2">
        <w:rPr>
          <w:rFonts w:ascii="Arial" w:eastAsia="Times New Roman" w:hAnsi="Arial" w:cs="Arial"/>
          <w:color w:val="000000"/>
          <w:sz w:val="24"/>
          <w:szCs w:val="24"/>
        </w:rPr>
        <w:lastRenderedPageBreak/>
        <w:t>Therefore, the results indicate a numerical tendency toward greater short-term SOC accumulation under Cutting/Impala, but they do not provide conclusive statistical evidence that either treatment altered</w:t>
      </w:r>
      <w:r w:rsidR="00B24EE5">
        <w:rPr>
          <w:rFonts w:ascii="Arial" w:eastAsia="Times New Roman" w:hAnsi="Arial" w:cs="Arial"/>
          <w:color w:val="000000"/>
          <w:sz w:val="24"/>
          <w:szCs w:val="24"/>
        </w:rPr>
        <w:t xml:space="preserve"> SOC stocks </w:t>
      </w:r>
      <w:r>
        <w:rPr>
          <w:rFonts w:ascii="Arial" w:eastAsia="Times New Roman" w:hAnsi="Arial" w:cs="Arial"/>
          <w:color w:val="000000"/>
          <w:sz w:val="24"/>
          <w:szCs w:val="24"/>
          <w:highlight w:val="yellow"/>
        </w:rPr>
        <w:t>during the four-year study period</w:t>
      </w:r>
      <w:r w:rsidRPr="00CE31C2">
        <w:rPr>
          <w:rFonts w:ascii="Arial" w:eastAsia="Times New Roman" w:hAnsi="Arial" w:cs="Arial"/>
          <w:color w:val="000000"/>
          <w:sz w:val="24"/>
          <w:szCs w:val="24"/>
        </w:rPr>
        <w:t>.</w:t>
      </w:r>
    </w:p>
    <w:p w14:paraId="5B83FC99" w14:textId="77777777" w:rsidR="00CE31C2" w:rsidRDefault="00CE31C2" w:rsidP="00CE31C2">
      <w:pPr>
        <w:spacing w:after="0" w:line="360" w:lineRule="auto"/>
        <w:jc w:val="both"/>
        <w:rPr>
          <w:rFonts w:ascii="Arial" w:eastAsia="Times New Roman" w:hAnsi="Arial" w:cs="Arial"/>
          <w:color w:val="000000"/>
          <w:sz w:val="24"/>
          <w:szCs w:val="24"/>
        </w:rPr>
      </w:pPr>
    </w:p>
    <w:p w14:paraId="717E4DE0" w14:textId="77777777" w:rsidR="00CE31C2" w:rsidRDefault="00CE31C2" w:rsidP="00CE31C2">
      <w:pPr>
        <w:spacing w:after="0" w:line="360" w:lineRule="auto"/>
        <w:jc w:val="both"/>
        <w:rPr>
          <w:rFonts w:ascii="Arial" w:eastAsia="Times New Roman" w:hAnsi="Arial" w:cs="Arial"/>
          <w:color w:val="000000"/>
          <w:sz w:val="24"/>
          <w:szCs w:val="24"/>
        </w:rPr>
      </w:pPr>
      <w:r w:rsidRPr="00CE31C2">
        <w:rPr>
          <w:rFonts w:ascii="Arial" w:eastAsia="Times New Roman" w:hAnsi="Arial" w:cs="Arial"/>
          <w:color w:val="000000"/>
          <w:sz w:val="24"/>
          <w:szCs w:val="24"/>
        </w:rPr>
        <w:t xml:space="preserve">The relatively large SOC increase under Cutting/Impala may be associated with reduced physical soil disturbance and the retention of cut biomass, stumps, roots, and litter within the treated plots. These residues can continue to supply organic carbon during decomposition while preserving soil aggregation and limiting exposure of protected organic matter to oxidation and erosion. In contrast, uprooting may disturb soil aggregates, redistribute organic matter, expose carbon-rich soil to aeration, and increase susceptibility to runoff and erosion. However, the modest SOC increase under uprooting suggests that residual root biomass, regenerated vegetation, and variation in bulk density may have partially offset potential carbon losses. </w:t>
      </w:r>
      <w:r>
        <w:rPr>
          <w:rFonts w:ascii="Arial" w:eastAsia="Times New Roman" w:hAnsi="Arial" w:cs="Arial"/>
          <w:color w:val="000000"/>
          <w:sz w:val="24"/>
          <w:szCs w:val="24"/>
          <w:highlight w:val="yellow"/>
        </w:rPr>
        <w:t>Furthermore, the quantification of soil carbon stocks is</w:t>
      </w:r>
      <w:r w:rsidR="00F177AF">
        <w:rPr>
          <w:rFonts w:ascii="Arial" w:eastAsia="Times New Roman" w:hAnsi="Arial" w:cs="Arial"/>
          <w:color w:val="000000"/>
          <w:sz w:val="24"/>
          <w:szCs w:val="24"/>
        </w:rPr>
        <w:t xml:space="preserve"> largely</w:t>
      </w:r>
      <w:r w:rsidRPr="00CE31C2">
        <w:rPr>
          <w:rFonts w:ascii="Arial" w:eastAsia="Times New Roman" w:hAnsi="Arial" w:cs="Arial"/>
          <w:color w:val="000000"/>
          <w:sz w:val="24"/>
          <w:szCs w:val="24"/>
        </w:rPr>
        <w:t xml:space="preserve"> influenced by SOC concentration, bulk density, sampling depth, and coarse-fragment content; variation in any of these factors can affect calculated SOC stocks (Ellert &amp; Bettany, 1995; </w:t>
      </w:r>
      <w:proofErr w:type="spellStart"/>
      <w:r w:rsidRPr="00CE31C2">
        <w:rPr>
          <w:rFonts w:ascii="Arial" w:eastAsia="Times New Roman" w:hAnsi="Arial" w:cs="Arial"/>
          <w:color w:val="000000"/>
          <w:sz w:val="24"/>
          <w:szCs w:val="24"/>
        </w:rPr>
        <w:t>Poeplau</w:t>
      </w:r>
      <w:proofErr w:type="spellEnd"/>
      <w:r w:rsidRPr="00CE31C2">
        <w:rPr>
          <w:rFonts w:ascii="Arial" w:eastAsia="Times New Roman" w:hAnsi="Arial" w:cs="Arial"/>
          <w:color w:val="000000"/>
          <w:sz w:val="24"/>
          <w:szCs w:val="24"/>
        </w:rPr>
        <w:t xml:space="preserve"> et al., 2017).</w:t>
      </w:r>
    </w:p>
    <w:p w14:paraId="157E717B" w14:textId="77777777" w:rsidR="0037060D" w:rsidRPr="0037060D" w:rsidRDefault="0037060D" w:rsidP="00CE31C2">
      <w:pPr>
        <w:spacing w:after="0" w:line="360" w:lineRule="auto"/>
        <w:jc w:val="both"/>
        <w:rPr>
          <w:rFonts w:ascii="Arial" w:eastAsia="Times New Roman" w:hAnsi="Arial" w:cs="Arial"/>
          <w:color w:val="000000"/>
          <w:sz w:val="16"/>
          <w:szCs w:val="16"/>
        </w:rPr>
      </w:pPr>
    </w:p>
    <w:p w14:paraId="2ED42CC3" w14:textId="77777777" w:rsidR="00CE31C2" w:rsidRPr="00CE31C2" w:rsidRDefault="00CE31C2" w:rsidP="00CE31C2">
      <w:pPr>
        <w:spacing w:after="0" w:line="360" w:lineRule="auto"/>
        <w:jc w:val="both"/>
        <w:rPr>
          <w:rFonts w:ascii="Arial" w:eastAsia="Times New Roman" w:hAnsi="Arial" w:cs="Arial"/>
          <w:color w:val="000000"/>
          <w:sz w:val="24"/>
          <w:szCs w:val="24"/>
        </w:rPr>
      </w:pPr>
      <w:r w:rsidRPr="00CE31C2">
        <w:rPr>
          <w:rFonts w:ascii="Arial" w:eastAsia="Times New Roman" w:hAnsi="Arial" w:cs="Arial"/>
          <w:color w:val="000000"/>
          <w:sz w:val="24"/>
          <w:szCs w:val="24"/>
        </w:rPr>
        <w:t xml:space="preserve">The present results agree with studies showing that SOC responses to </w:t>
      </w:r>
      <w:r w:rsidRPr="00CE31C2">
        <w:rPr>
          <w:rFonts w:ascii="Arial" w:eastAsia="Times New Roman" w:hAnsi="Arial" w:cs="Arial"/>
          <w:i/>
          <w:iCs/>
          <w:color w:val="000000"/>
          <w:sz w:val="24"/>
          <w:szCs w:val="24"/>
        </w:rPr>
        <w:t xml:space="preserve">Acacia </w:t>
      </w:r>
      <w:proofErr w:type="spellStart"/>
      <w:r w:rsidRPr="00CE31C2">
        <w:rPr>
          <w:rFonts w:ascii="Arial" w:eastAsia="Times New Roman" w:hAnsi="Arial" w:cs="Arial"/>
          <w:i/>
          <w:iCs/>
          <w:color w:val="000000"/>
          <w:sz w:val="24"/>
          <w:szCs w:val="24"/>
        </w:rPr>
        <w:t>mearnsii</w:t>
      </w:r>
      <w:proofErr w:type="spellEnd"/>
      <w:r w:rsidRPr="00CE31C2">
        <w:rPr>
          <w:rFonts w:ascii="Arial" w:eastAsia="Times New Roman" w:hAnsi="Arial" w:cs="Arial"/>
          <w:color w:val="000000"/>
          <w:sz w:val="24"/>
          <w:szCs w:val="24"/>
        </w:rPr>
        <w:t xml:space="preserve"> invasion and removal are strongly site dependent. Black-wattle stands can increase carbon inputs through woody biomass, litter accumulation, and root turnover, but subsequent clearing can reduce, retain, or redistribute carbon depending on the clearing method, duration of invasion, rainfall, soil texture, erosion, residue management, and recovery of native vegetation. </w:t>
      </w:r>
      <w:proofErr w:type="spellStart"/>
      <w:r w:rsidRPr="00CE31C2">
        <w:rPr>
          <w:rFonts w:ascii="Arial" w:eastAsia="Times New Roman" w:hAnsi="Arial" w:cs="Arial"/>
          <w:color w:val="000000"/>
          <w:sz w:val="24"/>
          <w:szCs w:val="24"/>
        </w:rPr>
        <w:t>Lusizi</w:t>
      </w:r>
      <w:proofErr w:type="spellEnd"/>
      <w:r w:rsidRPr="00CE31C2">
        <w:rPr>
          <w:rFonts w:ascii="Arial" w:eastAsia="Times New Roman" w:hAnsi="Arial" w:cs="Arial"/>
          <w:color w:val="000000"/>
          <w:sz w:val="24"/>
          <w:szCs w:val="24"/>
        </w:rPr>
        <w:t xml:space="preserve"> et al. (2024) found that </w:t>
      </w:r>
      <w:r>
        <w:rPr>
          <w:rFonts w:ascii="Arial" w:eastAsia="Times New Roman" w:hAnsi="Arial" w:cs="Arial"/>
          <w:color w:val="000000"/>
          <w:sz w:val="24"/>
          <w:szCs w:val="24"/>
          <w:highlight w:val="yellow"/>
        </w:rPr>
        <w:t>soils under invasive black wattle often</w:t>
      </w:r>
      <w:r w:rsidRPr="00CE31C2">
        <w:rPr>
          <w:rFonts w:ascii="Arial" w:eastAsia="Times New Roman" w:hAnsi="Arial" w:cs="Arial"/>
          <w:color w:val="000000"/>
          <w:sz w:val="24"/>
          <w:szCs w:val="24"/>
        </w:rPr>
        <w:t xml:space="preserve"> have higher SOC than cleared sites, although responses after clearing vary substantially across South African landscapes. Similarly, </w:t>
      </w:r>
      <w:proofErr w:type="spellStart"/>
      <w:r w:rsidRPr="00CE31C2">
        <w:rPr>
          <w:rFonts w:ascii="Arial" w:eastAsia="Times New Roman" w:hAnsi="Arial" w:cs="Arial"/>
          <w:color w:val="000000"/>
          <w:sz w:val="24"/>
          <w:szCs w:val="24"/>
        </w:rPr>
        <w:t>Oelofse</w:t>
      </w:r>
      <w:proofErr w:type="spellEnd"/>
      <w:r w:rsidRPr="00CE31C2">
        <w:rPr>
          <w:rFonts w:ascii="Arial" w:eastAsia="Times New Roman" w:hAnsi="Arial" w:cs="Arial"/>
          <w:color w:val="000000"/>
          <w:sz w:val="24"/>
          <w:szCs w:val="24"/>
        </w:rPr>
        <w:t xml:space="preserve"> et al. (2016) reported contrasting soil-carbon responses to black-wattle encroachment across Eastern Cape grassland sites, confirming that invasion age and local environmental conditions influence carbon outcomes. Consequently, the higher SOC under Cutting/Impala may reflect temporary retention and decomposition of black-wattle residues rather than permanent carbon sequestration; longer-term monitoring of SOC, bulk density, litter, root biomass, soil respiration, erosion, and native-vegetation recovery is required to determine </w:t>
      </w:r>
      <w:r>
        <w:rPr>
          <w:rFonts w:ascii="Arial" w:eastAsia="Times New Roman" w:hAnsi="Arial" w:cs="Arial"/>
          <w:color w:val="000000"/>
          <w:sz w:val="24"/>
          <w:szCs w:val="24"/>
          <w:highlight w:val="yellow"/>
        </w:rPr>
        <w:t>whether this apparent advantage persists.</w:t>
      </w:r>
    </w:p>
    <w:p w14:paraId="1CC60DB5" w14:textId="77777777" w:rsidR="00CE31C2" w:rsidRDefault="00CE31C2" w:rsidP="001F705F">
      <w:pPr>
        <w:spacing w:after="0" w:line="240" w:lineRule="auto"/>
        <w:rPr>
          <w:rFonts w:ascii="Arial" w:eastAsia="Times New Roman" w:hAnsi="Arial" w:cs="Arial"/>
          <w:color w:val="000000"/>
          <w:sz w:val="24"/>
          <w:szCs w:val="24"/>
        </w:rPr>
      </w:pPr>
    </w:p>
    <w:p w14:paraId="75089C90" w14:textId="77777777" w:rsidR="00CE31C2" w:rsidRDefault="00CE31C2" w:rsidP="001F705F">
      <w:pPr>
        <w:spacing w:after="0" w:line="240" w:lineRule="auto"/>
        <w:rPr>
          <w:rFonts w:ascii="Arial" w:eastAsia="Times New Roman" w:hAnsi="Arial" w:cs="Arial"/>
          <w:color w:val="000000"/>
          <w:sz w:val="24"/>
          <w:szCs w:val="24"/>
        </w:rPr>
      </w:pPr>
    </w:p>
    <w:p w14:paraId="666B28E9" w14:textId="77777777" w:rsidR="001F705F" w:rsidRDefault="001F705F" w:rsidP="00204250">
      <w:pPr>
        <w:rPr>
          <w:rFonts w:ascii="Arial" w:hAnsi="Arial" w:cs="Arial"/>
          <w:b/>
          <w:sz w:val="24"/>
          <w:szCs w:val="24"/>
        </w:rPr>
      </w:pPr>
      <w:r>
        <w:rPr>
          <w:rFonts w:ascii="Arial" w:hAnsi="Arial" w:cs="Arial"/>
          <w:b/>
          <w:sz w:val="24"/>
          <w:szCs w:val="24"/>
        </w:rPr>
        <w:lastRenderedPageBreak/>
        <w:t>Total Nitrogen</w:t>
      </w:r>
    </w:p>
    <w:p w14:paraId="380D625D" w14:textId="77777777" w:rsidR="00BD4482" w:rsidRPr="00BD4482" w:rsidRDefault="00BD4482" w:rsidP="00BD4482">
      <w:pPr>
        <w:spacing w:line="360" w:lineRule="auto"/>
        <w:jc w:val="both"/>
        <w:rPr>
          <w:rFonts w:ascii="Arial" w:hAnsi="Arial" w:cs="Arial"/>
          <w:sz w:val="24"/>
          <w:szCs w:val="24"/>
        </w:rPr>
      </w:pPr>
      <w:r w:rsidRPr="00BD4482">
        <w:rPr>
          <w:rFonts w:ascii="Arial" w:hAnsi="Arial" w:cs="Arial"/>
          <w:sz w:val="24"/>
          <w:szCs w:val="24"/>
        </w:rPr>
        <w:t>Total nitrogen (TN) declined under all treatments during the study period, although the reductions were substantially greater in plots subjected to black-wattle control. TN decreased from 2.52% to 0.61%</w:t>
      </w:r>
      <w:r w:rsidR="0037060D">
        <w:rPr>
          <w:rFonts w:ascii="Arial" w:hAnsi="Arial" w:cs="Arial"/>
          <w:sz w:val="24"/>
          <w:szCs w:val="24"/>
        </w:rPr>
        <w:t xml:space="preserve"> (Table 3)</w:t>
      </w:r>
      <w:r w:rsidRPr="00BD4482">
        <w:rPr>
          <w:rFonts w:ascii="Arial" w:hAnsi="Arial" w:cs="Arial"/>
          <w:sz w:val="24"/>
          <w:szCs w:val="24"/>
        </w:rPr>
        <w:t xml:space="preserve"> under mechanical uprooting, equivalent to a 75.8% decline, and from 2.51% to 0.62% under Cutting/Impala, representing a 75.3% decline. In contrast, the untreated control declined from 2.48% to 1.71%, corresponding to a smaller reduction of approximately 31.0%. The ANOVA results indicated significant differences among </w:t>
      </w:r>
      <w:proofErr w:type="gramStart"/>
      <w:r w:rsidRPr="00BD4482">
        <w:rPr>
          <w:rFonts w:ascii="Arial" w:hAnsi="Arial" w:cs="Arial"/>
          <w:sz w:val="24"/>
          <w:szCs w:val="24"/>
        </w:rPr>
        <w:t xml:space="preserve">treatments </w:t>
      </w:r>
      <w:r w:rsidR="0037060D">
        <w:rPr>
          <w:rFonts w:ascii="Arial" w:hAnsi="Arial" w:cs="Arial"/>
          <w:sz w:val="24"/>
          <w:szCs w:val="24"/>
        </w:rPr>
        <w:t xml:space="preserve"> </w:t>
      </w:r>
      <w:r w:rsidRPr="00BD4482">
        <w:rPr>
          <w:rFonts w:ascii="Arial" w:hAnsi="Arial" w:cs="Arial"/>
          <w:sz w:val="24"/>
          <w:szCs w:val="24"/>
        </w:rPr>
        <w:t>(</w:t>
      </w:r>
      <w:proofErr w:type="gramEnd"/>
      <w:r w:rsidR="0037060D" w:rsidRPr="00BD4482">
        <w:rPr>
          <w:rFonts w:ascii="Arial" w:hAnsi="Arial" w:cs="Arial"/>
          <w:i/>
          <w:iCs/>
          <w:sz w:val="24"/>
          <w:szCs w:val="24"/>
        </w:rPr>
        <w:t>P</w:t>
      </w:r>
      <w:r w:rsidR="0037060D">
        <w:rPr>
          <w:rFonts w:ascii="Arial" w:hAnsi="Arial" w:cs="Arial"/>
          <w:i/>
          <w:iCs/>
          <w:sz w:val="24"/>
          <w:szCs w:val="24"/>
        </w:rPr>
        <w:t xml:space="preserve"> </w:t>
      </w:r>
      <w:r w:rsidR="0037060D" w:rsidRPr="00BD4482">
        <w:rPr>
          <w:rFonts w:ascii="Arial" w:hAnsi="Arial" w:cs="Arial"/>
          <w:sz w:val="24"/>
          <w:szCs w:val="24"/>
        </w:rPr>
        <w:t>&lt;</w:t>
      </w:r>
      <w:r w:rsidR="0037060D">
        <w:rPr>
          <w:rFonts w:ascii="Arial" w:hAnsi="Arial" w:cs="Arial"/>
          <w:sz w:val="24"/>
          <w:szCs w:val="24"/>
        </w:rPr>
        <w:t xml:space="preserve"> 0.05)</w:t>
      </w:r>
      <w:r w:rsidRPr="00BD4482">
        <w:rPr>
          <w:rFonts w:ascii="Arial" w:hAnsi="Arial" w:cs="Arial"/>
          <w:sz w:val="24"/>
          <w:szCs w:val="24"/>
        </w:rPr>
        <w:t xml:space="preserve">. The broadly similar post-treatment TN concentrations under uprooting and Cutting/Impala suggest that both methods were associated with </w:t>
      </w:r>
      <w:r>
        <w:rPr>
          <w:rFonts w:ascii="Arial" w:hAnsi="Arial" w:cs="Arial"/>
          <w:sz w:val="24"/>
          <w:szCs w:val="24"/>
          <w:highlight w:val="yellow"/>
        </w:rPr>
        <w:t>substantial reductions in soil N</w:t>
      </w:r>
      <w:r>
        <w:rPr>
          <w:rFonts w:ascii="Arial" w:hAnsi="Arial" w:cs="Arial"/>
          <w:sz w:val="24"/>
          <w:szCs w:val="24"/>
        </w:rPr>
        <w:t xml:space="preserve"> relative to the untreated control.</w:t>
      </w:r>
    </w:p>
    <w:p w14:paraId="74835CF4" w14:textId="77777777" w:rsidR="00BD4482" w:rsidRPr="00BD4482" w:rsidRDefault="00BD4482" w:rsidP="00BD4482">
      <w:pPr>
        <w:spacing w:line="360" w:lineRule="auto"/>
        <w:jc w:val="both"/>
        <w:rPr>
          <w:rFonts w:ascii="Arial" w:hAnsi="Arial" w:cs="Arial"/>
          <w:sz w:val="24"/>
          <w:szCs w:val="24"/>
        </w:rPr>
      </w:pPr>
      <w:r w:rsidRPr="00BD4482">
        <w:rPr>
          <w:rFonts w:ascii="Arial" w:hAnsi="Arial" w:cs="Arial"/>
          <w:sz w:val="24"/>
          <w:szCs w:val="24"/>
        </w:rPr>
        <w:t>The marked decline in TN following black-wattle control is ecologically plausible because </w:t>
      </w:r>
      <w:r w:rsidRPr="00BD4482">
        <w:rPr>
          <w:rFonts w:ascii="Arial" w:hAnsi="Arial" w:cs="Arial"/>
          <w:i/>
          <w:iCs/>
          <w:sz w:val="24"/>
          <w:szCs w:val="24"/>
        </w:rPr>
        <w:t xml:space="preserve">Acacia </w:t>
      </w:r>
      <w:proofErr w:type="spellStart"/>
      <w:r w:rsidRPr="00BD4482">
        <w:rPr>
          <w:rFonts w:ascii="Arial" w:hAnsi="Arial" w:cs="Arial"/>
          <w:i/>
          <w:iCs/>
          <w:sz w:val="24"/>
          <w:szCs w:val="24"/>
        </w:rPr>
        <w:t>mearnsii</w:t>
      </w:r>
      <w:proofErr w:type="spellEnd"/>
      <w:r w:rsidRPr="00BD4482">
        <w:rPr>
          <w:rFonts w:ascii="Arial" w:hAnsi="Arial" w:cs="Arial"/>
          <w:sz w:val="24"/>
          <w:szCs w:val="24"/>
        </w:rPr>
        <w:t xml:space="preserve"> is a nitrogen-fixing leguminous tree. Through symbiotic associations with rhizobia, black wattle can convert atmospheric nitrogen into biologically available forms and enrich soils through root turnover, litterfall, and decomposition of nitrogen-rich biomass. Measurements from black-wattle plantation systems have demonstrated that biological nitrogen fixation can make substantial contributions to soil N inputs, although the magnitude varies considerably with stand age, environmental conditions, </w:t>
      </w:r>
      <w:proofErr w:type="spellStart"/>
      <w:r w:rsidRPr="00BD4482">
        <w:rPr>
          <w:rFonts w:ascii="Arial" w:hAnsi="Arial" w:cs="Arial"/>
          <w:sz w:val="24"/>
          <w:szCs w:val="24"/>
        </w:rPr>
        <w:t>rhizobial</w:t>
      </w:r>
      <w:proofErr w:type="spellEnd"/>
      <w:r w:rsidRPr="00BD4482">
        <w:rPr>
          <w:rFonts w:ascii="Arial" w:hAnsi="Arial" w:cs="Arial"/>
          <w:sz w:val="24"/>
          <w:szCs w:val="24"/>
        </w:rPr>
        <w:t xml:space="preserve"> effectiveness, and management practices </w:t>
      </w:r>
      <w:r>
        <w:rPr>
          <w:rFonts w:ascii="Arial" w:hAnsi="Arial" w:cs="Arial"/>
          <w:sz w:val="24"/>
          <w:szCs w:val="24"/>
          <w:highlight w:val="yellow"/>
        </w:rPr>
        <w:t>(Forrester et al., 2007)</w:t>
      </w:r>
      <w:r>
        <w:rPr>
          <w:rFonts w:ascii="Arial" w:hAnsi="Arial" w:cs="Arial"/>
          <w:sz w:val="24"/>
          <w:szCs w:val="24"/>
        </w:rPr>
        <w:t xml:space="preserve">. Removal or killing of black-wattle trees stops this ongoing source of biological nitrogen fixation, while the removal of biomass through uprooting or the death of trees after herbicide treatment can modify the balance between N inputs, uptake, </w:t>
      </w:r>
      <w:proofErr w:type="spellStart"/>
      <w:r w:rsidRPr="00BD4482">
        <w:rPr>
          <w:rFonts w:ascii="Arial" w:hAnsi="Arial" w:cs="Arial"/>
          <w:sz w:val="24"/>
          <w:szCs w:val="24"/>
        </w:rPr>
        <w:t>mineralisation</w:t>
      </w:r>
      <w:proofErr w:type="spellEnd"/>
      <w:r w:rsidRPr="00BD4482">
        <w:rPr>
          <w:rFonts w:ascii="Arial" w:hAnsi="Arial" w:cs="Arial"/>
          <w:sz w:val="24"/>
          <w:szCs w:val="24"/>
        </w:rPr>
        <w:t xml:space="preserve">, </w:t>
      </w:r>
      <w:proofErr w:type="spellStart"/>
      <w:r w:rsidRPr="00BD4482">
        <w:rPr>
          <w:rFonts w:ascii="Arial" w:hAnsi="Arial" w:cs="Arial"/>
          <w:sz w:val="24"/>
          <w:szCs w:val="24"/>
        </w:rPr>
        <w:t>immobilisation</w:t>
      </w:r>
      <w:proofErr w:type="spellEnd"/>
      <w:r w:rsidRPr="00BD4482">
        <w:rPr>
          <w:rFonts w:ascii="Arial" w:hAnsi="Arial" w:cs="Arial"/>
          <w:sz w:val="24"/>
          <w:szCs w:val="24"/>
        </w:rPr>
        <w:t>, and loss.</w:t>
      </w:r>
    </w:p>
    <w:p w14:paraId="6E91EE4E" w14:textId="77777777" w:rsidR="00BD4482" w:rsidRPr="00BD4482" w:rsidRDefault="00BD4482" w:rsidP="00BD4482">
      <w:pPr>
        <w:spacing w:line="360" w:lineRule="auto"/>
        <w:jc w:val="both"/>
        <w:rPr>
          <w:rFonts w:ascii="Arial" w:hAnsi="Arial" w:cs="Arial"/>
          <w:sz w:val="24"/>
          <w:szCs w:val="24"/>
        </w:rPr>
      </w:pPr>
      <w:r>
        <w:rPr>
          <w:rFonts w:ascii="Arial" w:hAnsi="Arial" w:cs="Arial"/>
          <w:sz w:val="24"/>
          <w:szCs w:val="24"/>
          <w:highlight w:val="yellow"/>
        </w:rPr>
        <w:t>The marked TN decline</w:t>
      </w:r>
      <w:r>
        <w:rPr>
          <w:rFonts w:ascii="Arial" w:hAnsi="Arial" w:cs="Arial"/>
          <w:sz w:val="24"/>
          <w:szCs w:val="24"/>
        </w:rPr>
        <w:t xml:space="preserve"> under uprooting may partly reflect physical disturbance of the soil. Uprooting can disrupt root systems and soil aggregates, expose nitrogen-rich organic matter to </w:t>
      </w:r>
      <w:proofErr w:type="spellStart"/>
      <w:r w:rsidRPr="00BD4482">
        <w:rPr>
          <w:rFonts w:ascii="Arial" w:hAnsi="Arial" w:cs="Arial"/>
          <w:sz w:val="24"/>
          <w:szCs w:val="24"/>
        </w:rPr>
        <w:t>mineralisation</w:t>
      </w:r>
      <w:proofErr w:type="spellEnd"/>
      <w:r w:rsidRPr="00BD4482">
        <w:rPr>
          <w:rFonts w:ascii="Arial" w:hAnsi="Arial" w:cs="Arial"/>
          <w:sz w:val="24"/>
          <w:szCs w:val="24"/>
        </w:rPr>
        <w:t>, and increase the risk of nutrient loss through runoff and erosion. Research in South Africa has shown that removal of </w:t>
      </w:r>
      <w:r w:rsidRPr="00BD4482">
        <w:rPr>
          <w:rFonts w:ascii="Arial" w:hAnsi="Arial" w:cs="Arial"/>
          <w:i/>
          <w:iCs/>
          <w:sz w:val="24"/>
          <w:szCs w:val="24"/>
        </w:rPr>
        <w:t xml:space="preserve">A. </w:t>
      </w:r>
      <w:proofErr w:type="spellStart"/>
      <w:r w:rsidRPr="00BD4482">
        <w:rPr>
          <w:rFonts w:ascii="Arial" w:hAnsi="Arial" w:cs="Arial"/>
          <w:i/>
          <w:iCs/>
          <w:sz w:val="24"/>
          <w:szCs w:val="24"/>
        </w:rPr>
        <w:t>mearnsii</w:t>
      </w:r>
      <w:proofErr w:type="spellEnd"/>
      <w:r w:rsidRPr="00BD4482">
        <w:rPr>
          <w:rFonts w:ascii="Arial" w:hAnsi="Arial" w:cs="Arial"/>
          <w:sz w:val="24"/>
          <w:szCs w:val="24"/>
        </w:rPr>
        <w:t xml:space="preserve"> from invaded slopes can increase soil movement and erosion, creating a plausible pathway for losses of nutrient-rich topsoil (Van der Waal et al., 2012)</w:t>
      </w:r>
      <w:proofErr w:type="spellStart"/>
      <w:r w:rsidRPr="00BD4482">
        <w:rPr>
          <w:rFonts w:ascii="Arial" w:hAnsi="Arial" w:cs="Arial"/>
          <w:sz w:val="24"/>
          <w:szCs w:val="24"/>
        </w:rPr>
      </w:r>
      <w:proofErr w:type="spellEnd"/>
      <w:r w:rsidRPr="00BD4482">
        <w:rPr>
          <w:rFonts w:ascii="Arial" w:hAnsi="Arial" w:cs="Arial"/>
          <w:sz w:val="24"/>
          <w:szCs w:val="24"/>
        </w:rPr>
        <w:t xml:space="preserve">. The comparable decline under Cutting/Impala, despite lower physical disturbance, indicates that other processes were also important, including reduced N fixation, microbial transformation of nitrogen released from dead roots and residues, nitrate leaching, and plant uptake during post-treatment recovery. The high rainfall at Nyika may further enhance downward </w:t>
      </w:r>
      <w:r w:rsidRPr="00BD4482">
        <w:rPr>
          <w:rFonts w:ascii="Arial" w:hAnsi="Arial" w:cs="Arial"/>
          <w:sz w:val="24"/>
          <w:szCs w:val="24"/>
        </w:rPr>
        <w:lastRenderedPageBreak/>
        <w:t>movement of nitrate, particularly because nitrate is mobile in soil and may be leached below the 0–15 cm sampled layer.</w:t>
      </w:r>
    </w:p>
    <w:p w14:paraId="6F70154D" w14:textId="77777777" w:rsidR="00BD4482" w:rsidRPr="00BD4482" w:rsidRDefault="00BD4482" w:rsidP="00BD4482">
      <w:pPr>
        <w:spacing w:line="360" w:lineRule="auto"/>
        <w:jc w:val="both"/>
        <w:rPr>
          <w:rFonts w:ascii="Arial" w:hAnsi="Arial" w:cs="Arial"/>
          <w:sz w:val="24"/>
          <w:szCs w:val="24"/>
        </w:rPr>
      </w:pPr>
      <w:r w:rsidRPr="00BD4482">
        <w:rPr>
          <w:rFonts w:ascii="Arial" w:hAnsi="Arial" w:cs="Arial"/>
          <w:sz w:val="24"/>
          <w:szCs w:val="24"/>
        </w:rPr>
        <w:t>The decline in TN in the untreated control confirms that temporal and site-level processes also contributed to the observed pattern. Seasonal fluctuations in moisture, microbial activity, decomposition, vegetation uptake, and leaching can change soil N pools independently of management intervention. This finding agrees with the broader literature, which shows that invasive </w:t>
      </w:r>
      <w:r w:rsidRPr="00BD4482">
        <w:rPr>
          <w:rFonts w:ascii="Arial" w:hAnsi="Arial" w:cs="Arial"/>
          <w:i/>
          <w:iCs/>
          <w:sz w:val="24"/>
          <w:szCs w:val="24"/>
        </w:rPr>
        <w:t>Acacia</w:t>
      </w:r>
      <w:r w:rsidRPr="00BD4482">
        <w:rPr>
          <w:rFonts w:ascii="Arial" w:hAnsi="Arial" w:cs="Arial"/>
          <w:sz w:val="24"/>
          <w:szCs w:val="24"/>
        </w:rPr>
        <w:t xml:space="preserve"> species can alter soil N cycling, but that post-clearing responses differ across locations according to soil characteristics, climatic conditions, invasion history, elapsed time after removal, and vegetation recovery </w:t>
      </w:r>
      <w:r>
        <w:rPr>
          <w:rFonts w:ascii="Arial" w:hAnsi="Arial" w:cs="Arial"/>
          <w:sz w:val="24"/>
          <w:szCs w:val="24"/>
          <w:highlight w:val="yellow"/>
        </w:rPr>
        <w:t>(Lorenzo et al., 2010; Lusizi et al., 2024)</w:t>
      </w:r>
      <w:r w:rsidRPr="00BD4482">
        <w:rPr>
          <w:rFonts w:ascii="Arial" w:hAnsi="Arial" w:cs="Arial"/>
          <w:sz w:val="24"/>
          <w:szCs w:val="24"/>
        </w:rPr>
        <w:t xml:space="preserve">. From a restoration perspective, declining TN may help reverse the nitrogen enrichment associated with black-wattle invasion and </w:t>
      </w:r>
      <w:proofErr w:type="spellStart"/>
      <w:r w:rsidRPr="00BD4482">
        <w:rPr>
          <w:rFonts w:ascii="Arial" w:hAnsi="Arial" w:cs="Arial"/>
          <w:sz w:val="24"/>
          <w:szCs w:val="24"/>
        </w:rPr>
        <w:t>favour</w:t>
      </w:r>
      <w:proofErr w:type="spellEnd"/>
      <w:r w:rsidRPr="00BD4482">
        <w:rPr>
          <w:rFonts w:ascii="Arial" w:hAnsi="Arial" w:cs="Arial"/>
          <w:sz w:val="24"/>
          <w:szCs w:val="24"/>
        </w:rPr>
        <w:t xml:space="preserve"> native grassland species adapted to low-fertility conditions; however, excessive N depletion could constrain native-plant establishment. Continued monitoring should therefore measure total N alongside ammonium, nitrate, potentially </w:t>
      </w:r>
      <w:proofErr w:type="spellStart"/>
      <w:r w:rsidRPr="00BD4482">
        <w:rPr>
          <w:rFonts w:ascii="Arial" w:hAnsi="Arial" w:cs="Arial"/>
          <w:sz w:val="24"/>
          <w:szCs w:val="24"/>
        </w:rPr>
        <w:t>mineralisable</w:t>
      </w:r>
      <w:proofErr w:type="spellEnd"/>
      <w:r w:rsidRPr="00BD4482">
        <w:rPr>
          <w:rFonts w:ascii="Arial" w:hAnsi="Arial" w:cs="Arial"/>
          <w:sz w:val="24"/>
          <w:szCs w:val="24"/>
        </w:rPr>
        <w:t xml:space="preserve"> N, microbial biomass N, vegetation N uptake, erosion indicators, and native vegetation recovery to determine whether the observed decline represents nutrient loss, redistribution, temporary </w:t>
      </w:r>
      <w:proofErr w:type="spellStart"/>
      <w:r w:rsidRPr="00BD4482">
        <w:rPr>
          <w:rFonts w:ascii="Arial" w:hAnsi="Arial" w:cs="Arial"/>
          <w:sz w:val="24"/>
          <w:szCs w:val="24"/>
        </w:rPr>
        <w:t>immobilisation</w:t>
      </w:r>
      <w:proofErr w:type="spellEnd"/>
      <w:r w:rsidRPr="00BD4482">
        <w:rPr>
          <w:rFonts w:ascii="Arial" w:hAnsi="Arial" w:cs="Arial"/>
          <w:sz w:val="24"/>
          <w:szCs w:val="24"/>
        </w:rPr>
        <w:t>, or a desirable recovery toward the nutrient status of uninvaded Nyika grasslands.</w:t>
      </w:r>
    </w:p>
    <w:p w14:paraId="39EE2BA0" w14:textId="77777777" w:rsidR="00BE3080" w:rsidRDefault="00204250" w:rsidP="00204250">
      <w:pPr>
        <w:rPr>
          <w:rFonts w:ascii="Arial" w:hAnsi="Arial" w:cs="Arial"/>
          <w:b/>
          <w:sz w:val="24"/>
          <w:szCs w:val="24"/>
        </w:rPr>
      </w:pPr>
      <w:r>
        <w:rPr>
          <w:rFonts w:ascii="Arial" w:hAnsi="Arial" w:cs="Arial"/>
          <w:b/>
          <w:sz w:val="24"/>
          <w:szCs w:val="24"/>
        </w:rPr>
        <w:t>Available P</w:t>
      </w:r>
    </w:p>
    <w:p w14:paraId="010C6E53" w14:textId="77777777" w:rsidR="00BD4482" w:rsidRPr="00BD4482" w:rsidRDefault="00BD4482" w:rsidP="000A2521">
      <w:pPr>
        <w:spacing w:line="360" w:lineRule="auto"/>
        <w:jc w:val="both"/>
        <w:rPr>
          <w:rFonts w:ascii="Arial" w:hAnsi="Arial" w:cs="Arial"/>
          <w:sz w:val="24"/>
          <w:szCs w:val="24"/>
        </w:rPr>
      </w:pPr>
      <w:r>
        <w:rPr>
          <w:rFonts w:ascii="Arial" w:hAnsi="Arial" w:cs="Arial"/>
          <w:sz w:val="24"/>
          <w:szCs w:val="24"/>
          <w:highlight w:val="yellow"/>
        </w:rPr>
        <w:t>As shown in Table 4, available phosphorus increased in all treatments</w:t>
      </w:r>
      <w:r>
        <w:rPr>
          <w:rFonts w:ascii="Arial" w:hAnsi="Arial" w:cs="Arial"/>
          <w:sz w:val="24"/>
          <w:szCs w:val="24"/>
        </w:rPr>
        <w:t xml:space="preserve"> during the study period, although the magnitude of change differed substantially. Available P incre</w:t>
      </w:r>
      <w:r w:rsidR="00466BDE">
        <w:rPr>
          <w:rFonts w:ascii="Arial" w:hAnsi="Arial" w:cs="Arial"/>
          <w:sz w:val="24"/>
          <w:szCs w:val="24"/>
        </w:rPr>
        <w:t>ased from 4.2 to 15.6 mg kg</w:t>
      </w:r>
      <w:r w:rsidR="00466BDE" w:rsidRPr="00466BDE">
        <w:rPr>
          <w:rFonts w:ascii="Arial" w:hAnsi="Arial" w:cs="Arial"/>
          <w:sz w:val="24"/>
          <w:szCs w:val="24"/>
          <w:vertAlign w:val="superscript"/>
        </w:rPr>
        <w:t>−1</w:t>
      </w:r>
      <w:r w:rsidRPr="00BD4482">
        <w:rPr>
          <w:rFonts w:ascii="Arial" w:hAnsi="Arial" w:cs="Arial"/>
          <w:sz w:val="24"/>
          <w:szCs w:val="24"/>
        </w:rPr>
        <w:t xml:space="preserve"> in the untreated control, from 4.3 to 45.3 </w:t>
      </w:r>
      <w:r>
        <w:rPr>
          <w:rFonts w:ascii="Arial" w:hAnsi="Arial" w:cs="Arial"/>
          <w:sz w:val="24"/>
          <w:szCs w:val="24"/>
          <w:highlight w:val="yellow"/>
        </w:rPr>
        <w:t>mg kg−1 under</w:t>
      </w:r>
      <w:r w:rsidRPr="00BD4482">
        <w:rPr>
          <w:rFonts w:ascii="Arial" w:hAnsi="Arial" w:cs="Arial"/>
          <w:sz w:val="24"/>
          <w:szCs w:val="24"/>
        </w:rPr>
        <w:t xml:space="preserve"> Cutting/Impala, and from 4.5 to 9.2 </w:t>
      </w:r>
      <w:r w:rsidR="000F678C" w:rsidRPr="000F678C">
        <w:rPr>
          <w:rFonts w:ascii="Arial" w:hAnsi="Arial" w:cs="Arial"/>
          <w:sz w:val="24"/>
          <w:szCs w:val="24"/>
        </w:rPr>
        <w:t>mg kg</w:t>
      </w:r>
      <w:r w:rsidR="000F678C" w:rsidRPr="000F678C">
        <w:rPr>
          <w:rFonts w:ascii="Arial" w:hAnsi="Arial" w:cs="Arial"/>
          <w:sz w:val="24"/>
          <w:szCs w:val="24"/>
          <w:vertAlign w:val="superscript"/>
        </w:rPr>
        <w:t>−1</w:t>
      </w:r>
      <w:r w:rsidR="000F678C">
        <w:rPr>
          <w:rFonts w:ascii="Arial" w:hAnsi="Arial" w:cs="Arial"/>
          <w:sz w:val="24"/>
          <w:szCs w:val="24"/>
          <w:vertAlign w:val="superscript"/>
        </w:rPr>
        <w:t xml:space="preserve"> </w:t>
      </w:r>
      <w:r w:rsidRPr="00BD4482">
        <w:rPr>
          <w:rFonts w:ascii="Arial" w:hAnsi="Arial" w:cs="Arial"/>
          <w:sz w:val="24"/>
          <w:szCs w:val="24"/>
        </w:rPr>
        <w:t xml:space="preserve">after mechanical uprooting. The Cutting/Impala treatment therefore recorded the largest numerical increase in available P, with a final concentration approximately three times higher than that of uprooting. However, the treatment effect was not statistically significant (P=0.162); consequently, </w:t>
      </w:r>
      <w:r>
        <w:rPr>
          <w:rFonts w:ascii="Arial" w:hAnsi="Arial" w:cs="Arial"/>
          <w:sz w:val="24"/>
          <w:szCs w:val="24"/>
          <w:highlight w:val="yellow"/>
        </w:rPr>
        <w:t>the large numerical differences should be interpreted as trends</w:t>
      </w:r>
      <w:r>
        <w:rPr>
          <w:rFonts w:ascii="Arial" w:hAnsi="Arial" w:cs="Arial"/>
          <w:sz w:val="24"/>
          <w:szCs w:val="24"/>
        </w:rPr>
        <w:t xml:space="preserve"> rather than conclusive evidence that Cutting/Impala application increased P availability.</w:t>
      </w:r>
    </w:p>
    <w:p w14:paraId="54F1076B" w14:textId="77777777" w:rsidR="00BD4482" w:rsidRPr="00BD4482" w:rsidRDefault="00BD4482" w:rsidP="000A2521">
      <w:pPr>
        <w:spacing w:line="360" w:lineRule="auto"/>
        <w:jc w:val="both"/>
        <w:rPr>
          <w:rFonts w:ascii="Arial" w:hAnsi="Arial" w:cs="Arial"/>
          <w:sz w:val="24"/>
          <w:szCs w:val="24"/>
        </w:rPr>
      </w:pPr>
      <w:r w:rsidRPr="00BD4482">
        <w:rPr>
          <w:rFonts w:ascii="Arial" w:hAnsi="Arial" w:cs="Arial"/>
          <w:sz w:val="24"/>
          <w:szCs w:val="24"/>
        </w:rPr>
        <w:t xml:space="preserve">The increase in available P under Cutting/Impala may be associated with retention and decomposition of black-wattle roots, stumps, litter, and cut biomass within the treated plots. Phosphorus contained in dead plant tissues can be released through microbial decomposition and </w:t>
      </w:r>
      <w:proofErr w:type="spellStart"/>
      <w:r w:rsidRPr="00BD4482">
        <w:rPr>
          <w:rFonts w:ascii="Arial" w:hAnsi="Arial" w:cs="Arial"/>
          <w:sz w:val="24"/>
          <w:szCs w:val="24"/>
        </w:rPr>
        <w:t>mineralisation</w:t>
      </w:r>
      <w:proofErr w:type="spellEnd"/>
      <w:r w:rsidRPr="00BD4482">
        <w:rPr>
          <w:rFonts w:ascii="Arial" w:hAnsi="Arial" w:cs="Arial"/>
          <w:sz w:val="24"/>
          <w:szCs w:val="24"/>
        </w:rPr>
        <w:t xml:space="preserve">, increasing the labile or extractable soil-P pool. Cutting followed by herbicide application may also cause less soil disturbance than uprooting, allowing organic residues to </w:t>
      </w:r>
      <w:r w:rsidRPr="00BD4482">
        <w:rPr>
          <w:rFonts w:ascii="Arial" w:hAnsi="Arial" w:cs="Arial"/>
          <w:sz w:val="24"/>
          <w:szCs w:val="24"/>
        </w:rPr>
        <w:lastRenderedPageBreak/>
        <w:t xml:space="preserve">remain in place and reducing the potential loss of phosphorus-rich surface soil through runoff or erosion. In contrast, mechanical uprooting can disturb the soil, redistribute organic matter, and expose topsoil to erosive losses, which may partly explain the smaller increase in available P. Nevertheless, the substantial increase observed in the untreated control indicates that temporal processes, including seasonal moisture variation, litter decomposition, microbial activity, and </w:t>
      </w:r>
      <w:proofErr w:type="spellStart"/>
      <w:r w:rsidRPr="00BD4482">
        <w:rPr>
          <w:rFonts w:ascii="Arial" w:hAnsi="Arial" w:cs="Arial"/>
          <w:sz w:val="24"/>
          <w:szCs w:val="24"/>
        </w:rPr>
        <w:t>mineralisation</w:t>
      </w:r>
      <w:proofErr w:type="spellEnd"/>
      <w:r w:rsidRPr="00BD4482">
        <w:rPr>
          <w:rFonts w:ascii="Arial" w:hAnsi="Arial" w:cs="Arial"/>
          <w:sz w:val="24"/>
          <w:szCs w:val="24"/>
        </w:rPr>
        <w:t xml:space="preserve"> of existing organic matter, also contributed to the observed P dynamics.</w:t>
      </w:r>
    </w:p>
    <w:p w14:paraId="3DB68697" w14:textId="77777777" w:rsidR="00BD4482" w:rsidRPr="00BD4482" w:rsidRDefault="00BD4482" w:rsidP="000A2521">
      <w:pPr>
        <w:spacing w:line="360" w:lineRule="auto"/>
        <w:jc w:val="both"/>
        <w:rPr>
          <w:rFonts w:ascii="Arial" w:hAnsi="Arial" w:cs="Arial"/>
          <w:sz w:val="24"/>
          <w:szCs w:val="24"/>
        </w:rPr>
      </w:pPr>
      <w:r w:rsidRPr="00BD4482">
        <w:rPr>
          <w:rFonts w:ascii="Arial" w:hAnsi="Arial" w:cs="Arial"/>
          <w:sz w:val="24"/>
          <w:szCs w:val="24"/>
        </w:rPr>
        <w:t xml:space="preserve">The findings are consistent with the broader literature showing that black-wattle invasion and clearing can modify soil-P cycling, although outcomes differ substantially across sites. </w:t>
      </w:r>
      <w:r w:rsidRPr="00BD4482">
        <w:rPr>
          <w:rFonts w:ascii="Arial" w:hAnsi="Arial" w:cs="Arial"/>
          <w:i/>
          <w:iCs/>
          <w:sz w:val="24"/>
          <w:szCs w:val="24"/>
        </w:rPr>
        <w:t xml:space="preserve">Acacia </w:t>
      </w:r>
      <w:proofErr w:type="spellStart"/>
      <w:r w:rsidRPr="00BD4482">
        <w:rPr>
          <w:rFonts w:ascii="Arial" w:hAnsi="Arial" w:cs="Arial"/>
          <w:i/>
          <w:iCs/>
          <w:sz w:val="24"/>
          <w:szCs w:val="24"/>
        </w:rPr>
        <w:t>mearnsii</w:t>
      </w:r>
      <w:proofErr w:type="spellEnd"/>
      <w:r w:rsidRPr="00BD4482">
        <w:rPr>
          <w:rFonts w:ascii="Arial" w:hAnsi="Arial" w:cs="Arial"/>
          <w:sz w:val="24"/>
          <w:szCs w:val="24"/>
        </w:rPr>
        <w:t xml:space="preserve"> can alter phosphorus availability through litter production, root turnover, nutrient redistribution, microbial interactions, and changes in soil organic matter. </w:t>
      </w:r>
      <w:proofErr w:type="spellStart"/>
      <w:r w:rsidRPr="00BD4482">
        <w:rPr>
          <w:rFonts w:ascii="Arial" w:hAnsi="Arial" w:cs="Arial"/>
          <w:sz w:val="24"/>
          <w:szCs w:val="24"/>
        </w:rPr>
        <w:t>Lusizi</w:t>
      </w:r>
      <w:proofErr w:type="spellEnd"/>
      <w:r w:rsidRPr="00BD4482">
        <w:rPr>
          <w:rFonts w:ascii="Arial" w:hAnsi="Arial" w:cs="Arial"/>
          <w:sz w:val="24"/>
          <w:szCs w:val="24"/>
        </w:rPr>
        <w:t xml:space="preserve"> et al. (2024) found that available P was frequently higher in invaded or cleared </w:t>
      </w:r>
      <w:r w:rsidRPr="00BD4482">
        <w:rPr>
          <w:rFonts w:ascii="Arial" w:hAnsi="Arial" w:cs="Arial"/>
          <w:i/>
          <w:iCs/>
          <w:sz w:val="24"/>
          <w:szCs w:val="24"/>
        </w:rPr>
        <w:t>Acacia</w:t>
      </w:r>
      <w:r w:rsidRPr="00BD4482">
        <w:rPr>
          <w:rFonts w:ascii="Arial" w:hAnsi="Arial" w:cs="Arial"/>
          <w:sz w:val="24"/>
          <w:szCs w:val="24"/>
        </w:rPr>
        <w:t xml:space="preserve"> soils than in uninvaded reference soils, but they also reported contrasting results among studies, including lower available P under black wattle in some locations. This variation reflects the influence of soil texture, parent material, baseline fertility, rainfall, soil acidity, duration of invasion, treatment method, biomass handling, and time since clearing. Woody legumes may also possess root and rhizosphere adaptations that enhance P acquisition from nutrient-poor soils, contributing to their capacity to alter phosphorus cycling in invaded ecosystems </w:t>
      </w:r>
      <w:r>
        <w:rPr>
          <w:rFonts w:ascii="Arial" w:hAnsi="Arial" w:cs="Arial"/>
          <w:sz w:val="24"/>
          <w:szCs w:val="24"/>
          <w:highlight w:val="yellow"/>
        </w:rPr>
        <w:t>(Lambers et al., 2008, 2010)</w:t>
      </w:r>
      <w:r>
        <w:rPr>
          <w:rFonts w:ascii="Arial" w:hAnsi="Arial" w:cs="Arial"/>
          <w:sz w:val="24"/>
          <w:szCs w:val="24"/>
        </w:rPr>
        <w:t>.</w:t>
      </w:r>
    </w:p>
    <w:p w14:paraId="1E561152" w14:textId="77777777" w:rsidR="00BD4482" w:rsidRPr="00BD4482" w:rsidRDefault="00BD4482" w:rsidP="000A2521">
      <w:pPr>
        <w:spacing w:line="360" w:lineRule="auto"/>
        <w:jc w:val="both"/>
        <w:rPr>
          <w:rFonts w:ascii="Arial" w:hAnsi="Arial" w:cs="Arial"/>
          <w:sz w:val="24"/>
          <w:szCs w:val="24"/>
        </w:rPr>
      </w:pPr>
      <w:r w:rsidRPr="00BD4482">
        <w:rPr>
          <w:rFonts w:ascii="Arial" w:hAnsi="Arial" w:cs="Arial"/>
          <w:sz w:val="24"/>
          <w:szCs w:val="24"/>
        </w:rPr>
        <w:t xml:space="preserve">The increase in available P should be interpreted cautiously because study soils remained strongly acidic, with pH values of approximately 3.9–4.4. Under strongly acidic conditions, phosphorus can be retained through adsorption or precipitation reactions involving iron and </w:t>
      </w:r>
      <w:proofErr w:type="spellStart"/>
      <w:r w:rsidRPr="00BD4482">
        <w:rPr>
          <w:rFonts w:ascii="Arial" w:hAnsi="Arial" w:cs="Arial"/>
          <w:sz w:val="24"/>
          <w:szCs w:val="24"/>
        </w:rPr>
        <w:t>aluminium</w:t>
      </w:r>
      <w:proofErr w:type="spellEnd"/>
      <w:r w:rsidRPr="00BD4482">
        <w:rPr>
          <w:rFonts w:ascii="Arial" w:hAnsi="Arial" w:cs="Arial"/>
          <w:sz w:val="24"/>
          <w:szCs w:val="24"/>
        </w:rPr>
        <w:t xml:space="preserve"> oxides; consequently, a temporary increase in extractable P may not translate into sustained plant availability. The elevated P concentration under Cutting/Impala may nevertheless support early vegetation recovery where initial P concentrations were very low, but it could also </w:t>
      </w:r>
      <w:proofErr w:type="spellStart"/>
      <w:r w:rsidRPr="00BD4482">
        <w:rPr>
          <w:rFonts w:ascii="Arial" w:hAnsi="Arial" w:cs="Arial"/>
          <w:sz w:val="24"/>
          <w:szCs w:val="24"/>
        </w:rPr>
        <w:t>favour</w:t>
      </w:r>
      <w:proofErr w:type="spellEnd"/>
      <w:r w:rsidRPr="00BD4482">
        <w:rPr>
          <w:rFonts w:ascii="Arial" w:hAnsi="Arial" w:cs="Arial"/>
          <w:sz w:val="24"/>
          <w:szCs w:val="24"/>
        </w:rPr>
        <w:t xml:space="preserve"> fast-growing, nutrient-responsive species rather than indigenous grassland species adapted to low-fertility conditions. Studies in South African rangelands have shown that black-wattle invasion and clearing influence both soil chemical properties and grass production, with restoration outcomes depending strongly on site conditions and post-clearing management (</w:t>
      </w:r>
      <w:proofErr w:type="spellStart"/>
      <w:r w:rsidRPr="00BD4482">
        <w:rPr>
          <w:rFonts w:ascii="Arial" w:hAnsi="Arial" w:cs="Arial"/>
          <w:sz w:val="24"/>
          <w:szCs w:val="24"/>
        </w:rPr>
        <w:t>Gwate</w:t>
      </w:r>
      <w:proofErr w:type="spellEnd"/>
      <w:r w:rsidRPr="00BD4482">
        <w:rPr>
          <w:rFonts w:ascii="Arial" w:hAnsi="Arial" w:cs="Arial"/>
          <w:sz w:val="24"/>
          <w:szCs w:val="24"/>
        </w:rPr>
        <w:t xml:space="preserve"> et al., 2021). Longer-term monitoring of extractable and total P, P fractions, phosphatase activity, microbial biomass P, soil moisture, litter decomposition, and native-vegetation uptake is </w:t>
      </w:r>
      <w:r w:rsidRPr="00BD4482">
        <w:rPr>
          <w:rFonts w:ascii="Arial" w:hAnsi="Arial" w:cs="Arial"/>
          <w:sz w:val="24"/>
          <w:szCs w:val="24"/>
        </w:rPr>
        <w:lastRenderedPageBreak/>
        <w:t>needed to establish whether the observed increase represents a short-lived post-treatment pulse or a persistent change in soil fertility.</w:t>
      </w:r>
    </w:p>
    <w:p w14:paraId="66E32EAF" w14:textId="77777777" w:rsidR="000C5557" w:rsidRDefault="000C5557" w:rsidP="00177FB9">
      <w:pPr>
        <w:jc w:val="both"/>
        <w:rPr>
          <w:rFonts w:ascii="Arial" w:hAnsi="Arial" w:cs="Arial"/>
          <w:b/>
          <w:sz w:val="24"/>
          <w:szCs w:val="24"/>
        </w:rPr>
      </w:pPr>
      <w:r>
        <w:rPr>
          <w:rFonts w:ascii="Arial" w:hAnsi="Arial" w:cs="Arial"/>
          <w:b/>
          <w:sz w:val="24"/>
          <w:szCs w:val="24"/>
        </w:rPr>
        <w:t>Exchangeable Sodium Percentage (ESP)</w:t>
      </w:r>
    </w:p>
    <w:p w14:paraId="3482DCBF" w14:textId="77777777" w:rsidR="002912C6" w:rsidRPr="002912C6" w:rsidRDefault="002912C6" w:rsidP="002912C6">
      <w:pPr>
        <w:spacing w:line="360" w:lineRule="auto"/>
        <w:jc w:val="both"/>
        <w:rPr>
          <w:rFonts w:ascii="Arial" w:hAnsi="Arial" w:cs="Arial"/>
          <w:sz w:val="24"/>
          <w:szCs w:val="24"/>
        </w:rPr>
      </w:pPr>
      <w:r>
        <w:rPr>
          <w:rFonts w:ascii="Arial" w:hAnsi="Arial" w:cs="Arial"/>
          <w:sz w:val="24"/>
          <w:szCs w:val="24"/>
          <w:highlight w:val="yellow"/>
        </w:rPr>
        <w:t>Exchangeable sodium percentage (ESP), calculated as shown in Table 5, decreased</w:t>
      </w:r>
      <w:r>
        <w:rPr>
          <w:rFonts w:ascii="Arial" w:hAnsi="Arial" w:cs="Arial"/>
          <w:sz w:val="24"/>
          <w:szCs w:val="24"/>
        </w:rPr>
        <w:t xml:space="preserve"> under all treatments during the study period. ESP declined from 3.8% to 1.5% following mechanical uprooting, representing a 60.5% reduction; from 3.7% to 3.2% under Cutting/Impala, representing a 13.5% reduction; and from 3.8% to 2.3% in the untreated control, representing a 39.5% reduction. The largest decline occurred under uprooting, whereas Cutting/Impala produce</w:t>
      </w:r>
      <w:r w:rsidR="00363740">
        <w:rPr>
          <w:rFonts w:ascii="Arial" w:hAnsi="Arial" w:cs="Arial"/>
          <w:sz w:val="24"/>
          <w:szCs w:val="24"/>
        </w:rPr>
        <w:t xml:space="preserve">d the smallest reduction. As </w:t>
      </w:r>
      <w:r w:rsidRPr="002912C6">
        <w:rPr>
          <w:rFonts w:ascii="Arial" w:hAnsi="Arial" w:cs="Arial"/>
          <w:sz w:val="24"/>
          <w:szCs w:val="24"/>
        </w:rPr>
        <w:t>ESP represents the proportion of sodium occupying soil cation-exchange sites relative to total cation-exchange capacity, these reductions indicate a lower relative dominance of exchangeable sodium in the surface soil. However, the substantial reduction in the untreated control confirms that broader temporal and environmental processes, rather than treatment alone, also influenced sodium dynamics.</w:t>
      </w:r>
    </w:p>
    <w:p w14:paraId="1B5B57D1" w14:textId="77777777" w:rsidR="002912C6" w:rsidRPr="002912C6" w:rsidRDefault="002912C6" w:rsidP="002912C6">
      <w:pPr>
        <w:spacing w:line="360" w:lineRule="auto"/>
        <w:jc w:val="both"/>
        <w:rPr>
          <w:rFonts w:ascii="Arial" w:hAnsi="Arial" w:cs="Arial"/>
          <w:sz w:val="24"/>
          <w:szCs w:val="24"/>
        </w:rPr>
      </w:pPr>
      <w:r w:rsidRPr="002912C6">
        <w:rPr>
          <w:rFonts w:ascii="Arial" w:hAnsi="Arial" w:cs="Arial"/>
          <w:sz w:val="24"/>
          <w:szCs w:val="24"/>
        </w:rPr>
        <w:t xml:space="preserve">The ESP values recorded in this study were low before and after treatment. Baseline ESP ranged from 3.7% to 3.8%, while post-treatment values ranged from 1.5% to 3.2%. These levels are substantially below the conventional ESP threshold of 15% used to classify sodic soils (Richards, 1954; Abrol et al., 1988). The Nyika soils were therefore non-sodic throughout the study period, indicating that sodium-induced clay dispersion, structural degradation, reduced infiltration, and poor aeration were unlikely to be major soil constraints in the sampled 0–15 cm layer. Nevertheless, ESP should be interpreted together with soil electrical conductivity, calcium, magnesium, cation-exchange capacity, soil texture, and organic matter because the structural effects of sodium depend on both soil properties and the electrolyte concentration of the soil </w:t>
      </w:r>
      <w:r w:rsidR="00363740">
        <w:rPr>
          <w:rFonts w:ascii="Arial" w:hAnsi="Arial" w:cs="Arial"/>
          <w:sz w:val="24"/>
          <w:szCs w:val="24"/>
        </w:rPr>
        <w:t>solution (Rengasamy, 2010).</w:t>
      </w:r>
    </w:p>
    <w:p w14:paraId="1A44AAE5" w14:textId="77777777" w:rsidR="002912C6" w:rsidRPr="002912C6" w:rsidRDefault="002912C6" w:rsidP="002912C6">
      <w:pPr>
        <w:spacing w:line="360" w:lineRule="auto"/>
        <w:jc w:val="both"/>
        <w:rPr>
          <w:rFonts w:ascii="Arial" w:hAnsi="Arial" w:cs="Arial"/>
          <w:sz w:val="24"/>
          <w:szCs w:val="24"/>
        </w:rPr>
      </w:pPr>
      <w:r w:rsidRPr="002912C6">
        <w:rPr>
          <w:rFonts w:ascii="Arial" w:hAnsi="Arial" w:cs="Arial"/>
          <w:sz w:val="24"/>
          <w:szCs w:val="24"/>
        </w:rPr>
        <w:t xml:space="preserve">The sharp ESP decline under uprooting may reflect greater redistribution and leaching of sodium after physical disturbance of the soil. Uprooting can expose the soil surface, disrupt aggregates and root channels, and modify infiltration pathways, potentially enhancing downward movement of soluble sodium under the high-rainfall conditions of Nyika National Park. The increase in exchangeable calcium under uprooting, from 0.29 before treatment to 0.73 after treatment, may also have contributed by displacing sodium from soil exchange sites, after which sodium could be leached from the upper soil layer. The smaller ESP decline under Cutting/Impala may reflect </w:t>
      </w:r>
      <w:r w:rsidRPr="002912C6">
        <w:rPr>
          <w:rFonts w:ascii="Arial" w:hAnsi="Arial" w:cs="Arial"/>
          <w:sz w:val="24"/>
          <w:szCs w:val="24"/>
        </w:rPr>
        <w:lastRenderedPageBreak/>
        <w:t>lower physical disturbance and slower cation redistribution. However, because ESP also declined markedly in the control, rainfall-driven leaching, seasonal variation in soil moisture, vegetation uptake, and natural cation-exchange processes probably contributed to the overall decrease.</w:t>
      </w:r>
    </w:p>
    <w:p w14:paraId="575CCEFC" w14:textId="77777777" w:rsidR="002912C6" w:rsidRPr="002912C6" w:rsidRDefault="002912C6" w:rsidP="002912C6">
      <w:pPr>
        <w:spacing w:line="360" w:lineRule="auto"/>
        <w:jc w:val="both"/>
        <w:rPr>
          <w:rFonts w:ascii="Arial" w:hAnsi="Arial" w:cs="Arial"/>
          <w:sz w:val="24"/>
          <w:szCs w:val="24"/>
        </w:rPr>
      </w:pPr>
      <w:r w:rsidRPr="002912C6">
        <w:rPr>
          <w:rFonts w:ascii="Arial" w:hAnsi="Arial" w:cs="Arial"/>
          <w:sz w:val="24"/>
          <w:szCs w:val="24"/>
        </w:rPr>
        <w:t xml:space="preserve">Published research specifically comparing the effects of </w:t>
      </w:r>
      <w:r w:rsidRPr="002912C6">
        <w:rPr>
          <w:rFonts w:ascii="Arial" w:hAnsi="Arial" w:cs="Arial"/>
          <w:i/>
          <w:iCs/>
          <w:sz w:val="24"/>
          <w:szCs w:val="24"/>
        </w:rPr>
        <w:t xml:space="preserve">Acacia </w:t>
      </w:r>
      <w:proofErr w:type="spellStart"/>
      <w:r w:rsidRPr="002912C6">
        <w:rPr>
          <w:rFonts w:ascii="Arial" w:hAnsi="Arial" w:cs="Arial"/>
          <w:i/>
          <w:iCs/>
          <w:sz w:val="24"/>
          <w:szCs w:val="24"/>
        </w:rPr>
        <w:t>mearnsii</w:t>
      </w:r>
      <w:proofErr w:type="spellEnd"/>
      <w:r w:rsidRPr="002912C6">
        <w:rPr>
          <w:rFonts w:ascii="Arial" w:hAnsi="Arial" w:cs="Arial"/>
          <w:sz w:val="24"/>
          <w:szCs w:val="24"/>
        </w:rPr>
        <w:t xml:space="preserve"> uprooting and herbicide treatment on ESP is limited; most black-wattle studies have focused on soil carbon, nitrogen, pH, water use, vegetation recovery, and broader nutrient cycling. The ESP response should therefore not be interpreted as evidence that uprooting universally improves sodium status more effectively than Cutting/Impala. </w:t>
      </w:r>
    </w:p>
    <w:p w14:paraId="1E7D7171" w14:textId="77777777" w:rsidR="00FD365A" w:rsidRDefault="00FD365A" w:rsidP="00707CF0">
      <w:pPr>
        <w:spacing w:line="360" w:lineRule="auto"/>
        <w:jc w:val="both"/>
        <w:rPr>
          <w:rFonts w:ascii="Arial" w:hAnsi="Arial" w:cs="Arial"/>
          <w:b/>
          <w:sz w:val="24"/>
          <w:szCs w:val="24"/>
        </w:rPr>
      </w:pPr>
      <w:r>
        <w:rPr>
          <w:rFonts w:ascii="Arial" w:hAnsi="Arial" w:cs="Arial"/>
          <w:b/>
          <w:sz w:val="24"/>
          <w:szCs w:val="24"/>
        </w:rPr>
        <w:t>Exchangeable Calcium</w:t>
      </w:r>
    </w:p>
    <w:p w14:paraId="4D75B200" w14:textId="77777777" w:rsidR="005E2FBF" w:rsidRPr="005E2FBF" w:rsidRDefault="005E2FBF" w:rsidP="00707CF0">
      <w:pPr>
        <w:spacing w:line="360" w:lineRule="auto"/>
        <w:jc w:val="both"/>
        <w:rPr>
          <w:rFonts w:ascii="Arial" w:hAnsi="Arial" w:cs="Arial"/>
          <w:sz w:val="24"/>
          <w:szCs w:val="24"/>
        </w:rPr>
      </w:pPr>
      <w:r w:rsidRPr="005E2FBF">
        <w:rPr>
          <w:rFonts w:ascii="Arial" w:hAnsi="Arial" w:cs="Arial"/>
          <w:sz w:val="24"/>
          <w:szCs w:val="24"/>
        </w:rPr>
        <w:t>Exchangeable calcium increased across all treatments during the experimental period, although the magnitude of increase varied among treatments. Exchangeable Ca increased from 0.29 to 0.73 under mechanical uprooting, from 0.28 to 1.53 under Cutting/Impala, and from 0.28 to 0.80 in the untreated control. The greatest numerical increase was therefore observed under Cutting/Impala, followed by the untreated control and uprooting. The ANOVA results indicated that exchangeable Ca differed signif</w:t>
      </w:r>
      <w:r w:rsidR="00363740">
        <w:rPr>
          <w:rFonts w:ascii="Arial" w:hAnsi="Arial" w:cs="Arial"/>
          <w:sz w:val="24"/>
          <w:szCs w:val="24"/>
        </w:rPr>
        <w:t>icantly among treatments (</w:t>
      </w:r>
      <w:r w:rsidRPr="005E2FBF">
        <w:rPr>
          <w:rFonts w:ascii="Arial" w:hAnsi="Arial" w:cs="Arial"/>
          <w:i/>
          <w:iCs/>
          <w:sz w:val="24"/>
          <w:szCs w:val="24"/>
        </w:rPr>
        <w:t>P</w:t>
      </w:r>
      <w:r w:rsidRPr="005E2FBF">
        <w:rPr>
          <w:rFonts w:ascii="Arial" w:hAnsi="Arial" w:cs="Arial"/>
          <w:sz w:val="24"/>
          <w:szCs w:val="24"/>
        </w:rPr>
        <w:t>=0.045); however, the</w:t>
      </w:r>
      <w:r w:rsidR="00363740">
        <w:rPr>
          <w:rFonts w:ascii="Arial" w:hAnsi="Arial" w:cs="Arial"/>
          <w:sz w:val="24"/>
          <w:szCs w:val="24"/>
        </w:rPr>
        <w:t xml:space="preserve"> result is significant at </w:t>
      </w:r>
      <w:r w:rsidRPr="005E2FBF">
        <w:rPr>
          <w:rFonts w:ascii="Arial" w:hAnsi="Arial" w:cs="Arial"/>
          <w:i/>
          <w:iCs/>
          <w:sz w:val="24"/>
          <w:szCs w:val="24"/>
        </w:rPr>
        <w:t>P</w:t>
      </w:r>
      <w:r w:rsidR="00363740">
        <w:rPr>
          <w:rFonts w:ascii="Arial" w:hAnsi="Arial" w:cs="Arial"/>
          <w:sz w:val="24"/>
          <w:szCs w:val="24"/>
        </w:rPr>
        <w:t>&lt;0.05</w:t>
      </w:r>
      <w:r w:rsidRPr="005E2FBF">
        <w:rPr>
          <w:rFonts w:ascii="Arial" w:hAnsi="Arial" w:cs="Arial"/>
          <w:sz w:val="24"/>
          <w:szCs w:val="24"/>
        </w:rPr>
        <w:t>. The concurrent increase in the untreated control suggests that temporal and site-wide processes also contributed to the observed Ca dynamics and that the increase under Cutting/Impala should not be attributed solely to herbicide application.</w:t>
      </w:r>
    </w:p>
    <w:p w14:paraId="373A7B73" w14:textId="77777777" w:rsidR="005E2FBF" w:rsidRPr="005E2FBF" w:rsidRDefault="005E2FBF" w:rsidP="00707CF0">
      <w:pPr>
        <w:spacing w:line="360" w:lineRule="auto"/>
        <w:jc w:val="both"/>
        <w:rPr>
          <w:rFonts w:ascii="Arial" w:hAnsi="Arial" w:cs="Arial"/>
          <w:sz w:val="24"/>
          <w:szCs w:val="24"/>
        </w:rPr>
      </w:pPr>
      <w:r w:rsidRPr="005E2FBF">
        <w:rPr>
          <w:rFonts w:ascii="Arial" w:hAnsi="Arial" w:cs="Arial"/>
          <w:sz w:val="24"/>
          <w:szCs w:val="24"/>
        </w:rPr>
        <w:t>The high exchangeable Ca concentration under Cutting/Impala may be associated with the retention and decomposition of black-wattle biomass after tree cutting and herbicide application. Calcium contained in leaves, bark, branches, stumps, roots, and litter can be returned to the soil as plant residues decompose, increasing the quantity of Ca available for adsorption on soil exchange sites. Because Cutting/Impala generally causes less direct physical disturbance than uprooting, organic residues may remain in contact with the soil surface, promoting local nutrient cycling and reducing losses of fine soil and associated base cations. By contrast, uprooting can disturb aggregates, redistribute soil, expose the surface to runoff, and promote leaching or erosion of calcium-containing particles. Nevertheless, this explanation remains tentative because residue mass, nutrient concentrations in biomass, soil losses, and soluble Ca leaching were not measured.</w:t>
      </w:r>
    </w:p>
    <w:p w14:paraId="599EAF43" w14:textId="77777777" w:rsidR="005E2FBF" w:rsidRPr="005E2FBF" w:rsidRDefault="005E2FBF" w:rsidP="00707CF0">
      <w:pPr>
        <w:spacing w:line="360" w:lineRule="auto"/>
        <w:jc w:val="both"/>
        <w:rPr>
          <w:rFonts w:ascii="Arial" w:hAnsi="Arial" w:cs="Arial"/>
          <w:sz w:val="24"/>
          <w:szCs w:val="24"/>
        </w:rPr>
      </w:pPr>
      <w:r w:rsidRPr="005E2FBF">
        <w:rPr>
          <w:rFonts w:ascii="Arial" w:hAnsi="Arial" w:cs="Arial"/>
          <w:sz w:val="24"/>
          <w:szCs w:val="24"/>
        </w:rPr>
        <w:lastRenderedPageBreak/>
        <w:t xml:space="preserve">Exchangeable calcium is an important base cation that contributes to nutrient supply, soil aggregation, cation balance, and base saturation. A rise in exchangeable Ca may help counter soil acidity by occupying negatively charged exchange sites that would otherwise be occupied by hydrogen and </w:t>
      </w:r>
      <w:proofErr w:type="spellStart"/>
      <w:r w:rsidRPr="005E2FBF">
        <w:rPr>
          <w:rFonts w:ascii="Arial" w:hAnsi="Arial" w:cs="Arial"/>
          <w:sz w:val="24"/>
          <w:szCs w:val="24"/>
        </w:rPr>
        <w:t>aluminium</w:t>
      </w:r>
      <w:proofErr w:type="spellEnd"/>
      <w:r w:rsidRPr="005E2FBF">
        <w:rPr>
          <w:rFonts w:ascii="Arial" w:hAnsi="Arial" w:cs="Arial"/>
          <w:sz w:val="24"/>
          <w:szCs w:val="24"/>
        </w:rPr>
        <w:t xml:space="preserve"> ions. However, the increase in Ca recorded in this study did not result in statistically significant differences in soil pH, which remained strongly acidic across</w:t>
      </w:r>
      <w:r w:rsidR="00363740">
        <w:rPr>
          <w:rFonts w:ascii="Arial" w:hAnsi="Arial" w:cs="Arial"/>
          <w:sz w:val="24"/>
          <w:szCs w:val="24"/>
        </w:rPr>
        <w:t xml:space="preserve"> all treatments. This outcome was</w:t>
      </w:r>
      <w:r w:rsidRPr="005E2FBF">
        <w:rPr>
          <w:rFonts w:ascii="Arial" w:hAnsi="Arial" w:cs="Arial"/>
          <w:sz w:val="24"/>
          <w:szCs w:val="24"/>
        </w:rPr>
        <w:t xml:space="preserve"> expected because soil pH is controlled by the balance among exchangeable bases, exchangeable acidity, </w:t>
      </w:r>
      <w:proofErr w:type="spellStart"/>
      <w:r w:rsidRPr="005E2FBF">
        <w:rPr>
          <w:rFonts w:ascii="Arial" w:hAnsi="Arial" w:cs="Arial"/>
          <w:sz w:val="24"/>
          <w:szCs w:val="24"/>
        </w:rPr>
        <w:t>aluminium</w:t>
      </w:r>
      <w:proofErr w:type="spellEnd"/>
      <w:r w:rsidRPr="005E2FBF">
        <w:rPr>
          <w:rFonts w:ascii="Arial" w:hAnsi="Arial" w:cs="Arial"/>
          <w:sz w:val="24"/>
          <w:szCs w:val="24"/>
        </w:rPr>
        <w:t xml:space="preserve"> activity, soil organic matter, mineralogy, and pH-dependent cation-exchange capacity, rather than by calcium alone (Brady &amp; Weil, 2016; Havlin et al., 2014). In many acidic tropical soils, low pH limits the number of negative exchange sites available to retain base cations, while hydrogen and </w:t>
      </w:r>
      <w:proofErr w:type="spellStart"/>
      <w:r w:rsidRPr="005E2FBF">
        <w:rPr>
          <w:rFonts w:ascii="Arial" w:hAnsi="Arial" w:cs="Arial"/>
          <w:sz w:val="24"/>
          <w:szCs w:val="24"/>
        </w:rPr>
        <w:t>aluminium</w:t>
      </w:r>
      <w:proofErr w:type="spellEnd"/>
      <w:r w:rsidRPr="005E2FBF">
        <w:rPr>
          <w:rFonts w:ascii="Arial" w:hAnsi="Arial" w:cs="Arial"/>
          <w:sz w:val="24"/>
          <w:szCs w:val="24"/>
        </w:rPr>
        <w:t xml:space="preserve"> may continue to dominate the exchange complex despite increases in exchangeable Ca (Food and Agriculture Organization of the United Nations, n.d.).</w:t>
      </w:r>
    </w:p>
    <w:p w14:paraId="37B677EE" w14:textId="77777777" w:rsidR="005E2FBF" w:rsidRPr="005E2FBF" w:rsidRDefault="005E2FBF" w:rsidP="00707CF0">
      <w:pPr>
        <w:spacing w:line="360" w:lineRule="auto"/>
        <w:jc w:val="both"/>
        <w:rPr>
          <w:rFonts w:ascii="Arial" w:hAnsi="Arial" w:cs="Arial"/>
          <w:sz w:val="24"/>
          <w:szCs w:val="24"/>
        </w:rPr>
      </w:pPr>
      <w:r w:rsidRPr="005E2FBF">
        <w:rPr>
          <w:rFonts w:ascii="Arial" w:hAnsi="Arial" w:cs="Arial"/>
          <w:sz w:val="24"/>
          <w:szCs w:val="24"/>
        </w:rPr>
        <w:t>The Nyika findings are consistent with broader evidence that the effects of invasive </w:t>
      </w:r>
      <w:r w:rsidRPr="005E2FBF">
        <w:rPr>
          <w:rFonts w:ascii="Arial" w:hAnsi="Arial" w:cs="Arial"/>
          <w:i/>
          <w:iCs/>
          <w:sz w:val="24"/>
          <w:szCs w:val="24"/>
        </w:rPr>
        <w:t>Acacia</w:t>
      </w:r>
      <w:r w:rsidRPr="005E2FBF">
        <w:rPr>
          <w:rFonts w:ascii="Arial" w:hAnsi="Arial" w:cs="Arial"/>
          <w:sz w:val="24"/>
          <w:szCs w:val="24"/>
        </w:rPr>
        <w:t xml:space="preserve"> species and post-clearing management on exchangeable cations are highly variable. Boudiaf et al. (2013) found that black-wattle invasion did not consistently change exchangeable Ca in abandoned fields, while </w:t>
      </w:r>
      <w:proofErr w:type="spellStart"/>
      <w:r w:rsidRPr="005E2FBF">
        <w:rPr>
          <w:rFonts w:ascii="Arial" w:hAnsi="Arial" w:cs="Arial"/>
          <w:sz w:val="24"/>
          <w:szCs w:val="24"/>
        </w:rPr>
        <w:t>Lusizi</w:t>
      </w:r>
      <w:proofErr w:type="spellEnd"/>
      <w:r w:rsidRPr="005E2FBF">
        <w:rPr>
          <w:rFonts w:ascii="Arial" w:hAnsi="Arial" w:cs="Arial"/>
          <w:sz w:val="24"/>
          <w:szCs w:val="24"/>
        </w:rPr>
        <w:t xml:space="preserve"> et al. (2024) concluded that the </w:t>
      </w:r>
      <w:r w:rsidR="001921CE">
        <w:rPr>
          <w:rFonts w:ascii="Arial" w:hAnsi="Arial" w:cs="Arial"/>
          <w:sz w:val="24"/>
          <w:szCs w:val="24"/>
        </w:rPr>
        <w:t xml:space="preserve">effects of black </w:t>
      </w:r>
      <w:r w:rsidRPr="005E2FBF">
        <w:rPr>
          <w:rFonts w:ascii="Arial" w:hAnsi="Arial" w:cs="Arial"/>
          <w:sz w:val="24"/>
          <w:szCs w:val="24"/>
        </w:rPr>
        <w:t xml:space="preserve">wattle invasion and clearing on soil physicochemical properties depend on site conditions, soil type, climate, invasion history, treatment method, and the time elapsed since clearing. The observed increase in Ca may therefore reflect a combination of black-wattle residue decomposition, reduced uptake by living trees, seasonal changes in soil moisture, cation exchange, and environmental variation. </w:t>
      </w:r>
    </w:p>
    <w:p w14:paraId="6E23B016" w14:textId="77777777" w:rsidR="00177FB9" w:rsidRDefault="006A4AAF" w:rsidP="00A458B4">
      <w:pPr>
        <w:spacing w:line="360" w:lineRule="auto"/>
        <w:jc w:val="both"/>
        <w:rPr>
          <w:rFonts w:ascii="Arial" w:hAnsi="Arial" w:cs="Arial"/>
          <w:b/>
          <w:sz w:val="24"/>
          <w:szCs w:val="24"/>
        </w:rPr>
      </w:pPr>
      <w:r>
        <w:rPr>
          <w:rFonts w:ascii="Arial" w:hAnsi="Arial" w:cs="Arial"/>
          <w:b/>
          <w:sz w:val="24"/>
          <w:szCs w:val="24"/>
        </w:rPr>
        <w:t>Ex</w:t>
      </w:r>
      <w:r w:rsidR="00FD365A">
        <w:rPr>
          <w:rFonts w:ascii="Arial" w:hAnsi="Arial" w:cs="Arial"/>
          <w:b/>
          <w:sz w:val="24"/>
          <w:szCs w:val="24"/>
        </w:rPr>
        <w:t>changeable Magnesium</w:t>
      </w:r>
    </w:p>
    <w:p w14:paraId="6A2738E5" w14:textId="77777777" w:rsidR="00394DE2" w:rsidRPr="00394DE2" w:rsidRDefault="00394DE2" w:rsidP="00A458B4">
      <w:pPr>
        <w:spacing w:line="360" w:lineRule="auto"/>
        <w:jc w:val="both"/>
        <w:rPr>
          <w:rFonts w:ascii="Arial" w:hAnsi="Arial" w:cs="Arial"/>
          <w:sz w:val="24"/>
          <w:szCs w:val="24"/>
        </w:rPr>
      </w:pPr>
      <w:r w:rsidRPr="00394DE2">
        <w:rPr>
          <w:rFonts w:ascii="Arial" w:hAnsi="Arial" w:cs="Arial"/>
          <w:sz w:val="24"/>
          <w:szCs w:val="24"/>
        </w:rPr>
        <w:t>Exchangeable magnesium declined in all treatments during the study period, although the magnitude of decline differed among treatments. Magnesium decreased from 2.34 to 1.05 under mechanical uprooting, from 3.21 to 0.56 under Cutting/Impala, and from 2.04 to 1.49 in the untreated control. These changes represent approximate reductions of 55.1%, 82.6%, and 27.0%, respectively. The largest decline was therefore recorded under Cutting/Impala, followed by uprooting, while the untreated control showed the smallest decrease. The ANOVA indicated significant differences</w:t>
      </w:r>
      <w:r w:rsidR="001921CE">
        <w:rPr>
          <w:rFonts w:ascii="Arial" w:hAnsi="Arial" w:cs="Arial"/>
          <w:sz w:val="24"/>
          <w:szCs w:val="24"/>
        </w:rPr>
        <w:t xml:space="preserve"> among treatments (P&lt;0.05) with a</w:t>
      </w:r>
      <w:r w:rsidRPr="00394DE2">
        <w:rPr>
          <w:rFonts w:ascii="Arial" w:hAnsi="Arial" w:cs="Arial"/>
          <w:sz w:val="24"/>
          <w:szCs w:val="24"/>
        </w:rPr>
        <w:t xml:space="preserve"> substantial decrease in exchangeable Mg under b</w:t>
      </w:r>
      <w:r w:rsidR="001921CE">
        <w:rPr>
          <w:rFonts w:ascii="Arial" w:hAnsi="Arial" w:cs="Arial"/>
          <w:sz w:val="24"/>
          <w:szCs w:val="24"/>
        </w:rPr>
        <w:t>oth control treatments. This indicates</w:t>
      </w:r>
      <w:r w:rsidRPr="00394DE2">
        <w:rPr>
          <w:rFonts w:ascii="Arial" w:hAnsi="Arial" w:cs="Arial"/>
          <w:sz w:val="24"/>
          <w:szCs w:val="24"/>
        </w:rPr>
        <w:t xml:space="preserve"> that black-wattle management was associated </w:t>
      </w:r>
      <w:r w:rsidRPr="00394DE2">
        <w:rPr>
          <w:rFonts w:ascii="Arial" w:hAnsi="Arial" w:cs="Arial"/>
          <w:sz w:val="24"/>
          <w:szCs w:val="24"/>
        </w:rPr>
        <w:lastRenderedPageBreak/>
        <w:t>with changes in base-cation dynamics, although the decline in the control demonstrates that temporal and site-wide environmental processes also contributed.</w:t>
      </w:r>
    </w:p>
    <w:p w14:paraId="7DBEA199" w14:textId="77777777" w:rsidR="00394DE2" w:rsidRPr="00394DE2" w:rsidRDefault="00394DE2" w:rsidP="00A458B4">
      <w:pPr>
        <w:spacing w:line="360" w:lineRule="auto"/>
        <w:jc w:val="both"/>
        <w:rPr>
          <w:rFonts w:ascii="Arial" w:hAnsi="Arial" w:cs="Arial"/>
          <w:sz w:val="24"/>
          <w:szCs w:val="24"/>
        </w:rPr>
      </w:pPr>
      <w:r w:rsidRPr="00394DE2">
        <w:rPr>
          <w:rFonts w:ascii="Arial" w:hAnsi="Arial" w:cs="Arial"/>
          <w:sz w:val="24"/>
          <w:szCs w:val="24"/>
        </w:rPr>
        <w:t xml:space="preserve">The decline in exchangeable Mg under Cutting/Impala may be linked to changes in nutrient cycling after tree death. Cutting and herbicide application terminate active black-wattle uptake and nitrogen fixation, but dead roots, litter, and woody residues subsequently undergo decomposition and </w:t>
      </w:r>
      <w:proofErr w:type="spellStart"/>
      <w:r w:rsidRPr="00394DE2">
        <w:rPr>
          <w:rFonts w:ascii="Arial" w:hAnsi="Arial" w:cs="Arial"/>
          <w:sz w:val="24"/>
          <w:szCs w:val="24"/>
        </w:rPr>
        <w:t>mineralisation</w:t>
      </w:r>
      <w:proofErr w:type="spellEnd"/>
      <w:r w:rsidRPr="00394DE2">
        <w:rPr>
          <w:rFonts w:ascii="Arial" w:hAnsi="Arial" w:cs="Arial"/>
          <w:sz w:val="24"/>
          <w:szCs w:val="24"/>
        </w:rPr>
        <w:t xml:space="preserve">. Magnesium released during decomposition may temporarily enter the soil solution and then be taken up by regenerating vegetation, adsorbed to exchange sites, displaced by competing cations, or leached below the sampled 0–15 cm layer. The high-rainfall conditions of Nyika National Park provide a plausible mechanism for Mg losses because magnesium is a relatively mobile divalent cation and is particularly susceptible to leaching in strongly acidic, highly weathered soils with low cation-exchange capacity (Brady &amp; Weil, 2016; Gransee &amp; </w:t>
      </w:r>
      <w:proofErr w:type="spellStart"/>
      <w:r w:rsidRPr="00394DE2">
        <w:rPr>
          <w:rFonts w:ascii="Arial" w:hAnsi="Arial" w:cs="Arial"/>
          <w:sz w:val="24"/>
          <w:szCs w:val="24"/>
        </w:rPr>
        <w:t>Führs</w:t>
      </w:r>
      <w:proofErr w:type="spellEnd"/>
      <w:r w:rsidRPr="00394DE2">
        <w:rPr>
          <w:rFonts w:ascii="Arial" w:hAnsi="Arial" w:cs="Arial"/>
          <w:sz w:val="24"/>
          <w:szCs w:val="24"/>
        </w:rPr>
        <w:t>, 2013). Experimental evidence also indicates that Mg losses increase as soil acidity intensifies, because acidic conditions promote cation displacement and leaching (Jalali &amp; Naderi Peikam, 2022).</w:t>
      </w:r>
    </w:p>
    <w:p w14:paraId="154A66D1" w14:textId="77777777" w:rsidR="00394DE2" w:rsidRPr="00394DE2" w:rsidRDefault="00394DE2" w:rsidP="00A458B4">
      <w:pPr>
        <w:spacing w:line="360" w:lineRule="auto"/>
        <w:jc w:val="both"/>
        <w:rPr>
          <w:rFonts w:ascii="Arial" w:hAnsi="Arial" w:cs="Arial"/>
          <w:sz w:val="24"/>
          <w:szCs w:val="24"/>
        </w:rPr>
      </w:pPr>
      <w:r w:rsidRPr="00394DE2">
        <w:rPr>
          <w:rFonts w:ascii="Arial" w:hAnsi="Arial" w:cs="Arial"/>
          <w:sz w:val="24"/>
          <w:szCs w:val="24"/>
        </w:rPr>
        <w:t>The decrease following uprooting may additionally reflect physical disturbance of the soil. Uprooting can disrupt soil aggregates and root systems, expose soil to rainfall, alter infiltration and runoff pathways, and increase the risk of leaching or erosion of fine, nutrient-rich topsoil. The lower final exchangeable Mg concentration under Cutting/Impala relative to uprooting may suggest that residue decomposition and post-treatment cation exchange were more influential than physical soil disturbance alone. However, the present study did not measure soil moisture, cation-exchange capacity, soluble Mg, leachate chemistry, litter biomass, erosion, or plant Mg uptake; therefore, the mechanisms cannot be separated conclusively. The significant decline in the untreated control further suggests that rainfall, seasonal moisture differences, nutrient uptake by vegetation, and natural soil processes contributed to the overall trend.</w:t>
      </w:r>
    </w:p>
    <w:p w14:paraId="625719B2" w14:textId="77777777" w:rsidR="00394DE2" w:rsidRPr="00394DE2" w:rsidRDefault="00394DE2" w:rsidP="00A458B4">
      <w:pPr>
        <w:spacing w:line="360" w:lineRule="auto"/>
        <w:jc w:val="both"/>
        <w:rPr>
          <w:rFonts w:ascii="Arial" w:hAnsi="Arial" w:cs="Arial"/>
          <w:sz w:val="24"/>
          <w:szCs w:val="24"/>
        </w:rPr>
      </w:pPr>
      <w:r w:rsidRPr="00394DE2">
        <w:rPr>
          <w:rFonts w:ascii="Arial" w:hAnsi="Arial" w:cs="Arial"/>
          <w:sz w:val="24"/>
          <w:szCs w:val="24"/>
        </w:rPr>
        <w:t xml:space="preserve">Exchangeable Mg is an important component of soil fertility because it supplies Mg for chlorophyll formation, photosynthesis, enzyme activation, and plant growth, while also contributing to base saturation and buffering against soil acidity. Magnesium on exchange sites and in soil solution is particularly important for plant nutrition; when exchangeable Mg becomes depleted, plants may increasingly depend on slow replenishment from non-exchangeable mineral pools (Roy et al., 2006). The decline in exchangeable Mg is therefore potentially important </w:t>
      </w:r>
      <w:r w:rsidRPr="00394DE2">
        <w:rPr>
          <w:rFonts w:ascii="Arial" w:hAnsi="Arial" w:cs="Arial"/>
          <w:sz w:val="24"/>
          <w:szCs w:val="24"/>
        </w:rPr>
        <w:lastRenderedPageBreak/>
        <w:t xml:space="preserve">for restoration of native vegetation, especially because the Nyika soils remained strongly acidic and may have limited capacity to retain base cations. Although direct studies comparing the effect of black-wattle uprooting and herbicide treatment on exchangeable Mg remain scarce, the broader literature shows that </w:t>
      </w:r>
      <w:r w:rsidRPr="00394DE2">
        <w:rPr>
          <w:rFonts w:ascii="Arial" w:hAnsi="Arial" w:cs="Arial"/>
          <w:i/>
          <w:iCs/>
          <w:sz w:val="24"/>
          <w:szCs w:val="24"/>
        </w:rPr>
        <w:t>Acacia</w:t>
      </w:r>
      <w:r w:rsidRPr="00394DE2">
        <w:rPr>
          <w:rFonts w:ascii="Arial" w:hAnsi="Arial" w:cs="Arial"/>
          <w:sz w:val="24"/>
          <w:szCs w:val="24"/>
        </w:rPr>
        <w:t xml:space="preserve"> invasion and removal can produce variable soil chemical responses depending on climate, soil type, treatment intensity, biomass retention, duration since clearing, and vegetation recovery (</w:t>
      </w:r>
      <w:proofErr w:type="spellStart"/>
      <w:r w:rsidRPr="00394DE2">
        <w:rPr>
          <w:rFonts w:ascii="Arial" w:hAnsi="Arial" w:cs="Arial"/>
          <w:sz w:val="24"/>
          <w:szCs w:val="24"/>
        </w:rPr>
        <w:t>Lusizi</w:t>
      </w:r>
      <w:proofErr w:type="spellEnd"/>
      <w:r w:rsidRPr="00394DE2">
        <w:rPr>
          <w:rFonts w:ascii="Arial" w:hAnsi="Arial" w:cs="Arial"/>
          <w:sz w:val="24"/>
          <w:szCs w:val="24"/>
        </w:rPr>
        <w:t xml:space="preserve"> et al., 2024). </w:t>
      </w:r>
    </w:p>
    <w:p w14:paraId="42819D3A" w14:textId="77777777" w:rsidR="00394DE2" w:rsidRPr="00E4126A" w:rsidRDefault="001C0CAD" w:rsidP="001C0CAD">
      <w:pPr>
        <w:spacing w:line="360" w:lineRule="auto"/>
        <w:jc w:val="both"/>
        <w:rPr>
          <w:rFonts w:ascii="Arial" w:hAnsi="Arial" w:cs="Arial"/>
          <w:b/>
          <w:sz w:val="24"/>
          <w:szCs w:val="24"/>
        </w:rPr>
      </w:pPr>
      <w:r>
        <w:rPr>
          <w:rFonts w:ascii="Arial" w:hAnsi="Arial" w:cs="Arial"/>
          <w:b/>
          <w:sz w:val="24"/>
          <w:szCs w:val="24"/>
        </w:rPr>
        <w:t>T</w:t>
      </w:r>
      <w:r w:rsidRPr="001C0CAD">
        <w:rPr>
          <w:rFonts w:ascii="Arial" w:hAnsi="Arial" w:cs="Arial"/>
          <w:b/>
          <w:sz w:val="24"/>
          <w:szCs w:val="24"/>
        </w:rPr>
        <w:t>he implications of each control method for soil health and nutrient availability</w:t>
      </w:r>
    </w:p>
    <w:p w14:paraId="01799291" w14:textId="77777777" w:rsidR="00E4126A" w:rsidRPr="00E4126A" w:rsidRDefault="00E4126A" w:rsidP="001C0CAD">
      <w:pPr>
        <w:spacing w:line="360" w:lineRule="auto"/>
        <w:jc w:val="both"/>
        <w:rPr>
          <w:rFonts w:ascii="Arial" w:hAnsi="Arial" w:cs="Arial"/>
          <w:sz w:val="24"/>
          <w:szCs w:val="24"/>
        </w:rPr>
      </w:pPr>
      <w:r w:rsidRPr="00E4126A">
        <w:rPr>
          <w:rFonts w:ascii="Arial" w:hAnsi="Arial" w:cs="Arial"/>
          <w:sz w:val="24"/>
          <w:szCs w:val="24"/>
        </w:rPr>
        <w:t>Mechanical uprooting and cutting followed by Impala herbicide application both altered soil conditions in black-wattle-invaded sites at Nyika National Park, but their implications for post-treatment ecological restoration differ. Mechanical uprooting increased soil pH from 4.1 to 4.4 and soil organic carbon stocks from 68.88 to 74.95 Mg C ha</w:t>
      </w:r>
      <w:r w:rsidRPr="00E4126A">
        <w:rPr>
          <w:rFonts w:ascii="Cambria Math" w:hAnsi="Cambria Math" w:cs="Cambria Math"/>
          <w:sz w:val="24"/>
          <w:szCs w:val="24"/>
        </w:rPr>
        <w:t>⁻</w:t>
      </w:r>
      <w:r w:rsidRPr="00E4126A">
        <w:rPr>
          <w:rFonts w:ascii="Arial" w:hAnsi="Arial" w:cs="Arial"/>
          <w:sz w:val="24"/>
          <w:szCs w:val="24"/>
        </w:rPr>
        <w:t xml:space="preserve">¹, although neither change was statistically significant (P &gt; 0.05). However, it was associated with substantial nutrient depletion: total nitrogen declined from 2.52% to 0.61% (P = 0.014), exchangeable magnesium declined from 2.34 to 1.05 (P = 0.028), and electrical conductivity decreased from 1.92 to 0.78 </w:t>
      </w:r>
      <w:proofErr w:type="spellStart"/>
      <w:r w:rsidRPr="00E4126A">
        <w:rPr>
          <w:rFonts w:ascii="Arial" w:hAnsi="Arial" w:cs="Arial"/>
          <w:sz w:val="24"/>
          <w:szCs w:val="24"/>
        </w:rPr>
        <w:t>mmho</w:t>
      </w:r>
      <w:proofErr w:type="spellEnd"/>
      <w:r w:rsidRPr="00E4126A">
        <w:rPr>
          <w:rFonts w:ascii="Arial" w:hAnsi="Arial" w:cs="Arial"/>
          <w:sz w:val="24"/>
          <w:szCs w:val="24"/>
        </w:rPr>
        <w:t xml:space="preserve"> cm</w:t>
      </w:r>
      <w:r w:rsidRPr="00E4126A">
        <w:rPr>
          <w:rFonts w:ascii="Cambria Math" w:hAnsi="Cambria Math" w:cs="Cambria Math"/>
          <w:sz w:val="24"/>
          <w:szCs w:val="24"/>
        </w:rPr>
        <w:t>⁻</w:t>
      </w:r>
      <w:r w:rsidRPr="00E4126A">
        <w:rPr>
          <w:rFonts w:ascii="Arial" w:hAnsi="Arial" w:cs="Arial"/>
          <w:sz w:val="24"/>
          <w:szCs w:val="24"/>
        </w:rPr>
        <w:t>¹ (P = 0.001). These responses suggest that, although uprooting may reduce continued resource uptake and resprouting by black wattle, its physical disturbance may increase the risk of nutrient loss through leaching or erosion. Consequently, uprooting should be accompanied by erosion-control measures and monitoring of nitrogen, magnesium, and native-vegetation recovery to ensure that invasive-tree removal does not compromise soil fertility or restoration success.</w:t>
      </w:r>
    </w:p>
    <w:p w14:paraId="2FF865A5" w14:textId="77777777" w:rsidR="00177FB9" w:rsidRPr="00E4126A" w:rsidRDefault="00E4126A" w:rsidP="001C0CAD">
      <w:pPr>
        <w:spacing w:line="360" w:lineRule="auto"/>
        <w:jc w:val="both"/>
        <w:rPr>
          <w:rFonts w:ascii="Arial" w:hAnsi="Arial" w:cs="Arial"/>
          <w:sz w:val="24"/>
          <w:szCs w:val="24"/>
        </w:rPr>
      </w:pPr>
      <w:r w:rsidRPr="00E4126A">
        <w:rPr>
          <w:rFonts w:ascii="Arial" w:hAnsi="Arial" w:cs="Arial"/>
          <w:sz w:val="24"/>
          <w:szCs w:val="24"/>
        </w:rPr>
        <w:t xml:space="preserve">Cutting followed by Impala herbicide application produced a more </w:t>
      </w:r>
      <w:proofErr w:type="spellStart"/>
      <w:r w:rsidRPr="00E4126A">
        <w:rPr>
          <w:rFonts w:ascii="Arial" w:hAnsi="Arial" w:cs="Arial"/>
          <w:sz w:val="24"/>
          <w:szCs w:val="24"/>
        </w:rPr>
        <w:t>favourable</w:t>
      </w:r>
      <w:proofErr w:type="spellEnd"/>
      <w:r w:rsidRPr="00E4126A">
        <w:rPr>
          <w:rFonts w:ascii="Arial" w:hAnsi="Arial" w:cs="Arial"/>
          <w:sz w:val="24"/>
          <w:szCs w:val="24"/>
        </w:rPr>
        <w:t xml:space="preserve"> short-term trend for soil carbon retention and phosphorus availability, despite causing no significant change in soil </w:t>
      </w:r>
      <w:proofErr w:type="spellStart"/>
      <w:r w:rsidRPr="00E4126A">
        <w:rPr>
          <w:rFonts w:ascii="Arial" w:hAnsi="Arial" w:cs="Arial"/>
          <w:sz w:val="24"/>
          <w:szCs w:val="24"/>
        </w:rPr>
        <w:t>pH.</w:t>
      </w:r>
      <w:proofErr w:type="spellEnd"/>
      <w:r w:rsidRPr="00E4126A">
        <w:rPr>
          <w:rFonts w:ascii="Arial" w:hAnsi="Arial" w:cs="Arial"/>
          <w:sz w:val="24"/>
          <w:szCs w:val="24"/>
        </w:rPr>
        <w:t xml:space="preserve"> Soil organic carbon stocks increased from 64.82 to 93.18 Mg C ha</w:t>
      </w:r>
      <w:r w:rsidRPr="00E4126A">
        <w:rPr>
          <w:rFonts w:ascii="Cambria Math" w:hAnsi="Cambria Math" w:cs="Cambria Math"/>
          <w:sz w:val="24"/>
          <w:szCs w:val="24"/>
        </w:rPr>
        <w:t>⁻</w:t>
      </w:r>
      <w:r w:rsidRPr="00E4126A">
        <w:rPr>
          <w:rFonts w:ascii="Arial" w:hAnsi="Arial" w:cs="Arial"/>
          <w:sz w:val="24"/>
          <w:szCs w:val="24"/>
        </w:rPr>
        <w:t>¹, and available phosphorus increased from 4.3 to 45.3 mg kg</w:t>
      </w:r>
      <w:r w:rsidRPr="00E4126A">
        <w:rPr>
          <w:rFonts w:ascii="Cambria Math" w:hAnsi="Cambria Math" w:cs="Cambria Math"/>
          <w:sz w:val="24"/>
          <w:szCs w:val="24"/>
        </w:rPr>
        <w:t>⁻</w:t>
      </w:r>
      <w:r w:rsidRPr="00E4126A">
        <w:rPr>
          <w:rFonts w:ascii="Arial" w:hAnsi="Arial" w:cs="Arial"/>
          <w:sz w:val="24"/>
          <w:szCs w:val="24"/>
        </w:rPr>
        <w:t xml:space="preserve">¹, although neither treatment effect was statistically significant (P &gt; 0.05). The increase in carbon and phosphorus may be associated with reduced physical disturbance and the retention and decomposition of roots, stumps, litter, and cut biomass. Nevertheless, total nitrogen declined from 2.51% to 0.62% (P = 0.014) and exchangeable magnesium declined from 3.21 to 0.56 (P = 0.028), indicating that this method also has the potential to deplete key plant nutrients. Therefore, cutting/Impala may be preferable where conserving soil organic matter and </w:t>
      </w:r>
      <w:proofErr w:type="spellStart"/>
      <w:r w:rsidRPr="00E4126A">
        <w:rPr>
          <w:rFonts w:ascii="Arial" w:hAnsi="Arial" w:cs="Arial"/>
          <w:sz w:val="24"/>
          <w:szCs w:val="24"/>
        </w:rPr>
        <w:t>minimising</w:t>
      </w:r>
      <w:proofErr w:type="spellEnd"/>
      <w:r w:rsidRPr="00E4126A">
        <w:rPr>
          <w:rFonts w:ascii="Arial" w:hAnsi="Arial" w:cs="Arial"/>
          <w:sz w:val="24"/>
          <w:szCs w:val="24"/>
        </w:rPr>
        <w:t xml:space="preserve"> soil disturbance are priorities, but </w:t>
      </w:r>
      <w:r w:rsidRPr="00E4126A">
        <w:rPr>
          <w:rFonts w:ascii="Arial" w:hAnsi="Arial" w:cs="Arial"/>
          <w:sz w:val="24"/>
          <w:szCs w:val="24"/>
        </w:rPr>
        <w:lastRenderedPageBreak/>
        <w:t>restoration planning should include follow-up assessment of plant-available nutrients, soil acidity, and indigenous vegetation establishment before its long-term suitability can be confirmed.</w:t>
      </w:r>
    </w:p>
    <w:p w14:paraId="676041C8" w14:textId="77777777" w:rsidR="001C0CAD" w:rsidRDefault="001C0CAD" w:rsidP="001C0CAD">
      <w:pPr>
        <w:spacing w:line="360" w:lineRule="auto"/>
        <w:jc w:val="both"/>
        <w:rPr>
          <w:rFonts w:ascii="Arial" w:hAnsi="Arial" w:cs="Arial"/>
          <w:sz w:val="24"/>
          <w:szCs w:val="24"/>
        </w:rPr>
      </w:pPr>
      <w:r w:rsidRPr="00E4126A">
        <w:rPr>
          <w:rFonts w:ascii="Arial" w:hAnsi="Arial" w:cs="Arial"/>
          <w:b/>
          <w:sz w:val="24"/>
          <w:szCs w:val="24"/>
        </w:rPr>
        <w:t>Conclusion</w:t>
      </w:r>
    </w:p>
    <w:p w14:paraId="72C88F00" w14:textId="77777777" w:rsidR="001C0CAD" w:rsidRPr="001C0CAD" w:rsidRDefault="001C0CAD" w:rsidP="001C0CAD">
      <w:pPr>
        <w:spacing w:line="360" w:lineRule="auto"/>
        <w:jc w:val="both"/>
        <w:rPr>
          <w:rFonts w:ascii="Arial" w:hAnsi="Arial" w:cs="Arial"/>
          <w:sz w:val="24"/>
          <w:szCs w:val="24"/>
        </w:rPr>
      </w:pPr>
      <w:r w:rsidRPr="001C0CAD">
        <w:rPr>
          <w:rFonts w:ascii="Arial" w:hAnsi="Arial" w:cs="Arial"/>
          <w:sz w:val="24"/>
          <w:szCs w:val="24"/>
        </w:rPr>
        <w:t xml:space="preserve">This study demonstrates that mechanical uprooting and cutting followed by Impala herbicide application produced measurable but treatment-specific changes in selected soil physicochemical properties of </w:t>
      </w:r>
      <w:r>
        <w:rPr>
          <w:rFonts w:ascii="Arial" w:hAnsi="Arial" w:cs="Arial"/>
          <w:i/>
          <w:sz w:val="24"/>
          <w:szCs w:val="24"/>
        </w:rPr>
        <w:t xml:space="preserve">Acacia </w:t>
      </w:r>
      <w:proofErr w:type="spellStart"/>
      <w:r w:rsidRPr="001C0CAD">
        <w:rPr>
          <w:rFonts w:ascii="Arial" w:hAnsi="Arial" w:cs="Arial"/>
          <w:i/>
          <w:sz w:val="24"/>
          <w:szCs w:val="24"/>
        </w:rPr>
        <w:t>mearnsii</w:t>
      </w:r>
      <w:proofErr w:type="spellEnd"/>
      <w:r w:rsidRPr="001C0CAD">
        <w:rPr>
          <w:rFonts w:ascii="Arial" w:hAnsi="Arial" w:cs="Arial"/>
          <w:sz w:val="24"/>
          <w:szCs w:val="24"/>
        </w:rPr>
        <w:t xml:space="preserve">-invaded sites in Nyika National Park. The null hypothesis was therefore partially rejected: significant treatment effects were observed </w:t>
      </w:r>
      <w:r>
        <w:rPr>
          <w:rFonts w:ascii="Arial" w:hAnsi="Arial" w:cs="Arial"/>
          <w:sz w:val="24"/>
          <w:szCs w:val="24"/>
          <w:highlight w:val="yellow"/>
        </w:rPr>
        <w:t>for total nitrogen, exchangeable calcium</w:t>
      </w:r>
      <w:r>
        <w:rPr>
          <w:rFonts w:ascii="Arial" w:hAnsi="Arial" w:cs="Arial"/>
          <w:sz w:val="24"/>
          <w:szCs w:val="24"/>
        </w:rPr>
        <w:t xml:space="preserve"> (P = 0.045), exchangeable magnesium (P = 0.028), and electrical conductivity (P = 0.001), whereas soil pH, soil organic carbon stocks, available phosphorus, and exchangeable sodium percentage did not differ significantly among treatments. Both control methods were associated with substantial declines in total nitrogen and exchangeable magnesium relative to the untreated control, indicating that black-wattle removal may reduce invasion-associated nutrient enrichment but may also deplete nutrients required for early native-vegetation establishment.</w:t>
      </w:r>
    </w:p>
    <w:p w14:paraId="1322E665" w14:textId="77777777" w:rsidR="001C0CAD" w:rsidRPr="001C0CAD" w:rsidRDefault="001C0CAD" w:rsidP="001C0CAD">
      <w:pPr>
        <w:spacing w:line="360" w:lineRule="auto"/>
        <w:jc w:val="both"/>
        <w:rPr>
          <w:rFonts w:ascii="Arial" w:hAnsi="Arial" w:cs="Arial"/>
          <w:sz w:val="24"/>
          <w:szCs w:val="24"/>
        </w:rPr>
      </w:pPr>
      <w:r w:rsidRPr="001C0CAD">
        <w:rPr>
          <w:rFonts w:ascii="Arial" w:hAnsi="Arial" w:cs="Arial"/>
          <w:sz w:val="24"/>
          <w:szCs w:val="24"/>
        </w:rPr>
        <w:t>Cutting followed by Impala herbicide application showed a stronger short-term tendency for soil organic carbon retention and available phosphorus release, increasing SOC stocks from 64.82 to 93.18 Mg C ha</w:t>
      </w:r>
      <w:r w:rsidRPr="001C0CAD">
        <w:rPr>
          <w:rFonts w:ascii="Cambria Math" w:hAnsi="Cambria Math" w:cs="Cambria Math"/>
          <w:sz w:val="24"/>
          <w:szCs w:val="24"/>
        </w:rPr>
        <w:t>⁻</w:t>
      </w:r>
      <w:r w:rsidRPr="001C0CAD">
        <w:rPr>
          <w:rFonts w:ascii="Arial" w:hAnsi="Arial" w:cs="Arial"/>
          <w:sz w:val="24"/>
          <w:szCs w:val="24"/>
        </w:rPr>
        <w:t>¹ and available phosphorus from 4.3 to 45.3 mg kg</w:t>
      </w:r>
      <w:r w:rsidRPr="001C0CAD">
        <w:rPr>
          <w:rFonts w:ascii="Cambria Math" w:hAnsi="Cambria Math" w:cs="Cambria Math"/>
          <w:sz w:val="24"/>
          <w:szCs w:val="24"/>
        </w:rPr>
        <w:t>⁻</w:t>
      </w:r>
      <w:r w:rsidRPr="001C0CAD">
        <w:rPr>
          <w:rFonts w:ascii="Arial" w:hAnsi="Arial" w:cs="Arial"/>
          <w:sz w:val="24"/>
          <w:szCs w:val="24"/>
        </w:rPr>
        <w:t xml:space="preserve">¹, although these changes were not statistically significant. This treatment may therefore be preferable where </w:t>
      </w:r>
      <w:proofErr w:type="spellStart"/>
      <w:r w:rsidRPr="001C0CAD">
        <w:rPr>
          <w:rFonts w:ascii="Arial" w:hAnsi="Arial" w:cs="Arial"/>
          <w:sz w:val="24"/>
          <w:szCs w:val="24"/>
        </w:rPr>
        <w:t>minimising</w:t>
      </w:r>
      <w:proofErr w:type="spellEnd"/>
      <w:r w:rsidRPr="001C0CAD">
        <w:rPr>
          <w:rFonts w:ascii="Arial" w:hAnsi="Arial" w:cs="Arial"/>
          <w:sz w:val="24"/>
          <w:szCs w:val="24"/>
        </w:rPr>
        <w:t xml:space="preserve"> soil disturbance and conserving organic matter are restoration priorities. Mechanical uprooting increased soil pH from 4.1 to 4.4 and produced the greatest decline in electrical conductivity, from 1.92 to 0.78 </w:t>
      </w:r>
      <w:proofErr w:type="spellStart"/>
      <w:r w:rsidRPr="001C0CAD">
        <w:rPr>
          <w:rFonts w:ascii="Arial" w:hAnsi="Arial" w:cs="Arial"/>
          <w:sz w:val="24"/>
          <w:szCs w:val="24"/>
        </w:rPr>
        <w:t>mmho</w:t>
      </w:r>
      <w:proofErr w:type="spellEnd"/>
      <w:r w:rsidRPr="001C0CAD">
        <w:rPr>
          <w:rFonts w:ascii="Arial" w:hAnsi="Arial" w:cs="Arial"/>
          <w:sz w:val="24"/>
          <w:szCs w:val="24"/>
        </w:rPr>
        <w:t xml:space="preserve"> cm</w:t>
      </w:r>
      <w:r w:rsidRPr="001C0CAD">
        <w:rPr>
          <w:rFonts w:ascii="Cambria Math" w:hAnsi="Cambria Math" w:cs="Cambria Math"/>
          <w:sz w:val="24"/>
          <w:szCs w:val="24"/>
        </w:rPr>
        <w:t>⁻</w:t>
      </w:r>
      <w:r w:rsidRPr="001C0CAD">
        <w:rPr>
          <w:rFonts w:ascii="Arial" w:hAnsi="Arial" w:cs="Arial"/>
          <w:sz w:val="24"/>
          <w:szCs w:val="24"/>
        </w:rPr>
        <w:t>¹, but its association with substantial nitrogen and magnesium depletion suggests a greater risk of nutrient loss under Nyika’s high-rainfall montane conditions. Because the untreated control also showed declines in nitrogen, magnesium, and electrical conductivity, temporal environmental processes contributed to the observed soil changes and treatment effects should not be interpreted in isolation.</w:t>
      </w:r>
    </w:p>
    <w:p w14:paraId="3CED59AD" w14:textId="77777777" w:rsidR="00177FB9" w:rsidRDefault="001C0CAD" w:rsidP="001C0CAD">
      <w:pPr>
        <w:spacing w:line="360" w:lineRule="auto"/>
        <w:jc w:val="both"/>
        <w:rPr>
          <w:rFonts w:ascii="Arial" w:hAnsi="Arial" w:cs="Arial"/>
          <w:sz w:val="24"/>
          <w:szCs w:val="24"/>
        </w:rPr>
      </w:pPr>
      <w:r w:rsidRPr="001C0CAD">
        <w:rPr>
          <w:rFonts w:ascii="Arial" w:hAnsi="Arial" w:cs="Arial"/>
          <w:sz w:val="24"/>
          <w:szCs w:val="24"/>
        </w:rPr>
        <w:t xml:space="preserve">Overall, neither control method can yet be recommended as universally superior for soil health and nutrient availability. Cutting/Impala appears provisionally more compatible with carbon retention and reduced physical disturbance, while mechanical uprooting may be appropriate where complete removal of root systems and prevention of resprouting are essential. Future </w:t>
      </w:r>
      <w:r w:rsidRPr="001C0CAD">
        <w:rPr>
          <w:rFonts w:ascii="Arial" w:hAnsi="Arial" w:cs="Arial"/>
          <w:sz w:val="24"/>
          <w:szCs w:val="24"/>
        </w:rPr>
        <w:lastRenderedPageBreak/>
        <w:t>management should integrate black-wattle control with erosion protection, monitoring of plant-available nitrogen and phosphorus, exchangeable magnesium, soil moisture, and indigenous vegetation recovery. Longer-term assessment is required to determine whether the observed soil responses persist and whether either treatment supports sustained recovery of native montane grassland eco</w:t>
      </w:r>
      <w:r>
        <w:rPr>
          <w:rFonts w:ascii="Arial" w:hAnsi="Arial" w:cs="Arial"/>
          <w:sz w:val="24"/>
          <w:szCs w:val="24"/>
        </w:rPr>
        <w:t>systems in Nyika National Park.</w:t>
      </w:r>
    </w:p>
    <w:p w14:paraId="15E9BFDF" w14:textId="77777777" w:rsidR="006502AE" w:rsidRDefault="006502AE" w:rsidP="001C0CAD">
      <w:pPr>
        <w:spacing w:line="360" w:lineRule="auto"/>
        <w:jc w:val="both"/>
        <w:rPr>
          <w:rFonts w:ascii="Arial" w:hAnsi="Arial" w:cs="Arial"/>
          <w:sz w:val="24"/>
          <w:szCs w:val="24"/>
        </w:rPr>
      </w:pPr>
    </w:p>
    <w:p w14:paraId="3E95D1DA" w14:textId="02545DEC" w:rsidR="006502AE" w:rsidRPr="006502AE" w:rsidRDefault="006502AE" w:rsidP="006502AE">
      <w:pPr>
        <w:spacing w:line="360" w:lineRule="auto"/>
        <w:jc w:val="both"/>
        <w:rPr>
          <w:rFonts w:ascii="Arial" w:hAnsi="Arial" w:cs="Arial"/>
          <w:sz w:val="24"/>
          <w:szCs w:val="24"/>
        </w:rPr>
      </w:pPr>
      <w:r w:rsidRPr="006502AE">
        <w:rPr>
          <w:rFonts w:ascii="Arial" w:hAnsi="Arial" w:cs="Arial"/>
          <w:sz w:val="24"/>
          <w:szCs w:val="24"/>
        </w:rPr>
        <w:t xml:space="preserve">Limitations </w:t>
      </w:r>
    </w:p>
    <w:p w14:paraId="1C42DA0C" w14:textId="14A07961" w:rsidR="006502AE" w:rsidRDefault="006502AE" w:rsidP="006502AE">
      <w:pPr>
        <w:spacing w:line="360" w:lineRule="auto"/>
        <w:jc w:val="both"/>
        <w:rPr>
          <w:rFonts w:ascii="Arial" w:hAnsi="Arial" w:cs="Arial"/>
          <w:sz w:val="24"/>
          <w:szCs w:val="24"/>
        </w:rPr>
      </w:pPr>
      <w:r w:rsidRPr="006502AE">
        <w:rPr>
          <w:rFonts w:ascii="Arial" w:hAnsi="Arial" w:cs="Arial"/>
          <w:sz w:val="24"/>
          <w:szCs w:val="24"/>
        </w:rPr>
        <w:t>The study examined selected soil physicochemical indicators in the upper 0–15 cm of black-wattle-invaded soil at Nyika National Park. It did not directly quantify erosion, nutrient leaching, soil microbial activity, changes in cation-exchange capacity or indigenous vegetation recovery. The untreated plots also changed over the study period, limiting the attribution of all observed differences to the control methods alone. Although some treatment differences were statistically significant, several numerical changes were not. Consequently, the findings should be interpreted as site-specific and should not be extrapolated to long-term restoration outcomes without further monitoring.</w:t>
      </w:r>
    </w:p>
    <w:p w14:paraId="78962965" w14:textId="77777777" w:rsidR="001C0CAD" w:rsidRDefault="001C0CAD" w:rsidP="001C0CAD">
      <w:pPr>
        <w:spacing w:line="360" w:lineRule="auto"/>
        <w:jc w:val="both"/>
        <w:rPr>
          <w:rFonts w:ascii="Arial" w:hAnsi="Arial" w:cs="Arial"/>
          <w:sz w:val="24"/>
          <w:szCs w:val="24"/>
        </w:rPr>
      </w:pPr>
    </w:p>
    <w:p w14:paraId="33BF08F2" w14:textId="77777777" w:rsidR="002A1F4E" w:rsidRPr="002A1F4E" w:rsidRDefault="002A1F4E" w:rsidP="002A1F4E">
      <w:pPr>
        <w:spacing w:after="0" w:line="240" w:lineRule="auto"/>
        <w:rPr>
          <w:rFonts w:ascii="Times New Roman" w:eastAsia="Calibri" w:hAnsi="Times New Roman" w:cs="Times New Roman"/>
          <w:b/>
          <w:lang w:eastAsia="en-US"/>
        </w:rPr>
      </w:pPr>
      <w:r w:rsidRPr="002A1F4E">
        <w:rPr>
          <w:rFonts w:ascii="Times New Roman" w:eastAsia="Calibri" w:hAnsi="Times New Roman" w:cs="Times New Roman"/>
          <w:b/>
          <w:lang w:eastAsia="en-US"/>
        </w:rPr>
        <w:t>Declaration of AI Use</w:t>
      </w:r>
    </w:p>
    <w:p w14:paraId="42C6EC21" w14:textId="77777777" w:rsidR="002A1F4E" w:rsidRPr="002A1F4E" w:rsidRDefault="002A1F4E" w:rsidP="002A1F4E">
      <w:pPr>
        <w:spacing w:after="0" w:line="240" w:lineRule="auto"/>
        <w:rPr>
          <w:rFonts w:ascii="Times New Roman" w:eastAsia="Calibri" w:hAnsi="Times New Roman" w:cs="Times New Roman"/>
          <w:b/>
          <w:lang w:eastAsia="en-US"/>
        </w:rPr>
      </w:pPr>
    </w:p>
    <w:p w14:paraId="645D7B03" w14:textId="77777777" w:rsidR="002A1F4E" w:rsidRPr="002A1F4E" w:rsidRDefault="002A1F4E" w:rsidP="002A1F4E">
      <w:pPr>
        <w:spacing w:after="0" w:line="240" w:lineRule="auto"/>
        <w:rPr>
          <w:rFonts w:ascii="Times New Roman" w:eastAsia="Calibri" w:hAnsi="Times New Roman" w:cs="Times New Roman"/>
          <w:b/>
          <w:lang w:eastAsia="en-US"/>
        </w:rPr>
      </w:pPr>
    </w:p>
    <w:p w14:paraId="714517CD" w14:textId="77777777" w:rsidR="002A1F4E" w:rsidRPr="002A1F4E" w:rsidRDefault="002A1F4E" w:rsidP="002A1F4E">
      <w:pPr>
        <w:spacing w:after="0" w:line="240" w:lineRule="auto"/>
        <w:rPr>
          <w:rFonts w:ascii="Times New Roman" w:eastAsia="Calibri" w:hAnsi="Times New Roman" w:cs="Times New Roman"/>
          <w:b/>
          <w:lang w:eastAsia="en-US"/>
        </w:rPr>
      </w:pPr>
    </w:p>
    <w:p w14:paraId="02AEFB07" w14:textId="77777777" w:rsidR="002A1F4E" w:rsidRPr="002A1F4E" w:rsidRDefault="002A1F4E" w:rsidP="002A1F4E">
      <w:pPr>
        <w:spacing w:after="0" w:line="240" w:lineRule="auto"/>
        <w:rPr>
          <w:rFonts w:ascii="Arial" w:eastAsia="Calibri" w:hAnsi="Arial" w:cs="Arial"/>
          <w:sz w:val="20"/>
          <w:szCs w:val="20"/>
          <w:lang w:eastAsia="en-US"/>
        </w:rPr>
      </w:pPr>
      <w:r w:rsidRPr="002A1F4E">
        <w:rPr>
          <w:rFonts w:ascii="Arial" w:eastAsia="Calibri" w:hAnsi="Arial" w:cs="Arial"/>
          <w:sz w:val="20"/>
          <w:szCs w:val="20"/>
          <w:lang w:eastAsia="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016686D" w14:textId="77777777" w:rsidR="00177FB9" w:rsidRDefault="00177FB9" w:rsidP="00177FB9">
      <w:pPr>
        <w:keepNext/>
        <w:pageBreakBefore/>
        <w:jc w:val="both"/>
        <w:rPr>
          <w:rFonts w:ascii="Arial" w:hAnsi="Arial" w:cs="Arial"/>
          <w:b/>
          <w:sz w:val="24"/>
          <w:szCs w:val="24"/>
        </w:rPr>
      </w:pPr>
      <w:r w:rsidRPr="00177FB9">
        <w:rPr>
          <w:rFonts w:ascii="Arial" w:hAnsi="Arial" w:cs="Arial"/>
          <w:b/>
          <w:sz w:val="24"/>
          <w:szCs w:val="24"/>
        </w:rPr>
        <w:t>References</w:t>
      </w:r>
    </w:p>
    <w:p>
      <w:pPr>
        <w:spacing w:after="100" w:before="0"/>
        <w:ind w:left="504" w:hanging="504"/>
      </w:pPr>
      <w:r>
        <w:rPr>
          <w:i w:val="0"/>
        </w:rPr>
        <w:t xml:space="preserve">Abrol, I. P., Yadav, J. S. P., &amp; Massoud, F. I. (1988). </w:t>
      </w:r>
      <w:r>
        <w:rPr>
          <w:i/>
        </w:rPr>
        <w:t>Salt-affected soils and their management</w:t>
      </w:r>
      <w:r>
        <w:rPr>
          <w:i w:val="0"/>
        </w:rPr>
        <w:t xml:space="preserve"> (FAO Soils Bulletin No. 39). Food and Agriculture Organization of the United Nations. </w:t>
      </w:r>
      <w:hyperlink r:id="rId46">
        <w:r>
          <w:rPr>
            <w:color w:val="0563C1"/>
            <w:u w:val="single"/>
          </w:rPr>
          <w:t>https://www.fao.org/4/x5871e/x5871e00.htm</w:t>
        </w:r>
      </w:hyperlink>
    </w:p>
    <w:p>
      <w:pPr>
        <w:spacing w:after="100" w:before="0"/>
        <w:ind w:left="504" w:hanging="504"/>
      </w:pPr>
      <w:r>
        <w:rPr>
          <w:i w:val="0"/>
        </w:rPr>
        <w:t xml:space="preserve">Boudiaf, I., Baudoin, E., Sanguin, H., Beddiaf, A., Thioulouse, J., Galiana, A., Prin, Y., Le Roux, C., Lebrun, M., &amp; Duponnois, R. (2013). The exotic legume tree species, </w:t>
      </w:r>
      <w:r>
        <w:rPr>
          <w:i/>
        </w:rPr>
        <w:t>Acacia mearnsii</w:t>
      </w:r>
      <w:r>
        <w:rPr>
          <w:i w:val="0"/>
        </w:rPr>
        <w:t xml:space="preserve">, alters microbial soil functionalities and the early development of a native tree species, </w:t>
      </w:r>
      <w:r>
        <w:rPr>
          <w:i/>
        </w:rPr>
        <w:t>Quercus suber</w:t>
      </w:r>
      <w:r>
        <w:rPr>
          <w:i w:val="0"/>
        </w:rPr>
        <w:t xml:space="preserve">, in North Africa. </w:t>
      </w:r>
      <w:r>
        <w:rPr>
          <w:i/>
        </w:rPr>
        <w:t>Soil Biology and Biochemistry, 65</w:t>
      </w:r>
      <w:r>
        <w:rPr>
          <w:i w:val="0"/>
        </w:rPr>
        <w:t xml:space="preserve">, 172–179. </w:t>
      </w:r>
      <w:hyperlink r:id="rId47">
        <w:r>
          <w:rPr>
            <w:color w:val="0563C1"/>
            <w:u w:val="single"/>
          </w:rPr>
          <w:t>https://doi.org/10.1016/j.soilbio.2013.05.003</w:t>
        </w:r>
      </w:hyperlink>
    </w:p>
    <w:p>
      <w:pPr>
        <w:spacing w:after="100" w:before="0"/>
        <w:ind w:left="504" w:hanging="504"/>
      </w:pPr>
      <w:r>
        <w:rPr>
          <w:i w:val="0"/>
        </w:rPr>
        <w:t xml:space="preserve">Brady, N. C., &amp; Weil, R. R. (2016). </w:t>
      </w:r>
      <w:r>
        <w:rPr>
          <w:i/>
        </w:rPr>
        <w:t>The nature and properties of soils</w:t>
      </w:r>
      <w:r>
        <w:rPr>
          <w:i w:val="0"/>
        </w:rPr>
        <w:t xml:space="preserve"> (15th ed.). Pearson Education. </w:t>
      </w:r>
      <w:hyperlink r:id="rId48">
        <w:r>
          <w:rPr>
            <w:color w:val="0563C1"/>
            <w:u w:val="single"/>
          </w:rPr>
          <w:t>https://www.pearson.com/en-us/subject-catalog/p/nature-and-properties-of-soils-the/P200000000825</w:t>
        </w:r>
      </w:hyperlink>
    </w:p>
    <w:p>
      <w:pPr>
        <w:spacing w:after="100" w:before="0"/>
        <w:ind w:left="504" w:hanging="504"/>
      </w:pPr>
      <w:r>
        <w:rPr>
          <w:i w:val="0"/>
        </w:rPr>
        <w:t xml:space="preserve">Corwin, D. L., &amp; Lesch, S. M. (2005). Apparent soil electrical conductivity measurements in agriculture. </w:t>
      </w:r>
      <w:r>
        <w:rPr>
          <w:i/>
        </w:rPr>
        <w:t>Computers and Electronics in Agriculture, 46</w:t>
      </w:r>
      <w:r>
        <w:rPr>
          <w:i w:val="0"/>
        </w:rPr>
        <w:t xml:space="preserve">(1–3), 11–43. </w:t>
      </w:r>
      <w:hyperlink r:id="rId12">
        <w:r>
          <w:rPr>
            <w:color w:val="0563C1"/>
            <w:u w:val="single"/>
          </w:rPr>
          <w:t>https://doi.org/10.1016/j.compag.2004.10.005</w:t>
        </w:r>
      </w:hyperlink>
    </w:p>
    <w:p>
      <w:pPr>
        <w:spacing w:after="100" w:before="0"/>
        <w:ind w:left="504" w:hanging="504"/>
      </w:pPr>
      <w:r>
        <w:rPr>
          <w:i w:val="0"/>
        </w:rPr>
        <w:t>Dye, P., &amp; Jarmain, C. (2004). Water use by black wattle (</w:t>
      </w:r>
      <w:r>
        <w:rPr>
          <w:i/>
        </w:rPr>
        <w:t>Acacia mearnsii</w:t>
      </w:r>
      <w:r>
        <w:rPr>
          <w:i w:val="0"/>
        </w:rPr>
        <w:t xml:space="preserve">): Implications for the link between removal of invading trees and catchment streamflow response. </w:t>
      </w:r>
      <w:r>
        <w:rPr>
          <w:i/>
        </w:rPr>
        <w:t>South African Journal of Science, 100</w:t>
      </w:r>
      <w:r>
        <w:rPr>
          <w:i w:val="0"/>
        </w:rPr>
        <w:t xml:space="preserve">(1–2), 40–44. </w:t>
      </w:r>
      <w:hyperlink r:id="rId49">
        <w:r>
          <w:rPr>
            <w:color w:val="0563C1"/>
            <w:u w:val="single"/>
          </w:rPr>
          <w:t>https://journals.co.za/doi/10.10520/EJC96215</w:t>
        </w:r>
      </w:hyperlink>
    </w:p>
    <w:p>
      <w:pPr>
        <w:spacing w:after="100" w:before="0"/>
        <w:ind w:left="504" w:hanging="504"/>
      </w:pPr>
      <w:r>
        <w:rPr>
          <w:i w:val="0"/>
        </w:rPr>
        <w:t xml:space="preserve">Ellert, B. H., &amp; Bettany, J. R. (1995). Calculation of organic matter and nutrients stored in soils under contrasting management regimes. </w:t>
      </w:r>
      <w:r>
        <w:rPr>
          <w:i/>
        </w:rPr>
        <w:t>Canadian Journal of Soil Science, 75</w:t>
      </w:r>
      <w:r>
        <w:rPr>
          <w:i w:val="0"/>
        </w:rPr>
        <w:t xml:space="preserve">(4), 529–538. </w:t>
      </w:r>
      <w:hyperlink r:id="rId13">
        <w:r>
          <w:rPr>
            <w:color w:val="0563C1"/>
            <w:u w:val="single"/>
          </w:rPr>
          <w:t>https://doi.org/10.4141/cjss95-075</w:t>
        </w:r>
      </w:hyperlink>
    </w:p>
    <w:p>
      <w:pPr>
        <w:spacing w:after="100" w:before="0"/>
        <w:ind w:left="504" w:hanging="504"/>
      </w:pPr>
      <w:r>
        <w:rPr>
          <w:i w:val="0"/>
        </w:rPr>
        <w:t xml:space="preserve">Food and Agriculture Organization of the United Nations. (n.d.). Chemical properties. FAO soils portal. </w:t>
      </w:r>
      <w:hyperlink r:id="rId50">
        <w:r>
          <w:rPr>
            <w:color w:val="0563C1"/>
            <w:u w:val="single"/>
          </w:rPr>
          <w:t>https://www.fao.org/soils-portal/data-hub/soil-classification/numerical-systems/chemical-properties/en/</w:t>
        </w:r>
      </w:hyperlink>
    </w:p>
    <w:p>
      <w:pPr>
        <w:spacing w:after="100" w:before="0"/>
        <w:ind w:left="504" w:hanging="504"/>
      </w:pPr>
      <w:r>
        <w:rPr>
          <w:i w:val="0"/>
        </w:rPr>
        <w:t xml:space="preserve">Food and Agriculture Organization of the United Nations. (2021). Standard operating procedure for soil electrical conductivity (soil/water, 1:5). </w:t>
      </w:r>
      <w:hyperlink r:id="rId51">
        <w:r>
          <w:rPr>
            <w:color w:val="0563C1"/>
            <w:u w:val="single"/>
          </w:rPr>
          <w:t>https://openknowledge.fao.org/handle/20.500.14283/cb3354en</w:t>
        </w:r>
      </w:hyperlink>
    </w:p>
    <w:p>
      <w:pPr>
        <w:spacing w:after="100" w:before="0"/>
        <w:ind w:left="504" w:hanging="504"/>
      </w:pPr>
      <w:r>
        <w:rPr>
          <w:i w:val="0"/>
        </w:rPr>
        <w:t xml:space="preserve">Forrester, D. I., Schortemeyer, M., Stock, W. D., Bauhus, J., Khanna, P. K., &amp; Cowie, A. L. (2007). Assessing nitrogen fixation in mixed- and single-species plantations of </w:t>
      </w:r>
      <w:r>
        <w:rPr>
          <w:i/>
        </w:rPr>
        <w:t>Eucalyptus globulus</w:t>
      </w:r>
      <w:r>
        <w:rPr>
          <w:i w:val="0"/>
        </w:rPr>
        <w:t xml:space="preserve"> and </w:t>
      </w:r>
      <w:r>
        <w:rPr>
          <w:i/>
        </w:rPr>
        <w:t>Acacia mearnsii</w:t>
      </w:r>
      <w:r>
        <w:rPr>
          <w:i w:val="0"/>
        </w:rPr>
        <w:t xml:space="preserve">. </w:t>
      </w:r>
      <w:r>
        <w:rPr>
          <w:i/>
        </w:rPr>
        <w:t>Tree Physiology, 27</w:t>
      </w:r>
      <w:r>
        <w:rPr>
          <w:i w:val="0"/>
        </w:rPr>
        <w:t xml:space="preserve">(9), 1319–1328. </w:t>
      </w:r>
      <w:hyperlink r:id="rId15">
        <w:r>
          <w:rPr>
            <w:color w:val="0563C1"/>
            <w:u w:val="single"/>
          </w:rPr>
          <w:t>https://doi.org/10.1093/treephys/27.9.1319</w:t>
        </w:r>
      </w:hyperlink>
    </w:p>
    <w:p>
      <w:pPr>
        <w:spacing w:after="100" w:before="0"/>
        <w:ind w:left="504" w:hanging="504"/>
      </w:pPr>
      <w:r>
        <w:rPr>
          <w:i w:val="0"/>
        </w:rPr>
        <w:t xml:space="preserve">Gaertner, M., Den Breeyen, A., Hui, C., &amp; Richardson, D. M. (2014). Impacts of alien plant invasions on species richness in Mediterranean-type ecosystems: A meta-analysis. </w:t>
      </w:r>
      <w:r>
        <w:rPr>
          <w:i/>
        </w:rPr>
        <w:t>Progress in Physical Geography, 38</w:t>
      </w:r>
      <w:r>
        <w:rPr>
          <w:i w:val="0"/>
        </w:rPr>
        <w:t xml:space="preserve">(2), 188–209. </w:t>
      </w:r>
      <w:hyperlink r:id="rId16">
        <w:r>
          <w:rPr>
            <w:color w:val="0563C1"/>
            <w:u w:val="single"/>
          </w:rPr>
          <w:t>https://doi.org/10.1177/0309133314522627</w:t>
        </w:r>
      </w:hyperlink>
    </w:p>
    <w:p>
      <w:pPr>
        <w:spacing w:after="100" w:before="0"/>
        <w:ind w:left="504" w:hanging="504"/>
      </w:pPr>
      <w:r>
        <w:rPr>
          <w:i w:val="0"/>
        </w:rPr>
        <w:t xml:space="preserve">Galatowitsch, S. M., &amp; Richardson, D. M. (2005). Riparian scrub recovery after clearing of invasive alien trees in headwater streams of the Western Cape, South Africa. </w:t>
      </w:r>
      <w:r>
        <w:rPr>
          <w:i/>
        </w:rPr>
        <w:t>Biological Conservation, 122</w:t>
      </w:r>
      <w:r>
        <w:rPr>
          <w:i w:val="0"/>
        </w:rPr>
        <w:t xml:space="preserve">(4), 509–521. </w:t>
      </w:r>
      <w:hyperlink r:id="rId17">
        <w:r>
          <w:rPr>
            <w:color w:val="0563C1"/>
            <w:u w:val="single"/>
          </w:rPr>
          <w:t>https://doi.org/10.1016/j.biocon.2004.09.008</w:t>
        </w:r>
      </w:hyperlink>
    </w:p>
    <w:p>
      <w:pPr>
        <w:spacing w:after="100" w:before="0"/>
        <w:ind w:left="504" w:hanging="504"/>
      </w:pPr>
      <w:r>
        <w:rPr>
          <w:i w:val="0"/>
        </w:rPr>
        <w:t xml:space="preserve">Global Invasive Species Database. (n.d.). </w:t>
      </w:r>
      <w:r>
        <w:rPr>
          <w:i/>
        </w:rPr>
        <w:t>Acacia mearnsii</w:t>
      </w:r>
      <w:r>
        <w:rPr>
          <w:i w:val="0"/>
        </w:rPr>
        <w:t xml:space="preserve">. IUCN SSC Invasive Species Specialist Group. </w:t>
      </w:r>
      <w:hyperlink r:id="rId21">
        <w:r>
          <w:rPr>
            <w:color w:val="0563C1"/>
            <w:u w:val="single"/>
          </w:rPr>
          <w:t>https://www.iucngisd.org/gisd/species.php?sc=51</w:t>
        </w:r>
      </w:hyperlink>
    </w:p>
    <w:p>
      <w:pPr>
        <w:spacing w:after="100" w:before="0"/>
        <w:ind w:left="504" w:hanging="504"/>
      </w:pPr>
      <w:r>
        <w:rPr>
          <w:i w:val="0"/>
        </w:rPr>
        <w:t xml:space="preserve">Gransee, A., &amp; Führs, H. (2013). Magnesium mobility in soils as a challenge for soil and plant analysis, magnesium fertilization and root uptake under adverse growth conditions. </w:t>
      </w:r>
      <w:r>
        <w:rPr>
          <w:i/>
        </w:rPr>
        <w:t>Plant and Soil, 368</w:t>
      </w:r>
      <w:r>
        <w:rPr>
          <w:i w:val="0"/>
        </w:rPr>
        <w:t xml:space="preserve">, 5–21. </w:t>
      </w:r>
      <w:hyperlink r:id="rId18">
        <w:r>
          <w:rPr>
            <w:color w:val="0563C1"/>
            <w:u w:val="single"/>
          </w:rPr>
          <w:t>https://doi.org/10.1007/s11104-012-1567-y</w:t>
        </w:r>
      </w:hyperlink>
    </w:p>
    <w:p>
      <w:pPr>
        <w:spacing w:after="100" w:before="0"/>
        <w:ind w:left="504" w:hanging="504"/>
      </w:pPr>
      <w:r>
        <w:rPr>
          <w:i w:val="0"/>
        </w:rPr>
        <w:t xml:space="preserve">Gwate, O., Mantel, S. K., Gibson, L. A., Munch, Z., Gusha, B., &amp; Palmer, A. R. (2021). The effects of </w:t>
      </w:r>
      <w:r>
        <w:rPr>
          <w:i/>
        </w:rPr>
        <w:t>Acacia mearnsii</w:t>
      </w:r>
      <w:r>
        <w:rPr>
          <w:i w:val="0"/>
        </w:rPr>
        <w:t xml:space="preserve"> (black wattle) on soil chemistry and grass biomass production in a South African semi-arid rangeland: Implications for rangeland rehabilitation. </w:t>
      </w:r>
      <w:r>
        <w:rPr>
          <w:i/>
        </w:rPr>
        <w:t>African Journal of Range &amp; Forage Science, 38</w:t>
      </w:r>
      <w:r>
        <w:rPr>
          <w:i w:val="0"/>
        </w:rPr>
        <w:t xml:space="preserve">(4), 270–280. </w:t>
      </w:r>
      <w:hyperlink r:id="rId19">
        <w:r>
          <w:rPr>
            <w:color w:val="0563C1"/>
            <w:u w:val="single"/>
          </w:rPr>
          <w:t>https://doi.org/10.2989/10220119.2021.1875048</w:t>
        </w:r>
      </w:hyperlink>
    </w:p>
    <w:p>
      <w:pPr>
        <w:spacing w:after="100" w:before="0"/>
        <w:ind w:left="504" w:hanging="504"/>
      </w:pPr>
      <w:r>
        <w:rPr>
          <w:i w:val="0"/>
        </w:rPr>
        <w:t xml:space="preserve">Havlin, J. L., Tisdale, S. L., Nelson, W. L., &amp; Beaton, J. D. (2014). </w:t>
      </w:r>
      <w:r>
        <w:rPr>
          <w:i/>
        </w:rPr>
        <w:t>Soil fertility and fertilizers: An introduction to nutrient management</w:t>
      </w:r>
      <w:r>
        <w:rPr>
          <w:i w:val="0"/>
        </w:rPr>
        <w:t xml:space="preserve"> (8th ed.). Pearson. </w:t>
      </w:r>
      <w:hyperlink r:id="rId52">
        <w:r>
          <w:rPr>
            <w:color w:val="0563C1"/>
            <w:u w:val="single"/>
          </w:rPr>
          <w:t>https://www.pearson.com/en-us/subject-catalog/p/soil-fertility-and-fertilizers-an-introduction-to-nutrient-management/P200000001208</w:t>
        </w:r>
      </w:hyperlink>
    </w:p>
    <w:p>
      <w:pPr>
        <w:spacing w:after="100" w:before="0"/>
        <w:ind w:left="504" w:hanging="504"/>
      </w:pPr>
      <w:r>
        <w:rPr>
          <w:i w:val="0"/>
        </w:rPr>
        <w:t xml:space="preserve">Intergovernmental Science-Policy Platform on Biodiversity and Ecosystem Services. (2023). Summary for policymakers of the thematic assessment report on invasive alien species and their control of the Intergovernmental Science-Policy Platform on Biodiversity and Ecosystem Services. IPBES Secretariat. </w:t>
      </w:r>
      <w:hyperlink r:id="rId20">
        <w:r>
          <w:rPr>
            <w:color w:val="0563C1"/>
            <w:u w:val="single"/>
          </w:rPr>
          <w:t>https://doi.org/10.5281/zenodo.7430692</w:t>
        </w:r>
      </w:hyperlink>
    </w:p>
    <w:p>
      <w:pPr>
        <w:spacing w:after="100" w:before="0"/>
        <w:ind w:left="504" w:hanging="504"/>
      </w:pPr>
      <w:r>
        <w:rPr>
          <w:i w:val="0"/>
        </w:rPr>
        <w:t xml:space="preserve">Jacobs, S., Naudé, M., Slabbert, E., Kambaj, O., Fourie, M., Esler, K., Jacobs, K., Mantlana, B., Rozanov, A., &amp; Cowan, D. (2013). Identifying relationships between soil processes and biodiversity to improve restoration of riparian ecotones invaded by exotic acacias (Water Research Commission Report No. 1927/1/13). Water Research Commission. </w:t>
      </w:r>
      <w:hyperlink r:id="rId53">
        <w:r>
          <w:rPr>
            <w:color w:val="0563C1"/>
            <w:u w:val="single"/>
          </w:rPr>
          <w:t>https://www.wrc.org.za/wp-content/uploads/mdocs/1927-1-131.pdf</w:t>
        </w:r>
      </w:hyperlink>
    </w:p>
    <w:p>
      <w:pPr>
        <w:spacing w:after="100" w:before="0"/>
        <w:ind w:left="504" w:hanging="504"/>
      </w:pPr>
      <w:r>
        <w:rPr>
          <w:i w:val="0"/>
        </w:rPr>
        <w:t xml:space="preserve">Jalali, M., &amp; Naderi Peikam, E. (2022). Measuring and simulating the effect of acid rain on cations leaching from calcareous soil of western Iran. </w:t>
      </w:r>
      <w:r>
        <w:rPr>
          <w:i/>
        </w:rPr>
        <w:t>Arabian Journal of Geosciences, 15</w:t>
      </w:r>
      <w:r>
        <w:rPr>
          <w:i w:val="0"/>
        </w:rPr>
        <w:t xml:space="preserve">, Article 1238. </w:t>
      </w:r>
      <w:hyperlink r:id="rId36">
        <w:r>
          <w:rPr>
            <w:color w:val="0563C1"/>
            <w:u w:val="single"/>
          </w:rPr>
          <w:t>https://doi.org/10.1007/s12517-022-10397-8</w:t>
        </w:r>
      </w:hyperlink>
    </w:p>
    <w:p>
      <w:pPr>
        <w:spacing w:after="100" w:before="0"/>
        <w:ind w:left="504" w:hanging="504"/>
      </w:pPr>
      <w:r>
        <w:rPr>
          <w:i w:val="0"/>
        </w:rPr>
        <w:t xml:space="preserve">Joyea, S., &amp; Yadav, S. (2025). Invasive </w:t>
      </w:r>
      <w:r>
        <w:rPr>
          <w:i/>
        </w:rPr>
        <w:t>Acacia tortilis</w:t>
      </w:r>
      <w:r>
        <w:rPr>
          <w:i w:val="0"/>
        </w:rPr>
        <w:t xml:space="preserve"> and soil organic carbon dynamics in Jorbeer Conservation Reserve, Bikaner, Rajasthan, India. </w:t>
      </w:r>
      <w:r>
        <w:rPr>
          <w:i/>
        </w:rPr>
        <w:t>Asian Journal of Environment &amp; Ecology, 24</w:t>
      </w:r>
      <w:r>
        <w:rPr>
          <w:i w:val="0"/>
        </w:rPr>
        <w:t xml:space="preserve">(9), 105–115. </w:t>
      </w:r>
      <w:hyperlink r:id="rId54">
        <w:r>
          <w:rPr>
            <w:color w:val="0563C1"/>
            <w:u w:val="single"/>
          </w:rPr>
          <w:t>https://doi.org/10.9734/ajee/2025/v24i9791</w:t>
        </w:r>
      </w:hyperlink>
    </w:p>
    <w:p>
      <w:pPr>
        <w:spacing w:after="100" w:before="0"/>
        <w:ind w:left="504" w:hanging="504"/>
      </w:pPr>
      <w:r>
        <w:rPr>
          <w:i w:val="0"/>
        </w:rPr>
        <w:t xml:space="preserve">Lambers, H., Brundrett, M. C., Raven, J. A., &amp; Hopper, S. D. (2010). Plant mineral nutrition in ancient landscapes: High plant species diversity on infertile soils is linked to functional diversity for nutritional strategies. </w:t>
      </w:r>
      <w:r>
        <w:rPr>
          <w:i/>
        </w:rPr>
        <w:t>Plant and Soil, 334</w:t>
      </w:r>
      <w:r>
        <w:rPr>
          <w:i w:val="0"/>
        </w:rPr>
        <w:t xml:space="preserve">(1–2), 11–31. </w:t>
      </w:r>
      <w:hyperlink r:id="rId22">
        <w:r>
          <w:rPr>
            <w:color w:val="0563C1"/>
            <w:u w:val="single"/>
          </w:rPr>
          <w:t>https://doi.org/10.1007/s11104-010-0444-9</w:t>
        </w:r>
      </w:hyperlink>
    </w:p>
    <w:p>
      <w:pPr>
        <w:spacing w:after="100" w:before="0"/>
        <w:ind w:left="504" w:hanging="504"/>
      </w:pPr>
      <w:r>
        <w:rPr>
          <w:i w:val="0"/>
        </w:rPr>
        <w:t xml:space="preserve">Lambers, H., Raven, J. A., Shaver, G. R., &amp; Smith, S. E. (2008). Plant nutrient-acquisition strategies change with soil age. </w:t>
      </w:r>
      <w:r>
        <w:rPr>
          <w:i/>
        </w:rPr>
        <w:t>Trends in Ecology &amp; Evolution, 23</w:t>
      </w:r>
      <w:r>
        <w:rPr>
          <w:i w:val="0"/>
        </w:rPr>
        <w:t xml:space="preserve">(2), 95–103. </w:t>
      </w:r>
      <w:hyperlink r:id="rId23">
        <w:r>
          <w:rPr>
            <w:color w:val="0563C1"/>
            <w:u w:val="single"/>
          </w:rPr>
          <w:t>https://doi.org/10.1016/j.tree.2007.10.008</w:t>
        </w:r>
      </w:hyperlink>
    </w:p>
    <w:p>
      <w:pPr>
        <w:spacing w:after="100" w:before="0"/>
        <w:ind w:left="504" w:hanging="504"/>
      </w:pPr>
      <w:r>
        <w:rPr>
          <w:i w:val="0"/>
        </w:rPr>
        <w:t xml:space="preserve">Le Maitre, D. C., Gaertner, M., Marchante, E., Ens, E.-J., Holmes, P. M., Pauchard, A., O’Farrell, P. J., Rogers, A. M., Blanchard, R., Blignaut, J., &amp; Richardson, D. M. (2011). Impacts of invasive Australian acacias: Implications for management and restoration. </w:t>
      </w:r>
      <w:r>
        <w:rPr>
          <w:i/>
        </w:rPr>
        <w:t>Diversity and Distributions, 17</w:t>
      </w:r>
      <w:r>
        <w:rPr>
          <w:i w:val="0"/>
        </w:rPr>
        <w:t xml:space="preserve">(5), 1015–1029. </w:t>
      </w:r>
      <w:hyperlink r:id="rId24">
        <w:r>
          <w:rPr>
            <w:color w:val="0563C1"/>
            <w:u w:val="single"/>
          </w:rPr>
          <w:t>https://doi.org/10.1111/j.1472-4642.2011.00816.x</w:t>
        </w:r>
      </w:hyperlink>
    </w:p>
    <w:p>
      <w:pPr>
        <w:spacing w:after="100" w:before="0"/>
        <w:ind w:left="504" w:hanging="504"/>
      </w:pPr>
      <w:r>
        <w:rPr>
          <w:i w:val="0"/>
        </w:rPr>
        <w:t xml:space="preserve">Lorenzo, P., Rodríguez-Echeverría, S., González, L., &amp; Freitas, H. (2010). Effect of invasive </w:t>
      </w:r>
      <w:r>
        <w:rPr>
          <w:i/>
        </w:rPr>
        <w:t>Acacia dealbata</w:t>
      </w:r>
      <w:r>
        <w:rPr>
          <w:i w:val="0"/>
        </w:rPr>
        <w:t xml:space="preserve"> Link on soil microorganisms as determined by PCR-DGGE. </w:t>
      </w:r>
      <w:r>
        <w:rPr>
          <w:i/>
        </w:rPr>
        <w:t>Applied Soil Ecology, 44</w:t>
      </w:r>
      <w:r>
        <w:rPr>
          <w:i w:val="0"/>
        </w:rPr>
        <w:t xml:space="preserve">(3), 245–251. </w:t>
      </w:r>
      <w:hyperlink r:id="rId55">
        <w:r>
          <w:rPr>
            <w:color w:val="0563C1"/>
            <w:u w:val="single"/>
          </w:rPr>
          <w:t>https://doi.org/10.1016/j.apsoil.2010.01.001</w:t>
        </w:r>
      </w:hyperlink>
    </w:p>
    <w:p>
      <w:pPr>
        <w:spacing w:after="100" w:before="0"/>
        <w:ind w:left="504" w:hanging="504"/>
      </w:pPr>
      <w:r>
        <w:rPr>
          <w:i w:val="0"/>
        </w:rPr>
        <w:t>Lusizi, Z., Motsi, H., Nyambo, P., &amp; Elephant, D. (2024). Black (</w:t>
      </w:r>
      <w:r>
        <w:rPr>
          <w:i/>
        </w:rPr>
        <w:t>Acacia mearnsii</w:t>
      </w:r>
      <w:r>
        <w:rPr>
          <w:i w:val="0"/>
        </w:rPr>
        <w:t>) and silver wattle (</w:t>
      </w:r>
      <w:r>
        <w:rPr>
          <w:i/>
        </w:rPr>
        <w:t>Acacia dealbata</w:t>
      </w:r>
      <w:r>
        <w:rPr>
          <w:i w:val="0"/>
        </w:rPr>
        <w:t xml:space="preserve">) invasive tree species impact on soil physicochemical properties in South Africa: A systematic literature review. </w:t>
      </w:r>
      <w:r>
        <w:rPr>
          <w:i/>
        </w:rPr>
        <w:t>Heliyon, 10</w:t>
      </w:r>
      <w:r>
        <w:rPr>
          <w:i w:val="0"/>
        </w:rPr>
        <w:t xml:space="preserve">(2), Article e24102. </w:t>
      </w:r>
      <w:hyperlink r:id="rId26">
        <w:r>
          <w:rPr>
            <w:color w:val="0563C1"/>
            <w:u w:val="single"/>
          </w:rPr>
          <w:t>https://doi.org/10.1016/j.heliyon.2024.e24102</w:t>
        </w:r>
      </w:hyperlink>
    </w:p>
    <w:p>
      <w:pPr>
        <w:spacing w:after="100" w:before="0"/>
        <w:ind w:left="504" w:hanging="504"/>
      </w:pPr>
      <w:r>
        <w:rPr>
          <w:i w:val="0"/>
        </w:rPr>
        <w:t>Moyo, H. P. M., Dube, S., &amp; Fatunbi, A. O. (2009). Impact of the removal of black wattle (</w:t>
      </w:r>
      <w:r>
        <w:rPr>
          <w:i/>
        </w:rPr>
        <w:t>Acacia mearnsii</w:t>
      </w:r>
      <w:r>
        <w:rPr>
          <w:i w:val="0"/>
        </w:rPr>
        <w:t xml:space="preserve">) in the Tsomo Valley in Eastern Cape: Consequences on water recharge and soil dynamics—An ongoing study. </w:t>
      </w:r>
      <w:r>
        <w:rPr>
          <w:i/>
        </w:rPr>
        <w:t>Grassroots: Newsletter of the Grassland Society of Southern Africa, 9</w:t>
      </w:r>
      <w:r>
        <w:rPr>
          <w:i w:val="0"/>
        </w:rPr>
        <w:t xml:space="preserve">(2), 9–12. </w:t>
      </w:r>
      <w:hyperlink r:id="rId56">
        <w:r>
          <w:rPr>
            <w:color w:val="0563C1"/>
            <w:u w:val="single"/>
          </w:rPr>
          <w:t>https://grassland.org.za/sites/default/files/2023-11/May%202009.pdf</w:t>
        </w:r>
      </w:hyperlink>
    </w:p>
    <w:p>
      <w:pPr>
        <w:spacing w:after="100" w:before="0"/>
        <w:ind w:left="504" w:hanging="504"/>
      </w:pPr>
      <w:r>
        <w:rPr>
          <w:i w:val="0"/>
        </w:rPr>
        <w:t xml:space="preserve">Murphy, J., &amp; Riley, J. P. (1962). A modified single solution method for the determination of phosphate in natural waters. </w:t>
      </w:r>
      <w:r>
        <w:rPr>
          <w:i/>
        </w:rPr>
        <w:t>Analytica Chimica Acta, 27</w:t>
      </w:r>
      <w:r>
        <w:rPr>
          <w:i w:val="0"/>
        </w:rPr>
        <w:t xml:space="preserve">, 31–36. </w:t>
      </w:r>
      <w:hyperlink r:id="rId27">
        <w:r>
          <w:rPr>
            <w:color w:val="0563C1"/>
            <w:u w:val="single"/>
          </w:rPr>
          <w:t>https://doi.org/10.1016/S0003-2670(00)88444-5</w:t>
        </w:r>
      </w:hyperlink>
    </w:p>
    <w:p>
      <w:pPr>
        <w:spacing w:after="100" w:before="0"/>
        <w:ind w:left="504" w:hanging="504"/>
      </w:pPr>
      <w:r>
        <w:rPr>
          <w:i w:val="0"/>
        </w:rPr>
        <w:t xml:space="preserve">Ndou, E., &amp; Ruwanza, S. (2016). Soil and vegetation recovery following alien tree clearing in the Eastern Cape Province of South Africa. </w:t>
      </w:r>
      <w:r>
        <w:rPr>
          <w:i/>
        </w:rPr>
        <w:t>African Journal of Ecology, 54</w:t>
      </w:r>
      <w:r>
        <w:rPr>
          <w:i w:val="0"/>
        </w:rPr>
        <w:t xml:space="preserve">(4), 460–470. </w:t>
      </w:r>
      <w:hyperlink r:id="rId28">
        <w:r>
          <w:rPr>
            <w:color w:val="0563C1"/>
            <w:u w:val="single"/>
          </w:rPr>
          <w:t>https://doi.org/10.1111/aje.12305</w:t>
        </w:r>
      </w:hyperlink>
    </w:p>
    <w:p>
      <w:pPr>
        <w:spacing w:after="100" w:before="0"/>
        <w:ind w:left="504" w:hanging="504"/>
      </w:pPr>
      <w:r>
        <w:rPr>
          <w:i w:val="0"/>
        </w:rPr>
        <w:t xml:space="preserve">Nyoka, B. I. (2003). </w:t>
      </w:r>
      <w:r>
        <w:rPr>
          <w:i/>
        </w:rPr>
        <w:t>Biosecurity in forestry: A case study on the status of invasive forest tree species in southern Africa</w:t>
      </w:r>
      <w:r>
        <w:rPr>
          <w:i w:val="0"/>
        </w:rPr>
        <w:t xml:space="preserve"> (Forest Biosecurity Working Paper FBS/1E). Food and Agriculture Organization of the United Nations. </w:t>
      </w:r>
      <w:hyperlink r:id="rId57">
        <w:r>
          <w:rPr>
            <w:color w:val="0563C1"/>
            <w:u w:val="single"/>
          </w:rPr>
          <w:t>https://www.fao.org/4/ac846e/ac846e00.htm</w:t>
        </w:r>
      </w:hyperlink>
    </w:p>
    <w:p>
      <w:pPr>
        <w:spacing w:after="100" w:before="0"/>
        <w:ind w:left="504" w:hanging="504"/>
      </w:pPr>
      <w:r>
        <w:rPr>
          <w:i w:val="0"/>
        </w:rPr>
        <w:t xml:space="preserve">Oelofse, M., Birch-Thomsen, T., Magid, J., de Neergaard, A., van Deventer, R., Bruun, S., &amp; Hill, T. (2016). The impact of black wattle encroachment of indigenous grasslands on soil carbon, Eastern Cape, South Africa. </w:t>
      </w:r>
      <w:r>
        <w:rPr>
          <w:i/>
        </w:rPr>
        <w:t>Biological Invasions, 18</w:t>
      </w:r>
      <w:r>
        <w:rPr>
          <w:i w:val="0"/>
        </w:rPr>
        <w:t xml:space="preserve">(2), 445–456. </w:t>
      </w:r>
      <w:hyperlink r:id="rId29">
        <w:r>
          <w:rPr>
            <w:color w:val="0563C1"/>
            <w:u w:val="single"/>
          </w:rPr>
          <w:t>https://doi.org/10.1007/s10530-015-1017-x</w:t>
        </w:r>
      </w:hyperlink>
    </w:p>
    <w:p>
      <w:pPr>
        <w:spacing w:after="100" w:before="0"/>
        <w:ind w:left="504" w:hanging="504"/>
      </w:pPr>
      <w:r>
        <w:rPr>
          <w:i w:val="0"/>
        </w:rPr>
        <w:t xml:space="preserve">Okalebo, J. R., Gathua, K. W., &amp; Woomer, P. L. (2002). </w:t>
      </w:r>
      <w:r>
        <w:rPr>
          <w:i/>
        </w:rPr>
        <w:t>Laboratory methods of soil and plant analysis: A working manual</w:t>
      </w:r>
      <w:r>
        <w:rPr>
          <w:i w:val="0"/>
        </w:rPr>
        <w:t xml:space="preserve"> (2nd ed.). Tropical Soil Biology and Fertility Programme, Centre for Tropical Agriculture; Sacred Africa. </w:t>
      </w:r>
      <w:hyperlink r:id="rId58">
        <w:r>
          <w:rPr>
            <w:color w:val="0563C1"/>
            <w:u w:val="single"/>
          </w:rPr>
          <w:t>https://library.wur.nl/WebQuery/isric/2254483</w:t>
        </w:r>
      </w:hyperlink>
    </w:p>
    <w:p>
      <w:pPr>
        <w:spacing w:after="100" w:before="0"/>
        <w:ind w:left="504" w:hanging="504"/>
      </w:pPr>
      <w:r>
        <w:rPr>
          <w:i w:val="0"/>
        </w:rPr>
        <w:t xml:space="preserve">Poeplau, C., Vos, C., &amp; Don, A. (2017). Soil organic carbon stocks are systematically overestimated by misuse of the parameters bulk density and rock fragment content. </w:t>
      </w:r>
      <w:r>
        <w:rPr>
          <w:i/>
        </w:rPr>
        <w:t>Soil, 3</w:t>
      </w:r>
      <w:r>
        <w:rPr>
          <w:i w:val="0"/>
        </w:rPr>
        <w:t xml:space="preserve">(1), 61–66. </w:t>
      </w:r>
      <w:hyperlink r:id="rId30">
        <w:r>
          <w:rPr>
            <w:color w:val="0563C1"/>
            <w:u w:val="single"/>
          </w:rPr>
          <w:t>https://doi.org/10.5194/soil-3-61-2017</w:t>
        </w:r>
      </w:hyperlink>
    </w:p>
    <w:p>
      <w:pPr>
        <w:spacing w:after="100" w:before="0"/>
        <w:ind w:left="504" w:hanging="504"/>
      </w:pPr>
      <w:r>
        <w:rPr>
          <w:i w:val="0"/>
        </w:rPr>
        <w:t xml:space="preserve">Pyšek, P., Jarošík, V., Hulme, P. E., Pergl, J., Hejda, M., Schaffner, U., &amp; Vilà, M. (2012). A global assessment of invasive plant impacts on resident species, communities and ecosystems: The interaction of impact measures, invading species’ traits and environment. </w:t>
      </w:r>
      <w:r>
        <w:rPr>
          <w:i/>
        </w:rPr>
        <w:t>Global Change Biology, 18</w:t>
      </w:r>
      <w:r>
        <w:rPr>
          <w:i w:val="0"/>
        </w:rPr>
        <w:t xml:space="preserve">(5), 1725–1737. </w:t>
      </w:r>
      <w:hyperlink r:id="rId31">
        <w:r>
          <w:rPr>
            <w:color w:val="0563C1"/>
            <w:u w:val="single"/>
          </w:rPr>
          <w:t>https://doi.org/10.1111/j.1365-2486.2011.02636.x</w:t>
        </w:r>
      </w:hyperlink>
    </w:p>
    <w:p>
      <w:pPr>
        <w:spacing w:after="100" w:before="0"/>
        <w:ind w:left="504" w:hanging="504"/>
      </w:pPr>
      <w:r>
        <w:rPr>
          <w:i w:val="0"/>
        </w:rPr>
        <w:t xml:space="preserve">Rengasamy, P. (2010). Soil processes affecting crop production in salt-affected soils. </w:t>
      </w:r>
      <w:r>
        <w:rPr>
          <w:i/>
        </w:rPr>
        <w:t>Functional Plant Biology, 37</w:t>
      </w:r>
      <w:r>
        <w:rPr>
          <w:i w:val="0"/>
        </w:rPr>
        <w:t xml:space="preserve">(7), 613–620. </w:t>
      </w:r>
      <w:hyperlink r:id="rId32">
        <w:r>
          <w:rPr>
            <w:color w:val="0563C1"/>
            <w:u w:val="single"/>
          </w:rPr>
          <w:t>https://doi.org/10.1071/FP09249</w:t>
        </w:r>
      </w:hyperlink>
    </w:p>
    <w:p>
      <w:pPr>
        <w:spacing w:after="100" w:before="0"/>
        <w:ind w:left="504" w:hanging="504"/>
      </w:pPr>
      <w:r>
        <w:rPr>
          <w:i w:val="0"/>
        </w:rPr>
        <w:t xml:space="preserve">Rhoades, J. D., Chanduvi, F., &amp; Lesch, S. M. (1999). </w:t>
      </w:r>
      <w:r>
        <w:rPr>
          <w:i/>
        </w:rPr>
        <w:t>Soil salinity assessment: Methods and interpretation of electrical conductivity measurements</w:t>
      </w:r>
      <w:r>
        <w:rPr>
          <w:i w:val="0"/>
        </w:rPr>
        <w:t xml:space="preserve"> (FAO Irrigation and Drainage Paper No. 57). Food and Agriculture Organization of the United Nations. </w:t>
      </w:r>
      <w:hyperlink r:id="rId59">
        <w:r>
          <w:rPr>
            <w:color w:val="0563C1"/>
            <w:u w:val="single"/>
          </w:rPr>
          <w:t>https://www.fao.org/4/x2002e/x2002e.pdf</w:t>
        </w:r>
      </w:hyperlink>
    </w:p>
    <w:p>
      <w:pPr>
        <w:spacing w:after="100" w:before="0"/>
        <w:ind w:left="504" w:hanging="504"/>
      </w:pPr>
      <w:r>
        <w:rPr>
          <w:i w:val="0"/>
        </w:rPr>
        <w:t xml:space="preserve">Richards, L. A. (Ed.). (1954). </w:t>
      </w:r>
      <w:r>
        <w:rPr>
          <w:i/>
        </w:rPr>
        <w:t>Diagnosis and improvement of saline and alkali soils</w:t>
      </w:r>
      <w:r>
        <w:rPr>
          <w:i w:val="0"/>
        </w:rPr>
        <w:t xml:space="preserve"> (Agriculture Handbook No. 60). U.S. Department of Agriculture. </w:t>
      </w:r>
      <w:hyperlink r:id="rId60">
        <w:r>
          <w:rPr>
            <w:color w:val="0563C1"/>
            <w:u w:val="single"/>
          </w:rPr>
          <w:t>https://www.govinfo.gov/app/details/GOVPUB-A-PURL-gpo18257</w:t>
        </w:r>
      </w:hyperlink>
    </w:p>
    <w:p>
      <w:pPr>
        <w:spacing w:after="100" w:before="0"/>
        <w:ind w:left="504" w:hanging="504"/>
      </w:pPr>
      <w:r>
        <w:rPr>
          <w:i w:val="0"/>
        </w:rPr>
        <w:t xml:space="preserve">Richardson, D. M., &amp; Pyšek, P. (2012). Naturalization of introduced plants: Ecological drivers of biogeographical patterns. </w:t>
      </w:r>
      <w:r>
        <w:rPr>
          <w:i/>
        </w:rPr>
        <w:t>New Phytologist, 196</w:t>
      </w:r>
      <w:r>
        <w:rPr>
          <w:i w:val="0"/>
        </w:rPr>
        <w:t xml:space="preserve">(2), 383–396. </w:t>
      </w:r>
      <w:hyperlink r:id="rId33">
        <w:r>
          <w:rPr>
            <w:color w:val="0563C1"/>
            <w:u w:val="single"/>
          </w:rPr>
          <w:t>https://doi.org/10.1111/j.1469-8137.2012.04292.x</w:t>
        </w:r>
      </w:hyperlink>
    </w:p>
    <w:p>
      <w:pPr>
        <w:spacing w:after="100" w:before="0"/>
        <w:ind w:left="504" w:hanging="504"/>
      </w:pPr>
      <w:r>
        <w:rPr>
          <w:i w:val="0"/>
        </w:rPr>
        <w:t xml:space="preserve">Roy, R. N., Finck, A., Blair, G. J., &amp; Tandon, H. L. S. (2006). </w:t>
      </w:r>
      <w:r>
        <w:rPr>
          <w:i/>
        </w:rPr>
        <w:t>Plant nutrition for food security: A guide for integrated nutrient management</w:t>
      </w:r>
      <w:r>
        <w:rPr>
          <w:i w:val="0"/>
        </w:rPr>
        <w:t xml:space="preserve"> (FAO Fertilizer and Plant Nutrition Bulletin No. 16). Food and Agriculture Organization of the United Nations. </w:t>
      </w:r>
      <w:hyperlink r:id="rId61">
        <w:r>
          <w:rPr>
            <w:color w:val="0563C1"/>
            <w:u w:val="single"/>
          </w:rPr>
          <w:t>https://www.fao.org/4/a0443e/a0443e.pdf</w:t>
        </w:r>
      </w:hyperlink>
    </w:p>
    <w:p>
      <w:pPr>
        <w:spacing w:after="100" w:before="0"/>
        <w:ind w:left="504" w:hanging="504"/>
      </w:pPr>
      <w:r>
        <w:rPr>
          <w:i w:val="0"/>
        </w:rPr>
        <w:t xml:space="preserve">Ruwanza, S. (2025). Soil seed banks after </w:t>
      </w:r>
      <w:r>
        <w:rPr>
          <w:i/>
        </w:rPr>
        <w:t>Acacia dealbata</w:t>
      </w:r>
      <w:r>
        <w:rPr>
          <w:i w:val="0"/>
        </w:rPr>
        <w:t xml:space="preserve"> Link invasion and removal: Implications for restoration. </w:t>
      </w:r>
      <w:r>
        <w:rPr>
          <w:i/>
        </w:rPr>
        <w:t>Ecological Processes, 14</w:t>
      </w:r>
      <w:r>
        <w:rPr>
          <w:i w:val="0"/>
        </w:rPr>
        <w:t xml:space="preserve">, Article 29. </w:t>
      </w:r>
      <w:hyperlink r:id="rId62">
        <w:r>
          <w:rPr>
            <w:color w:val="0563C1"/>
            <w:u w:val="single"/>
          </w:rPr>
          <w:t>https://doi.org/10.1186/s13717-025-00599-9</w:t>
        </w:r>
      </w:hyperlink>
    </w:p>
    <w:p>
      <w:pPr>
        <w:spacing w:after="100" w:before="0"/>
        <w:ind w:left="504" w:hanging="504"/>
      </w:pPr>
      <w:r>
        <w:rPr>
          <w:i w:val="0"/>
        </w:rPr>
        <w:t xml:space="preserve">Slabbert, E., Jacobs, S. M., &amp; Jacobs, K. (2014). The soil bacterial communities of South African fynbos riparian ecosystems invaded by Australian Acacia species. </w:t>
      </w:r>
      <w:r>
        <w:rPr>
          <w:i/>
        </w:rPr>
        <w:t>PLoS ONE, 9</w:t>
      </w:r>
      <w:r>
        <w:rPr>
          <w:i w:val="0"/>
        </w:rPr>
        <w:t xml:space="preserve">(1), Article e86560. </w:t>
      </w:r>
      <w:hyperlink r:id="rId34">
        <w:r>
          <w:rPr>
            <w:color w:val="0563C1"/>
            <w:u w:val="single"/>
          </w:rPr>
          <w:t>https://doi.org/10.1371/journal.pone.0086560</w:t>
        </w:r>
      </w:hyperlink>
    </w:p>
    <w:p>
      <w:pPr>
        <w:spacing w:after="100" w:before="0"/>
        <w:ind w:left="504" w:hanging="504"/>
      </w:pPr>
      <w:r>
        <w:rPr>
          <w:i w:val="0"/>
        </w:rPr>
        <w:t xml:space="preserve">Tan, K. H. (2005). </w:t>
      </w:r>
      <w:r>
        <w:rPr>
          <w:i/>
        </w:rPr>
        <w:t>Soil sampling, preparation, and analysis</w:t>
      </w:r>
      <w:r>
        <w:rPr>
          <w:i w:val="0"/>
        </w:rPr>
        <w:t xml:space="preserve"> (2nd ed.). CRC Press. </w:t>
      </w:r>
      <w:hyperlink r:id="rId63">
        <w:r>
          <w:rPr>
            <w:color w:val="0563C1"/>
            <w:u w:val="single"/>
          </w:rPr>
          <w:t>https://www.routledge.com/Soil-Sampling-Preparation-and-Analysis-Second-Edition/Tan/p/book/9780849334993</w:t>
        </w:r>
      </w:hyperlink>
    </w:p>
    <w:p>
      <w:pPr>
        <w:spacing w:after="100" w:before="0"/>
        <w:ind w:left="504" w:hanging="504"/>
      </w:pPr>
      <w:r>
        <w:rPr>
          <w:i w:val="0"/>
        </w:rPr>
        <w:t xml:space="preserve">United States Department of Agriculture, Natural Resources Conservation Service. (2022). Soil quality indicators: Soil electrical conductivity. </w:t>
      </w:r>
      <w:hyperlink r:id="rId64">
        <w:r>
          <w:rPr>
            <w:color w:val="0563C1"/>
            <w:u w:val="single"/>
          </w:rPr>
          <w:t>https://www.nrcs.usda.gov/sites/default/files/2022-10/Soil%20Electrical%20Conductivity.pdf</w:t>
        </w:r>
      </w:hyperlink>
    </w:p>
    <w:p>
      <w:pPr>
        <w:spacing w:after="100" w:before="0"/>
        <w:ind w:left="504" w:hanging="504"/>
      </w:pPr>
      <w:r>
        <w:rPr>
          <w:i w:val="0"/>
        </w:rPr>
        <w:t xml:space="preserve">Van der Waal, B. W., Rowntree, K. M., &amp; Radloff, S. E. (2012). The effect of </w:t>
      </w:r>
      <w:r>
        <w:rPr>
          <w:i/>
        </w:rPr>
        <w:t>Acacia mearnsii</w:t>
      </w:r>
      <w:r>
        <w:rPr>
          <w:i w:val="0"/>
        </w:rPr>
        <w:t xml:space="preserve"> invasion and clearing on soil loss in the Kouga Mountains, Eastern Cape, South Africa. </w:t>
      </w:r>
      <w:r>
        <w:rPr>
          <w:i/>
        </w:rPr>
        <w:t>Land Degradation &amp; Development, 23</w:t>
      </w:r>
      <w:r>
        <w:rPr>
          <w:i w:val="0"/>
        </w:rPr>
        <w:t xml:space="preserve">(6), 577–585. </w:t>
      </w:r>
      <w:hyperlink r:id="rId65">
        <w:r>
          <w:rPr>
            <w:color w:val="0563C1"/>
            <w:u w:val="single"/>
          </w:rPr>
          <w:t>https://doi.org/10.1002/ldr.2172</w:t>
        </w:r>
      </w:hyperlink>
    </w:p>
    <w:p>
      <w:pPr>
        <w:spacing w:after="100" w:before="0"/>
        <w:ind w:left="504" w:hanging="504"/>
      </w:pPr>
      <w:r>
        <w:rPr>
          <w:i w:val="0"/>
        </w:rPr>
        <w:t xml:space="preserve">Vijapur, L. S., Sharmila, S. T., Saravanan, K., &amp; Dhanapal, S. (2026). </w:t>
      </w:r>
      <w:r>
        <w:rPr>
          <w:i/>
        </w:rPr>
        <w:t>Chromolaena odorata</w:t>
      </w:r>
      <w:r>
        <w:rPr>
          <w:i w:val="0"/>
        </w:rPr>
        <w:t xml:space="preserve">: An integrative review of biology, ecology, phytochemistry, biological activities, allelopathy and emerging agricultural applications. </w:t>
      </w:r>
      <w:r>
        <w:rPr>
          <w:i/>
        </w:rPr>
        <w:t>Plant Cell Biotechnology and Molecular Biology, 27</w:t>
      </w:r>
      <w:r>
        <w:rPr>
          <w:i w:val="0"/>
        </w:rPr>
        <w:t xml:space="preserve">(9–10), 349–366. </w:t>
      </w:r>
      <w:hyperlink r:id="rId66">
        <w:r>
          <w:rPr>
            <w:color w:val="0563C1"/>
            <w:u w:val="single"/>
          </w:rPr>
          <w:t>https://doi.org/10.56557/pcbmb/2026/v27i9-1011189</w:t>
        </w:r>
      </w:hyperlink>
    </w:p>
    <w:p>
      <w:pPr>
        <w:spacing w:after="100" w:before="0"/>
        <w:ind w:left="504" w:hanging="504"/>
      </w:pPr>
      <w:r>
        <w:rPr>
          <w:i w:val="0"/>
        </w:rPr>
        <w:t xml:space="preserve">Vilà, M., Espinar, J. L., Hejda, M., Hulme, P. E., Jarošík, V., Maron, J. L., Pergl, J., Schaffner, U., Sun, Y., &amp; Pyšek, P. (2011). Ecological impacts of invasive alien plants: A meta-analysis of their effects on species, communities and ecosystems. </w:t>
      </w:r>
      <w:r>
        <w:rPr>
          <w:i/>
        </w:rPr>
        <w:t>Ecology Letters, 14</w:t>
      </w:r>
      <w:r>
        <w:rPr>
          <w:i w:val="0"/>
        </w:rPr>
        <w:t xml:space="preserve">(7), 702–708. </w:t>
      </w:r>
      <w:hyperlink r:id="rId35">
        <w:r>
          <w:rPr>
            <w:color w:val="0563C1"/>
            <w:u w:val="single"/>
          </w:rPr>
          <w:t>https://doi.org/10.1111/j.1461-0248.2011.01628.x</w:t>
        </w:r>
      </w:hyperlink>
    </w:p>
    <w:p>
      <w:pPr>
        <w:spacing w:after="100" w:before="0"/>
        <w:ind w:left="504" w:hanging="504"/>
      </w:pPr>
      <w:r>
        <w:rPr>
          <w:i w:val="0"/>
        </w:rPr>
        <w:t xml:space="preserve">Yannelli, F. A., Keet, J.-H., Kritzinger-Klopper, S., &amp; Le Roux, J. J. (2025). Legacy effects of an invasive legume more strongly impact bacterial than plant communities in a Mediterranean-type ecosystem. </w:t>
      </w:r>
      <w:r>
        <w:rPr>
          <w:i/>
        </w:rPr>
        <w:t>Journal of Environmental Management, 373</w:t>
      </w:r>
      <w:r>
        <w:rPr>
          <w:i w:val="0"/>
        </w:rPr>
        <w:t xml:space="preserve">, Article 123802. </w:t>
      </w:r>
      <w:hyperlink r:id="rId67">
        <w:r>
          <w:rPr>
            <w:color w:val="0563C1"/>
            <w:u w:val="single"/>
          </w:rPr>
          <w:t>https://doi.org/10.1016/j.jenvman.2024.123802</w:t>
        </w:r>
      </w:hyperlink>
    </w:p>
    <w:p>
      <w:pPr>
        <w:spacing w:after="100" w:before="0"/>
        <w:ind w:left="504" w:hanging="504"/>
      </w:pPr>
      <w:r>
        <w:rPr>
          <w:i w:val="0"/>
        </w:rPr>
        <w:t xml:space="preserve">Zhou, W.-J., Wu, Y.-Y., Zheng, S.-S., Zheng, Q.-Q., Li, Q., &amp; Ding, B.-Y. (2011). Allelopathic effect of </w:t>
      </w:r>
      <w:r>
        <w:rPr>
          <w:i/>
        </w:rPr>
        <w:t>Acacia mearnsii</w:t>
      </w:r>
      <w:r>
        <w:rPr>
          <w:i w:val="0"/>
        </w:rPr>
        <w:t xml:space="preserve"> on the seed germination of several plants. </w:t>
      </w:r>
      <w:r>
        <w:rPr>
          <w:i/>
        </w:rPr>
        <w:t>Bulletin of Botanical Research, 31</w:t>
      </w:r>
      <w:r>
        <w:rPr>
          <w:i w:val="0"/>
        </w:rPr>
        <w:t xml:space="preserve">(2), 235–240. </w:t>
      </w:r>
      <w:hyperlink r:id="rId37">
        <w:r>
          <w:rPr>
            <w:color w:val="0563C1"/>
            <w:u w:val="single"/>
          </w:rPr>
          <w:t>https://doi.org/10.7525/j.issn.1673-5102.2011.02.019</w:t>
        </w:r>
      </w:hyperlink>
    </w:p>
    <w:sectPr w:rsidR="00661B31" w:rsidSect="00C104CA">
      <w:headerReference w:type="even" r:id="rId38"/>
      <w:headerReference w:type="default" r:id="rId39"/>
      <w:footerReference w:type="even" r:id="rId40"/>
      <w:footerReference w:type="default" r:id="rId41"/>
      <w:headerReference w:type="first" r:id="rId42"/>
      <w:footerReference w:type="first" r:id="rId4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908FB" w14:textId="77777777" w:rsidR="00345CFD" w:rsidRDefault="00345CFD" w:rsidP="00473738">
      <w:pPr>
        <w:spacing w:after="0" w:line="240" w:lineRule="auto"/>
      </w:pPr>
      <w:r>
        <w:separator/>
      </w:r>
    </w:p>
  </w:endnote>
  <w:endnote w:type="continuationSeparator" w:id="0">
    <w:p w14:paraId="272E2C5E" w14:textId="77777777" w:rsidR="00345CFD" w:rsidRDefault="00345CFD" w:rsidP="00473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090CF" w14:textId="77777777" w:rsidR="00473738" w:rsidRDefault="004737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022F5" w14:textId="77777777" w:rsidR="00473738" w:rsidRDefault="004737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2E86F" w14:textId="77777777" w:rsidR="00473738" w:rsidRDefault="004737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34EEB" w14:textId="77777777" w:rsidR="00345CFD" w:rsidRDefault="00345CFD" w:rsidP="00473738">
      <w:pPr>
        <w:spacing w:after="0" w:line="240" w:lineRule="auto"/>
      </w:pPr>
      <w:r>
        <w:separator/>
      </w:r>
    </w:p>
  </w:footnote>
  <w:footnote w:type="continuationSeparator" w:id="0">
    <w:p w14:paraId="18AA1715" w14:textId="77777777" w:rsidR="00345CFD" w:rsidRDefault="00345CFD" w:rsidP="00473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0EB57" w14:textId="77777777" w:rsidR="00473738" w:rsidRDefault="00000000">
    <w:pPr>
      <w:pStyle w:val="Header"/>
    </w:pPr>
    <w:r>
      <w:rPr>
        <w:noProof/>
      </w:rPr>
      <w:pict w14:anchorId="487384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124188" o:spid="_x0000_s1026" type="#_x0000_t136" style="position:absolute;margin-left:0;margin-top:0;width:598.3pt;height:112.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FE39" w14:textId="77777777" w:rsidR="00473738" w:rsidRDefault="00000000">
    <w:pPr>
      <w:pStyle w:val="Header"/>
    </w:pPr>
    <w:r>
      <w:rPr>
        <w:noProof/>
      </w:rPr>
      <w:pict w14:anchorId="0D6D81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124189" o:spid="_x0000_s1027" type="#_x0000_t136" style="position:absolute;margin-left:0;margin-top:0;width:598.3pt;height:112.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5B6BE" w14:textId="77777777" w:rsidR="00473738" w:rsidRDefault="00000000">
    <w:pPr>
      <w:pStyle w:val="Header"/>
    </w:pPr>
    <w:r>
      <w:rPr>
        <w:noProof/>
      </w:rPr>
      <w:pict w14:anchorId="15E8E9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124187" o:spid="_x0000_s1025" type="#_x0000_t136" style="position:absolute;margin-left:0;margin-top:0;width:598.3pt;height:112.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22474"/>
    <w:multiLevelType w:val="hybridMultilevel"/>
    <w:tmpl w:val="11008674"/>
    <w:lvl w:ilvl="0" w:tplc="95D81AB4">
      <w:start w:val="1"/>
      <w:numFmt w:val="decimal"/>
      <w:lvlText w:val="%1"/>
      <w:lvlJc w:val="left"/>
      <w:pPr>
        <w:ind w:left="201"/>
      </w:pPr>
      <w:rPr>
        <w:rFonts w:ascii="Arial" w:eastAsia="Arial" w:hAnsi="Arial" w:cs="Arial"/>
        <w:b/>
        <w:i w:val="0"/>
        <w:strike w:val="0"/>
        <w:dstrike w:val="0"/>
        <w:color w:val="000000"/>
        <w:sz w:val="28"/>
        <w:szCs w:val="28"/>
        <w:u w:val="none" w:color="000000"/>
        <w:bdr w:val="none" w:sz="0" w:space="0" w:color="auto"/>
        <w:shd w:val="clear" w:color="auto" w:fill="auto"/>
        <w:vertAlign w:val="superscript"/>
      </w:rPr>
    </w:lvl>
    <w:lvl w:ilvl="1" w:tplc="FAC284BE">
      <w:start w:val="1"/>
      <w:numFmt w:val="lowerLetter"/>
      <w:lvlText w:val="%2"/>
      <w:lvlJc w:val="left"/>
      <w:pPr>
        <w:ind w:left="10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2" w:tplc="F17A8BE8">
      <w:start w:val="1"/>
      <w:numFmt w:val="lowerRoman"/>
      <w:lvlText w:val="%3"/>
      <w:lvlJc w:val="left"/>
      <w:pPr>
        <w:ind w:left="18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3" w:tplc="D6A034F4">
      <w:start w:val="1"/>
      <w:numFmt w:val="decimal"/>
      <w:lvlText w:val="%4"/>
      <w:lvlJc w:val="left"/>
      <w:pPr>
        <w:ind w:left="25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BF467D66">
      <w:start w:val="1"/>
      <w:numFmt w:val="lowerLetter"/>
      <w:lvlText w:val="%5"/>
      <w:lvlJc w:val="left"/>
      <w:pPr>
        <w:ind w:left="32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tplc="2BE69BF2">
      <w:start w:val="1"/>
      <w:numFmt w:val="lowerRoman"/>
      <w:lvlText w:val="%6"/>
      <w:lvlJc w:val="left"/>
      <w:pPr>
        <w:ind w:left="39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tplc="13B8E42C">
      <w:start w:val="1"/>
      <w:numFmt w:val="decimal"/>
      <w:lvlText w:val="%7"/>
      <w:lvlJc w:val="left"/>
      <w:pPr>
        <w:ind w:left="46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12EAF166">
      <w:start w:val="1"/>
      <w:numFmt w:val="lowerLetter"/>
      <w:lvlText w:val="%8"/>
      <w:lvlJc w:val="left"/>
      <w:pPr>
        <w:ind w:left="540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tplc="97309E54">
      <w:start w:val="1"/>
      <w:numFmt w:val="lowerRoman"/>
      <w:lvlText w:val="%9"/>
      <w:lvlJc w:val="left"/>
      <w:pPr>
        <w:ind w:left="6120"/>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abstractNum w:abstractNumId="1" w15:restartNumberingAfterBreak="0">
    <w:nsid w:val="552B0B79"/>
    <w:multiLevelType w:val="multilevel"/>
    <w:tmpl w:val="E1D2E96E"/>
    <w:lvl w:ilvl="0">
      <w:start w:val="1"/>
      <w:numFmt w:val="decimal"/>
      <w:lvlText w:val="%1."/>
      <w:lvlJc w:val="left"/>
      <w:pPr>
        <w:ind w:left="720" w:hanging="360"/>
      </w:pPr>
      <w:rPr>
        <w:b w:val="0"/>
      </w:rPr>
    </w:lvl>
    <w:lvl w:ilvl="1">
      <w:numFmt w:val="decimal"/>
      <w:isLgl/>
      <w:lvlText w:val="%1.%2"/>
      <w:lvlJc w:val="left"/>
      <w:pPr>
        <w:ind w:left="39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3EE65E7"/>
    <w:multiLevelType w:val="hybridMultilevel"/>
    <w:tmpl w:val="AC3AC7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C2A6125"/>
    <w:multiLevelType w:val="multilevel"/>
    <w:tmpl w:val="4F3039C6"/>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9200254">
    <w:abstractNumId w:val="1"/>
  </w:num>
  <w:num w:numId="2" w16cid:durableId="187372440">
    <w:abstractNumId w:val="0"/>
  </w:num>
  <w:num w:numId="3" w16cid:durableId="59720918">
    <w:abstractNumId w:val="3"/>
  </w:num>
  <w:num w:numId="4" w16cid:durableId="9661608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3CA"/>
    <w:rsid w:val="00002AC0"/>
    <w:rsid w:val="00007B78"/>
    <w:rsid w:val="0004004F"/>
    <w:rsid w:val="00086D39"/>
    <w:rsid w:val="000A2521"/>
    <w:rsid w:val="000B6180"/>
    <w:rsid w:val="000B6814"/>
    <w:rsid w:val="000C1143"/>
    <w:rsid w:val="000C3D85"/>
    <w:rsid w:val="000C5557"/>
    <w:rsid w:val="000C6661"/>
    <w:rsid w:val="000D009A"/>
    <w:rsid w:val="000F678C"/>
    <w:rsid w:val="00113820"/>
    <w:rsid w:val="0011403A"/>
    <w:rsid w:val="00116CF0"/>
    <w:rsid w:val="00127497"/>
    <w:rsid w:val="001277A4"/>
    <w:rsid w:val="00144EEC"/>
    <w:rsid w:val="001766A8"/>
    <w:rsid w:val="00177FB9"/>
    <w:rsid w:val="001921CE"/>
    <w:rsid w:val="001A1193"/>
    <w:rsid w:val="001A4654"/>
    <w:rsid w:val="001A6FE9"/>
    <w:rsid w:val="001C0CAD"/>
    <w:rsid w:val="001C1C0F"/>
    <w:rsid w:val="001C6C28"/>
    <w:rsid w:val="001D38D0"/>
    <w:rsid w:val="001F705F"/>
    <w:rsid w:val="00201FD4"/>
    <w:rsid w:val="00204250"/>
    <w:rsid w:val="00207815"/>
    <w:rsid w:val="0023258E"/>
    <w:rsid w:val="00232EF2"/>
    <w:rsid w:val="00250A65"/>
    <w:rsid w:val="002912C6"/>
    <w:rsid w:val="002A1F4E"/>
    <w:rsid w:val="002A439D"/>
    <w:rsid w:val="002A545A"/>
    <w:rsid w:val="002A6629"/>
    <w:rsid w:val="002B1E6B"/>
    <w:rsid w:val="002C3409"/>
    <w:rsid w:val="00303FC6"/>
    <w:rsid w:val="003221CC"/>
    <w:rsid w:val="00323113"/>
    <w:rsid w:val="0033480F"/>
    <w:rsid w:val="0033623A"/>
    <w:rsid w:val="00345CFD"/>
    <w:rsid w:val="003530B3"/>
    <w:rsid w:val="00361736"/>
    <w:rsid w:val="00363740"/>
    <w:rsid w:val="00365C2E"/>
    <w:rsid w:val="0037060D"/>
    <w:rsid w:val="003912C0"/>
    <w:rsid w:val="00394DE2"/>
    <w:rsid w:val="003C4A27"/>
    <w:rsid w:val="003C56EA"/>
    <w:rsid w:val="003C5C46"/>
    <w:rsid w:val="003D617C"/>
    <w:rsid w:val="003F403E"/>
    <w:rsid w:val="004050CD"/>
    <w:rsid w:val="00414872"/>
    <w:rsid w:val="00416DDB"/>
    <w:rsid w:val="00423877"/>
    <w:rsid w:val="004277E9"/>
    <w:rsid w:val="004351BE"/>
    <w:rsid w:val="0044019E"/>
    <w:rsid w:val="00443AA9"/>
    <w:rsid w:val="00457BF8"/>
    <w:rsid w:val="00466BDE"/>
    <w:rsid w:val="00473738"/>
    <w:rsid w:val="00473BC3"/>
    <w:rsid w:val="004865E2"/>
    <w:rsid w:val="00494D40"/>
    <w:rsid w:val="00495EFE"/>
    <w:rsid w:val="004B3546"/>
    <w:rsid w:val="004B39F2"/>
    <w:rsid w:val="004D524A"/>
    <w:rsid w:val="004D5686"/>
    <w:rsid w:val="004D5812"/>
    <w:rsid w:val="004E3011"/>
    <w:rsid w:val="004E5DA8"/>
    <w:rsid w:val="004F5723"/>
    <w:rsid w:val="005133FB"/>
    <w:rsid w:val="00533BFA"/>
    <w:rsid w:val="00535D27"/>
    <w:rsid w:val="00541B8D"/>
    <w:rsid w:val="00566F62"/>
    <w:rsid w:val="00570BE9"/>
    <w:rsid w:val="00576868"/>
    <w:rsid w:val="005802E4"/>
    <w:rsid w:val="005845DB"/>
    <w:rsid w:val="005A2C86"/>
    <w:rsid w:val="005A5A92"/>
    <w:rsid w:val="005B5AD6"/>
    <w:rsid w:val="005E1E6E"/>
    <w:rsid w:val="005E2FBF"/>
    <w:rsid w:val="005F6C01"/>
    <w:rsid w:val="005F6F44"/>
    <w:rsid w:val="005F7A30"/>
    <w:rsid w:val="00605C81"/>
    <w:rsid w:val="00607160"/>
    <w:rsid w:val="00616C8E"/>
    <w:rsid w:val="00623AD1"/>
    <w:rsid w:val="00633627"/>
    <w:rsid w:val="0063775F"/>
    <w:rsid w:val="0064294D"/>
    <w:rsid w:val="00643735"/>
    <w:rsid w:val="006479A3"/>
    <w:rsid w:val="006502AE"/>
    <w:rsid w:val="00661B31"/>
    <w:rsid w:val="00666A9E"/>
    <w:rsid w:val="006817C0"/>
    <w:rsid w:val="006A0012"/>
    <w:rsid w:val="006A4AAF"/>
    <w:rsid w:val="006B438C"/>
    <w:rsid w:val="006D3634"/>
    <w:rsid w:val="006D7F95"/>
    <w:rsid w:val="00707CF0"/>
    <w:rsid w:val="00711749"/>
    <w:rsid w:val="00714D89"/>
    <w:rsid w:val="007327D6"/>
    <w:rsid w:val="00742459"/>
    <w:rsid w:val="0075044E"/>
    <w:rsid w:val="007624FE"/>
    <w:rsid w:val="00771A1A"/>
    <w:rsid w:val="007A1948"/>
    <w:rsid w:val="007A6175"/>
    <w:rsid w:val="007B00E4"/>
    <w:rsid w:val="007C3012"/>
    <w:rsid w:val="007C3484"/>
    <w:rsid w:val="007D3B9B"/>
    <w:rsid w:val="007F1691"/>
    <w:rsid w:val="007F46AB"/>
    <w:rsid w:val="00815811"/>
    <w:rsid w:val="00852619"/>
    <w:rsid w:val="00892514"/>
    <w:rsid w:val="008A7CBB"/>
    <w:rsid w:val="008D2E01"/>
    <w:rsid w:val="008D4ABD"/>
    <w:rsid w:val="008F0B07"/>
    <w:rsid w:val="009271A5"/>
    <w:rsid w:val="00945123"/>
    <w:rsid w:val="00947436"/>
    <w:rsid w:val="00961489"/>
    <w:rsid w:val="00972F7B"/>
    <w:rsid w:val="00996E75"/>
    <w:rsid w:val="009B086F"/>
    <w:rsid w:val="009C1E03"/>
    <w:rsid w:val="009E2E85"/>
    <w:rsid w:val="009F13CA"/>
    <w:rsid w:val="009F3C5B"/>
    <w:rsid w:val="009F4244"/>
    <w:rsid w:val="009F72EA"/>
    <w:rsid w:val="00A07D98"/>
    <w:rsid w:val="00A15E71"/>
    <w:rsid w:val="00A23207"/>
    <w:rsid w:val="00A25420"/>
    <w:rsid w:val="00A40C4D"/>
    <w:rsid w:val="00A42EE2"/>
    <w:rsid w:val="00A42FC1"/>
    <w:rsid w:val="00A4583E"/>
    <w:rsid w:val="00A458B4"/>
    <w:rsid w:val="00A61C0A"/>
    <w:rsid w:val="00A95CDC"/>
    <w:rsid w:val="00AA04C5"/>
    <w:rsid w:val="00AA5F70"/>
    <w:rsid w:val="00AC6FA3"/>
    <w:rsid w:val="00AD0CF3"/>
    <w:rsid w:val="00AE5DBD"/>
    <w:rsid w:val="00B028FB"/>
    <w:rsid w:val="00B04E70"/>
    <w:rsid w:val="00B0564A"/>
    <w:rsid w:val="00B21104"/>
    <w:rsid w:val="00B24AF3"/>
    <w:rsid w:val="00B24EE5"/>
    <w:rsid w:val="00B27F8A"/>
    <w:rsid w:val="00B3432D"/>
    <w:rsid w:val="00B3600F"/>
    <w:rsid w:val="00B40C50"/>
    <w:rsid w:val="00B4208D"/>
    <w:rsid w:val="00B456DC"/>
    <w:rsid w:val="00B61EB2"/>
    <w:rsid w:val="00B70DDE"/>
    <w:rsid w:val="00B846C9"/>
    <w:rsid w:val="00B91135"/>
    <w:rsid w:val="00BA0B57"/>
    <w:rsid w:val="00BA2FA0"/>
    <w:rsid w:val="00BB7E53"/>
    <w:rsid w:val="00BC0370"/>
    <w:rsid w:val="00BD4482"/>
    <w:rsid w:val="00BD5E18"/>
    <w:rsid w:val="00BE3080"/>
    <w:rsid w:val="00BE30A3"/>
    <w:rsid w:val="00BE77AE"/>
    <w:rsid w:val="00BF69F3"/>
    <w:rsid w:val="00C104CA"/>
    <w:rsid w:val="00C240C3"/>
    <w:rsid w:val="00C2553F"/>
    <w:rsid w:val="00C27FE0"/>
    <w:rsid w:val="00C33BFC"/>
    <w:rsid w:val="00C546BA"/>
    <w:rsid w:val="00C56BB9"/>
    <w:rsid w:val="00C74267"/>
    <w:rsid w:val="00C75C10"/>
    <w:rsid w:val="00C8694E"/>
    <w:rsid w:val="00CA26D8"/>
    <w:rsid w:val="00CA4BD9"/>
    <w:rsid w:val="00CA7921"/>
    <w:rsid w:val="00CC0B7A"/>
    <w:rsid w:val="00CD7628"/>
    <w:rsid w:val="00CD795C"/>
    <w:rsid w:val="00CE0CFA"/>
    <w:rsid w:val="00CE31C2"/>
    <w:rsid w:val="00CF07C9"/>
    <w:rsid w:val="00CF0F04"/>
    <w:rsid w:val="00D06643"/>
    <w:rsid w:val="00D12005"/>
    <w:rsid w:val="00D57F56"/>
    <w:rsid w:val="00D72093"/>
    <w:rsid w:val="00D75198"/>
    <w:rsid w:val="00D80C0B"/>
    <w:rsid w:val="00DA52FD"/>
    <w:rsid w:val="00DC7872"/>
    <w:rsid w:val="00DD5D2A"/>
    <w:rsid w:val="00E07B5F"/>
    <w:rsid w:val="00E10409"/>
    <w:rsid w:val="00E1313A"/>
    <w:rsid w:val="00E13B30"/>
    <w:rsid w:val="00E32FAA"/>
    <w:rsid w:val="00E4126A"/>
    <w:rsid w:val="00E63145"/>
    <w:rsid w:val="00E81738"/>
    <w:rsid w:val="00E90381"/>
    <w:rsid w:val="00E9190D"/>
    <w:rsid w:val="00EC58E9"/>
    <w:rsid w:val="00ED2441"/>
    <w:rsid w:val="00EF082C"/>
    <w:rsid w:val="00F04E90"/>
    <w:rsid w:val="00F177AF"/>
    <w:rsid w:val="00F23392"/>
    <w:rsid w:val="00F24188"/>
    <w:rsid w:val="00F30543"/>
    <w:rsid w:val="00F37DB3"/>
    <w:rsid w:val="00F45C6E"/>
    <w:rsid w:val="00F63CA6"/>
    <w:rsid w:val="00FB465F"/>
    <w:rsid w:val="00FD365A"/>
    <w:rsid w:val="00FE14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6A122"/>
  <w15:chartTrackingRefBased/>
  <w15:docId w15:val="{0BA9120C-083B-41D4-B1BF-0CEC45593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65A"/>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7FB9"/>
    <w:pPr>
      <w:ind w:left="720"/>
      <w:contextualSpacing/>
    </w:pPr>
  </w:style>
  <w:style w:type="character" w:styleId="Hyperlink">
    <w:name w:val="Hyperlink"/>
    <w:basedOn w:val="DefaultParagraphFont"/>
    <w:uiPriority w:val="99"/>
    <w:unhideWhenUsed/>
    <w:rsid w:val="00177FB9"/>
    <w:rPr>
      <w:color w:val="0563C1" w:themeColor="hyperlink"/>
      <w:u w:val="single"/>
    </w:rPr>
  </w:style>
  <w:style w:type="character" w:customStyle="1" w:styleId="mord">
    <w:name w:val="mord"/>
    <w:basedOn w:val="DefaultParagraphFont"/>
    <w:rsid w:val="00177FB9"/>
  </w:style>
  <w:style w:type="character" w:customStyle="1" w:styleId="vlist-s">
    <w:name w:val="vlist-s"/>
    <w:basedOn w:val="DefaultParagraphFont"/>
    <w:rsid w:val="00177FB9"/>
  </w:style>
  <w:style w:type="paragraph" w:customStyle="1" w:styleId="my-2">
    <w:name w:val="my-2"/>
    <w:basedOn w:val="Normal"/>
    <w:rsid w:val="00177FB9"/>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katex-mathml">
    <w:name w:val="katex-mathml"/>
    <w:basedOn w:val="DefaultParagraphFont"/>
    <w:rsid w:val="00177FB9"/>
  </w:style>
  <w:style w:type="paragraph" w:styleId="Header">
    <w:name w:val="header"/>
    <w:basedOn w:val="Normal"/>
    <w:link w:val="HeaderChar"/>
    <w:uiPriority w:val="99"/>
    <w:unhideWhenUsed/>
    <w:rsid w:val="004737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738"/>
    <w:rPr>
      <w:rFonts w:eastAsiaTheme="minorEastAsia"/>
      <w:lang w:eastAsia="zh-CN"/>
    </w:rPr>
  </w:style>
  <w:style w:type="paragraph" w:styleId="Footer">
    <w:name w:val="footer"/>
    <w:basedOn w:val="Normal"/>
    <w:link w:val="FooterChar"/>
    <w:uiPriority w:val="99"/>
    <w:unhideWhenUsed/>
    <w:rsid w:val="004737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738"/>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134860">
      <w:bodyDiv w:val="1"/>
      <w:marLeft w:val="0"/>
      <w:marRight w:val="0"/>
      <w:marTop w:val="0"/>
      <w:marBottom w:val="0"/>
      <w:divBdr>
        <w:top w:val="none" w:sz="0" w:space="0" w:color="auto"/>
        <w:left w:val="none" w:sz="0" w:space="0" w:color="auto"/>
        <w:bottom w:val="none" w:sz="0" w:space="0" w:color="auto"/>
        <w:right w:val="none" w:sz="0" w:space="0" w:color="auto"/>
      </w:divBdr>
      <w:divsChild>
        <w:div w:id="1372223757">
          <w:marLeft w:val="0"/>
          <w:marRight w:val="0"/>
          <w:marTop w:val="0"/>
          <w:marBottom w:val="0"/>
          <w:divBdr>
            <w:top w:val="single" w:sz="2" w:space="0" w:color="auto"/>
            <w:left w:val="single" w:sz="2" w:space="0" w:color="auto"/>
            <w:bottom w:val="single" w:sz="2" w:space="0" w:color="auto"/>
            <w:right w:val="single" w:sz="2" w:space="0" w:color="auto"/>
          </w:divBdr>
          <w:divsChild>
            <w:div w:id="673340014">
              <w:marLeft w:val="0"/>
              <w:marRight w:val="0"/>
              <w:marTop w:val="0"/>
              <w:marBottom w:val="0"/>
              <w:divBdr>
                <w:top w:val="single" w:sz="2" w:space="0" w:color="auto"/>
                <w:left w:val="single" w:sz="2" w:space="0" w:color="auto"/>
                <w:bottom w:val="single" w:sz="2" w:space="0" w:color="auto"/>
                <w:right w:val="single" w:sz="2" w:space="0" w:color="auto"/>
              </w:divBdr>
              <w:divsChild>
                <w:div w:id="1702785226">
                  <w:marLeft w:val="0"/>
                  <w:marRight w:val="0"/>
                  <w:marTop w:val="0"/>
                  <w:marBottom w:val="0"/>
                  <w:divBdr>
                    <w:top w:val="single" w:sz="2" w:space="0" w:color="auto"/>
                    <w:left w:val="single" w:sz="2" w:space="0" w:color="auto"/>
                    <w:bottom w:val="single" w:sz="2" w:space="0" w:color="auto"/>
                    <w:right w:val="single" w:sz="2" w:space="0" w:color="auto"/>
                  </w:divBdr>
                  <w:divsChild>
                    <w:div w:id="1000082112">
                      <w:marLeft w:val="0"/>
                      <w:marRight w:val="0"/>
                      <w:marTop w:val="0"/>
                      <w:marBottom w:val="0"/>
                      <w:divBdr>
                        <w:top w:val="single" w:sz="2" w:space="0" w:color="auto"/>
                        <w:left w:val="single" w:sz="2" w:space="0" w:color="auto"/>
                        <w:bottom w:val="single" w:sz="2" w:space="0" w:color="auto"/>
                        <w:right w:val="single" w:sz="2" w:space="0" w:color="auto"/>
                      </w:divBdr>
                      <w:divsChild>
                        <w:div w:id="1943301166">
                          <w:marLeft w:val="0"/>
                          <w:marRight w:val="0"/>
                          <w:marTop w:val="0"/>
                          <w:marBottom w:val="0"/>
                          <w:divBdr>
                            <w:top w:val="single" w:sz="2" w:space="0" w:color="auto"/>
                            <w:left w:val="single" w:sz="2" w:space="0" w:color="auto"/>
                            <w:bottom w:val="single" w:sz="2" w:space="0" w:color="auto"/>
                            <w:right w:val="single" w:sz="2" w:space="0" w:color="auto"/>
                          </w:divBdr>
                          <w:divsChild>
                            <w:div w:id="1598170581">
                              <w:marLeft w:val="0"/>
                              <w:marRight w:val="0"/>
                              <w:marTop w:val="0"/>
                              <w:marBottom w:val="0"/>
                              <w:divBdr>
                                <w:top w:val="single" w:sz="2" w:space="0" w:color="auto"/>
                                <w:left w:val="single" w:sz="2" w:space="0" w:color="auto"/>
                                <w:bottom w:val="single" w:sz="2" w:space="0" w:color="auto"/>
                                <w:right w:val="single" w:sz="2" w:space="0" w:color="auto"/>
                              </w:divBdr>
                              <w:divsChild>
                                <w:div w:id="341863184">
                                  <w:marLeft w:val="0"/>
                                  <w:marRight w:val="0"/>
                                  <w:marTop w:val="0"/>
                                  <w:marBottom w:val="0"/>
                                  <w:divBdr>
                                    <w:top w:val="single" w:sz="2" w:space="0" w:color="auto"/>
                                    <w:left w:val="single" w:sz="2" w:space="0" w:color="auto"/>
                                    <w:bottom w:val="single" w:sz="2" w:space="0" w:color="auto"/>
                                    <w:right w:val="single" w:sz="2" w:space="0" w:color="auto"/>
                                  </w:divBdr>
                                  <w:divsChild>
                                    <w:div w:id="645009386">
                                      <w:marLeft w:val="0"/>
                                      <w:marRight w:val="0"/>
                                      <w:marTop w:val="120"/>
                                      <w:marBottom w:val="0"/>
                                      <w:divBdr>
                                        <w:top w:val="single" w:sz="2" w:space="0" w:color="auto"/>
                                        <w:left w:val="single" w:sz="2" w:space="0" w:color="auto"/>
                                        <w:bottom w:val="single" w:sz="2" w:space="0" w:color="auto"/>
                                        <w:right w:val="single" w:sz="2" w:space="0" w:color="auto"/>
                                      </w:divBdr>
                                      <w:divsChild>
                                        <w:div w:id="1567837410">
                                          <w:marLeft w:val="0"/>
                                          <w:marRight w:val="0"/>
                                          <w:marTop w:val="0"/>
                                          <w:marBottom w:val="0"/>
                                          <w:divBdr>
                                            <w:top w:val="single" w:sz="2" w:space="0" w:color="auto"/>
                                            <w:left w:val="single" w:sz="2" w:space="0" w:color="auto"/>
                                            <w:bottom w:val="single" w:sz="2" w:space="0" w:color="auto"/>
                                            <w:right w:val="single" w:sz="2" w:space="0" w:color="auto"/>
                                          </w:divBdr>
                                          <w:divsChild>
                                            <w:div w:id="1349260545">
                                              <w:marLeft w:val="0"/>
                                              <w:marRight w:val="0"/>
                                              <w:marTop w:val="0"/>
                                              <w:marBottom w:val="0"/>
                                              <w:divBdr>
                                                <w:top w:val="single" w:sz="2" w:space="0" w:color="auto"/>
                                                <w:left w:val="single" w:sz="2" w:space="0" w:color="auto"/>
                                                <w:bottom w:val="single" w:sz="2" w:space="0" w:color="auto"/>
                                                <w:right w:val="single" w:sz="2" w:space="0" w:color="auto"/>
                                              </w:divBdr>
                                              <w:divsChild>
                                                <w:div w:id="1510487793">
                                                  <w:marLeft w:val="0"/>
                                                  <w:marRight w:val="0"/>
                                                  <w:marTop w:val="0"/>
                                                  <w:marBottom w:val="0"/>
                                                  <w:divBdr>
                                                    <w:top w:val="single" w:sz="2" w:space="0" w:color="auto"/>
                                                    <w:left w:val="single" w:sz="2" w:space="0" w:color="auto"/>
                                                    <w:bottom w:val="single" w:sz="2" w:space="0" w:color="auto"/>
                                                    <w:right w:val="single" w:sz="2" w:space="0" w:color="auto"/>
                                                  </w:divBdr>
                                                  <w:divsChild>
                                                    <w:div w:id="1613394140">
                                                      <w:marLeft w:val="0"/>
                                                      <w:marRight w:val="0"/>
                                                      <w:marTop w:val="0"/>
                                                      <w:marBottom w:val="0"/>
                                                      <w:divBdr>
                                                        <w:top w:val="single" w:sz="2" w:space="0" w:color="auto"/>
                                                        <w:left w:val="single" w:sz="2" w:space="0" w:color="auto"/>
                                                        <w:bottom w:val="single" w:sz="2" w:space="0" w:color="auto"/>
                                                        <w:right w:val="single" w:sz="2" w:space="0" w:color="auto"/>
                                                      </w:divBdr>
                                                      <w:divsChild>
                                                        <w:div w:id="5972972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 w:id="389810651">
      <w:bodyDiv w:val="1"/>
      <w:marLeft w:val="0"/>
      <w:marRight w:val="0"/>
      <w:marTop w:val="0"/>
      <w:marBottom w:val="0"/>
      <w:divBdr>
        <w:top w:val="none" w:sz="0" w:space="0" w:color="auto"/>
        <w:left w:val="none" w:sz="0" w:space="0" w:color="auto"/>
        <w:bottom w:val="none" w:sz="0" w:space="0" w:color="auto"/>
        <w:right w:val="none" w:sz="0" w:space="0" w:color="auto"/>
      </w:divBdr>
    </w:div>
    <w:div w:id="407926424">
      <w:bodyDiv w:val="1"/>
      <w:marLeft w:val="0"/>
      <w:marRight w:val="0"/>
      <w:marTop w:val="0"/>
      <w:marBottom w:val="0"/>
      <w:divBdr>
        <w:top w:val="none" w:sz="0" w:space="0" w:color="auto"/>
        <w:left w:val="none" w:sz="0" w:space="0" w:color="auto"/>
        <w:bottom w:val="none" w:sz="0" w:space="0" w:color="auto"/>
        <w:right w:val="none" w:sz="0" w:space="0" w:color="auto"/>
      </w:divBdr>
    </w:div>
    <w:div w:id="427969012">
      <w:bodyDiv w:val="1"/>
      <w:marLeft w:val="0"/>
      <w:marRight w:val="0"/>
      <w:marTop w:val="0"/>
      <w:marBottom w:val="0"/>
      <w:divBdr>
        <w:top w:val="none" w:sz="0" w:space="0" w:color="auto"/>
        <w:left w:val="none" w:sz="0" w:space="0" w:color="auto"/>
        <w:bottom w:val="none" w:sz="0" w:space="0" w:color="auto"/>
        <w:right w:val="none" w:sz="0" w:space="0" w:color="auto"/>
      </w:divBdr>
    </w:div>
    <w:div w:id="628360190">
      <w:bodyDiv w:val="1"/>
      <w:marLeft w:val="0"/>
      <w:marRight w:val="0"/>
      <w:marTop w:val="0"/>
      <w:marBottom w:val="0"/>
      <w:divBdr>
        <w:top w:val="none" w:sz="0" w:space="0" w:color="auto"/>
        <w:left w:val="none" w:sz="0" w:space="0" w:color="auto"/>
        <w:bottom w:val="none" w:sz="0" w:space="0" w:color="auto"/>
        <w:right w:val="none" w:sz="0" w:space="0" w:color="auto"/>
      </w:divBdr>
    </w:div>
    <w:div w:id="698555562">
      <w:bodyDiv w:val="1"/>
      <w:marLeft w:val="0"/>
      <w:marRight w:val="0"/>
      <w:marTop w:val="0"/>
      <w:marBottom w:val="0"/>
      <w:divBdr>
        <w:top w:val="none" w:sz="0" w:space="0" w:color="auto"/>
        <w:left w:val="none" w:sz="0" w:space="0" w:color="auto"/>
        <w:bottom w:val="none" w:sz="0" w:space="0" w:color="auto"/>
        <w:right w:val="none" w:sz="0" w:space="0" w:color="auto"/>
      </w:divBdr>
      <w:divsChild>
        <w:div w:id="128088150">
          <w:marLeft w:val="0"/>
          <w:marRight w:val="0"/>
          <w:marTop w:val="0"/>
          <w:marBottom w:val="0"/>
          <w:divBdr>
            <w:top w:val="single" w:sz="2" w:space="0" w:color="auto"/>
            <w:left w:val="single" w:sz="2" w:space="0" w:color="auto"/>
            <w:bottom w:val="single" w:sz="2" w:space="0" w:color="auto"/>
            <w:right w:val="single" w:sz="2" w:space="0" w:color="auto"/>
          </w:divBdr>
          <w:divsChild>
            <w:div w:id="274754161">
              <w:marLeft w:val="0"/>
              <w:marRight w:val="0"/>
              <w:marTop w:val="0"/>
              <w:marBottom w:val="0"/>
              <w:divBdr>
                <w:top w:val="single" w:sz="2" w:space="0" w:color="auto"/>
                <w:left w:val="single" w:sz="2" w:space="0" w:color="auto"/>
                <w:bottom w:val="single" w:sz="2" w:space="0" w:color="auto"/>
                <w:right w:val="single" w:sz="2" w:space="0" w:color="auto"/>
              </w:divBdr>
              <w:divsChild>
                <w:div w:id="1709800033">
                  <w:marLeft w:val="0"/>
                  <w:marRight w:val="0"/>
                  <w:marTop w:val="0"/>
                  <w:marBottom w:val="0"/>
                  <w:divBdr>
                    <w:top w:val="single" w:sz="2" w:space="0" w:color="auto"/>
                    <w:left w:val="single" w:sz="2" w:space="0" w:color="auto"/>
                    <w:bottom w:val="single" w:sz="2" w:space="0" w:color="auto"/>
                    <w:right w:val="single" w:sz="2" w:space="0" w:color="auto"/>
                  </w:divBdr>
                  <w:divsChild>
                    <w:div w:id="2132553233">
                      <w:marLeft w:val="0"/>
                      <w:marRight w:val="0"/>
                      <w:marTop w:val="0"/>
                      <w:marBottom w:val="0"/>
                      <w:divBdr>
                        <w:top w:val="single" w:sz="2" w:space="0" w:color="auto"/>
                        <w:left w:val="single" w:sz="2" w:space="0" w:color="auto"/>
                        <w:bottom w:val="single" w:sz="2" w:space="0" w:color="auto"/>
                        <w:right w:val="single" w:sz="2" w:space="0" w:color="auto"/>
                      </w:divBdr>
                      <w:divsChild>
                        <w:div w:id="1372876454">
                          <w:marLeft w:val="0"/>
                          <w:marRight w:val="0"/>
                          <w:marTop w:val="120"/>
                          <w:marBottom w:val="0"/>
                          <w:divBdr>
                            <w:top w:val="single" w:sz="2" w:space="0" w:color="auto"/>
                            <w:left w:val="single" w:sz="2" w:space="0" w:color="auto"/>
                            <w:bottom w:val="single" w:sz="2" w:space="0" w:color="auto"/>
                            <w:right w:val="single" w:sz="2" w:space="0" w:color="auto"/>
                          </w:divBdr>
                          <w:divsChild>
                            <w:div w:id="826362357">
                              <w:marLeft w:val="0"/>
                              <w:marRight w:val="0"/>
                              <w:marTop w:val="0"/>
                              <w:marBottom w:val="0"/>
                              <w:divBdr>
                                <w:top w:val="single" w:sz="2" w:space="0" w:color="auto"/>
                                <w:left w:val="single" w:sz="2" w:space="0" w:color="auto"/>
                                <w:bottom w:val="single" w:sz="2" w:space="0" w:color="auto"/>
                                <w:right w:val="single" w:sz="2" w:space="0" w:color="auto"/>
                              </w:divBdr>
                              <w:divsChild>
                                <w:div w:id="558437929">
                                  <w:marLeft w:val="0"/>
                                  <w:marRight w:val="0"/>
                                  <w:marTop w:val="0"/>
                                  <w:marBottom w:val="0"/>
                                  <w:divBdr>
                                    <w:top w:val="single" w:sz="2" w:space="0" w:color="auto"/>
                                    <w:left w:val="single" w:sz="2" w:space="0" w:color="auto"/>
                                    <w:bottom w:val="single" w:sz="2" w:space="0" w:color="auto"/>
                                    <w:right w:val="single" w:sz="2" w:space="0" w:color="auto"/>
                                  </w:divBdr>
                                  <w:divsChild>
                                    <w:div w:id="1155998930">
                                      <w:marLeft w:val="0"/>
                                      <w:marRight w:val="0"/>
                                      <w:marTop w:val="0"/>
                                      <w:marBottom w:val="0"/>
                                      <w:divBdr>
                                        <w:top w:val="single" w:sz="2" w:space="0" w:color="auto"/>
                                        <w:left w:val="single" w:sz="2" w:space="0" w:color="auto"/>
                                        <w:bottom w:val="single" w:sz="2" w:space="0" w:color="auto"/>
                                        <w:right w:val="single" w:sz="2" w:space="0" w:color="auto"/>
                                      </w:divBdr>
                                      <w:divsChild>
                                        <w:div w:id="1104308433">
                                          <w:marLeft w:val="0"/>
                                          <w:marRight w:val="0"/>
                                          <w:marTop w:val="0"/>
                                          <w:marBottom w:val="0"/>
                                          <w:divBdr>
                                            <w:top w:val="single" w:sz="2" w:space="0" w:color="auto"/>
                                            <w:left w:val="single" w:sz="2" w:space="0" w:color="auto"/>
                                            <w:bottom w:val="single" w:sz="2" w:space="0" w:color="auto"/>
                                            <w:right w:val="single" w:sz="2" w:space="0" w:color="auto"/>
                                          </w:divBdr>
                                          <w:divsChild>
                                            <w:div w:id="7993736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708457780">
      <w:bodyDiv w:val="1"/>
      <w:marLeft w:val="0"/>
      <w:marRight w:val="0"/>
      <w:marTop w:val="0"/>
      <w:marBottom w:val="0"/>
      <w:divBdr>
        <w:top w:val="none" w:sz="0" w:space="0" w:color="auto"/>
        <w:left w:val="none" w:sz="0" w:space="0" w:color="auto"/>
        <w:bottom w:val="none" w:sz="0" w:space="0" w:color="auto"/>
        <w:right w:val="none" w:sz="0" w:space="0" w:color="auto"/>
      </w:divBdr>
    </w:div>
    <w:div w:id="731151005">
      <w:bodyDiv w:val="1"/>
      <w:marLeft w:val="0"/>
      <w:marRight w:val="0"/>
      <w:marTop w:val="0"/>
      <w:marBottom w:val="0"/>
      <w:divBdr>
        <w:top w:val="none" w:sz="0" w:space="0" w:color="auto"/>
        <w:left w:val="none" w:sz="0" w:space="0" w:color="auto"/>
        <w:bottom w:val="none" w:sz="0" w:space="0" w:color="auto"/>
        <w:right w:val="none" w:sz="0" w:space="0" w:color="auto"/>
      </w:divBdr>
      <w:divsChild>
        <w:div w:id="1583292773">
          <w:marLeft w:val="0"/>
          <w:marRight w:val="0"/>
          <w:marTop w:val="0"/>
          <w:marBottom w:val="0"/>
          <w:divBdr>
            <w:top w:val="single" w:sz="2" w:space="0" w:color="auto"/>
            <w:left w:val="single" w:sz="2" w:space="0" w:color="auto"/>
            <w:bottom w:val="single" w:sz="2" w:space="0" w:color="auto"/>
            <w:right w:val="single" w:sz="2" w:space="0" w:color="auto"/>
          </w:divBdr>
          <w:divsChild>
            <w:div w:id="955134538">
              <w:marLeft w:val="0"/>
              <w:marRight w:val="0"/>
              <w:marTop w:val="0"/>
              <w:marBottom w:val="0"/>
              <w:divBdr>
                <w:top w:val="single" w:sz="2" w:space="0" w:color="auto"/>
                <w:left w:val="single" w:sz="2" w:space="0" w:color="auto"/>
                <w:bottom w:val="single" w:sz="2" w:space="0" w:color="auto"/>
                <w:right w:val="single" w:sz="2" w:space="0" w:color="auto"/>
              </w:divBdr>
              <w:divsChild>
                <w:div w:id="273024115">
                  <w:marLeft w:val="0"/>
                  <w:marRight w:val="0"/>
                  <w:marTop w:val="0"/>
                  <w:marBottom w:val="0"/>
                  <w:divBdr>
                    <w:top w:val="single" w:sz="2" w:space="0" w:color="auto"/>
                    <w:left w:val="single" w:sz="2" w:space="0" w:color="auto"/>
                    <w:bottom w:val="single" w:sz="2" w:space="0" w:color="auto"/>
                    <w:right w:val="single" w:sz="2" w:space="0" w:color="auto"/>
                  </w:divBdr>
                  <w:divsChild>
                    <w:div w:id="261378471">
                      <w:marLeft w:val="0"/>
                      <w:marRight w:val="0"/>
                      <w:marTop w:val="0"/>
                      <w:marBottom w:val="0"/>
                      <w:divBdr>
                        <w:top w:val="single" w:sz="2" w:space="0" w:color="auto"/>
                        <w:left w:val="single" w:sz="2" w:space="0" w:color="auto"/>
                        <w:bottom w:val="single" w:sz="2" w:space="0" w:color="auto"/>
                        <w:right w:val="single" w:sz="2" w:space="0" w:color="auto"/>
                      </w:divBdr>
                      <w:divsChild>
                        <w:div w:id="186331857">
                          <w:marLeft w:val="0"/>
                          <w:marRight w:val="0"/>
                          <w:marTop w:val="0"/>
                          <w:marBottom w:val="0"/>
                          <w:divBdr>
                            <w:top w:val="single" w:sz="2" w:space="0" w:color="auto"/>
                            <w:left w:val="single" w:sz="2" w:space="0" w:color="auto"/>
                            <w:bottom w:val="single" w:sz="2" w:space="0" w:color="auto"/>
                            <w:right w:val="single" w:sz="2" w:space="0" w:color="auto"/>
                          </w:divBdr>
                          <w:divsChild>
                            <w:div w:id="1627806827">
                              <w:marLeft w:val="0"/>
                              <w:marRight w:val="0"/>
                              <w:marTop w:val="0"/>
                              <w:marBottom w:val="0"/>
                              <w:divBdr>
                                <w:top w:val="single" w:sz="2" w:space="0" w:color="auto"/>
                                <w:left w:val="single" w:sz="2" w:space="0" w:color="auto"/>
                                <w:bottom w:val="single" w:sz="2" w:space="0" w:color="auto"/>
                                <w:right w:val="single" w:sz="2" w:space="0" w:color="auto"/>
                              </w:divBdr>
                              <w:divsChild>
                                <w:div w:id="434712722">
                                  <w:marLeft w:val="0"/>
                                  <w:marRight w:val="0"/>
                                  <w:marTop w:val="0"/>
                                  <w:marBottom w:val="0"/>
                                  <w:divBdr>
                                    <w:top w:val="single" w:sz="2" w:space="0" w:color="auto"/>
                                    <w:left w:val="single" w:sz="2" w:space="0" w:color="auto"/>
                                    <w:bottom w:val="single" w:sz="2" w:space="0" w:color="auto"/>
                                    <w:right w:val="single" w:sz="2" w:space="0" w:color="auto"/>
                                  </w:divBdr>
                                  <w:divsChild>
                                    <w:div w:id="714084998">
                                      <w:marLeft w:val="0"/>
                                      <w:marRight w:val="0"/>
                                      <w:marTop w:val="120"/>
                                      <w:marBottom w:val="0"/>
                                      <w:divBdr>
                                        <w:top w:val="single" w:sz="2" w:space="0" w:color="auto"/>
                                        <w:left w:val="single" w:sz="2" w:space="0" w:color="auto"/>
                                        <w:bottom w:val="single" w:sz="2" w:space="0" w:color="auto"/>
                                        <w:right w:val="single" w:sz="2" w:space="0" w:color="auto"/>
                                      </w:divBdr>
                                      <w:divsChild>
                                        <w:div w:id="172453026">
                                          <w:marLeft w:val="0"/>
                                          <w:marRight w:val="0"/>
                                          <w:marTop w:val="0"/>
                                          <w:marBottom w:val="0"/>
                                          <w:divBdr>
                                            <w:top w:val="single" w:sz="2" w:space="0" w:color="auto"/>
                                            <w:left w:val="single" w:sz="2" w:space="0" w:color="auto"/>
                                            <w:bottom w:val="single" w:sz="2" w:space="0" w:color="auto"/>
                                            <w:right w:val="single" w:sz="2" w:space="0" w:color="auto"/>
                                          </w:divBdr>
                                          <w:divsChild>
                                            <w:div w:id="1555384782">
                                              <w:marLeft w:val="0"/>
                                              <w:marRight w:val="0"/>
                                              <w:marTop w:val="0"/>
                                              <w:marBottom w:val="0"/>
                                              <w:divBdr>
                                                <w:top w:val="single" w:sz="2" w:space="0" w:color="auto"/>
                                                <w:left w:val="single" w:sz="2" w:space="0" w:color="auto"/>
                                                <w:bottom w:val="single" w:sz="2" w:space="0" w:color="auto"/>
                                                <w:right w:val="single" w:sz="2" w:space="0" w:color="auto"/>
                                              </w:divBdr>
                                              <w:divsChild>
                                                <w:div w:id="1329942573">
                                                  <w:marLeft w:val="0"/>
                                                  <w:marRight w:val="0"/>
                                                  <w:marTop w:val="0"/>
                                                  <w:marBottom w:val="0"/>
                                                  <w:divBdr>
                                                    <w:top w:val="single" w:sz="2" w:space="0" w:color="auto"/>
                                                    <w:left w:val="single" w:sz="2" w:space="0" w:color="auto"/>
                                                    <w:bottom w:val="single" w:sz="2" w:space="0" w:color="auto"/>
                                                    <w:right w:val="single" w:sz="2" w:space="0" w:color="auto"/>
                                                  </w:divBdr>
                                                  <w:divsChild>
                                                    <w:div w:id="941837309">
                                                      <w:marLeft w:val="0"/>
                                                      <w:marRight w:val="0"/>
                                                      <w:marTop w:val="0"/>
                                                      <w:marBottom w:val="0"/>
                                                      <w:divBdr>
                                                        <w:top w:val="single" w:sz="2" w:space="0" w:color="auto"/>
                                                        <w:left w:val="single" w:sz="2" w:space="0" w:color="auto"/>
                                                        <w:bottom w:val="single" w:sz="2" w:space="0" w:color="auto"/>
                                                        <w:right w:val="single" w:sz="2" w:space="0" w:color="auto"/>
                                                      </w:divBdr>
                                                      <w:divsChild>
                                                        <w:div w:id="21167497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 w:id="792015263">
      <w:bodyDiv w:val="1"/>
      <w:marLeft w:val="0"/>
      <w:marRight w:val="0"/>
      <w:marTop w:val="0"/>
      <w:marBottom w:val="0"/>
      <w:divBdr>
        <w:top w:val="none" w:sz="0" w:space="0" w:color="auto"/>
        <w:left w:val="none" w:sz="0" w:space="0" w:color="auto"/>
        <w:bottom w:val="none" w:sz="0" w:space="0" w:color="auto"/>
        <w:right w:val="none" w:sz="0" w:space="0" w:color="auto"/>
      </w:divBdr>
    </w:div>
    <w:div w:id="902835092">
      <w:bodyDiv w:val="1"/>
      <w:marLeft w:val="0"/>
      <w:marRight w:val="0"/>
      <w:marTop w:val="0"/>
      <w:marBottom w:val="0"/>
      <w:divBdr>
        <w:top w:val="none" w:sz="0" w:space="0" w:color="auto"/>
        <w:left w:val="none" w:sz="0" w:space="0" w:color="auto"/>
        <w:bottom w:val="none" w:sz="0" w:space="0" w:color="auto"/>
        <w:right w:val="none" w:sz="0" w:space="0" w:color="auto"/>
      </w:divBdr>
      <w:divsChild>
        <w:div w:id="1524397229">
          <w:marLeft w:val="0"/>
          <w:marRight w:val="0"/>
          <w:marTop w:val="0"/>
          <w:marBottom w:val="0"/>
          <w:divBdr>
            <w:top w:val="single" w:sz="2" w:space="0" w:color="auto"/>
            <w:left w:val="single" w:sz="2" w:space="0" w:color="auto"/>
            <w:bottom w:val="single" w:sz="2" w:space="0" w:color="auto"/>
            <w:right w:val="single" w:sz="2" w:space="0" w:color="auto"/>
          </w:divBdr>
          <w:divsChild>
            <w:div w:id="95946518">
              <w:marLeft w:val="0"/>
              <w:marRight w:val="0"/>
              <w:marTop w:val="0"/>
              <w:marBottom w:val="0"/>
              <w:divBdr>
                <w:top w:val="single" w:sz="2" w:space="0" w:color="auto"/>
                <w:left w:val="single" w:sz="2" w:space="24" w:color="auto"/>
                <w:bottom w:val="single" w:sz="2" w:space="0" w:color="auto"/>
                <w:right w:val="single" w:sz="2" w:space="24" w:color="auto"/>
              </w:divBdr>
              <w:divsChild>
                <w:div w:id="871455167">
                  <w:marLeft w:val="0"/>
                  <w:marRight w:val="0"/>
                  <w:marTop w:val="0"/>
                  <w:marBottom w:val="0"/>
                  <w:divBdr>
                    <w:top w:val="single" w:sz="2" w:space="0" w:color="auto"/>
                    <w:left w:val="single" w:sz="2" w:space="0" w:color="auto"/>
                    <w:bottom w:val="single" w:sz="2" w:space="0" w:color="auto"/>
                    <w:right w:val="single" w:sz="2" w:space="0" w:color="auto"/>
                  </w:divBdr>
                  <w:divsChild>
                    <w:div w:id="1963226105">
                      <w:marLeft w:val="0"/>
                      <w:marRight w:val="0"/>
                      <w:marTop w:val="0"/>
                      <w:marBottom w:val="0"/>
                      <w:divBdr>
                        <w:top w:val="single" w:sz="2" w:space="24" w:color="auto"/>
                        <w:left w:val="single" w:sz="2" w:space="0" w:color="auto"/>
                        <w:bottom w:val="single" w:sz="2" w:space="24" w:color="auto"/>
                        <w:right w:val="single" w:sz="2" w:space="0" w:color="auto"/>
                      </w:divBdr>
                      <w:divsChild>
                        <w:div w:id="1606577429">
                          <w:marLeft w:val="0"/>
                          <w:marRight w:val="0"/>
                          <w:marTop w:val="0"/>
                          <w:marBottom w:val="0"/>
                          <w:divBdr>
                            <w:top w:val="single" w:sz="2" w:space="0" w:color="auto"/>
                            <w:left w:val="single" w:sz="2" w:space="0" w:color="auto"/>
                            <w:bottom w:val="single" w:sz="2" w:space="0" w:color="auto"/>
                            <w:right w:val="single" w:sz="2" w:space="0" w:color="auto"/>
                          </w:divBdr>
                          <w:divsChild>
                            <w:div w:id="1846819153">
                              <w:marLeft w:val="0"/>
                              <w:marRight w:val="0"/>
                              <w:marTop w:val="0"/>
                              <w:marBottom w:val="0"/>
                              <w:divBdr>
                                <w:top w:val="single" w:sz="2" w:space="0" w:color="auto"/>
                                <w:left w:val="single" w:sz="2" w:space="0" w:color="auto"/>
                                <w:bottom w:val="single" w:sz="2" w:space="0" w:color="auto"/>
                                <w:right w:val="single" w:sz="2" w:space="0" w:color="auto"/>
                              </w:divBdr>
                              <w:divsChild>
                                <w:div w:id="2018575890">
                                  <w:marLeft w:val="0"/>
                                  <w:marRight w:val="0"/>
                                  <w:marTop w:val="0"/>
                                  <w:marBottom w:val="0"/>
                                  <w:divBdr>
                                    <w:top w:val="single" w:sz="2" w:space="0" w:color="auto"/>
                                    <w:left w:val="single" w:sz="2" w:space="0" w:color="auto"/>
                                    <w:bottom w:val="single" w:sz="2" w:space="0" w:color="auto"/>
                                    <w:right w:val="single" w:sz="2" w:space="0" w:color="auto"/>
                                  </w:divBdr>
                                  <w:divsChild>
                                    <w:div w:id="1735658210">
                                      <w:marLeft w:val="0"/>
                                      <w:marRight w:val="0"/>
                                      <w:marTop w:val="0"/>
                                      <w:marBottom w:val="0"/>
                                      <w:divBdr>
                                        <w:top w:val="single" w:sz="2" w:space="0" w:color="auto"/>
                                        <w:left w:val="single" w:sz="2" w:space="0" w:color="auto"/>
                                        <w:bottom w:val="single" w:sz="2" w:space="0" w:color="auto"/>
                                        <w:right w:val="single" w:sz="2" w:space="0" w:color="auto"/>
                                      </w:divBdr>
                                      <w:divsChild>
                                        <w:div w:id="340351295">
                                          <w:marLeft w:val="0"/>
                                          <w:marRight w:val="0"/>
                                          <w:marTop w:val="0"/>
                                          <w:marBottom w:val="0"/>
                                          <w:divBdr>
                                            <w:top w:val="single" w:sz="2" w:space="0" w:color="auto"/>
                                            <w:left w:val="single" w:sz="2" w:space="0" w:color="auto"/>
                                            <w:bottom w:val="single" w:sz="2" w:space="0" w:color="auto"/>
                                            <w:right w:val="single" w:sz="2" w:space="0" w:color="auto"/>
                                          </w:divBdr>
                                          <w:divsChild>
                                            <w:div w:id="1368143112">
                                              <w:marLeft w:val="0"/>
                                              <w:marRight w:val="0"/>
                                              <w:marTop w:val="0"/>
                                              <w:marBottom w:val="0"/>
                                              <w:divBdr>
                                                <w:top w:val="single" w:sz="2" w:space="0" w:color="auto"/>
                                                <w:left w:val="single" w:sz="2" w:space="0" w:color="auto"/>
                                                <w:bottom w:val="single" w:sz="2" w:space="0" w:color="auto"/>
                                                <w:right w:val="single" w:sz="2" w:space="0" w:color="auto"/>
                                              </w:divBdr>
                                              <w:divsChild>
                                                <w:div w:id="1638682311">
                                                  <w:marLeft w:val="0"/>
                                                  <w:marRight w:val="0"/>
                                                  <w:marTop w:val="0"/>
                                                  <w:marBottom w:val="0"/>
                                                  <w:divBdr>
                                                    <w:top w:val="single" w:sz="2" w:space="0" w:color="auto"/>
                                                    <w:left w:val="single" w:sz="2" w:space="0" w:color="auto"/>
                                                    <w:bottom w:val="single" w:sz="2" w:space="0" w:color="auto"/>
                                                    <w:right w:val="single" w:sz="2" w:space="0" w:color="auto"/>
                                                  </w:divBdr>
                                                  <w:divsChild>
                                                    <w:div w:id="2116174068">
                                                      <w:marLeft w:val="0"/>
                                                      <w:marRight w:val="0"/>
                                                      <w:marTop w:val="120"/>
                                                      <w:marBottom w:val="0"/>
                                                      <w:divBdr>
                                                        <w:top w:val="single" w:sz="2" w:space="0" w:color="auto"/>
                                                        <w:left w:val="single" w:sz="2" w:space="0" w:color="auto"/>
                                                        <w:bottom w:val="single" w:sz="2" w:space="0" w:color="auto"/>
                                                        <w:right w:val="single" w:sz="2" w:space="0" w:color="auto"/>
                                                      </w:divBdr>
                                                      <w:divsChild>
                                                        <w:div w:id="515654877">
                                                          <w:marLeft w:val="0"/>
                                                          <w:marRight w:val="0"/>
                                                          <w:marTop w:val="0"/>
                                                          <w:marBottom w:val="0"/>
                                                          <w:divBdr>
                                                            <w:top w:val="single" w:sz="2" w:space="0" w:color="auto"/>
                                                            <w:left w:val="single" w:sz="2" w:space="0" w:color="auto"/>
                                                            <w:bottom w:val="single" w:sz="2" w:space="0" w:color="auto"/>
                                                            <w:right w:val="single" w:sz="2" w:space="0" w:color="auto"/>
                                                          </w:divBdr>
                                                          <w:divsChild>
                                                            <w:div w:id="1468084041">
                                                              <w:marLeft w:val="0"/>
                                                              <w:marRight w:val="0"/>
                                                              <w:marTop w:val="0"/>
                                                              <w:marBottom w:val="0"/>
                                                              <w:divBdr>
                                                                <w:top w:val="single" w:sz="2" w:space="0" w:color="auto"/>
                                                                <w:left w:val="single" w:sz="2" w:space="0" w:color="auto"/>
                                                                <w:bottom w:val="single" w:sz="2" w:space="0" w:color="auto"/>
                                                                <w:right w:val="single" w:sz="2" w:space="0" w:color="auto"/>
                                                              </w:divBdr>
                                                              <w:divsChild>
                                                                <w:div w:id="1559584527">
                                                                  <w:marLeft w:val="0"/>
                                                                  <w:marRight w:val="0"/>
                                                                  <w:marTop w:val="0"/>
                                                                  <w:marBottom w:val="0"/>
                                                                  <w:divBdr>
                                                                    <w:top w:val="single" w:sz="2" w:space="0" w:color="auto"/>
                                                                    <w:left w:val="single" w:sz="2" w:space="0" w:color="auto"/>
                                                                    <w:bottom w:val="single" w:sz="2" w:space="0" w:color="auto"/>
                                                                    <w:right w:val="single" w:sz="2" w:space="0" w:color="auto"/>
                                                                  </w:divBdr>
                                                                  <w:divsChild>
                                                                    <w:div w:id="1431005761">
                                                                      <w:marLeft w:val="0"/>
                                                                      <w:marRight w:val="0"/>
                                                                      <w:marTop w:val="0"/>
                                                                      <w:marBottom w:val="0"/>
                                                                      <w:divBdr>
                                                                        <w:top w:val="single" w:sz="2" w:space="0" w:color="auto"/>
                                                                        <w:left w:val="single" w:sz="2" w:space="0" w:color="auto"/>
                                                                        <w:bottom w:val="single" w:sz="2" w:space="0" w:color="auto"/>
                                                                        <w:right w:val="single" w:sz="2" w:space="0" w:color="auto"/>
                                                                      </w:divBdr>
                                                                      <w:divsChild>
                                                                        <w:div w:id="4649335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1450802">
      <w:bodyDiv w:val="1"/>
      <w:marLeft w:val="0"/>
      <w:marRight w:val="0"/>
      <w:marTop w:val="0"/>
      <w:marBottom w:val="0"/>
      <w:divBdr>
        <w:top w:val="none" w:sz="0" w:space="0" w:color="auto"/>
        <w:left w:val="none" w:sz="0" w:space="0" w:color="auto"/>
        <w:bottom w:val="none" w:sz="0" w:space="0" w:color="auto"/>
        <w:right w:val="none" w:sz="0" w:space="0" w:color="auto"/>
      </w:divBdr>
    </w:div>
    <w:div w:id="1118378735">
      <w:bodyDiv w:val="1"/>
      <w:marLeft w:val="0"/>
      <w:marRight w:val="0"/>
      <w:marTop w:val="0"/>
      <w:marBottom w:val="0"/>
      <w:divBdr>
        <w:top w:val="none" w:sz="0" w:space="0" w:color="auto"/>
        <w:left w:val="none" w:sz="0" w:space="0" w:color="auto"/>
        <w:bottom w:val="none" w:sz="0" w:space="0" w:color="auto"/>
        <w:right w:val="none" w:sz="0" w:space="0" w:color="auto"/>
      </w:divBdr>
    </w:div>
    <w:div w:id="1312564561">
      <w:bodyDiv w:val="1"/>
      <w:marLeft w:val="0"/>
      <w:marRight w:val="0"/>
      <w:marTop w:val="0"/>
      <w:marBottom w:val="0"/>
      <w:divBdr>
        <w:top w:val="none" w:sz="0" w:space="0" w:color="auto"/>
        <w:left w:val="none" w:sz="0" w:space="0" w:color="auto"/>
        <w:bottom w:val="none" w:sz="0" w:space="0" w:color="auto"/>
        <w:right w:val="none" w:sz="0" w:space="0" w:color="auto"/>
      </w:divBdr>
    </w:div>
    <w:div w:id="1458529652">
      <w:bodyDiv w:val="1"/>
      <w:marLeft w:val="0"/>
      <w:marRight w:val="0"/>
      <w:marTop w:val="0"/>
      <w:marBottom w:val="0"/>
      <w:divBdr>
        <w:top w:val="none" w:sz="0" w:space="0" w:color="auto"/>
        <w:left w:val="none" w:sz="0" w:space="0" w:color="auto"/>
        <w:bottom w:val="none" w:sz="0" w:space="0" w:color="auto"/>
        <w:right w:val="none" w:sz="0" w:space="0" w:color="auto"/>
      </w:divBdr>
    </w:div>
    <w:div w:id="1565992557">
      <w:bodyDiv w:val="1"/>
      <w:marLeft w:val="0"/>
      <w:marRight w:val="0"/>
      <w:marTop w:val="0"/>
      <w:marBottom w:val="0"/>
      <w:divBdr>
        <w:top w:val="none" w:sz="0" w:space="0" w:color="auto"/>
        <w:left w:val="none" w:sz="0" w:space="0" w:color="auto"/>
        <w:bottom w:val="none" w:sz="0" w:space="0" w:color="auto"/>
        <w:right w:val="none" w:sz="0" w:space="0" w:color="auto"/>
      </w:divBdr>
    </w:div>
    <w:div w:id="1566337760">
      <w:bodyDiv w:val="1"/>
      <w:marLeft w:val="0"/>
      <w:marRight w:val="0"/>
      <w:marTop w:val="0"/>
      <w:marBottom w:val="0"/>
      <w:divBdr>
        <w:top w:val="none" w:sz="0" w:space="0" w:color="auto"/>
        <w:left w:val="none" w:sz="0" w:space="0" w:color="auto"/>
        <w:bottom w:val="none" w:sz="0" w:space="0" w:color="auto"/>
        <w:right w:val="none" w:sz="0" w:space="0" w:color="auto"/>
      </w:divBdr>
    </w:div>
    <w:div w:id="1570920502">
      <w:bodyDiv w:val="1"/>
      <w:marLeft w:val="0"/>
      <w:marRight w:val="0"/>
      <w:marTop w:val="0"/>
      <w:marBottom w:val="0"/>
      <w:divBdr>
        <w:top w:val="none" w:sz="0" w:space="0" w:color="auto"/>
        <w:left w:val="none" w:sz="0" w:space="0" w:color="auto"/>
        <w:bottom w:val="none" w:sz="0" w:space="0" w:color="auto"/>
        <w:right w:val="none" w:sz="0" w:space="0" w:color="auto"/>
      </w:divBdr>
    </w:div>
    <w:div w:id="1625697888">
      <w:bodyDiv w:val="1"/>
      <w:marLeft w:val="0"/>
      <w:marRight w:val="0"/>
      <w:marTop w:val="0"/>
      <w:marBottom w:val="0"/>
      <w:divBdr>
        <w:top w:val="none" w:sz="0" w:space="0" w:color="auto"/>
        <w:left w:val="none" w:sz="0" w:space="0" w:color="auto"/>
        <w:bottom w:val="none" w:sz="0" w:space="0" w:color="auto"/>
        <w:right w:val="none" w:sz="0" w:space="0" w:color="auto"/>
      </w:divBdr>
    </w:div>
    <w:div w:id="1670715876">
      <w:bodyDiv w:val="1"/>
      <w:marLeft w:val="0"/>
      <w:marRight w:val="0"/>
      <w:marTop w:val="0"/>
      <w:marBottom w:val="0"/>
      <w:divBdr>
        <w:top w:val="none" w:sz="0" w:space="0" w:color="auto"/>
        <w:left w:val="none" w:sz="0" w:space="0" w:color="auto"/>
        <w:bottom w:val="none" w:sz="0" w:space="0" w:color="auto"/>
        <w:right w:val="none" w:sz="0" w:space="0" w:color="auto"/>
      </w:divBdr>
    </w:div>
    <w:div w:id="202080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4141/cjss95-075" TargetMode="External"/><Relationship Id="rId18" Type="http://schemas.openxmlformats.org/officeDocument/2006/relationships/hyperlink" Target="https://doi.org/10.1007/s11104-012-1567-y" TargetMode="External"/><Relationship Id="rId26" Type="http://schemas.openxmlformats.org/officeDocument/2006/relationships/hyperlink" Target="https://doi.org/10.1016/j.heliyon.2024.e24102" TargetMode="External"/><Relationship Id="rId39"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www.iucngisd.org/gisd/species.php?sc=51" TargetMode="External"/><Relationship Id="rId34" Type="http://schemas.openxmlformats.org/officeDocument/2006/relationships/hyperlink" Target="https://doi.org/10.1371/journal.pone.0086560" TargetMode="External"/><Relationship Id="rId42"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hyperlink" Target="https://doi.org/10.1016/j.compag.2004.10.005" TargetMode="External"/><Relationship Id="rId17" Type="http://schemas.openxmlformats.org/officeDocument/2006/relationships/hyperlink" Target="https://doi.org/10.1016/j.biocon.2004.09.008" TargetMode="External"/><Relationship Id="rId25" Type="http://schemas.openxmlformats.org/officeDocument/2006/relationships/hyperlink" Target="https://doi.org/10.1016/j.soilbio.2010.04.004" TargetMode="External"/><Relationship Id="rId33" Type="http://schemas.openxmlformats.org/officeDocument/2006/relationships/hyperlink" Target="https://doi.org/10.1111/j.1469-8137.2012.04292.x"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177/0309133314522627" TargetMode="External"/><Relationship Id="rId20" Type="http://schemas.openxmlformats.org/officeDocument/2006/relationships/hyperlink" Target="https://doi.org/10.5281/zenodo.7430692" TargetMode="External"/><Relationship Id="rId29" Type="http://schemas.openxmlformats.org/officeDocument/2006/relationships/hyperlink" Target="https://doi.org/10.1007/s10530-015-1017-x" TargetMode="External"/><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soilbio.2013.05.018" TargetMode="External"/><Relationship Id="rId24" Type="http://schemas.openxmlformats.org/officeDocument/2006/relationships/hyperlink" Target="https://doi.org/10.1111/j.1472-4642.2011.00816.x" TargetMode="External"/><Relationship Id="rId32" Type="http://schemas.openxmlformats.org/officeDocument/2006/relationships/hyperlink" Target="https://doi.org/10.1071/FP09249" TargetMode="External"/><Relationship Id="rId37" Type="http://schemas.openxmlformats.org/officeDocument/2006/relationships/hyperlink" Target="https://doi.org/10.7525/j.issn.1673-5102.2011.02.019"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093/treephys/27.9.1319" TargetMode="External"/><Relationship Id="rId23" Type="http://schemas.openxmlformats.org/officeDocument/2006/relationships/hyperlink" Target="https://doi.org/10.1016/j.tree.2007.10.008" TargetMode="External"/><Relationship Id="rId28" Type="http://schemas.openxmlformats.org/officeDocument/2006/relationships/hyperlink" Target="https://doi.org/10.1111/aje.12305" TargetMode="External"/><Relationship Id="rId36" Type="http://schemas.openxmlformats.org/officeDocument/2006/relationships/hyperlink" Target="https://doi.org/10.1007/s12517-022-10397-8" TargetMode="External"/><Relationship Id="rId10" Type="http://schemas.openxmlformats.org/officeDocument/2006/relationships/chart" Target="charts/chart1.xml"/><Relationship Id="rId19" Type="http://schemas.openxmlformats.org/officeDocument/2006/relationships/hyperlink" Target="https://doi.org/10.2989/10220119.2021.1875048" TargetMode="External"/><Relationship Id="rId31" Type="http://schemas.openxmlformats.org/officeDocument/2006/relationships/hyperlink" Target="https://doi.org/10.1111/j.1365-2486.2011.02636.x"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https://openknowledge.fao.org/handle/20.500.14283/cb3354en.org/handle/20.500.14283/cb3354en" TargetMode="External"/><Relationship Id="rId22" Type="http://schemas.openxmlformats.org/officeDocument/2006/relationships/hyperlink" Target="https://doi.org/10.1007/s11104-010-0444-9" TargetMode="External"/><Relationship Id="rId27" Type="http://schemas.openxmlformats.org/officeDocument/2006/relationships/hyperlink" Target="https://doi.org/10.1016/S0003-2670(00)88444-5" TargetMode="External"/><Relationship Id="rId30" Type="http://schemas.openxmlformats.org/officeDocument/2006/relationships/hyperlink" Target="https://doi.org/10.5194/soil-3-61-2017" TargetMode="External"/><Relationship Id="rId35" Type="http://schemas.openxmlformats.org/officeDocument/2006/relationships/hyperlink" Target="https://doi.org/10.1111/j.1461-0248.2011.01628.x" TargetMode="External"/><Relationship Id="rId43" Type="http://schemas.openxmlformats.org/officeDocument/2006/relationships/footer" Target="footer3.xml"/><Relationship Id="rId46" Type="http://schemas.openxmlformats.org/officeDocument/2006/relationships/hyperlink" Target="https://www.fao.org/4/x5871e/x5871e00.htm" TargetMode="External"/><Relationship Id="rId47" Type="http://schemas.openxmlformats.org/officeDocument/2006/relationships/hyperlink" Target="https://doi.org/10.1016/j.soilbio.2013.05.003" TargetMode="External"/><Relationship Id="rId48" Type="http://schemas.openxmlformats.org/officeDocument/2006/relationships/hyperlink" Target="https://www.pearson.com/en-us/subject-catalog/p/nature-and-properties-of-soils-the/P200000000825" TargetMode="External"/><Relationship Id="rId49" Type="http://schemas.openxmlformats.org/officeDocument/2006/relationships/hyperlink" Target="https://journals.co.za/doi/10.10520/EJC96215" TargetMode="External"/><Relationship Id="rId50" Type="http://schemas.openxmlformats.org/officeDocument/2006/relationships/hyperlink" Target="https://www.fao.org/soils-portal/data-hub/soil-classification/numerical-systems/chemical-properties/en/" TargetMode="External"/><Relationship Id="rId51" Type="http://schemas.openxmlformats.org/officeDocument/2006/relationships/hyperlink" Target="https://openknowledge.fao.org/handle/20.500.14283/cb3354en" TargetMode="External"/><Relationship Id="rId52" Type="http://schemas.openxmlformats.org/officeDocument/2006/relationships/hyperlink" Target="https://www.pearson.com/en-us/subject-catalog/p/soil-fertility-and-fertilizers-an-introduction-to-nutrient-management/P200000001208" TargetMode="External"/><Relationship Id="rId53" Type="http://schemas.openxmlformats.org/officeDocument/2006/relationships/hyperlink" Target="https://www.wrc.org.za/wp-content/uploads/mdocs/1927-1-131.pdf" TargetMode="External"/><Relationship Id="rId54" Type="http://schemas.openxmlformats.org/officeDocument/2006/relationships/hyperlink" Target="https://doi.org/10.9734/ajee/2025/v24i9791" TargetMode="External"/><Relationship Id="rId55" Type="http://schemas.openxmlformats.org/officeDocument/2006/relationships/hyperlink" Target="https://doi.org/10.1016/j.apsoil.2010.01.001" TargetMode="External"/><Relationship Id="rId56" Type="http://schemas.openxmlformats.org/officeDocument/2006/relationships/hyperlink" Target="https://grassland.org.za/sites/default/files/2023-11/May%202009.pdf" TargetMode="External"/><Relationship Id="rId57" Type="http://schemas.openxmlformats.org/officeDocument/2006/relationships/hyperlink" Target="https://www.fao.org/4/ac846e/ac846e00.htm" TargetMode="External"/><Relationship Id="rId58" Type="http://schemas.openxmlformats.org/officeDocument/2006/relationships/hyperlink" Target="https://library.wur.nl/WebQuery/isric/2254483" TargetMode="External"/><Relationship Id="rId59" Type="http://schemas.openxmlformats.org/officeDocument/2006/relationships/hyperlink" Target="https://www.fao.org/4/x2002e/x2002e.pdf" TargetMode="External"/><Relationship Id="rId60" Type="http://schemas.openxmlformats.org/officeDocument/2006/relationships/hyperlink" Target="https://www.govinfo.gov/app/details/GOVPUB-A-PURL-gpo18257" TargetMode="External"/><Relationship Id="rId61" Type="http://schemas.openxmlformats.org/officeDocument/2006/relationships/hyperlink" Target="https://www.fao.org/4/a0443e/a0443e.pdf" TargetMode="External"/><Relationship Id="rId62" Type="http://schemas.openxmlformats.org/officeDocument/2006/relationships/hyperlink" Target="https://doi.org/10.1186/s13717-025-00599-9" TargetMode="External"/><Relationship Id="rId63" Type="http://schemas.openxmlformats.org/officeDocument/2006/relationships/hyperlink" Target="https://www.routledge.com/Soil-Sampling-Preparation-and-Analysis-Second-Edition/Tan/p/book/9780849334993" TargetMode="External"/><Relationship Id="rId64" Type="http://schemas.openxmlformats.org/officeDocument/2006/relationships/hyperlink" Target="https://www.nrcs.usda.gov/sites/default/files/2022-10/Soil%20Electrical%20Conductivity.pdf" TargetMode="External"/><Relationship Id="rId65" Type="http://schemas.openxmlformats.org/officeDocument/2006/relationships/hyperlink" Target="https://doi.org/10.1002/ldr.2172" TargetMode="External"/><Relationship Id="rId66" Type="http://schemas.openxmlformats.org/officeDocument/2006/relationships/hyperlink" Target="https://doi.org/10.56557/pcbmb/2026/v27i9-1011189" TargetMode="External"/><Relationship Id="rId67" Type="http://schemas.openxmlformats.org/officeDocument/2006/relationships/hyperlink" Target="https://doi.org/10.1016/j.jenvman.2024.123802"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'Exchangeable Ca'!$A$9</c:f>
              <c:strCache>
                <c:ptCount val="1"/>
                <c:pt idx="0">
                  <c:v>Uprooting</c:v>
                </c:pt>
              </c:strCache>
            </c:strRef>
          </c:tx>
          <c:spPr>
            <a:solidFill>
              <a:schemeClr val="accent1"/>
            </a:solidFill>
            <a:ln w="19050">
              <a:solidFill>
                <a:sysClr val="window" lastClr="FFFFFF">
                  <a:lumMod val="50000"/>
                </a:sysClr>
              </a:solidFill>
            </a:ln>
            <a:effectLst/>
          </c:spPr>
          <c:invertIfNegative val="0"/>
          <c:dLbls>
            <c:dLbl>
              <c:idx val="0"/>
              <c:layout>
                <c:manualLayout>
                  <c:x val="0"/>
                  <c:y val="1.700182143180378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E5D-4355-B3A4-B3F882AA71A4}"/>
                </c:ext>
              </c:extLst>
            </c:dLbl>
            <c:dLbl>
              <c:idx val="1"/>
              <c:layout>
                <c:manualLayout>
                  <c:x val="0"/>
                  <c:y val="1.388888888888888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E5D-4355-B3A4-B3F882AA71A4}"/>
                </c:ext>
              </c:extLst>
            </c:dLbl>
            <c:dLbl>
              <c:idx val="2"/>
              <c:layout>
                <c:manualLayout>
                  <c:x val="-6.8922305764411028E-4"/>
                  <c:y val="1.596411439949316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E5D-4355-B3A4-B3F882AA71A4}"/>
                </c:ext>
              </c:extLst>
            </c:dLbl>
            <c:dLbl>
              <c:idx val="3"/>
              <c:layout>
                <c:manualLayout>
                  <c:x val="0"/>
                  <c:y val="9.817913385826770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E5D-4355-B3A4-B3F882AA71A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'Exchangeable Ca'!$B$7:$E$8</c:f>
              <c:multiLvlStrCache>
                <c:ptCount val="4"/>
                <c:lvl>
                  <c:pt idx="0">
                    <c:v>Before </c:v>
                  </c:pt>
                  <c:pt idx="1">
                    <c:v>After</c:v>
                  </c:pt>
                  <c:pt idx="2">
                    <c:v>Before </c:v>
                  </c:pt>
                  <c:pt idx="3">
                    <c:v>After</c:v>
                  </c:pt>
                </c:lvl>
                <c:lvl>
                  <c:pt idx="0">
                    <c:v>Exchangeable Mg</c:v>
                  </c:pt>
                  <c:pt idx="2">
                    <c:v>Exchangeable Ca</c:v>
                  </c:pt>
                </c:lvl>
              </c:multiLvlStrCache>
            </c:multiLvlStrRef>
          </c:cat>
          <c:val>
            <c:numRef>
              <c:f>'Exchangeable Ca'!$B$9:$E$9</c:f>
              <c:numCache>
                <c:formatCode>General</c:formatCode>
                <c:ptCount val="4"/>
                <c:pt idx="0">
                  <c:v>2.34</c:v>
                </c:pt>
                <c:pt idx="1">
                  <c:v>1.05</c:v>
                </c:pt>
                <c:pt idx="2">
                  <c:v>0.28999999999999998</c:v>
                </c:pt>
                <c:pt idx="3">
                  <c:v>0.73</c:v>
                </c:pt>
              </c:numCache>
            </c:numRef>
          </c:val>
          <c:extLst>
            <c:ext xmlns:c16="http://schemas.microsoft.com/office/drawing/2014/chart" uri="{C3380CC4-5D6E-409C-BE32-E72D297353CC}">
              <c16:uniqueId val="{00000004-BE5D-4355-B3A4-B3F882AA71A4}"/>
            </c:ext>
          </c:extLst>
        </c:ser>
        <c:ser>
          <c:idx val="1"/>
          <c:order val="1"/>
          <c:tx>
            <c:strRef>
              <c:f>'Exchangeable Ca'!$A$10</c:f>
              <c:strCache>
                <c:ptCount val="1"/>
                <c:pt idx="0">
                  <c:v>Cutting/Impala</c:v>
                </c:pt>
              </c:strCache>
            </c:strRef>
          </c:tx>
          <c:spPr>
            <a:solidFill>
              <a:schemeClr val="accent2"/>
            </a:solidFill>
            <a:ln w="19050">
              <a:solidFill>
                <a:sysClr val="window" lastClr="FFFFFF">
                  <a:lumMod val="50000"/>
                </a:sysClr>
              </a:solidFill>
            </a:ln>
            <a:effectLst/>
          </c:spPr>
          <c:invertIfNegative val="0"/>
          <c:dLbls>
            <c:dLbl>
              <c:idx val="0"/>
              <c:layout>
                <c:manualLayout>
                  <c:x val="-2.0885547201336674E-3"/>
                  <c:y val="1.955606842248166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E5D-4355-B3A4-B3F882AA71A4}"/>
                </c:ext>
              </c:extLst>
            </c:dLbl>
            <c:dLbl>
              <c:idx val="1"/>
              <c:layout>
                <c:manualLayout>
                  <c:x val="0"/>
                  <c:y val="1.237216037650452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E5D-4355-B3A4-B3F882AA71A4}"/>
                </c:ext>
              </c:extLst>
            </c:dLbl>
            <c:dLbl>
              <c:idx val="2"/>
              <c:layout>
                <c:manualLayout>
                  <c:x val="0"/>
                  <c:y val="1.436781609195402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E5D-4355-B3A4-B3F882AA71A4}"/>
                </c:ext>
              </c:extLst>
            </c:dLbl>
            <c:dLbl>
              <c:idx val="3"/>
              <c:layout>
                <c:manualLayout>
                  <c:x val="0"/>
                  <c:y val="8.780206353516156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E5D-4355-B3A4-B3F882AA71A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'Exchangeable Ca'!$B$7:$E$8</c:f>
              <c:multiLvlStrCache>
                <c:ptCount val="4"/>
                <c:lvl>
                  <c:pt idx="0">
                    <c:v>Before </c:v>
                  </c:pt>
                  <c:pt idx="1">
                    <c:v>After</c:v>
                  </c:pt>
                  <c:pt idx="2">
                    <c:v>Before </c:v>
                  </c:pt>
                  <c:pt idx="3">
                    <c:v>After</c:v>
                  </c:pt>
                </c:lvl>
                <c:lvl>
                  <c:pt idx="0">
                    <c:v>Exchangeable Mg</c:v>
                  </c:pt>
                  <c:pt idx="2">
                    <c:v>Exchangeable Ca</c:v>
                  </c:pt>
                </c:lvl>
              </c:multiLvlStrCache>
            </c:multiLvlStrRef>
          </c:cat>
          <c:val>
            <c:numRef>
              <c:f>'Exchangeable Ca'!$B$10:$E$10</c:f>
              <c:numCache>
                <c:formatCode>General</c:formatCode>
                <c:ptCount val="4"/>
                <c:pt idx="0">
                  <c:v>3.21</c:v>
                </c:pt>
                <c:pt idx="1">
                  <c:v>0.56000000000000005</c:v>
                </c:pt>
                <c:pt idx="2">
                  <c:v>0.28000000000000003</c:v>
                </c:pt>
                <c:pt idx="3">
                  <c:v>1.53</c:v>
                </c:pt>
              </c:numCache>
            </c:numRef>
          </c:val>
          <c:extLst>
            <c:ext xmlns:c16="http://schemas.microsoft.com/office/drawing/2014/chart" uri="{C3380CC4-5D6E-409C-BE32-E72D297353CC}">
              <c16:uniqueId val="{00000009-BE5D-4355-B3A4-B3F882AA71A4}"/>
            </c:ext>
          </c:extLst>
        </c:ser>
        <c:ser>
          <c:idx val="2"/>
          <c:order val="2"/>
          <c:tx>
            <c:strRef>
              <c:f>'Exchangeable Ca'!$A$11</c:f>
              <c:strCache>
                <c:ptCount val="1"/>
                <c:pt idx="0">
                  <c:v>Control</c:v>
                </c:pt>
              </c:strCache>
            </c:strRef>
          </c:tx>
          <c:spPr>
            <a:solidFill>
              <a:schemeClr val="accent3"/>
            </a:solidFill>
            <a:ln w="19050">
              <a:solidFill>
                <a:sysClr val="window" lastClr="FFFFFF">
                  <a:lumMod val="50000"/>
                </a:sysClr>
              </a:solidFill>
            </a:ln>
            <a:effectLst/>
          </c:spPr>
          <c:invertIfNegative val="0"/>
          <c:dLbls>
            <c:dLbl>
              <c:idx val="0"/>
              <c:layout>
                <c:manualLayout>
                  <c:x val="0"/>
                  <c:y val="1.596411439949316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E5D-4355-B3A4-B3F882AA71A4}"/>
                </c:ext>
              </c:extLst>
            </c:dLbl>
            <c:dLbl>
              <c:idx val="1"/>
              <c:layout>
                <c:manualLayout>
                  <c:x val="0"/>
                  <c:y val="1.237216037650466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E5D-4355-B3A4-B3F882AA71A4}"/>
                </c:ext>
              </c:extLst>
            </c:dLbl>
            <c:dLbl>
              <c:idx val="2"/>
              <c:layout>
                <c:manualLayout>
                  <c:x val="0"/>
                  <c:y val="1.8518518518518517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6.1347112860892387E-2"/>
                      <c:h val="5.5486293379994167E-2"/>
                    </c:manualLayout>
                  </c15:layout>
                </c:ext>
                <c:ext xmlns:c16="http://schemas.microsoft.com/office/drawing/2014/chart" uri="{C3380CC4-5D6E-409C-BE32-E72D297353CC}">
                  <c16:uniqueId val="{0000000C-BE5D-4355-B3A4-B3F882AA71A4}"/>
                </c:ext>
              </c:extLst>
            </c:dLbl>
            <c:dLbl>
              <c:idx val="3"/>
              <c:layout>
                <c:manualLayout>
                  <c:x val="0"/>
                  <c:y val="5.188252330527517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E5D-4355-B3A4-B3F882AA71A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'Exchangeable Ca'!$B$7:$E$8</c:f>
              <c:multiLvlStrCache>
                <c:ptCount val="4"/>
                <c:lvl>
                  <c:pt idx="0">
                    <c:v>Before </c:v>
                  </c:pt>
                  <c:pt idx="1">
                    <c:v>After</c:v>
                  </c:pt>
                  <c:pt idx="2">
                    <c:v>Before </c:v>
                  </c:pt>
                  <c:pt idx="3">
                    <c:v>After</c:v>
                  </c:pt>
                </c:lvl>
                <c:lvl>
                  <c:pt idx="0">
                    <c:v>Exchangeable Mg</c:v>
                  </c:pt>
                  <c:pt idx="2">
                    <c:v>Exchangeable Ca</c:v>
                  </c:pt>
                </c:lvl>
              </c:multiLvlStrCache>
            </c:multiLvlStrRef>
          </c:cat>
          <c:val>
            <c:numRef>
              <c:f>'Exchangeable Ca'!$B$11:$E$11</c:f>
              <c:numCache>
                <c:formatCode>General</c:formatCode>
                <c:ptCount val="4"/>
                <c:pt idx="0">
                  <c:v>2.04</c:v>
                </c:pt>
                <c:pt idx="1">
                  <c:v>1.49</c:v>
                </c:pt>
                <c:pt idx="2">
                  <c:v>0.28000000000000003</c:v>
                </c:pt>
                <c:pt idx="3">
                  <c:v>0.8</c:v>
                </c:pt>
              </c:numCache>
            </c:numRef>
          </c:val>
          <c:extLst>
            <c:ext xmlns:c16="http://schemas.microsoft.com/office/drawing/2014/chart" uri="{C3380CC4-5D6E-409C-BE32-E72D297353CC}">
              <c16:uniqueId val="{0000000E-BE5D-4355-B3A4-B3F882AA71A4}"/>
            </c:ext>
          </c:extLst>
        </c:ser>
        <c:dLbls>
          <c:dLblPos val="outEnd"/>
          <c:showLegendKey val="0"/>
          <c:showVal val="1"/>
          <c:showCatName val="0"/>
          <c:showSerName val="0"/>
          <c:showPercent val="0"/>
          <c:showBubbleSize val="0"/>
        </c:dLbls>
        <c:gapWidth val="219"/>
        <c:overlap val="-27"/>
        <c:axId val="398843296"/>
        <c:axId val="398849960"/>
      </c:barChart>
      <c:catAx>
        <c:axId val="398843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398849960"/>
        <c:crosses val="autoZero"/>
        <c:auto val="1"/>
        <c:lblAlgn val="ctr"/>
        <c:lblOffset val="100"/>
        <c:noMultiLvlLbl val="0"/>
      </c:catAx>
      <c:valAx>
        <c:axId val="398849960"/>
        <c:scaling>
          <c:orientation val="minMax"/>
        </c:scaling>
        <c:delete val="0"/>
        <c:axPos val="l"/>
        <c:title>
          <c:tx>
            <c:rich>
              <a:bodyPr rot="-54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r>
                  <a:rPr lang="en-US" sz="1050" b="1"/>
                  <a:t>Concentration of soil Mg/</a:t>
                </a:r>
                <a:r>
                  <a:rPr lang="en-US" sz="1050" b="1" baseline="0"/>
                  <a:t>Ca (%)</a:t>
                </a:r>
                <a:endParaRPr lang="en-US" sz="1050" b="1"/>
              </a:p>
            </c:rich>
          </c:tx>
          <c:layout>
            <c:manualLayout>
              <c:xMode val="edge"/>
              <c:yMode val="edge"/>
              <c:x val="1.8065998329156223E-2"/>
              <c:y val="0.12748863019277762"/>
            </c:manualLayout>
          </c:layout>
          <c:overlay val="0"/>
          <c:spPr>
            <a:noFill/>
            <a:ln>
              <a:noFill/>
            </a:ln>
            <a:effectLst/>
          </c:spPr>
          <c:txPr>
            <a:bodyPr rot="-54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398843296"/>
        <c:crosses val="autoZero"/>
        <c:crossBetween val="between"/>
      </c:valAx>
      <c:spPr>
        <a:noFill/>
        <a:ln>
          <a:noFill/>
        </a:ln>
        <a:effectLst/>
      </c:spPr>
    </c:plotArea>
    <c:legend>
      <c:legendPos val="b"/>
      <c:layout>
        <c:manualLayout>
          <c:xMode val="edge"/>
          <c:yMode val="edge"/>
          <c:x val="0.27777777777777779"/>
          <c:y val="0.91876131324101729"/>
          <c:w val="0.50709973753280835"/>
          <c:h val="7.8125546806649168E-2"/>
        </c:manualLayout>
      </c:layout>
      <c:overlay val="0"/>
      <c:spPr>
        <a:noFill/>
        <a:ln>
          <a:noFill/>
        </a:ln>
        <a:effectLst/>
      </c:spPr>
      <c:txPr>
        <a:bodyPr rot="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5875" cap="flat" cmpd="sng" algn="ctr">
      <a:solidFill>
        <a:sysClr val="window" lastClr="FFFFFF">
          <a:lumMod val="50000"/>
        </a:sys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1430</TotalTime>
  <Pages>30</Pages>
  <Words>9863</Words>
  <Characters>56222</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SDI 1065</cp:lastModifiedBy>
  <cp:revision>191</cp:revision>
  <cp:lastPrinted>2026-10-14T12:07:00Z</cp:lastPrinted>
  <dcterms:created xsi:type="dcterms:W3CDTF">2026-09-16T10:54:00Z</dcterms:created>
  <dcterms:modified xsi:type="dcterms:W3CDTF">2026-10-27T12:48:00Z</dcterms:modified>
</cp:coreProperties>
</file>