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1E34C" w14:textId="77777777" w:rsidR="00937A19" w:rsidRPr="00FD1A23" w:rsidRDefault="00000000" w:rsidP="00FD1A23">
      <w:r>
        <w:rPr>
          <w:noProof/>
        </w:rPr>
        <w:pict w14:anchorId="7E577C84">
          <v:shapetype id="_x0000_t202" coordsize="21600,21600" o:spt="202" path="m,l,21600r21600,l21600,xe">
            <v:stroke joinstyle="miter"/>
            <v:path gradientshapeok="t" o:connecttype="rect"/>
          </v:shapetype>
          <v:shape id="DeepLBoxSPIDType" o:spid="_x0000_s2052" type="#_x0000_t202" style="position:absolute;left:0;text-align:left;margin-left:0;margin-top:0;width:50pt;height:50pt;z-index:251658240;visibility:hidden;mso-wrap-edited:f">
            <o:lock v:ext="edit" selection="t"/>
          </v:shape>
        </w:pict>
      </w:r>
      <w:bookmarkStart w:id="0" w:name="_Toc90505831"/>
      <w:r w:rsidR="00937A19" w:rsidRPr="00937A19">
        <w:rPr>
          <w:rFonts w:eastAsia="SimSun"/>
          <w:b/>
          <w:bCs/>
          <w:i/>
          <w:iCs/>
          <w:szCs w:val="24"/>
          <w:u w:val="single"/>
          <w:lang w:val="en-US" w:eastAsia="zh-CN"/>
        </w:rPr>
        <w:t>Original Research Article</w:t>
      </w:r>
    </w:p>
    <w:p w14:paraId="3D59D92A" w14:textId="77777777" w:rsidR="00937A19" w:rsidRDefault="00937A19" w:rsidP="00F11C90">
      <w:pPr>
        <w:suppressAutoHyphens w:val="0"/>
        <w:autoSpaceDN/>
        <w:spacing w:after="5"/>
        <w:ind w:right="63" w:hanging="10"/>
        <w:textAlignment w:val="auto"/>
        <w:rPr>
          <w:rFonts w:eastAsia="SimSun"/>
          <w:b/>
          <w:bCs/>
          <w:szCs w:val="24"/>
          <w:lang w:eastAsia="zh-CN"/>
        </w:rPr>
      </w:pPr>
    </w:p>
    <w:p w14:paraId="3AECF215" w14:textId="77777777" w:rsidR="00987206" w:rsidRDefault="004138CE" w:rsidP="00F11C90">
      <w:pPr>
        <w:suppressAutoHyphens w:val="0"/>
        <w:autoSpaceDN/>
        <w:spacing w:after="5"/>
        <w:ind w:right="63" w:hanging="10"/>
        <w:textAlignment w:val="auto"/>
        <w:rPr>
          <w:b/>
          <w:szCs w:val="24"/>
          <w:lang w:eastAsia="fr-FR"/>
        </w:rPr>
      </w:pPr>
      <w:r>
        <w:rPr>
          <w:rFonts w:eastAsia="SimSun"/>
          <w:b/>
          <w:bCs/>
          <w:szCs w:val="24"/>
          <w:lang w:eastAsia="zh-CN"/>
        </w:rPr>
        <w:t xml:space="preserve">Effect of Rationing on </w:t>
      </w:r>
      <w:r>
        <w:rPr>
          <w:rFonts w:eastAsia="SimSun"/>
          <w:b/>
          <w:bCs/>
          <w:i/>
          <w:iCs/>
          <w:szCs w:val="24"/>
          <w:lang w:eastAsia="zh-CN"/>
        </w:rPr>
        <w:t xml:space="preserve">Oreochromis niloticus </w:t>
      </w:r>
      <w:r>
        <w:rPr>
          <w:rFonts w:eastAsia="SimSun"/>
          <w:b/>
          <w:bCs/>
          <w:szCs w:val="24"/>
          <w:lang w:eastAsia="zh-CN"/>
        </w:rPr>
        <w:t>(Linnaeus, 1758) Tilapia Larvae Reared in Happas (Dabou, Ivory Coast)</w:t>
      </w:r>
    </w:p>
    <w:p w14:paraId="2F0FD098" w14:textId="77777777" w:rsidR="000F7613" w:rsidRDefault="000F7613" w:rsidP="00F11C90">
      <w:pPr>
        <w:rPr>
          <w:color w:val="auto"/>
          <w:szCs w:val="24"/>
          <w:lang w:val="en-US" w:eastAsia="zh-CN"/>
        </w:rPr>
      </w:pPr>
    </w:p>
    <w:p w14:paraId="0CC21D35" w14:textId="77777777" w:rsidR="000F7613" w:rsidRDefault="000F7613" w:rsidP="00F11C90">
      <w:pPr>
        <w:rPr>
          <w:color w:val="auto"/>
          <w:szCs w:val="24"/>
          <w:lang w:val="en-US" w:eastAsia="zh-CN"/>
        </w:rPr>
      </w:pPr>
    </w:p>
    <w:p w14:paraId="0DE72065" w14:textId="77777777" w:rsidR="000F7613" w:rsidRDefault="000F7613" w:rsidP="00F11C90">
      <w:pPr>
        <w:rPr>
          <w:color w:val="auto"/>
          <w:szCs w:val="24"/>
          <w:lang w:val="en-US" w:eastAsia="zh-CN"/>
        </w:rPr>
      </w:pPr>
    </w:p>
    <w:p w14:paraId="76D2879F" w14:textId="77777777" w:rsidR="000F7613" w:rsidRDefault="000F7613" w:rsidP="00F11C90">
      <w:pPr>
        <w:rPr>
          <w:color w:val="auto"/>
          <w:szCs w:val="24"/>
          <w:lang w:val="en-US" w:eastAsia="zh-CN"/>
        </w:rPr>
      </w:pPr>
    </w:p>
    <w:p w14:paraId="05A9E32A" w14:textId="77777777" w:rsidR="00987206" w:rsidRDefault="00314CE9" w:rsidP="00F11C90">
      <w:pPr>
        <w:rPr>
          <w:b/>
          <w:szCs w:val="24"/>
        </w:rPr>
      </w:pPr>
      <w:r>
        <w:rPr>
          <w:b/>
          <w:szCs w:val="24"/>
        </w:rPr>
        <w:t>Abstract</w:t>
      </w:r>
    </w:p>
    <w:p w14:paraId="617C743C" w14:textId="77777777" w:rsidR="005B622B" w:rsidRPr="005B622B" w:rsidRDefault="005B622B" w:rsidP="005B622B">
      <w:pPr>
        <w:suppressAutoHyphens w:val="0"/>
        <w:autoSpaceDN/>
        <w:spacing w:before="100" w:beforeAutospacing="1" w:after="100" w:afterAutospacing="1" w:line="240" w:lineRule="auto"/>
        <w:jc w:val="left"/>
        <w:textAlignment w:val="auto"/>
        <w:rPr>
          <w:color w:val="auto"/>
          <w:szCs w:val="24"/>
          <w:lang w:val="en-US"/>
        </w:rPr>
      </w:pPr>
      <w:r w:rsidRPr="005B622B">
        <w:rPr>
          <w:color w:val="auto"/>
          <w:szCs w:val="24"/>
          <w:lang w:val="en-US"/>
        </w:rPr>
        <w:t xml:space="preserve">Effective feeding-rate management remains an important concern in tilapia larval culture in Côte d’Ivoire. This study examined the effects of three daily biomass-based feeding rates on the growth and survival of </w:t>
      </w:r>
      <w:r w:rsidRPr="005B622B">
        <w:rPr>
          <w:i/>
          <w:iCs/>
          <w:color w:val="auto"/>
          <w:szCs w:val="24"/>
          <w:lang w:val="en-US"/>
        </w:rPr>
        <w:t>Oreochromis niloticus</w:t>
      </w:r>
      <w:r w:rsidRPr="005B622B">
        <w:rPr>
          <w:color w:val="auto"/>
          <w:szCs w:val="24"/>
          <w:lang w:val="en-US"/>
        </w:rPr>
        <w:t xml:space="preserve"> larvae reared in happas at the Layo Experimental Aquaculture Station. The 35-day trial was conducted from 10 March to 14 April 2025. A total of 225 larvae, with an initial mean weight of 30.67 ± 7.40 mg and mean length of 12.63 ± 0.57 mm, were distributed among nine 50-L happas, with 25 larvae per happa. Feeding rates of 10%, 20% and 30% of biomass were each tested in triplicate. The larvae received a commercial feed containing 47% protein, distributed three times daily. Ten larvae from each happa were randomly selected, weighed and measured weekly. Survival was recorded, and water physicochemical parameters were monitored. At the end of the trial, the 20% group achieved the highest mean final weight (1,745.33 ± 297.71 mg) and length (45.00 ± 2.50 mm), with 100% survival. Mean final weights were 1,574.15 ± 381.57 mg and 1,712.00 ± 250.70 mg in the 10% and 30% groups, respectively. Differences in survival among treatments were not statistically significant. Under the conditions investigated, feeding at 20% of larval biomass was associated with the most favourable combined growth and survival outcomes. Further assessment during the grow-out phase, including economic evaluation, is warranted.</w:t>
      </w:r>
    </w:p>
    <w:p w14:paraId="7E84018D" w14:textId="77777777" w:rsidR="00987206" w:rsidRPr="001E1BFF" w:rsidRDefault="004138CE" w:rsidP="005B622B">
      <w:pPr>
        <w:pStyle w:val="NormalWeb"/>
        <w:rPr>
          <w:b/>
          <w:bCs/>
          <w:lang w:val="en-US"/>
        </w:rPr>
      </w:pPr>
      <w:proofErr w:type="gramStart"/>
      <w:r>
        <w:rPr>
          <w:b/>
          <w:bCs/>
          <w:lang w:eastAsia="fr-FR"/>
        </w:rPr>
        <w:t>Keywords</w:t>
      </w:r>
      <w:r>
        <w:rPr>
          <w:lang w:eastAsia="fr-FR"/>
        </w:rPr>
        <w:t>:</w:t>
      </w:r>
      <w:proofErr w:type="gramEnd"/>
      <w:r>
        <w:rPr>
          <w:lang w:eastAsia="fr-FR"/>
        </w:rPr>
        <w:t xml:space="preserve"> </w:t>
      </w:r>
      <w:r w:rsidR="005B622B" w:rsidRPr="005B622B">
        <w:rPr>
          <w:color w:val="auto"/>
          <w:lang w:val="en-US"/>
        </w:rPr>
        <w:t xml:space="preserve">Feeding rate, </w:t>
      </w:r>
      <w:r w:rsidR="005B622B" w:rsidRPr="005B622B">
        <w:rPr>
          <w:i/>
          <w:iCs/>
          <w:color w:val="auto"/>
          <w:lang w:val="en-US"/>
        </w:rPr>
        <w:t>Oreochromis niloticus</w:t>
      </w:r>
      <w:r w:rsidR="005B622B" w:rsidRPr="005B622B">
        <w:rPr>
          <w:color w:val="auto"/>
          <w:lang w:val="en-US"/>
        </w:rPr>
        <w:t>, Nile tilapia, larval rearing, biomass-based rationing, happa culture, growth performance</w:t>
      </w:r>
    </w:p>
    <w:bookmarkEnd w:id="0"/>
    <w:p w14:paraId="293C83AC" w14:textId="77777777" w:rsidR="00987206" w:rsidRPr="00314CE9" w:rsidRDefault="00314CE9" w:rsidP="00314CE9">
      <w:pPr>
        <w:suppressAutoHyphens w:val="0"/>
        <w:autoSpaceDN/>
        <w:ind w:right="62"/>
        <w:textAlignment w:val="auto"/>
        <w:rPr>
          <w:b/>
          <w:bCs/>
          <w:szCs w:val="24"/>
        </w:rPr>
      </w:pPr>
      <w:r>
        <w:rPr>
          <w:b/>
          <w:bCs/>
          <w:szCs w:val="24"/>
        </w:rPr>
        <w:t xml:space="preserve">1. </w:t>
      </w:r>
      <w:r w:rsidR="00F11C90" w:rsidRPr="00314CE9">
        <w:rPr>
          <w:b/>
          <w:bCs/>
          <w:szCs w:val="24"/>
        </w:rPr>
        <w:t>Introduction</w:t>
      </w:r>
    </w:p>
    <w:p w14:paraId="1194244B" w14:textId="77777777" w:rsidR="00987206" w:rsidRPr="001E1BFF" w:rsidRDefault="00C03E42" w:rsidP="00AA1A10">
      <w:pPr>
        <w:suppressAutoHyphens w:val="0"/>
        <w:autoSpaceDN/>
        <w:spacing w:before="240"/>
        <w:ind w:right="62"/>
        <w:textAlignment w:val="auto"/>
        <w:rPr>
          <w:rFonts w:eastAsia="SimSun"/>
          <w:color w:val="auto"/>
          <w:szCs w:val="24"/>
          <w:lang w:eastAsia="zh-CN"/>
        </w:rPr>
      </w:pPr>
      <w:r w:rsidRPr="001E1BFF">
        <w:rPr>
          <w:rFonts w:eastAsia="SimSun"/>
          <w:color w:val="auto"/>
          <w:szCs w:val="24"/>
          <w:lang w:eastAsia="zh-CN" w:bidi="ar"/>
        </w:rPr>
        <w:t xml:space="preserve">In Côte d’Ivoire, </w:t>
      </w:r>
      <w:r w:rsidRPr="001E1BFF">
        <w:rPr>
          <w:rFonts w:eastAsia="SimSun"/>
          <w:color w:val="auto"/>
          <w:szCs w:val="24"/>
          <w:lang w:eastAsia="zh-CN"/>
        </w:rPr>
        <w:t>the demand for fishery resources is estimated at 650,000 metric tons per year (Wognin et al., 2023), while national production barely reaches 100,000 metric tons, of which 94,500 metric tons come from fisheries and only 4,500 metric tons from aquaculture (Tré Bi et al., 2023).</w:t>
      </w:r>
    </w:p>
    <w:p w14:paraId="7B411DAB" w14:textId="62711562" w:rsidR="0037342D" w:rsidRPr="005B622B" w:rsidRDefault="004138CE">
      <w:pPr>
        <w:suppressAutoHyphens w:val="0"/>
        <w:autoSpaceDN/>
        <w:ind w:right="62"/>
        <w:textAlignment w:val="auto"/>
        <w:rPr>
          <w:rFonts w:eastAsia="SimSun"/>
          <w:szCs w:val="24"/>
          <w:lang w:eastAsia="zh-CN"/>
        </w:rPr>
      </w:pPr>
      <w:r w:rsidRPr="001E1BFF">
        <w:rPr>
          <w:rFonts w:eastAsia="SimSun"/>
          <w:szCs w:val="24"/>
          <w:lang w:eastAsia="zh-CN"/>
        </w:rPr>
        <w:t xml:space="preserve">To increase domestic production, the </w:t>
      </w:r>
      <w:r>
        <w:rPr>
          <w:rFonts w:eastAsia="SimSun"/>
          <w:szCs w:val="24"/>
          <w:lang w:eastAsia="zh-CN"/>
        </w:rPr>
        <w:t xml:space="preserve">Ivorian </w:t>
      </w:r>
      <w:r w:rsidRPr="001E1BFF">
        <w:rPr>
          <w:rFonts w:eastAsia="SimSun"/>
          <w:szCs w:val="24"/>
          <w:lang w:eastAsia="zh-CN"/>
        </w:rPr>
        <w:t xml:space="preserve">government is seeking </w:t>
      </w:r>
      <w:r>
        <w:rPr>
          <w:rFonts w:eastAsia="SimSun"/>
          <w:szCs w:val="24"/>
          <w:lang w:eastAsia="zh-CN"/>
        </w:rPr>
        <w:t xml:space="preserve">to encourage the </w:t>
      </w:r>
      <w:r w:rsidRPr="001E1BFF">
        <w:rPr>
          <w:rFonts w:eastAsia="SimSun"/>
          <w:szCs w:val="24"/>
          <w:lang w:eastAsia="zh-CN"/>
        </w:rPr>
        <w:t>development of aquaculture, particularly fish farming, which offers a sustainable alternative to meet the ever-growing domestic demand for fish</w:t>
      </w:r>
      <w:r>
        <w:rPr>
          <w:rFonts w:eastAsia="SimSun"/>
          <w:szCs w:val="24"/>
          <w:lang w:eastAsia="zh-CN"/>
        </w:rPr>
        <w:t xml:space="preserve">. </w:t>
      </w:r>
      <w:r w:rsidRPr="001E1BFF">
        <w:rPr>
          <w:rFonts w:eastAsia="SimSun"/>
          <w:szCs w:val="24"/>
          <w:lang w:eastAsia="zh-CN"/>
        </w:rPr>
        <w:t xml:space="preserve">Accordingly, the government has implemented several initiatives, including the National Policy for the Development of Livestock, </w:t>
      </w:r>
      <w:r w:rsidRPr="001E1BFF">
        <w:rPr>
          <w:rFonts w:eastAsia="SimSun"/>
          <w:szCs w:val="24"/>
          <w:lang w:eastAsia="zh-CN"/>
        </w:rPr>
        <w:lastRenderedPageBreak/>
        <w:t xml:space="preserve">Fisheries, and </w:t>
      </w:r>
      <w:r w:rsidRPr="001E1BFF">
        <w:rPr>
          <w:rFonts w:eastAsia="SimSun"/>
          <w:color w:val="auto"/>
          <w:szCs w:val="24"/>
          <w:lang w:eastAsia="zh-CN"/>
        </w:rPr>
        <w:t xml:space="preserve">Aquaculture (MIRAH, 2022). This policy aims to remove existing barriers and ensure national self-sufficiency in fish. Research institutions such as the Center for Oceanographic Research (CRO), the National Center for Agronomic Research (CNRA), and universities have been established and tasked with identifying and studying the most promising local aquaculture species. </w:t>
      </w:r>
      <w:r w:rsidRPr="00543D1A">
        <w:rPr>
          <w:rFonts w:eastAsia="SimSun"/>
          <w:color w:val="auto"/>
          <w:szCs w:val="24"/>
          <w:lang w:eastAsia="zh-CN"/>
        </w:rPr>
        <w:t xml:space="preserve">Among these species, </w:t>
      </w:r>
      <w:r w:rsidRPr="001E1BFF">
        <w:rPr>
          <w:rFonts w:eastAsia="SimSun"/>
          <w:color w:val="auto"/>
          <w:szCs w:val="24"/>
          <w:lang w:eastAsia="zh-CN"/>
        </w:rPr>
        <w:t xml:space="preserve">the tilapia </w:t>
      </w:r>
      <w:r w:rsidRPr="001E1BFF">
        <w:rPr>
          <w:rFonts w:eastAsia="SimSun"/>
          <w:i/>
          <w:iCs/>
          <w:color w:val="auto"/>
          <w:szCs w:val="24"/>
          <w:lang w:eastAsia="zh-CN"/>
        </w:rPr>
        <w:t xml:space="preserve">Oreochromis niloticus </w:t>
      </w:r>
      <w:r w:rsidRPr="001E1BFF">
        <w:rPr>
          <w:rFonts w:eastAsia="SimSun"/>
          <w:color w:val="auto"/>
          <w:szCs w:val="24"/>
          <w:lang w:eastAsia="zh-CN"/>
        </w:rPr>
        <w:t xml:space="preserve">stands </w:t>
      </w:r>
      <w:r w:rsidRPr="00543D1A">
        <w:rPr>
          <w:rFonts w:eastAsia="SimSun"/>
          <w:color w:val="auto"/>
          <w:szCs w:val="24"/>
          <w:lang w:eastAsia="zh-CN"/>
        </w:rPr>
        <w:t>out</w:t>
      </w:r>
      <w:r w:rsidRPr="001E1BFF">
        <w:rPr>
          <w:rFonts w:eastAsia="SimSun"/>
          <w:color w:val="auto"/>
          <w:szCs w:val="24"/>
          <w:lang w:eastAsia="zh-CN"/>
        </w:rPr>
        <w:t xml:space="preserve"> as a fish </w:t>
      </w:r>
      <w:r w:rsidRPr="00543D1A">
        <w:rPr>
          <w:rFonts w:eastAsia="SimSun"/>
          <w:color w:val="auto"/>
          <w:szCs w:val="24"/>
          <w:lang w:eastAsia="zh-CN"/>
        </w:rPr>
        <w:t>with high aquaculture potential</w:t>
      </w:r>
      <w:r w:rsidRPr="001E1BFF">
        <w:rPr>
          <w:rFonts w:eastAsia="SimSun"/>
          <w:color w:val="auto"/>
          <w:szCs w:val="24"/>
          <w:lang w:eastAsia="zh-CN"/>
        </w:rPr>
        <w:t xml:space="preserve">. According to Yao et al. (2017), </w:t>
      </w:r>
      <w:r w:rsidR="00B94B28" w:rsidRPr="00B94B28">
        <w:rPr>
          <w:rFonts w:eastAsia="SimSun"/>
          <w:color w:val="auto"/>
          <w:szCs w:val="24"/>
          <w:lang w:eastAsia="zh-CN"/>
        </w:rPr>
        <w:t xml:space="preserve">Kreman </w:t>
      </w:r>
      <w:r w:rsidRPr="001E1BFF">
        <w:rPr>
          <w:rFonts w:eastAsia="SimSun"/>
          <w:color w:val="auto"/>
          <w:szCs w:val="24"/>
          <w:lang w:eastAsia="zh-CN"/>
        </w:rPr>
        <w:t xml:space="preserve">et al. (2020), and El-Sayed et al. (2021), O. </w:t>
      </w:r>
      <w:r w:rsidRPr="001E1BFF">
        <w:rPr>
          <w:rFonts w:eastAsia="SimSun"/>
          <w:szCs w:val="24"/>
          <w:lang w:eastAsia="zh-CN"/>
        </w:rPr>
        <w:t xml:space="preserve">niloticus exhibits numerous characteristics of interest for fish farming. </w:t>
      </w:r>
      <w:r>
        <w:rPr>
          <w:rFonts w:eastAsia="SimSun"/>
          <w:szCs w:val="24"/>
          <w:lang w:eastAsia="zh-CN"/>
        </w:rPr>
        <w:t xml:space="preserve">It </w:t>
      </w:r>
      <w:r w:rsidRPr="001E1BFF">
        <w:rPr>
          <w:rFonts w:eastAsia="SimSun"/>
          <w:szCs w:val="24"/>
          <w:lang w:eastAsia="zh-CN"/>
        </w:rPr>
        <w:t xml:space="preserve">is undemanding in terms of feed </w:t>
      </w:r>
      <w:r>
        <w:rPr>
          <w:rFonts w:eastAsia="SimSun"/>
          <w:szCs w:val="24"/>
          <w:lang w:eastAsia="zh-CN"/>
        </w:rPr>
        <w:t xml:space="preserve">and </w:t>
      </w:r>
      <w:r w:rsidRPr="001E1BFF">
        <w:rPr>
          <w:rFonts w:eastAsia="SimSun"/>
          <w:szCs w:val="24"/>
          <w:lang w:eastAsia="zh-CN"/>
        </w:rPr>
        <w:t xml:space="preserve">grows rapidly. </w:t>
      </w:r>
      <w:r w:rsidR="005B622B">
        <w:rPr>
          <w:rFonts w:eastAsia="SimSun"/>
          <w:szCs w:val="24"/>
          <w:lang w:eastAsia="zh-CN"/>
        </w:rPr>
        <w:t xml:space="preserve"> </w:t>
      </w:r>
      <w:r w:rsidRPr="005B622B">
        <w:rPr>
          <w:bCs/>
          <w:highlight w:val="yellow"/>
        </w:rPr>
        <w:t>The importance of feed composition during early development has also been demonstrated in Nile tilapia larvae, with growth and survival varying among initial diets (Ritu et al., 2024). A study of juvenile Nile tilapia similarly reported differences in nutrient utilisation and growth across dietary ingredient formulations (Oyekanmi et al., 2025).</w:t>
      </w:r>
    </w:p>
    <w:p w14:paraId="0C1C33D1" w14:textId="0BFAC550" w:rsidR="0037342D" w:rsidRPr="005B622B" w:rsidRDefault="004138CE">
      <w:pPr>
        <w:suppressAutoHyphens w:val="0"/>
        <w:autoSpaceDN/>
        <w:ind w:right="62"/>
        <w:textAlignment w:val="auto"/>
        <w:rPr>
          <w:rFonts w:eastAsia="SimSun"/>
          <w:szCs w:val="24"/>
          <w:lang w:eastAsia="zh-CN"/>
        </w:rPr>
      </w:pPr>
      <w:r w:rsidRPr="001E1BFF">
        <w:rPr>
          <w:rFonts w:eastAsia="SimSun"/>
          <w:szCs w:val="24"/>
          <w:lang w:eastAsia="zh-CN"/>
        </w:rPr>
        <w:t xml:space="preserve">However, the intensification of tilapia farming requires not only high-quality feed </w:t>
      </w:r>
      <w:r w:rsidR="00CC2320" w:rsidRPr="001E1BFF">
        <w:rPr>
          <w:rFonts w:eastAsia="SimSun"/>
          <w:szCs w:val="24"/>
          <w:lang w:eastAsia="zh-CN"/>
        </w:rPr>
        <w:t xml:space="preserve">but also sufficient quantities </w:t>
      </w:r>
      <w:r w:rsidRPr="001E1BFF">
        <w:rPr>
          <w:rFonts w:eastAsia="SimSun"/>
          <w:szCs w:val="24"/>
          <w:lang w:eastAsia="zh-CN"/>
        </w:rPr>
        <w:t xml:space="preserve">of it. Numerous studies have shown that the quantity and quality of feed provided are critical factors during the farming process. An insufficient feed ration reduces fish performance, while an excess leads to feed waste </w:t>
      </w:r>
      <w:r>
        <w:rPr>
          <w:rFonts w:eastAsia="SimSun"/>
          <w:szCs w:val="24"/>
          <w:lang w:eastAsia="zh-CN"/>
        </w:rPr>
        <w:t xml:space="preserve">and even pollution of the </w:t>
      </w:r>
      <w:r w:rsidR="00E246CD">
        <w:rPr>
          <w:rFonts w:eastAsia="SimSun"/>
          <w:szCs w:val="24"/>
          <w:lang w:eastAsia="zh-CN"/>
        </w:rPr>
        <w:t>rearing</w:t>
      </w:r>
      <w:r>
        <w:rPr>
          <w:rFonts w:eastAsia="SimSun"/>
          <w:szCs w:val="24"/>
          <w:lang w:eastAsia="zh-CN"/>
        </w:rPr>
        <w:t xml:space="preserve"> water</w:t>
      </w:r>
      <w:r w:rsidR="00E246CD">
        <w:rPr>
          <w:rFonts w:eastAsia="SimSun"/>
          <w:szCs w:val="24"/>
          <w:lang w:eastAsia="zh-CN"/>
        </w:rPr>
        <w:t xml:space="preserve">. </w:t>
      </w:r>
      <w:r w:rsidRPr="001E1BFF">
        <w:rPr>
          <w:rFonts w:eastAsia="SimSun"/>
          <w:szCs w:val="24"/>
          <w:lang w:eastAsia="zh-CN"/>
        </w:rPr>
        <w:t xml:space="preserve">Furthermore, </w:t>
      </w:r>
      <w:r>
        <w:rPr>
          <w:rFonts w:eastAsia="SimSun"/>
          <w:szCs w:val="24"/>
          <w:lang w:eastAsia="zh-CN"/>
        </w:rPr>
        <w:t xml:space="preserve">research </w:t>
      </w:r>
      <w:r w:rsidRPr="00543D1A">
        <w:rPr>
          <w:rFonts w:eastAsia="SimSun"/>
          <w:color w:val="auto"/>
          <w:szCs w:val="24"/>
          <w:lang w:eastAsia="zh-CN"/>
        </w:rPr>
        <w:t xml:space="preserve">by </w:t>
      </w:r>
      <w:r w:rsidR="00B94B28" w:rsidRPr="00B94B28">
        <w:rPr>
          <w:rFonts w:eastAsia="SimSun"/>
          <w:color w:val="auto"/>
          <w:szCs w:val="24"/>
          <w:lang w:eastAsia="zh-CN"/>
        </w:rPr>
        <w:t xml:space="preserve">Hamed </w:t>
      </w:r>
      <w:r w:rsidRPr="001E1BFF">
        <w:rPr>
          <w:rFonts w:eastAsia="SimSun"/>
          <w:color w:val="auto"/>
          <w:szCs w:val="24"/>
          <w:lang w:eastAsia="zh-CN"/>
        </w:rPr>
        <w:t xml:space="preserve">et al. </w:t>
      </w:r>
      <w:r w:rsidRPr="00543D1A">
        <w:rPr>
          <w:rFonts w:eastAsia="SimSun"/>
          <w:color w:val="auto"/>
          <w:szCs w:val="24"/>
          <w:lang w:eastAsia="zh-CN"/>
        </w:rPr>
        <w:t>(</w:t>
      </w:r>
      <w:r w:rsidRPr="001E1BFF">
        <w:rPr>
          <w:rFonts w:eastAsia="SimSun"/>
          <w:color w:val="auto"/>
          <w:szCs w:val="24"/>
          <w:lang w:eastAsia="zh-CN"/>
        </w:rPr>
        <w:t>2024</w:t>
      </w:r>
      <w:r w:rsidRPr="00543D1A">
        <w:rPr>
          <w:rFonts w:eastAsia="SimSun"/>
          <w:color w:val="auto"/>
          <w:szCs w:val="24"/>
          <w:lang w:eastAsia="zh-CN"/>
        </w:rPr>
        <w:t xml:space="preserve">) has </w:t>
      </w:r>
      <w:r w:rsidRPr="001E1BFF">
        <w:rPr>
          <w:rFonts w:eastAsia="SimSun"/>
          <w:color w:val="auto"/>
          <w:szCs w:val="24"/>
          <w:lang w:eastAsia="zh-CN"/>
        </w:rPr>
        <w:t xml:space="preserve">shown that feed costs account for between 60 and 70 percent of the production cost of farmed fish. </w:t>
      </w:r>
      <w:r>
        <w:rPr>
          <w:rFonts w:eastAsia="SimSun"/>
          <w:color w:val="auto"/>
          <w:szCs w:val="24"/>
          <w:highlight w:val="yellow"/>
          <w:lang w:eastAsia="zh-CN"/>
        </w:rPr>
        <w:t>This requires adjusting feed quantities to the needs and size of the fish, the water temperature and the type of farming system.</w:t>
      </w:r>
      <w:r w:rsidRPr="001E1BFF">
        <w:rPr>
          <w:rFonts w:eastAsia="SimSun"/>
          <w:color w:val="auto"/>
          <w:szCs w:val="24"/>
          <w:lang w:eastAsia="zh-CN"/>
        </w:rPr>
        <w:t xml:space="preserve"> Recent studies </w:t>
      </w:r>
      <w:r w:rsidRPr="00543D1A">
        <w:rPr>
          <w:rFonts w:eastAsia="SimSun"/>
          <w:color w:val="auto"/>
          <w:szCs w:val="24"/>
          <w:lang w:eastAsia="zh-CN"/>
        </w:rPr>
        <w:t xml:space="preserve">have indicated </w:t>
      </w:r>
      <w:r w:rsidRPr="001E1BFF">
        <w:rPr>
          <w:rFonts w:eastAsia="SimSun"/>
          <w:color w:val="auto"/>
          <w:szCs w:val="24"/>
          <w:lang w:eastAsia="zh-CN"/>
        </w:rPr>
        <w:t xml:space="preserve">that moderate rationing can maintain or even improve growth while </w:t>
      </w:r>
      <w:r>
        <w:rPr>
          <w:rFonts w:eastAsia="SimSun"/>
          <w:color w:val="auto"/>
          <w:szCs w:val="24"/>
          <w:highlight w:val="yellow"/>
          <w:lang w:eastAsia="zh-CN"/>
        </w:rPr>
        <w:t>optimising</w:t>
      </w:r>
      <w:r w:rsidRPr="001E1BFF">
        <w:rPr>
          <w:rFonts w:eastAsia="SimSun"/>
          <w:color w:val="auto"/>
          <w:szCs w:val="24"/>
          <w:lang w:eastAsia="zh-CN"/>
        </w:rPr>
        <w:t xml:space="preserve"> the feed conversion ratio (</w:t>
      </w:r>
      <w:r w:rsidR="00B94B28" w:rsidRPr="00B94B28">
        <w:rPr>
          <w:rFonts w:eastAsia="SimSun"/>
          <w:color w:val="auto"/>
          <w:szCs w:val="24"/>
          <w:lang w:eastAsia="zh-CN"/>
        </w:rPr>
        <w:t xml:space="preserve">Dawood </w:t>
      </w:r>
      <w:r w:rsidRPr="001E1BFF">
        <w:rPr>
          <w:rFonts w:eastAsia="SimSun"/>
          <w:color w:val="auto"/>
          <w:szCs w:val="24"/>
          <w:lang w:eastAsia="zh-CN"/>
        </w:rPr>
        <w:t xml:space="preserve">et al., 2023). </w:t>
      </w:r>
      <w:r w:rsidR="005B622B">
        <w:rPr>
          <w:rFonts w:eastAsia="SimSun"/>
          <w:szCs w:val="24"/>
          <w:lang w:eastAsia="zh-CN"/>
        </w:rPr>
        <w:t xml:space="preserve"> </w:t>
      </w:r>
      <w:r w:rsidRPr="005B622B">
        <w:rPr>
          <w:bCs/>
          <w:highlight w:val="yellow"/>
        </w:rPr>
        <w:t>In rectangular happas, Islam et al. (2023) reported differences in Nile tilapia fingerling growth among feeding treatments, illustrating the relevance of ration level to this rearing system. Villes et al. (2024) also observed effects of feeding rate on growth and feed conversion in juvenile Nile tilapia maintained in a biofloc system.</w:t>
      </w:r>
    </w:p>
    <w:p w14:paraId="30FC94CB" w14:textId="77777777" w:rsidR="0037342D" w:rsidRPr="005B622B" w:rsidRDefault="00000000">
      <w:pPr>
        <w:suppressAutoHyphens w:val="0"/>
        <w:autoSpaceDN/>
        <w:ind w:right="62"/>
        <w:textAlignment w:val="auto"/>
        <w:rPr>
          <w:bCs/>
          <w:szCs w:val="24"/>
          <w:lang w:eastAsia="fr-FR"/>
        </w:rPr>
      </w:pPr>
      <w:r w:rsidRPr="005B622B">
        <w:rPr>
          <w:bCs/>
          <w:highlight w:val="yellow"/>
        </w:rPr>
        <w:t xml:space="preserve">However, these studies do not directly establish which of the three daily biomass-based feeding rates evaluated here is most appropriate for </w:t>
      </w:r>
      <w:r w:rsidRPr="005B622B">
        <w:rPr>
          <w:bCs/>
          <w:i/>
          <w:highlight w:val="yellow"/>
        </w:rPr>
        <w:t>Oreochromis niloticus</w:t>
      </w:r>
      <w:r w:rsidRPr="005B622B">
        <w:rPr>
          <w:bCs/>
          <w:highlight w:val="yellow"/>
        </w:rPr>
        <w:t xml:space="preserve"> larvae reared in happas at Layo when growth and survival are considered together.</w:t>
      </w:r>
    </w:p>
    <w:p w14:paraId="64E50E9A" w14:textId="77777777" w:rsidR="00987206" w:rsidRDefault="004138CE" w:rsidP="00F11C90">
      <w:pPr>
        <w:keepLines/>
        <w:suppressAutoHyphens w:val="0"/>
        <w:autoSpaceDN/>
        <w:ind w:right="62"/>
        <w:textAlignment w:val="auto"/>
        <w:rPr>
          <w:szCs w:val="24"/>
          <w:lang w:eastAsia="fr-FR"/>
        </w:rPr>
      </w:pPr>
      <w:r>
        <w:rPr>
          <w:rFonts w:eastAsia="SimSun"/>
          <w:szCs w:val="24"/>
          <w:highlight w:val="yellow"/>
          <w:lang w:eastAsia="zh-CN"/>
        </w:rPr>
        <w:t>It is therefore necessary</w:t>
      </w:r>
      <w:r>
        <w:rPr>
          <w:rFonts w:eastAsia="SimSun"/>
          <w:szCs w:val="24"/>
          <w:lang w:eastAsia="zh-CN"/>
        </w:rPr>
        <w:t xml:space="preserve"> </w:t>
      </w:r>
      <w:r w:rsidRPr="001E1BFF">
        <w:rPr>
          <w:rFonts w:eastAsia="SimSun"/>
          <w:szCs w:val="24"/>
          <w:lang w:eastAsia="zh-CN"/>
        </w:rPr>
        <w:t xml:space="preserve">to determine the optimal rationing rate for efficient growth and sustainable </w:t>
      </w:r>
      <w:r>
        <w:rPr>
          <w:rFonts w:eastAsia="SimSun"/>
          <w:szCs w:val="24"/>
          <w:lang w:eastAsia="zh-CN"/>
        </w:rPr>
        <w:t>fish farming</w:t>
      </w:r>
      <w:r w:rsidRPr="001E1BFF">
        <w:rPr>
          <w:rFonts w:eastAsia="SimSun"/>
          <w:szCs w:val="24"/>
          <w:lang w:eastAsia="zh-CN"/>
        </w:rPr>
        <w:t xml:space="preserve"> management. </w:t>
      </w:r>
      <w:r>
        <w:rPr>
          <w:szCs w:val="24"/>
          <w:lang w:eastAsia="fr-FR"/>
        </w:rPr>
        <w:t xml:space="preserve">In this context, </w:t>
      </w:r>
      <w:r w:rsidRPr="001E1BFF">
        <w:rPr>
          <w:szCs w:val="24"/>
          <w:lang w:eastAsia="fr-FR"/>
        </w:rPr>
        <w:t xml:space="preserve">different rationing rates </w:t>
      </w:r>
      <w:r>
        <w:rPr>
          <w:szCs w:val="24"/>
          <w:lang w:eastAsia="fr-FR"/>
        </w:rPr>
        <w:t xml:space="preserve">were tested in happas </w:t>
      </w:r>
      <w:r w:rsidRPr="001E1BFF">
        <w:rPr>
          <w:szCs w:val="24"/>
          <w:lang w:eastAsia="fr-FR"/>
        </w:rPr>
        <w:t xml:space="preserve">on larvae of </w:t>
      </w:r>
      <w:r>
        <w:rPr>
          <w:szCs w:val="24"/>
          <w:lang w:eastAsia="fr-FR"/>
        </w:rPr>
        <w:t xml:space="preserve">the tilapia </w:t>
      </w:r>
      <w:r>
        <w:rPr>
          <w:i/>
          <w:szCs w:val="24"/>
          <w:lang w:eastAsia="fr-FR"/>
        </w:rPr>
        <w:t>Oreochromis niloticus</w:t>
      </w:r>
      <w:r>
        <w:rPr>
          <w:szCs w:val="24"/>
          <w:lang w:eastAsia="fr-FR"/>
        </w:rPr>
        <w:t xml:space="preserve">. The objective of </w:t>
      </w:r>
      <w:r w:rsidRPr="001E1BFF">
        <w:rPr>
          <w:szCs w:val="24"/>
          <w:lang w:eastAsia="fr-FR"/>
        </w:rPr>
        <w:t xml:space="preserve">this study was to determine the ration </w:t>
      </w:r>
      <w:r>
        <w:rPr>
          <w:szCs w:val="24"/>
          <w:lang w:eastAsia="fr-FR"/>
        </w:rPr>
        <w:t>that yields the best growth and survival results</w:t>
      </w:r>
      <w:r w:rsidRPr="001E1BFF">
        <w:rPr>
          <w:szCs w:val="24"/>
          <w:lang w:eastAsia="fr-FR"/>
        </w:rPr>
        <w:t xml:space="preserve">. </w:t>
      </w:r>
    </w:p>
    <w:p w14:paraId="426E2880" w14:textId="77777777" w:rsidR="00987206" w:rsidRPr="00314CE9" w:rsidRDefault="00314CE9" w:rsidP="00314CE9">
      <w:pPr>
        <w:autoSpaceDN/>
        <w:spacing w:before="240" w:after="240"/>
        <w:textAlignment w:val="auto"/>
        <w:rPr>
          <w:b/>
          <w:color w:val="auto"/>
          <w:szCs w:val="24"/>
          <w:lang w:eastAsia="ar-SA"/>
        </w:rPr>
      </w:pPr>
      <w:r>
        <w:rPr>
          <w:b/>
          <w:color w:val="auto"/>
          <w:szCs w:val="24"/>
          <w:lang w:eastAsia="ar-SA"/>
        </w:rPr>
        <w:t xml:space="preserve">2. </w:t>
      </w:r>
      <w:r w:rsidR="004138CE" w:rsidRPr="00314CE9">
        <w:rPr>
          <w:b/>
          <w:color w:val="auto"/>
          <w:szCs w:val="24"/>
          <w:lang w:eastAsia="ar-SA"/>
        </w:rPr>
        <w:t>Materials and Methods</w:t>
      </w:r>
    </w:p>
    <w:p w14:paraId="17148853" w14:textId="77777777" w:rsidR="00987206" w:rsidRDefault="00314CE9" w:rsidP="00F11C90">
      <w:pPr>
        <w:rPr>
          <w:color w:val="auto"/>
          <w:szCs w:val="24"/>
          <w:lang w:eastAsia="ar-SA"/>
        </w:rPr>
      </w:pPr>
      <w:r>
        <w:rPr>
          <w:b/>
          <w:bCs/>
          <w:color w:val="auto"/>
          <w:szCs w:val="24"/>
          <w:lang w:eastAsia="ar-SA"/>
        </w:rPr>
        <w:lastRenderedPageBreak/>
        <w:t xml:space="preserve">2.1. </w:t>
      </w:r>
      <w:r w:rsidR="004138CE">
        <w:rPr>
          <w:b/>
          <w:bCs/>
          <w:color w:val="auto"/>
          <w:szCs w:val="24"/>
          <w:lang w:eastAsia="ar-SA"/>
        </w:rPr>
        <w:t xml:space="preserve">Study Area </w:t>
      </w:r>
      <w:r w:rsidR="005D6520">
        <w:rPr>
          <w:b/>
          <w:bCs/>
          <w:color w:val="auto"/>
          <w:szCs w:val="24"/>
          <w:lang w:eastAsia="ar-SA"/>
        </w:rPr>
        <w:t>and Period</w:t>
      </w:r>
    </w:p>
    <w:p w14:paraId="09BE991E" w14:textId="77777777" w:rsidR="00987206" w:rsidRDefault="004138CE" w:rsidP="00AA1A10">
      <w:pPr>
        <w:spacing w:before="240" w:after="240"/>
        <w:rPr>
          <w:color w:val="auto"/>
          <w:szCs w:val="24"/>
          <w:lang w:eastAsia="fr-FR"/>
        </w:rPr>
      </w:pPr>
      <w:r w:rsidRPr="001E1BFF">
        <w:rPr>
          <w:color w:val="auto"/>
          <w:szCs w:val="24"/>
          <w:lang w:eastAsia="fr-FR"/>
        </w:rPr>
        <w:t xml:space="preserve">The study was conducted </w:t>
      </w:r>
      <w:r>
        <w:rPr>
          <w:color w:val="auto"/>
          <w:szCs w:val="24"/>
          <w:lang w:eastAsia="fr-FR"/>
        </w:rPr>
        <w:t xml:space="preserve">at the Layo Experimental Aquaculture Station </w:t>
      </w:r>
      <w:r w:rsidR="009E1F6A">
        <w:rPr>
          <w:color w:val="auto"/>
          <w:szCs w:val="24"/>
          <w:lang w:eastAsia="fr-FR"/>
        </w:rPr>
        <w:t>(</w:t>
      </w:r>
      <w:r w:rsidR="009B59B7" w:rsidRPr="001E1BFF">
        <w:rPr>
          <w:color w:val="auto"/>
          <w:szCs w:val="24"/>
          <w:lang w:eastAsia="fr-FR"/>
        </w:rPr>
        <w:t>Figure 1</w:t>
      </w:r>
      <w:r w:rsidRPr="001E1BFF">
        <w:rPr>
          <w:color w:val="auto"/>
          <w:szCs w:val="24"/>
          <w:lang w:eastAsia="fr-FR"/>
        </w:rPr>
        <w:t>)</w:t>
      </w:r>
      <w:bookmarkStart w:id="1" w:name="_Hlk243556692"/>
      <w:r>
        <w:rPr>
          <w:color w:val="auto"/>
          <w:szCs w:val="24"/>
          <w:lang w:eastAsia="fr-FR"/>
        </w:rPr>
        <w:t>, from March 10 to April</w:t>
      </w:r>
      <w:r w:rsidRPr="001E1BFF">
        <w:rPr>
          <w:color w:val="auto"/>
          <w:szCs w:val="24"/>
          <w:lang w:eastAsia="fr-FR"/>
        </w:rPr>
        <w:t xml:space="preserve"> 14</w:t>
      </w:r>
      <w:r>
        <w:rPr>
          <w:color w:val="auto"/>
          <w:szCs w:val="24"/>
          <w:lang w:eastAsia="fr-FR"/>
        </w:rPr>
        <w:t xml:space="preserve">, </w:t>
      </w:r>
      <w:r>
        <w:rPr>
          <w:color w:val="auto"/>
          <w:szCs w:val="24"/>
          <w:highlight w:val="yellow"/>
          <w:lang w:eastAsia="fr-FR"/>
        </w:rPr>
        <w:t>2025,</w:t>
      </w:r>
      <w:bookmarkEnd w:id="1"/>
      <w:r>
        <w:rPr>
          <w:color w:val="auto"/>
          <w:szCs w:val="24"/>
          <w:lang w:eastAsia="fr-FR"/>
        </w:rPr>
        <w:t xml:space="preserve"> </w:t>
      </w:r>
      <w:r w:rsidRPr="001E1BFF">
        <w:rPr>
          <w:color w:val="auto"/>
          <w:szCs w:val="24"/>
          <w:lang w:eastAsia="fr-FR"/>
        </w:rPr>
        <w:t xml:space="preserve">over </w:t>
      </w:r>
      <w:r>
        <w:rPr>
          <w:color w:val="auto"/>
          <w:szCs w:val="24"/>
          <w:lang w:eastAsia="fr-FR"/>
        </w:rPr>
        <w:t>a period of</w:t>
      </w:r>
      <w:r w:rsidRPr="001E1BFF">
        <w:rPr>
          <w:color w:val="auto"/>
          <w:szCs w:val="24"/>
          <w:lang w:eastAsia="fr-FR"/>
        </w:rPr>
        <w:t xml:space="preserve"> 35 </w:t>
      </w:r>
      <w:r>
        <w:rPr>
          <w:color w:val="auto"/>
          <w:szCs w:val="24"/>
          <w:lang w:eastAsia="fr-FR"/>
        </w:rPr>
        <w:t xml:space="preserve">days. </w:t>
      </w:r>
      <w:r w:rsidRPr="001E1BFF">
        <w:rPr>
          <w:color w:val="auto"/>
          <w:szCs w:val="24"/>
          <w:lang w:eastAsia="fr-FR"/>
        </w:rPr>
        <w:t xml:space="preserve">The study area </w:t>
      </w:r>
      <w:r>
        <w:rPr>
          <w:color w:val="auto"/>
          <w:szCs w:val="24"/>
          <w:lang w:eastAsia="fr-FR"/>
        </w:rPr>
        <w:t xml:space="preserve">is </w:t>
      </w:r>
      <w:r w:rsidRPr="001E1BFF">
        <w:rPr>
          <w:color w:val="auto"/>
          <w:szCs w:val="24"/>
          <w:lang w:eastAsia="fr-FR"/>
        </w:rPr>
        <w:t xml:space="preserve">located </w:t>
      </w:r>
      <w:r>
        <w:rPr>
          <w:color w:val="auto"/>
          <w:szCs w:val="24"/>
          <w:lang w:eastAsia="fr-FR"/>
        </w:rPr>
        <w:t>on the northern shore of the Ebrié Lagoon, approximately 40 km west of Abidjan on the Abidjan-Dabou axis.</w:t>
      </w:r>
    </w:p>
    <w:p w14:paraId="7004D9E1" w14:textId="77777777" w:rsidR="007C7C82" w:rsidRDefault="00E646AF" w:rsidP="007C7C82">
      <w:pPr>
        <w:spacing w:before="240" w:after="240"/>
        <w:jc w:val="center"/>
        <w:rPr>
          <w:strike/>
          <w:color w:val="auto"/>
          <w:szCs w:val="24"/>
        </w:rPr>
      </w:pPr>
      <w:r w:rsidRPr="00E646AF">
        <w:rPr>
          <w:b/>
          <w:noProof/>
          <w:color w:val="auto"/>
          <w:szCs w:val="24"/>
          <w:lang w:eastAsia="fr-FR"/>
        </w:rPr>
        <w:drawing>
          <wp:inline distT="0" distB="0" distL="0" distR="0" wp14:anchorId="7D50CBD6" wp14:editId="1FA8C290">
            <wp:extent cx="4286250" cy="359092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3590925"/>
                    </a:xfrm>
                    <a:prstGeom prst="rect">
                      <a:avLst/>
                    </a:prstGeom>
                    <a:noFill/>
                    <a:ln>
                      <a:noFill/>
                    </a:ln>
                  </pic:spPr>
                </pic:pic>
              </a:graphicData>
            </a:graphic>
          </wp:inline>
        </w:drawing>
      </w:r>
    </w:p>
    <w:p w14:paraId="05277F9B" w14:textId="77777777" w:rsidR="007C7C82" w:rsidRDefault="007C7C82" w:rsidP="007C7C82">
      <w:pPr>
        <w:pStyle w:val="Caption"/>
        <w:spacing w:after="240" w:line="360" w:lineRule="auto"/>
        <w:jc w:val="center"/>
        <w:rPr>
          <w:b w:val="0"/>
          <w:bCs w:val="0"/>
          <w:color w:val="auto"/>
          <w:sz w:val="24"/>
          <w:szCs w:val="24"/>
        </w:rPr>
      </w:pPr>
      <w:r w:rsidRPr="007C7C82">
        <w:rPr>
          <w:b w:val="0"/>
          <w:bCs w:val="0"/>
          <w:color w:val="auto"/>
          <w:sz w:val="24"/>
          <w:szCs w:val="24"/>
        </w:rPr>
        <w:t xml:space="preserve">Figure </w:t>
      </w:r>
      <w:proofErr w:type="gramStart"/>
      <w:r w:rsidRPr="007C7C82">
        <w:rPr>
          <w:b w:val="0"/>
          <w:bCs w:val="0"/>
          <w:color w:val="auto"/>
          <w:sz w:val="24"/>
          <w:szCs w:val="24"/>
        </w:rPr>
        <w:t>1:</w:t>
      </w:r>
      <w:proofErr w:type="gramEnd"/>
      <w:r w:rsidRPr="007C7C82">
        <w:rPr>
          <w:b w:val="0"/>
          <w:bCs w:val="0"/>
          <w:color w:val="auto"/>
          <w:sz w:val="24"/>
          <w:szCs w:val="24"/>
        </w:rPr>
        <w:t xml:space="preserve"> </w:t>
      </w:r>
      <w:r w:rsidRPr="00B54146">
        <w:rPr>
          <w:b w:val="0"/>
          <w:bCs w:val="0"/>
          <w:color w:val="auto"/>
          <w:sz w:val="24"/>
          <w:szCs w:val="24"/>
        </w:rPr>
        <w:t>Geographic location of the study area</w:t>
      </w:r>
      <w:r>
        <w:rPr>
          <w:b w:val="0"/>
          <w:bCs w:val="0"/>
          <w:color w:val="auto"/>
          <w:sz w:val="24"/>
          <w:szCs w:val="24"/>
        </w:rPr>
        <w:t>.</w:t>
      </w:r>
    </w:p>
    <w:p w14:paraId="57572251" w14:textId="77777777" w:rsidR="00AA1A10" w:rsidRDefault="00314CE9" w:rsidP="00F11C90">
      <w:pPr>
        <w:rPr>
          <w:b/>
          <w:bCs/>
          <w:color w:val="auto"/>
          <w:szCs w:val="24"/>
        </w:rPr>
      </w:pPr>
      <w:r>
        <w:rPr>
          <w:b/>
          <w:bCs/>
          <w:color w:val="auto"/>
          <w:szCs w:val="24"/>
        </w:rPr>
        <w:t xml:space="preserve">2.2. </w:t>
      </w:r>
      <w:r w:rsidR="00AA1A10">
        <w:rPr>
          <w:b/>
          <w:bCs/>
          <w:color w:val="auto"/>
          <w:szCs w:val="24"/>
        </w:rPr>
        <w:t>Materials</w:t>
      </w:r>
    </w:p>
    <w:p w14:paraId="44CC626E" w14:textId="77777777" w:rsidR="00987206" w:rsidRPr="000F7613" w:rsidRDefault="00AA1A10" w:rsidP="00AA1A10">
      <w:pPr>
        <w:spacing w:before="240"/>
        <w:rPr>
          <w:b/>
          <w:bCs/>
          <w:i/>
          <w:color w:val="auto"/>
          <w:szCs w:val="24"/>
        </w:rPr>
      </w:pPr>
      <w:r>
        <w:rPr>
          <w:b/>
          <w:bCs/>
          <w:iCs/>
          <w:color w:val="auto"/>
          <w:szCs w:val="24"/>
        </w:rPr>
        <w:t xml:space="preserve">2.2.1. </w:t>
      </w:r>
      <w:r w:rsidR="004138CE" w:rsidRPr="00314CE9">
        <w:rPr>
          <w:b/>
          <w:bCs/>
          <w:iCs/>
          <w:color w:val="auto"/>
          <w:szCs w:val="24"/>
        </w:rPr>
        <w:t>Biological Material</w:t>
      </w:r>
    </w:p>
    <w:p w14:paraId="6FE8EA1A" w14:textId="77777777" w:rsidR="00987206" w:rsidRDefault="004138CE" w:rsidP="00AA1A10">
      <w:pPr>
        <w:spacing w:before="240"/>
        <w:rPr>
          <w:szCs w:val="24"/>
          <w:lang w:eastAsia="fr-FR"/>
        </w:rPr>
      </w:pPr>
      <w:r>
        <w:rPr>
          <w:szCs w:val="24"/>
          <w:lang w:eastAsia="fr-FR"/>
        </w:rPr>
        <w:t xml:space="preserve">To </w:t>
      </w:r>
      <w:r w:rsidRPr="001E1BFF">
        <w:rPr>
          <w:szCs w:val="24"/>
          <w:lang w:eastAsia="fr-FR"/>
        </w:rPr>
        <w:t>conduct the experiment</w:t>
      </w:r>
      <w:r>
        <w:rPr>
          <w:szCs w:val="24"/>
          <w:lang w:eastAsia="fr-FR"/>
        </w:rPr>
        <w:t>,</w:t>
      </w:r>
      <w:r w:rsidRPr="001E1BFF">
        <w:rPr>
          <w:szCs w:val="24"/>
          <w:lang w:eastAsia="fr-FR"/>
        </w:rPr>
        <w:t xml:space="preserve"> 225 </w:t>
      </w:r>
      <w:r>
        <w:rPr>
          <w:szCs w:val="24"/>
          <w:lang w:eastAsia="fr-FR"/>
        </w:rPr>
        <w:t xml:space="preserve">individuals with an initial average weight </w:t>
      </w:r>
      <w:r w:rsidRPr="001E1BFF">
        <w:rPr>
          <w:szCs w:val="24"/>
          <w:lang w:eastAsia="fr-FR"/>
        </w:rPr>
        <w:t>of</w:t>
      </w:r>
      <w:r>
        <w:rPr>
          <w:szCs w:val="24"/>
          <w:lang w:eastAsia="fr-FR"/>
        </w:rPr>
        <w:t xml:space="preserve"> 30.67 ± 7.40 mg and an initial average length </w:t>
      </w:r>
      <w:r w:rsidRPr="001E1BFF">
        <w:rPr>
          <w:szCs w:val="24"/>
          <w:lang w:eastAsia="fr-FR"/>
        </w:rPr>
        <w:t>of</w:t>
      </w:r>
      <w:r>
        <w:rPr>
          <w:szCs w:val="24"/>
          <w:lang w:eastAsia="fr-FR"/>
        </w:rPr>
        <w:t xml:space="preserve"> 12.63 ± 0.57 mm </w:t>
      </w:r>
      <w:r w:rsidRPr="001E1BFF">
        <w:rPr>
          <w:szCs w:val="24"/>
          <w:lang w:eastAsia="fr-FR"/>
        </w:rPr>
        <w:t>were distributed among the happas.</w:t>
      </w:r>
      <w:r w:rsidR="007C30B1">
        <w:rPr>
          <w:szCs w:val="24"/>
          <w:lang w:eastAsia="fr-FR"/>
        </w:rPr>
        <w:t xml:space="preserve"> </w:t>
      </w:r>
      <w:r w:rsidRPr="001E1BFF">
        <w:rPr>
          <w:szCs w:val="24"/>
          <w:lang w:eastAsia="fr-FR"/>
        </w:rPr>
        <w:t xml:space="preserve">The larvae </w:t>
      </w:r>
      <w:r>
        <w:rPr>
          <w:szCs w:val="24"/>
          <w:lang w:eastAsia="fr-FR"/>
        </w:rPr>
        <w:t xml:space="preserve">were fed </w:t>
      </w:r>
      <w:r w:rsidRPr="001E1BFF">
        <w:rPr>
          <w:color w:val="auto"/>
          <w:szCs w:val="24"/>
          <w:lang w:eastAsia="fr-FR"/>
        </w:rPr>
        <w:t>three different feeding rates (</w:t>
      </w:r>
      <w:r>
        <w:rPr>
          <w:color w:val="auto"/>
          <w:szCs w:val="24"/>
          <w:lang w:eastAsia="fr-FR"/>
        </w:rPr>
        <w:t>10%, 20%</w:t>
      </w:r>
      <w:r w:rsidRPr="001E1BFF">
        <w:rPr>
          <w:color w:val="auto"/>
          <w:szCs w:val="24"/>
          <w:lang w:eastAsia="fr-FR"/>
        </w:rPr>
        <w:t>,</w:t>
      </w:r>
      <w:r>
        <w:rPr>
          <w:color w:val="auto"/>
          <w:szCs w:val="24"/>
          <w:lang w:eastAsia="fr-FR"/>
        </w:rPr>
        <w:t xml:space="preserve"> 30%</w:t>
      </w:r>
      <w:r>
        <w:rPr>
          <w:rFonts w:eastAsia="SimSun"/>
          <w:szCs w:val="24"/>
          <w:lang w:eastAsia="zh-CN" w:bidi="ar"/>
        </w:rPr>
        <w:t>), prepared using a commercial feed containing 47% protein.</w:t>
      </w:r>
    </w:p>
    <w:p w14:paraId="5569E6F9" w14:textId="77777777" w:rsidR="00987206" w:rsidRPr="00314CE9" w:rsidRDefault="00314CE9" w:rsidP="00F11C90">
      <w:pPr>
        <w:suppressAutoHyphens w:val="0"/>
        <w:autoSpaceDN/>
        <w:spacing w:before="240"/>
        <w:ind w:right="63"/>
        <w:textAlignment w:val="auto"/>
        <w:rPr>
          <w:b/>
          <w:iCs/>
          <w:color w:val="auto"/>
          <w:szCs w:val="24"/>
          <w:lang w:eastAsia="fr-FR"/>
        </w:rPr>
      </w:pPr>
      <w:r w:rsidRPr="00314CE9">
        <w:rPr>
          <w:b/>
          <w:iCs/>
          <w:color w:val="auto"/>
          <w:szCs w:val="24"/>
          <w:lang w:eastAsia="fr-FR"/>
        </w:rPr>
        <w:t>2.</w:t>
      </w:r>
      <w:r w:rsidR="00AA1A10">
        <w:rPr>
          <w:b/>
          <w:iCs/>
          <w:color w:val="auto"/>
          <w:szCs w:val="24"/>
          <w:lang w:eastAsia="fr-FR"/>
        </w:rPr>
        <w:t>2</w:t>
      </w:r>
      <w:r w:rsidRPr="00314CE9">
        <w:rPr>
          <w:b/>
          <w:iCs/>
          <w:color w:val="auto"/>
          <w:szCs w:val="24"/>
          <w:lang w:eastAsia="fr-FR"/>
        </w:rPr>
        <w:t>.</w:t>
      </w:r>
      <w:r w:rsidR="00AA1A10">
        <w:rPr>
          <w:b/>
          <w:iCs/>
          <w:color w:val="auto"/>
          <w:szCs w:val="24"/>
          <w:lang w:eastAsia="fr-FR"/>
        </w:rPr>
        <w:t xml:space="preserve">2. </w:t>
      </w:r>
      <w:r w:rsidR="004138CE" w:rsidRPr="00314CE9">
        <w:rPr>
          <w:b/>
          <w:iCs/>
          <w:color w:val="auto"/>
          <w:szCs w:val="24"/>
          <w:lang w:eastAsia="fr-FR"/>
        </w:rPr>
        <w:t>Technical Equipment</w:t>
      </w:r>
    </w:p>
    <w:p w14:paraId="5ACEBE4A" w14:textId="77777777" w:rsidR="00987206" w:rsidRPr="000F7613" w:rsidRDefault="004138CE" w:rsidP="00AA1A10">
      <w:pPr>
        <w:suppressAutoHyphens w:val="0"/>
        <w:autoSpaceDN/>
        <w:spacing w:before="240"/>
        <w:ind w:right="63"/>
        <w:textAlignment w:val="auto"/>
        <w:rPr>
          <w:szCs w:val="24"/>
          <w:lang w:eastAsia="fr-FR"/>
        </w:rPr>
      </w:pPr>
      <w:r w:rsidRPr="001E1BFF">
        <w:rPr>
          <w:szCs w:val="24"/>
          <w:lang w:eastAsia="fr-FR"/>
        </w:rPr>
        <w:t xml:space="preserve">The </w:t>
      </w:r>
      <w:r>
        <w:rPr>
          <w:bCs/>
          <w:color w:val="auto"/>
          <w:szCs w:val="24"/>
          <w:lang w:eastAsia="fr-FR"/>
        </w:rPr>
        <w:t xml:space="preserve">technical equipment </w:t>
      </w:r>
      <w:r w:rsidRPr="001E1BFF">
        <w:rPr>
          <w:szCs w:val="24"/>
          <w:lang w:eastAsia="fr-FR"/>
        </w:rPr>
        <w:t>consisted primarily of</w:t>
      </w:r>
      <w:r>
        <w:rPr>
          <w:szCs w:val="24"/>
          <w:lang w:eastAsia="fr-FR"/>
        </w:rPr>
        <w:t xml:space="preserve">: </w:t>
      </w:r>
      <w:r>
        <w:rPr>
          <w:szCs w:val="24"/>
          <w:highlight w:val="yellow"/>
          <w:lang w:eastAsia="fr-FR"/>
        </w:rPr>
        <w:t>a HANNA multiparameter meter for determining</w:t>
      </w:r>
      <w:bookmarkStart w:id="2" w:name="_Hlk150505113"/>
      <w:bookmarkEnd w:id="2"/>
      <w:r>
        <w:rPr>
          <w:szCs w:val="24"/>
          <w:lang w:eastAsia="fr-FR"/>
        </w:rPr>
        <w:t xml:space="preserve"> several physicochemical parameters of the rearing water; a Fisher Scientific</w:t>
      </w:r>
      <w:bookmarkStart w:id="3" w:name="_Hlk150505480"/>
      <w:r>
        <w:rPr>
          <w:szCs w:val="24"/>
          <w:lang w:eastAsia="fr-FR"/>
        </w:rPr>
        <w:t xml:space="preserve"> preci</w:t>
      </w:r>
      <w:r>
        <w:rPr>
          <w:szCs w:val="24"/>
          <w:lang w:eastAsia="fr-FR"/>
        </w:rPr>
        <w:lastRenderedPageBreak/>
        <w:t>sion scale</w:t>
      </w:r>
      <w:bookmarkEnd w:id="3"/>
      <w:r>
        <w:rPr>
          <w:szCs w:val="24"/>
          <w:lang w:eastAsia="fr-FR"/>
        </w:rPr>
        <w:t xml:space="preserve"> with a maximum capacity of 620 g and a precision of 0.001 g, for weighing the fry during sampling;</w:t>
      </w:r>
      <w:r w:rsidR="000F7613">
        <w:rPr>
          <w:szCs w:val="24"/>
          <w:lang w:eastAsia="fr-FR"/>
        </w:rPr>
        <w:t xml:space="preserve"> </w:t>
      </w:r>
      <w:r>
        <w:rPr>
          <w:szCs w:val="24"/>
          <w:lang w:eastAsia="fr-FR"/>
        </w:rPr>
        <w:t>an OHAUS digital kitchen scale with a maximum capacity of 2,000 g and an accuracy of 0.0 g, for weighing the daily feed ration</w:t>
      </w:r>
      <w:r>
        <w:rPr>
          <w:b/>
          <w:szCs w:val="24"/>
          <w:lang w:eastAsia="fr-FR"/>
        </w:rPr>
        <w:t>;</w:t>
      </w:r>
      <w:r w:rsidR="000F7613">
        <w:rPr>
          <w:szCs w:val="24"/>
          <w:lang w:eastAsia="fr-FR"/>
        </w:rPr>
        <w:t xml:space="preserve"> </w:t>
      </w:r>
      <w:r>
        <w:rPr>
          <w:szCs w:val="24"/>
          <w:lang w:eastAsia="fr-FR"/>
        </w:rPr>
        <w:t xml:space="preserve">a 50-cm </w:t>
      </w:r>
      <w:r>
        <w:rPr>
          <w:szCs w:val="24"/>
          <w:highlight w:val="yellow"/>
          <w:lang w:eastAsia="fr-FR"/>
        </w:rPr>
        <w:t>ichthyometer</w:t>
      </w:r>
      <w:r>
        <w:rPr>
          <w:szCs w:val="24"/>
          <w:lang w:eastAsia="fr-FR"/>
        </w:rPr>
        <w:t xml:space="preserve"> for measuring fish size during </w:t>
      </w:r>
      <w:r>
        <w:rPr>
          <w:szCs w:val="24"/>
          <w:highlight w:val="yellow"/>
          <w:lang w:eastAsia="fr-FR"/>
        </w:rPr>
        <w:t>sampling;</w:t>
      </w:r>
      <w:bookmarkStart w:id="4" w:name="_Toc140482496"/>
      <w:bookmarkEnd w:id="4"/>
      <w:r>
        <w:rPr>
          <w:szCs w:val="24"/>
          <w:lang w:eastAsia="fr-FR"/>
        </w:rPr>
        <w:t xml:space="preserve"> </w:t>
      </w:r>
      <w:r w:rsidRPr="001E1BFF">
        <w:rPr>
          <w:szCs w:val="24"/>
          <w:lang w:eastAsia="fr-FR"/>
        </w:rPr>
        <w:t xml:space="preserve">a </w:t>
      </w:r>
      <w:r>
        <w:rPr>
          <w:szCs w:val="24"/>
          <w:lang w:eastAsia="fr-FR"/>
        </w:rPr>
        <w:t xml:space="preserve">hand net with a 6-mm mesh for collecting juvenile fish </w:t>
      </w:r>
      <w:r w:rsidR="000A5EC9">
        <w:rPr>
          <w:szCs w:val="24"/>
          <w:lang w:eastAsia="fr-FR"/>
        </w:rPr>
        <w:t>for sampling</w:t>
      </w:r>
      <w:r>
        <w:rPr>
          <w:szCs w:val="24"/>
          <w:lang w:eastAsia="fr-FR"/>
        </w:rPr>
        <w:t xml:space="preserve">; </w:t>
      </w:r>
      <w:r w:rsidRPr="001E1BFF">
        <w:rPr>
          <w:rFonts w:eastAsia="SimSun"/>
          <w:szCs w:val="24"/>
          <w:lang w:eastAsia="zh-CN" w:bidi="ar"/>
        </w:rPr>
        <w:t>plastic buckets and basins for transporting fish during sampling</w:t>
      </w:r>
      <w:r w:rsidR="000F7613">
        <w:rPr>
          <w:rFonts w:eastAsia="SimSun"/>
          <w:szCs w:val="24"/>
          <w:lang w:eastAsia="zh-CN" w:bidi="ar"/>
        </w:rPr>
        <w:t xml:space="preserve">, and </w:t>
      </w:r>
      <w:r w:rsidRPr="001E1BFF">
        <w:rPr>
          <w:rFonts w:eastAsia="SimSun"/>
          <w:szCs w:val="24"/>
          <w:lang w:eastAsia="zh-CN"/>
        </w:rPr>
        <w:t>plastic bowls for serving the daily feed ration</w:t>
      </w:r>
      <w:r>
        <w:rPr>
          <w:rFonts w:eastAsia="SimSun"/>
          <w:szCs w:val="24"/>
          <w:lang w:eastAsia="zh-CN"/>
        </w:rPr>
        <w:t>.</w:t>
      </w:r>
    </w:p>
    <w:p w14:paraId="486702EF" w14:textId="77777777" w:rsidR="00987206" w:rsidRPr="00AA1A10" w:rsidRDefault="00AA1A10" w:rsidP="00F11C90">
      <w:pPr>
        <w:spacing w:before="240"/>
        <w:rPr>
          <w:b/>
          <w:bCs/>
          <w:iCs/>
          <w:color w:val="auto"/>
          <w:szCs w:val="24"/>
        </w:rPr>
      </w:pPr>
      <w:r w:rsidRPr="00AA1A10">
        <w:rPr>
          <w:b/>
          <w:bCs/>
          <w:iCs/>
          <w:color w:val="auto"/>
          <w:szCs w:val="24"/>
        </w:rPr>
        <w:t xml:space="preserve">2.2.3. </w:t>
      </w:r>
      <w:r w:rsidR="004138CE" w:rsidRPr="00AA1A10">
        <w:rPr>
          <w:b/>
          <w:bCs/>
          <w:iCs/>
          <w:color w:val="auto"/>
          <w:szCs w:val="24"/>
        </w:rPr>
        <w:t>Rearing Infrastructure</w:t>
      </w:r>
    </w:p>
    <w:p w14:paraId="32E873CD" w14:textId="77777777" w:rsidR="00987206" w:rsidRDefault="004138CE" w:rsidP="002032D6">
      <w:pPr>
        <w:suppressAutoHyphens w:val="0"/>
        <w:autoSpaceDN/>
        <w:spacing w:before="240" w:after="240"/>
        <w:ind w:left="10" w:right="63"/>
        <w:textAlignment w:val="auto"/>
        <w:rPr>
          <w:szCs w:val="24"/>
          <w:lang w:eastAsia="fr-FR"/>
        </w:rPr>
      </w:pPr>
      <w:r w:rsidRPr="001E1BFF">
        <w:rPr>
          <w:szCs w:val="24"/>
          <w:lang w:eastAsia="fr-FR"/>
        </w:rPr>
        <w:t xml:space="preserve">Nine (9) </w:t>
      </w:r>
      <w:r>
        <w:rPr>
          <w:szCs w:val="24"/>
          <w:lang w:eastAsia="fr-FR"/>
        </w:rPr>
        <w:t>identical happas made of 1.</w:t>
      </w:r>
      <w:r w:rsidRPr="00543D1A">
        <w:rPr>
          <w:szCs w:val="24"/>
          <w:lang w:eastAsia="fr-FR"/>
        </w:rPr>
        <w:t>5-mm-mesh</w:t>
      </w:r>
      <w:r>
        <w:rPr>
          <w:szCs w:val="24"/>
          <w:lang w:eastAsia="fr-FR"/>
        </w:rPr>
        <w:t xml:space="preserve"> netting </w:t>
      </w:r>
      <w:r w:rsidRPr="00543D1A">
        <w:rPr>
          <w:szCs w:val="24"/>
          <w:lang w:eastAsia="fr-FR"/>
        </w:rPr>
        <w:t>(</w:t>
      </w:r>
      <w:r w:rsidRPr="001E1BFF">
        <w:rPr>
          <w:szCs w:val="24"/>
          <w:lang w:eastAsia="fr-FR"/>
        </w:rPr>
        <w:t>Figure</w:t>
      </w:r>
      <w:r w:rsidR="008309B8" w:rsidRPr="001E1BFF">
        <w:rPr>
          <w:szCs w:val="24"/>
          <w:lang w:eastAsia="fr-FR"/>
        </w:rPr>
        <w:t xml:space="preserve"> 2</w:t>
      </w:r>
      <w:r w:rsidRPr="00543D1A">
        <w:rPr>
          <w:szCs w:val="24"/>
          <w:lang w:eastAsia="fr-FR"/>
        </w:rPr>
        <w:t xml:space="preserve">) </w:t>
      </w:r>
      <w:r>
        <w:rPr>
          <w:szCs w:val="24"/>
          <w:lang w:eastAsia="fr-FR"/>
        </w:rPr>
        <w:t xml:space="preserve">were </w:t>
      </w:r>
      <w:r w:rsidRPr="001E1BFF">
        <w:rPr>
          <w:szCs w:val="24"/>
          <w:lang w:eastAsia="fr-FR"/>
        </w:rPr>
        <w:t>used to set up the experimental plots</w:t>
      </w:r>
      <w:r>
        <w:rPr>
          <w:szCs w:val="24"/>
          <w:lang w:eastAsia="fr-FR"/>
        </w:rPr>
        <w:t xml:space="preserve">. </w:t>
      </w:r>
      <w:r w:rsidRPr="001E1BFF">
        <w:rPr>
          <w:szCs w:val="24"/>
          <w:lang w:eastAsia="fr-FR"/>
        </w:rPr>
        <w:t xml:space="preserve">Each happa had a capacity </w:t>
      </w:r>
      <w:r>
        <w:rPr>
          <w:szCs w:val="24"/>
          <w:lang w:eastAsia="fr-FR"/>
        </w:rPr>
        <w:t xml:space="preserve">of </w:t>
      </w:r>
      <w:r>
        <w:rPr>
          <w:szCs w:val="24"/>
          <w:highlight w:val="yellow"/>
          <w:lang w:eastAsia="fr-FR"/>
        </w:rPr>
        <w:t>50 litres</w:t>
      </w:r>
      <w:r>
        <w:rPr>
          <w:szCs w:val="24"/>
          <w:lang w:eastAsia="fr-FR"/>
        </w:rPr>
        <w:t xml:space="preserve">. They were </w:t>
      </w:r>
      <w:r w:rsidRPr="001E1BFF">
        <w:rPr>
          <w:szCs w:val="24"/>
          <w:lang w:eastAsia="fr-FR"/>
        </w:rPr>
        <w:t xml:space="preserve">arranged </w:t>
      </w:r>
      <w:r>
        <w:rPr>
          <w:szCs w:val="24"/>
          <w:lang w:eastAsia="fr-FR"/>
        </w:rPr>
        <w:t xml:space="preserve">in </w:t>
      </w:r>
      <w:r w:rsidRPr="001E1BFF">
        <w:rPr>
          <w:szCs w:val="24"/>
          <w:lang w:eastAsia="fr-FR"/>
        </w:rPr>
        <w:t xml:space="preserve">three </w:t>
      </w:r>
      <w:r>
        <w:rPr>
          <w:szCs w:val="24"/>
          <w:lang w:eastAsia="fr-FR"/>
        </w:rPr>
        <w:t xml:space="preserve">rows of three happas in a previously prepared fish pond. Each row was supported by eight Chinese bamboo stakes, each </w:t>
      </w:r>
      <w:r>
        <w:rPr>
          <w:szCs w:val="24"/>
          <w:highlight w:val="yellow"/>
          <w:lang w:eastAsia="fr-FR"/>
        </w:rPr>
        <w:t>three metres long</w:t>
      </w:r>
      <w:r>
        <w:rPr>
          <w:szCs w:val="24"/>
          <w:lang w:eastAsia="fr-FR"/>
        </w:rPr>
        <w:t xml:space="preserve">. The happas were suspended in the water from the bamboo stakes approximately 20 cm above the sediment. </w:t>
      </w:r>
      <w:bookmarkStart w:id="5" w:name="_Hlk151222379"/>
    </w:p>
    <w:p w14:paraId="1AAF454F" w14:textId="77777777" w:rsidR="0067229A" w:rsidRDefault="00E646AF" w:rsidP="0067229A">
      <w:pPr>
        <w:suppressAutoHyphens w:val="0"/>
        <w:autoSpaceDN/>
        <w:spacing w:before="240" w:after="240"/>
        <w:ind w:left="10" w:right="63"/>
        <w:jc w:val="center"/>
        <w:textAlignment w:val="auto"/>
        <w:rPr>
          <w:szCs w:val="24"/>
          <w:lang w:eastAsia="fr-FR"/>
        </w:rPr>
      </w:pPr>
      <w:r w:rsidRPr="0008200D">
        <w:rPr>
          <w:noProof/>
          <w:lang w:eastAsia="fr-FR"/>
        </w:rPr>
        <w:drawing>
          <wp:inline distT="0" distB="0" distL="0" distR="0" wp14:anchorId="283CBE7E" wp14:editId="3D64B9BF">
            <wp:extent cx="3819525" cy="2867025"/>
            <wp:effectExtent l="0" t="0" r="0" b="0"/>
            <wp:docPr id="2" name="Image 24" descr="C:\Users\Utilisateur\Desktop\Mama\20250411_143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C:\Users\Utilisateur\Desktop\Mama\20250411_14345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9525" cy="2867025"/>
                    </a:xfrm>
                    <a:prstGeom prst="rect">
                      <a:avLst/>
                    </a:prstGeom>
                    <a:noFill/>
                    <a:ln>
                      <a:noFill/>
                    </a:ln>
                  </pic:spPr>
                </pic:pic>
              </a:graphicData>
            </a:graphic>
          </wp:inline>
        </w:drawing>
      </w:r>
    </w:p>
    <w:p w14:paraId="5102A643" w14:textId="77777777" w:rsidR="0067229A" w:rsidRDefault="0067229A" w:rsidP="0067229A">
      <w:pPr>
        <w:spacing w:after="240"/>
        <w:jc w:val="center"/>
        <w:rPr>
          <w:szCs w:val="24"/>
        </w:rPr>
      </w:pPr>
      <w:r w:rsidRPr="0067229A">
        <w:rPr>
          <w:szCs w:val="24"/>
        </w:rPr>
        <w:t xml:space="preserve">Figure </w:t>
      </w:r>
      <w:proofErr w:type="gramStart"/>
      <w:r w:rsidRPr="0067229A">
        <w:rPr>
          <w:szCs w:val="24"/>
        </w:rPr>
        <w:t>2:</w:t>
      </w:r>
      <w:proofErr w:type="gramEnd"/>
      <w:r w:rsidRPr="0067229A">
        <w:rPr>
          <w:szCs w:val="24"/>
        </w:rPr>
        <w:t xml:space="preserve"> </w:t>
      </w:r>
      <w:r>
        <w:rPr>
          <w:szCs w:val="24"/>
        </w:rPr>
        <w:t xml:space="preserve">Experimental </w:t>
      </w:r>
      <w:r w:rsidRPr="0067229A">
        <w:rPr>
          <w:szCs w:val="24"/>
        </w:rPr>
        <w:t xml:space="preserve">happas </w:t>
      </w:r>
      <w:r>
        <w:rPr>
          <w:szCs w:val="24"/>
        </w:rPr>
        <w:t>installed.</w:t>
      </w:r>
    </w:p>
    <w:p w14:paraId="6DB14BE0" w14:textId="77777777" w:rsidR="007C30B1" w:rsidRPr="000F7613" w:rsidRDefault="00AA1A10" w:rsidP="00F11C90">
      <w:pPr>
        <w:suppressAutoHyphens w:val="0"/>
        <w:autoSpaceDN/>
        <w:ind w:left="10" w:right="63" w:hanging="10"/>
        <w:textAlignment w:val="auto"/>
        <w:rPr>
          <w:b/>
          <w:i/>
          <w:iCs/>
          <w:color w:val="auto"/>
          <w:szCs w:val="24"/>
          <w:lang w:eastAsia="fr-FR"/>
        </w:rPr>
      </w:pPr>
      <w:bookmarkStart w:id="6" w:name="_Toc140482504"/>
      <w:bookmarkStart w:id="7" w:name="_Toc147753290"/>
      <w:bookmarkEnd w:id="5"/>
      <w:r>
        <w:rPr>
          <w:b/>
          <w:iCs/>
          <w:color w:val="auto"/>
          <w:szCs w:val="24"/>
          <w:lang w:eastAsia="fr-FR"/>
        </w:rPr>
        <w:t xml:space="preserve">2.3. </w:t>
      </w:r>
      <w:r w:rsidR="007C30B1" w:rsidRPr="000F7613">
        <w:rPr>
          <w:b/>
          <w:iCs/>
          <w:color w:val="auto"/>
          <w:szCs w:val="24"/>
          <w:lang w:eastAsia="fr-FR"/>
        </w:rPr>
        <w:t xml:space="preserve">Methods </w:t>
      </w:r>
    </w:p>
    <w:p w14:paraId="45B8D406" w14:textId="77777777" w:rsidR="00987206" w:rsidRPr="00AA1A10" w:rsidRDefault="00AA1A10" w:rsidP="00AA1A10">
      <w:pPr>
        <w:suppressAutoHyphens w:val="0"/>
        <w:autoSpaceDN/>
        <w:spacing w:before="240"/>
        <w:ind w:left="10" w:right="63" w:hanging="10"/>
        <w:textAlignment w:val="auto"/>
        <w:rPr>
          <w:b/>
          <w:color w:val="auto"/>
          <w:szCs w:val="24"/>
          <w:lang w:eastAsia="fr-FR"/>
        </w:rPr>
      </w:pPr>
      <w:r w:rsidRPr="00AA1A10">
        <w:rPr>
          <w:b/>
          <w:color w:val="auto"/>
          <w:szCs w:val="24"/>
          <w:lang w:eastAsia="fr-FR"/>
        </w:rPr>
        <w:t xml:space="preserve">2.3.1. </w:t>
      </w:r>
      <w:r w:rsidR="004138CE" w:rsidRPr="00AA1A10">
        <w:rPr>
          <w:b/>
          <w:color w:val="auto"/>
          <w:szCs w:val="24"/>
          <w:lang w:eastAsia="fr-FR"/>
        </w:rPr>
        <w:t>Composition of the experimental groups</w:t>
      </w:r>
      <w:bookmarkEnd w:id="6"/>
      <w:bookmarkEnd w:id="7"/>
    </w:p>
    <w:p w14:paraId="5EAAC990" w14:textId="77777777" w:rsidR="00987206" w:rsidRPr="001E1BFF" w:rsidRDefault="004138CE" w:rsidP="002032D6">
      <w:pPr>
        <w:suppressAutoHyphens w:val="0"/>
        <w:autoSpaceDN/>
        <w:spacing w:before="240"/>
        <w:ind w:left="10"/>
        <w:textAlignment w:val="auto"/>
        <w:rPr>
          <w:szCs w:val="24"/>
          <w:lang w:eastAsia="fr-FR"/>
        </w:rPr>
      </w:pPr>
      <w:r w:rsidRPr="001E1BFF">
        <w:rPr>
          <w:szCs w:val="24"/>
          <w:lang w:eastAsia="fr-FR"/>
        </w:rPr>
        <w:t xml:space="preserve">Three experimental </w:t>
      </w:r>
      <w:r>
        <w:rPr>
          <w:szCs w:val="24"/>
          <w:lang w:eastAsia="fr-FR"/>
        </w:rPr>
        <w:t xml:space="preserve">groups were established </w:t>
      </w:r>
      <w:r w:rsidRPr="001E1BFF">
        <w:rPr>
          <w:szCs w:val="24"/>
          <w:lang w:eastAsia="fr-FR"/>
        </w:rPr>
        <w:t>based on the rationing rate</w:t>
      </w:r>
      <w:r>
        <w:rPr>
          <w:szCs w:val="24"/>
          <w:lang w:eastAsia="fr-FR"/>
        </w:rPr>
        <w:t xml:space="preserve">. Before the fish were distributed among </w:t>
      </w:r>
      <w:r w:rsidRPr="001E1BFF">
        <w:rPr>
          <w:szCs w:val="24"/>
          <w:lang w:eastAsia="fr-FR"/>
        </w:rPr>
        <w:t>the happas</w:t>
      </w:r>
      <w:r>
        <w:rPr>
          <w:szCs w:val="24"/>
          <w:lang w:eastAsia="fr-FR"/>
        </w:rPr>
        <w:t xml:space="preserve">, 30 individuals were </w:t>
      </w:r>
      <w:r w:rsidRPr="001E1BFF">
        <w:rPr>
          <w:szCs w:val="24"/>
          <w:lang w:eastAsia="fr-FR"/>
        </w:rPr>
        <w:t>selected</w:t>
      </w:r>
      <w:r>
        <w:rPr>
          <w:szCs w:val="24"/>
          <w:lang w:eastAsia="fr-FR"/>
        </w:rPr>
        <w:t xml:space="preserve">, weighed, and measured individually </w:t>
      </w:r>
      <w:r w:rsidRPr="001E1BFF">
        <w:rPr>
          <w:szCs w:val="24"/>
          <w:lang w:eastAsia="fr-FR"/>
        </w:rPr>
        <w:t>to determine the</w:t>
      </w:r>
      <w:r>
        <w:rPr>
          <w:szCs w:val="24"/>
          <w:lang w:eastAsia="fr-FR"/>
        </w:rPr>
        <w:t xml:space="preserve"> average initial weight and average initial length.</w:t>
      </w:r>
      <w:r w:rsidR="000F7613">
        <w:rPr>
          <w:szCs w:val="24"/>
          <w:lang w:eastAsia="fr-FR"/>
        </w:rPr>
        <w:t xml:space="preserve"> </w:t>
      </w:r>
      <w:r w:rsidRPr="001E1BFF">
        <w:rPr>
          <w:szCs w:val="24"/>
          <w:lang w:eastAsia="fr-FR"/>
        </w:rPr>
        <w:t xml:space="preserve">The </w:t>
      </w:r>
      <w:r w:rsidR="007F4122" w:rsidRPr="001E1BFF">
        <w:rPr>
          <w:szCs w:val="24"/>
          <w:lang w:eastAsia="fr-FR"/>
        </w:rPr>
        <w:t>experimental</w:t>
      </w:r>
      <w:r w:rsidRPr="001E1BFF">
        <w:rPr>
          <w:szCs w:val="24"/>
          <w:lang w:eastAsia="fr-FR"/>
        </w:rPr>
        <w:t xml:space="preserve"> </w:t>
      </w:r>
      <w:r w:rsidRPr="001E1BFF">
        <w:rPr>
          <w:szCs w:val="24"/>
          <w:lang w:eastAsia="fr-FR"/>
        </w:rPr>
        <w:lastRenderedPageBreak/>
        <w:t xml:space="preserve">groups, each set up </w:t>
      </w:r>
      <w:r>
        <w:rPr>
          <w:szCs w:val="24"/>
          <w:lang w:eastAsia="fr-FR"/>
        </w:rPr>
        <w:t>in triplicate</w:t>
      </w:r>
      <w:r w:rsidRPr="001E1BFF">
        <w:rPr>
          <w:szCs w:val="24"/>
          <w:lang w:eastAsia="fr-FR"/>
        </w:rPr>
        <w:t xml:space="preserve">, </w:t>
      </w:r>
      <w:r w:rsidR="000F7613">
        <w:rPr>
          <w:szCs w:val="24"/>
          <w:lang w:eastAsia="fr-FR"/>
        </w:rPr>
        <w:t xml:space="preserve">consisted of </w:t>
      </w:r>
      <w:r>
        <w:rPr>
          <w:szCs w:val="24"/>
          <w:lang w:eastAsia="fr-FR"/>
        </w:rPr>
        <w:t xml:space="preserve">Group 1 </w:t>
      </w:r>
      <w:r w:rsidR="000F7613">
        <w:rPr>
          <w:szCs w:val="24"/>
          <w:lang w:eastAsia="fr-FR"/>
        </w:rPr>
        <w:t>(</w:t>
      </w:r>
      <w:r w:rsidR="003E3188" w:rsidRPr="001E1BFF">
        <w:rPr>
          <w:szCs w:val="24"/>
          <w:lang w:eastAsia="fr-FR"/>
        </w:rPr>
        <w:t>fed a ration of</w:t>
      </w:r>
      <w:r w:rsidRPr="001E1BFF">
        <w:rPr>
          <w:szCs w:val="24"/>
          <w:lang w:eastAsia="fr-FR"/>
        </w:rPr>
        <w:t xml:space="preserve"> 10% of the biomass</w:t>
      </w:r>
      <w:proofErr w:type="gramStart"/>
      <w:r w:rsidR="000F7613">
        <w:rPr>
          <w:szCs w:val="24"/>
          <w:lang w:eastAsia="fr-FR"/>
        </w:rPr>
        <w:t>)</w:t>
      </w:r>
      <w:r w:rsidRPr="001E1BFF">
        <w:rPr>
          <w:szCs w:val="24"/>
          <w:lang w:eastAsia="fr-FR"/>
        </w:rPr>
        <w:t>;</w:t>
      </w:r>
      <w:proofErr w:type="gramEnd"/>
      <w:r w:rsidRPr="001E1BFF">
        <w:rPr>
          <w:szCs w:val="24"/>
          <w:lang w:eastAsia="fr-FR"/>
        </w:rPr>
        <w:t xml:space="preserve"> </w:t>
      </w:r>
      <w:r>
        <w:rPr>
          <w:szCs w:val="24"/>
          <w:lang w:eastAsia="fr-FR"/>
        </w:rPr>
        <w:t xml:space="preserve">Group 2 </w:t>
      </w:r>
      <w:r w:rsidR="000F7613">
        <w:rPr>
          <w:szCs w:val="24"/>
          <w:lang w:eastAsia="fr-FR"/>
        </w:rPr>
        <w:t>(</w:t>
      </w:r>
      <w:r w:rsidR="003E3188" w:rsidRPr="001E1BFF">
        <w:rPr>
          <w:szCs w:val="24"/>
          <w:lang w:eastAsia="fr-FR"/>
        </w:rPr>
        <w:t>fed a ration of</w:t>
      </w:r>
      <w:r w:rsidRPr="001E1BFF">
        <w:rPr>
          <w:szCs w:val="24"/>
          <w:lang w:eastAsia="fr-FR"/>
        </w:rPr>
        <w:t xml:space="preserve"> 20% of the biomass</w:t>
      </w:r>
      <w:proofErr w:type="gramStart"/>
      <w:r w:rsidR="000F7613">
        <w:rPr>
          <w:szCs w:val="24"/>
          <w:lang w:eastAsia="fr-FR"/>
        </w:rPr>
        <w:t>);</w:t>
      </w:r>
      <w:proofErr w:type="gramEnd"/>
      <w:r w:rsidR="000F7613">
        <w:rPr>
          <w:szCs w:val="24"/>
          <w:lang w:eastAsia="fr-FR"/>
        </w:rPr>
        <w:t xml:space="preserve"> and </w:t>
      </w:r>
      <w:r>
        <w:rPr>
          <w:szCs w:val="24"/>
          <w:lang w:eastAsia="fr-FR"/>
        </w:rPr>
        <w:t xml:space="preserve">Group 3 </w:t>
      </w:r>
      <w:r w:rsidR="0055496C">
        <w:rPr>
          <w:szCs w:val="24"/>
          <w:lang w:eastAsia="fr-FR"/>
        </w:rPr>
        <w:t>(</w:t>
      </w:r>
      <w:r w:rsidR="003E3188" w:rsidRPr="001E1BFF">
        <w:rPr>
          <w:szCs w:val="24"/>
          <w:lang w:eastAsia="fr-FR"/>
        </w:rPr>
        <w:t>fed a ration of</w:t>
      </w:r>
      <w:r w:rsidRPr="001E1BFF">
        <w:rPr>
          <w:szCs w:val="24"/>
          <w:lang w:eastAsia="fr-FR"/>
        </w:rPr>
        <w:t xml:space="preserve"> 30% of the biomass</w:t>
      </w:r>
      <w:r w:rsidR="0055496C">
        <w:rPr>
          <w:szCs w:val="24"/>
          <w:lang w:eastAsia="fr-FR"/>
        </w:rPr>
        <w:t>)</w:t>
      </w:r>
      <w:r w:rsidRPr="001E1BFF">
        <w:rPr>
          <w:szCs w:val="24"/>
          <w:lang w:eastAsia="fr-FR"/>
        </w:rPr>
        <w:t>.</w:t>
      </w:r>
    </w:p>
    <w:p w14:paraId="59037BEB" w14:textId="77777777" w:rsidR="00987206" w:rsidRPr="002032D6" w:rsidRDefault="002032D6" w:rsidP="00F11C90">
      <w:pPr>
        <w:suppressAutoHyphens w:val="0"/>
        <w:autoSpaceDN/>
        <w:spacing w:before="240"/>
        <w:textAlignment w:val="auto"/>
        <w:rPr>
          <w:bCs/>
          <w:szCs w:val="24"/>
          <w:lang w:eastAsia="fr-FR"/>
        </w:rPr>
      </w:pPr>
      <w:bookmarkStart w:id="8" w:name="_Toc147753291"/>
      <w:r w:rsidRPr="002032D6">
        <w:rPr>
          <w:b/>
          <w:color w:val="auto"/>
          <w:szCs w:val="24"/>
          <w:lang w:eastAsia="fr-FR"/>
        </w:rPr>
        <w:t xml:space="preserve">2.3.2. </w:t>
      </w:r>
      <w:r>
        <w:rPr>
          <w:b/>
          <w:color w:val="auto"/>
          <w:szCs w:val="24"/>
          <w:highlight w:val="yellow"/>
          <w:lang w:eastAsia="fr-FR"/>
        </w:rPr>
        <w:t>Rearing procedures</w:t>
      </w:r>
      <w:bookmarkEnd w:id="8"/>
    </w:p>
    <w:p w14:paraId="75B5C1B5" w14:textId="77777777" w:rsidR="00987206" w:rsidRDefault="004138CE" w:rsidP="002032D6">
      <w:pPr>
        <w:widowControl w:val="0"/>
        <w:suppressAutoHyphens w:val="0"/>
        <w:autoSpaceDE w:val="0"/>
        <w:spacing w:before="240"/>
        <w:textAlignment w:val="auto"/>
        <w:rPr>
          <w:szCs w:val="24"/>
          <w:lang w:eastAsia="fr-FR"/>
        </w:rPr>
      </w:pPr>
      <w:r>
        <w:rPr>
          <w:color w:val="auto"/>
          <w:szCs w:val="24"/>
        </w:rPr>
        <w:t>The established groups (1, 2, and 3) received feed rations comprising</w:t>
      </w:r>
      <w:r w:rsidR="007F4122">
        <w:rPr>
          <w:color w:val="auto"/>
          <w:szCs w:val="24"/>
        </w:rPr>
        <w:t xml:space="preserve"> 10%,</w:t>
      </w:r>
      <w:r>
        <w:rPr>
          <w:color w:val="auto"/>
          <w:szCs w:val="24"/>
        </w:rPr>
        <w:t xml:space="preserve"> 20%, and 30%, respectively, of the biomass of the larvae in each group. The daily feed ration was distributed manually at the </w:t>
      </w:r>
      <w:r w:rsidR="007F4122">
        <w:rPr>
          <w:color w:val="auto"/>
          <w:szCs w:val="24"/>
        </w:rPr>
        <w:t>following</w:t>
      </w:r>
      <w:r>
        <w:rPr>
          <w:color w:val="auto"/>
          <w:szCs w:val="24"/>
        </w:rPr>
        <w:t xml:space="preserve"> times each </w:t>
      </w:r>
      <w:proofErr w:type="gramStart"/>
      <w:r>
        <w:rPr>
          <w:color w:val="auto"/>
          <w:szCs w:val="24"/>
        </w:rPr>
        <w:t>day</w:t>
      </w:r>
      <w:r w:rsidR="007F4122">
        <w:rPr>
          <w:color w:val="auto"/>
          <w:szCs w:val="24"/>
        </w:rPr>
        <w:t>:</w:t>
      </w:r>
      <w:proofErr w:type="gramEnd"/>
      <w:r>
        <w:rPr>
          <w:color w:val="auto"/>
          <w:szCs w:val="24"/>
        </w:rPr>
        <w:t xml:space="preserve"> </w:t>
      </w:r>
      <w:proofErr w:type="gramStart"/>
      <w:r>
        <w:rPr>
          <w:color w:val="auto"/>
          <w:szCs w:val="24"/>
        </w:rPr>
        <w:t>8:</w:t>
      </w:r>
      <w:proofErr w:type="gramEnd"/>
      <w:r>
        <w:rPr>
          <w:color w:val="auto"/>
          <w:szCs w:val="24"/>
        </w:rPr>
        <w:t xml:space="preserve">30 a.m., </w:t>
      </w:r>
      <w:proofErr w:type="gramStart"/>
      <w:r>
        <w:rPr>
          <w:color w:val="auto"/>
          <w:szCs w:val="24"/>
        </w:rPr>
        <w:t>12:</w:t>
      </w:r>
      <w:proofErr w:type="gramEnd"/>
      <w:r>
        <w:rPr>
          <w:color w:val="auto"/>
          <w:szCs w:val="24"/>
        </w:rPr>
        <w:t xml:space="preserve">30 p.m., and </w:t>
      </w:r>
      <w:proofErr w:type="gramStart"/>
      <w:r>
        <w:rPr>
          <w:color w:val="auto"/>
          <w:szCs w:val="24"/>
        </w:rPr>
        <w:t>4:</w:t>
      </w:r>
      <w:proofErr w:type="gramEnd"/>
      <w:r>
        <w:rPr>
          <w:color w:val="auto"/>
          <w:szCs w:val="24"/>
        </w:rPr>
        <w:t xml:space="preserve">30 p.m. </w:t>
      </w:r>
      <w:r w:rsidRPr="001E1BFF">
        <w:rPr>
          <w:szCs w:val="24"/>
          <w:lang w:eastAsia="fr-FR"/>
        </w:rPr>
        <w:t xml:space="preserve">Each week, </w:t>
      </w:r>
      <w:r>
        <w:rPr>
          <w:szCs w:val="24"/>
          <w:lang w:eastAsia="fr-FR"/>
        </w:rPr>
        <w:t xml:space="preserve">sampling </w:t>
      </w:r>
      <w:r w:rsidRPr="001E1BFF">
        <w:rPr>
          <w:szCs w:val="24"/>
          <w:lang w:eastAsia="fr-FR"/>
        </w:rPr>
        <w:t xml:space="preserve">was conducted </w:t>
      </w:r>
      <w:r>
        <w:rPr>
          <w:szCs w:val="24"/>
          <w:lang w:eastAsia="fr-FR"/>
        </w:rPr>
        <w:t xml:space="preserve">to monitor </w:t>
      </w:r>
      <w:r w:rsidRPr="001E1BFF">
        <w:rPr>
          <w:szCs w:val="24"/>
          <w:lang w:eastAsia="fr-FR"/>
        </w:rPr>
        <w:t xml:space="preserve">larval </w:t>
      </w:r>
      <w:r>
        <w:rPr>
          <w:szCs w:val="24"/>
          <w:lang w:eastAsia="fr-FR"/>
        </w:rPr>
        <w:t>growth and survival</w:t>
      </w:r>
      <w:r w:rsidRPr="001E1BFF">
        <w:rPr>
          <w:szCs w:val="24"/>
          <w:lang w:eastAsia="fr-FR"/>
        </w:rPr>
        <w:t xml:space="preserve"> rates</w:t>
      </w:r>
      <w:r>
        <w:rPr>
          <w:szCs w:val="24"/>
          <w:lang w:eastAsia="fr-FR"/>
        </w:rPr>
        <w:t xml:space="preserve">. To </w:t>
      </w:r>
      <w:r w:rsidRPr="001E1BFF">
        <w:rPr>
          <w:szCs w:val="24"/>
          <w:lang w:eastAsia="fr-FR"/>
        </w:rPr>
        <w:t>do this</w:t>
      </w:r>
      <w:r>
        <w:rPr>
          <w:szCs w:val="24"/>
          <w:lang w:eastAsia="fr-FR"/>
        </w:rPr>
        <w:t xml:space="preserve">, 10 </w:t>
      </w:r>
      <w:r w:rsidRPr="001E1BFF">
        <w:rPr>
          <w:szCs w:val="24"/>
          <w:lang w:eastAsia="fr-FR"/>
        </w:rPr>
        <w:t>fish were randomly</w:t>
      </w:r>
      <w:r>
        <w:rPr>
          <w:szCs w:val="24"/>
          <w:lang w:eastAsia="fr-FR"/>
        </w:rPr>
        <w:t xml:space="preserve"> selected from each happa, weighed, and measured individually </w:t>
      </w:r>
      <w:r w:rsidRPr="001E1BFF">
        <w:rPr>
          <w:szCs w:val="24"/>
          <w:lang w:eastAsia="fr-FR"/>
        </w:rPr>
        <w:t xml:space="preserve">using a </w:t>
      </w:r>
      <w:r w:rsidR="007F4122">
        <w:rPr>
          <w:szCs w:val="24"/>
          <w:lang w:eastAsia="fr-FR"/>
        </w:rPr>
        <w:t>precision</w:t>
      </w:r>
      <w:r>
        <w:rPr>
          <w:szCs w:val="24"/>
          <w:lang w:eastAsia="fr-FR"/>
        </w:rPr>
        <w:t xml:space="preserve"> scale </w:t>
      </w:r>
      <w:r w:rsidR="007F4122">
        <w:rPr>
          <w:szCs w:val="24"/>
          <w:lang w:eastAsia="fr-FR"/>
        </w:rPr>
        <w:t xml:space="preserve">and </w:t>
      </w:r>
      <w:r>
        <w:rPr>
          <w:szCs w:val="24"/>
          <w:lang w:eastAsia="fr-FR"/>
        </w:rPr>
        <w:t xml:space="preserve">an </w:t>
      </w:r>
      <w:r>
        <w:rPr>
          <w:szCs w:val="24"/>
          <w:highlight w:val="yellow"/>
          <w:lang w:eastAsia="fr-FR"/>
        </w:rPr>
        <w:t>ichthyometer</w:t>
      </w:r>
      <w:r>
        <w:rPr>
          <w:szCs w:val="24"/>
          <w:lang w:eastAsia="fr-FR"/>
        </w:rPr>
        <w:t xml:space="preserve">. After the </w:t>
      </w:r>
      <w:r w:rsidRPr="001E1BFF">
        <w:rPr>
          <w:szCs w:val="24"/>
          <w:lang w:eastAsia="fr-FR"/>
        </w:rPr>
        <w:t>measurements</w:t>
      </w:r>
      <w:r>
        <w:rPr>
          <w:szCs w:val="24"/>
          <w:lang w:eastAsia="fr-FR"/>
        </w:rPr>
        <w:t xml:space="preserve">, all </w:t>
      </w:r>
      <w:r w:rsidRPr="001E1BFF">
        <w:rPr>
          <w:szCs w:val="24"/>
          <w:lang w:eastAsia="fr-FR"/>
        </w:rPr>
        <w:t xml:space="preserve">fish </w:t>
      </w:r>
      <w:r>
        <w:rPr>
          <w:szCs w:val="24"/>
          <w:lang w:eastAsia="fr-FR"/>
        </w:rPr>
        <w:t xml:space="preserve">in each happa </w:t>
      </w:r>
      <w:r w:rsidRPr="001E1BFF">
        <w:rPr>
          <w:szCs w:val="24"/>
          <w:lang w:eastAsia="fr-FR"/>
        </w:rPr>
        <w:t xml:space="preserve">were </w:t>
      </w:r>
      <w:r>
        <w:rPr>
          <w:szCs w:val="24"/>
          <w:lang w:eastAsia="fr-FR"/>
        </w:rPr>
        <w:t xml:space="preserve">counted to determine biomass and </w:t>
      </w:r>
      <w:r w:rsidRPr="001E1BFF">
        <w:rPr>
          <w:szCs w:val="24"/>
          <w:lang w:eastAsia="fr-FR"/>
        </w:rPr>
        <w:t xml:space="preserve">adjust </w:t>
      </w:r>
      <w:r>
        <w:rPr>
          <w:szCs w:val="24"/>
          <w:lang w:eastAsia="fr-FR"/>
        </w:rPr>
        <w:t xml:space="preserve">the </w:t>
      </w:r>
      <w:r w:rsidRPr="001E1BFF">
        <w:rPr>
          <w:szCs w:val="24"/>
          <w:lang w:eastAsia="fr-FR"/>
        </w:rPr>
        <w:t>daily</w:t>
      </w:r>
      <w:r>
        <w:rPr>
          <w:szCs w:val="24"/>
          <w:lang w:eastAsia="fr-FR"/>
        </w:rPr>
        <w:t xml:space="preserve"> feed ration. At </w:t>
      </w:r>
      <w:r w:rsidRPr="001E1BFF">
        <w:rPr>
          <w:szCs w:val="24"/>
          <w:lang w:eastAsia="fr-FR"/>
        </w:rPr>
        <w:t xml:space="preserve">the end </w:t>
      </w:r>
      <w:r>
        <w:rPr>
          <w:szCs w:val="24"/>
          <w:lang w:eastAsia="fr-FR"/>
        </w:rPr>
        <w:t xml:space="preserve">of the trial, all </w:t>
      </w:r>
      <w:r w:rsidRPr="001E1BFF">
        <w:rPr>
          <w:szCs w:val="24"/>
          <w:lang w:eastAsia="fr-FR"/>
        </w:rPr>
        <w:t xml:space="preserve">fish </w:t>
      </w:r>
      <w:r>
        <w:rPr>
          <w:szCs w:val="24"/>
          <w:lang w:eastAsia="fr-FR"/>
        </w:rPr>
        <w:t>were weighed, measured individually, and counted by batch.</w:t>
      </w:r>
    </w:p>
    <w:p w14:paraId="58D526B4" w14:textId="77777777" w:rsidR="00987206" w:rsidRPr="001E1BFF" w:rsidRDefault="004138CE" w:rsidP="002032D6">
      <w:pPr>
        <w:suppressAutoHyphens w:val="0"/>
        <w:autoSpaceDN/>
        <w:ind w:left="10" w:right="63"/>
        <w:textAlignment w:val="auto"/>
        <w:rPr>
          <w:szCs w:val="24"/>
          <w:lang w:eastAsia="fr-FR"/>
        </w:rPr>
      </w:pPr>
      <w:r w:rsidRPr="001E1BFF">
        <w:rPr>
          <w:szCs w:val="24"/>
          <w:lang w:eastAsia="fr-FR"/>
        </w:rPr>
        <w:t>In addition</w:t>
      </w:r>
      <w:r>
        <w:rPr>
          <w:szCs w:val="24"/>
          <w:lang w:eastAsia="fr-FR"/>
        </w:rPr>
        <w:t xml:space="preserve">, </w:t>
      </w:r>
      <w:r w:rsidRPr="001E1BFF">
        <w:rPr>
          <w:szCs w:val="24"/>
          <w:lang w:eastAsia="fr-FR"/>
        </w:rPr>
        <w:t xml:space="preserve">the water </w:t>
      </w:r>
      <w:r>
        <w:rPr>
          <w:szCs w:val="24"/>
          <w:lang w:eastAsia="fr-FR"/>
        </w:rPr>
        <w:t>temperature, dissolved oxygen level,</w:t>
      </w:r>
      <w:r w:rsidRPr="001E1BFF">
        <w:rPr>
          <w:szCs w:val="24"/>
          <w:lang w:eastAsia="fr-FR"/>
        </w:rPr>
        <w:t xml:space="preserve"> and </w:t>
      </w:r>
      <w:r>
        <w:rPr>
          <w:szCs w:val="24"/>
          <w:lang w:eastAsia="fr-FR"/>
        </w:rPr>
        <w:t xml:space="preserve">pH </w:t>
      </w:r>
      <w:r w:rsidRPr="001E1BFF">
        <w:rPr>
          <w:szCs w:val="24"/>
          <w:lang w:eastAsia="fr-FR"/>
        </w:rPr>
        <w:t xml:space="preserve">were </w:t>
      </w:r>
      <w:r>
        <w:rPr>
          <w:szCs w:val="24"/>
          <w:lang w:eastAsia="fr-FR"/>
        </w:rPr>
        <w:t xml:space="preserve">measured in the pond </w:t>
      </w:r>
      <w:r w:rsidRPr="001E1BFF">
        <w:rPr>
          <w:szCs w:val="24"/>
          <w:lang w:eastAsia="fr-FR"/>
        </w:rPr>
        <w:t>starting at</w:t>
      </w:r>
      <w:r>
        <w:rPr>
          <w:szCs w:val="24"/>
          <w:lang w:eastAsia="fr-FR"/>
        </w:rPr>
        <w:t xml:space="preserve"> </w:t>
      </w:r>
      <w:proofErr w:type="gramStart"/>
      <w:r>
        <w:rPr>
          <w:szCs w:val="24"/>
          <w:lang w:eastAsia="fr-FR"/>
        </w:rPr>
        <w:t>7:</w:t>
      </w:r>
      <w:proofErr w:type="gramEnd"/>
      <w:r>
        <w:rPr>
          <w:szCs w:val="24"/>
          <w:lang w:eastAsia="fr-FR"/>
        </w:rPr>
        <w:t xml:space="preserve">00 a.m., before feeding. </w:t>
      </w:r>
      <w:r w:rsidRPr="001E1BFF">
        <w:rPr>
          <w:szCs w:val="24"/>
          <w:lang w:eastAsia="fr-FR"/>
        </w:rPr>
        <w:t xml:space="preserve">To perform these measurements, </w:t>
      </w:r>
      <w:r>
        <w:rPr>
          <w:szCs w:val="24"/>
          <w:lang w:eastAsia="fr-FR"/>
        </w:rPr>
        <w:t>the probe of the measuring device (</w:t>
      </w:r>
      <w:proofErr w:type="gramStart"/>
      <w:r>
        <w:rPr>
          <w:szCs w:val="24"/>
          <w:lang w:eastAsia="fr-FR"/>
        </w:rPr>
        <w:t>a</w:t>
      </w:r>
      <w:proofErr w:type="gramEnd"/>
      <w:r>
        <w:rPr>
          <w:szCs w:val="24"/>
          <w:lang w:eastAsia="fr-FR"/>
        </w:rPr>
        <w:t xml:space="preserve"> HANNA-type multiparameter meter) was submerged directly into the water, and the measured parameter values were </w:t>
      </w:r>
      <w:r w:rsidRPr="001E1BFF">
        <w:rPr>
          <w:szCs w:val="24"/>
          <w:lang w:eastAsia="fr-FR"/>
        </w:rPr>
        <w:t xml:space="preserve">automatically </w:t>
      </w:r>
      <w:r>
        <w:rPr>
          <w:szCs w:val="24"/>
          <w:lang w:eastAsia="fr-FR"/>
        </w:rPr>
        <w:t>displayed on the screen</w:t>
      </w:r>
      <w:r w:rsidRPr="001E1BFF">
        <w:rPr>
          <w:szCs w:val="24"/>
          <w:lang w:eastAsia="fr-FR"/>
        </w:rPr>
        <w:t>.</w:t>
      </w:r>
    </w:p>
    <w:p w14:paraId="043A9B3D" w14:textId="77777777" w:rsidR="00987206" w:rsidRDefault="002032D6" w:rsidP="00F11C90">
      <w:pPr>
        <w:spacing w:before="240"/>
        <w:rPr>
          <w:b/>
          <w:szCs w:val="24"/>
          <w:lang w:val="en-US" w:eastAsia="fr-FR"/>
        </w:rPr>
      </w:pPr>
      <w:r w:rsidRPr="002032D6">
        <w:rPr>
          <w:b/>
          <w:szCs w:val="24"/>
          <w:lang w:eastAsia="fr-FR"/>
        </w:rPr>
        <w:t xml:space="preserve">2.3.3. </w:t>
      </w:r>
      <w:r w:rsidR="004138CE" w:rsidRPr="002032D6">
        <w:rPr>
          <w:b/>
          <w:szCs w:val="24"/>
          <w:lang w:val="en-US" w:eastAsia="fr-FR"/>
        </w:rPr>
        <w:t>Calculated</w:t>
      </w:r>
      <w:r w:rsidR="004138CE" w:rsidRPr="002032D6">
        <w:rPr>
          <w:b/>
          <w:szCs w:val="24"/>
          <w:lang w:eastAsia="fr-FR"/>
        </w:rPr>
        <w:t xml:space="preserve"> Zootechnical Parameters</w:t>
      </w:r>
    </w:p>
    <w:p w14:paraId="57623073" w14:textId="77777777" w:rsidR="002032D6" w:rsidRPr="002032D6" w:rsidRDefault="002032D6" w:rsidP="00636B24">
      <w:pPr>
        <w:spacing w:before="240"/>
        <w:rPr>
          <w:lang w:val="en-US" w:eastAsia="fr-FR"/>
        </w:rPr>
      </w:pPr>
      <w:r w:rsidRPr="002032D6">
        <w:rPr>
          <w:lang w:val="en-US" w:eastAsia="fr-FR"/>
        </w:rPr>
        <w:t>Several zootechnical parameters were determined during this experiment. These included:</w:t>
      </w:r>
    </w:p>
    <w:p w14:paraId="6CE99BF1" w14:textId="77777777" w:rsidR="00987206" w:rsidRPr="00636B24" w:rsidRDefault="00636B24" w:rsidP="00636B24">
      <w:pPr>
        <w:suppressAutoHyphens w:val="0"/>
        <w:autoSpaceDN/>
        <w:textAlignment w:val="auto"/>
        <w:rPr>
          <w:bCs/>
          <w:szCs w:val="24"/>
          <w:lang w:eastAsia="fr-FR"/>
        </w:rPr>
      </w:pPr>
      <w:bookmarkStart w:id="9" w:name="_Toc140482509"/>
      <w:bookmarkStart w:id="10" w:name="_Toc147753295"/>
      <w:r>
        <w:rPr>
          <w:bCs/>
          <w:color w:val="auto"/>
          <w:szCs w:val="24"/>
          <w:lang w:eastAsia="fr-FR"/>
        </w:rPr>
        <w:t xml:space="preserve">- </w:t>
      </w:r>
      <w:r w:rsidR="004138CE" w:rsidRPr="00636B24">
        <w:rPr>
          <w:bCs/>
          <w:color w:val="auto"/>
          <w:szCs w:val="24"/>
          <w:lang w:eastAsia="fr-FR"/>
        </w:rPr>
        <w:t xml:space="preserve">Weight growth </w:t>
      </w:r>
      <w:r w:rsidR="000A5EC9" w:rsidRPr="00636B24">
        <w:rPr>
          <w:bCs/>
          <w:color w:val="auto"/>
          <w:szCs w:val="24"/>
          <w:lang w:eastAsia="fr-FR"/>
        </w:rPr>
        <w:t xml:space="preserve">(Pm) </w:t>
      </w:r>
      <w:r w:rsidR="004138CE" w:rsidRPr="00636B24">
        <w:rPr>
          <w:bCs/>
          <w:color w:val="auto"/>
          <w:szCs w:val="24"/>
          <w:lang w:eastAsia="fr-FR"/>
        </w:rPr>
        <w:t>and Length growth</w:t>
      </w:r>
      <w:bookmarkEnd w:id="9"/>
      <w:bookmarkEnd w:id="10"/>
      <w:r w:rsidR="000A5EC9" w:rsidRPr="00636B24">
        <w:rPr>
          <w:bCs/>
          <w:color w:val="auto"/>
          <w:szCs w:val="24"/>
          <w:lang w:eastAsia="fr-FR"/>
        </w:rPr>
        <w:t xml:space="preserve"> s (Lm)</w:t>
      </w:r>
      <w:r>
        <w:rPr>
          <w:bCs/>
          <w:color w:val="auto"/>
          <w:szCs w:val="24"/>
          <w:lang w:eastAsia="fr-FR"/>
        </w:rPr>
        <w:t xml:space="preserve">, whose formulas </w:t>
      </w:r>
      <w:proofErr w:type="gramStart"/>
      <w:r>
        <w:rPr>
          <w:bCs/>
          <w:color w:val="auto"/>
          <w:szCs w:val="24"/>
          <w:lang w:eastAsia="fr-FR"/>
        </w:rPr>
        <w:t>are:</w:t>
      </w:r>
      <w:proofErr w:type="gramEnd"/>
    </w:p>
    <w:p w14:paraId="59106988" w14:textId="77777777" w:rsidR="00987206" w:rsidRDefault="004138CE" w:rsidP="00F11C90">
      <w:pPr>
        <w:suppressAutoHyphens w:val="0"/>
        <w:autoSpaceDN/>
        <w:ind w:left="10" w:hanging="10"/>
        <w:textAlignment w:val="auto"/>
        <w:rPr>
          <w:szCs w:val="24"/>
          <w:lang w:eastAsia="fr-FR"/>
        </w:rPr>
      </w:pPr>
      <w:r>
        <w:rPr>
          <w:szCs w:val="24"/>
          <w:lang w:eastAsia="fr-FR"/>
        </w:rPr>
        <w:t>Pm (</w:t>
      </w:r>
      <w:r>
        <w:rPr>
          <w:rFonts w:ascii="Cambria Math" w:hAnsi="Cambria Math" w:cs="Cambria Math"/>
          <w:szCs w:val="24"/>
          <w:lang w:eastAsia="fr-FR"/>
        </w:rPr>
        <w:t>𝑔</w:t>
      </w:r>
      <w:r>
        <w:rPr>
          <w:szCs w:val="24"/>
          <w:lang w:eastAsia="fr-FR"/>
        </w:rPr>
        <w:t xml:space="preserve">) = Sum of the weights of the individuals weighed / Total number of subjects weighed </w:t>
      </w:r>
    </w:p>
    <w:p w14:paraId="65AD5F58" w14:textId="77777777" w:rsidR="00987206" w:rsidRDefault="004138CE" w:rsidP="00F11C90">
      <w:pPr>
        <w:suppressAutoHyphens w:val="0"/>
        <w:autoSpaceDN/>
        <w:ind w:left="11" w:hanging="11"/>
        <w:textAlignment w:val="auto"/>
        <w:rPr>
          <w:szCs w:val="24"/>
          <w:lang w:eastAsia="fr-FR"/>
        </w:rPr>
      </w:pPr>
      <w:r>
        <w:rPr>
          <w:szCs w:val="24"/>
          <w:lang w:eastAsia="fr-FR"/>
        </w:rPr>
        <w:t xml:space="preserve">Lm (cm) = Sum of the lengths of the weighed individuals / Total number of weighed subjects </w:t>
      </w:r>
      <w:bookmarkStart w:id="11" w:name="_Toc147753296"/>
      <w:bookmarkStart w:id="12" w:name="_Toc140482510"/>
    </w:p>
    <w:p w14:paraId="472FA41C" w14:textId="77777777" w:rsidR="00987206" w:rsidRPr="00636B24" w:rsidRDefault="00636B24" w:rsidP="00636B24">
      <w:pPr>
        <w:suppressAutoHyphens w:val="0"/>
        <w:autoSpaceDN/>
        <w:textAlignment w:val="auto"/>
        <w:rPr>
          <w:bCs/>
          <w:szCs w:val="24"/>
          <w:lang w:eastAsia="fr-FR"/>
        </w:rPr>
      </w:pPr>
      <w:r>
        <w:rPr>
          <w:bCs/>
          <w:color w:val="auto"/>
          <w:szCs w:val="24"/>
          <w:lang w:eastAsia="fr-FR"/>
        </w:rPr>
        <w:t xml:space="preserve">- </w:t>
      </w:r>
      <w:r w:rsidR="004138CE" w:rsidRPr="00636B24">
        <w:rPr>
          <w:bCs/>
          <w:color w:val="auto"/>
          <w:szCs w:val="24"/>
          <w:lang w:eastAsia="fr-FR"/>
        </w:rPr>
        <w:t>Average Daily Gain (ADG)</w:t>
      </w:r>
      <w:bookmarkEnd w:id="11"/>
      <w:bookmarkEnd w:id="12"/>
      <w:r>
        <w:rPr>
          <w:bCs/>
          <w:color w:val="auto"/>
          <w:szCs w:val="24"/>
          <w:lang w:eastAsia="fr-FR"/>
        </w:rPr>
        <w:t xml:space="preserve">, calculated using the </w:t>
      </w:r>
      <w:proofErr w:type="gramStart"/>
      <w:r>
        <w:rPr>
          <w:bCs/>
          <w:color w:val="auto"/>
          <w:szCs w:val="24"/>
          <w:lang w:eastAsia="fr-FR"/>
        </w:rPr>
        <w:t>formula:</w:t>
      </w:r>
      <w:proofErr w:type="gramEnd"/>
    </w:p>
    <w:p w14:paraId="09B7AAA8" w14:textId="77777777" w:rsidR="00987206" w:rsidRDefault="004138CE" w:rsidP="00F11C90">
      <w:pPr>
        <w:suppressAutoHyphens w:val="0"/>
        <w:autoSpaceDN/>
        <w:ind w:left="11" w:hanging="11"/>
        <w:textAlignment w:val="auto"/>
        <w:rPr>
          <w:szCs w:val="24"/>
          <w:lang w:eastAsia="fr-FR"/>
        </w:rPr>
      </w:pPr>
      <w:r>
        <w:rPr>
          <w:szCs w:val="24"/>
          <w:highlight w:val="yellow"/>
          <w:lang w:eastAsia="fr-FR"/>
        </w:rPr>
        <w:t>ADG (mg/day)</w:t>
      </w:r>
      <w:r>
        <w:rPr>
          <w:szCs w:val="24"/>
          <w:lang w:eastAsia="fr-FR"/>
        </w:rPr>
        <w:t xml:space="preserve"> = (Average final weight - Average initial weight) / Rearing period </w:t>
      </w:r>
      <w:bookmarkStart w:id="13" w:name="_Toc140482511"/>
      <w:bookmarkStart w:id="14" w:name="_Toc147753297"/>
    </w:p>
    <w:p w14:paraId="661A9265" w14:textId="77777777" w:rsidR="00987206" w:rsidRPr="00636B24" w:rsidRDefault="00636B24" w:rsidP="00636B24">
      <w:pPr>
        <w:suppressAutoHyphens w:val="0"/>
        <w:autoSpaceDN/>
        <w:textAlignment w:val="auto"/>
        <w:rPr>
          <w:bCs/>
          <w:szCs w:val="24"/>
          <w:lang w:eastAsia="fr-FR"/>
        </w:rPr>
      </w:pPr>
      <w:r>
        <w:rPr>
          <w:bCs/>
          <w:color w:val="auto"/>
          <w:szCs w:val="24"/>
          <w:lang w:eastAsia="fr-FR"/>
        </w:rPr>
        <w:t xml:space="preserve">- </w:t>
      </w:r>
      <w:r w:rsidR="004138CE" w:rsidRPr="00636B24">
        <w:rPr>
          <w:bCs/>
          <w:color w:val="auto"/>
          <w:szCs w:val="24"/>
          <w:lang w:eastAsia="fr-FR"/>
        </w:rPr>
        <w:t>Coefficient of Variation (CV)</w:t>
      </w:r>
      <w:bookmarkEnd w:id="13"/>
      <w:bookmarkEnd w:id="14"/>
      <w:r>
        <w:rPr>
          <w:bCs/>
          <w:color w:val="auto"/>
          <w:szCs w:val="24"/>
          <w:lang w:eastAsia="fr-FR"/>
        </w:rPr>
        <w:t xml:space="preserve"> by the </w:t>
      </w:r>
      <w:proofErr w:type="gramStart"/>
      <w:r>
        <w:rPr>
          <w:bCs/>
          <w:color w:val="auto"/>
          <w:szCs w:val="24"/>
          <w:lang w:eastAsia="fr-FR"/>
        </w:rPr>
        <w:t>formula:</w:t>
      </w:r>
      <w:proofErr w:type="gramEnd"/>
    </w:p>
    <w:p w14:paraId="246F22B5" w14:textId="77777777" w:rsidR="00987206" w:rsidRDefault="004138CE" w:rsidP="00636B24">
      <w:pPr>
        <w:suppressAutoHyphens w:val="0"/>
        <w:autoSpaceDN/>
        <w:ind w:left="10" w:hanging="10"/>
        <w:textAlignment w:val="auto"/>
        <w:rPr>
          <w:szCs w:val="24"/>
          <w:lang w:eastAsia="fr-FR"/>
        </w:rPr>
      </w:pPr>
      <w:r>
        <w:rPr>
          <w:szCs w:val="24"/>
          <w:lang w:eastAsia="fr-FR"/>
        </w:rPr>
        <w:t xml:space="preserve">CV (%) = (Standard Deviation / </w:t>
      </w:r>
      <w:r w:rsidR="00377CB9">
        <w:rPr>
          <w:szCs w:val="24"/>
          <w:lang w:eastAsia="fr-FR"/>
        </w:rPr>
        <w:t>Average</w:t>
      </w:r>
      <w:r>
        <w:rPr>
          <w:szCs w:val="24"/>
          <w:lang w:eastAsia="fr-FR"/>
        </w:rPr>
        <w:t>) × 100</w:t>
      </w:r>
      <w:r w:rsidR="00636B24">
        <w:rPr>
          <w:szCs w:val="24"/>
          <w:lang w:eastAsia="fr-FR"/>
        </w:rPr>
        <w:t xml:space="preserve">. When the </w:t>
      </w:r>
      <w:r>
        <w:rPr>
          <w:szCs w:val="24"/>
          <w:lang w:eastAsia="fr-FR"/>
        </w:rPr>
        <w:t xml:space="preserve">CV </w:t>
      </w:r>
      <w:r w:rsidR="00636B24">
        <w:rPr>
          <w:szCs w:val="24"/>
          <w:lang w:eastAsia="fr-FR"/>
        </w:rPr>
        <w:t xml:space="preserve">is </w:t>
      </w:r>
      <w:r>
        <w:rPr>
          <w:szCs w:val="24"/>
          <w:lang w:eastAsia="fr-FR"/>
        </w:rPr>
        <w:t xml:space="preserve">less than 2%, the population is considered highly </w:t>
      </w:r>
      <w:proofErr w:type="gramStart"/>
      <w:r>
        <w:rPr>
          <w:szCs w:val="24"/>
          <w:lang w:eastAsia="fr-FR"/>
        </w:rPr>
        <w:t>homogeneous;</w:t>
      </w:r>
      <w:proofErr w:type="gramEnd"/>
      <w:r>
        <w:rPr>
          <w:szCs w:val="24"/>
          <w:lang w:eastAsia="fr-FR"/>
        </w:rPr>
        <w:t xml:space="preserve"> when the CV is between 2% and 30%, the population is considered </w:t>
      </w:r>
      <w:proofErr w:type="gramStart"/>
      <w:r>
        <w:rPr>
          <w:szCs w:val="24"/>
          <w:lang w:eastAsia="fr-FR"/>
        </w:rPr>
        <w:t>homogeneous</w:t>
      </w:r>
      <w:r w:rsidR="00636B24">
        <w:rPr>
          <w:szCs w:val="24"/>
          <w:lang w:eastAsia="fr-FR"/>
        </w:rPr>
        <w:t>;</w:t>
      </w:r>
      <w:proofErr w:type="gramEnd"/>
      <w:r w:rsidR="00636B24">
        <w:rPr>
          <w:szCs w:val="24"/>
          <w:lang w:eastAsia="fr-FR"/>
        </w:rPr>
        <w:t xml:space="preserve"> and if the </w:t>
      </w:r>
      <w:r>
        <w:rPr>
          <w:szCs w:val="24"/>
          <w:lang w:eastAsia="fr-FR"/>
        </w:rPr>
        <w:t xml:space="preserve">CV is greater than 30%, the population is considered heterogeneous. </w:t>
      </w:r>
      <w:bookmarkStart w:id="15" w:name="_Toc147753298"/>
      <w:bookmarkStart w:id="16" w:name="_Toc140482512"/>
    </w:p>
    <w:p w14:paraId="56933073" w14:textId="77777777" w:rsidR="00987206" w:rsidRPr="00636B24" w:rsidRDefault="00636B24" w:rsidP="00636B24">
      <w:pPr>
        <w:suppressAutoHyphens w:val="0"/>
        <w:autoSpaceDN/>
        <w:textAlignment w:val="auto"/>
        <w:rPr>
          <w:bCs/>
          <w:szCs w:val="24"/>
          <w:lang w:eastAsia="fr-FR"/>
        </w:rPr>
      </w:pPr>
      <w:r>
        <w:rPr>
          <w:bCs/>
          <w:color w:val="auto"/>
          <w:szCs w:val="24"/>
          <w:lang w:val="en-US" w:eastAsia="fr-FR"/>
        </w:rPr>
        <w:t xml:space="preserve">- The </w:t>
      </w:r>
      <w:r w:rsidR="004138CE" w:rsidRPr="00636B24">
        <w:rPr>
          <w:bCs/>
          <w:color w:val="auto"/>
          <w:szCs w:val="24"/>
          <w:lang w:eastAsia="fr-FR"/>
        </w:rPr>
        <w:t xml:space="preserve">condition </w:t>
      </w:r>
      <w:r w:rsidR="004138CE" w:rsidRPr="00636B24">
        <w:rPr>
          <w:bCs/>
          <w:color w:val="auto"/>
          <w:szCs w:val="24"/>
          <w:lang w:val="en-US" w:eastAsia="fr-FR"/>
        </w:rPr>
        <w:t xml:space="preserve">factor </w:t>
      </w:r>
      <w:proofErr w:type="gramStart"/>
      <w:r w:rsidR="004138CE" w:rsidRPr="00636B24">
        <w:rPr>
          <w:bCs/>
          <w:color w:val="auto"/>
          <w:szCs w:val="24"/>
          <w:lang w:eastAsia="fr-FR"/>
        </w:rPr>
        <w:t>K</w:t>
      </w:r>
      <w:bookmarkEnd w:id="15"/>
      <w:bookmarkEnd w:id="16"/>
      <w:r>
        <w:rPr>
          <w:bCs/>
          <w:color w:val="auto"/>
          <w:szCs w:val="24"/>
          <w:lang w:eastAsia="fr-FR"/>
        </w:rPr>
        <w:t xml:space="preserve"> ,</w:t>
      </w:r>
      <w:proofErr w:type="gramEnd"/>
      <w:r>
        <w:rPr>
          <w:bCs/>
          <w:color w:val="auto"/>
          <w:szCs w:val="24"/>
          <w:lang w:eastAsia="fr-FR"/>
        </w:rPr>
        <w:t xml:space="preserve"> which is calculated using the formula:</w:t>
      </w:r>
    </w:p>
    <w:p w14:paraId="67B69C8B" w14:textId="77777777" w:rsidR="00987206" w:rsidRDefault="00636B24" w:rsidP="00F11C90">
      <w:pPr>
        <w:suppressAutoHyphens w:val="0"/>
        <w:autoSpaceDN/>
        <w:textAlignment w:val="auto"/>
        <w:rPr>
          <w:szCs w:val="24"/>
          <w:lang w:eastAsia="fr-FR"/>
        </w:rPr>
      </w:pPr>
      <w:r w:rsidRPr="00636B24">
        <w:rPr>
          <w:bCs/>
          <w:szCs w:val="24"/>
          <w:lang w:eastAsia="fr-FR"/>
        </w:rPr>
        <w:t xml:space="preserve">K </w:t>
      </w:r>
      <w:r>
        <w:rPr>
          <w:bCs/>
          <w:szCs w:val="24"/>
          <w:lang w:eastAsia="fr-FR"/>
        </w:rPr>
        <w:t xml:space="preserve">= </w:t>
      </w:r>
      <w:r w:rsidR="00A574A2">
        <w:rPr>
          <w:bCs/>
          <w:szCs w:val="24"/>
          <w:lang w:eastAsia="fr-FR"/>
        </w:rPr>
        <w:t>(</w:t>
      </w:r>
      <w:r>
        <w:rPr>
          <w:bCs/>
          <w:szCs w:val="24"/>
          <w:lang w:eastAsia="fr-FR"/>
        </w:rPr>
        <w:t>P / L</w:t>
      </w:r>
      <w:r w:rsidRPr="00636B24">
        <w:rPr>
          <w:bCs/>
          <w:szCs w:val="24"/>
          <w:highlight w:val="yellow"/>
          <w:vertAlign w:val="superscript"/>
          <w:lang w:eastAsia="fr-FR"/>
        </w:rPr>
        <w:t>3</w:t>
      </w:r>
      <w:r w:rsidR="00A574A2">
        <w:rPr>
          <w:szCs w:val="24"/>
          <w:lang w:eastAsia="fr-FR"/>
        </w:rPr>
        <w:t xml:space="preserve">) × </w:t>
      </w:r>
      <w:proofErr w:type="gramStart"/>
      <w:r w:rsidR="00A574A2">
        <w:rPr>
          <w:szCs w:val="24"/>
          <w:lang w:eastAsia="fr-FR"/>
        </w:rPr>
        <w:t>100;</w:t>
      </w:r>
      <w:proofErr w:type="gramEnd"/>
      <w:r w:rsidR="00A574A2">
        <w:rPr>
          <w:szCs w:val="24"/>
          <w:lang w:eastAsia="fr-FR"/>
        </w:rPr>
        <w:t xml:space="preserve"> </w:t>
      </w:r>
      <w:r w:rsidR="004138CE">
        <w:rPr>
          <w:szCs w:val="24"/>
          <w:lang w:eastAsia="fr-FR"/>
        </w:rPr>
        <w:t>where P = total weight of the fish in grams and L = total length of the fish in centimeters.</w:t>
      </w:r>
      <w:bookmarkStart w:id="17" w:name="_Toc140482513"/>
      <w:bookmarkStart w:id="18" w:name="_Toc147753299"/>
    </w:p>
    <w:p w14:paraId="63A0687F" w14:textId="77777777" w:rsidR="00987206" w:rsidRPr="00A574A2" w:rsidRDefault="00A574A2" w:rsidP="00A574A2">
      <w:pPr>
        <w:suppressAutoHyphens w:val="0"/>
        <w:autoSpaceDN/>
        <w:textAlignment w:val="auto"/>
        <w:rPr>
          <w:bCs/>
          <w:szCs w:val="24"/>
          <w:lang w:eastAsia="fr-FR"/>
        </w:rPr>
      </w:pPr>
      <w:r>
        <w:rPr>
          <w:bCs/>
          <w:color w:val="auto"/>
          <w:szCs w:val="24"/>
          <w:lang w:eastAsia="fr-FR"/>
        </w:rPr>
        <w:lastRenderedPageBreak/>
        <w:t xml:space="preserve">- The </w:t>
      </w:r>
      <w:r w:rsidR="004138CE" w:rsidRPr="00A574A2">
        <w:rPr>
          <w:bCs/>
          <w:color w:val="auto"/>
          <w:szCs w:val="24"/>
          <w:lang w:eastAsia="fr-FR"/>
        </w:rPr>
        <w:t>survival rate (SR</w:t>
      </w:r>
      <w:proofErr w:type="gramStart"/>
      <w:r w:rsidR="004138CE" w:rsidRPr="00A574A2">
        <w:rPr>
          <w:bCs/>
          <w:color w:val="auto"/>
          <w:szCs w:val="24"/>
          <w:lang w:eastAsia="fr-FR"/>
        </w:rPr>
        <w:t>)</w:t>
      </w:r>
      <w:bookmarkEnd w:id="17"/>
      <w:bookmarkEnd w:id="18"/>
      <w:r>
        <w:rPr>
          <w:bCs/>
          <w:color w:val="auto"/>
          <w:szCs w:val="24"/>
          <w:lang w:eastAsia="fr-FR"/>
        </w:rPr>
        <w:t xml:space="preserve"> .</w:t>
      </w:r>
      <w:proofErr w:type="gramEnd"/>
      <w:r>
        <w:rPr>
          <w:bCs/>
          <w:color w:val="auto"/>
          <w:szCs w:val="24"/>
          <w:lang w:eastAsia="fr-FR"/>
        </w:rPr>
        <w:t xml:space="preserve"> It is calculated using the following </w:t>
      </w:r>
      <w:proofErr w:type="gramStart"/>
      <w:r>
        <w:rPr>
          <w:bCs/>
          <w:color w:val="auto"/>
          <w:szCs w:val="24"/>
          <w:lang w:eastAsia="fr-FR"/>
        </w:rPr>
        <w:t>formula:</w:t>
      </w:r>
      <w:proofErr w:type="gramEnd"/>
    </w:p>
    <w:p w14:paraId="1BD5AE79" w14:textId="77777777" w:rsidR="00987206" w:rsidRDefault="004138CE" w:rsidP="00F11C90">
      <w:pPr>
        <w:suppressAutoHyphens w:val="0"/>
        <w:autoSpaceDN/>
        <w:ind w:left="10" w:hanging="10"/>
        <w:textAlignment w:val="auto"/>
        <w:rPr>
          <w:szCs w:val="24"/>
          <w:lang w:eastAsia="fr-FR"/>
        </w:rPr>
      </w:pPr>
      <w:r>
        <w:rPr>
          <w:szCs w:val="24"/>
          <w:lang w:eastAsia="fr-FR"/>
        </w:rPr>
        <w:t xml:space="preserve">SR (%) = (Number of fish remaining / Initial number of fish) × 100 </w:t>
      </w:r>
      <w:bookmarkStart w:id="19" w:name="_Toc147753300"/>
      <w:bookmarkStart w:id="20" w:name="_Toc140482514"/>
    </w:p>
    <w:p w14:paraId="6F9325BB" w14:textId="77777777" w:rsidR="00377CB9" w:rsidRDefault="00377CB9" w:rsidP="00F11C90">
      <w:pPr>
        <w:suppressAutoHyphens w:val="0"/>
        <w:autoSpaceDN/>
        <w:ind w:left="10" w:hanging="10"/>
        <w:textAlignment w:val="auto"/>
        <w:rPr>
          <w:szCs w:val="24"/>
          <w:lang w:eastAsia="fr-FR"/>
        </w:rPr>
      </w:pPr>
    </w:p>
    <w:p w14:paraId="7B1B6599" w14:textId="77777777" w:rsidR="00377CB9" w:rsidRDefault="00377CB9" w:rsidP="00F11C90">
      <w:pPr>
        <w:suppressAutoHyphens w:val="0"/>
        <w:autoSpaceDN/>
        <w:ind w:left="10" w:hanging="10"/>
        <w:textAlignment w:val="auto"/>
        <w:rPr>
          <w:szCs w:val="24"/>
          <w:lang w:eastAsia="fr-FR"/>
        </w:rPr>
      </w:pPr>
    </w:p>
    <w:p w14:paraId="6515A9B9" w14:textId="77777777" w:rsidR="00377CB9" w:rsidRDefault="00377CB9" w:rsidP="00F11C90">
      <w:pPr>
        <w:suppressAutoHyphens w:val="0"/>
        <w:autoSpaceDN/>
        <w:ind w:left="10" w:hanging="10"/>
        <w:textAlignment w:val="auto"/>
        <w:rPr>
          <w:szCs w:val="24"/>
          <w:lang w:eastAsia="fr-FR"/>
        </w:rPr>
      </w:pPr>
    </w:p>
    <w:p w14:paraId="0B1D03E3" w14:textId="77777777" w:rsidR="00377CB9" w:rsidRDefault="00377CB9" w:rsidP="00F11C90">
      <w:pPr>
        <w:suppressAutoHyphens w:val="0"/>
        <w:autoSpaceDN/>
        <w:ind w:left="10" w:hanging="10"/>
        <w:textAlignment w:val="auto"/>
        <w:rPr>
          <w:szCs w:val="24"/>
          <w:lang w:eastAsia="fr-FR"/>
        </w:rPr>
      </w:pPr>
    </w:p>
    <w:p w14:paraId="732AE198" w14:textId="77777777" w:rsidR="00CB5F37" w:rsidRPr="00325F3C" w:rsidRDefault="00A574A2" w:rsidP="00A574A2">
      <w:pPr>
        <w:suppressAutoHyphens w:val="0"/>
        <w:autoSpaceDN/>
        <w:spacing w:before="240"/>
        <w:textAlignment w:val="auto"/>
        <w:rPr>
          <w:b/>
          <w:iCs/>
          <w:color w:val="auto"/>
          <w:szCs w:val="24"/>
          <w:lang w:eastAsia="fr-FR"/>
        </w:rPr>
      </w:pPr>
      <w:bookmarkStart w:id="21" w:name="_Toc147753301"/>
      <w:bookmarkStart w:id="22" w:name="_Toc140482515"/>
      <w:bookmarkEnd w:id="19"/>
      <w:bookmarkEnd w:id="20"/>
      <w:r>
        <w:rPr>
          <w:b/>
          <w:iCs/>
          <w:color w:val="auto"/>
          <w:szCs w:val="24"/>
          <w:lang w:eastAsia="fr-FR"/>
        </w:rPr>
        <w:t xml:space="preserve">2.3.4. </w:t>
      </w:r>
      <w:r w:rsidR="00CB5F37" w:rsidRPr="00325F3C">
        <w:rPr>
          <w:b/>
          <w:iCs/>
          <w:color w:val="auto"/>
          <w:szCs w:val="24"/>
          <w:lang w:eastAsia="fr-FR"/>
        </w:rPr>
        <w:t xml:space="preserve">Statistical Analyses </w:t>
      </w:r>
    </w:p>
    <w:bookmarkEnd w:id="21"/>
    <w:bookmarkEnd w:id="22"/>
    <w:p w14:paraId="3A84F3F2" w14:textId="4DB0C922" w:rsidR="00987206" w:rsidRPr="00592310" w:rsidRDefault="004138CE" w:rsidP="00592310">
      <w:pPr>
        <w:spacing w:before="240"/>
        <w:rPr>
          <w:szCs w:val="24"/>
        </w:rPr>
      </w:pPr>
      <w:r w:rsidRPr="001E1BFF">
        <w:rPr>
          <w:rFonts w:eastAsia="SimSun"/>
          <w:szCs w:val="24"/>
          <w:lang w:eastAsia="zh-CN" w:bidi="ar"/>
        </w:rPr>
        <w:t xml:space="preserve">The data were first subjected to a descriptive analysis using Excel 2016. </w:t>
      </w:r>
      <w:r>
        <w:rPr>
          <w:rFonts w:eastAsia="SimSun"/>
          <w:szCs w:val="24"/>
          <w:highlight w:val="yellow"/>
          <w:lang w:eastAsia="zh-CN" w:bidi="ar"/>
        </w:rPr>
        <w:t>This enabled the calculation of means and standard deviations</w:t>
      </w:r>
      <w:r w:rsidRPr="001E1BFF">
        <w:rPr>
          <w:rFonts w:eastAsia="SimSun"/>
          <w:szCs w:val="24"/>
          <w:lang w:eastAsia="zh-CN" w:bidi="ar"/>
        </w:rPr>
        <w:t xml:space="preserve"> and to present the data in graphical form. </w:t>
      </w:r>
      <w:r>
        <w:rPr>
          <w:rFonts w:eastAsia="SimSun"/>
          <w:szCs w:val="24"/>
          <w:highlight w:val="yellow"/>
          <w:lang w:eastAsia="zh-CN" w:bidi="ar"/>
        </w:rPr>
        <w:t>The results were presented as mean ± standard deviation.</w:t>
      </w:r>
      <w:r w:rsidRPr="001E1BFF">
        <w:rPr>
          <w:rFonts w:eastAsia="SimSun"/>
          <w:szCs w:val="24"/>
          <w:lang w:eastAsia="zh-CN" w:bidi="ar"/>
        </w:rPr>
        <w:t xml:space="preserve"> To compare results across the different groups, </w:t>
      </w:r>
      <w:r>
        <w:rPr>
          <w:rFonts w:eastAsia="SimSun"/>
          <w:szCs w:val="24"/>
          <w:highlight w:val="yellow"/>
          <w:lang w:eastAsia="zh-CN" w:bidi="ar"/>
        </w:rPr>
        <w:t>a one-way analysis of variance (ANOVA)</w:t>
      </w:r>
      <w:r w:rsidRPr="001E1BFF">
        <w:rPr>
          <w:rFonts w:eastAsia="SimSun"/>
          <w:szCs w:val="24"/>
          <w:lang w:eastAsia="zh-CN" w:bidi="ar"/>
        </w:rPr>
        <w:t xml:space="preserve"> was performed using Statistica 7.1 software. The threshold for statistical significance was set at</w:t>
      </w:r>
      <w:r w:rsidRPr="00325F3C">
        <w:rPr>
          <w:rFonts w:eastAsia="SimSun"/>
          <w:color w:val="auto"/>
          <w:szCs w:val="24"/>
          <w:lang w:eastAsia="zh-CN" w:bidi="ar"/>
        </w:rPr>
        <w:t xml:space="preserve"> 5% </w:t>
      </w:r>
      <w:r w:rsidRPr="001E1BFF">
        <w:rPr>
          <w:rFonts w:eastAsia="SimSun"/>
          <w:szCs w:val="24"/>
          <w:lang w:eastAsia="zh-CN" w:bidi="ar"/>
        </w:rPr>
        <w:t>(</w:t>
      </w:r>
      <w:r>
        <w:rPr>
          <w:rFonts w:eastAsia="SimSun"/>
          <w:szCs w:val="24"/>
          <w:lang w:val="en-US" w:eastAsia="zh-CN" w:bidi="ar"/>
        </w:rPr>
        <w:t xml:space="preserve">α </w:t>
      </w:r>
      <w:r w:rsidRPr="001E1BFF">
        <w:rPr>
          <w:rFonts w:eastAsia="SimSun"/>
          <w:szCs w:val="24"/>
          <w:lang w:eastAsia="zh-CN" w:bidi="ar"/>
        </w:rPr>
        <w:t>= 0.05). When a significant difference was observed following the ANOVA, post hoc comparisons were performed using Tukey’s HSD test.</w:t>
      </w:r>
    </w:p>
    <w:p w14:paraId="198F70AB" w14:textId="77777777" w:rsidR="00987206" w:rsidRPr="001E1BFF" w:rsidRDefault="00987206" w:rsidP="00F11C90">
      <w:pPr>
        <w:rPr>
          <w:rFonts w:eastAsia="SimSun"/>
          <w:szCs w:val="24"/>
          <w:lang w:eastAsia="zh-CN" w:bidi="ar"/>
        </w:rPr>
      </w:pPr>
    </w:p>
    <w:p w14:paraId="2EE21D39" w14:textId="77777777" w:rsidR="00987206" w:rsidRDefault="00A574A2" w:rsidP="00F11C90">
      <w:pPr>
        <w:rPr>
          <w:b/>
          <w:iCs/>
          <w:caps/>
          <w:color w:val="auto"/>
          <w:szCs w:val="24"/>
        </w:rPr>
      </w:pPr>
      <w:r>
        <w:rPr>
          <w:b/>
          <w:iCs/>
          <w:caps/>
          <w:color w:val="auto"/>
          <w:szCs w:val="24"/>
        </w:rPr>
        <w:t xml:space="preserve">3. </w:t>
      </w:r>
      <w:r w:rsidR="004138CE" w:rsidRPr="00A574A2">
        <w:rPr>
          <w:b/>
          <w:iCs/>
          <w:color w:val="auto"/>
          <w:szCs w:val="24"/>
        </w:rPr>
        <w:t>R</w:t>
      </w:r>
      <w:bookmarkStart w:id="23" w:name="_Toc147753304"/>
      <w:bookmarkStart w:id="24" w:name="_Toc140482518"/>
      <w:r w:rsidRPr="00A574A2">
        <w:rPr>
          <w:b/>
          <w:iCs/>
          <w:color w:val="auto"/>
          <w:szCs w:val="24"/>
        </w:rPr>
        <w:t>esults</w:t>
      </w:r>
    </w:p>
    <w:p w14:paraId="3387EA07" w14:textId="77777777" w:rsidR="00987206" w:rsidRDefault="00A574A2" w:rsidP="00A574A2">
      <w:pPr>
        <w:spacing w:before="240"/>
        <w:rPr>
          <w:b/>
          <w:iCs/>
          <w:color w:val="auto"/>
          <w:szCs w:val="24"/>
        </w:rPr>
      </w:pPr>
      <w:r>
        <w:rPr>
          <w:b/>
          <w:color w:val="auto"/>
          <w:szCs w:val="24"/>
          <w:lang w:eastAsia="fr-FR"/>
        </w:rPr>
        <w:t xml:space="preserve">3.1. </w:t>
      </w:r>
      <w:r w:rsidR="004138CE">
        <w:rPr>
          <w:b/>
          <w:color w:val="auto"/>
          <w:szCs w:val="24"/>
          <w:lang w:eastAsia="fr-FR"/>
        </w:rPr>
        <w:t>Physicochemical Parameters of the Rearing Water</w:t>
      </w:r>
      <w:bookmarkEnd w:id="23"/>
      <w:bookmarkEnd w:id="24"/>
    </w:p>
    <w:p w14:paraId="0029CB9D" w14:textId="77777777" w:rsidR="00987206" w:rsidRDefault="004138CE" w:rsidP="00A574A2">
      <w:pPr>
        <w:suppressAutoHyphens w:val="0"/>
        <w:autoSpaceDN/>
        <w:spacing w:before="240"/>
        <w:textAlignment w:val="auto"/>
        <w:rPr>
          <w:color w:val="auto"/>
          <w:szCs w:val="24"/>
          <w:lang w:eastAsia="fr-FR"/>
        </w:rPr>
      </w:pPr>
      <w:r w:rsidRPr="001E1BFF">
        <w:rPr>
          <w:color w:val="auto"/>
          <w:szCs w:val="24"/>
          <w:lang w:eastAsia="fr-FR"/>
        </w:rPr>
        <w:t>Changes in the water’s physicochemical parameters are shown in Table</w:t>
      </w:r>
      <w:r w:rsidR="007F4122" w:rsidRPr="001E1BFF">
        <w:rPr>
          <w:color w:val="auto"/>
          <w:szCs w:val="24"/>
          <w:lang w:eastAsia="fr-FR"/>
        </w:rPr>
        <w:t xml:space="preserve"> 1. </w:t>
      </w:r>
      <w:r w:rsidRPr="001E1BFF">
        <w:rPr>
          <w:color w:val="auto"/>
          <w:szCs w:val="24"/>
          <w:lang w:eastAsia="fr-FR"/>
        </w:rPr>
        <w:t xml:space="preserve">The </w:t>
      </w:r>
      <w:r>
        <w:rPr>
          <w:color w:val="auto"/>
          <w:szCs w:val="24"/>
          <w:lang w:eastAsia="fr-FR"/>
        </w:rPr>
        <w:t xml:space="preserve">dissolved oxygen level </w:t>
      </w:r>
      <w:r w:rsidRPr="001E1BFF">
        <w:rPr>
          <w:color w:val="auto"/>
          <w:szCs w:val="24"/>
          <w:lang w:eastAsia="fr-FR"/>
        </w:rPr>
        <w:t xml:space="preserve">and pH showed </w:t>
      </w:r>
      <w:r w:rsidR="00BD1642" w:rsidRPr="001E1BFF">
        <w:rPr>
          <w:color w:val="auto"/>
          <w:szCs w:val="24"/>
          <w:lang w:eastAsia="fr-FR"/>
        </w:rPr>
        <w:t>slight</w:t>
      </w:r>
      <w:r w:rsidRPr="001E1BFF">
        <w:rPr>
          <w:color w:val="auto"/>
          <w:szCs w:val="24"/>
          <w:lang w:eastAsia="fr-FR"/>
        </w:rPr>
        <w:t xml:space="preserve"> </w:t>
      </w:r>
      <w:r w:rsidR="00BD1642" w:rsidRPr="001E1BFF">
        <w:rPr>
          <w:color w:val="auto"/>
          <w:szCs w:val="24"/>
          <w:lang w:eastAsia="fr-FR"/>
        </w:rPr>
        <w:t xml:space="preserve">fluctuations </w:t>
      </w:r>
      <w:r w:rsidRPr="001E1BFF">
        <w:rPr>
          <w:color w:val="auto"/>
          <w:szCs w:val="24"/>
          <w:lang w:eastAsia="fr-FR"/>
        </w:rPr>
        <w:t>relative to temperature. The temperature ranged from</w:t>
      </w:r>
      <w:r>
        <w:rPr>
          <w:color w:val="auto"/>
        </w:rPr>
        <w:t xml:space="preserve"> 27.20 to 29.20°C, with an average of </w:t>
      </w:r>
      <w:r>
        <w:rPr>
          <w:color w:val="auto"/>
          <w:highlight w:val="yellow"/>
        </w:rPr>
        <w:t>28.20 ± 0.93</w:t>
      </w:r>
      <w:r>
        <w:rPr>
          <w:color w:val="auto"/>
        </w:rPr>
        <w:t>°C</w:t>
      </w:r>
      <w:r w:rsidRPr="001E1BFF">
        <w:rPr>
          <w:color w:val="auto"/>
          <w:szCs w:val="24"/>
          <w:lang w:eastAsia="fr-FR"/>
        </w:rPr>
        <w:t>.</w:t>
      </w:r>
      <w:r>
        <w:rPr>
          <w:color w:val="auto"/>
          <w:szCs w:val="24"/>
          <w:lang w:eastAsia="fr-FR"/>
        </w:rPr>
        <w:t xml:space="preserve"> </w:t>
      </w:r>
      <w:r w:rsidRPr="001E1BFF">
        <w:rPr>
          <w:color w:val="auto"/>
          <w:szCs w:val="24"/>
          <w:lang w:eastAsia="fr-FR"/>
        </w:rPr>
        <w:t xml:space="preserve">With regard to </w:t>
      </w:r>
      <w:r>
        <w:rPr>
          <w:color w:val="auto"/>
          <w:szCs w:val="24"/>
          <w:lang w:eastAsia="fr-FR"/>
        </w:rPr>
        <w:t>dissolved oxygen</w:t>
      </w:r>
      <w:r w:rsidRPr="001E1BFF">
        <w:rPr>
          <w:color w:val="auto"/>
          <w:szCs w:val="24"/>
          <w:lang w:eastAsia="fr-FR"/>
        </w:rPr>
        <w:t xml:space="preserve"> levels, </w:t>
      </w:r>
      <w:r>
        <w:rPr>
          <w:color w:val="auto"/>
          <w:szCs w:val="24"/>
          <w:lang w:eastAsia="fr-FR"/>
        </w:rPr>
        <w:t xml:space="preserve">the recorded values </w:t>
      </w:r>
      <w:r w:rsidRPr="001E1BFF">
        <w:rPr>
          <w:color w:val="auto"/>
          <w:szCs w:val="24"/>
          <w:lang w:eastAsia="fr-FR"/>
        </w:rPr>
        <w:t xml:space="preserve">ranged </w:t>
      </w:r>
      <w:r>
        <w:rPr>
          <w:color w:val="auto"/>
          <w:szCs w:val="24"/>
          <w:lang w:eastAsia="fr-FR"/>
        </w:rPr>
        <w:t>from</w:t>
      </w:r>
      <w:r>
        <w:rPr>
          <w:color w:val="auto"/>
        </w:rPr>
        <w:t xml:space="preserve"> 5.50 </w:t>
      </w:r>
      <w:r w:rsidRPr="001E1BFF">
        <w:rPr>
          <w:color w:val="auto"/>
          <w:szCs w:val="24"/>
          <w:lang w:eastAsia="fr-FR"/>
        </w:rPr>
        <w:t>mg/L to</w:t>
      </w:r>
      <w:r>
        <w:rPr>
          <w:color w:val="auto"/>
        </w:rPr>
        <w:t xml:space="preserve"> 6.</w:t>
      </w:r>
      <w:r w:rsidR="007F4122">
        <w:rPr>
          <w:color w:val="auto"/>
        </w:rPr>
        <w:t xml:space="preserve">70 </w:t>
      </w:r>
      <w:r w:rsidRPr="001E1BFF">
        <w:rPr>
          <w:color w:val="auto"/>
          <w:szCs w:val="24"/>
          <w:lang w:eastAsia="fr-FR"/>
        </w:rPr>
        <w:t xml:space="preserve">mg/L, yielding </w:t>
      </w:r>
      <w:r>
        <w:rPr>
          <w:color w:val="auto"/>
          <w:szCs w:val="24"/>
          <w:lang w:eastAsia="fr-FR"/>
        </w:rPr>
        <w:t>an average of</w:t>
      </w:r>
      <w:r>
        <w:rPr>
          <w:color w:val="auto"/>
        </w:rPr>
        <w:t xml:space="preserve"> </w:t>
      </w:r>
      <w:r>
        <w:rPr>
          <w:color w:val="auto"/>
          <w:highlight w:val="yellow"/>
        </w:rPr>
        <w:t>6.06 ± 0.44</w:t>
      </w:r>
      <w:r>
        <w:rPr>
          <w:color w:val="auto"/>
        </w:rPr>
        <w:t xml:space="preserve"> </w:t>
      </w:r>
      <w:r>
        <w:rPr>
          <w:color w:val="auto"/>
          <w:szCs w:val="24"/>
          <w:lang w:eastAsia="fr-FR"/>
        </w:rPr>
        <w:t xml:space="preserve">mg/L. </w:t>
      </w:r>
      <w:r w:rsidRPr="001E1BFF">
        <w:rPr>
          <w:color w:val="auto"/>
          <w:szCs w:val="24"/>
          <w:lang w:eastAsia="fr-FR"/>
        </w:rPr>
        <w:t xml:space="preserve">Regarding </w:t>
      </w:r>
      <w:r>
        <w:rPr>
          <w:color w:val="auto"/>
          <w:szCs w:val="24"/>
          <w:lang w:eastAsia="fr-FR"/>
        </w:rPr>
        <w:t xml:space="preserve">pH, the </w:t>
      </w:r>
      <w:r w:rsidRPr="001E1BFF">
        <w:rPr>
          <w:color w:val="auto"/>
          <w:szCs w:val="24"/>
          <w:lang w:eastAsia="fr-FR"/>
        </w:rPr>
        <w:t>recorded</w:t>
      </w:r>
      <w:r>
        <w:rPr>
          <w:color w:val="auto"/>
          <w:szCs w:val="24"/>
          <w:lang w:eastAsia="fr-FR"/>
        </w:rPr>
        <w:t xml:space="preserve"> values</w:t>
      </w:r>
      <w:r w:rsidRPr="001E1BFF">
        <w:rPr>
          <w:color w:val="auto"/>
          <w:szCs w:val="24"/>
          <w:lang w:eastAsia="fr-FR"/>
        </w:rPr>
        <w:t xml:space="preserve"> ranged </w:t>
      </w:r>
      <w:r>
        <w:rPr>
          <w:color w:val="auto"/>
          <w:szCs w:val="24"/>
          <w:lang w:eastAsia="fr-FR"/>
        </w:rPr>
        <w:t>from</w:t>
      </w:r>
      <w:r>
        <w:rPr>
          <w:color w:val="auto"/>
        </w:rPr>
        <w:t xml:space="preserve"> 6.58 to 7.60, with </w:t>
      </w:r>
      <w:r>
        <w:rPr>
          <w:color w:val="auto"/>
          <w:szCs w:val="24"/>
          <w:lang w:eastAsia="fr-FR"/>
        </w:rPr>
        <w:t>an average of</w:t>
      </w:r>
      <w:r>
        <w:rPr>
          <w:color w:val="auto"/>
        </w:rPr>
        <w:t xml:space="preserve"> </w:t>
      </w:r>
      <w:r>
        <w:rPr>
          <w:color w:val="auto"/>
          <w:highlight w:val="yellow"/>
        </w:rPr>
        <w:t>7.10 ± 0.41.</w:t>
      </w:r>
      <w:bookmarkStart w:id="25" w:name="_Toc147753305"/>
      <w:bookmarkStart w:id="26" w:name="_Toc140482519"/>
      <w:r>
        <w:rPr>
          <w:color w:val="auto"/>
        </w:rPr>
        <w:t xml:space="preserve"> </w:t>
      </w:r>
      <w:r w:rsidRPr="001E1BFF">
        <w:rPr>
          <w:color w:val="auto"/>
          <w:szCs w:val="24"/>
          <w:lang w:eastAsia="fr-FR"/>
        </w:rPr>
        <w:t xml:space="preserve">The observed values were consistent with the recommended standards for </w:t>
      </w:r>
      <w:r w:rsidRPr="001E1BFF">
        <w:rPr>
          <w:i/>
          <w:iCs/>
          <w:color w:val="auto"/>
          <w:szCs w:val="24"/>
          <w:lang w:eastAsia="fr-FR"/>
        </w:rPr>
        <w:t>O. niloticus</w:t>
      </w:r>
      <w:r w:rsidRPr="001E1BFF">
        <w:rPr>
          <w:color w:val="auto"/>
          <w:szCs w:val="24"/>
          <w:lang w:eastAsia="fr-FR"/>
        </w:rPr>
        <w:t>.</w:t>
      </w:r>
    </w:p>
    <w:p w14:paraId="5E74FAEF" w14:textId="77777777" w:rsidR="004709D4" w:rsidRDefault="004709D4" w:rsidP="004709D4">
      <w:pPr>
        <w:pStyle w:val="Caption"/>
        <w:spacing w:before="240" w:line="480" w:lineRule="auto"/>
        <w:jc w:val="center"/>
        <w:rPr>
          <w:b w:val="0"/>
          <w:color w:val="auto"/>
          <w:sz w:val="24"/>
          <w:szCs w:val="24"/>
        </w:rPr>
      </w:pPr>
      <w:r w:rsidRPr="004709D4">
        <w:rPr>
          <w:b w:val="0"/>
          <w:bCs w:val="0"/>
          <w:color w:val="auto"/>
          <w:sz w:val="24"/>
          <w:szCs w:val="24"/>
        </w:rPr>
        <w:t>Table</w:t>
      </w:r>
      <w:r>
        <w:rPr>
          <w:b w:val="0"/>
          <w:bCs w:val="0"/>
          <w:color w:val="auto"/>
          <w:sz w:val="24"/>
          <w:szCs w:val="24"/>
        </w:rPr>
        <w:t xml:space="preserve"> </w:t>
      </w:r>
      <w:proofErr w:type="gramStart"/>
      <w:r>
        <w:rPr>
          <w:b w:val="0"/>
          <w:bCs w:val="0"/>
          <w:color w:val="auto"/>
          <w:sz w:val="24"/>
          <w:szCs w:val="24"/>
        </w:rPr>
        <w:t>1</w:t>
      </w:r>
      <w:r w:rsidRPr="004709D4">
        <w:rPr>
          <w:b w:val="0"/>
          <w:bCs w:val="0"/>
          <w:color w:val="auto"/>
          <w:sz w:val="24"/>
          <w:szCs w:val="24"/>
        </w:rPr>
        <w:t>:</w:t>
      </w:r>
      <w:proofErr w:type="gramEnd"/>
      <w:r w:rsidRPr="004709D4">
        <w:rPr>
          <w:b w:val="0"/>
          <w:bCs w:val="0"/>
          <w:color w:val="auto"/>
          <w:sz w:val="24"/>
          <w:szCs w:val="24"/>
        </w:rPr>
        <w:t xml:space="preserve"> Variation </w:t>
      </w:r>
      <w:r>
        <w:rPr>
          <w:b w:val="0"/>
          <w:color w:val="auto"/>
          <w:sz w:val="24"/>
          <w:szCs w:val="24"/>
        </w:rPr>
        <w:t>in the physicochemical parameters of the water during the experiment.</w:t>
      </w:r>
    </w:p>
    <w:tbl>
      <w:tblPr>
        <w:tblW w:w="9074" w:type="dxa"/>
        <w:jc w:val="center"/>
        <w:tblLook w:val="04A0" w:firstRow="1" w:lastRow="0" w:firstColumn="1" w:lastColumn="0" w:noHBand="0" w:noVBand="1"/>
      </w:tblPr>
      <w:tblGrid>
        <w:gridCol w:w="2115"/>
        <w:gridCol w:w="2574"/>
        <w:gridCol w:w="2574"/>
        <w:gridCol w:w="1811"/>
      </w:tblGrid>
      <w:tr w:rsidR="004709D4" w14:paraId="69C0456F" w14:textId="77777777" w:rsidTr="001F6DA5">
        <w:trPr>
          <w:trHeight w:val="300"/>
          <w:jc w:val="center"/>
        </w:trPr>
        <w:tc>
          <w:tcPr>
            <w:tcW w:w="2115" w:type="dxa"/>
            <w:tcBorders>
              <w:top w:val="single" w:sz="4" w:space="0" w:color="auto"/>
              <w:left w:val="nil"/>
              <w:bottom w:val="single" w:sz="4" w:space="0" w:color="auto"/>
              <w:right w:val="nil"/>
            </w:tcBorders>
            <w:noWrap/>
          </w:tcPr>
          <w:p w14:paraId="48CB85CE" w14:textId="77777777" w:rsidR="004709D4" w:rsidRDefault="004709D4" w:rsidP="001F6DA5">
            <w:pPr>
              <w:jc w:val="center"/>
              <w:rPr>
                <w:szCs w:val="24"/>
                <w:lang w:val="en-US"/>
              </w:rPr>
            </w:pPr>
            <w:r>
              <w:rPr>
                <w:b/>
                <w:szCs w:val="24"/>
              </w:rPr>
              <w:t>Periods</w:t>
            </w:r>
          </w:p>
        </w:tc>
        <w:tc>
          <w:tcPr>
            <w:tcW w:w="2574" w:type="dxa"/>
            <w:tcBorders>
              <w:top w:val="single" w:sz="4" w:space="0" w:color="auto"/>
              <w:left w:val="nil"/>
              <w:bottom w:val="single" w:sz="4" w:space="0" w:color="auto"/>
              <w:right w:val="nil"/>
            </w:tcBorders>
            <w:noWrap/>
          </w:tcPr>
          <w:p w14:paraId="42D9160A" w14:textId="77777777" w:rsidR="004709D4" w:rsidRDefault="004709D4" w:rsidP="001F6DA5">
            <w:pPr>
              <w:jc w:val="center"/>
              <w:rPr>
                <w:szCs w:val="24"/>
                <w:lang w:val="en-US"/>
              </w:rPr>
            </w:pPr>
            <w:r>
              <w:rPr>
                <w:b/>
                <w:szCs w:val="24"/>
              </w:rPr>
              <w:t>Temperature (°C)</w:t>
            </w:r>
          </w:p>
        </w:tc>
        <w:tc>
          <w:tcPr>
            <w:tcW w:w="2574" w:type="dxa"/>
            <w:tcBorders>
              <w:top w:val="single" w:sz="4" w:space="0" w:color="auto"/>
              <w:left w:val="nil"/>
              <w:bottom w:val="single" w:sz="4" w:space="0" w:color="auto"/>
              <w:right w:val="nil"/>
            </w:tcBorders>
            <w:noWrap/>
          </w:tcPr>
          <w:p w14:paraId="1D2F4E2F" w14:textId="77777777" w:rsidR="004709D4" w:rsidRDefault="004709D4" w:rsidP="001F6DA5">
            <w:pPr>
              <w:jc w:val="center"/>
              <w:rPr>
                <w:szCs w:val="24"/>
                <w:lang w:val="en-US"/>
              </w:rPr>
            </w:pPr>
            <w:r>
              <w:rPr>
                <w:b/>
                <w:szCs w:val="24"/>
              </w:rPr>
              <w:t>Dissolved oxygen (mg/l)</w:t>
            </w:r>
          </w:p>
        </w:tc>
        <w:tc>
          <w:tcPr>
            <w:tcW w:w="1811" w:type="dxa"/>
            <w:tcBorders>
              <w:top w:val="single" w:sz="4" w:space="0" w:color="auto"/>
              <w:left w:val="nil"/>
              <w:bottom w:val="single" w:sz="4" w:space="0" w:color="auto"/>
              <w:right w:val="nil"/>
            </w:tcBorders>
            <w:noWrap/>
          </w:tcPr>
          <w:p w14:paraId="3AD71EAA" w14:textId="77777777" w:rsidR="004709D4" w:rsidRDefault="004709D4" w:rsidP="001F6DA5">
            <w:pPr>
              <w:jc w:val="center"/>
              <w:rPr>
                <w:b/>
                <w:szCs w:val="24"/>
                <w:lang w:val="en-US"/>
              </w:rPr>
            </w:pPr>
            <w:r>
              <w:rPr>
                <w:b/>
                <w:szCs w:val="24"/>
                <w:lang w:val="en-US"/>
              </w:rPr>
              <w:t>pH</w:t>
            </w:r>
          </w:p>
        </w:tc>
      </w:tr>
      <w:tr w:rsidR="004709D4" w14:paraId="1CB8EEDF" w14:textId="77777777" w:rsidTr="001F6DA5">
        <w:trPr>
          <w:trHeight w:val="300"/>
          <w:jc w:val="center"/>
        </w:trPr>
        <w:tc>
          <w:tcPr>
            <w:tcW w:w="2115" w:type="dxa"/>
            <w:tcBorders>
              <w:top w:val="single" w:sz="4" w:space="0" w:color="auto"/>
              <w:left w:val="nil"/>
              <w:bottom w:val="nil"/>
              <w:right w:val="nil"/>
            </w:tcBorders>
            <w:noWrap/>
            <w:vAlign w:val="bottom"/>
          </w:tcPr>
          <w:p w14:paraId="10349FD3" w14:textId="77777777" w:rsidR="004709D4" w:rsidRDefault="004709D4" w:rsidP="001F6DA5">
            <w:pPr>
              <w:jc w:val="center"/>
              <w:rPr>
                <w:szCs w:val="24"/>
                <w:lang w:val="en-US"/>
              </w:rPr>
            </w:pPr>
            <w:r>
              <w:rPr>
                <w:szCs w:val="24"/>
                <w:lang w:val="en-US"/>
              </w:rPr>
              <w:t>Week 1</w:t>
            </w:r>
          </w:p>
        </w:tc>
        <w:tc>
          <w:tcPr>
            <w:tcW w:w="2574" w:type="dxa"/>
            <w:tcBorders>
              <w:top w:val="single" w:sz="4" w:space="0" w:color="auto"/>
              <w:left w:val="nil"/>
              <w:bottom w:val="nil"/>
              <w:right w:val="nil"/>
            </w:tcBorders>
            <w:noWrap/>
            <w:vAlign w:val="center"/>
          </w:tcPr>
          <w:p w14:paraId="4DE415BA" w14:textId="77777777" w:rsidR="004709D4" w:rsidRDefault="004709D4" w:rsidP="001F6DA5">
            <w:pPr>
              <w:jc w:val="center"/>
              <w:rPr>
                <w:szCs w:val="24"/>
                <w:lang w:eastAsia="fr-FR"/>
              </w:rPr>
            </w:pPr>
            <w:r>
              <w:t>27.40</w:t>
            </w:r>
          </w:p>
        </w:tc>
        <w:tc>
          <w:tcPr>
            <w:tcW w:w="2574" w:type="dxa"/>
            <w:tcBorders>
              <w:top w:val="single" w:sz="4" w:space="0" w:color="auto"/>
              <w:left w:val="nil"/>
              <w:bottom w:val="nil"/>
              <w:right w:val="nil"/>
            </w:tcBorders>
            <w:noWrap/>
            <w:vAlign w:val="center"/>
          </w:tcPr>
          <w:p w14:paraId="422263A0" w14:textId="77777777" w:rsidR="004709D4" w:rsidRDefault="004709D4" w:rsidP="001F6DA5">
            <w:pPr>
              <w:jc w:val="center"/>
              <w:rPr>
                <w:szCs w:val="24"/>
                <w:lang w:eastAsia="fr-FR"/>
              </w:rPr>
            </w:pPr>
            <w:r>
              <w:t>5.50</w:t>
            </w:r>
          </w:p>
        </w:tc>
        <w:tc>
          <w:tcPr>
            <w:tcW w:w="1811" w:type="dxa"/>
            <w:tcBorders>
              <w:top w:val="single" w:sz="4" w:space="0" w:color="auto"/>
              <w:left w:val="nil"/>
              <w:bottom w:val="nil"/>
              <w:right w:val="nil"/>
            </w:tcBorders>
            <w:noWrap/>
            <w:vAlign w:val="center"/>
          </w:tcPr>
          <w:p w14:paraId="3C54CFE9" w14:textId="77777777" w:rsidR="004709D4" w:rsidRDefault="004709D4" w:rsidP="001F6DA5">
            <w:pPr>
              <w:jc w:val="center"/>
              <w:rPr>
                <w:szCs w:val="24"/>
                <w:lang w:eastAsia="fr-FR"/>
              </w:rPr>
            </w:pPr>
            <w:r>
              <w:t>6.80</w:t>
            </w:r>
          </w:p>
        </w:tc>
      </w:tr>
      <w:tr w:rsidR="004709D4" w14:paraId="533FC836" w14:textId="77777777" w:rsidTr="001F6DA5">
        <w:trPr>
          <w:trHeight w:val="300"/>
          <w:jc w:val="center"/>
        </w:trPr>
        <w:tc>
          <w:tcPr>
            <w:tcW w:w="2115" w:type="dxa"/>
            <w:tcBorders>
              <w:top w:val="nil"/>
              <w:left w:val="nil"/>
              <w:bottom w:val="nil"/>
              <w:right w:val="nil"/>
            </w:tcBorders>
            <w:noWrap/>
            <w:vAlign w:val="bottom"/>
          </w:tcPr>
          <w:p w14:paraId="7DB09096" w14:textId="77777777" w:rsidR="004709D4" w:rsidRDefault="004709D4" w:rsidP="001F6DA5">
            <w:pPr>
              <w:jc w:val="center"/>
              <w:rPr>
                <w:szCs w:val="24"/>
                <w:lang w:val="en-US"/>
              </w:rPr>
            </w:pPr>
            <w:r>
              <w:rPr>
                <w:szCs w:val="24"/>
                <w:lang w:val="en-US"/>
              </w:rPr>
              <w:t xml:space="preserve">Week 2 </w:t>
            </w:r>
          </w:p>
        </w:tc>
        <w:tc>
          <w:tcPr>
            <w:tcW w:w="2574" w:type="dxa"/>
            <w:tcBorders>
              <w:top w:val="nil"/>
              <w:left w:val="nil"/>
              <w:bottom w:val="nil"/>
              <w:right w:val="nil"/>
            </w:tcBorders>
            <w:noWrap/>
            <w:vAlign w:val="center"/>
          </w:tcPr>
          <w:p w14:paraId="79A7D7CE" w14:textId="77777777" w:rsidR="004709D4" w:rsidRDefault="004709D4" w:rsidP="001F6DA5">
            <w:pPr>
              <w:jc w:val="center"/>
              <w:rPr>
                <w:szCs w:val="24"/>
                <w:lang w:eastAsia="fr-FR"/>
              </w:rPr>
            </w:pPr>
            <w:r>
              <w:t>28.10</w:t>
            </w:r>
          </w:p>
        </w:tc>
        <w:tc>
          <w:tcPr>
            <w:tcW w:w="2574" w:type="dxa"/>
            <w:tcBorders>
              <w:top w:val="nil"/>
              <w:left w:val="nil"/>
              <w:bottom w:val="nil"/>
              <w:right w:val="nil"/>
            </w:tcBorders>
            <w:noWrap/>
            <w:vAlign w:val="center"/>
          </w:tcPr>
          <w:p w14:paraId="370EE9DB" w14:textId="77777777" w:rsidR="004709D4" w:rsidRDefault="004709D4" w:rsidP="001F6DA5">
            <w:pPr>
              <w:jc w:val="center"/>
              <w:rPr>
                <w:szCs w:val="24"/>
                <w:lang w:eastAsia="fr-FR"/>
              </w:rPr>
            </w:pPr>
            <w:r>
              <w:t>6.20</w:t>
            </w:r>
          </w:p>
        </w:tc>
        <w:tc>
          <w:tcPr>
            <w:tcW w:w="1811" w:type="dxa"/>
            <w:tcBorders>
              <w:top w:val="nil"/>
              <w:left w:val="nil"/>
              <w:bottom w:val="nil"/>
              <w:right w:val="nil"/>
            </w:tcBorders>
            <w:noWrap/>
            <w:vAlign w:val="center"/>
          </w:tcPr>
          <w:p w14:paraId="522E3F50" w14:textId="77777777" w:rsidR="004709D4" w:rsidRDefault="004709D4" w:rsidP="001F6DA5">
            <w:pPr>
              <w:jc w:val="center"/>
              <w:rPr>
                <w:szCs w:val="24"/>
                <w:lang w:eastAsia="fr-FR"/>
              </w:rPr>
            </w:pPr>
            <w:r>
              <w:t>6.58</w:t>
            </w:r>
          </w:p>
        </w:tc>
      </w:tr>
      <w:tr w:rsidR="004709D4" w14:paraId="422E9EFE" w14:textId="77777777" w:rsidTr="001F6DA5">
        <w:trPr>
          <w:trHeight w:val="300"/>
          <w:jc w:val="center"/>
        </w:trPr>
        <w:tc>
          <w:tcPr>
            <w:tcW w:w="2115" w:type="dxa"/>
            <w:tcBorders>
              <w:top w:val="nil"/>
              <w:left w:val="nil"/>
              <w:bottom w:val="nil"/>
              <w:right w:val="nil"/>
            </w:tcBorders>
            <w:noWrap/>
            <w:vAlign w:val="bottom"/>
          </w:tcPr>
          <w:p w14:paraId="50F0ABE3" w14:textId="77777777" w:rsidR="004709D4" w:rsidRDefault="004709D4" w:rsidP="001F6DA5">
            <w:pPr>
              <w:jc w:val="center"/>
              <w:rPr>
                <w:szCs w:val="24"/>
                <w:lang w:val="en-US"/>
              </w:rPr>
            </w:pPr>
            <w:r>
              <w:rPr>
                <w:szCs w:val="24"/>
                <w:lang w:val="en-US"/>
              </w:rPr>
              <w:t>Week 3</w:t>
            </w:r>
          </w:p>
        </w:tc>
        <w:tc>
          <w:tcPr>
            <w:tcW w:w="2574" w:type="dxa"/>
            <w:tcBorders>
              <w:top w:val="nil"/>
              <w:left w:val="nil"/>
              <w:bottom w:val="nil"/>
              <w:right w:val="nil"/>
            </w:tcBorders>
            <w:noWrap/>
            <w:vAlign w:val="center"/>
          </w:tcPr>
          <w:p w14:paraId="3BFF0F5D" w14:textId="77777777" w:rsidR="004709D4" w:rsidRDefault="004709D4" w:rsidP="001F6DA5">
            <w:pPr>
              <w:jc w:val="center"/>
              <w:rPr>
                <w:szCs w:val="24"/>
                <w:lang w:eastAsia="fr-FR"/>
              </w:rPr>
            </w:pPr>
            <w:r>
              <w:t>27.20</w:t>
            </w:r>
          </w:p>
        </w:tc>
        <w:tc>
          <w:tcPr>
            <w:tcW w:w="2574" w:type="dxa"/>
            <w:tcBorders>
              <w:top w:val="nil"/>
              <w:left w:val="nil"/>
              <w:bottom w:val="nil"/>
              <w:right w:val="nil"/>
            </w:tcBorders>
            <w:noWrap/>
            <w:vAlign w:val="center"/>
          </w:tcPr>
          <w:p w14:paraId="42FD2BD7" w14:textId="77777777" w:rsidR="004709D4" w:rsidRDefault="004709D4" w:rsidP="001F6DA5">
            <w:pPr>
              <w:jc w:val="center"/>
              <w:rPr>
                <w:szCs w:val="24"/>
                <w:lang w:eastAsia="fr-FR"/>
              </w:rPr>
            </w:pPr>
            <w:r>
              <w:t>6.70</w:t>
            </w:r>
          </w:p>
        </w:tc>
        <w:tc>
          <w:tcPr>
            <w:tcW w:w="1811" w:type="dxa"/>
            <w:tcBorders>
              <w:top w:val="nil"/>
              <w:left w:val="nil"/>
              <w:bottom w:val="nil"/>
              <w:right w:val="nil"/>
            </w:tcBorders>
            <w:noWrap/>
            <w:vAlign w:val="center"/>
          </w:tcPr>
          <w:p w14:paraId="0587B4C5" w14:textId="77777777" w:rsidR="004709D4" w:rsidRDefault="004709D4" w:rsidP="001F6DA5">
            <w:pPr>
              <w:jc w:val="center"/>
              <w:rPr>
                <w:szCs w:val="24"/>
                <w:lang w:eastAsia="fr-FR"/>
              </w:rPr>
            </w:pPr>
            <w:r>
              <w:t>7.18</w:t>
            </w:r>
          </w:p>
        </w:tc>
      </w:tr>
      <w:tr w:rsidR="004709D4" w14:paraId="40B437C2" w14:textId="77777777" w:rsidTr="001F6DA5">
        <w:trPr>
          <w:trHeight w:val="300"/>
          <w:jc w:val="center"/>
        </w:trPr>
        <w:tc>
          <w:tcPr>
            <w:tcW w:w="2115" w:type="dxa"/>
            <w:tcBorders>
              <w:top w:val="nil"/>
              <w:left w:val="nil"/>
              <w:bottom w:val="nil"/>
              <w:right w:val="nil"/>
            </w:tcBorders>
            <w:noWrap/>
            <w:vAlign w:val="bottom"/>
          </w:tcPr>
          <w:p w14:paraId="11963D4F" w14:textId="77777777" w:rsidR="004709D4" w:rsidRDefault="004709D4" w:rsidP="001F6DA5">
            <w:pPr>
              <w:jc w:val="center"/>
              <w:rPr>
                <w:szCs w:val="24"/>
                <w:lang w:val="en-US"/>
              </w:rPr>
            </w:pPr>
            <w:r>
              <w:rPr>
                <w:szCs w:val="24"/>
                <w:lang w:val="en-US"/>
              </w:rPr>
              <w:lastRenderedPageBreak/>
              <w:t>Week 4</w:t>
            </w:r>
          </w:p>
        </w:tc>
        <w:tc>
          <w:tcPr>
            <w:tcW w:w="2574" w:type="dxa"/>
            <w:tcBorders>
              <w:top w:val="nil"/>
              <w:left w:val="nil"/>
              <w:bottom w:val="nil"/>
              <w:right w:val="nil"/>
            </w:tcBorders>
            <w:noWrap/>
            <w:vAlign w:val="center"/>
          </w:tcPr>
          <w:p w14:paraId="4BBABAAB" w14:textId="77777777" w:rsidR="004709D4" w:rsidRDefault="004709D4" w:rsidP="001F6DA5">
            <w:pPr>
              <w:jc w:val="center"/>
              <w:rPr>
                <w:szCs w:val="24"/>
                <w:lang w:eastAsia="fr-FR"/>
              </w:rPr>
            </w:pPr>
            <w:r>
              <w:t>29.10</w:t>
            </w:r>
          </w:p>
        </w:tc>
        <w:tc>
          <w:tcPr>
            <w:tcW w:w="2574" w:type="dxa"/>
            <w:tcBorders>
              <w:top w:val="nil"/>
              <w:left w:val="nil"/>
              <w:bottom w:val="nil"/>
              <w:right w:val="nil"/>
            </w:tcBorders>
            <w:noWrap/>
            <w:vAlign w:val="center"/>
          </w:tcPr>
          <w:p w14:paraId="55980A16" w14:textId="77777777" w:rsidR="004709D4" w:rsidRDefault="004709D4" w:rsidP="001F6DA5">
            <w:pPr>
              <w:jc w:val="center"/>
              <w:rPr>
                <w:szCs w:val="24"/>
                <w:lang w:eastAsia="fr-FR"/>
              </w:rPr>
            </w:pPr>
            <w:r>
              <w:t>5.90</w:t>
            </w:r>
          </w:p>
        </w:tc>
        <w:tc>
          <w:tcPr>
            <w:tcW w:w="1811" w:type="dxa"/>
            <w:tcBorders>
              <w:top w:val="nil"/>
              <w:left w:val="nil"/>
              <w:bottom w:val="nil"/>
              <w:right w:val="nil"/>
            </w:tcBorders>
            <w:noWrap/>
            <w:vAlign w:val="center"/>
          </w:tcPr>
          <w:p w14:paraId="44C7D146" w14:textId="77777777" w:rsidR="004709D4" w:rsidRDefault="004709D4" w:rsidP="001F6DA5">
            <w:pPr>
              <w:jc w:val="center"/>
              <w:rPr>
                <w:szCs w:val="24"/>
                <w:lang w:eastAsia="fr-FR"/>
              </w:rPr>
            </w:pPr>
            <w:r>
              <w:t>7.35</w:t>
            </w:r>
          </w:p>
        </w:tc>
      </w:tr>
      <w:tr w:rsidR="004709D4" w14:paraId="57922F82" w14:textId="77777777" w:rsidTr="001F6DA5">
        <w:trPr>
          <w:trHeight w:val="300"/>
          <w:jc w:val="center"/>
        </w:trPr>
        <w:tc>
          <w:tcPr>
            <w:tcW w:w="2115" w:type="dxa"/>
            <w:tcBorders>
              <w:top w:val="nil"/>
              <w:left w:val="nil"/>
              <w:bottom w:val="nil"/>
              <w:right w:val="nil"/>
            </w:tcBorders>
            <w:noWrap/>
            <w:vAlign w:val="bottom"/>
          </w:tcPr>
          <w:p w14:paraId="5CCBD256" w14:textId="77777777" w:rsidR="004709D4" w:rsidRDefault="004709D4" w:rsidP="001F6DA5">
            <w:pPr>
              <w:jc w:val="center"/>
              <w:rPr>
                <w:szCs w:val="24"/>
                <w:lang w:val="en-US"/>
              </w:rPr>
            </w:pPr>
            <w:r>
              <w:rPr>
                <w:szCs w:val="24"/>
                <w:lang w:val="en-US"/>
              </w:rPr>
              <w:t>Week 5</w:t>
            </w:r>
          </w:p>
        </w:tc>
        <w:tc>
          <w:tcPr>
            <w:tcW w:w="2574" w:type="dxa"/>
            <w:tcBorders>
              <w:top w:val="nil"/>
              <w:left w:val="nil"/>
              <w:bottom w:val="nil"/>
              <w:right w:val="nil"/>
            </w:tcBorders>
            <w:noWrap/>
            <w:vAlign w:val="center"/>
          </w:tcPr>
          <w:p w14:paraId="12510450" w14:textId="77777777" w:rsidR="004709D4" w:rsidRDefault="004709D4" w:rsidP="001F6DA5">
            <w:pPr>
              <w:jc w:val="center"/>
              <w:rPr>
                <w:szCs w:val="24"/>
                <w:lang w:eastAsia="fr-FR"/>
              </w:rPr>
            </w:pPr>
            <w:r>
              <w:t>29.20</w:t>
            </w:r>
          </w:p>
        </w:tc>
        <w:tc>
          <w:tcPr>
            <w:tcW w:w="2574" w:type="dxa"/>
            <w:tcBorders>
              <w:top w:val="nil"/>
              <w:left w:val="nil"/>
              <w:bottom w:val="nil"/>
              <w:right w:val="nil"/>
            </w:tcBorders>
            <w:noWrap/>
            <w:vAlign w:val="center"/>
          </w:tcPr>
          <w:p w14:paraId="491F2716" w14:textId="77777777" w:rsidR="004709D4" w:rsidRDefault="004709D4" w:rsidP="001F6DA5">
            <w:pPr>
              <w:jc w:val="center"/>
              <w:rPr>
                <w:szCs w:val="24"/>
                <w:lang w:eastAsia="fr-FR"/>
              </w:rPr>
            </w:pPr>
            <w:r>
              <w:t>6.00</w:t>
            </w:r>
          </w:p>
        </w:tc>
        <w:tc>
          <w:tcPr>
            <w:tcW w:w="1811" w:type="dxa"/>
            <w:tcBorders>
              <w:top w:val="nil"/>
              <w:left w:val="nil"/>
              <w:bottom w:val="nil"/>
              <w:right w:val="nil"/>
            </w:tcBorders>
            <w:noWrap/>
            <w:vAlign w:val="center"/>
          </w:tcPr>
          <w:p w14:paraId="4B2B4F68" w14:textId="77777777" w:rsidR="004709D4" w:rsidRDefault="004709D4" w:rsidP="001F6DA5">
            <w:pPr>
              <w:jc w:val="center"/>
              <w:rPr>
                <w:szCs w:val="24"/>
                <w:lang w:eastAsia="fr-FR"/>
              </w:rPr>
            </w:pPr>
            <w:r>
              <w:rPr>
                <w:highlight w:val="yellow"/>
              </w:rPr>
              <w:t>7.60</w:t>
            </w:r>
          </w:p>
        </w:tc>
      </w:tr>
      <w:tr w:rsidR="004709D4" w14:paraId="4CD9D11D" w14:textId="77777777" w:rsidTr="001F6DA5">
        <w:trPr>
          <w:trHeight w:val="300"/>
          <w:jc w:val="center"/>
        </w:trPr>
        <w:tc>
          <w:tcPr>
            <w:tcW w:w="2115" w:type="dxa"/>
            <w:tcBorders>
              <w:top w:val="single" w:sz="4" w:space="0" w:color="auto"/>
              <w:left w:val="nil"/>
              <w:bottom w:val="single" w:sz="4" w:space="0" w:color="auto"/>
              <w:right w:val="nil"/>
            </w:tcBorders>
            <w:noWrap/>
            <w:vAlign w:val="bottom"/>
          </w:tcPr>
          <w:p w14:paraId="1E356931" w14:textId="77777777" w:rsidR="004709D4" w:rsidRDefault="004709D4" w:rsidP="001F6DA5">
            <w:pPr>
              <w:jc w:val="center"/>
              <w:rPr>
                <w:bCs/>
                <w:szCs w:val="24"/>
                <w:lang w:val="en-US"/>
              </w:rPr>
            </w:pPr>
            <w:r>
              <w:rPr>
                <w:b/>
                <w:szCs w:val="24"/>
                <w:lang w:val="en-US"/>
              </w:rPr>
              <w:t>Averages</w:t>
            </w:r>
          </w:p>
        </w:tc>
        <w:tc>
          <w:tcPr>
            <w:tcW w:w="2574" w:type="dxa"/>
            <w:tcBorders>
              <w:top w:val="single" w:sz="4" w:space="0" w:color="auto"/>
              <w:left w:val="nil"/>
              <w:bottom w:val="single" w:sz="4" w:space="0" w:color="auto"/>
              <w:right w:val="nil"/>
            </w:tcBorders>
            <w:noWrap/>
            <w:vAlign w:val="center"/>
          </w:tcPr>
          <w:p w14:paraId="021143E9" w14:textId="77777777" w:rsidR="004709D4" w:rsidRDefault="004709D4" w:rsidP="001F6DA5">
            <w:pPr>
              <w:jc w:val="center"/>
              <w:rPr>
                <w:szCs w:val="24"/>
                <w:lang w:eastAsia="fr-FR"/>
              </w:rPr>
            </w:pPr>
            <w:r>
              <w:rPr>
                <w:b/>
                <w:bCs/>
                <w:highlight w:val="yellow"/>
              </w:rPr>
              <w:t>28.20 ± 0.93</w:t>
            </w:r>
          </w:p>
        </w:tc>
        <w:tc>
          <w:tcPr>
            <w:tcW w:w="2574" w:type="dxa"/>
            <w:tcBorders>
              <w:top w:val="single" w:sz="4" w:space="0" w:color="auto"/>
              <w:left w:val="nil"/>
              <w:bottom w:val="single" w:sz="4" w:space="0" w:color="auto"/>
              <w:right w:val="nil"/>
            </w:tcBorders>
            <w:noWrap/>
            <w:vAlign w:val="center"/>
          </w:tcPr>
          <w:p w14:paraId="6B670394" w14:textId="77777777" w:rsidR="004709D4" w:rsidRDefault="004709D4" w:rsidP="001F6DA5">
            <w:pPr>
              <w:jc w:val="center"/>
              <w:rPr>
                <w:szCs w:val="24"/>
                <w:lang w:eastAsia="fr-FR"/>
              </w:rPr>
            </w:pPr>
            <w:r>
              <w:rPr>
                <w:b/>
                <w:bCs/>
                <w:highlight w:val="yellow"/>
              </w:rPr>
              <w:t>6.06 ± 0.44</w:t>
            </w:r>
          </w:p>
        </w:tc>
        <w:tc>
          <w:tcPr>
            <w:tcW w:w="1811" w:type="dxa"/>
            <w:tcBorders>
              <w:top w:val="single" w:sz="4" w:space="0" w:color="auto"/>
              <w:left w:val="nil"/>
              <w:bottom w:val="single" w:sz="4" w:space="0" w:color="auto"/>
              <w:right w:val="nil"/>
            </w:tcBorders>
            <w:noWrap/>
            <w:vAlign w:val="center"/>
          </w:tcPr>
          <w:p w14:paraId="6A013EF9" w14:textId="77777777" w:rsidR="004709D4" w:rsidRDefault="004709D4" w:rsidP="001F6DA5">
            <w:pPr>
              <w:jc w:val="center"/>
              <w:rPr>
                <w:szCs w:val="24"/>
                <w:lang w:eastAsia="fr-FR"/>
              </w:rPr>
            </w:pPr>
            <w:r>
              <w:rPr>
                <w:b/>
                <w:bCs/>
                <w:highlight w:val="yellow"/>
              </w:rPr>
              <w:t>7.10 ± 0.41</w:t>
            </w:r>
          </w:p>
        </w:tc>
      </w:tr>
    </w:tbl>
    <w:p w14:paraId="5B382CA3" w14:textId="77777777" w:rsidR="00033A81" w:rsidRDefault="00000000">
      <w:r>
        <w:rPr>
          <w:sz w:val="18"/>
          <w:highlight w:val="yellow"/>
        </w:rPr>
        <w:t>Note: Summary statistics are the mean ± sample standard deviation calculated from the five weekly values displayed above (n = 5).</w:t>
      </w:r>
    </w:p>
    <w:p w14:paraId="151540A9" w14:textId="77777777" w:rsidR="004709D4" w:rsidRDefault="004709D4" w:rsidP="004709D4">
      <w:pPr>
        <w:suppressAutoHyphens w:val="0"/>
        <w:autoSpaceDN/>
        <w:spacing w:after="160"/>
        <w:textAlignment w:val="auto"/>
        <w:rPr>
          <w:szCs w:val="24"/>
          <w:lang w:val="en-US" w:eastAsia="fr-FR"/>
        </w:rPr>
      </w:pPr>
    </w:p>
    <w:p w14:paraId="6B5E45E5" w14:textId="77777777" w:rsidR="004709D4" w:rsidRPr="001E1BFF" w:rsidRDefault="004709D4" w:rsidP="00A574A2">
      <w:pPr>
        <w:suppressAutoHyphens w:val="0"/>
        <w:autoSpaceDN/>
        <w:spacing w:before="240"/>
        <w:textAlignment w:val="auto"/>
        <w:rPr>
          <w:color w:val="auto"/>
          <w:szCs w:val="24"/>
          <w:lang w:eastAsia="fr-FR"/>
        </w:rPr>
      </w:pPr>
    </w:p>
    <w:p w14:paraId="1AAC4C5E" w14:textId="77777777" w:rsidR="00987206" w:rsidRDefault="005921EB" w:rsidP="00F11C90">
      <w:pPr>
        <w:suppressAutoHyphens w:val="0"/>
        <w:autoSpaceDN/>
        <w:spacing w:before="240"/>
        <w:textAlignment w:val="auto"/>
        <w:rPr>
          <w:b/>
          <w:iCs/>
          <w:szCs w:val="24"/>
          <w:lang w:eastAsia="fr-FR"/>
        </w:rPr>
      </w:pPr>
      <w:r>
        <w:rPr>
          <w:b/>
          <w:color w:val="auto"/>
          <w:szCs w:val="24"/>
          <w:lang w:eastAsia="fr-FR"/>
        </w:rPr>
        <w:t xml:space="preserve">3.2. </w:t>
      </w:r>
      <w:r w:rsidR="004138CE">
        <w:rPr>
          <w:b/>
          <w:color w:val="auto"/>
          <w:szCs w:val="24"/>
          <w:lang w:eastAsia="fr-FR"/>
        </w:rPr>
        <w:t>Zootechnical Performance</w:t>
      </w:r>
      <w:bookmarkStart w:id="27" w:name="_Toc140482520"/>
      <w:bookmarkStart w:id="28" w:name="_Toc147753306"/>
      <w:bookmarkEnd w:id="25"/>
      <w:bookmarkEnd w:id="26"/>
    </w:p>
    <w:p w14:paraId="5EFA7475" w14:textId="77777777" w:rsidR="00987206" w:rsidRPr="005921EB" w:rsidRDefault="005921EB" w:rsidP="005921EB">
      <w:pPr>
        <w:suppressAutoHyphens w:val="0"/>
        <w:autoSpaceDN/>
        <w:spacing w:before="240"/>
        <w:textAlignment w:val="auto"/>
        <w:rPr>
          <w:b/>
          <w:szCs w:val="24"/>
          <w:lang w:eastAsia="fr-FR"/>
        </w:rPr>
      </w:pPr>
      <w:r w:rsidRPr="005921EB">
        <w:rPr>
          <w:b/>
          <w:color w:val="auto"/>
          <w:szCs w:val="24"/>
          <w:lang w:eastAsia="fr-FR"/>
        </w:rPr>
        <w:t>3.2.1</w:t>
      </w:r>
      <w:r>
        <w:rPr>
          <w:b/>
          <w:color w:val="auto"/>
          <w:szCs w:val="24"/>
          <w:lang w:eastAsia="fr-FR"/>
        </w:rPr>
        <w:t xml:space="preserve">. </w:t>
      </w:r>
      <w:r>
        <w:rPr>
          <w:b/>
          <w:color w:val="auto"/>
          <w:szCs w:val="24"/>
          <w:highlight w:val="yellow"/>
          <w:lang w:eastAsia="fr-FR"/>
        </w:rPr>
        <w:t>Weight growth of the fish</w:t>
      </w:r>
      <w:bookmarkEnd w:id="27"/>
      <w:bookmarkEnd w:id="28"/>
    </w:p>
    <w:p w14:paraId="4952A331" w14:textId="77777777" w:rsidR="00987206" w:rsidRDefault="004138CE" w:rsidP="005921EB">
      <w:pPr>
        <w:spacing w:before="240"/>
        <w:rPr>
          <w:color w:val="auto"/>
        </w:rPr>
      </w:pPr>
      <w:r>
        <w:t xml:space="preserve">From the start to the end of the experiment, </w:t>
      </w:r>
      <w:r>
        <w:rPr>
          <w:highlight w:val="yellow"/>
        </w:rPr>
        <w:t>average weights increased from</w:t>
      </w:r>
      <w:r>
        <w:rPr>
          <w:bCs/>
        </w:rPr>
        <w:t xml:space="preserve"> </w:t>
      </w:r>
      <w:r>
        <w:rPr>
          <w:bCs/>
          <w:highlight w:val="yellow"/>
        </w:rPr>
        <w:t>30.67 ± 7.40</w:t>
      </w:r>
      <w:r>
        <w:rPr>
          <w:bCs/>
        </w:rPr>
        <w:t xml:space="preserve"> mg to 1,574.15 ± 381.57 mg, 1,745.33 ± 297.71 mg, and 1,712.00 ± 250.70 mg, </w:t>
      </w:r>
      <w:r>
        <w:t>respectively, for ration levels of 10%, 20%, and</w:t>
      </w:r>
      <w:r w:rsidRPr="00543D1A">
        <w:t xml:space="preserve"> 30% (Figure</w:t>
      </w:r>
      <w:r w:rsidR="00B54146" w:rsidRPr="00543D1A">
        <w:t xml:space="preserve"> 3</w:t>
      </w:r>
      <w:r w:rsidRPr="00543D1A">
        <w:t>).</w:t>
      </w:r>
      <w:r>
        <w:t xml:space="preserve"> During the first two weeks, weight gain remained low regardless of the treatment group. </w:t>
      </w:r>
      <w:r w:rsidR="007F4122">
        <w:t>However</w:t>
      </w:r>
      <w:r>
        <w:t xml:space="preserve">, it increased rapidly in each group </w:t>
      </w:r>
      <w:r>
        <w:rPr>
          <w:highlight w:val="yellow"/>
        </w:rPr>
        <w:t>between weeks 2 and 5</w:t>
      </w:r>
      <w:r>
        <w:t xml:space="preserve">. Larvae fed the 20% and 30% diets showed nearly identical growth rates. </w:t>
      </w:r>
      <w:r>
        <w:rPr>
          <w:highlight w:val="yellow"/>
        </w:rPr>
        <w:t>At the end of the trial, the highest average weight</w:t>
      </w:r>
      <w:r>
        <w:t xml:space="preserve"> was observed in individuals fed the 20% diet. </w:t>
      </w:r>
      <w:r>
        <w:rPr>
          <w:bCs/>
        </w:rPr>
        <w:t xml:space="preserve">In contrast, those </w:t>
      </w:r>
      <w:r>
        <w:t xml:space="preserve">fed the 10% diet showed relatively slow growth. The fish in group 3 exhibited intermediate growth. At the end of the trial, the weight gain of the group </w:t>
      </w:r>
      <w:r>
        <w:rPr>
          <w:color w:val="auto"/>
        </w:rPr>
        <w:t xml:space="preserve">receiving the 10% diet was significantly different </w:t>
      </w:r>
      <w:r>
        <w:rPr>
          <w:bCs/>
          <w:color w:val="auto"/>
        </w:rPr>
        <w:t xml:space="preserve">(p &lt; 0.05) from that </w:t>
      </w:r>
      <w:r>
        <w:rPr>
          <w:color w:val="auto"/>
        </w:rPr>
        <w:t>of the other two groups.</w:t>
      </w:r>
    </w:p>
    <w:p w14:paraId="024B5DDB" w14:textId="77777777" w:rsidR="004709D4" w:rsidRDefault="00E646AF" w:rsidP="004709D4">
      <w:pPr>
        <w:spacing w:before="240"/>
        <w:jc w:val="center"/>
        <w:rPr>
          <w:color w:val="auto"/>
        </w:rPr>
      </w:pPr>
      <w:r w:rsidRPr="0008200D">
        <w:rPr>
          <w:noProof/>
          <w:lang w:eastAsia="fr-FR"/>
        </w:rPr>
        <w:drawing>
          <wp:inline distT="0" distB="0" distL="0" distR="0" wp14:anchorId="5C36A349" wp14:editId="37230BA0">
            <wp:extent cx="4684395" cy="2876550"/>
            <wp:effectExtent l="0" t="0" r="0" b="0"/>
            <wp:docPr id="3" name="Graphique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5C3FE0" w14:textId="77777777" w:rsidR="004709D4" w:rsidRPr="001E1BFF" w:rsidRDefault="004709D4" w:rsidP="004709D4">
      <w:pPr>
        <w:widowControl w:val="0"/>
        <w:suppressAutoHyphens w:val="0"/>
        <w:autoSpaceDE w:val="0"/>
        <w:jc w:val="center"/>
        <w:textAlignment w:val="auto"/>
        <w:rPr>
          <w:szCs w:val="24"/>
          <w:lang w:eastAsia="fr-FR"/>
        </w:rPr>
      </w:pPr>
      <w:r w:rsidRPr="004709D4">
        <w:rPr>
          <w:color w:val="auto"/>
          <w:szCs w:val="24"/>
        </w:rPr>
        <w:t>Figure</w:t>
      </w:r>
      <w:r w:rsidRPr="004709D4">
        <w:rPr>
          <w:iCs/>
          <w:color w:val="auto"/>
          <w:szCs w:val="24"/>
        </w:rPr>
        <w:t xml:space="preserve"> </w:t>
      </w:r>
      <w:proofErr w:type="gramStart"/>
      <w:r w:rsidRPr="004709D4">
        <w:rPr>
          <w:iCs/>
          <w:color w:val="auto"/>
          <w:szCs w:val="24"/>
        </w:rPr>
        <w:t>3:</w:t>
      </w:r>
      <w:proofErr w:type="gramEnd"/>
      <w:r w:rsidRPr="004709D4">
        <w:rPr>
          <w:iCs/>
          <w:color w:val="auto"/>
          <w:szCs w:val="24"/>
        </w:rPr>
        <w:t xml:space="preserve"> </w:t>
      </w:r>
      <w:r w:rsidRPr="004709D4">
        <w:rPr>
          <w:color w:val="auto"/>
          <w:szCs w:val="24"/>
        </w:rPr>
        <w:t xml:space="preserve">Changes </w:t>
      </w:r>
      <w:r>
        <w:rPr>
          <w:szCs w:val="24"/>
          <w:lang w:eastAsia="fr-FR"/>
        </w:rPr>
        <w:t xml:space="preserve">in the average weights </w:t>
      </w:r>
      <w:r w:rsidRPr="001E1BFF">
        <w:rPr>
          <w:szCs w:val="24"/>
          <w:lang w:eastAsia="fr-FR"/>
        </w:rPr>
        <w:t xml:space="preserve">of </w:t>
      </w:r>
      <w:r w:rsidRPr="001E1BFF">
        <w:rPr>
          <w:i/>
          <w:iCs/>
          <w:szCs w:val="24"/>
          <w:lang w:eastAsia="fr-FR"/>
        </w:rPr>
        <w:t xml:space="preserve">O. niloticus </w:t>
      </w:r>
      <w:r w:rsidRPr="001E1BFF">
        <w:rPr>
          <w:szCs w:val="24"/>
          <w:lang w:eastAsia="fr-FR"/>
        </w:rPr>
        <w:t xml:space="preserve">larvae </w:t>
      </w:r>
      <w:r>
        <w:rPr>
          <w:szCs w:val="24"/>
          <w:lang w:eastAsia="fr-FR"/>
        </w:rPr>
        <w:t>as a function of</w:t>
      </w:r>
      <w:r w:rsidRPr="001E1BFF">
        <w:rPr>
          <w:szCs w:val="24"/>
          <w:lang w:eastAsia="fr-FR"/>
        </w:rPr>
        <w:t xml:space="preserve"> feeding rate </w:t>
      </w:r>
      <w:r w:rsidRPr="001E1BFF">
        <w:rPr>
          <w:szCs w:val="24"/>
          <w:lang w:eastAsia="fr-FR"/>
        </w:rPr>
        <w:lastRenderedPageBreak/>
        <w:t xml:space="preserve">and rearing </w:t>
      </w:r>
      <w:r>
        <w:rPr>
          <w:szCs w:val="24"/>
          <w:lang w:eastAsia="fr-FR"/>
        </w:rPr>
        <w:t>duration.</w:t>
      </w:r>
    </w:p>
    <w:p w14:paraId="0E0B3964" w14:textId="77777777" w:rsidR="00987206" w:rsidRPr="00B30E3C" w:rsidRDefault="00B30E3C" w:rsidP="00F11C90">
      <w:pPr>
        <w:suppressAutoHyphens w:val="0"/>
        <w:autoSpaceDN/>
        <w:spacing w:before="240"/>
        <w:textAlignment w:val="auto"/>
        <w:rPr>
          <w:b/>
          <w:color w:val="auto"/>
          <w:szCs w:val="24"/>
          <w:lang w:eastAsia="fr-FR"/>
        </w:rPr>
      </w:pPr>
      <w:bookmarkStart w:id="29" w:name="_Toc147753307"/>
      <w:bookmarkStart w:id="30" w:name="_Toc140482521"/>
      <w:r w:rsidRPr="00B30E3C">
        <w:rPr>
          <w:b/>
          <w:color w:val="auto"/>
          <w:szCs w:val="24"/>
          <w:lang w:eastAsia="fr-FR"/>
        </w:rPr>
        <w:t>3</w:t>
      </w:r>
      <w:r w:rsidR="00B763DF">
        <w:rPr>
          <w:b/>
          <w:color w:val="auto"/>
          <w:szCs w:val="24"/>
          <w:lang w:eastAsia="fr-FR"/>
        </w:rPr>
        <w:t>.</w:t>
      </w:r>
      <w:r w:rsidRPr="00B30E3C">
        <w:rPr>
          <w:b/>
          <w:color w:val="auto"/>
          <w:szCs w:val="24"/>
          <w:lang w:eastAsia="fr-FR"/>
        </w:rPr>
        <w:t xml:space="preserve">2.2. </w:t>
      </w:r>
      <w:r w:rsidR="004138CE" w:rsidRPr="00B30E3C">
        <w:rPr>
          <w:b/>
          <w:color w:val="auto"/>
          <w:szCs w:val="24"/>
          <w:lang w:eastAsia="fr-FR"/>
        </w:rPr>
        <w:t>Length growth</w:t>
      </w:r>
      <w:bookmarkEnd w:id="29"/>
      <w:bookmarkEnd w:id="30"/>
      <w:r w:rsidR="004138CE" w:rsidRPr="00B30E3C">
        <w:rPr>
          <w:b/>
          <w:color w:val="auto"/>
          <w:szCs w:val="24"/>
          <w:lang w:eastAsia="fr-FR"/>
        </w:rPr>
        <w:t xml:space="preserve"> of the fish</w:t>
      </w:r>
    </w:p>
    <w:p w14:paraId="5FA5609B" w14:textId="77777777" w:rsidR="00987206" w:rsidRDefault="004138CE" w:rsidP="00B30E3C">
      <w:pPr>
        <w:spacing w:before="240"/>
        <w:rPr>
          <w:bCs/>
          <w:color w:val="auto"/>
        </w:rPr>
      </w:pPr>
      <w:r>
        <w:rPr>
          <w:color w:val="auto"/>
          <w:highlight w:val="yellow"/>
        </w:rPr>
        <w:t>Between weeks 0 and 2, larval length increased from</w:t>
      </w:r>
      <w:r>
        <w:rPr>
          <w:bCs/>
          <w:color w:val="auto"/>
        </w:rPr>
        <w:t xml:space="preserve"> 12.63 ± 0.57 to 25.26 ± 1.96 mm, to 26.66 ± 1.90 mm, and to 26.30 ± 2.25 mm, </w:t>
      </w:r>
      <w:r>
        <w:rPr>
          <w:color w:val="auto"/>
        </w:rPr>
        <w:t xml:space="preserve">respectively, for the 10%, 20%, and 30% feeding rates </w:t>
      </w:r>
      <w:r w:rsidRPr="00543D1A">
        <w:rPr>
          <w:color w:val="auto"/>
        </w:rPr>
        <w:t>(Figure</w:t>
      </w:r>
      <w:r w:rsidR="00B54146" w:rsidRPr="00543D1A">
        <w:rPr>
          <w:color w:val="auto"/>
        </w:rPr>
        <w:t xml:space="preserve"> 4</w:t>
      </w:r>
      <w:r w:rsidRPr="00543D1A">
        <w:rPr>
          <w:color w:val="auto"/>
        </w:rPr>
        <w:t xml:space="preserve">). </w:t>
      </w:r>
      <w:r>
        <w:rPr>
          <w:color w:val="auto"/>
        </w:rPr>
        <w:t xml:space="preserve">At the end of the experiment, the greatest total length (45.00 ± 2.50 mm) was observed in group 2, while the larvae fed the 10% diet had the lowest value </w:t>
      </w:r>
      <w:r>
        <w:rPr>
          <w:bCs/>
          <w:color w:val="auto"/>
        </w:rPr>
        <w:t>(43.60 ± 3.31 mm).</w:t>
      </w:r>
      <w:r>
        <w:rPr>
          <w:color w:val="auto"/>
        </w:rPr>
        <w:t xml:space="preserve"> Those fed the 30% diet recorded an intermediate total length (44.75 ± 3.32 mm), with no significant difference </w:t>
      </w:r>
      <w:r>
        <w:rPr>
          <w:bCs/>
          <w:color w:val="auto"/>
        </w:rPr>
        <w:t>(p &gt; 0.05) between the groups.</w:t>
      </w:r>
    </w:p>
    <w:p w14:paraId="66780BBF" w14:textId="77777777" w:rsidR="004709D4" w:rsidRDefault="00E646AF" w:rsidP="004709D4">
      <w:pPr>
        <w:spacing w:before="240"/>
        <w:jc w:val="center"/>
        <w:rPr>
          <w:bCs/>
          <w:color w:val="auto"/>
        </w:rPr>
      </w:pPr>
      <w:r w:rsidRPr="0008200D">
        <w:rPr>
          <w:noProof/>
          <w:lang w:eastAsia="fr-FR"/>
        </w:rPr>
        <w:drawing>
          <wp:inline distT="0" distB="0" distL="0" distR="0" wp14:anchorId="5681C660" wp14:editId="4BA43521">
            <wp:extent cx="4684395" cy="2876550"/>
            <wp:effectExtent l="0" t="0" r="0" b="0"/>
            <wp:docPr id="4" name="Graphique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6679EBE" w14:textId="77777777" w:rsidR="004709D4" w:rsidRPr="004709D4" w:rsidRDefault="004709D4" w:rsidP="004709D4">
      <w:pPr>
        <w:pStyle w:val="Caption"/>
        <w:spacing w:line="360" w:lineRule="auto"/>
        <w:contextualSpacing/>
        <w:jc w:val="center"/>
        <w:rPr>
          <w:b w:val="0"/>
          <w:bCs w:val="0"/>
          <w:color w:val="auto"/>
          <w:sz w:val="24"/>
        </w:rPr>
      </w:pPr>
      <w:r w:rsidRPr="004709D4">
        <w:rPr>
          <w:b w:val="0"/>
          <w:bCs w:val="0"/>
          <w:color w:val="auto"/>
          <w:sz w:val="24"/>
          <w:szCs w:val="24"/>
        </w:rPr>
        <w:t>Figure</w:t>
      </w:r>
      <w:r w:rsidRPr="004709D4">
        <w:rPr>
          <w:b w:val="0"/>
          <w:bCs w:val="0"/>
          <w:iCs/>
          <w:color w:val="auto"/>
          <w:sz w:val="24"/>
          <w:szCs w:val="24"/>
        </w:rPr>
        <w:t xml:space="preserve"> </w:t>
      </w:r>
      <w:proofErr w:type="gramStart"/>
      <w:r w:rsidRPr="004709D4">
        <w:rPr>
          <w:b w:val="0"/>
          <w:bCs w:val="0"/>
          <w:iCs/>
          <w:color w:val="auto"/>
          <w:sz w:val="24"/>
          <w:szCs w:val="24"/>
        </w:rPr>
        <w:t>4:</w:t>
      </w:r>
      <w:proofErr w:type="gramEnd"/>
      <w:r w:rsidRPr="004709D4">
        <w:rPr>
          <w:b w:val="0"/>
          <w:bCs w:val="0"/>
          <w:iCs/>
          <w:color w:val="auto"/>
          <w:sz w:val="24"/>
          <w:szCs w:val="24"/>
        </w:rPr>
        <w:t xml:space="preserve"> </w:t>
      </w:r>
      <w:r w:rsidRPr="004709D4">
        <w:rPr>
          <w:b w:val="0"/>
          <w:bCs w:val="0"/>
          <w:color w:val="auto"/>
          <w:sz w:val="24"/>
          <w:szCs w:val="24"/>
        </w:rPr>
        <w:t xml:space="preserve">Growth of </w:t>
      </w:r>
      <w:r w:rsidRPr="004709D4">
        <w:rPr>
          <w:b w:val="0"/>
          <w:bCs w:val="0"/>
          <w:i/>
          <w:iCs/>
          <w:color w:val="auto"/>
          <w:sz w:val="24"/>
        </w:rPr>
        <w:t xml:space="preserve">O. niloticus </w:t>
      </w:r>
      <w:r w:rsidRPr="004709D4">
        <w:rPr>
          <w:b w:val="0"/>
          <w:bCs w:val="0"/>
          <w:color w:val="auto"/>
          <w:sz w:val="24"/>
        </w:rPr>
        <w:t>larvae as a function of feeding rate and time.</w:t>
      </w:r>
    </w:p>
    <w:p w14:paraId="70419844" w14:textId="77777777" w:rsidR="00987206" w:rsidRPr="00B763DF" w:rsidRDefault="00B763DF" w:rsidP="00B763DF">
      <w:pPr>
        <w:suppressAutoHyphens w:val="0"/>
        <w:autoSpaceDN/>
        <w:spacing w:before="240" w:after="240"/>
        <w:textAlignment w:val="auto"/>
        <w:rPr>
          <w:color w:val="auto"/>
          <w:szCs w:val="24"/>
          <w:lang w:eastAsia="fr-FR"/>
        </w:rPr>
      </w:pPr>
      <w:bookmarkStart w:id="31" w:name="_Toc147753308"/>
      <w:bookmarkStart w:id="32" w:name="_Toc140482522"/>
      <w:r w:rsidRPr="00B763DF">
        <w:rPr>
          <w:b/>
          <w:bCs/>
          <w:color w:val="auto"/>
          <w:szCs w:val="24"/>
          <w:lang w:eastAsia="fr-FR"/>
        </w:rPr>
        <w:t xml:space="preserve">3.2.3. </w:t>
      </w:r>
      <w:r w:rsidR="004138CE" w:rsidRPr="00B763DF">
        <w:rPr>
          <w:b/>
          <w:bCs/>
          <w:color w:val="auto"/>
          <w:szCs w:val="24"/>
          <w:lang w:eastAsia="fr-FR"/>
        </w:rPr>
        <w:t>Average Daily Gain (ADG)</w:t>
      </w:r>
      <w:bookmarkEnd w:id="31"/>
      <w:bookmarkEnd w:id="32"/>
    </w:p>
    <w:p w14:paraId="1F7B6037" w14:textId="77777777" w:rsidR="00987206" w:rsidRDefault="00AA2E3A" w:rsidP="00B763DF">
      <w:pPr>
        <w:suppressAutoHyphens w:val="0"/>
        <w:autoSpaceDN/>
        <w:spacing w:before="240"/>
        <w:ind w:right="63"/>
        <w:contextualSpacing/>
        <w:textAlignment w:val="auto"/>
        <w:rPr>
          <w:color w:val="auto"/>
          <w:szCs w:val="24"/>
          <w:lang w:eastAsia="fr-FR"/>
        </w:rPr>
      </w:pPr>
      <w:bookmarkStart w:id="33" w:name="_Toc147753309"/>
      <w:bookmarkStart w:id="34" w:name="_Toc140482523"/>
      <w:r w:rsidRPr="001E1BFF">
        <w:rPr>
          <w:color w:val="auto"/>
          <w:szCs w:val="24"/>
          <w:lang w:eastAsia="fr-FR"/>
        </w:rPr>
        <w:t xml:space="preserve">The </w:t>
      </w:r>
      <w:r w:rsidR="006D6EE6" w:rsidRPr="001E1BFF">
        <w:rPr>
          <w:color w:val="auto"/>
          <w:szCs w:val="24"/>
          <w:lang w:eastAsia="fr-FR"/>
        </w:rPr>
        <w:t xml:space="preserve">ADGs </w:t>
      </w:r>
      <w:r w:rsidRPr="001E1BFF">
        <w:rPr>
          <w:color w:val="auto"/>
          <w:szCs w:val="24"/>
          <w:lang w:eastAsia="fr-FR"/>
        </w:rPr>
        <w:t>determined are shown in Table</w:t>
      </w:r>
      <w:r w:rsidR="00325F3C">
        <w:rPr>
          <w:color w:val="auto"/>
          <w:szCs w:val="24"/>
          <w:lang w:eastAsia="fr-FR"/>
        </w:rPr>
        <w:t xml:space="preserve"> 2</w:t>
      </w:r>
      <w:r w:rsidRPr="001E1BFF">
        <w:rPr>
          <w:color w:val="auto"/>
          <w:szCs w:val="24"/>
          <w:lang w:eastAsia="fr-FR"/>
        </w:rPr>
        <w:t>. The lowest values for this parameter were obtained in the second week for the 10% diet (16.57 ± 1.36 mg/day) and in the first week for the other two (</w:t>
      </w:r>
      <w:r>
        <w:rPr>
          <w:color w:val="auto"/>
          <w:szCs w:val="24"/>
          <w:highlight w:val="yellow"/>
          <w:lang w:eastAsia="fr-FR"/>
        </w:rPr>
        <w:t>18.14 ± 0.77</w:t>
      </w:r>
      <w:r>
        <w:rPr>
          <w:color w:val="auto"/>
          <w:szCs w:val="24"/>
          <w:lang w:eastAsia="fr-FR"/>
        </w:rPr>
        <w:t xml:space="preserve"> mg/</w:t>
      </w:r>
      <w:r w:rsidRPr="001E1BFF">
        <w:rPr>
          <w:color w:val="auto"/>
          <w:szCs w:val="24"/>
          <w:lang w:eastAsia="fr-FR"/>
        </w:rPr>
        <w:t xml:space="preserve">day for the 20% diet and </w:t>
      </w:r>
      <w:r>
        <w:rPr>
          <w:color w:val="auto"/>
          <w:szCs w:val="24"/>
          <w:highlight w:val="yellow"/>
          <w:lang w:eastAsia="fr-FR"/>
        </w:rPr>
        <w:t>18.14 ± 0.78</w:t>
      </w:r>
      <w:r>
        <w:rPr>
          <w:color w:val="auto"/>
          <w:szCs w:val="24"/>
          <w:lang w:eastAsia="fr-FR"/>
        </w:rPr>
        <w:t xml:space="preserve"> mg/</w:t>
      </w:r>
      <w:r w:rsidRPr="001E1BFF">
        <w:rPr>
          <w:color w:val="auto"/>
          <w:szCs w:val="24"/>
          <w:lang w:eastAsia="fr-FR"/>
        </w:rPr>
        <w:t xml:space="preserve">day for the 30% diet). In contrast, </w:t>
      </w:r>
      <w:r w:rsidR="00D51970" w:rsidRPr="001E1BFF">
        <w:rPr>
          <w:color w:val="auto"/>
          <w:szCs w:val="24"/>
          <w:lang w:eastAsia="fr-FR"/>
        </w:rPr>
        <w:t>the highest values were recorded during the fourth week of age for all diets</w:t>
      </w:r>
      <w:r w:rsidR="006D6EE6" w:rsidRPr="001E1BFF">
        <w:rPr>
          <w:color w:val="auto"/>
          <w:szCs w:val="24"/>
          <w:lang w:eastAsia="fr-FR"/>
        </w:rPr>
        <w:t>. They were</w:t>
      </w:r>
      <w:r w:rsidR="00D51970" w:rsidRPr="001E1BFF">
        <w:rPr>
          <w:color w:val="auto"/>
          <w:szCs w:val="24"/>
          <w:lang w:eastAsia="fr-FR"/>
        </w:rPr>
        <w:t xml:space="preserve"> 66.00 ± 5.94 mg/day for the</w:t>
      </w:r>
      <w:r w:rsidRPr="001E1BFF">
        <w:rPr>
          <w:color w:val="auto"/>
          <w:szCs w:val="24"/>
          <w:lang w:eastAsia="fr-FR"/>
        </w:rPr>
        <w:t xml:space="preserve"> 10%</w:t>
      </w:r>
      <w:r w:rsidR="00D51970" w:rsidRPr="001E1BFF">
        <w:rPr>
          <w:color w:val="auto"/>
          <w:szCs w:val="24"/>
          <w:lang w:eastAsia="fr-FR"/>
        </w:rPr>
        <w:t xml:space="preserve"> </w:t>
      </w:r>
      <w:proofErr w:type="gramStart"/>
      <w:r w:rsidR="00D51970" w:rsidRPr="001E1BFF">
        <w:rPr>
          <w:color w:val="auto"/>
          <w:szCs w:val="24"/>
          <w:lang w:eastAsia="fr-FR"/>
        </w:rPr>
        <w:t>diet</w:t>
      </w:r>
      <w:r w:rsidRPr="001E1BFF">
        <w:rPr>
          <w:color w:val="auto"/>
          <w:szCs w:val="24"/>
          <w:lang w:eastAsia="fr-FR"/>
        </w:rPr>
        <w:t>;</w:t>
      </w:r>
      <w:proofErr w:type="gramEnd"/>
      <w:r w:rsidR="00D51970" w:rsidRPr="001E1BFF">
        <w:rPr>
          <w:color w:val="auto"/>
          <w:szCs w:val="24"/>
          <w:lang w:eastAsia="fr-FR"/>
        </w:rPr>
        <w:t xml:space="preserve"> 70.33 ± 11.97 mg/day for the 20% </w:t>
      </w:r>
      <w:proofErr w:type="gramStart"/>
      <w:r w:rsidR="00D51970" w:rsidRPr="001E1BFF">
        <w:rPr>
          <w:color w:val="auto"/>
          <w:szCs w:val="24"/>
          <w:lang w:eastAsia="fr-FR"/>
        </w:rPr>
        <w:t>diet;</w:t>
      </w:r>
      <w:proofErr w:type="gramEnd"/>
      <w:r w:rsidR="00D51970" w:rsidRPr="001E1BFF">
        <w:rPr>
          <w:color w:val="auto"/>
          <w:szCs w:val="24"/>
          <w:lang w:eastAsia="fr-FR"/>
        </w:rPr>
        <w:t xml:space="preserve"> and 67.81 ± 7.03 mg/day for the 30% diet.</w:t>
      </w:r>
      <w:r w:rsidRPr="001E1BFF">
        <w:rPr>
          <w:color w:val="auto"/>
          <w:szCs w:val="24"/>
          <w:lang w:eastAsia="fr-FR"/>
        </w:rPr>
        <w:t xml:space="preserve"> </w:t>
      </w:r>
      <w:r>
        <w:rPr>
          <w:color w:val="auto"/>
          <w:szCs w:val="24"/>
          <w:highlight w:val="yellow"/>
          <w:lang w:eastAsia="fr-FR"/>
        </w:rPr>
        <w:t>Based on the mean initial and final weights and the 35-day rearing period, the calculated overall average daily gains were 44.10 mg/day for batch 1, 48.99 mg/day for batch 2 and 48.04 mg/day for batch 3.</w:t>
      </w:r>
      <w:r w:rsidR="00D51970" w:rsidRPr="001E1BFF">
        <w:rPr>
          <w:color w:val="auto"/>
          <w:szCs w:val="24"/>
          <w:lang w:eastAsia="fr-FR"/>
        </w:rPr>
        <w:t xml:space="preserve"> </w:t>
      </w:r>
      <w:r w:rsidR="00010E50" w:rsidRPr="001E1BFF">
        <w:rPr>
          <w:color w:val="auto"/>
          <w:szCs w:val="24"/>
          <w:lang w:eastAsia="fr-FR"/>
        </w:rPr>
        <w:t xml:space="preserve">There is a significant difference </w:t>
      </w:r>
      <w:r w:rsidR="006D6EE6" w:rsidRPr="001E1BFF">
        <w:rPr>
          <w:color w:val="auto"/>
          <w:szCs w:val="24"/>
          <w:lang w:eastAsia="fr-FR"/>
        </w:rPr>
        <w:t xml:space="preserve">(p &lt; 0.05) between </w:t>
      </w:r>
      <w:r w:rsidR="00010E50" w:rsidRPr="001E1BFF">
        <w:rPr>
          <w:color w:val="auto"/>
          <w:szCs w:val="24"/>
          <w:lang w:eastAsia="fr-FR"/>
        </w:rPr>
        <w:t>group</w:t>
      </w:r>
      <w:r w:rsidR="00D51970" w:rsidRPr="001E1BFF">
        <w:rPr>
          <w:color w:val="auto"/>
          <w:szCs w:val="24"/>
          <w:lang w:eastAsia="fr-FR"/>
        </w:rPr>
        <w:t xml:space="preserve"> 1 </w:t>
      </w:r>
      <w:r w:rsidR="00010E50" w:rsidRPr="001E1BFF">
        <w:rPr>
          <w:color w:val="auto"/>
          <w:szCs w:val="24"/>
          <w:lang w:eastAsia="fr-FR"/>
        </w:rPr>
        <w:t xml:space="preserve">and the </w:t>
      </w:r>
      <w:r w:rsidR="00D51970" w:rsidRPr="001E1BFF">
        <w:rPr>
          <w:color w:val="auto"/>
          <w:szCs w:val="24"/>
          <w:lang w:eastAsia="fr-FR"/>
        </w:rPr>
        <w:t xml:space="preserve">other two </w:t>
      </w:r>
      <w:r w:rsidR="006D6EE6" w:rsidRPr="001E1BFF">
        <w:rPr>
          <w:color w:val="auto"/>
          <w:szCs w:val="24"/>
          <w:lang w:eastAsia="fr-FR"/>
        </w:rPr>
        <w:t>groups (groups 2 and 3).</w:t>
      </w:r>
    </w:p>
    <w:p w14:paraId="5B26ED07" w14:textId="77777777" w:rsidR="00D01F54" w:rsidRDefault="00D01F54" w:rsidP="00D01F54">
      <w:pPr>
        <w:suppressAutoHyphens w:val="0"/>
        <w:autoSpaceDN/>
        <w:spacing w:after="160"/>
        <w:jc w:val="center"/>
        <w:textAlignment w:val="auto"/>
        <w:rPr>
          <w:b/>
          <w:color w:val="auto"/>
          <w:szCs w:val="24"/>
          <w:lang w:eastAsia="fr-FR"/>
        </w:rPr>
      </w:pPr>
    </w:p>
    <w:p w14:paraId="7F601795" w14:textId="77777777" w:rsidR="00D01F54" w:rsidRDefault="00D01F54" w:rsidP="00D01F54">
      <w:pPr>
        <w:suppressAutoHyphens w:val="0"/>
        <w:autoSpaceDN/>
        <w:spacing w:after="160"/>
        <w:jc w:val="center"/>
        <w:textAlignment w:val="auto"/>
        <w:rPr>
          <w:b/>
          <w:color w:val="auto"/>
          <w:szCs w:val="24"/>
          <w:lang w:eastAsia="fr-FR"/>
        </w:rPr>
      </w:pPr>
    </w:p>
    <w:p w14:paraId="24759A81" w14:textId="77777777" w:rsidR="00D01F54" w:rsidRDefault="00D01F54" w:rsidP="00D01F54">
      <w:pPr>
        <w:suppressAutoHyphens w:val="0"/>
        <w:autoSpaceDN/>
        <w:spacing w:after="160"/>
        <w:jc w:val="center"/>
        <w:textAlignment w:val="auto"/>
        <w:rPr>
          <w:b/>
          <w:color w:val="auto"/>
          <w:szCs w:val="24"/>
          <w:lang w:eastAsia="fr-FR"/>
        </w:rPr>
      </w:pPr>
    </w:p>
    <w:p w14:paraId="4EB50594" w14:textId="77777777" w:rsidR="00D01F54" w:rsidRDefault="00D01F54" w:rsidP="00D01F54">
      <w:pPr>
        <w:suppressAutoHyphens w:val="0"/>
        <w:autoSpaceDN/>
        <w:spacing w:after="160"/>
        <w:jc w:val="center"/>
        <w:textAlignment w:val="auto"/>
        <w:rPr>
          <w:b/>
          <w:color w:val="auto"/>
          <w:szCs w:val="24"/>
          <w:lang w:eastAsia="fr-FR"/>
        </w:rPr>
      </w:pPr>
    </w:p>
    <w:p w14:paraId="11A3D9E2" w14:textId="77777777" w:rsidR="00D01F54" w:rsidRDefault="00D01F54" w:rsidP="00D01F54">
      <w:pPr>
        <w:suppressAutoHyphens w:val="0"/>
        <w:autoSpaceDN/>
        <w:spacing w:after="160"/>
        <w:jc w:val="center"/>
        <w:textAlignment w:val="auto"/>
        <w:rPr>
          <w:b/>
          <w:color w:val="auto"/>
          <w:szCs w:val="24"/>
          <w:lang w:eastAsia="fr-FR"/>
        </w:rPr>
      </w:pPr>
    </w:p>
    <w:p w14:paraId="55EA61C8" w14:textId="77777777" w:rsidR="00D01F54" w:rsidRPr="00763CCD" w:rsidRDefault="00D01F54" w:rsidP="00D01F54">
      <w:pPr>
        <w:suppressAutoHyphens w:val="0"/>
        <w:autoSpaceDN/>
        <w:spacing w:after="160"/>
        <w:jc w:val="center"/>
        <w:textAlignment w:val="auto"/>
        <w:rPr>
          <w:b/>
          <w:color w:val="auto"/>
          <w:szCs w:val="24"/>
          <w:lang w:eastAsia="fr-FR"/>
        </w:rPr>
      </w:pPr>
      <w:r w:rsidRPr="009A4FF0">
        <w:rPr>
          <w:bCs/>
          <w:color w:val="auto"/>
          <w:szCs w:val="24"/>
          <w:lang w:eastAsia="fr-FR"/>
        </w:rPr>
        <w:t xml:space="preserve">Table </w:t>
      </w:r>
      <w:proofErr w:type="gramStart"/>
      <w:r w:rsidRPr="009A4FF0">
        <w:rPr>
          <w:bCs/>
          <w:color w:val="auto"/>
          <w:szCs w:val="24"/>
          <w:lang w:eastAsia="fr-FR"/>
        </w:rPr>
        <w:t>2:</w:t>
      </w:r>
      <w:proofErr w:type="gramEnd"/>
      <w:r w:rsidRPr="009A4FF0">
        <w:rPr>
          <w:bCs/>
          <w:color w:val="auto"/>
          <w:szCs w:val="24"/>
          <w:lang w:eastAsia="fr-FR"/>
        </w:rPr>
        <w:t xml:space="preserve"> </w:t>
      </w:r>
      <w:r>
        <w:rPr>
          <w:bCs/>
          <w:color w:val="auto"/>
          <w:szCs w:val="24"/>
          <w:highlight w:val="yellow"/>
          <w:lang w:eastAsia="fr-FR"/>
        </w:rPr>
        <w:t>Average Daily Gain (</w:t>
      </w:r>
      <w:proofErr w:type="gramStart"/>
      <w:r>
        <w:rPr>
          <w:bCs/>
          <w:color w:val="auto"/>
          <w:szCs w:val="24"/>
          <w:highlight w:val="yellow"/>
          <w:lang w:eastAsia="fr-FR"/>
        </w:rPr>
        <w:t>ADG;</w:t>
      </w:r>
      <w:proofErr w:type="gramEnd"/>
      <w:r>
        <w:rPr>
          <w:bCs/>
          <w:color w:val="auto"/>
          <w:szCs w:val="24"/>
          <w:highlight w:val="yellow"/>
          <w:lang w:eastAsia="fr-FR"/>
        </w:rPr>
        <w:t xml:space="preserve"> mg/day)</w:t>
      </w:r>
      <w:r w:rsidRPr="009A4FF0">
        <w:rPr>
          <w:bCs/>
          <w:color w:val="auto"/>
          <w:szCs w:val="24"/>
          <w:lang w:eastAsia="fr-FR"/>
        </w:rPr>
        <w:t xml:space="preserve"> </w:t>
      </w:r>
      <w:r w:rsidRPr="00763CCD">
        <w:rPr>
          <w:color w:val="auto"/>
          <w:szCs w:val="24"/>
          <w:lang w:eastAsia="fr-FR"/>
        </w:rPr>
        <w:t xml:space="preserve">of </w:t>
      </w:r>
      <w:r w:rsidRPr="00763CCD">
        <w:rPr>
          <w:i/>
          <w:color w:val="auto"/>
          <w:szCs w:val="24"/>
          <w:lang w:eastAsia="fr-FR"/>
        </w:rPr>
        <w:t xml:space="preserve">Oreochromis niloticus </w:t>
      </w:r>
      <w:r w:rsidRPr="00763CCD">
        <w:rPr>
          <w:color w:val="auto"/>
          <w:szCs w:val="24"/>
          <w:lang w:eastAsia="fr-FR"/>
        </w:rPr>
        <w:t>tilapia larvae by diet</w:t>
      </w:r>
    </w:p>
    <w:tbl>
      <w:tblPr>
        <w:tblW w:w="9195" w:type="dxa"/>
        <w:tblCellMar>
          <w:left w:w="70" w:type="dxa"/>
          <w:right w:w="70" w:type="dxa"/>
        </w:tblCellMar>
        <w:tblLook w:val="04A0" w:firstRow="1" w:lastRow="0" w:firstColumn="1" w:lastColumn="0" w:noHBand="0" w:noVBand="1"/>
      </w:tblPr>
      <w:tblGrid>
        <w:gridCol w:w="2249"/>
        <w:gridCol w:w="2309"/>
        <w:gridCol w:w="2751"/>
        <w:gridCol w:w="1886"/>
      </w:tblGrid>
      <w:tr w:rsidR="00D01F54" w:rsidRPr="000301D5" w14:paraId="3DB8E202" w14:textId="77777777" w:rsidTr="009A4FF0">
        <w:trPr>
          <w:trHeight w:val="466"/>
        </w:trPr>
        <w:tc>
          <w:tcPr>
            <w:tcW w:w="2249" w:type="dxa"/>
            <w:vMerge w:val="restart"/>
            <w:tcBorders>
              <w:top w:val="single" w:sz="4" w:space="0" w:color="auto"/>
              <w:left w:val="nil"/>
              <w:bottom w:val="single" w:sz="8" w:space="0" w:color="000000"/>
              <w:right w:val="nil"/>
            </w:tcBorders>
            <w:noWrap/>
            <w:vAlign w:val="center"/>
            <w:hideMark/>
          </w:tcPr>
          <w:p w14:paraId="1BB615B8"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Period</w:t>
            </w:r>
          </w:p>
        </w:tc>
        <w:tc>
          <w:tcPr>
            <w:tcW w:w="2309" w:type="dxa"/>
            <w:vMerge w:val="restart"/>
            <w:tcBorders>
              <w:top w:val="single" w:sz="8" w:space="0" w:color="auto"/>
              <w:left w:val="nil"/>
              <w:bottom w:val="single" w:sz="8" w:space="0" w:color="000000"/>
              <w:right w:val="nil"/>
            </w:tcBorders>
            <w:noWrap/>
            <w:vAlign w:val="center"/>
            <w:hideMark/>
          </w:tcPr>
          <w:p w14:paraId="336BE213"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10% Diet</w:t>
            </w:r>
          </w:p>
        </w:tc>
        <w:tc>
          <w:tcPr>
            <w:tcW w:w="2751" w:type="dxa"/>
            <w:vMerge w:val="restart"/>
            <w:tcBorders>
              <w:top w:val="single" w:sz="8" w:space="0" w:color="auto"/>
              <w:left w:val="nil"/>
              <w:bottom w:val="single" w:sz="8" w:space="0" w:color="000000"/>
              <w:right w:val="nil"/>
            </w:tcBorders>
            <w:noWrap/>
            <w:vAlign w:val="center"/>
            <w:hideMark/>
          </w:tcPr>
          <w:p w14:paraId="4CCCCF83"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20% Diet</w:t>
            </w:r>
          </w:p>
        </w:tc>
        <w:tc>
          <w:tcPr>
            <w:tcW w:w="1886" w:type="dxa"/>
            <w:vMerge w:val="restart"/>
            <w:tcBorders>
              <w:top w:val="single" w:sz="8" w:space="0" w:color="auto"/>
              <w:left w:val="nil"/>
              <w:bottom w:val="single" w:sz="8" w:space="0" w:color="000000"/>
              <w:right w:val="nil"/>
            </w:tcBorders>
            <w:noWrap/>
            <w:vAlign w:val="center"/>
            <w:hideMark/>
          </w:tcPr>
          <w:p w14:paraId="6841C1E8"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30% Diet</w:t>
            </w:r>
          </w:p>
        </w:tc>
      </w:tr>
      <w:tr w:rsidR="00D01F54" w:rsidRPr="000301D5" w14:paraId="00327906" w14:textId="77777777" w:rsidTr="009A4FF0">
        <w:trPr>
          <w:trHeight w:val="276"/>
        </w:trPr>
        <w:tc>
          <w:tcPr>
            <w:tcW w:w="2249" w:type="dxa"/>
            <w:vMerge/>
            <w:tcBorders>
              <w:top w:val="nil"/>
              <w:left w:val="nil"/>
              <w:bottom w:val="single" w:sz="8" w:space="0" w:color="000000"/>
              <w:right w:val="nil"/>
            </w:tcBorders>
            <w:vAlign w:val="center"/>
            <w:hideMark/>
          </w:tcPr>
          <w:p w14:paraId="78C342CF" w14:textId="77777777" w:rsidR="00D01F54" w:rsidRPr="000301D5" w:rsidRDefault="00D01F54" w:rsidP="00D01F54">
            <w:pPr>
              <w:suppressAutoHyphens w:val="0"/>
              <w:autoSpaceDN/>
              <w:jc w:val="left"/>
              <w:textAlignment w:val="auto"/>
              <w:rPr>
                <w:b/>
                <w:bCs/>
                <w:color w:val="auto"/>
                <w:szCs w:val="24"/>
                <w:lang w:eastAsia="fr-FR"/>
              </w:rPr>
            </w:pPr>
          </w:p>
        </w:tc>
        <w:tc>
          <w:tcPr>
            <w:tcW w:w="2309" w:type="dxa"/>
            <w:vMerge/>
            <w:tcBorders>
              <w:top w:val="single" w:sz="8" w:space="0" w:color="auto"/>
              <w:left w:val="nil"/>
              <w:bottom w:val="single" w:sz="8" w:space="0" w:color="000000"/>
              <w:right w:val="nil"/>
            </w:tcBorders>
            <w:vAlign w:val="center"/>
            <w:hideMark/>
          </w:tcPr>
          <w:p w14:paraId="75E70877" w14:textId="77777777" w:rsidR="00D01F54" w:rsidRPr="000301D5" w:rsidRDefault="00D01F54" w:rsidP="00D01F54">
            <w:pPr>
              <w:suppressAutoHyphens w:val="0"/>
              <w:autoSpaceDN/>
              <w:jc w:val="left"/>
              <w:textAlignment w:val="auto"/>
              <w:rPr>
                <w:b/>
                <w:bCs/>
                <w:color w:val="auto"/>
                <w:szCs w:val="24"/>
                <w:lang w:eastAsia="fr-FR"/>
              </w:rPr>
            </w:pPr>
          </w:p>
        </w:tc>
        <w:tc>
          <w:tcPr>
            <w:tcW w:w="2751" w:type="dxa"/>
            <w:vMerge/>
            <w:tcBorders>
              <w:top w:val="single" w:sz="8" w:space="0" w:color="auto"/>
              <w:left w:val="nil"/>
              <w:bottom w:val="single" w:sz="8" w:space="0" w:color="000000"/>
              <w:right w:val="nil"/>
            </w:tcBorders>
            <w:vAlign w:val="center"/>
            <w:hideMark/>
          </w:tcPr>
          <w:p w14:paraId="3B3CB471" w14:textId="77777777" w:rsidR="00D01F54" w:rsidRPr="000301D5" w:rsidRDefault="00D01F54" w:rsidP="00D01F54">
            <w:pPr>
              <w:suppressAutoHyphens w:val="0"/>
              <w:autoSpaceDN/>
              <w:jc w:val="left"/>
              <w:textAlignment w:val="auto"/>
              <w:rPr>
                <w:b/>
                <w:bCs/>
                <w:color w:val="auto"/>
                <w:szCs w:val="24"/>
                <w:lang w:eastAsia="fr-FR"/>
              </w:rPr>
            </w:pPr>
          </w:p>
        </w:tc>
        <w:tc>
          <w:tcPr>
            <w:tcW w:w="1886" w:type="dxa"/>
            <w:vMerge/>
            <w:tcBorders>
              <w:top w:val="single" w:sz="8" w:space="0" w:color="auto"/>
              <w:left w:val="nil"/>
              <w:bottom w:val="single" w:sz="8" w:space="0" w:color="000000"/>
              <w:right w:val="nil"/>
            </w:tcBorders>
            <w:vAlign w:val="center"/>
            <w:hideMark/>
          </w:tcPr>
          <w:p w14:paraId="22E32C98" w14:textId="77777777" w:rsidR="00D01F54" w:rsidRPr="000301D5" w:rsidRDefault="00D01F54" w:rsidP="00D01F54">
            <w:pPr>
              <w:suppressAutoHyphens w:val="0"/>
              <w:autoSpaceDN/>
              <w:jc w:val="left"/>
              <w:textAlignment w:val="auto"/>
              <w:rPr>
                <w:b/>
                <w:bCs/>
                <w:color w:val="auto"/>
                <w:szCs w:val="24"/>
                <w:lang w:eastAsia="fr-FR"/>
              </w:rPr>
            </w:pPr>
          </w:p>
        </w:tc>
      </w:tr>
      <w:tr w:rsidR="00D01F54" w:rsidRPr="000301D5" w14:paraId="736C14E6" w14:textId="77777777" w:rsidTr="009A4FF0">
        <w:trPr>
          <w:trHeight w:val="466"/>
        </w:trPr>
        <w:tc>
          <w:tcPr>
            <w:tcW w:w="2249" w:type="dxa"/>
            <w:vMerge w:val="restart"/>
            <w:tcBorders>
              <w:top w:val="nil"/>
              <w:left w:val="nil"/>
              <w:bottom w:val="nil"/>
              <w:right w:val="nil"/>
            </w:tcBorders>
            <w:noWrap/>
            <w:vAlign w:val="center"/>
            <w:hideMark/>
          </w:tcPr>
          <w:p w14:paraId="2B597854"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1</w:t>
            </w:r>
          </w:p>
        </w:tc>
        <w:tc>
          <w:tcPr>
            <w:tcW w:w="2309" w:type="dxa"/>
            <w:vMerge w:val="restart"/>
            <w:tcBorders>
              <w:top w:val="nil"/>
              <w:left w:val="nil"/>
              <w:bottom w:val="nil"/>
              <w:right w:val="nil"/>
            </w:tcBorders>
            <w:noWrap/>
            <w:vAlign w:val="center"/>
            <w:hideMark/>
          </w:tcPr>
          <w:p w14:paraId="2269FB3F"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18.14 ±0.76</w:t>
            </w:r>
          </w:p>
        </w:tc>
        <w:tc>
          <w:tcPr>
            <w:tcW w:w="2751" w:type="dxa"/>
            <w:vMerge w:val="restart"/>
            <w:tcBorders>
              <w:top w:val="nil"/>
              <w:left w:val="nil"/>
              <w:bottom w:val="nil"/>
              <w:right w:val="nil"/>
            </w:tcBorders>
            <w:noWrap/>
            <w:vAlign w:val="center"/>
            <w:hideMark/>
          </w:tcPr>
          <w:p w14:paraId="56D861BF"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18.14 ±0.77</w:t>
            </w:r>
          </w:p>
        </w:tc>
        <w:tc>
          <w:tcPr>
            <w:tcW w:w="1886" w:type="dxa"/>
            <w:vMerge w:val="restart"/>
            <w:tcBorders>
              <w:top w:val="nil"/>
              <w:left w:val="nil"/>
              <w:bottom w:val="nil"/>
              <w:right w:val="nil"/>
            </w:tcBorders>
            <w:noWrap/>
            <w:vAlign w:val="center"/>
            <w:hideMark/>
          </w:tcPr>
          <w:p w14:paraId="462ACFA0"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18.14 ±0.78</w:t>
            </w:r>
          </w:p>
        </w:tc>
      </w:tr>
      <w:tr w:rsidR="00D01F54" w:rsidRPr="000301D5" w14:paraId="1AAA6846" w14:textId="77777777" w:rsidTr="009A4FF0">
        <w:trPr>
          <w:trHeight w:val="276"/>
        </w:trPr>
        <w:tc>
          <w:tcPr>
            <w:tcW w:w="2249" w:type="dxa"/>
            <w:vMerge/>
            <w:tcBorders>
              <w:top w:val="nil"/>
              <w:left w:val="nil"/>
              <w:bottom w:val="nil"/>
              <w:right w:val="nil"/>
            </w:tcBorders>
            <w:vAlign w:val="center"/>
            <w:hideMark/>
          </w:tcPr>
          <w:p w14:paraId="146AAB5A"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nil"/>
              <w:right w:val="nil"/>
            </w:tcBorders>
            <w:vAlign w:val="center"/>
            <w:hideMark/>
          </w:tcPr>
          <w:p w14:paraId="5B3C4F78" w14:textId="77777777" w:rsidR="00D01F54" w:rsidRPr="000301D5" w:rsidRDefault="00D01F54" w:rsidP="00D01F54">
            <w:pPr>
              <w:suppressAutoHyphens w:val="0"/>
              <w:autoSpaceDN/>
              <w:jc w:val="left"/>
              <w:textAlignment w:val="auto"/>
              <w:rPr>
                <w:color w:val="auto"/>
                <w:szCs w:val="24"/>
                <w:lang w:eastAsia="fr-FR"/>
              </w:rPr>
            </w:pPr>
          </w:p>
        </w:tc>
        <w:tc>
          <w:tcPr>
            <w:tcW w:w="2751" w:type="dxa"/>
            <w:vMerge/>
            <w:tcBorders>
              <w:top w:val="nil"/>
              <w:left w:val="nil"/>
              <w:bottom w:val="nil"/>
              <w:right w:val="nil"/>
            </w:tcBorders>
            <w:vAlign w:val="center"/>
            <w:hideMark/>
          </w:tcPr>
          <w:p w14:paraId="33C19C24" w14:textId="77777777" w:rsidR="00D01F54" w:rsidRPr="000301D5" w:rsidRDefault="00D01F54" w:rsidP="00D01F54">
            <w:pPr>
              <w:suppressAutoHyphens w:val="0"/>
              <w:autoSpaceDN/>
              <w:jc w:val="left"/>
              <w:textAlignment w:val="auto"/>
              <w:rPr>
                <w:color w:val="auto"/>
                <w:szCs w:val="24"/>
                <w:lang w:eastAsia="fr-FR"/>
              </w:rPr>
            </w:pPr>
          </w:p>
        </w:tc>
        <w:tc>
          <w:tcPr>
            <w:tcW w:w="1886" w:type="dxa"/>
            <w:vMerge/>
            <w:tcBorders>
              <w:top w:val="nil"/>
              <w:left w:val="nil"/>
              <w:bottom w:val="nil"/>
              <w:right w:val="nil"/>
            </w:tcBorders>
            <w:vAlign w:val="center"/>
            <w:hideMark/>
          </w:tcPr>
          <w:p w14:paraId="258FD9FC" w14:textId="77777777" w:rsidR="00D01F54" w:rsidRPr="000301D5" w:rsidRDefault="00D01F54" w:rsidP="00D01F54">
            <w:pPr>
              <w:suppressAutoHyphens w:val="0"/>
              <w:autoSpaceDN/>
              <w:jc w:val="left"/>
              <w:textAlignment w:val="auto"/>
              <w:rPr>
                <w:color w:val="auto"/>
                <w:szCs w:val="24"/>
                <w:lang w:eastAsia="fr-FR"/>
              </w:rPr>
            </w:pPr>
          </w:p>
        </w:tc>
      </w:tr>
      <w:tr w:rsidR="00D01F54" w:rsidRPr="000301D5" w14:paraId="6D854649" w14:textId="77777777" w:rsidTr="009A4FF0">
        <w:trPr>
          <w:trHeight w:val="466"/>
        </w:trPr>
        <w:tc>
          <w:tcPr>
            <w:tcW w:w="2249" w:type="dxa"/>
            <w:vMerge w:val="restart"/>
            <w:tcBorders>
              <w:top w:val="nil"/>
              <w:left w:val="nil"/>
              <w:bottom w:val="nil"/>
              <w:right w:val="nil"/>
            </w:tcBorders>
            <w:noWrap/>
            <w:vAlign w:val="center"/>
            <w:hideMark/>
          </w:tcPr>
          <w:p w14:paraId="166F0319"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2</w:t>
            </w:r>
          </w:p>
        </w:tc>
        <w:tc>
          <w:tcPr>
            <w:tcW w:w="2309" w:type="dxa"/>
            <w:vMerge w:val="restart"/>
            <w:tcBorders>
              <w:top w:val="nil"/>
              <w:left w:val="nil"/>
              <w:bottom w:val="nil"/>
              <w:right w:val="nil"/>
            </w:tcBorders>
            <w:noWrap/>
            <w:vAlign w:val="center"/>
            <w:hideMark/>
          </w:tcPr>
          <w:p w14:paraId="3BD69C5E"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16.57 ± 1.36</w:t>
            </w:r>
            <w:r w:rsidRPr="000301D5">
              <w:rPr>
                <w:color w:val="auto"/>
                <w:szCs w:val="24"/>
                <w:vertAlign w:val="superscript"/>
                <w:lang w:eastAsia="fr-FR"/>
              </w:rPr>
              <w:t>a</w:t>
            </w:r>
          </w:p>
        </w:tc>
        <w:tc>
          <w:tcPr>
            <w:tcW w:w="2751" w:type="dxa"/>
            <w:vMerge w:val="restart"/>
            <w:tcBorders>
              <w:top w:val="nil"/>
              <w:left w:val="nil"/>
              <w:bottom w:val="nil"/>
              <w:right w:val="nil"/>
            </w:tcBorders>
            <w:noWrap/>
            <w:vAlign w:val="center"/>
            <w:hideMark/>
          </w:tcPr>
          <w:p w14:paraId="33398429"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23.48 ± 2.01</w:t>
            </w:r>
            <w:r w:rsidRPr="000301D5">
              <w:rPr>
                <w:color w:val="auto"/>
                <w:szCs w:val="24"/>
                <w:vertAlign w:val="superscript"/>
                <w:lang w:eastAsia="fr-FR"/>
              </w:rPr>
              <w:t>b</w:t>
            </w:r>
          </w:p>
        </w:tc>
        <w:tc>
          <w:tcPr>
            <w:tcW w:w="1886" w:type="dxa"/>
            <w:vMerge w:val="restart"/>
            <w:tcBorders>
              <w:top w:val="nil"/>
              <w:left w:val="nil"/>
              <w:bottom w:val="nil"/>
              <w:right w:val="nil"/>
            </w:tcBorders>
            <w:noWrap/>
            <w:vAlign w:val="center"/>
            <w:hideMark/>
          </w:tcPr>
          <w:p w14:paraId="408FF3B5"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20.62 ± 3.76</w:t>
            </w:r>
            <w:r w:rsidRPr="000301D5">
              <w:rPr>
                <w:color w:val="auto"/>
                <w:szCs w:val="24"/>
                <w:vertAlign w:val="superscript"/>
                <w:lang w:eastAsia="fr-FR"/>
              </w:rPr>
              <w:t>b</w:t>
            </w:r>
          </w:p>
        </w:tc>
      </w:tr>
      <w:tr w:rsidR="00D01F54" w:rsidRPr="000301D5" w14:paraId="216CDF18" w14:textId="77777777" w:rsidTr="009A4FF0">
        <w:trPr>
          <w:trHeight w:val="276"/>
        </w:trPr>
        <w:tc>
          <w:tcPr>
            <w:tcW w:w="2249" w:type="dxa"/>
            <w:vMerge/>
            <w:tcBorders>
              <w:top w:val="nil"/>
              <w:left w:val="nil"/>
              <w:bottom w:val="nil"/>
              <w:right w:val="nil"/>
            </w:tcBorders>
            <w:vAlign w:val="center"/>
            <w:hideMark/>
          </w:tcPr>
          <w:p w14:paraId="2CE64F10"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nil"/>
              <w:right w:val="nil"/>
            </w:tcBorders>
            <w:vAlign w:val="center"/>
            <w:hideMark/>
          </w:tcPr>
          <w:p w14:paraId="1A73EC0F" w14:textId="77777777" w:rsidR="00D01F54" w:rsidRPr="000301D5" w:rsidRDefault="00D01F54" w:rsidP="00D01F54">
            <w:pPr>
              <w:suppressAutoHyphens w:val="0"/>
              <w:autoSpaceDN/>
              <w:jc w:val="left"/>
              <w:textAlignment w:val="auto"/>
              <w:rPr>
                <w:b/>
                <w:bCs/>
                <w:color w:val="auto"/>
                <w:szCs w:val="24"/>
                <w:lang w:eastAsia="fr-FR"/>
              </w:rPr>
            </w:pPr>
          </w:p>
        </w:tc>
        <w:tc>
          <w:tcPr>
            <w:tcW w:w="2751" w:type="dxa"/>
            <w:vMerge/>
            <w:tcBorders>
              <w:top w:val="nil"/>
              <w:left w:val="nil"/>
              <w:bottom w:val="nil"/>
              <w:right w:val="nil"/>
            </w:tcBorders>
            <w:vAlign w:val="center"/>
            <w:hideMark/>
          </w:tcPr>
          <w:p w14:paraId="6C33CDB8" w14:textId="77777777" w:rsidR="00D01F54" w:rsidRPr="000301D5" w:rsidRDefault="00D01F54" w:rsidP="00D01F54">
            <w:pPr>
              <w:suppressAutoHyphens w:val="0"/>
              <w:autoSpaceDN/>
              <w:jc w:val="left"/>
              <w:textAlignment w:val="auto"/>
              <w:rPr>
                <w:b/>
                <w:bCs/>
                <w:color w:val="auto"/>
                <w:szCs w:val="24"/>
                <w:lang w:eastAsia="fr-FR"/>
              </w:rPr>
            </w:pPr>
          </w:p>
        </w:tc>
        <w:tc>
          <w:tcPr>
            <w:tcW w:w="1886" w:type="dxa"/>
            <w:vMerge/>
            <w:tcBorders>
              <w:top w:val="nil"/>
              <w:left w:val="nil"/>
              <w:bottom w:val="nil"/>
              <w:right w:val="nil"/>
            </w:tcBorders>
            <w:vAlign w:val="center"/>
            <w:hideMark/>
          </w:tcPr>
          <w:p w14:paraId="1A67F69F" w14:textId="77777777" w:rsidR="00D01F54" w:rsidRPr="000301D5" w:rsidRDefault="00D01F54" w:rsidP="00D01F54">
            <w:pPr>
              <w:suppressAutoHyphens w:val="0"/>
              <w:autoSpaceDN/>
              <w:jc w:val="left"/>
              <w:textAlignment w:val="auto"/>
              <w:rPr>
                <w:b/>
                <w:bCs/>
                <w:color w:val="auto"/>
                <w:szCs w:val="24"/>
                <w:lang w:eastAsia="fr-FR"/>
              </w:rPr>
            </w:pPr>
          </w:p>
        </w:tc>
      </w:tr>
      <w:tr w:rsidR="00D01F54" w:rsidRPr="000301D5" w14:paraId="63398C26" w14:textId="77777777" w:rsidTr="009A4FF0">
        <w:trPr>
          <w:trHeight w:val="466"/>
        </w:trPr>
        <w:tc>
          <w:tcPr>
            <w:tcW w:w="2249" w:type="dxa"/>
            <w:vMerge w:val="restart"/>
            <w:tcBorders>
              <w:top w:val="nil"/>
              <w:left w:val="nil"/>
              <w:bottom w:val="nil"/>
              <w:right w:val="nil"/>
            </w:tcBorders>
            <w:noWrap/>
            <w:vAlign w:val="center"/>
            <w:hideMark/>
          </w:tcPr>
          <w:p w14:paraId="68B7716F"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3</w:t>
            </w:r>
          </w:p>
        </w:tc>
        <w:tc>
          <w:tcPr>
            <w:tcW w:w="2309" w:type="dxa"/>
            <w:vMerge w:val="restart"/>
            <w:tcBorders>
              <w:top w:val="nil"/>
              <w:left w:val="nil"/>
              <w:bottom w:val="nil"/>
              <w:right w:val="nil"/>
            </w:tcBorders>
            <w:noWrap/>
            <w:vAlign w:val="center"/>
            <w:hideMark/>
          </w:tcPr>
          <w:p w14:paraId="6087A7BB"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39.62 ± 3.73</w:t>
            </w:r>
            <w:r w:rsidRPr="000301D5">
              <w:rPr>
                <w:color w:val="auto"/>
                <w:szCs w:val="24"/>
                <w:vertAlign w:val="superscript"/>
                <w:lang w:eastAsia="fr-FR"/>
              </w:rPr>
              <w:t>a</w:t>
            </w:r>
          </w:p>
        </w:tc>
        <w:tc>
          <w:tcPr>
            <w:tcW w:w="2751" w:type="dxa"/>
            <w:vMerge w:val="restart"/>
            <w:tcBorders>
              <w:top w:val="nil"/>
              <w:left w:val="nil"/>
              <w:bottom w:val="nil"/>
              <w:right w:val="nil"/>
            </w:tcBorders>
            <w:noWrap/>
            <w:vAlign w:val="center"/>
            <w:hideMark/>
          </w:tcPr>
          <w:p w14:paraId="4F3AAD2A"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42.43 ± 2.11</w:t>
            </w:r>
            <w:r w:rsidRPr="000301D5">
              <w:rPr>
                <w:color w:val="auto"/>
                <w:szCs w:val="24"/>
                <w:vertAlign w:val="superscript"/>
                <w:lang w:eastAsia="fr-FR"/>
              </w:rPr>
              <w:t>b</w:t>
            </w:r>
          </w:p>
        </w:tc>
        <w:tc>
          <w:tcPr>
            <w:tcW w:w="1886" w:type="dxa"/>
            <w:vMerge w:val="restart"/>
            <w:tcBorders>
              <w:top w:val="nil"/>
              <w:left w:val="nil"/>
              <w:bottom w:val="nil"/>
              <w:right w:val="nil"/>
            </w:tcBorders>
            <w:noWrap/>
            <w:vAlign w:val="center"/>
            <w:hideMark/>
          </w:tcPr>
          <w:p w14:paraId="1912043E"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45.52 ± 4.12</w:t>
            </w:r>
            <w:r w:rsidRPr="000301D5">
              <w:rPr>
                <w:color w:val="auto"/>
                <w:szCs w:val="24"/>
                <w:vertAlign w:val="superscript"/>
                <w:lang w:eastAsia="fr-FR"/>
              </w:rPr>
              <w:t>ab</w:t>
            </w:r>
          </w:p>
        </w:tc>
      </w:tr>
      <w:tr w:rsidR="00D01F54" w:rsidRPr="000301D5" w14:paraId="18ABB55B" w14:textId="77777777" w:rsidTr="009A4FF0">
        <w:trPr>
          <w:trHeight w:val="276"/>
        </w:trPr>
        <w:tc>
          <w:tcPr>
            <w:tcW w:w="2249" w:type="dxa"/>
            <w:vMerge/>
            <w:tcBorders>
              <w:top w:val="nil"/>
              <w:left w:val="nil"/>
              <w:bottom w:val="nil"/>
              <w:right w:val="nil"/>
            </w:tcBorders>
            <w:vAlign w:val="center"/>
            <w:hideMark/>
          </w:tcPr>
          <w:p w14:paraId="31C26E8A"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nil"/>
              <w:right w:val="nil"/>
            </w:tcBorders>
            <w:vAlign w:val="center"/>
            <w:hideMark/>
          </w:tcPr>
          <w:p w14:paraId="0B176AB8" w14:textId="77777777" w:rsidR="00D01F54" w:rsidRPr="000301D5" w:rsidRDefault="00D01F54" w:rsidP="00D01F54">
            <w:pPr>
              <w:suppressAutoHyphens w:val="0"/>
              <w:autoSpaceDN/>
              <w:jc w:val="left"/>
              <w:textAlignment w:val="auto"/>
              <w:rPr>
                <w:color w:val="auto"/>
                <w:szCs w:val="24"/>
                <w:lang w:eastAsia="fr-FR"/>
              </w:rPr>
            </w:pPr>
          </w:p>
        </w:tc>
        <w:tc>
          <w:tcPr>
            <w:tcW w:w="2751" w:type="dxa"/>
            <w:vMerge/>
            <w:tcBorders>
              <w:top w:val="nil"/>
              <w:left w:val="nil"/>
              <w:bottom w:val="nil"/>
              <w:right w:val="nil"/>
            </w:tcBorders>
            <w:vAlign w:val="center"/>
            <w:hideMark/>
          </w:tcPr>
          <w:p w14:paraId="1C65CC5E" w14:textId="77777777" w:rsidR="00D01F54" w:rsidRPr="000301D5" w:rsidRDefault="00D01F54" w:rsidP="00D01F54">
            <w:pPr>
              <w:suppressAutoHyphens w:val="0"/>
              <w:autoSpaceDN/>
              <w:jc w:val="left"/>
              <w:textAlignment w:val="auto"/>
              <w:rPr>
                <w:color w:val="auto"/>
                <w:szCs w:val="24"/>
                <w:lang w:eastAsia="fr-FR"/>
              </w:rPr>
            </w:pPr>
          </w:p>
        </w:tc>
        <w:tc>
          <w:tcPr>
            <w:tcW w:w="1886" w:type="dxa"/>
            <w:vMerge/>
            <w:tcBorders>
              <w:top w:val="nil"/>
              <w:left w:val="nil"/>
              <w:bottom w:val="nil"/>
              <w:right w:val="nil"/>
            </w:tcBorders>
            <w:vAlign w:val="center"/>
            <w:hideMark/>
          </w:tcPr>
          <w:p w14:paraId="085DFC7B" w14:textId="77777777" w:rsidR="00D01F54" w:rsidRPr="000301D5" w:rsidRDefault="00D01F54" w:rsidP="00D01F54">
            <w:pPr>
              <w:suppressAutoHyphens w:val="0"/>
              <w:autoSpaceDN/>
              <w:jc w:val="left"/>
              <w:textAlignment w:val="auto"/>
              <w:rPr>
                <w:color w:val="auto"/>
                <w:szCs w:val="24"/>
                <w:lang w:eastAsia="fr-FR"/>
              </w:rPr>
            </w:pPr>
          </w:p>
        </w:tc>
      </w:tr>
      <w:tr w:rsidR="00D01F54" w:rsidRPr="000301D5" w14:paraId="376963FB" w14:textId="77777777" w:rsidTr="009A4FF0">
        <w:trPr>
          <w:trHeight w:val="466"/>
        </w:trPr>
        <w:tc>
          <w:tcPr>
            <w:tcW w:w="2249" w:type="dxa"/>
            <w:vMerge w:val="restart"/>
            <w:tcBorders>
              <w:top w:val="nil"/>
              <w:left w:val="nil"/>
              <w:bottom w:val="nil"/>
              <w:right w:val="nil"/>
            </w:tcBorders>
            <w:noWrap/>
            <w:vAlign w:val="center"/>
            <w:hideMark/>
          </w:tcPr>
          <w:p w14:paraId="0E592028"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4</w:t>
            </w:r>
          </w:p>
        </w:tc>
        <w:tc>
          <w:tcPr>
            <w:tcW w:w="2309" w:type="dxa"/>
            <w:vMerge w:val="restart"/>
            <w:tcBorders>
              <w:top w:val="nil"/>
              <w:left w:val="nil"/>
              <w:bottom w:val="nil"/>
              <w:right w:val="nil"/>
            </w:tcBorders>
            <w:noWrap/>
            <w:vAlign w:val="center"/>
            <w:hideMark/>
          </w:tcPr>
          <w:p w14:paraId="0C334593"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66.00 ± 5.94</w:t>
            </w:r>
            <w:r w:rsidRPr="000301D5">
              <w:rPr>
                <w:color w:val="auto"/>
                <w:szCs w:val="24"/>
                <w:vertAlign w:val="superscript"/>
                <w:lang w:eastAsia="fr-FR"/>
              </w:rPr>
              <w:t>a</w:t>
            </w:r>
          </w:p>
        </w:tc>
        <w:tc>
          <w:tcPr>
            <w:tcW w:w="2751" w:type="dxa"/>
            <w:vMerge w:val="restart"/>
            <w:tcBorders>
              <w:top w:val="nil"/>
              <w:left w:val="nil"/>
              <w:bottom w:val="nil"/>
              <w:right w:val="nil"/>
            </w:tcBorders>
            <w:noWrap/>
            <w:vAlign w:val="center"/>
            <w:hideMark/>
          </w:tcPr>
          <w:p w14:paraId="2600BDDE"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70.33 ± 11.97</w:t>
            </w:r>
            <w:r w:rsidRPr="000301D5">
              <w:rPr>
                <w:color w:val="auto"/>
                <w:szCs w:val="24"/>
                <w:vertAlign w:val="superscript"/>
                <w:lang w:eastAsia="fr-FR"/>
              </w:rPr>
              <w:t>b</w:t>
            </w:r>
          </w:p>
        </w:tc>
        <w:tc>
          <w:tcPr>
            <w:tcW w:w="1886" w:type="dxa"/>
            <w:vMerge w:val="restart"/>
            <w:tcBorders>
              <w:top w:val="nil"/>
              <w:left w:val="nil"/>
              <w:bottom w:val="nil"/>
              <w:right w:val="nil"/>
            </w:tcBorders>
            <w:noWrap/>
            <w:vAlign w:val="center"/>
            <w:hideMark/>
          </w:tcPr>
          <w:p w14:paraId="0580C099"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67.81 ± 7.03</w:t>
            </w:r>
            <w:r w:rsidRPr="000301D5">
              <w:rPr>
                <w:color w:val="auto"/>
                <w:szCs w:val="24"/>
                <w:vertAlign w:val="superscript"/>
                <w:lang w:eastAsia="fr-FR"/>
              </w:rPr>
              <w:t>b</w:t>
            </w:r>
          </w:p>
        </w:tc>
      </w:tr>
      <w:tr w:rsidR="00D01F54" w:rsidRPr="000301D5" w14:paraId="5BF80564" w14:textId="77777777" w:rsidTr="009A4FF0">
        <w:trPr>
          <w:trHeight w:val="276"/>
        </w:trPr>
        <w:tc>
          <w:tcPr>
            <w:tcW w:w="2249" w:type="dxa"/>
            <w:vMerge/>
            <w:tcBorders>
              <w:top w:val="nil"/>
              <w:left w:val="nil"/>
              <w:bottom w:val="nil"/>
              <w:right w:val="nil"/>
            </w:tcBorders>
            <w:vAlign w:val="center"/>
            <w:hideMark/>
          </w:tcPr>
          <w:p w14:paraId="612D6913"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nil"/>
              <w:right w:val="nil"/>
            </w:tcBorders>
            <w:vAlign w:val="center"/>
            <w:hideMark/>
          </w:tcPr>
          <w:p w14:paraId="2624F664" w14:textId="77777777" w:rsidR="00D01F54" w:rsidRPr="000301D5" w:rsidRDefault="00D01F54" w:rsidP="00D01F54">
            <w:pPr>
              <w:suppressAutoHyphens w:val="0"/>
              <w:autoSpaceDN/>
              <w:jc w:val="left"/>
              <w:textAlignment w:val="auto"/>
              <w:rPr>
                <w:color w:val="auto"/>
                <w:szCs w:val="24"/>
                <w:lang w:eastAsia="fr-FR"/>
              </w:rPr>
            </w:pPr>
          </w:p>
        </w:tc>
        <w:tc>
          <w:tcPr>
            <w:tcW w:w="2751" w:type="dxa"/>
            <w:vMerge/>
            <w:tcBorders>
              <w:top w:val="nil"/>
              <w:left w:val="nil"/>
              <w:bottom w:val="nil"/>
              <w:right w:val="nil"/>
            </w:tcBorders>
            <w:vAlign w:val="center"/>
            <w:hideMark/>
          </w:tcPr>
          <w:p w14:paraId="730D10CC" w14:textId="77777777" w:rsidR="00D01F54" w:rsidRPr="000301D5" w:rsidRDefault="00D01F54" w:rsidP="00D01F54">
            <w:pPr>
              <w:suppressAutoHyphens w:val="0"/>
              <w:autoSpaceDN/>
              <w:jc w:val="left"/>
              <w:textAlignment w:val="auto"/>
              <w:rPr>
                <w:color w:val="auto"/>
                <w:szCs w:val="24"/>
                <w:lang w:eastAsia="fr-FR"/>
              </w:rPr>
            </w:pPr>
          </w:p>
        </w:tc>
        <w:tc>
          <w:tcPr>
            <w:tcW w:w="1886" w:type="dxa"/>
            <w:vMerge/>
            <w:tcBorders>
              <w:top w:val="nil"/>
              <w:left w:val="nil"/>
              <w:bottom w:val="nil"/>
              <w:right w:val="nil"/>
            </w:tcBorders>
            <w:vAlign w:val="center"/>
            <w:hideMark/>
          </w:tcPr>
          <w:p w14:paraId="574A6455" w14:textId="77777777" w:rsidR="00D01F54" w:rsidRPr="000301D5" w:rsidRDefault="00D01F54" w:rsidP="00D01F54">
            <w:pPr>
              <w:suppressAutoHyphens w:val="0"/>
              <w:autoSpaceDN/>
              <w:jc w:val="left"/>
              <w:textAlignment w:val="auto"/>
              <w:rPr>
                <w:color w:val="auto"/>
                <w:szCs w:val="24"/>
                <w:lang w:eastAsia="fr-FR"/>
              </w:rPr>
            </w:pPr>
          </w:p>
        </w:tc>
      </w:tr>
      <w:tr w:rsidR="00D01F54" w:rsidRPr="000301D5" w14:paraId="01846C1F" w14:textId="77777777" w:rsidTr="009A4FF0">
        <w:trPr>
          <w:trHeight w:val="466"/>
        </w:trPr>
        <w:tc>
          <w:tcPr>
            <w:tcW w:w="2249" w:type="dxa"/>
            <w:vMerge w:val="restart"/>
            <w:tcBorders>
              <w:top w:val="nil"/>
              <w:left w:val="nil"/>
              <w:bottom w:val="nil"/>
              <w:right w:val="nil"/>
            </w:tcBorders>
            <w:noWrap/>
            <w:vAlign w:val="center"/>
            <w:hideMark/>
          </w:tcPr>
          <w:p w14:paraId="54F3B87A"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5</w:t>
            </w:r>
          </w:p>
        </w:tc>
        <w:tc>
          <w:tcPr>
            <w:tcW w:w="2309" w:type="dxa"/>
            <w:vMerge w:val="restart"/>
            <w:tcBorders>
              <w:top w:val="nil"/>
              <w:left w:val="nil"/>
              <w:bottom w:val="nil"/>
              <w:right w:val="nil"/>
            </w:tcBorders>
            <w:noWrap/>
            <w:vAlign w:val="center"/>
            <w:hideMark/>
          </w:tcPr>
          <w:p w14:paraId="24F8F06C"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w:t>
            </w:r>
            <w:r>
              <w:rPr>
                <w:color w:val="auto"/>
                <w:szCs w:val="24"/>
                <w:highlight w:val="yellow"/>
                <w:lang w:eastAsia="fr-FR"/>
              </w:rPr>
              <w:t>44.10</w:t>
            </w:r>
            <w:r>
              <w:rPr>
                <w:color w:val="auto"/>
                <w:szCs w:val="24"/>
                <w:lang w:eastAsia="fr-FR"/>
              </w:rPr>
              <w:t xml:space="preserve"> ± 1.70</w:t>
            </w:r>
            <w:r w:rsidRPr="000301D5">
              <w:rPr>
                <w:color w:val="auto"/>
                <w:szCs w:val="24"/>
                <w:vertAlign w:val="superscript"/>
                <w:lang w:eastAsia="fr-FR"/>
              </w:rPr>
              <w:t>a</w:t>
            </w:r>
          </w:p>
        </w:tc>
        <w:tc>
          <w:tcPr>
            <w:tcW w:w="2751" w:type="dxa"/>
            <w:vMerge w:val="restart"/>
            <w:tcBorders>
              <w:top w:val="nil"/>
              <w:left w:val="nil"/>
              <w:bottom w:val="nil"/>
              <w:right w:val="nil"/>
            </w:tcBorders>
            <w:noWrap/>
            <w:vAlign w:val="center"/>
            <w:hideMark/>
          </w:tcPr>
          <w:p w14:paraId="7D2C1960"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48.99 ± 2.91</w:t>
            </w:r>
            <w:r w:rsidRPr="000301D5">
              <w:rPr>
                <w:color w:val="auto"/>
                <w:szCs w:val="24"/>
                <w:vertAlign w:val="superscript"/>
                <w:lang w:eastAsia="fr-FR"/>
              </w:rPr>
              <w:t>b</w:t>
            </w:r>
          </w:p>
        </w:tc>
        <w:tc>
          <w:tcPr>
            <w:tcW w:w="1886" w:type="dxa"/>
            <w:vMerge w:val="restart"/>
            <w:tcBorders>
              <w:top w:val="nil"/>
              <w:left w:val="nil"/>
              <w:bottom w:val="nil"/>
              <w:right w:val="nil"/>
            </w:tcBorders>
            <w:noWrap/>
            <w:vAlign w:val="center"/>
            <w:hideMark/>
          </w:tcPr>
          <w:p w14:paraId="1FD67648"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48.04 ± 1.43</w:t>
            </w:r>
            <w:r w:rsidRPr="000301D5">
              <w:rPr>
                <w:color w:val="auto"/>
                <w:szCs w:val="24"/>
                <w:vertAlign w:val="superscript"/>
                <w:lang w:eastAsia="fr-FR"/>
              </w:rPr>
              <w:t>b</w:t>
            </w:r>
          </w:p>
        </w:tc>
      </w:tr>
      <w:tr w:rsidR="00D01F54" w:rsidRPr="000301D5" w14:paraId="02428AAC" w14:textId="77777777" w:rsidTr="009A4FF0">
        <w:trPr>
          <w:trHeight w:val="276"/>
        </w:trPr>
        <w:tc>
          <w:tcPr>
            <w:tcW w:w="2249" w:type="dxa"/>
            <w:vMerge/>
            <w:tcBorders>
              <w:top w:val="nil"/>
              <w:left w:val="nil"/>
              <w:bottom w:val="single" w:sz="4" w:space="0" w:color="auto"/>
              <w:right w:val="nil"/>
            </w:tcBorders>
            <w:vAlign w:val="center"/>
            <w:hideMark/>
          </w:tcPr>
          <w:p w14:paraId="50348B12"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single" w:sz="4" w:space="0" w:color="auto"/>
              <w:right w:val="nil"/>
            </w:tcBorders>
            <w:vAlign w:val="center"/>
            <w:hideMark/>
          </w:tcPr>
          <w:p w14:paraId="0AC81905" w14:textId="77777777" w:rsidR="00D01F54" w:rsidRPr="000301D5" w:rsidRDefault="00D01F54" w:rsidP="00D01F54">
            <w:pPr>
              <w:suppressAutoHyphens w:val="0"/>
              <w:autoSpaceDN/>
              <w:jc w:val="left"/>
              <w:textAlignment w:val="auto"/>
              <w:rPr>
                <w:color w:val="auto"/>
                <w:szCs w:val="24"/>
                <w:lang w:eastAsia="fr-FR"/>
              </w:rPr>
            </w:pPr>
          </w:p>
        </w:tc>
        <w:tc>
          <w:tcPr>
            <w:tcW w:w="2751" w:type="dxa"/>
            <w:vMerge/>
            <w:tcBorders>
              <w:top w:val="nil"/>
              <w:left w:val="nil"/>
              <w:bottom w:val="single" w:sz="4" w:space="0" w:color="auto"/>
              <w:right w:val="nil"/>
            </w:tcBorders>
            <w:vAlign w:val="center"/>
            <w:hideMark/>
          </w:tcPr>
          <w:p w14:paraId="39748DD6" w14:textId="77777777" w:rsidR="00D01F54" w:rsidRPr="000301D5" w:rsidRDefault="00D01F54" w:rsidP="00D01F54">
            <w:pPr>
              <w:suppressAutoHyphens w:val="0"/>
              <w:autoSpaceDN/>
              <w:jc w:val="left"/>
              <w:textAlignment w:val="auto"/>
              <w:rPr>
                <w:color w:val="auto"/>
                <w:szCs w:val="24"/>
                <w:lang w:eastAsia="fr-FR"/>
              </w:rPr>
            </w:pPr>
          </w:p>
        </w:tc>
        <w:tc>
          <w:tcPr>
            <w:tcW w:w="1886" w:type="dxa"/>
            <w:vMerge/>
            <w:tcBorders>
              <w:top w:val="nil"/>
              <w:left w:val="nil"/>
              <w:bottom w:val="single" w:sz="4" w:space="0" w:color="auto"/>
              <w:right w:val="nil"/>
            </w:tcBorders>
            <w:vAlign w:val="center"/>
            <w:hideMark/>
          </w:tcPr>
          <w:p w14:paraId="47722D59" w14:textId="77777777" w:rsidR="00D01F54" w:rsidRPr="000301D5" w:rsidRDefault="00D01F54" w:rsidP="00D01F54">
            <w:pPr>
              <w:suppressAutoHyphens w:val="0"/>
              <w:autoSpaceDN/>
              <w:jc w:val="left"/>
              <w:textAlignment w:val="auto"/>
              <w:rPr>
                <w:color w:val="auto"/>
                <w:szCs w:val="24"/>
                <w:lang w:eastAsia="fr-FR"/>
              </w:rPr>
            </w:pPr>
          </w:p>
        </w:tc>
      </w:tr>
      <w:tr w:rsidR="00D01F54" w:rsidRPr="000301D5" w14:paraId="2007794E" w14:textId="77777777" w:rsidTr="009A4FF0">
        <w:trPr>
          <w:trHeight w:val="466"/>
        </w:trPr>
        <w:tc>
          <w:tcPr>
            <w:tcW w:w="2249" w:type="dxa"/>
            <w:vMerge w:val="restart"/>
            <w:tcBorders>
              <w:top w:val="single" w:sz="4" w:space="0" w:color="auto"/>
              <w:left w:val="nil"/>
              <w:bottom w:val="single" w:sz="8" w:space="0" w:color="000000"/>
              <w:right w:val="nil"/>
            </w:tcBorders>
            <w:noWrap/>
            <w:vAlign w:val="center"/>
            <w:hideMark/>
          </w:tcPr>
          <w:p w14:paraId="4DCEAC12" w14:textId="77777777" w:rsidR="00D01F54" w:rsidRPr="00D01F54" w:rsidRDefault="00D01F54" w:rsidP="00D01F54">
            <w:pPr>
              <w:suppressAutoHyphens w:val="0"/>
              <w:autoSpaceDN/>
              <w:jc w:val="center"/>
              <w:textAlignment w:val="auto"/>
              <w:rPr>
                <w:b/>
                <w:color w:val="auto"/>
                <w:szCs w:val="24"/>
                <w:lang w:eastAsia="fr-FR"/>
              </w:rPr>
            </w:pPr>
            <w:r w:rsidRPr="00D01F54">
              <w:rPr>
                <w:b/>
                <w:color w:val="auto"/>
                <w:szCs w:val="24"/>
                <w:lang w:eastAsia="fr-FR"/>
              </w:rPr>
              <w:t>Average</w:t>
            </w:r>
          </w:p>
        </w:tc>
        <w:tc>
          <w:tcPr>
            <w:tcW w:w="2309" w:type="dxa"/>
            <w:vMerge w:val="restart"/>
            <w:tcBorders>
              <w:top w:val="single" w:sz="4" w:space="0" w:color="auto"/>
              <w:left w:val="nil"/>
              <w:bottom w:val="single" w:sz="8" w:space="0" w:color="000000"/>
              <w:right w:val="nil"/>
            </w:tcBorders>
            <w:noWrap/>
            <w:vAlign w:val="center"/>
            <w:hideMark/>
          </w:tcPr>
          <w:p w14:paraId="0CAC023D"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36.89 ± 2.70</w:t>
            </w:r>
            <w:r w:rsidRPr="000301D5">
              <w:rPr>
                <w:color w:val="auto"/>
                <w:szCs w:val="24"/>
                <w:vertAlign w:val="superscript"/>
                <w:lang w:eastAsia="fr-FR"/>
              </w:rPr>
              <w:t>a</w:t>
            </w:r>
          </w:p>
        </w:tc>
        <w:tc>
          <w:tcPr>
            <w:tcW w:w="2751" w:type="dxa"/>
            <w:vMerge w:val="restart"/>
            <w:tcBorders>
              <w:top w:val="single" w:sz="4" w:space="0" w:color="auto"/>
              <w:left w:val="nil"/>
              <w:bottom w:val="single" w:sz="8" w:space="0" w:color="000000"/>
              <w:right w:val="nil"/>
            </w:tcBorders>
            <w:noWrap/>
            <w:vAlign w:val="center"/>
            <w:hideMark/>
          </w:tcPr>
          <w:p w14:paraId="3DDEA485" w14:textId="77777777" w:rsidR="00D01F54" w:rsidRPr="000301D5" w:rsidRDefault="00D01F54" w:rsidP="00D01F54">
            <w:pPr>
              <w:suppressAutoHyphens w:val="0"/>
              <w:autoSpaceDN/>
              <w:jc w:val="center"/>
              <w:textAlignment w:val="auto"/>
              <w:rPr>
                <w:b/>
                <w:bCs/>
                <w:color w:val="auto"/>
                <w:szCs w:val="24"/>
                <w:lang w:eastAsia="fr-FR"/>
              </w:rPr>
            </w:pPr>
            <w:r>
              <w:rPr>
                <w:b/>
                <w:bCs/>
                <w:color w:val="auto"/>
                <w:szCs w:val="24"/>
                <w:highlight w:val="yellow"/>
                <w:lang w:eastAsia="fr-FR"/>
              </w:rPr>
              <w:t>40.67</w:t>
            </w:r>
            <w:r>
              <w:rPr>
                <w:b/>
                <w:bCs/>
                <w:color w:val="auto"/>
                <w:szCs w:val="24"/>
                <w:lang w:eastAsia="fr-FR"/>
              </w:rPr>
              <w:t xml:space="preserve"> ± 3.99</w:t>
            </w:r>
            <w:r w:rsidRPr="000301D5">
              <w:rPr>
                <w:b/>
                <w:bCs/>
                <w:color w:val="auto"/>
                <w:szCs w:val="24"/>
                <w:vertAlign w:val="superscript"/>
                <w:lang w:eastAsia="fr-FR"/>
              </w:rPr>
              <w:t>b</w:t>
            </w:r>
          </w:p>
        </w:tc>
        <w:tc>
          <w:tcPr>
            <w:tcW w:w="1886" w:type="dxa"/>
            <w:vMerge w:val="restart"/>
            <w:tcBorders>
              <w:top w:val="single" w:sz="4" w:space="0" w:color="auto"/>
              <w:left w:val="nil"/>
              <w:bottom w:val="single" w:sz="8" w:space="0" w:color="000000"/>
              <w:right w:val="nil"/>
            </w:tcBorders>
            <w:noWrap/>
            <w:vAlign w:val="center"/>
            <w:hideMark/>
          </w:tcPr>
          <w:p w14:paraId="215A4B4C"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 xml:space="preserve"> </w:t>
            </w:r>
            <w:r>
              <w:rPr>
                <w:b/>
                <w:bCs/>
                <w:color w:val="auto"/>
                <w:szCs w:val="24"/>
                <w:highlight w:val="yellow"/>
                <w:lang w:eastAsia="fr-FR"/>
              </w:rPr>
              <w:t>40.03</w:t>
            </w:r>
            <w:r>
              <w:rPr>
                <w:b/>
                <w:bCs/>
                <w:color w:val="auto"/>
                <w:szCs w:val="24"/>
                <w:lang w:eastAsia="fr-FR"/>
              </w:rPr>
              <w:t xml:space="preserve"> ± 3.45</w:t>
            </w:r>
            <w:r w:rsidRPr="000301D5">
              <w:rPr>
                <w:b/>
                <w:bCs/>
                <w:color w:val="auto"/>
                <w:szCs w:val="24"/>
                <w:vertAlign w:val="superscript"/>
                <w:lang w:eastAsia="fr-FR"/>
              </w:rPr>
              <w:t>b</w:t>
            </w:r>
          </w:p>
        </w:tc>
      </w:tr>
      <w:tr w:rsidR="00D01F54" w:rsidRPr="000301D5" w14:paraId="6C11A566" w14:textId="77777777" w:rsidTr="009A4FF0">
        <w:trPr>
          <w:trHeight w:val="466"/>
        </w:trPr>
        <w:tc>
          <w:tcPr>
            <w:tcW w:w="2249" w:type="dxa"/>
            <w:vMerge/>
            <w:tcBorders>
              <w:top w:val="nil"/>
              <w:left w:val="nil"/>
              <w:bottom w:val="single" w:sz="8" w:space="0" w:color="000000"/>
              <w:right w:val="nil"/>
            </w:tcBorders>
            <w:vAlign w:val="center"/>
            <w:hideMark/>
          </w:tcPr>
          <w:p w14:paraId="59C55EE1" w14:textId="77777777" w:rsidR="00D01F54" w:rsidRPr="000301D5" w:rsidRDefault="00D01F54" w:rsidP="00D01F54">
            <w:pPr>
              <w:suppressAutoHyphens w:val="0"/>
              <w:autoSpaceDN/>
              <w:jc w:val="left"/>
              <w:textAlignment w:val="auto"/>
              <w:rPr>
                <w:b/>
                <w:bCs/>
                <w:color w:val="auto"/>
                <w:szCs w:val="24"/>
                <w:lang w:eastAsia="fr-FR"/>
              </w:rPr>
            </w:pPr>
          </w:p>
        </w:tc>
        <w:tc>
          <w:tcPr>
            <w:tcW w:w="2309" w:type="dxa"/>
            <w:vMerge/>
            <w:tcBorders>
              <w:top w:val="nil"/>
              <w:left w:val="nil"/>
              <w:bottom w:val="single" w:sz="8" w:space="0" w:color="000000"/>
              <w:right w:val="nil"/>
            </w:tcBorders>
            <w:vAlign w:val="center"/>
            <w:hideMark/>
          </w:tcPr>
          <w:p w14:paraId="03D5CAC3" w14:textId="77777777" w:rsidR="00D01F54" w:rsidRPr="000301D5" w:rsidRDefault="00D01F54" w:rsidP="00D01F54">
            <w:pPr>
              <w:suppressAutoHyphens w:val="0"/>
              <w:autoSpaceDN/>
              <w:jc w:val="left"/>
              <w:textAlignment w:val="auto"/>
              <w:rPr>
                <w:b/>
                <w:bCs/>
                <w:color w:val="auto"/>
                <w:szCs w:val="24"/>
                <w:lang w:eastAsia="fr-FR"/>
              </w:rPr>
            </w:pPr>
          </w:p>
        </w:tc>
        <w:tc>
          <w:tcPr>
            <w:tcW w:w="2751" w:type="dxa"/>
            <w:vMerge/>
            <w:tcBorders>
              <w:top w:val="nil"/>
              <w:left w:val="nil"/>
              <w:bottom w:val="single" w:sz="8" w:space="0" w:color="000000"/>
              <w:right w:val="nil"/>
            </w:tcBorders>
            <w:vAlign w:val="center"/>
            <w:hideMark/>
          </w:tcPr>
          <w:p w14:paraId="3BD05955" w14:textId="77777777" w:rsidR="00D01F54" w:rsidRPr="000301D5" w:rsidRDefault="00D01F54" w:rsidP="00D01F54">
            <w:pPr>
              <w:suppressAutoHyphens w:val="0"/>
              <w:autoSpaceDN/>
              <w:jc w:val="left"/>
              <w:textAlignment w:val="auto"/>
              <w:rPr>
                <w:b/>
                <w:bCs/>
                <w:color w:val="auto"/>
                <w:szCs w:val="24"/>
                <w:lang w:eastAsia="fr-FR"/>
              </w:rPr>
            </w:pPr>
          </w:p>
        </w:tc>
        <w:tc>
          <w:tcPr>
            <w:tcW w:w="1886" w:type="dxa"/>
            <w:vMerge/>
            <w:tcBorders>
              <w:top w:val="nil"/>
              <w:left w:val="nil"/>
              <w:bottom w:val="single" w:sz="8" w:space="0" w:color="000000"/>
              <w:right w:val="nil"/>
            </w:tcBorders>
            <w:vAlign w:val="center"/>
            <w:hideMark/>
          </w:tcPr>
          <w:p w14:paraId="42FFD816" w14:textId="77777777" w:rsidR="00D01F54" w:rsidRPr="000301D5" w:rsidRDefault="00D01F54" w:rsidP="00D01F54">
            <w:pPr>
              <w:suppressAutoHyphens w:val="0"/>
              <w:autoSpaceDN/>
              <w:jc w:val="left"/>
              <w:textAlignment w:val="auto"/>
              <w:rPr>
                <w:b/>
                <w:bCs/>
                <w:color w:val="auto"/>
                <w:szCs w:val="24"/>
                <w:lang w:eastAsia="fr-FR"/>
              </w:rPr>
            </w:pPr>
          </w:p>
        </w:tc>
      </w:tr>
    </w:tbl>
    <w:p w14:paraId="7C0318FC" w14:textId="77777777" w:rsidR="00D01F54" w:rsidRPr="000301D5" w:rsidRDefault="00D01F54" w:rsidP="00D01F54">
      <w:pPr>
        <w:suppressAutoHyphens w:val="0"/>
        <w:autoSpaceDN/>
        <w:spacing w:after="355"/>
        <w:ind w:right="389"/>
        <w:contextualSpacing/>
        <w:jc w:val="center"/>
        <w:textAlignment w:val="auto"/>
        <w:rPr>
          <w:i/>
          <w:color w:val="auto"/>
          <w:kern w:val="2"/>
          <w:sz w:val="8"/>
          <w:szCs w:val="12"/>
          <w:lang w:eastAsia="fr-FR"/>
        </w:rPr>
      </w:pPr>
    </w:p>
    <w:p w14:paraId="1DE28125" w14:textId="77777777" w:rsidR="00D01F54" w:rsidRPr="000301D5" w:rsidRDefault="002306C7" w:rsidP="00D01F54">
      <w:pPr>
        <w:suppressAutoHyphens w:val="0"/>
        <w:autoSpaceDN/>
        <w:spacing w:after="355"/>
        <w:ind w:right="389"/>
        <w:contextualSpacing/>
        <w:jc w:val="center"/>
        <w:textAlignment w:val="auto"/>
        <w:rPr>
          <w:color w:val="auto"/>
          <w:sz w:val="22"/>
          <w:szCs w:val="24"/>
          <w:lang w:eastAsia="fr-FR"/>
        </w:rPr>
      </w:pPr>
      <w:r>
        <w:rPr>
          <w:color w:val="auto"/>
          <w:kern w:val="2"/>
          <w:sz w:val="16"/>
          <w:lang w:eastAsia="fr-FR"/>
        </w:rPr>
        <w:t>ADG</w:t>
      </w:r>
      <w:r w:rsidR="00D01F54" w:rsidRPr="000301D5">
        <w:rPr>
          <w:color w:val="auto"/>
          <w:kern w:val="2"/>
          <w:sz w:val="16"/>
          <w:lang w:eastAsia="fr-FR"/>
        </w:rPr>
        <w:t xml:space="preserve"> values with the same letters in the same row are not significantly different (p &gt; 0.05).</w:t>
      </w:r>
    </w:p>
    <w:p w14:paraId="15813D30" w14:textId="77777777" w:rsidR="00D01F54" w:rsidRPr="001E1BFF" w:rsidRDefault="00D01F54" w:rsidP="00B763DF">
      <w:pPr>
        <w:suppressAutoHyphens w:val="0"/>
        <w:autoSpaceDN/>
        <w:spacing w:before="240"/>
        <w:ind w:right="63"/>
        <w:contextualSpacing/>
        <w:textAlignment w:val="auto"/>
        <w:rPr>
          <w:color w:val="auto"/>
          <w:szCs w:val="24"/>
          <w:lang w:eastAsia="fr-FR"/>
        </w:rPr>
      </w:pPr>
    </w:p>
    <w:p w14:paraId="1A151EA0" w14:textId="77777777" w:rsidR="00987206" w:rsidRDefault="0037344C" w:rsidP="00F11C90">
      <w:pPr>
        <w:suppressAutoHyphens w:val="0"/>
        <w:autoSpaceDN/>
        <w:spacing w:before="240" w:after="5"/>
        <w:ind w:left="10" w:right="63" w:hanging="10"/>
        <w:contextualSpacing/>
        <w:textAlignment w:val="auto"/>
        <w:rPr>
          <w:b/>
          <w:color w:val="auto"/>
          <w:szCs w:val="24"/>
          <w:lang w:eastAsia="fr-FR"/>
        </w:rPr>
      </w:pPr>
      <w:bookmarkStart w:id="35" w:name="_Hlk150685951"/>
      <w:r w:rsidRPr="0037344C">
        <w:rPr>
          <w:b/>
          <w:color w:val="auto"/>
          <w:szCs w:val="24"/>
          <w:lang w:eastAsia="fr-FR"/>
        </w:rPr>
        <w:t xml:space="preserve">3.2.4. </w:t>
      </w:r>
      <w:r>
        <w:rPr>
          <w:b/>
          <w:color w:val="auto"/>
          <w:szCs w:val="24"/>
          <w:highlight w:val="yellow"/>
          <w:lang w:eastAsia="fr-FR"/>
        </w:rPr>
        <w:t>Coefficient of Variation (CV) and Condition Coefficient (K)</w:t>
      </w:r>
      <w:bookmarkEnd w:id="33"/>
      <w:bookmarkEnd w:id="34"/>
    </w:p>
    <w:p w14:paraId="37449ED7" w14:textId="77777777" w:rsidR="0037344C" w:rsidRPr="0037344C" w:rsidRDefault="0037344C" w:rsidP="0037344C">
      <w:pPr>
        <w:suppressAutoHyphens w:val="0"/>
        <w:autoSpaceDN/>
        <w:ind w:left="10" w:right="63" w:hanging="10"/>
        <w:contextualSpacing/>
        <w:textAlignment w:val="auto"/>
        <w:rPr>
          <w:b/>
          <w:sz w:val="14"/>
          <w:szCs w:val="14"/>
          <w:lang w:eastAsia="fr-FR"/>
        </w:rPr>
      </w:pPr>
    </w:p>
    <w:bookmarkEnd w:id="35"/>
    <w:p w14:paraId="5E8E7937" w14:textId="77777777" w:rsidR="00493A4A" w:rsidRPr="00493A4A" w:rsidRDefault="00493A4A" w:rsidP="0037344C">
      <w:pPr>
        <w:suppressAutoHyphens w:val="0"/>
        <w:autoSpaceDN/>
        <w:spacing w:after="355"/>
        <w:ind w:left="-6"/>
        <w:contextualSpacing/>
        <w:textAlignment w:val="auto"/>
        <w:rPr>
          <w:color w:val="auto"/>
          <w:kern w:val="2"/>
          <w:szCs w:val="24"/>
          <w:lang w:eastAsia="fr-FR"/>
        </w:rPr>
      </w:pPr>
      <w:r w:rsidRPr="00493A4A">
        <w:rPr>
          <w:color w:val="auto"/>
          <w:szCs w:val="24"/>
          <w:lang w:eastAsia="fr-FR"/>
        </w:rPr>
        <w:t xml:space="preserve">The CVs </w:t>
      </w:r>
      <w:r>
        <w:rPr>
          <w:color w:val="auto"/>
          <w:szCs w:val="24"/>
          <w:lang w:eastAsia="fr-FR"/>
        </w:rPr>
        <w:t xml:space="preserve">for </w:t>
      </w:r>
      <w:r w:rsidRPr="00493A4A">
        <w:rPr>
          <w:color w:val="auto"/>
          <w:szCs w:val="24"/>
          <w:lang w:eastAsia="fr-FR"/>
        </w:rPr>
        <w:t>average weight were</w:t>
      </w:r>
      <w:r w:rsidRPr="00493A4A">
        <w:rPr>
          <w:color w:val="auto"/>
          <w:kern w:val="2"/>
          <w:szCs w:val="24"/>
          <w:lang w:eastAsia="fr-FR"/>
        </w:rPr>
        <w:t xml:space="preserve"> 24.62 ± 3.91, 16.17 ± 6.63, and 13.70 ± 7.73%, respectively, for larvae fed</w:t>
      </w:r>
      <w:r>
        <w:rPr>
          <w:color w:val="auto"/>
          <w:kern w:val="2"/>
          <w:szCs w:val="24"/>
          <w:lang w:eastAsia="fr-FR"/>
        </w:rPr>
        <w:t xml:space="preserve"> 10%</w:t>
      </w:r>
      <w:r w:rsidRPr="00493A4A">
        <w:rPr>
          <w:color w:val="auto"/>
          <w:kern w:val="2"/>
          <w:szCs w:val="24"/>
          <w:lang w:eastAsia="fr-FR"/>
        </w:rPr>
        <w:t>,</w:t>
      </w:r>
      <w:r>
        <w:rPr>
          <w:color w:val="auto"/>
          <w:kern w:val="2"/>
          <w:szCs w:val="24"/>
          <w:lang w:eastAsia="fr-FR"/>
        </w:rPr>
        <w:t xml:space="preserve"> 20%</w:t>
      </w:r>
      <w:r w:rsidRPr="00493A4A">
        <w:rPr>
          <w:color w:val="auto"/>
          <w:kern w:val="2"/>
          <w:szCs w:val="24"/>
          <w:lang w:eastAsia="fr-FR"/>
        </w:rPr>
        <w:t xml:space="preserve">, and 30% of the biomass. </w:t>
      </w:r>
      <w:r w:rsidRPr="00493A4A">
        <w:rPr>
          <w:color w:val="auto"/>
          <w:szCs w:val="24"/>
          <w:lang w:eastAsia="fr-FR"/>
        </w:rPr>
        <w:t xml:space="preserve">For average total length, the CVs </w:t>
      </w:r>
      <w:r w:rsidRPr="00493A4A">
        <w:rPr>
          <w:color w:val="auto"/>
          <w:kern w:val="2"/>
          <w:szCs w:val="24"/>
          <w:lang w:eastAsia="fr-FR"/>
        </w:rPr>
        <w:t xml:space="preserve">were 7.83 ± 1.42% for batch 1, 5.48 ± 1.61% for batch 2, and 4.52 ± 2.04% for </w:t>
      </w:r>
      <w:r>
        <w:rPr>
          <w:color w:val="auto"/>
          <w:kern w:val="2"/>
          <w:szCs w:val="24"/>
          <w:lang w:eastAsia="fr-FR"/>
        </w:rPr>
        <w:t>batch 3.</w:t>
      </w:r>
      <w:r w:rsidR="00B01E17">
        <w:rPr>
          <w:color w:val="auto"/>
          <w:kern w:val="2"/>
          <w:szCs w:val="24"/>
          <w:lang w:eastAsia="fr-FR"/>
        </w:rPr>
        <w:t xml:space="preserve"> </w:t>
      </w:r>
      <w:r w:rsidRPr="00493A4A">
        <w:rPr>
          <w:color w:val="auto"/>
          <w:kern w:val="2"/>
          <w:szCs w:val="24"/>
          <w:lang w:eastAsia="fr-FR"/>
        </w:rPr>
        <w:t xml:space="preserve">The </w:t>
      </w:r>
      <w:r>
        <w:rPr>
          <w:color w:val="auto"/>
          <w:kern w:val="2"/>
          <w:szCs w:val="24"/>
          <w:lang w:eastAsia="fr-FR"/>
        </w:rPr>
        <w:t xml:space="preserve">CVs </w:t>
      </w:r>
      <w:r w:rsidRPr="00493A4A">
        <w:rPr>
          <w:color w:val="auto"/>
          <w:kern w:val="2"/>
          <w:szCs w:val="24"/>
          <w:lang w:eastAsia="fr-FR"/>
        </w:rPr>
        <w:t>for the average weight and average total length of the larvae ranged from 2% to 30%</w:t>
      </w:r>
      <w:r w:rsidR="00B01E17">
        <w:rPr>
          <w:color w:val="auto"/>
          <w:kern w:val="2"/>
          <w:szCs w:val="24"/>
          <w:lang w:eastAsia="fr-FR"/>
        </w:rPr>
        <w:t xml:space="preserve">, </w:t>
      </w:r>
      <w:r>
        <w:rPr>
          <w:color w:val="auto"/>
          <w:kern w:val="2"/>
          <w:szCs w:val="24"/>
          <w:lang w:eastAsia="fr-FR"/>
        </w:rPr>
        <w:t>regardless of the rationing rate</w:t>
      </w:r>
      <w:r w:rsidRPr="00493A4A">
        <w:rPr>
          <w:color w:val="auto"/>
          <w:kern w:val="2"/>
          <w:szCs w:val="24"/>
          <w:lang w:eastAsia="fr-FR"/>
        </w:rPr>
        <w:t>.</w:t>
      </w:r>
    </w:p>
    <w:p w14:paraId="1ACD2E64" w14:textId="77777777" w:rsidR="00493A4A" w:rsidRPr="00493A4A" w:rsidRDefault="008E5F6C" w:rsidP="00344A7A">
      <w:pPr>
        <w:suppressAutoHyphens w:val="0"/>
        <w:autoSpaceDN/>
        <w:ind w:left="-5"/>
        <w:contextualSpacing/>
        <w:textAlignment w:val="auto"/>
        <w:rPr>
          <w:color w:val="auto"/>
          <w:szCs w:val="24"/>
          <w:lang w:eastAsia="fr-FR"/>
        </w:rPr>
      </w:pPr>
      <w:bookmarkStart w:id="36" w:name="_Toc140482525"/>
      <w:bookmarkStart w:id="37" w:name="_Toc147753311"/>
      <w:r>
        <w:rPr>
          <w:bCs/>
          <w:color w:val="auto"/>
          <w:szCs w:val="24"/>
          <w:highlight w:val="yellow"/>
          <w:lang w:eastAsia="fr-FR"/>
        </w:rPr>
        <w:t>For the condition factor (K),</w:t>
      </w:r>
      <w:r w:rsidR="00296996">
        <w:rPr>
          <w:bCs/>
          <w:color w:val="auto"/>
          <w:szCs w:val="24"/>
          <w:lang w:eastAsia="fr-FR"/>
        </w:rPr>
        <w:t xml:space="preserve"> the recorded values </w:t>
      </w:r>
      <w:r w:rsidR="00493A4A" w:rsidRPr="00493A4A">
        <w:rPr>
          <w:bCs/>
          <w:color w:val="auto"/>
          <w:szCs w:val="24"/>
          <w:lang w:eastAsia="fr-FR"/>
        </w:rPr>
        <w:t>were</w:t>
      </w:r>
      <w:r w:rsidR="00493A4A" w:rsidRPr="00493A4A">
        <w:rPr>
          <w:bCs/>
          <w:color w:val="auto"/>
          <w:kern w:val="2"/>
          <w:szCs w:val="24"/>
          <w:lang w:eastAsia="fr-FR"/>
        </w:rPr>
        <w:t xml:space="preserve"> </w:t>
      </w:r>
      <w:r>
        <w:rPr>
          <w:bCs/>
          <w:color w:val="auto"/>
          <w:kern w:val="2"/>
          <w:szCs w:val="24"/>
          <w:highlight w:val="yellow"/>
          <w:lang w:eastAsia="fr-FR"/>
        </w:rPr>
        <w:t>1.89 ± 0.03</w:t>
      </w:r>
      <w:r w:rsidR="00296996">
        <w:rPr>
          <w:bCs/>
          <w:color w:val="auto"/>
          <w:kern w:val="2"/>
          <w:szCs w:val="24"/>
          <w:lang w:eastAsia="fr-FR"/>
        </w:rPr>
        <w:t>,</w:t>
      </w:r>
      <w:r w:rsidR="00493A4A" w:rsidRPr="00493A4A">
        <w:rPr>
          <w:bCs/>
          <w:color w:val="auto"/>
          <w:kern w:val="2"/>
          <w:szCs w:val="24"/>
          <w:lang w:eastAsia="fr-FR"/>
        </w:rPr>
        <w:t xml:space="preserve"> </w:t>
      </w:r>
      <w:r>
        <w:rPr>
          <w:bCs/>
          <w:color w:val="auto"/>
          <w:kern w:val="2"/>
          <w:szCs w:val="24"/>
          <w:highlight w:val="yellow"/>
          <w:lang w:eastAsia="fr-FR"/>
        </w:rPr>
        <w:t>1.91 ± 0.02</w:t>
      </w:r>
      <w:r w:rsidR="00296996">
        <w:rPr>
          <w:bCs/>
          <w:color w:val="auto"/>
          <w:kern w:val="2"/>
          <w:szCs w:val="24"/>
          <w:lang w:eastAsia="fr-FR"/>
        </w:rPr>
        <w:t>,</w:t>
      </w:r>
      <w:r w:rsidR="00493A4A" w:rsidRPr="00493A4A">
        <w:rPr>
          <w:bCs/>
          <w:color w:val="auto"/>
          <w:kern w:val="2"/>
          <w:szCs w:val="24"/>
          <w:lang w:eastAsia="fr-FR"/>
        </w:rPr>
        <w:t xml:space="preserve"> and </w:t>
      </w:r>
      <w:r>
        <w:rPr>
          <w:bCs/>
          <w:color w:val="auto"/>
          <w:kern w:val="2"/>
          <w:szCs w:val="24"/>
          <w:highlight w:val="yellow"/>
          <w:lang w:eastAsia="fr-FR"/>
        </w:rPr>
        <w:t>1.90 ± 0.01</w:t>
      </w:r>
      <w:r>
        <w:rPr>
          <w:bCs/>
          <w:color w:val="auto"/>
          <w:kern w:val="2"/>
          <w:szCs w:val="24"/>
          <w:lang w:eastAsia="fr-FR"/>
        </w:rPr>
        <w:t xml:space="preserve"> </w:t>
      </w:r>
      <w:r w:rsidR="00493A4A" w:rsidRPr="00493A4A">
        <w:rPr>
          <w:bCs/>
          <w:color w:val="auto"/>
          <w:szCs w:val="24"/>
          <w:lang w:eastAsia="fr-FR"/>
        </w:rPr>
        <w:t xml:space="preserve">for the larvae </w:t>
      </w:r>
      <w:r w:rsidR="00296996">
        <w:rPr>
          <w:bCs/>
          <w:color w:val="auto"/>
          <w:szCs w:val="24"/>
          <w:lang w:eastAsia="fr-FR"/>
        </w:rPr>
        <w:t>in batches 1, 2, and 3</w:t>
      </w:r>
      <w:r w:rsidR="00493A4A" w:rsidRPr="00493A4A">
        <w:rPr>
          <w:color w:val="auto"/>
          <w:szCs w:val="24"/>
          <w:lang w:eastAsia="fr-FR"/>
        </w:rPr>
        <w:t xml:space="preserve">, </w:t>
      </w:r>
      <w:r w:rsidR="00493A4A" w:rsidRPr="00493A4A">
        <w:rPr>
          <w:bCs/>
          <w:color w:val="auto"/>
          <w:szCs w:val="24"/>
          <w:lang w:eastAsia="fr-FR"/>
        </w:rPr>
        <w:t>respectively</w:t>
      </w:r>
      <w:r w:rsidR="00493A4A" w:rsidRPr="00493A4A">
        <w:rPr>
          <w:color w:val="auto"/>
          <w:szCs w:val="24"/>
          <w:lang w:eastAsia="fr-FR"/>
        </w:rPr>
        <w:t xml:space="preserve">. </w:t>
      </w:r>
      <w:r w:rsidR="00493A4A" w:rsidRPr="00493A4A">
        <w:rPr>
          <w:color w:val="auto"/>
          <w:kern w:val="2"/>
          <w:szCs w:val="24"/>
          <w:lang w:eastAsia="fr-FR"/>
        </w:rPr>
        <w:t xml:space="preserve">These values </w:t>
      </w:r>
      <w:r w:rsidR="006C740C" w:rsidRPr="006C740C">
        <w:rPr>
          <w:color w:val="auto"/>
          <w:kern w:val="2"/>
          <w:szCs w:val="24"/>
          <w:lang w:eastAsia="fr-FR"/>
        </w:rPr>
        <w:t xml:space="preserve">were </w:t>
      </w:r>
      <w:r w:rsidR="00493A4A" w:rsidRPr="00493A4A">
        <w:rPr>
          <w:color w:val="auto"/>
          <w:kern w:val="2"/>
          <w:szCs w:val="24"/>
          <w:lang w:eastAsia="fr-FR"/>
        </w:rPr>
        <w:t>not significantly different (p &gt; 0.05).</w:t>
      </w:r>
    </w:p>
    <w:p w14:paraId="4C796C06" w14:textId="77777777" w:rsidR="00987206" w:rsidRPr="00E618E2" w:rsidRDefault="00987206" w:rsidP="00F11C90">
      <w:pPr>
        <w:suppressAutoHyphens w:val="0"/>
        <w:autoSpaceDN/>
        <w:spacing w:after="240"/>
        <w:contextualSpacing/>
        <w:textAlignment w:val="auto"/>
        <w:rPr>
          <w:sz w:val="12"/>
          <w:szCs w:val="12"/>
          <w:lang w:eastAsia="fr-FR"/>
        </w:rPr>
      </w:pPr>
    </w:p>
    <w:p w14:paraId="6931F6C6" w14:textId="77777777" w:rsidR="00987206" w:rsidRPr="008E6266" w:rsidRDefault="008E6266" w:rsidP="00F11C90">
      <w:pPr>
        <w:suppressAutoHyphens w:val="0"/>
        <w:autoSpaceDN/>
        <w:spacing w:before="240" w:after="5"/>
        <w:ind w:left="10" w:right="63" w:hanging="10"/>
        <w:contextualSpacing/>
        <w:textAlignment w:val="auto"/>
        <w:rPr>
          <w:b/>
          <w:szCs w:val="24"/>
          <w:lang w:eastAsia="fr-FR"/>
        </w:rPr>
      </w:pPr>
      <w:r w:rsidRPr="008E6266">
        <w:rPr>
          <w:b/>
          <w:color w:val="auto"/>
          <w:szCs w:val="24"/>
          <w:lang w:eastAsia="fr-FR"/>
        </w:rPr>
        <w:t xml:space="preserve">3.2.5. </w:t>
      </w:r>
      <w:r w:rsidR="004138CE" w:rsidRPr="008E6266">
        <w:rPr>
          <w:b/>
          <w:color w:val="auto"/>
          <w:szCs w:val="24"/>
          <w:lang w:eastAsia="fr-FR"/>
        </w:rPr>
        <w:t>Survival Rate</w:t>
      </w:r>
      <w:bookmarkEnd w:id="36"/>
      <w:bookmarkEnd w:id="37"/>
    </w:p>
    <w:p w14:paraId="3CD4E68B" w14:textId="77777777" w:rsidR="00A64C3B" w:rsidRDefault="00B2443F" w:rsidP="008E6266">
      <w:pPr>
        <w:suppressAutoHyphens w:val="0"/>
        <w:autoSpaceDN/>
        <w:spacing w:before="240" w:after="4"/>
        <w:ind w:left="-5" w:right="60"/>
        <w:textAlignment w:val="auto"/>
        <w:rPr>
          <w:color w:val="auto"/>
          <w:kern w:val="2"/>
          <w:szCs w:val="24"/>
          <w:lang w:eastAsia="fr-FR"/>
        </w:rPr>
      </w:pPr>
      <w:r>
        <w:rPr>
          <w:color w:val="auto"/>
          <w:kern w:val="2"/>
          <w:szCs w:val="24"/>
          <w:lang w:eastAsia="fr-FR"/>
        </w:rPr>
        <w:t>The</w:t>
      </w:r>
      <w:r w:rsidR="006673D7" w:rsidRPr="006673D7">
        <w:rPr>
          <w:color w:val="auto"/>
          <w:kern w:val="2"/>
          <w:szCs w:val="24"/>
          <w:lang w:eastAsia="fr-FR"/>
        </w:rPr>
        <w:t xml:space="preserve"> survival rate of </w:t>
      </w:r>
      <w:r w:rsidR="006673D7" w:rsidRPr="006673D7">
        <w:rPr>
          <w:i/>
          <w:iCs/>
          <w:color w:val="auto"/>
          <w:kern w:val="2"/>
          <w:szCs w:val="24"/>
          <w:lang w:eastAsia="fr-FR"/>
        </w:rPr>
        <w:t xml:space="preserve">Oreochromis niloticus </w:t>
      </w:r>
      <w:r w:rsidR="006673D7" w:rsidRPr="006673D7">
        <w:rPr>
          <w:color w:val="auto"/>
          <w:kern w:val="2"/>
          <w:szCs w:val="24"/>
          <w:lang w:eastAsia="fr-FR"/>
        </w:rPr>
        <w:t>larvae was determined for each diet at the end of the experiment</w:t>
      </w:r>
      <w:r w:rsidR="006673D7">
        <w:rPr>
          <w:color w:val="auto"/>
          <w:kern w:val="2"/>
          <w:szCs w:val="24"/>
          <w:lang w:eastAsia="fr-FR"/>
        </w:rPr>
        <w:t xml:space="preserve">. </w:t>
      </w:r>
      <w:r w:rsidR="006673D7" w:rsidRPr="006673D7">
        <w:rPr>
          <w:color w:val="auto"/>
          <w:kern w:val="2"/>
          <w:szCs w:val="24"/>
          <w:lang w:eastAsia="fr-FR"/>
        </w:rPr>
        <w:t xml:space="preserve">The highest value for this parameter (100.00 ± 0.00%) was recorded in larvae fed </w:t>
      </w:r>
      <w:r>
        <w:rPr>
          <w:color w:val="auto"/>
          <w:kern w:val="2"/>
          <w:szCs w:val="24"/>
          <w:lang w:eastAsia="fr-FR"/>
        </w:rPr>
        <w:t>the</w:t>
      </w:r>
      <w:r w:rsidR="006673D7" w:rsidRPr="006673D7">
        <w:rPr>
          <w:color w:val="auto"/>
          <w:kern w:val="2"/>
          <w:szCs w:val="24"/>
          <w:lang w:eastAsia="fr-FR"/>
        </w:rPr>
        <w:t xml:space="preserve"> 20% </w:t>
      </w:r>
      <w:r>
        <w:rPr>
          <w:color w:val="auto"/>
          <w:kern w:val="2"/>
          <w:szCs w:val="24"/>
          <w:lang w:eastAsia="fr-FR"/>
        </w:rPr>
        <w:t>diet</w:t>
      </w:r>
      <w:r w:rsidR="006673D7" w:rsidRPr="006673D7">
        <w:rPr>
          <w:color w:val="auto"/>
          <w:kern w:val="2"/>
          <w:szCs w:val="24"/>
          <w:lang w:eastAsia="fr-FR"/>
        </w:rPr>
        <w:t xml:space="preserve">, while </w:t>
      </w:r>
      <w:r>
        <w:rPr>
          <w:color w:val="auto"/>
          <w:kern w:val="2"/>
          <w:szCs w:val="24"/>
          <w:lang w:eastAsia="fr-FR"/>
        </w:rPr>
        <w:t xml:space="preserve">those </w:t>
      </w:r>
      <w:r w:rsidR="006673D7" w:rsidRPr="006673D7">
        <w:rPr>
          <w:color w:val="auto"/>
          <w:kern w:val="2"/>
          <w:szCs w:val="24"/>
          <w:lang w:eastAsia="fr-FR"/>
        </w:rPr>
        <w:t xml:space="preserve">fed the 10% and 30% diets showed </w:t>
      </w:r>
      <w:r w:rsidR="006673D7">
        <w:rPr>
          <w:color w:val="auto"/>
          <w:kern w:val="2"/>
          <w:szCs w:val="24"/>
          <w:lang w:eastAsia="fr-FR"/>
        </w:rPr>
        <w:t xml:space="preserve">the same </w:t>
      </w:r>
      <w:r w:rsidR="006673D7" w:rsidRPr="006673D7">
        <w:rPr>
          <w:color w:val="auto"/>
          <w:kern w:val="2"/>
          <w:szCs w:val="24"/>
          <w:lang w:eastAsia="fr-FR"/>
        </w:rPr>
        <w:t xml:space="preserve">survival </w:t>
      </w:r>
      <w:r w:rsidR="006673D7">
        <w:rPr>
          <w:color w:val="auto"/>
          <w:kern w:val="2"/>
          <w:szCs w:val="24"/>
          <w:lang w:eastAsia="fr-FR"/>
        </w:rPr>
        <w:t xml:space="preserve">rate </w:t>
      </w:r>
      <w:r>
        <w:rPr>
          <w:color w:val="auto"/>
          <w:kern w:val="2"/>
          <w:szCs w:val="24"/>
          <w:lang w:eastAsia="fr-FR"/>
        </w:rPr>
        <w:t>(</w:t>
      </w:r>
      <w:r w:rsidR="006673D7" w:rsidRPr="006673D7">
        <w:rPr>
          <w:color w:val="auto"/>
          <w:kern w:val="2"/>
          <w:szCs w:val="24"/>
          <w:lang w:eastAsia="fr-FR"/>
        </w:rPr>
        <w:t>98.67 ± 2.31%</w:t>
      </w:r>
      <w:r>
        <w:rPr>
          <w:color w:val="auto"/>
          <w:kern w:val="2"/>
          <w:szCs w:val="24"/>
          <w:lang w:eastAsia="fr-FR"/>
        </w:rPr>
        <w:t>)</w:t>
      </w:r>
      <w:r w:rsidR="006673D7" w:rsidRPr="006673D7">
        <w:rPr>
          <w:color w:val="auto"/>
          <w:kern w:val="2"/>
          <w:szCs w:val="24"/>
          <w:lang w:eastAsia="fr-FR"/>
        </w:rPr>
        <w:t xml:space="preserve">. </w:t>
      </w:r>
      <w:r w:rsidR="006673D7">
        <w:rPr>
          <w:color w:val="auto"/>
          <w:kern w:val="2"/>
          <w:szCs w:val="24"/>
          <w:lang w:eastAsia="fr-FR"/>
        </w:rPr>
        <w:t xml:space="preserve">There </w:t>
      </w:r>
      <w:r w:rsidR="006C740C" w:rsidRPr="006C740C">
        <w:rPr>
          <w:color w:val="auto"/>
          <w:kern w:val="2"/>
          <w:szCs w:val="24"/>
          <w:lang w:eastAsia="fr-FR"/>
        </w:rPr>
        <w:t>were</w:t>
      </w:r>
      <w:r w:rsidR="006673D7" w:rsidRPr="006C740C">
        <w:rPr>
          <w:color w:val="auto"/>
          <w:kern w:val="2"/>
          <w:szCs w:val="24"/>
          <w:lang w:eastAsia="fr-FR"/>
        </w:rPr>
        <w:t xml:space="preserve"> </w:t>
      </w:r>
      <w:r w:rsidR="006673D7">
        <w:rPr>
          <w:color w:val="auto"/>
          <w:kern w:val="2"/>
          <w:szCs w:val="24"/>
          <w:lang w:eastAsia="fr-FR"/>
        </w:rPr>
        <w:t xml:space="preserve">no significant differences </w:t>
      </w:r>
      <w:r w:rsidR="006673D7" w:rsidRPr="006673D7">
        <w:rPr>
          <w:color w:val="auto"/>
          <w:kern w:val="2"/>
          <w:szCs w:val="24"/>
          <w:lang w:eastAsia="fr-FR"/>
        </w:rPr>
        <w:t xml:space="preserve">(p &gt; 0.05) </w:t>
      </w:r>
      <w:r w:rsidR="006673D7">
        <w:rPr>
          <w:color w:val="auto"/>
          <w:kern w:val="2"/>
          <w:szCs w:val="24"/>
          <w:lang w:eastAsia="fr-FR"/>
        </w:rPr>
        <w:t>among the different treatment groups.</w:t>
      </w:r>
    </w:p>
    <w:p w14:paraId="4E9D2974" w14:textId="77777777" w:rsidR="00987206" w:rsidRPr="009A750C" w:rsidRDefault="00633839" w:rsidP="00F11C90">
      <w:pPr>
        <w:suppressAutoHyphens w:val="0"/>
        <w:autoSpaceDN/>
        <w:spacing w:before="240" w:after="4"/>
        <w:ind w:left="-5" w:right="60" w:hanging="10"/>
        <w:textAlignment w:val="auto"/>
        <w:rPr>
          <w:color w:val="auto"/>
          <w:kern w:val="2"/>
          <w:szCs w:val="24"/>
          <w:lang w:eastAsia="fr-FR"/>
        </w:rPr>
      </w:pPr>
      <w:r>
        <w:rPr>
          <w:b/>
          <w:caps/>
          <w:color w:val="auto"/>
          <w:szCs w:val="24"/>
        </w:rPr>
        <w:t xml:space="preserve">4. </w:t>
      </w:r>
      <w:r w:rsidR="004138CE" w:rsidRPr="00633839">
        <w:rPr>
          <w:b/>
          <w:color w:val="auto"/>
          <w:szCs w:val="24"/>
        </w:rPr>
        <w:t>Discussion</w:t>
      </w:r>
    </w:p>
    <w:p w14:paraId="7E4C2180" w14:textId="77777777" w:rsidR="00F54CBD" w:rsidRPr="00543D1A" w:rsidRDefault="000C5F35" w:rsidP="00381F2B">
      <w:pPr>
        <w:spacing w:before="240"/>
        <w:rPr>
          <w:color w:val="auto"/>
        </w:rPr>
      </w:pPr>
      <w:bookmarkStart w:id="38" w:name="_Toc140482528"/>
      <w:bookmarkStart w:id="39" w:name="_Toc147753314"/>
      <w:r>
        <w:t xml:space="preserve">The average values for </w:t>
      </w:r>
      <w:r w:rsidRPr="000C5F35">
        <w:t>temperature (</w:t>
      </w:r>
      <w:r>
        <w:rPr>
          <w:highlight w:val="yellow"/>
        </w:rPr>
        <w:t>28.20 ± 0.93</w:t>
      </w:r>
      <w:r>
        <w:t xml:space="preserve">°C), </w:t>
      </w:r>
      <w:r w:rsidRPr="009A750C">
        <w:t xml:space="preserve">dissolved oxygen </w:t>
      </w:r>
      <w:r w:rsidRPr="000C5F35">
        <w:t>(</w:t>
      </w:r>
      <w:r>
        <w:rPr>
          <w:highlight w:val="yellow"/>
        </w:rPr>
        <w:t>6.06 ± 0.44</w:t>
      </w:r>
      <w:r>
        <w:t xml:space="preserve"> mg/L)</w:t>
      </w:r>
      <w:r w:rsidRPr="009A750C">
        <w:t xml:space="preserve">, </w:t>
      </w:r>
      <w:r>
        <w:t xml:space="preserve">and </w:t>
      </w:r>
      <w:r w:rsidRPr="009A750C">
        <w:t xml:space="preserve">pH </w:t>
      </w:r>
      <w:r w:rsidR="00122CE6">
        <w:t>(</w:t>
      </w:r>
      <w:r>
        <w:rPr>
          <w:color w:val="auto"/>
          <w:highlight w:val="yellow"/>
        </w:rPr>
        <w:t>7.10 ± 0.41</w:t>
      </w:r>
      <w:r>
        <w:rPr>
          <w:color w:val="auto"/>
        </w:rPr>
        <w:t xml:space="preserve">) </w:t>
      </w:r>
      <w:r w:rsidR="00F54CBD">
        <w:t xml:space="preserve">were </w:t>
      </w:r>
      <w:r w:rsidRPr="009A750C">
        <w:t xml:space="preserve">within the recommended range for good growth of </w:t>
      </w:r>
      <w:r w:rsidRPr="00543D1A">
        <w:rPr>
          <w:color w:val="auto"/>
        </w:rPr>
        <w:t>farmed</w:t>
      </w:r>
      <w:r w:rsidRPr="009A750C">
        <w:t xml:space="preserve"> fish </w:t>
      </w:r>
      <w:r w:rsidRPr="00543D1A">
        <w:rPr>
          <w:bCs/>
          <w:color w:val="auto"/>
        </w:rPr>
        <w:t>(Ross, 2000).</w:t>
      </w:r>
      <w:r w:rsidRPr="00543D1A">
        <w:rPr>
          <w:color w:val="auto"/>
        </w:rPr>
        <w:t xml:space="preserve"> This </w:t>
      </w:r>
      <w:r w:rsidRPr="009A750C">
        <w:t xml:space="preserve">range is 27 to 29°C for temperature, 6.5 to 9 for pH, and greater than 3 mg/L for dissolved oxygen. </w:t>
      </w:r>
      <w:r>
        <w:rPr>
          <w:highlight w:val="yellow"/>
        </w:rPr>
        <w:t>These results were consistent</w:t>
      </w:r>
      <w:r w:rsidR="00122CE6" w:rsidRPr="00543D1A">
        <w:rPr>
          <w:color w:val="auto"/>
        </w:rPr>
        <w:t xml:space="preserve"> with those of </w:t>
      </w:r>
      <w:r w:rsidR="004F5F2C" w:rsidRPr="00543D1A">
        <w:rPr>
          <w:color w:val="auto"/>
        </w:rPr>
        <w:t>N’dri et al. (2025a)</w:t>
      </w:r>
      <w:r w:rsidR="00164C37" w:rsidRPr="00543D1A">
        <w:rPr>
          <w:color w:val="auto"/>
        </w:rPr>
        <w:t>,</w:t>
      </w:r>
      <w:r w:rsidR="004F5F2C" w:rsidRPr="00543D1A">
        <w:rPr>
          <w:color w:val="auto"/>
        </w:rPr>
        <w:t xml:space="preserve"> who</w:t>
      </w:r>
      <w:r w:rsidR="00164C37" w:rsidRPr="00543D1A">
        <w:rPr>
          <w:color w:val="auto"/>
        </w:rPr>
        <w:t xml:space="preserve">, in their trial with </w:t>
      </w:r>
      <w:r w:rsidR="00164C37" w:rsidRPr="00543D1A">
        <w:rPr>
          <w:i/>
          <w:iCs/>
          <w:color w:val="auto"/>
        </w:rPr>
        <w:t xml:space="preserve">Coptodon guineensis </w:t>
      </w:r>
      <w:r w:rsidR="00164C37" w:rsidRPr="00543D1A">
        <w:rPr>
          <w:color w:val="auto"/>
        </w:rPr>
        <w:t xml:space="preserve">juveniles in happas, </w:t>
      </w:r>
      <w:r w:rsidR="004F5F2C" w:rsidRPr="00543D1A">
        <w:rPr>
          <w:color w:val="auto"/>
        </w:rPr>
        <w:t xml:space="preserve">obtained values of 28.13 ± 0.31°C for temperature, 6.30 ± 0.26 mg/L for dissolved oxygen, and 7.03 ± 0.21 for pH. </w:t>
      </w:r>
      <w:r w:rsidR="00164C37" w:rsidRPr="00543D1A">
        <w:rPr>
          <w:color w:val="auto"/>
        </w:rPr>
        <w:t xml:space="preserve">Similarly, </w:t>
      </w:r>
      <w:r w:rsidR="00122CE6" w:rsidRPr="00543D1A">
        <w:rPr>
          <w:color w:val="auto"/>
        </w:rPr>
        <w:t>N’dri et al. (</w:t>
      </w:r>
      <w:r w:rsidR="004F5F2C" w:rsidRPr="00543D1A">
        <w:rPr>
          <w:color w:val="auto"/>
        </w:rPr>
        <w:t>2025b</w:t>
      </w:r>
      <w:r w:rsidR="00122CE6" w:rsidRPr="00543D1A">
        <w:rPr>
          <w:color w:val="auto"/>
        </w:rPr>
        <w:t xml:space="preserve">) observed </w:t>
      </w:r>
      <w:r w:rsidR="004355FF" w:rsidRPr="00543D1A">
        <w:rPr>
          <w:color w:val="auto"/>
        </w:rPr>
        <w:t>average</w:t>
      </w:r>
      <w:r w:rsidR="00122CE6" w:rsidRPr="00543D1A">
        <w:rPr>
          <w:color w:val="auto"/>
        </w:rPr>
        <w:t xml:space="preserve"> values </w:t>
      </w:r>
      <w:r w:rsidR="004355FF" w:rsidRPr="00543D1A">
        <w:rPr>
          <w:color w:val="auto"/>
        </w:rPr>
        <w:t>of</w:t>
      </w:r>
      <w:r w:rsidR="00F54CBD" w:rsidRPr="00543D1A">
        <w:rPr>
          <w:color w:val="auto"/>
        </w:rPr>
        <w:t xml:space="preserve"> 28</w:t>
      </w:r>
      <w:r w:rsidR="004355FF" w:rsidRPr="00543D1A">
        <w:rPr>
          <w:color w:val="auto"/>
        </w:rPr>
        <w:t>.</w:t>
      </w:r>
      <w:r w:rsidR="00F54CBD" w:rsidRPr="00543D1A">
        <w:rPr>
          <w:color w:val="auto"/>
        </w:rPr>
        <w:t>35 ± 1</w:t>
      </w:r>
      <w:r w:rsidR="004355FF" w:rsidRPr="00543D1A">
        <w:rPr>
          <w:color w:val="auto"/>
        </w:rPr>
        <w:t>.</w:t>
      </w:r>
      <w:r w:rsidR="00F54CBD" w:rsidRPr="00543D1A">
        <w:rPr>
          <w:color w:val="auto"/>
        </w:rPr>
        <w:t>20°C, 7</w:t>
      </w:r>
      <w:r w:rsidR="004355FF" w:rsidRPr="00543D1A">
        <w:rPr>
          <w:color w:val="auto"/>
        </w:rPr>
        <w:t>.</w:t>
      </w:r>
      <w:r w:rsidR="00F54CBD" w:rsidRPr="00543D1A">
        <w:rPr>
          <w:color w:val="auto"/>
        </w:rPr>
        <w:t>46 ± 0</w:t>
      </w:r>
      <w:r w:rsidR="004355FF" w:rsidRPr="00543D1A">
        <w:rPr>
          <w:color w:val="auto"/>
        </w:rPr>
        <w:t>.</w:t>
      </w:r>
      <w:r w:rsidR="00F54CBD" w:rsidRPr="00543D1A">
        <w:rPr>
          <w:color w:val="auto"/>
        </w:rPr>
        <w:t xml:space="preserve">93 </w:t>
      </w:r>
      <w:r w:rsidR="004355FF" w:rsidRPr="00543D1A">
        <w:rPr>
          <w:color w:val="auto"/>
        </w:rPr>
        <w:t>mg/L</w:t>
      </w:r>
      <w:r w:rsidR="00F54CBD" w:rsidRPr="00543D1A">
        <w:rPr>
          <w:color w:val="auto"/>
        </w:rPr>
        <w:t>,</w:t>
      </w:r>
      <w:r w:rsidR="004355FF" w:rsidRPr="00543D1A">
        <w:rPr>
          <w:color w:val="auto"/>
        </w:rPr>
        <w:t xml:space="preserve"> and</w:t>
      </w:r>
      <w:r w:rsidR="00F54CBD" w:rsidRPr="00543D1A">
        <w:rPr>
          <w:color w:val="auto"/>
        </w:rPr>
        <w:t xml:space="preserve"> 6</w:t>
      </w:r>
      <w:r w:rsidR="004355FF" w:rsidRPr="00543D1A">
        <w:rPr>
          <w:color w:val="auto"/>
        </w:rPr>
        <w:t>.</w:t>
      </w:r>
      <w:r w:rsidR="00F54CBD" w:rsidRPr="00543D1A">
        <w:rPr>
          <w:color w:val="auto"/>
        </w:rPr>
        <w:t>94 ± 0</w:t>
      </w:r>
      <w:r w:rsidR="004355FF" w:rsidRPr="00543D1A">
        <w:rPr>
          <w:color w:val="auto"/>
        </w:rPr>
        <w:t>.</w:t>
      </w:r>
      <w:r w:rsidR="00F54CBD" w:rsidRPr="00543D1A">
        <w:rPr>
          <w:color w:val="auto"/>
        </w:rPr>
        <w:t xml:space="preserve">77 </w:t>
      </w:r>
      <w:r w:rsidR="004355FF" w:rsidRPr="00543D1A">
        <w:rPr>
          <w:color w:val="auto"/>
        </w:rPr>
        <w:t xml:space="preserve">for </w:t>
      </w:r>
      <w:r w:rsidR="00F54CBD" w:rsidRPr="00543D1A">
        <w:rPr>
          <w:color w:val="auto"/>
        </w:rPr>
        <w:t xml:space="preserve">temperature, </w:t>
      </w:r>
      <w:r w:rsidR="004355FF" w:rsidRPr="00543D1A">
        <w:rPr>
          <w:color w:val="auto"/>
        </w:rPr>
        <w:t>dissolved oxygen</w:t>
      </w:r>
      <w:r w:rsidR="006A3E79" w:rsidRPr="00543D1A">
        <w:rPr>
          <w:color w:val="auto"/>
        </w:rPr>
        <w:t xml:space="preserve">, </w:t>
      </w:r>
      <w:r w:rsidR="004355FF" w:rsidRPr="00543D1A">
        <w:rPr>
          <w:color w:val="auto"/>
        </w:rPr>
        <w:t xml:space="preserve">and </w:t>
      </w:r>
      <w:r w:rsidR="00F54CBD" w:rsidRPr="00543D1A">
        <w:rPr>
          <w:color w:val="auto"/>
        </w:rPr>
        <w:t>pH</w:t>
      </w:r>
      <w:r w:rsidR="006A3E79" w:rsidRPr="00543D1A">
        <w:rPr>
          <w:color w:val="auto"/>
        </w:rPr>
        <w:t>,</w:t>
      </w:r>
      <w:r w:rsidR="00F54CBD" w:rsidRPr="00543D1A">
        <w:rPr>
          <w:color w:val="auto"/>
        </w:rPr>
        <w:t xml:space="preserve"> </w:t>
      </w:r>
      <w:r w:rsidR="004355FF" w:rsidRPr="00543D1A">
        <w:rPr>
          <w:color w:val="auto"/>
        </w:rPr>
        <w:t>respectively</w:t>
      </w:r>
      <w:r w:rsidR="006A3E79" w:rsidRPr="00543D1A">
        <w:rPr>
          <w:color w:val="auto"/>
        </w:rPr>
        <w:t xml:space="preserve">, during their study of </w:t>
      </w:r>
      <w:r w:rsidR="006A3E79" w:rsidRPr="00543D1A">
        <w:rPr>
          <w:i/>
          <w:iCs/>
          <w:color w:val="auto"/>
        </w:rPr>
        <w:t xml:space="preserve">Sarotherodon melanotheron </w:t>
      </w:r>
      <w:r w:rsidR="006A3E79" w:rsidRPr="00543D1A">
        <w:rPr>
          <w:color w:val="auto"/>
        </w:rPr>
        <w:t>tilapia in happas.</w:t>
      </w:r>
      <w:r w:rsidR="00061587" w:rsidRPr="00543D1A">
        <w:rPr>
          <w:color w:val="auto"/>
        </w:rPr>
        <w:t xml:space="preserve"> The </w:t>
      </w:r>
      <w:r>
        <w:rPr>
          <w:color w:val="auto"/>
          <w:highlight w:val="yellow"/>
        </w:rPr>
        <w:t>favourable</w:t>
      </w:r>
      <w:r>
        <w:rPr>
          <w:color w:val="auto"/>
        </w:rPr>
        <w:t xml:space="preserve"> values of the </w:t>
      </w:r>
      <w:r w:rsidR="00061587" w:rsidRPr="00543D1A">
        <w:rPr>
          <w:color w:val="auto"/>
        </w:rPr>
        <w:t xml:space="preserve">physicochemical parameters could be explained by the fact that the fish were raised in a suitable environment. </w:t>
      </w:r>
    </w:p>
    <w:p w14:paraId="49AE2DF3" w14:textId="77777777" w:rsidR="00987206" w:rsidRPr="00543D1A" w:rsidRDefault="00061587" w:rsidP="00031920">
      <w:pPr>
        <w:spacing w:before="240"/>
        <w:rPr>
          <w:color w:val="auto"/>
        </w:rPr>
      </w:pPr>
      <w:r w:rsidRPr="00543D1A">
        <w:rPr>
          <w:color w:val="auto"/>
        </w:rPr>
        <w:t xml:space="preserve">With regard to weight gain, larval growth was slow for all three diets during the first two weeks. </w:t>
      </w:r>
      <w:r>
        <w:rPr>
          <w:color w:val="auto"/>
          <w:highlight w:val="yellow"/>
        </w:rPr>
        <w:t>The initially slow larval growth may have reflected incomplete acclimatisation to the rearing conditions.</w:t>
      </w:r>
      <w:r w:rsidR="00BE1FD6" w:rsidRPr="00543D1A">
        <w:rPr>
          <w:b/>
          <w:color w:val="auto"/>
        </w:rPr>
        <w:t xml:space="preserve"> </w:t>
      </w:r>
      <w:r w:rsidR="00BE1FD6" w:rsidRPr="00543D1A">
        <w:rPr>
          <w:bCs/>
          <w:color w:val="auto"/>
        </w:rPr>
        <w:t xml:space="preserve">According to Legendre </w:t>
      </w:r>
      <w:r w:rsidR="00BE1FD6" w:rsidRPr="00543D1A">
        <w:rPr>
          <w:bCs/>
          <w:iCs/>
          <w:color w:val="auto"/>
        </w:rPr>
        <w:t xml:space="preserve">et al. </w:t>
      </w:r>
      <w:r w:rsidR="00BE1FD6" w:rsidRPr="00543D1A">
        <w:rPr>
          <w:bCs/>
          <w:color w:val="auto"/>
        </w:rPr>
        <w:t xml:space="preserve">(1992), </w:t>
      </w:r>
      <w:r w:rsidR="00BE1FD6">
        <w:t xml:space="preserve">this situation can be explained by the preferential allocation of </w:t>
      </w:r>
      <w:r>
        <w:t xml:space="preserve">most of their energy </w:t>
      </w:r>
      <w:r>
        <w:rPr>
          <w:highlight w:val="yellow"/>
        </w:rPr>
        <w:t>towards</w:t>
      </w:r>
      <w:r>
        <w:t xml:space="preserve"> the development of various organs</w:t>
      </w:r>
      <w:r w:rsidR="00D22E91">
        <w:t xml:space="preserve">. </w:t>
      </w:r>
      <w:r>
        <w:t xml:space="preserve">From the second week until the end of the experiment, growth </w:t>
      </w:r>
      <w:r w:rsidR="00C83F9F">
        <w:t xml:space="preserve">was </w:t>
      </w:r>
      <w:r>
        <w:t>more pronounced</w:t>
      </w:r>
      <w:r w:rsidR="00C83F9F">
        <w:t xml:space="preserve">. This </w:t>
      </w:r>
      <w:r w:rsidR="00A02FF9">
        <w:t xml:space="preserve">rapid </w:t>
      </w:r>
      <w:r w:rsidR="00C83F9F">
        <w:t xml:space="preserve">growth is thought to be linked to the fact that </w:t>
      </w:r>
      <w:r>
        <w:t xml:space="preserve">the larvae </w:t>
      </w:r>
      <w:r w:rsidR="00C83F9F">
        <w:t xml:space="preserve">readily accepted and </w:t>
      </w:r>
      <w:r>
        <w:rPr>
          <w:highlight w:val="yellow"/>
        </w:rPr>
        <w:t>utilised</w:t>
      </w:r>
      <w:r>
        <w:t xml:space="preserve"> the feed provided. </w:t>
      </w:r>
      <w:r w:rsidR="00390490">
        <w:t xml:space="preserve">However, </w:t>
      </w:r>
      <w:r>
        <w:t xml:space="preserve">the growth of larvae fed </w:t>
      </w:r>
      <w:r w:rsidR="0083683C">
        <w:t>the</w:t>
      </w:r>
      <w:r>
        <w:t xml:space="preserve"> 10% biomass </w:t>
      </w:r>
      <w:r w:rsidR="0083683C">
        <w:t xml:space="preserve">diet </w:t>
      </w:r>
      <w:r w:rsidR="00390490">
        <w:t xml:space="preserve">remained below that of the other two </w:t>
      </w:r>
      <w:r w:rsidR="0083683C">
        <w:t xml:space="preserve">diets </w:t>
      </w:r>
      <w:r w:rsidR="00390490">
        <w:t>until the end of the experiment</w:t>
      </w:r>
      <w:r w:rsidR="0083683C">
        <w:t xml:space="preserve">. This result </w:t>
      </w:r>
      <w:r>
        <w:t xml:space="preserve">could </w:t>
      </w:r>
      <w:r w:rsidR="0083683C">
        <w:t xml:space="preserve">be explained by the fact </w:t>
      </w:r>
      <w:r>
        <w:t xml:space="preserve">that </w:t>
      </w:r>
      <w:r>
        <w:rPr>
          <w:highlight w:val="yellow"/>
        </w:rPr>
        <w:t>this ration may have been insufficient</w:t>
      </w:r>
      <w:r>
        <w:t xml:space="preserve"> to </w:t>
      </w:r>
      <w:r w:rsidR="0083683C">
        <w:t xml:space="preserve">support </w:t>
      </w:r>
      <w:r>
        <w:t xml:space="preserve">good larval growth. </w:t>
      </w:r>
      <w:r w:rsidR="00A02FF9">
        <w:t xml:space="preserve">Thus, excessive dietary restriction can limit the growth potential of larvae. This observation is consistent with the </w:t>
      </w:r>
      <w:r w:rsidR="00A02FF9" w:rsidRPr="00543D1A">
        <w:rPr>
          <w:color w:val="auto"/>
        </w:rPr>
        <w:t xml:space="preserve">conclusions of </w:t>
      </w:r>
      <w:r w:rsidR="00A02FF9" w:rsidRPr="00543D1A">
        <w:rPr>
          <w:bCs/>
          <w:color w:val="auto"/>
        </w:rPr>
        <w:t xml:space="preserve">Nairuti </w:t>
      </w:r>
      <w:r w:rsidR="00A02FF9" w:rsidRPr="00543D1A">
        <w:rPr>
          <w:bCs/>
          <w:iCs/>
          <w:color w:val="auto"/>
        </w:rPr>
        <w:t>et al.</w:t>
      </w:r>
      <w:r w:rsidR="00A02FF9" w:rsidRPr="00543D1A">
        <w:rPr>
          <w:bCs/>
          <w:color w:val="auto"/>
        </w:rPr>
        <w:t xml:space="preserve"> (2021), </w:t>
      </w:r>
      <w:r w:rsidR="00A02FF9" w:rsidRPr="00543D1A">
        <w:rPr>
          <w:color w:val="auto"/>
        </w:rPr>
        <w:t xml:space="preserve">who observed reduced growth performance in tilapia fed less nutritious diets. </w:t>
      </w:r>
      <w:r w:rsidR="0082533C" w:rsidRPr="00543D1A">
        <w:rPr>
          <w:color w:val="auto"/>
        </w:rPr>
        <w:t xml:space="preserve">Furthermore, </w:t>
      </w:r>
      <w:r w:rsidR="001E110D" w:rsidRPr="00543D1A">
        <w:rPr>
          <w:color w:val="auto"/>
        </w:rPr>
        <w:t xml:space="preserve">although the 30% diet produced </w:t>
      </w:r>
      <w:r w:rsidR="001E110D" w:rsidRPr="00543D1A">
        <w:rPr>
          <w:color w:val="auto"/>
        </w:rPr>
        <w:lastRenderedPageBreak/>
        <w:t xml:space="preserve">good results, the 20% diet yielded </w:t>
      </w:r>
      <w:r w:rsidR="00B72692" w:rsidRPr="00543D1A">
        <w:rPr>
          <w:color w:val="auto"/>
        </w:rPr>
        <w:t>the highest growth</w:t>
      </w:r>
      <w:r w:rsidR="001E110D" w:rsidRPr="00543D1A">
        <w:rPr>
          <w:color w:val="auto"/>
        </w:rPr>
        <w:t xml:space="preserve">. </w:t>
      </w:r>
      <w:r w:rsidR="0082533C" w:rsidRPr="00543D1A">
        <w:rPr>
          <w:color w:val="auto"/>
        </w:rPr>
        <w:t xml:space="preserve">This observation </w:t>
      </w:r>
      <w:r w:rsidR="00CD3353" w:rsidRPr="00543D1A">
        <w:rPr>
          <w:color w:val="auto"/>
        </w:rPr>
        <w:t xml:space="preserve">is comparable to that </w:t>
      </w:r>
      <w:r w:rsidR="0082533C" w:rsidRPr="00543D1A">
        <w:rPr>
          <w:color w:val="auto"/>
        </w:rPr>
        <w:t>of N’dri et al. (2025a).</w:t>
      </w:r>
    </w:p>
    <w:p w14:paraId="3A25A642" w14:textId="77777777" w:rsidR="000E07E9" w:rsidRDefault="00517AD5" w:rsidP="00031920">
      <w:pPr>
        <w:spacing w:before="240"/>
      </w:pPr>
      <w:r w:rsidRPr="00543D1A">
        <w:rPr>
          <w:color w:val="auto"/>
        </w:rPr>
        <w:t xml:space="preserve">Regarding ADG, a gradual increase in recorded values was observed, with the exception of week 5. </w:t>
      </w:r>
      <w:r w:rsidR="000E07E9" w:rsidRPr="00543D1A">
        <w:rPr>
          <w:color w:val="auto"/>
        </w:rPr>
        <w:t xml:space="preserve">The results showed better performance among </w:t>
      </w:r>
      <w:r w:rsidR="00351430" w:rsidRPr="00543D1A">
        <w:rPr>
          <w:color w:val="auto"/>
        </w:rPr>
        <w:t xml:space="preserve">the fish </w:t>
      </w:r>
      <w:r w:rsidR="000E07E9" w:rsidRPr="00543D1A">
        <w:rPr>
          <w:color w:val="auto"/>
        </w:rPr>
        <w:t xml:space="preserve">in the group fed the 20% diet. </w:t>
      </w:r>
      <w:r>
        <w:rPr>
          <w:color w:val="auto"/>
          <w:highlight w:val="yellow"/>
        </w:rPr>
        <w:t>These results are consistent</w:t>
      </w:r>
      <w:r w:rsidR="000E07E9" w:rsidRPr="00543D1A">
        <w:rPr>
          <w:color w:val="auto"/>
        </w:rPr>
        <w:t xml:space="preserve"> with </w:t>
      </w:r>
      <w:r w:rsidR="0040109F" w:rsidRPr="00543D1A">
        <w:rPr>
          <w:color w:val="auto"/>
        </w:rPr>
        <w:t xml:space="preserve">the </w:t>
      </w:r>
      <w:r w:rsidR="000E07E9" w:rsidRPr="00543D1A">
        <w:rPr>
          <w:color w:val="auto"/>
        </w:rPr>
        <w:t xml:space="preserve">observations of Shoko et al. (2016), Gangbé et al. (2022), and </w:t>
      </w:r>
      <w:r w:rsidR="000E07E9" w:rsidRPr="00753191">
        <w:rPr>
          <w:color w:val="auto"/>
        </w:rPr>
        <w:t>N’dri et al. (</w:t>
      </w:r>
      <w:r w:rsidR="00CD3353" w:rsidRPr="00753191">
        <w:rPr>
          <w:color w:val="auto"/>
        </w:rPr>
        <w:t>2025a</w:t>
      </w:r>
      <w:r w:rsidR="000E07E9" w:rsidRPr="00753191">
        <w:rPr>
          <w:color w:val="auto"/>
        </w:rPr>
        <w:t xml:space="preserve">), </w:t>
      </w:r>
      <w:r w:rsidR="000E07E9">
        <w:t>who demonstrated that juvenile fish exhibit better growth and a higher ADG with a moderate feeding rate, compared to rates that are too low or too high.</w:t>
      </w:r>
    </w:p>
    <w:p w14:paraId="516809CB" w14:textId="77777777" w:rsidR="00987206" w:rsidRDefault="004138CE" w:rsidP="00031920">
      <w:pPr>
        <w:spacing w:before="240"/>
      </w:pPr>
      <w:r>
        <w:t xml:space="preserve">Regarding larval survival, the results </w:t>
      </w:r>
      <w:r w:rsidR="005721DD">
        <w:t xml:space="preserve">showed </w:t>
      </w:r>
      <w:r>
        <w:t xml:space="preserve">that </w:t>
      </w:r>
      <w:r>
        <w:rPr>
          <w:highlight w:val="yellow"/>
        </w:rPr>
        <w:t>the highest survival rate (100%) in the group fed at 20% of biomass may reflect more favourable nutritional and environmental conditions, potentially reducing feeding competition and metabolic stress.</w:t>
      </w:r>
      <w:r w:rsidRPr="0073224C">
        <w:t xml:space="preserve"> This finding is consistent with the work </w:t>
      </w:r>
      <w:r w:rsidRPr="006C740C">
        <w:t xml:space="preserve">of </w:t>
      </w:r>
      <w:r>
        <w:rPr>
          <w:highlight w:val="yellow"/>
        </w:rPr>
        <w:t>El-Sayed et al. (2021)</w:t>
      </w:r>
      <w:r>
        <w:t xml:space="preserve">, </w:t>
      </w:r>
      <w:r>
        <w:rPr>
          <w:highlight w:val="yellow"/>
        </w:rPr>
        <w:t>who emphasise</w:t>
      </w:r>
      <w:r w:rsidRPr="0073224C">
        <w:t xml:space="preserve"> that a moderate feeding rate promotes growth in tilapia larvae. A low feed rate, such as 10%, can lead to undernutrition and dominance conflicts, whereas an excessive rate, such as 30%, can degrade water quality, increase metabolic waste, and cause stress, although in this study, water quality parameters remained within acceptable limits.</w:t>
      </w:r>
    </w:p>
    <w:p w14:paraId="1F4C8617" w14:textId="77777777" w:rsidR="00987206" w:rsidRDefault="00987206" w:rsidP="00F11C90">
      <w:pPr>
        <w:rPr>
          <w:color w:val="auto"/>
          <w:szCs w:val="24"/>
          <w:lang w:eastAsia="fr-FR"/>
        </w:rPr>
      </w:pPr>
    </w:p>
    <w:bookmarkEnd w:id="38"/>
    <w:bookmarkEnd w:id="39"/>
    <w:p w14:paraId="20AB6683" w14:textId="77777777" w:rsidR="00D47F1D" w:rsidRPr="00432838" w:rsidRDefault="00D47F1D" w:rsidP="00D47F1D">
      <w:pPr>
        <w:suppressAutoHyphens w:val="0"/>
        <w:autoSpaceDN/>
        <w:textAlignment w:val="auto"/>
        <w:rPr>
          <w:color w:val="auto"/>
          <w:szCs w:val="24"/>
          <w:lang w:eastAsia="fr-FR"/>
        </w:rPr>
      </w:pPr>
      <w:r w:rsidRPr="00432838">
        <w:rPr>
          <w:b/>
          <w:color w:val="auto"/>
          <w:szCs w:val="24"/>
          <w:lang w:eastAsia="fr-FR"/>
        </w:rPr>
        <w:t>Conclusion</w:t>
      </w:r>
    </w:p>
    <w:p w14:paraId="6A88848E" w14:textId="77777777" w:rsidR="00D47F1D" w:rsidRDefault="00D47F1D" w:rsidP="00D47F1D">
      <w:pPr>
        <w:suppressAutoHyphens w:val="0"/>
        <w:autoSpaceDN/>
        <w:spacing w:before="240"/>
        <w:textAlignment w:val="auto"/>
        <w:rPr>
          <w:color w:val="auto"/>
        </w:rPr>
      </w:pPr>
      <w:r w:rsidRPr="00432838">
        <w:rPr>
          <w:color w:val="auto"/>
          <w:szCs w:val="24"/>
          <w:lang w:eastAsia="fr-FR"/>
        </w:rPr>
        <w:t xml:space="preserve">The purpose of this study was to evaluate the effect of rationing on the growth and survival of </w:t>
      </w:r>
      <w:r w:rsidRPr="00432838">
        <w:rPr>
          <w:i/>
          <w:iCs/>
          <w:color w:val="auto"/>
          <w:szCs w:val="24"/>
          <w:lang w:eastAsia="fr-FR"/>
        </w:rPr>
        <w:t xml:space="preserve">Oreochromis niloticus </w:t>
      </w:r>
      <w:r w:rsidRPr="00432838">
        <w:rPr>
          <w:color w:val="auto"/>
          <w:szCs w:val="24"/>
          <w:lang w:eastAsia="fr-FR"/>
        </w:rPr>
        <w:t>larvae</w:t>
      </w:r>
      <w:r w:rsidRPr="00432838">
        <w:rPr>
          <w:color w:val="auto"/>
        </w:rPr>
        <w:t xml:space="preserve">. The rationing levels tested had a positive effect on the growth and survival of </w:t>
      </w:r>
      <w:r w:rsidRPr="00432838">
        <w:rPr>
          <w:i/>
          <w:color w:val="auto"/>
        </w:rPr>
        <w:t xml:space="preserve">Oreochromis niloticus </w:t>
      </w:r>
      <w:r w:rsidRPr="00432838">
        <w:rPr>
          <w:color w:val="auto"/>
        </w:rPr>
        <w:t xml:space="preserve">larvae. </w:t>
      </w:r>
      <w:r>
        <w:rPr>
          <w:color w:val="auto"/>
        </w:rPr>
        <w:t>T</w:t>
      </w:r>
      <w:r w:rsidRPr="00432838">
        <w:rPr>
          <w:color w:val="auto"/>
        </w:rPr>
        <w:t xml:space="preserve">he 20% ration showed the best growth performance (final average weight: 1745.33 ± 297.71 mg; ADG: 40.76 ± 3.99 g/day) and survival (100.00 ± 0.00%). </w:t>
      </w:r>
      <w:r w:rsidRPr="00213E91">
        <w:rPr>
          <w:color w:val="FF0000"/>
        </w:rPr>
        <w:t>However, the fine mesh of the happas intended for larvae quickly becomes clogged with algae and suspended matter. This reduces water renewal and can mask the true effects of rationing on fish survival and growth. Furthermore, the confinement stress associated with the limited volume of the happas can skew zootechnical results independently of the amount of feed distributed.</w:t>
      </w:r>
      <w:r>
        <w:rPr>
          <w:color w:val="auto"/>
        </w:rPr>
        <w:t xml:space="preserve"> </w:t>
      </w:r>
      <w:r w:rsidRPr="00432838">
        <w:rPr>
          <w:color w:val="auto"/>
        </w:rPr>
        <w:t>Looking ahead, it would be interesting to test these diets on other fish species through the grow-out phase and in other aquaculture facilities to better evaluate the results</w:t>
      </w:r>
      <w:r w:rsidRPr="007E00B0">
        <w:rPr>
          <w:color w:val="auto"/>
        </w:rPr>
        <w:t>.</w:t>
      </w:r>
    </w:p>
    <w:p w14:paraId="3AB0545D" w14:textId="77777777" w:rsidR="005B622B" w:rsidRDefault="005B622B" w:rsidP="00432838">
      <w:pPr>
        <w:suppressAutoHyphens w:val="0"/>
        <w:autoSpaceDN/>
        <w:spacing w:before="240"/>
        <w:textAlignment w:val="auto"/>
        <w:rPr>
          <w:color w:val="auto"/>
        </w:rPr>
      </w:pPr>
    </w:p>
    <w:p w14:paraId="19A15306" w14:textId="77777777" w:rsidR="005B622B" w:rsidRPr="005B622B" w:rsidRDefault="005B622B" w:rsidP="005B622B">
      <w:pPr>
        <w:suppressAutoHyphens w:val="0"/>
        <w:autoSpaceDN/>
        <w:spacing w:before="240"/>
        <w:textAlignment w:val="auto"/>
        <w:rPr>
          <w:color w:val="auto"/>
        </w:rPr>
      </w:pPr>
      <w:r w:rsidRPr="005B622B">
        <w:rPr>
          <w:color w:val="auto"/>
        </w:rPr>
        <w:lastRenderedPageBreak/>
        <w:t xml:space="preserve">Limitations </w:t>
      </w:r>
    </w:p>
    <w:p w14:paraId="5CFABB7C" w14:textId="77777777" w:rsidR="005B622B" w:rsidRPr="005B622B" w:rsidRDefault="005B622B" w:rsidP="005B622B">
      <w:pPr>
        <w:suppressAutoHyphens w:val="0"/>
        <w:autoSpaceDN/>
        <w:spacing w:before="240"/>
        <w:textAlignment w:val="auto"/>
        <w:rPr>
          <w:color w:val="auto"/>
        </w:rPr>
      </w:pPr>
    </w:p>
    <w:p w14:paraId="19F767A1" w14:textId="77777777" w:rsidR="005B622B" w:rsidRDefault="005B622B" w:rsidP="005B622B">
      <w:pPr>
        <w:suppressAutoHyphens w:val="0"/>
        <w:autoSpaceDN/>
        <w:spacing w:before="240"/>
        <w:textAlignment w:val="auto"/>
        <w:rPr>
          <w:color w:val="auto"/>
        </w:rPr>
      </w:pPr>
      <w:r w:rsidRPr="005B622B">
        <w:rPr>
          <w:color w:val="auto"/>
        </w:rPr>
        <w:t>The experiment was undertaken at a single aquaculture station over 35 days using one commercial feed and three feeding rates. Each treatment was replicated in three happas, limiting the range of culture conditions represented. Although temperature, dissolved oxygen and pH were monitored, the trial did not extend to the grow-out phase and did not include an economic analysis. The findings therefore identify the best-performing rate only among those tested under the study conditions and should not be generalised without further evaluation.</w:t>
      </w:r>
    </w:p>
    <w:p w14:paraId="434F4E53" w14:textId="77777777" w:rsidR="00B91C4F" w:rsidRPr="00B91C4F" w:rsidRDefault="00B91C4F" w:rsidP="00B91C4F">
      <w:pPr>
        <w:suppressAutoHyphens w:val="0"/>
        <w:autoSpaceDN/>
        <w:spacing w:line="240" w:lineRule="auto"/>
        <w:jc w:val="left"/>
        <w:textAlignment w:val="auto"/>
        <w:rPr>
          <w:rFonts w:eastAsia="Calibri"/>
          <w:b/>
          <w:color w:val="auto"/>
          <w:sz w:val="22"/>
          <w:lang w:val="en-US"/>
        </w:rPr>
      </w:pPr>
      <w:r w:rsidRPr="00B91C4F">
        <w:rPr>
          <w:rFonts w:eastAsia="Calibri"/>
          <w:b/>
          <w:color w:val="auto"/>
          <w:sz w:val="22"/>
          <w:lang w:val="en-US"/>
        </w:rPr>
        <w:t>Declaration of AI Use</w:t>
      </w:r>
    </w:p>
    <w:p w14:paraId="547CA0E4" w14:textId="77777777" w:rsidR="00B91C4F" w:rsidRPr="00B91C4F" w:rsidRDefault="00B91C4F" w:rsidP="00B91C4F">
      <w:pPr>
        <w:suppressAutoHyphens w:val="0"/>
        <w:autoSpaceDN/>
        <w:spacing w:line="240" w:lineRule="auto"/>
        <w:jc w:val="left"/>
        <w:textAlignment w:val="auto"/>
        <w:rPr>
          <w:rFonts w:eastAsia="Calibri"/>
          <w:b/>
          <w:color w:val="auto"/>
          <w:sz w:val="22"/>
          <w:lang w:val="en-US"/>
        </w:rPr>
      </w:pPr>
    </w:p>
    <w:p w14:paraId="4C352365" w14:textId="77777777" w:rsidR="00B91C4F" w:rsidRPr="00B91C4F" w:rsidRDefault="00B91C4F" w:rsidP="00B91C4F">
      <w:pPr>
        <w:suppressAutoHyphens w:val="0"/>
        <w:autoSpaceDN/>
        <w:spacing w:line="240" w:lineRule="auto"/>
        <w:jc w:val="left"/>
        <w:textAlignment w:val="auto"/>
        <w:rPr>
          <w:rFonts w:eastAsia="Calibri"/>
          <w:b/>
          <w:color w:val="auto"/>
          <w:sz w:val="22"/>
          <w:lang w:val="en-US"/>
        </w:rPr>
      </w:pPr>
    </w:p>
    <w:p w14:paraId="2D9BA7FE" w14:textId="77777777" w:rsidR="00B91C4F" w:rsidRPr="00B91C4F" w:rsidRDefault="00B91C4F" w:rsidP="00B91C4F">
      <w:pPr>
        <w:suppressAutoHyphens w:val="0"/>
        <w:autoSpaceDN/>
        <w:spacing w:line="240" w:lineRule="auto"/>
        <w:jc w:val="left"/>
        <w:textAlignment w:val="auto"/>
        <w:rPr>
          <w:rFonts w:eastAsia="Calibri"/>
          <w:b/>
          <w:color w:val="auto"/>
          <w:sz w:val="22"/>
          <w:lang w:val="en-US"/>
        </w:rPr>
      </w:pPr>
    </w:p>
    <w:p w14:paraId="47888DFE" w14:textId="77777777" w:rsidR="00B91C4F" w:rsidRPr="00B91C4F" w:rsidRDefault="00B91C4F" w:rsidP="00B91C4F">
      <w:pPr>
        <w:suppressAutoHyphens w:val="0"/>
        <w:autoSpaceDN/>
        <w:spacing w:line="240" w:lineRule="auto"/>
        <w:jc w:val="left"/>
        <w:textAlignment w:val="auto"/>
        <w:rPr>
          <w:rFonts w:ascii="Arial" w:eastAsia="Calibri" w:hAnsi="Arial" w:cs="Arial"/>
          <w:color w:val="auto"/>
          <w:sz w:val="20"/>
          <w:szCs w:val="20"/>
          <w:lang w:val="en-US"/>
        </w:rPr>
      </w:pPr>
      <w:r w:rsidRPr="00B91C4F">
        <w:rPr>
          <w:rFonts w:ascii="Arial" w:eastAsia="Calibri" w:hAnsi="Arial" w:cs="Arial"/>
          <w:color w:val="auto"/>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CBC377E" w14:textId="77777777" w:rsidR="00987206" w:rsidRPr="00432838" w:rsidRDefault="004138CE" w:rsidP="00432838">
      <w:pPr>
        <w:spacing w:before="240"/>
        <w:rPr>
          <w:b/>
          <w:bCs/>
          <w:color w:val="auto"/>
          <w:szCs w:val="24"/>
        </w:rPr>
      </w:pPr>
      <w:r w:rsidRPr="00432838">
        <w:rPr>
          <w:b/>
          <w:bCs/>
          <w:color w:val="auto"/>
          <w:szCs w:val="24"/>
        </w:rPr>
        <w:t xml:space="preserve">Conflict of </w:t>
      </w:r>
      <w:r w:rsidR="00432838">
        <w:rPr>
          <w:b/>
          <w:bCs/>
          <w:color w:val="auto"/>
          <w:szCs w:val="24"/>
        </w:rPr>
        <w:t>Interest</w:t>
      </w:r>
    </w:p>
    <w:p w14:paraId="3BA9BE08" w14:textId="77777777" w:rsidR="00987206" w:rsidRDefault="004138CE" w:rsidP="00432838">
      <w:pPr>
        <w:spacing w:before="240" w:after="240"/>
        <w:rPr>
          <w:color w:val="auto"/>
          <w:szCs w:val="24"/>
        </w:rPr>
      </w:pPr>
      <w:r>
        <w:rPr>
          <w:color w:val="auto"/>
          <w:szCs w:val="24"/>
        </w:rPr>
        <w:t>The authors declare that they have no competing interests.</w:t>
      </w:r>
    </w:p>
    <w:p w14:paraId="79EC09E7" w14:textId="77777777" w:rsidR="007533D1" w:rsidRDefault="007533D1" w:rsidP="00432838">
      <w:pPr>
        <w:spacing w:before="240" w:after="240"/>
        <w:rPr>
          <w:color w:val="auto"/>
          <w:szCs w:val="24"/>
        </w:rPr>
      </w:pPr>
    </w:p>
    <w:p w14:paraId="6F44CA51" w14:textId="77777777" w:rsidR="007533D1" w:rsidRDefault="007533D1" w:rsidP="00432838">
      <w:pPr>
        <w:spacing w:before="240" w:after="240"/>
        <w:rPr>
          <w:color w:val="auto"/>
          <w:szCs w:val="24"/>
        </w:rPr>
      </w:pPr>
    </w:p>
    <w:p w14:paraId="3D1278BE" w14:textId="77777777" w:rsidR="007533D1" w:rsidRDefault="007533D1" w:rsidP="00432838">
      <w:pPr>
        <w:spacing w:before="240" w:after="240"/>
        <w:rPr>
          <w:color w:val="auto"/>
          <w:szCs w:val="24"/>
        </w:rPr>
      </w:pPr>
    </w:p>
    <w:p w14:paraId="08AED97C" w14:textId="77777777" w:rsidR="00E667EC" w:rsidRDefault="00E667EC" w:rsidP="00E20FE6">
      <w:pPr>
        <w:rPr>
          <w:rFonts w:eastAsia="Calibri"/>
          <w:b/>
          <w:color w:val="auto"/>
          <w:szCs w:val="24"/>
        </w:rPr>
      </w:pPr>
    </w:p>
    <w:p w14:paraId="36DA0FF6" w14:textId="77777777" w:rsidR="00E20FE6" w:rsidRPr="00E20FE6" w:rsidRDefault="00E20FE6" w:rsidP="00E20FE6">
      <w:pPr>
        <w:rPr>
          <w:rFonts w:eastAsia="Calibri"/>
          <w:b/>
          <w:color w:val="auto"/>
          <w:szCs w:val="24"/>
        </w:rPr>
      </w:pPr>
      <w:r w:rsidRPr="00E20FE6">
        <w:rPr>
          <w:rFonts w:eastAsia="Calibri"/>
          <w:b/>
          <w:color w:val="auto"/>
          <w:szCs w:val="24"/>
        </w:rPr>
        <w:t>Références</w:t>
      </w:r>
    </w:p>
    <w:p w14:paraId="2993D6B9" w14:textId="77777777" w:rsidR="00987206" w:rsidRDefault="00987206" w:rsidP="00B94B28">
      <w:pPr>
        <w:tabs>
          <w:tab w:val="left" w:pos="2730"/>
        </w:tabs>
        <w:rPr>
          <w:szCs w:val="24"/>
        </w:rPr>
      </w:pPr>
    </w:p>
    <w:p w14:paraId="2B7C9926" w14:textId="23D9EE10"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Hamed, S., El-Kassas, S., Abo-Al-Ela, H. G., Abdo, S. E., Abou-Ismail, U. A., &amp; Mohamed, R. A. (2024). Temperature and feeding frequency: Interactions with growth, immune response, and water quality in juvenile Nile tilapia. BMC Veterinary Research, 20, Article 520. </w:t>
      </w:r>
      <w:hyperlink r:id="rId13" w:history="1">
        <w:r w:rsidRPr="00395AF5">
          <w:rPr>
            <w:rStyle w:val="Hyperlink"/>
            <w:szCs w:val="24"/>
            <w:lang w:val="en-IN" w:eastAsia="en-IN"/>
          </w:rPr>
          <w:t>https://doi.org/10.1186/s12917-024-04366-4</w:t>
        </w:r>
      </w:hyperlink>
    </w:p>
    <w:p w14:paraId="7ACE85CA" w14:textId="51A1D9F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Dawood, M. A. O., Amer, A. A., Gouda, A. H., &amp; Gewaily, M. S. (2023). Interactive effects of cyclical fasting, refeeding, and dietary protein regimes on the growth performance, blood health, and intestinal histology of Nile tilapia (Oreochromis niloticus). Aquaculture, 573, Article 739620. </w:t>
      </w:r>
      <w:hyperlink r:id="rId14" w:history="1">
        <w:r w:rsidRPr="00395AF5">
          <w:rPr>
            <w:rStyle w:val="Hyperlink"/>
            <w:szCs w:val="24"/>
            <w:lang w:val="en-IN" w:eastAsia="en-IN"/>
          </w:rPr>
          <w:t>https://doi.org/10.1016/j.aquaculture.2023.739620</w:t>
        </w:r>
      </w:hyperlink>
    </w:p>
    <w:p w14:paraId="0653E01A" w14:textId="4D8FE2CD"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lastRenderedPageBreak/>
        <w:t xml:space="preserve">El-Sayed, A.-F. M., Tammam, M. S., &amp; Makled, S. O. (2021). Lecithin-containing bioemulsifier boosts growth performance, feed digestion and absorption and immune response of adult Nile tilapia (Oreochromis niloticus). Aquaculture Nutrition, 27, 757–770. </w:t>
      </w:r>
      <w:hyperlink r:id="rId15" w:history="1">
        <w:r w:rsidRPr="00395AF5">
          <w:rPr>
            <w:rStyle w:val="Hyperlink"/>
            <w:szCs w:val="24"/>
            <w:lang w:val="en-IN" w:eastAsia="en-IN"/>
          </w:rPr>
          <w:t>https://doi.org/10.1111/anu.13221</w:t>
        </w:r>
      </w:hyperlink>
    </w:p>
    <w:p w14:paraId="5AC8F3C0"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Gangbé, L., Dessouassi, E., Houndonougbo, P. K., Brahim, A. A., Djimènou, D., Agadjihouedé, H., &amp; Laleye, P. (2022). Trophic regime of the giant freshwater shrimp Macrobrachium vollenhoveni (Herklots, 1857) in the lower Oueme valley in Southern Benin. International Journal of Biology Sciences, 4(1), 37–45. </w:t>
      </w:r>
      <w:hyperlink r:id="rId16" w:history="1">
        <w:r w:rsidRPr="00B94B28">
          <w:rPr>
            <w:color w:val="0000FF"/>
            <w:szCs w:val="24"/>
            <w:u w:val="single"/>
            <w:lang w:val="en-IN" w:eastAsia="en-IN"/>
          </w:rPr>
          <w:t>https://doi.org/10.33545/26649926.2022.v4.i1a.52</w:t>
        </w:r>
      </w:hyperlink>
    </w:p>
    <w:p w14:paraId="6A3BF054"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Islam, M. A., Mely, S. S., Alam, M. S., &amp; Rahman, M. H. (2023). Effect of different feeding rates on growth performance and survival rate of tilapia (Oreochromis niloticus L. 1758) fingerlings reared in rectangular hapas. Asian Journal of Fisheries and Aquatic Research, 25(3), 18–30. </w:t>
      </w:r>
      <w:hyperlink r:id="rId17" w:history="1">
        <w:r w:rsidRPr="00B94B28">
          <w:rPr>
            <w:color w:val="0000FF"/>
            <w:szCs w:val="24"/>
            <w:u w:val="single"/>
            <w:lang w:val="en-IN" w:eastAsia="en-IN"/>
          </w:rPr>
          <w:t>https://doi.org/10.9734/ajfar/2023/v25i3664</w:t>
        </w:r>
      </w:hyperlink>
    </w:p>
    <w:p w14:paraId="187FAFB8"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Kreman, K., Anvo, M. P. M., Kouadio, K. E., Assemien-Diarrassouba, O. S., &amp; Kouassi, N. C. (2020). Utilisation des blocs alimentaires dans le grossissement du tilapia Oreochromis niloticus en étang. Journal of Applied Biosciences, 153, 15821–15828. </w:t>
      </w:r>
      <w:hyperlink r:id="rId18" w:history="1">
        <w:r w:rsidRPr="00B94B28">
          <w:rPr>
            <w:color w:val="0000FF"/>
            <w:szCs w:val="24"/>
            <w:u w:val="single"/>
            <w:lang w:val="en-IN" w:eastAsia="en-IN"/>
          </w:rPr>
          <w:t>https://doi.org/10.35759/JABs.153.9</w:t>
        </w:r>
      </w:hyperlink>
    </w:p>
    <w:p w14:paraId="04B46EEA"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Legendre, M., Teugels, G. G., Cauty, C., &amp; Jalabert, B. (1992). A comparative study on morphology, growth rate and reproduction of Clarias gariepinus (Burchell, 1822), Heterobranchus longifilis Valenciennes, 1840, and their reciprocal hybrids (Pisces, Clariidae). Journal of Fish Biology, 40(1), 59–79. </w:t>
      </w:r>
      <w:hyperlink r:id="rId19" w:history="1">
        <w:r w:rsidRPr="00B94B28">
          <w:rPr>
            <w:color w:val="0000FF"/>
            <w:szCs w:val="24"/>
            <w:u w:val="single"/>
            <w:lang w:val="en-IN" w:eastAsia="en-IN"/>
          </w:rPr>
          <w:t>https://doi.org/10.1111/j.1095-8649.1992.tb02554.x</w:t>
        </w:r>
      </w:hyperlink>
    </w:p>
    <w:p w14:paraId="190FAF19"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Ministère des Ressources Animales et Halieutiques. (2022). Politique nationale de développement de l’élevage, de la pêche et de l’aquaculture (PONADEPA 2022–2026). </w:t>
      </w:r>
      <w:hyperlink r:id="rId20" w:history="1">
        <w:r w:rsidRPr="00B94B28">
          <w:rPr>
            <w:color w:val="0000FF"/>
            <w:szCs w:val="24"/>
            <w:u w:val="single"/>
            <w:lang w:val="en-IN" w:eastAsia="en-IN"/>
          </w:rPr>
          <w:t>https://www.partenariat.gouv.ci/uploads/document/PONADEPA_2022-2026.pdf?download=1</w:t>
        </w:r>
      </w:hyperlink>
    </w:p>
    <w:p w14:paraId="09BD0C61"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[First author changed from MIRAH to Ministère des Ressources Animales et Halieutiques]</w:t>
      </w:r>
    </w:p>
    <w:p w14:paraId="3490A4DA"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Nairuti, R. N., Munguti, J. M., Waidbacher, H., &amp; Zollitsch, W. (2021). Growth performance and survival rates of Nile tilapia (Oreochromis niloticus L.) reared on diets containing black soldier fly (Hermetia illucens L.) larvae meal. Die Bodenkultur: Journal of Land Management, Food and Environment, 72(1), 9–19. </w:t>
      </w:r>
      <w:hyperlink r:id="rId21" w:history="1">
        <w:r w:rsidRPr="00B94B28">
          <w:rPr>
            <w:color w:val="0000FF"/>
            <w:szCs w:val="24"/>
            <w:u w:val="single"/>
            <w:lang w:val="en-IN" w:eastAsia="en-IN"/>
          </w:rPr>
          <w:t>https://doi.org/10.2478/boku-2021-0002</w:t>
        </w:r>
      </w:hyperlink>
    </w:p>
    <w:p w14:paraId="2C112134"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N’dri, K. M., Alla, Y. L., Amon, Y. N., Setin, K. D., Tano, K., &amp; Diomande, D. (2025a). Influence of feeding intensity on growth parameters and survival of Coptodon guineensis Günther, 1862 juveniles raised at the Layo Aquaculture Experimental Station, Ivory Coast. Journal of Advances in Biology &amp; Biotechnology, 28(3), 97–106. </w:t>
      </w:r>
      <w:hyperlink r:id="rId22" w:history="1">
        <w:r w:rsidRPr="00B94B28">
          <w:rPr>
            <w:color w:val="0000FF"/>
            <w:szCs w:val="24"/>
            <w:u w:val="single"/>
            <w:lang w:val="en-IN" w:eastAsia="en-IN"/>
          </w:rPr>
          <w:t>https://doi.org/10.9734/jabb/2025/v28i32073</w:t>
        </w:r>
      </w:hyperlink>
    </w:p>
    <w:p w14:paraId="283391D9"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N’dri, K. M., Gogbe, Z. M., Amon, Y. N., Alla, Y. L., Koné, M., &amp; Yao, K. (2025b). Rearing juvenile tilapia Sarotherodon melanotheron (Rüppell, 1852) in happas at Layo (Côte d’Ivoire). International Journal of Current Research, 17(8), 34304–34309. </w:t>
      </w:r>
      <w:hyperlink r:id="rId23" w:history="1">
        <w:r w:rsidRPr="00B94B28">
          <w:rPr>
            <w:color w:val="0000FF"/>
            <w:szCs w:val="24"/>
            <w:u w:val="single"/>
            <w:lang w:val="en-IN" w:eastAsia="en-IN"/>
          </w:rPr>
          <w:t>https://doi.org/10.24941/ijcr.49322.08.2025</w:t>
        </w:r>
      </w:hyperlink>
    </w:p>
    <w:p w14:paraId="5D6EF005"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lastRenderedPageBreak/>
        <w:t xml:space="preserve">Oyekanmi, F. B., Emefe, O., &amp; Akegbejo-Samsons, Y. (2025). Nutrient utilization and growth responses of Oreochromis niloticus juveniles fed varying dietary levels of sun-dried watermelon peel waste. Uttar Pradesh Journal of Zoology, 46(3), 168–173. </w:t>
      </w:r>
      <w:hyperlink r:id="rId24" w:history="1">
        <w:r w:rsidRPr="00B94B28">
          <w:rPr>
            <w:color w:val="0000FF"/>
            <w:szCs w:val="24"/>
            <w:u w:val="single"/>
            <w:lang w:val="en-IN" w:eastAsia="en-IN"/>
          </w:rPr>
          <w:t>https://doi.org/10.56557/upjoz/2025/v46i34796</w:t>
        </w:r>
      </w:hyperlink>
    </w:p>
    <w:p w14:paraId="03FAE6E2"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Ritu, J. R., Khan, S., Uddin, M. H., Poly, J. A., Hossain, M. S., &amp; Haque, M. M. (2024). Exploring the nutritional potential of Monoraphidium littorale and enriched copepods as first feeds for rearing Nile tilapia (Oreochromis niloticus) larvae. Heliyon, 10(16), Article e35877. </w:t>
      </w:r>
      <w:hyperlink r:id="rId25" w:history="1">
        <w:r w:rsidRPr="00B94B28">
          <w:rPr>
            <w:color w:val="0000FF"/>
            <w:szCs w:val="24"/>
            <w:u w:val="single"/>
            <w:lang w:val="en-IN" w:eastAsia="en-IN"/>
          </w:rPr>
          <w:t>https://doi.org/10.1016/j.heliyon.2024.e35877</w:t>
        </w:r>
      </w:hyperlink>
    </w:p>
    <w:p w14:paraId="4B781144"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Ross, L. G. (2000). Environmental physiology and energetics. In M. C. M. Beveridge &amp; B. J. McAndrew (Eds.), Tilapias: Biology and exploitation (pp. 89–128). Kluwer Academic Publishers. </w:t>
      </w:r>
      <w:hyperlink r:id="rId26" w:history="1">
        <w:r w:rsidRPr="00B94B28">
          <w:rPr>
            <w:color w:val="0000FF"/>
            <w:szCs w:val="24"/>
            <w:u w:val="single"/>
            <w:lang w:val="en-IN" w:eastAsia="en-IN"/>
          </w:rPr>
          <w:t>https://doi.org/10.1007/978-94-011-4008-9_4</w:t>
        </w:r>
      </w:hyperlink>
    </w:p>
    <w:p w14:paraId="73589AF5" w14:textId="3D8FCC85"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Shoko, A. P., Limbu, S. M., Mrosso, H. D. J., Mkenda, A. F., &amp; Mgaya, Y. D. (2016). Effect of stocking density on growth, production and economic benefits of mixed sex Nile tilapia (Oreochromis niloticus) and African sharptooth catfish (Clarias gariepinus) in polyculture and monoculture. Aquaculture Research, 47(1), 36–50. </w:t>
      </w:r>
      <w:hyperlink r:id="rId27" w:history="1">
        <w:r w:rsidRPr="00395AF5">
          <w:rPr>
            <w:rStyle w:val="Hyperlink"/>
            <w:szCs w:val="24"/>
            <w:lang w:val="en-IN" w:eastAsia="en-IN"/>
          </w:rPr>
          <w:t>https://doi.org/10.1111/are.12463</w:t>
        </w:r>
      </w:hyperlink>
    </w:p>
    <w:p w14:paraId="293DA2C4"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Tré Bi, T. C. O., Anvo, M. P. M., Doumbia, L., &amp; Kouassi, N. C. (2023). Evaluation of the zootechnical performance during the grow-out phase of an improved strain of Oreochromis niloticus reared in ponds in the Ivorian environment. International Journal of Innovation and Applied Studies, 39(2), 965–972. </w:t>
      </w:r>
      <w:hyperlink r:id="rId28" w:history="1">
        <w:r w:rsidRPr="00B94B28">
          <w:rPr>
            <w:color w:val="0000FF"/>
            <w:szCs w:val="24"/>
            <w:u w:val="single"/>
            <w:lang w:val="en-IN" w:eastAsia="en-IN"/>
          </w:rPr>
          <w:t>https://ijias.issr-journals.org/abstract.php?article=IJIAS-23-088-03</w:t>
        </w:r>
      </w:hyperlink>
    </w:p>
    <w:p w14:paraId="3C99F320"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Villes, V. S., Durigon, E. G., Hermes, L. B., Uczay, J., Peixoto, N. C., &amp; Lazzari, R. (2024). Feeding rates affect growth, metabolism and oxidative status of Nile tilapia rearing in a biofloc system. Tropical Animal Health and Production, 56(6), Article 208. </w:t>
      </w:r>
      <w:hyperlink r:id="rId29" w:history="1">
        <w:r w:rsidRPr="00B94B28">
          <w:rPr>
            <w:color w:val="0000FF"/>
            <w:szCs w:val="24"/>
            <w:u w:val="single"/>
            <w:lang w:val="en-IN" w:eastAsia="en-IN"/>
          </w:rPr>
          <w:t>https://doi.org/10.1007/s11250-024-04042-7</w:t>
        </w:r>
      </w:hyperlink>
    </w:p>
    <w:p w14:paraId="7910D5C2"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Wognin, G. M.-T., Anvo, M. P. M., Kanh, K. H. M., Diarrassouba, A. O., &amp; Kouassi, N. C. (2023). Caractérisation zootechnique des populations sauvages de Heterobranchus longifilis des bassins versants de Cavally et de Bandama (Côte d’Ivoire). European Scientific Journal, 19(9), 174–188. </w:t>
      </w:r>
      <w:hyperlink r:id="rId30" w:history="1">
        <w:r w:rsidRPr="00B94B28">
          <w:rPr>
            <w:color w:val="0000FF"/>
            <w:szCs w:val="24"/>
            <w:u w:val="single"/>
            <w:lang w:val="en-IN" w:eastAsia="en-IN"/>
          </w:rPr>
          <w:t>https://doi.org/10.19044/esj.2023.v19n9p174</w:t>
        </w:r>
      </w:hyperlink>
    </w:p>
    <w:p w14:paraId="15E56A17" w14:textId="77777777" w:rsidR="00B94B28" w:rsidRPr="00B94B28" w:rsidRDefault="00B94B28" w:rsidP="00B94B28">
      <w:pPr>
        <w:suppressAutoHyphens w:val="0"/>
        <w:autoSpaceDN/>
        <w:spacing w:before="100" w:beforeAutospacing="1" w:after="100" w:afterAutospacing="1" w:line="240" w:lineRule="auto"/>
        <w:ind w:left="426" w:hanging="426"/>
        <w:jc w:val="left"/>
        <w:textAlignment w:val="auto"/>
        <w:rPr>
          <w:color w:val="auto"/>
          <w:szCs w:val="24"/>
          <w:lang w:val="en-IN" w:eastAsia="en-IN"/>
        </w:rPr>
      </w:pPr>
      <w:r w:rsidRPr="00B94B28">
        <w:rPr>
          <w:color w:val="auto"/>
          <w:szCs w:val="24"/>
          <w:lang w:val="en-IN" w:eastAsia="en-IN"/>
        </w:rPr>
        <w:t xml:space="preserve">Yao, A. H., Koumi, A. R., Atse, B. C., &amp; Kouamelan, E. P. (2017). État des connaissances sur la pisciculture en Côte d’Ivoire. Agronomie Africaine, 29(3), 227–244. </w:t>
      </w:r>
      <w:hyperlink r:id="rId31" w:history="1">
        <w:r w:rsidRPr="00B94B28">
          <w:rPr>
            <w:color w:val="0000FF"/>
            <w:szCs w:val="24"/>
            <w:u w:val="single"/>
            <w:lang w:val="en-IN" w:eastAsia="en-IN"/>
          </w:rPr>
          <w:t>https://www.ajol.info/index.php/aga/article/download/164967/154463/0</w:t>
        </w:r>
      </w:hyperlink>
    </w:p>
    <w:p w14:paraId="6CEE551E" w14:textId="77777777" w:rsidR="00B94B28" w:rsidRDefault="00B94B28" w:rsidP="00B94B28">
      <w:pPr>
        <w:tabs>
          <w:tab w:val="left" w:pos="2730"/>
        </w:tabs>
        <w:rPr>
          <w:szCs w:val="24"/>
        </w:rPr>
      </w:pPr>
    </w:p>
    <w:p w14:paraId="27A13B8B" w14:textId="77777777" w:rsidR="00987206" w:rsidRDefault="00987206" w:rsidP="00F11C90">
      <w:pPr>
        <w:tabs>
          <w:tab w:val="left" w:pos="2730"/>
        </w:tabs>
        <w:rPr>
          <w:szCs w:val="24"/>
        </w:rPr>
      </w:pPr>
    </w:p>
    <w:p w14:paraId="6F761025" w14:textId="77777777" w:rsidR="002A727E" w:rsidRDefault="002A727E" w:rsidP="00F11C90">
      <w:pPr>
        <w:suppressAutoHyphens w:val="0"/>
        <w:autoSpaceDN/>
        <w:spacing w:after="160"/>
        <w:textAlignment w:val="auto"/>
        <w:rPr>
          <w:szCs w:val="24"/>
          <w:lang w:val="en-US" w:eastAsia="fr-FR"/>
        </w:rPr>
      </w:pPr>
    </w:p>
    <w:p w14:paraId="1F5654AD" w14:textId="77777777" w:rsidR="002A727E" w:rsidRDefault="002A727E" w:rsidP="00F11C90">
      <w:pPr>
        <w:suppressAutoHyphens w:val="0"/>
        <w:autoSpaceDN/>
        <w:spacing w:after="160"/>
        <w:jc w:val="center"/>
        <w:textAlignment w:val="auto"/>
      </w:pPr>
      <w:bookmarkStart w:id="40" w:name="_Toc201688318"/>
    </w:p>
    <w:bookmarkEnd w:id="40"/>
    <w:p w14:paraId="4DFB46CA" w14:textId="77777777" w:rsidR="00987206" w:rsidRDefault="00987206" w:rsidP="00F11C90">
      <w:pPr>
        <w:tabs>
          <w:tab w:val="left" w:pos="1125"/>
        </w:tabs>
        <w:rPr>
          <w:szCs w:val="24"/>
        </w:rPr>
      </w:pPr>
    </w:p>
    <w:p w14:paraId="3BD79A56" w14:textId="77777777" w:rsidR="00BB2470" w:rsidRDefault="00BB2470" w:rsidP="00F11C90">
      <w:pPr>
        <w:tabs>
          <w:tab w:val="left" w:pos="1125"/>
        </w:tabs>
        <w:rPr>
          <w:szCs w:val="24"/>
        </w:rPr>
      </w:pPr>
    </w:p>
    <w:sectPr w:rsidR="00BB2470">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DB803" w14:textId="77777777" w:rsidR="009349B3" w:rsidRDefault="009349B3">
      <w:pPr>
        <w:spacing w:line="240" w:lineRule="auto"/>
      </w:pPr>
      <w:r>
        <w:separator/>
      </w:r>
    </w:p>
  </w:endnote>
  <w:endnote w:type="continuationSeparator" w:id="0">
    <w:p w14:paraId="64DEBFC7" w14:textId="77777777" w:rsidR="009349B3" w:rsidRDefault="009349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CF73" w14:textId="77777777" w:rsidR="00E667EC" w:rsidRDefault="00E667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13FC" w14:textId="77777777" w:rsidR="00987206" w:rsidRDefault="004138CE">
    <w:pPr>
      <w:pStyle w:val="Footer"/>
      <w:jc w:val="center"/>
    </w:pPr>
    <w:r>
      <w:fldChar w:fldCharType="begin"/>
    </w:r>
    <w:r>
      <w:instrText>PAGE   \* MERGEFORMAT</w:instrText>
    </w:r>
    <w:r>
      <w:fldChar w:fldCharType="separate"/>
    </w:r>
    <w:r w:rsidR="002959C8">
      <w:rPr>
        <w:noProof/>
      </w:rPr>
      <w:t>1</w:t>
    </w:r>
    <w:r>
      <w:fldChar w:fldCharType="end"/>
    </w:r>
  </w:p>
  <w:p w14:paraId="50A599BD" w14:textId="77777777" w:rsidR="00987206" w:rsidRDefault="00987206">
    <w:pPr>
      <w:pStyle w:val="Footer"/>
      <w:ind w:left="3972" w:firstLine="453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BC6D" w14:textId="77777777" w:rsidR="00E667EC" w:rsidRDefault="00E66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FE277" w14:textId="77777777" w:rsidR="009349B3" w:rsidRDefault="009349B3">
      <w:r>
        <w:separator/>
      </w:r>
    </w:p>
  </w:footnote>
  <w:footnote w:type="continuationSeparator" w:id="0">
    <w:p w14:paraId="45E0713F" w14:textId="77777777" w:rsidR="009349B3" w:rsidRDefault="00934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26BA" w14:textId="77777777" w:rsidR="00E667EC" w:rsidRDefault="00000000">
    <w:pPr>
      <w:pStyle w:val="Header"/>
    </w:pPr>
    <w:r>
      <w:rPr>
        <w:noProof/>
      </w:rPr>
      <w:pict w14:anchorId="1450DB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001751" o:sp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E781" w14:textId="77777777" w:rsidR="00E667EC" w:rsidRDefault="00000000">
    <w:pPr>
      <w:pStyle w:val="Header"/>
    </w:pPr>
    <w:r>
      <w:rPr>
        <w:noProof/>
      </w:rPr>
      <w:pict w14:anchorId="362AC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001752"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7871" w14:textId="77777777" w:rsidR="00E667EC" w:rsidRDefault="00000000">
    <w:pPr>
      <w:pStyle w:val="Header"/>
    </w:pPr>
    <w:r>
      <w:rPr>
        <w:noProof/>
      </w:rPr>
      <w:pict w14:anchorId="5D293B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001750"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7FEBC3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3F2717"/>
    <w:multiLevelType w:val="hybridMultilevel"/>
    <w:tmpl w:val="A0A0C646"/>
    <w:lvl w:ilvl="0" w:tplc="80D6F946">
      <w:start w:val="1"/>
      <w:numFmt w:val="bullet"/>
      <w:lvlText w:val="-"/>
      <w:lvlJc w:val="left"/>
      <w:pPr>
        <w:ind w:left="990" w:hanging="360"/>
      </w:pPr>
      <w:rPr>
        <w:rFonts w:ascii="Calibri" w:eastAsia="Times New Roman" w:hAnsi="Calibri" w:hint="default"/>
      </w:rPr>
    </w:lvl>
    <w:lvl w:ilvl="1" w:tplc="04090003">
      <w:start w:val="1"/>
      <w:numFmt w:val="bullet"/>
      <w:lvlText w:val="o"/>
      <w:lvlJc w:val="left"/>
      <w:pPr>
        <w:ind w:left="1710" w:hanging="360"/>
      </w:pPr>
      <w:rPr>
        <w:rFonts w:ascii="Courier New" w:hAnsi="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hint="default"/>
      </w:rPr>
    </w:lvl>
    <w:lvl w:ilvl="8" w:tplc="04090005">
      <w:start w:val="1"/>
      <w:numFmt w:val="bullet"/>
      <w:lvlText w:val=""/>
      <w:lvlJc w:val="left"/>
      <w:pPr>
        <w:ind w:left="6750" w:hanging="360"/>
      </w:pPr>
      <w:rPr>
        <w:rFonts w:ascii="Wingdings" w:hAnsi="Wingdings" w:hint="default"/>
      </w:rPr>
    </w:lvl>
  </w:abstractNum>
  <w:abstractNum w:abstractNumId="2" w15:restartNumberingAfterBreak="0">
    <w:nsid w:val="1FEC6582"/>
    <w:multiLevelType w:val="multilevel"/>
    <w:tmpl w:val="1FEC6582"/>
    <w:lvl w:ilvl="0">
      <w:start w:val="3"/>
      <w:numFmt w:val="bullet"/>
      <w:lvlText w:val="-"/>
      <w:lvlJc w:val="left"/>
      <w:pPr>
        <w:ind w:left="720" w:hanging="360"/>
      </w:pPr>
      <w:rPr>
        <w:rFonts w:ascii="Times New Roman" w:eastAsia="Times New Roman" w:hAnsi="Times New Roman"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4524BD8"/>
    <w:multiLevelType w:val="singleLevel"/>
    <w:tmpl w:val="34524BD8"/>
    <w:lvl w:ilvl="0">
      <w:start w:val="2025"/>
      <w:numFmt w:val="decimal"/>
      <w:suff w:val="space"/>
      <w:lvlText w:val="%1."/>
      <w:lvlJc w:val="left"/>
      <w:rPr>
        <w:rFonts w:cs="Times New Roman"/>
      </w:rPr>
    </w:lvl>
  </w:abstractNum>
  <w:abstractNum w:abstractNumId="4" w15:restartNumberingAfterBreak="0">
    <w:nsid w:val="63051508"/>
    <w:multiLevelType w:val="hybridMultilevel"/>
    <w:tmpl w:val="9200792A"/>
    <w:lvl w:ilvl="0" w:tplc="300C000F">
      <w:start w:val="1"/>
      <w:numFmt w:val="decimal"/>
      <w:lvlText w:val="%1."/>
      <w:lvlJc w:val="left"/>
      <w:pPr>
        <w:ind w:left="720" w:hanging="360"/>
      </w:pPr>
      <w:rPr>
        <w:rFonts w:cs="Times New Roman" w:hint="default"/>
      </w:rPr>
    </w:lvl>
    <w:lvl w:ilvl="1" w:tplc="300C0019" w:tentative="1">
      <w:start w:val="1"/>
      <w:numFmt w:val="lowerLetter"/>
      <w:lvlText w:val="%2."/>
      <w:lvlJc w:val="left"/>
      <w:pPr>
        <w:ind w:left="1440" w:hanging="360"/>
      </w:pPr>
      <w:rPr>
        <w:rFonts w:cs="Times New Roman"/>
      </w:rPr>
    </w:lvl>
    <w:lvl w:ilvl="2" w:tplc="300C001B" w:tentative="1">
      <w:start w:val="1"/>
      <w:numFmt w:val="lowerRoman"/>
      <w:lvlText w:val="%3."/>
      <w:lvlJc w:val="right"/>
      <w:pPr>
        <w:ind w:left="2160" w:hanging="180"/>
      </w:pPr>
      <w:rPr>
        <w:rFonts w:cs="Times New Roman"/>
      </w:rPr>
    </w:lvl>
    <w:lvl w:ilvl="3" w:tplc="300C000F" w:tentative="1">
      <w:start w:val="1"/>
      <w:numFmt w:val="decimal"/>
      <w:lvlText w:val="%4."/>
      <w:lvlJc w:val="left"/>
      <w:pPr>
        <w:ind w:left="2880" w:hanging="360"/>
      </w:pPr>
      <w:rPr>
        <w:rFonts w:cs="Times New Roman"/>
      </w:rPr>
    </w:lvl>
    <w:lvl w:ilvl="4" w:tplc="300C0019" w:tentative="1">
      <w:start w:val="1"/>
      <w:numFmt w:val="lowerLetter"/>
      <w:lvlText w:val="%5."/>
      <w:lvlJc w:val="left"/>
      <w:pPr>
        <w:ind w:left="3600" w:hanging="360"/>
      </w:pPr>
      <w:rPr>
        <w:rFonts w:cs="Times New Roman"/>
      </w:rPr>
    </w:lvl>
    <w:lvl w:ilvl="5" w:tplc="300C001B" w:tentative="1">
      <w:start w:val="1"/>
      <w:numFmt w:val="lowerRoman"/>
      <w:lvlText w:val="%6."/>
      <w:lvlJc w:val="right"/>
      <w:pPr>
        <w:ind w:left="4320" w:hanging="180"/>
      </w:pPr>
      <w:rPr>
        <w:rFonts w:cs="Times New Roman"/>
      </w:rPr>
    </w:lvl>
    <w:lvl w:ilvl="6" w:tplc="300C000F" w:tentative="1">
      <w:start w:val="1"/>
      <w:numFmt w:val="decimal"/>
      <w:lvlText w:val="%7."/>
      <w:lvlJc w:val="left"/>
      <w:pPr>
        <w:ind w:left="5040" w:hanging="360"/>
      </w:pPr>
      <w:rPr>
        <w:rFonts w:cs="Times New Roman"/>
      </w:rPr>
    </w:lvl>
    <w:lvl w:ilvl="7" w:tplc="300C0019" w:tentative="1">
      <w:start w:val="1"/>
      <w:numFmt w:val="lowerLetter"/>
      <w:lvlText w:val="%8."/>
      <w:lvlJc w:val="left"/>
      <w:pPr>
        <w:ind w:left="5760" w:hanging="360"/>
      </w:pPr>
      <w:rPr>
        <w:rFonts w:cs="Times New Roman"/>
      </w:rPr>
    </w:lvl>
    <w:lvl w:ilvl="8" w:tplc="300C001B" w:tentative="1">
      <w:start w:val="1"/>
      <w:numFmt w:val="lowerRoman"/>
      <w:lvlText w:val="%9."/>
      <w:lvlJc w:val="right"/>
      <w:pPr>
        <w:ind w:left="6480" w:hanging="180"/>
      </w:pPr>
      <w:rPr>
        <w:rFonts w:cs="Times New Roman"/>
      </w:rPr>
    </w:lvl>
  </w:abstractNum>
  <w:abstractNum w:abstractNumId="5" w15:restartNumberingAfterBreak="0">
    <w:nsid w:val="642C3B19"/>
    <w:multiLevelType w:val="hybridMultilevel"/>
    <w:tmpl w:val="968E4458"/>
    <w:lvl w:ilvl="0" w:tplc="3A681E66">
      <w:start w:val="2"/>
      <w:numFmt w:val="bullet"/>
      <w:lvlText w:val="-"/>
      <w:lvlJc w:val="left"/>
      <w:pPr>
        <w:ind w:left="720" w:hanging="360"/>
      </w:pPr>
      <w:rPr>
        <w:rFonts w:ascii="Times New Roman" w:eastAsia="Times New Roman" w:hAnsi="Times New Roman" w:hint="default"/>
        <w:color w:val="auto"/>
      </w:rPr>
    </w:lvl>
    <w:lvl w:ilvl="1" w:tplc="300C0003" w:tentative="1">
      <w:start w:val="1"/>
      <w:numFmt w:val="bullet"/>
      <w:lvlText w:val="o"/>
      <w:lvlJc w:val="left"/>
      <w:pPr>
        <w:ind w:left="1440" w:hanging="360"/>
      </w:pPr>
      <w:rPr>
        <w:rFonts w:ascii="Courier New" w:hAnsi="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6" w15:restartNumberingAfterBreak="0">
    <w:nsid w:val="65594D25"/>
    <w:multiLevelType w:val="singleLevel"/>
    <w:tmpl w:val="65594D25"/>
    <w:lvl w:ilvl="0">
      <w:start w:val="1"/>
      <w:numFmt w:val="bullet"/>
      <w:pStyle w:val="ListBullet"/>
      <w:lvlText w:val=""/>
      <w:lvlJc w:val="left"/>
      <w:pPr>
        <w:tabs>
          <w:tab w:val="left" w:pos="360"/>
        </w:tabs>
        <w:ind w:left="360" w:hanging="360"/>
      </w:pPr>
      <w:rPr>
        <w:rFonts w:ascii="Wingdings" w:hAnsi="Wingdings" w:hint="default"/>
      </w:rPr>
    </w:lvl>
  </w:abstractNum>
  <w:num w:numId="1" w16cid:durableId="1946571281">
    <w:abstractNumId w:val="0"/>
  </w:num>
  <w:num w:numId="2" w16cid:durableId="95251496">
    <w:abstractNumId w:val="6"/>
  </w:num>
  <w:num w:numId="3" w16cid:durableId="1315571728">
    <w:abstractNumId w:val="2"/>
  </w:num>
  <w:num w:numId="4" w16cid:durableId="1893735843">
    <w:abstractNumId w:val="3"/>
  </w:num>
  <w:num w:numId="5" w16cid:durableId="932972867">
    <w:abstractNumId w:val="1"/>
  </w:num>
  <w:num w:numId="6" w16cid:durableId="239409647">
    <w:abstractNumId w:val="4"/>
  </w:num>
  <w:num w:numId="7" w16cid:durableId="755786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defaultTabStop w:val="709"/>
  <w:autoHyphenation/>
  <w:hyphenationZone w:val="425"/>
  <w:noPunctuationKerning/>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0"/>
  </w:compat>
  <w:rsids>
    <w:rsidRoot w:val="008F1C8E"/>
    <w:rsid w:val="00000217"/>
    <w:rsid w:val="000006D9"/>
    <w:rsid w:val="000013CE"/>
    <w:rsid w:val="0000154A"/>
    <w:rsid w:val="000029F1"/>
    <w:rsid w:val="00002C67"/>
    <w:rsid w:val="000105D0"/>
    <w:rsid w:val="00010A1E"/>
    <w:rsid w:val="00010E50"/>
    <w:rsid w:val="00011646"/>
    <w:rsid w:val="00011A2D"/>
    <w:rsid w:val="00012BB2"/>
    <w:rsid w:val="00012E86"/>
    <w:rsid w:val="00013744"/>
    <w:rsid w:val="000145B5"/>
    <w:rsid w:val="00015CA9"/>
    <w:rsid w:val="00016AEE"/>
    <w:rsid w:val="00020EAF"/>
    <w:rsid w:val="0002238D"/>
    <w:rsid w:val="00022EFC"/>
    <w:rsid w:val="0002337E"/>
    <w:rsid w:val="00026F2E"/>
    <w:rsid w:val="00027A21"/>
    <w:rsid w:val="000301D5"/>
    <w:rsid w:val="00030C37"/>
    <w:rsid w:val="00031920"/>
    <w:rsid w:val="0003333B"/>
    <w:rsid w:val="00033A81"/>
    <w:rsid w:val="00033ED4"/>
    <w:rsid w:val="000345A4"/>
    <w:rsid w:val="00034C2C"/>
    <w:rsid w:val="00037D92"/>
    <w:rsid w:val="00040CC9"/>
    <w:rsid w:val="0004116E"/>
    <w:rsid w:val="000439D6"/>
    <w:rsid w:val="000439FF"/>
    <w:rsid w:val="00046C7B"/>
    <w:rsid w:val="00047017"/>
    <w:rsid w:val="0004702F"/>
    <w:rsid w:val="000478BB"/>
    <w:rsid w:val="00047ECC"/>
    <w:rsid w:val="000502B5"/>
    <w:rsid w:val="0005047C"/>
    <w:rsid w:val="000522FE"/>
    <w:rsid w:val="000526F2"/>
    <w:rsid w:val="000552F5"/>
    <w:rsid w:val="00055FFE"/>
    <w:rsid w:val="0005732E"/>
    <w:rsid w:val="00061587"/>
    <w:rsid w:val="00062E20"/>
    <w:rsid w:val="00062E65"/>
    <w:rsid w:val="0006718C"/>
    <w:rsid w:val="000679C6"/>
    <w:rsid w:val="00070C6A"/>
    <w:rsid w:val="00071616"/>
    <w:rsid w:val="000739DD"/>
    <w:rsid w:val="000751FB"/>
    <w:rsid w:val="00076DF6"/>
    <w:rsid w:val="00077377"/>
    <w:rsid w:val="00077967"/>
    <w:rsid w:val="0008200D"/>
    <w:rsid w:val="0008222B"/>
    <w:rsid w:val="000841EF"/>
    <w:rsid w:val="000854C2"/>
    <w:rsid w:val="0009311E"/>
    <w:rsid w:val="00096AD5"/>
    <w:rsid w:val="00096FC1"/>
    <w:rsid w:val="00097DF4"/>
    <w:rsid w:val="000A0042"/>
    <w:rsid w:val="000A0A27"/>
    <w:rsid w:val="000A2393"/>
    <w:rsid w:val="000A3C52"/>
    <w:rsid w:val="000A5358"/>
    <w:rsid w:val="000A5EC9"/>
    <w:rsid w:val="000A7937"/>
    <w:rsid w:val="000B0681"/>
    <w:rsid w:val="000B0B25"/>
    <w:rsid w:val="000B0E8C"/>
    <w:rsid w:val="000B13DC"/>
    <w:rsid w:val="000B3DAE"/>
    <w:rsid w:val="000B6360"/>
    <w:rsid w:val="000C1CA8"/>
    <w:rsid w:val="000C5106"/>
    <w:rsid w:val="000C578C"/>
    <w:rsid w:val="000C57FF"/>
    <w:rsid w:val="000C5F35"/>
    <w:rsid w:val="000C6685"/>
    <w:rsid w:val="000C6912"/>
    <w:rsid w:val="000D01A8"/>
    <w:rsid w:val="000D426F"/>
    <w:rsid w:val="000D4ADA"/>
    <w:rsid w:val="000D6379"/>
    <w:rsid w:val="000D7B4C"/>
    <w:rsid w:val="000E07E9"/>
    <w:rsid w:val="000E0D49"/>
    <w:rsid w:val="000E2C7C"/>
    <w:rsid w:val="000E3FBC"/>
    <w:rsid w:val="000E4510"/>
    <w:rsid w:val="000E465C"/>
    <w:rsid w:val="000E6E70"/>
    <w:rsid w:val="000E7F2E"/>
    <w:rsid w:val="000F087B"/>
    <w:rsid w:val="000F0F04"/>
    <w:rsid w:val="000F199F"/>
    <w:rsid w:val="000F256F"/>
    <w:rsid w:val="000F4411"/>
    <w:rsid w:val="000F492B"/>
    <w:rsid w:val="000F67D9"/>
    <w:rsid w:val="000F71F0"/>
    <w:rsid w:val="000F7613"/>
    <w:rsid w:val="0010187B"/>
    <w:rsid w:val="00103370"/>
    <w:rsid w:val="00103921"/>
    <w:rsid w:val="00107573"/>
    <w:rsid w:val="00110041"/>
    <w:rsid w:val="00112841"/>
    <w:rsid w:val="00112857"/>
    <w:rsid w:val="001140D1"/>
    <w:rsid w:val="0011414B"/>
    <w:rsid w:val="001159F1"/>
    <w:rsid w:val="00117294"/>
    <w:rsid w:val="00122CE6"/>
    <w:rsid w:val="001245ED"/>
    <w:rsid w:val="00124774"/>
    <w:rsid w:val="00125246"/>
    <w:rsid w:val="001303E6"/>
    <w:rsid w:val="00131313"/>
    <w:rsid w:val="001317E0"/>
    <w:rsid w:val="00132398"/>
    <w:rsid w:val="00135F10"/>
    <w:rsid w:val="00136CD5"/>
    <w:rsid w:val="001424E6"/>
    <w:rsid w:val="00142A5A"/>
    <w:rsid w:val="00144B6E"/>
    <w:rsid w:val="00144CAB"/>
    <w:rsid w:val="00144DE7"/>
    <w:rsid w:val="00144E1A"/>
    <w:rsid w:val="00145BA8"/>
    <w:rsid w:val="00150512"/>
    <w:rsid w:val="00150D44"/>
    <w:rsid w:val="00151223"/>
    <w:rsid w:val="00151CB4"/>
    <w:rsid w:val="00152364"/>
    <w:rsid w:val="0015271A"/>
    <w:rsid w:val="00154D63"/>
    <w:rsid w:val="001571A9"/>
    <w:rsid w:val="00164C37"/>
    <w:rsid w:val="00165AED"/>
    <w:rsid w:val="00170345"/>
    <w:rsid w:val="00172F91"/>
    <w:rsid w:val="00173175"/>
    <w:rsid w:val="0017755C"/>
    <w:rsid w:val="00177EA9"/>
    <w:rsid w:val="001808E3"/>
    <w:rsid w:val="001830ED"/>
    <w:rsid w:val="00183917"/>
    <w:rsid w:val="0018424A"/>
    <w:rsid w:val="001848D2"/>
    <w:rsid w:val="00184E23"/>
    <w:rsid w:val="00184F82"/>
    <w:rsid w:val="00185067"/>
    <w:rsid w:val="00186AB7"/>
    <w:rsid w:val="00190F87"/>
    <w:rsid w:val="00197BEA"/>
    <w:rsid w:val="00197ED5"/>
    <w:rsid w:val="001A0531"/>
    <w:rsid w:val="001A2C5E"/>
    <w:rsid w:val="001A35B2"/>
    <w:rsid w:val="001A3866"/>
    <w:rsid w:val="001A397F"/>
    <w:rsid w:val="001B2E85"/>
    <w:rsid w:val="001B3530"/>
    <w:rsid w:val="001B4082"/>
    <w:rsid w:val="001B5070"/>
    <w:rsid w:val="001B5CF9"/>
    <w:rsid w:val="001B6836"/>
    <w:rsid w:val="001B7827"/>
    <w:rsid w:val="001C1253"/>
    <w:rsid w:val="001C15FD"/>
    <w:rsid w:val="001C186D"/>
    <w:rsid w:val="001C20AE"/>
    <w:rsid w:val="001C3D8B"/>
    <w:rsid w:val="001C7012"/>
    <w:rsid w:val="001C7DA1"/>
    <w:rsid w:val="001D0585"/>
    <w:rsid w:val="001D188A"/>
    <w:rsid w:val="001D1BFE"/>
    <w:rsid w:val="001D2CB7"/>
    <w:rsid w:val="001D4680"/>
    <w:rsid w:val="001D6507"/>
    <w:rsid w:val="001D7798"/>
    <w:rsid w:val="001D77FA"/>
    <w:rsid w:val="001D7AC2"/>
    <w:rsid w:val="001E110D"/>
    <w:rsid w:val="001E1BFF"/>
    <w:rsid w:val="001E1E79"/>
    <w:rsid w:val="001E2062"/>
    <w:rsid w:val="001E2CA0"/>
    <w:rsid w:val="001E2CD3"/>
    <w:rsid w:val="001E6371"/>
    <w:rsid w:val="001F1797"/>
    <w:rsid w:val="001F2188"/>
    <w:rsid w:val="001F3B16"/>
    <w:rsid w:val="001F467C"/>
    <w:rsid w:val="001F6BAF"/>
    <w:rsid w:val="001F6DA5"/>
    <w:rsid w:val="001F7B54"/>
    <w:rsid w:val="001F7CBA"/>
    <w:rsid w:val="0020097D"/>
    <w:rsid w:val="00202D22"/>
    <w:rsid w:val="002032D6"/>
    <w:rsid w:val="002036D3"/>
    <w:rsid w:val="00205D7A"/>
    <w:rsid w:val="00205EB3"/>
    <w:rsid w:val="00206637"/>
    <w:rsid w:val="0020751D"/>
    <w:rsid w:val="0021122E"/>
    <w:rsid w:val="002116D3"/>
    <w:rsid w:val="00215546"/>
    <w:rsid w:val="0021664D"/>
    <w:rsid w:val="00217C6F"/>
    <w:rsid w:val="002211E4"/>
    <w:rsid w:val="00224263"/>
    <w:rsid w:val="00224A3E"/>
    <w:rsid w:val="00227CF7"/>
    <w:rsid w:val="002306C7"/>
    <w:rsid w:val="00230C28"/>
    <w:rsid w:val="00231779"/>
    <w:rsid w:val="00233A53"/>
    <w:rsid w:val="00233FB3"/>
    <w:rsid w:val="00235B51"/>
    <w:rsid w:val="00241F8F"/>
    <w:rsid w:val="00242DDC"/>
    <w:rsid w:val="002430C7"/>
    <w:rsid w:val="00253254"/>
    <w:rsid w:val="002532F2"/>
    <w:rsid w:val="00253BDD"/>
    <w:rsid w:val="00254EEC"/>
    <w:rsid w:val="002553B6"/>
    <w:rsid w:val="002564DE"/>
    <w:rsid w:val="00256AF2"/>
    <w:rsid w:val="00257C86"/>
    <w:rsid w:val="002604A7"/>
    <w:rsid w:val="002618CC"/>
    <w:rsid w:val="00261D53"/>
    <w:rsid w:val="00263143"/>
    <w:rsid w:val="002634EF"/>
    <w:rsid w:val="00263779"/>
    <w:rsid w:val="00263BCC"/>
    <w:rsid w:val="00263E2A"/>
    <w:rsid w:val="00264BA3"/>
    <w:rsid w:val="002677C3"/>
    <w:rsid w:val="00270CBF"/>
    <w:rsid w:val="00271CF4"/>
    <w:rsid w:val="00272680"/>
    <w:rsid w:val="00272796"/>
    <w:rsid w:val="00272ED9"/>
    <w:rsid w:val="0027549F"/>
    <w:rsid w:val="00281F64"/>
    <w:rsid w:val="00281FD1"/>
    <w:rsid w:val="0028431A"/>
    <w:rsid w:val="00291DE3"/>
    <w:rsid w:val="00292092"/>
    <w:rsid w:val="0029436B"/>
    <w:rsid w:val="002959C8"/>
    <w:rsid w:val="00296996"/>
    <w:rsid w:val="00296F82"/>
    <w:rsid w:val="0029791D"/>
    <w:rsid w:val="002A3A7D"/>
    <w:rsid w:val="002A4D47"/>
    <w:rsid w:val="002A5A5A"/>
    <w:rsid w:val="002A6678"/>
    <w:rsid w:val="002A707E"/>
    <w:rsid w:val="002A727E"/>
    <w:rsid w:val="002B0CCD"/>
    <w:rsid w:val="002B26E2"/>
    <w:rsid w:val="002B32A8"/>
    <w:rsid w:val="002B393D"/>
    <w:rsid w:val="002B5868"/>
    <w:rsid w:val="002B66AF"/>
    <w:rsid w:val="002B66F2"/>
    <w:rsid w:val="002B7CE0"/>
    <w:rsid w:val="002B7F45"/>
    <w:rsid w:val="002C03CA"/>
    <w:rsid w:val="002C0731"/>
    <w:rsid w:val="002C3A35"/>
    <w:rsid w:val="002C4709"/>
    <w:rsid w:val="002C5F59"/>
    <w:rsid w:val="002C677F"/>
    <w:rsid w:val="002D3314"/>
    <w:rsid w:val="002D3C46"/>
    <w:rsid w:val="002D4538"/>
    <w:rsid w:val="002D5793"/>
    <w:rsid w:val="002E10E8"/>
    <w:rsid w:val="002E1E29"/>
    <w:rsid w:val="002E280E"/>
    <w:rsid w:val="002E47E2"/>
    <w:rsid w:val="002E7B1F"/>
    <w:rsid w:val="002F3BAE"/>
    <w:rsid w:val="002F528B"/>
    <w:rsid w:val="003009D2"/>
    <w:rsid w:val="00303001"/>
    <w:rsid w:val="003039DF"/>
    <w:rsid w:val="00303BE9"/>
    <w:rsid w:val="00303C86"/>
    <w:rsid w:val="00305703"/>
    <w:rsid w:val="00305A93"/>
    <w:rsid w:val="00306265"/>
    <w:rsid w:val="00307F37"/>
    <w:rsid w:val="003125BE"/>
    <w:rsid w:val="0031311B"/>
    <w:rsid w:val="003136E2"/>
    <w:rsid w:val="00314AAA"/>
    <w:rsid w:val="00314CE9"/>
    <w:rsid w:val="00320FA2"/>
    <w:rsid w:val="003211BF"/>
    <w:rsid w:val="00321EFB"/>
    <w:rsid w:val="0032391F"/>
    <w:rsid w:val="00324710"/>
    <w:rsid w:val="0032517C"/>
    <w:rsid w:val="00325F3C"/>
    <w:rsid w:val="00327A8F"/>
    <w:rsid w:val="0033028A"/>
    <w:rsid w:val="00330519"/>
    <w:rsid w:val="00337A3E"/>
    <w:rsid w:val="00340CF8"/>
    <w:rsid w:val="00340D3C"/>
    <w:rsid w:val="00341071"/>
    <w:rsid w:val="00344A7A"/>
    <w:rsid w:val="00344F4D"/>
    <w:rsid w:val="003504A6"/>
    <w:rsid w:val="00351430"/>
    <w:rsid w:val="003522AB"/>
    <w:rsid w:val="003525D2"/>
    <w:rsid w:val="00355071"/>
    <w:rsid w:val="0036006B"/>
    <w:rsid w:val="00360123"/>
    <w:rsid w:val="00361B3A"/>
    <w:rsid w:val="00364759"/>
    <w:rsid w:val="003661FD"/>
    <w:rsid w:val="00366828"/>
    <w:rsid w:val="0037342D"/>
    <w:rsid w:val="0037344C"/>
    <w:rsid w:val="00373CEF"/>
    <w:rsid w:val="00374F9F"/>
    <w:rsid w:val="00376720"/>
    <w:rsid w:val="00377CB9"/>
    <w:rsid w:val="0038012C"/>
    <w:rsid w:val="00381F2B"/>
    <w:rsid w:val="00382601"/>
    <w:rsid w:val="00383473"/>
    <w:rsid w:val="00383663"/>
    <w:rsid w:val="00383F4F"/>
    <w:rsid w:val="003842D5"/>
    <w:rsid w:val="00384973"/>
    <w:rsid w:val="00384A65"/>
    <w:rsid w:val="00385596"/>
    <w:rsid w:val="00386530"/>
    <w:rsid w:val="00390490"/>
    <w:rsid w:val="003927ED"/>
    <w:rsid w:val="00392D28"/>
    <w:rsid w:val="0039353C"/>
    <w:rsid w:val="00395DD1"/>
    <w:rsid w:val="003A061E"/>
    <w:rsid w:val="003A0C92"/>
    <w:rsid w:val="003A1665"/>
    <w:rsid w:val="003A4694"/>
    <w:rsid w:val="003A5217"/>
    <w:rsid w:val="003A5278"/>
    <w:rsid w:val="003B4A0C"/>
    <w:rsid w:val="003C0BDB"/>
    <w:rsid w:val="003C0CD0"/>
    <w:rsid w:val="003C1194"/>
    <w:rsid w:val="003C28C5"/>
    <w:rsid w:val="003C4333"/>
    <w:rsid w:val="003C531F"/>
    <w:rsid w:val="003C6DA7"/>
    <w:rsid w:val="003C6E57"/>
    <w:rsid w:val="003C7CC3"/>
    <w:rsid w:val="003C7DD2"/>
    <w:rsid w:val="003C7E79"/>
    <w:rsid w:val="003D039B"/>
    <w:rsid w:val="003D23CC"/>
    <w:rsid w:val="003D2C35"/>
    <w:rsid w:val="003D304A"/>
    <w:rsid w:val="003D4E13"/>
    <w:rsid w:val="003E24E6"/>
    <w:rsid w:val="003E303D"/>
    <w:rsid w:val="003E3188"/>
    <w:rsid w:val="003E4D35"/>
    <w:rsid w:val="003E4D5B"/>
    <w:rsid w:val="003E4E72"/>
    <w:rsid w:val="003F034E"/>
    <w:rsid w:val="003F0BDD"/>
    <w:rsid w:val="003F1F66"/>
    <w:rsid w:val="003F205D"/>
    <w:rsid w:val="003F541C"/>
    <w:rsid w:val="003F56AB"/>
    <w:rsid w:val="003F665B"/>
    <w:rsid w:val="003F70C2"/>
    <w:rsid w:val="003F7C4A"/>
    <w:rsid w:val="004008D8"/>
    <w:rsid w:val="0040109F"/>
    <w:rsid w:val="004017D1"/>
    <w:rsid w:val="00411249"/>
    <w:rsid w:val="004138CE"/>
    <w:rsid w:val="0041798C"/>
    <w:rsid w:val="0042003C"/>
    <w:rsid w:val="00421758"/>
    <w:rsid w:val="00423249"/>
    <w:rsid w:val="0042375A"/>
    <w:rsid w:val="0042386D"/>
    <w:rsid w:val="00423AD6"/>
    <w:rsid w:val="0042431A"/>
    <w:rsid w:val="00424985"/>
    <w:rsid w:val="004250E1"/>
    <w:rsid w:val="0042657F"/>
    <w:rsid w:val="004308AD"/>
    <w:rsid w:val="00430C05"/>
    <w:rsid w:val="00432838"/>
    <w:rsid w:val="00434B78"/>
    <w:rsid w:val="004355FF"/>
    <w:rsid w:val="00435EEB"/>
    <w:rsid w:val="00437CD3"/>
    <w:rsid w:val="00441B74"/>
    <w:rsid w:val="00444042"/>
    <w:rsid w:val="004468F2"/>
    <w:rsid w:val="00446F76"/>
    <w:rsid w:val="00450079"/>
    <w:rsid w:val="0045055F"/>
    <w:rsid w:val="0045454D"/>
    <w:rsid w:val="0045463B"/>
    <w:rsid w:val="00454CF2"/>
    <w:rsid w:val="00456B35"/>
    <w:rsid w:val="0046139C"/>
    <w:rsid w:val="00461C7E"/>
    <w:rsid w:val="00462A6B"/>
    <w:rsid w:val="004644E1"/>
    <w:rsid w:val="00466420"/>
    <w:rsid w:val="00467F9A"/>
    <w:rsid w:val="004705D1"/>
    <w:rsid w:val="004709D4"/>
    <w:rsid w:val="00474B5B"/>
    <w:rsid w:val="004760F9"/>
    <w:rsid w:val="0048189D"/>
    <w:rsid w:val="00481DB0"/>
    <w:rsid w:val="00482C9A"/>
    <w:rsid w:val="0048651F"/>
    <w:rsid w:val="00487E43"/>
    <w:rsid w:val="00491D77"/>
    <w:rsid w:val="00491E8F"/>
    <w:rsid w:val="00491F12"/>
    <w:rsid w:val="00493A4A"/>
    <w:rsid w:val="004944EA"/>
    <w:rsid w:val="00494FEA"/>
    <w:rsid w:val="004961EB"/>
    <w:rsid w:val="004A1180"/>
    <w:rsid w:val="004A3F59"/>
    <w:rsid w:val="004A4163"/>
    <w:rsid w:val="004A4E66"/>
    <w:rsid w:val="004A51E3"/>
    <w:rsid w:val="004A6E69"/>
    <w:rsid w:val="004A70F3"/>
    <w:rsid w:val="004A767D"/>
    <w:rsid w:val="004B2DC8"/>
    <w:rsid w:val="004B5694"/>
    <w:rsid w:val="004B5CD3"/>
    <w:rsid w:val="004B6425"/>
    <w:rsid w:val="004C22D0"/>
    <w:rsid w:val="004C2F9E"/>
    <w:rsid w:val="004C67E4"/>
    <w:rsid w:val="004C6FCE"/>
    <w:rsid w:val="004C794C"/>
    <w:rsid w:val="004C7E56"/>
    <w:rsid w:val="004D199D"/>
    <w:rsid w:val="004D436A"/>
    <w:rsid w:val="004D478C"/>
    <w:rsid w:val="004D4EA8"/>
    <w:rsid w:val="004D5C11"/>
    <w:rsid w:val="004D5CAA"/>
    <w:rsid w:val="004D6AB8"/>
    <w:rsid w:val="004D7572"/>
    <w:rsid w:val="004D7AD1"/>
    <w:rsid w:val="004E05BC"/>
    <w:rsid w:val="004E25B2"/>
    <w:rsid w:val="004E4466"/>
    <w:rsid w:val="004E5275"/>
    <w:rsid w:val="004F0007"/>
    <w:rsid w:val="004F0988"/>
    <w:rsid w:val="004F14CC"/>
    <w:rsid w:val="004F401C"/>
    <w:rsid w:val="004F50FC"/>
    <w:rsid w:val="004F5F2C"/>
    <w:rsid w:val="004F6A4B"/>
    <w:rsid w:val="004F6B3C"/>
    <w:rsid w:val="004F6C08"/>
    <w:rsid w:val="004F7011"/>
    <w:rsid w:val="00500396"/>
    <w:rsid w:val="00500434"/>
    <w:rsid w:val="00500A8D"/>
    <w:rsid w:val="005028A0"/>
    <w:rsid w:val="005029E3"/>
    <w:rsid w:val="005037AC"/>
    <w:rsid w:val="00505CD8"/>
    <w:rsid w:val="00507360"/>
    <w:rsid w:val="005078B8"/>
    <w:rsid w:val="00513AE0"/>
    <w:rsid w:val="00513CDC"/>
    <w:rsid w:val="00514FB2"/>
    <w:rsid w:val="00515E78"/>
    <w:rsid w:val="005176E2"/>
    <w:rsid w:val="00517AD5"/>
    <w:rsid w:val="00517B9B"/>
    <w:rsid w:val="00517C33"/>
    <w:rsid w:val="00521817"/>
    <w:rsid w:val="005224C6"/>
    <w:rsid w:val="0052273A"/>
    <w:rsid w:val="00522875"/>
    <w:rsid w:val="00522EEE"/>
    <w:rsid w:val="00531161"/>
    <w:rsid w:val="00532CDA"/>
    <w:rsid w:val="00532D81"/>
    <w:rsid w:val="00533055"/>
    <w:rsid w:val="005339E5"/>
    <w:rsid w:val="00536138"/>
    <w:rsid w:val="00536E5C"/>
    <w:rsid w:val="005379B5"/>
    <w:rsid w:val="00537DEA"/>
    <w:rsid w:val="00540768"/>
    <w:rsid w:val="00541EF0"/>
    <w:rsid w:val="00542507"/>
    <w:rsid w:val="00542FA6"/>
    <w:rsid w:val="005437B4"/>
    <w:rsid w:val="00543D1A"/>
    <w:rsid w:val="00544498"/>
    <w:rsid w:val="00547525"/>
    <w:rsid w:val="005507EB"/>
    <w:rsid w:val="00551C1B"/>
    <w:rsid w:val="00553E54"/>
    <w:rsid w:val="0055465F"/>
    <w:rsid w:val="0055496C"/>
    <w:rsid w:val="0055766F"/>
    <w:rsid w:val="0056049C"/>
    <w:rsid w:val="0056206D"/>
    <w:rsid w:val="00562583"/>
    <w:rsid w:val="00564831"/>
    <w:rsid w:val="005658DE"/>
    <w:rsid w:val="005674B8"/>
    <w:rsid w:val="00567D10"/>
    <w:rsid w:val="00570113"/>
    <w:rsid w:val="005710EB"/>
    <w:rsid w:val="005721DD"/>
    <w:rsid w:val="00573A76"/>
    <w:rsid w:val="00573F14"/>
    <w:rsid w:val="0057423E"/>
    <w:rsid w:val="00581219"/>
    <w:rsid w:val="005817C9"/>
    <w:rsid w:val="005829D8"/>
    <w:rsid w:val="00582EB2"/>
    <w:rsid w:val="00583C3B"/>
    <w:rsid w:val="005840A9"/>
    <w:rsid w:val="00584FA1"/>
    <w:rsid w:val="00585BEF"/>
    <w:rsid w:val="00586DD6"/>
    <w:rsid w:val="005871F5"/>
    <w:rsid w:val="005873FC"/>
    <w:rsid w:val="005921EB"/>
    <w:rsid w:val="00592310"/>
    <w:rsid w:val="00592E86"/>
    <w:rsid w:val="0059614C"/>
    <w:rsid w:val="005965CF"/>
    <w:rsid w:val="005A2020"/>
    <w:rsid w:val="005A2D92"/>
    <w:rsid w:val="005A7178"/>
    <w:rsid w:val="005A7B5A"/>
    <w:rsid w:val="005B279E"/>
    <w:rsid w:val="005B4298"/>
    <w:rsid w:val="005B622B"/>
    <w:rsid w:val="005B6813"/>
    <w:rsid w:val="005C29BD"/>
    <w:rsid w:val="005C4F20"/>
    <w:rsid w:val="005C75DB"/>
    <w:rsid w:val="005C7E32"/>
    <w:rsid w:val="005D1A0C"/>
    <w:rsid w:val="005D2721"/>
    <w:rsid w:val="005D3EC0"/>
    <w:rsid w:val="005D4AAB"/>
    <w:rsid w:val="005D6520"/>
    <w:rsid w:val="005D6935"/>
    <w:rsid w:val="005D7438"/>
    <w:rsid w:val="005D7F5B"/>
    <w:rsid w:val="005E2531"/>
    <w:rsid w:val="005E288E"/>
    <w:rsid w:val="005E31F5"/>
    <w:rsid w:val="005E3C91"/>
    <w:rsid w:val="005E4A76"/>
    <w:rsid w:val="005E6D95"/>
    <w:rsid w:val="005F2003"/>
    <w:rsid w:val="005F20AF"/>
    <w:rsid w:val="005F30A5"/>
    <w:rsid w:val="005F3A9E"/>
    <w:rsid w:val="005F4CB4"/>
    <w:rsid w:val="005F5888"/>
    <w:rsid w:val="005F612A"/>
    <w:rsid w:val="005F7271"/>
    <w:rsid w:val="005F781A"/>
    <w:rsid w:val="00600AB6"/>
    <w:rsid w:val="00602D98"/>
    <w:rsid w:val="006036C3"/>
    <w:rsid w:val="00604406"/>
    <w:rsid w:val="00607DD3"/>
    <w:rsid w:val="006123ED"/>
    <w:rsid w:val="006140FC"/>
    <w:rsid w:val="006151B7"/>
    <w:rsid w:val="006158AF"/>
    <w:rsid w:val="00617C58"/>
    <w:rsid w:val="00621A5C"/>
    <w:rsid w:val="00622BA1"/>
    <w:rsid w:val="006230C3"/>
    <w:rsid w:val="0062451C"/>
    <w:rsid w:val="00624677"/>
    <w:rsid w:val="006267AF"/>
    <w:rsid w:val="0063095C"/>
    <w:rsid w:val="00630CE9"/>
    <w:rsid w:val="006319DF"/>
    <w:rsid w:val="006322E3"/>
    <w:rsid w:val="00633839"/>
    <w:rsid w:val="00634C55"/>
    <w:rsid w:val="00636B24"/>
    <w:rsid w:val="00636D3F"/>
    <w:rsid w:val="00640739"/>
    <w:rsid w:val="00640889"/>
    <w:rsid w:val="00642C99"/>
    <w:rsid w:val="006456A0"/>
    <w:rsid w:val="006509D1"/>
    <w:rsid w:val="00654A7D"/>
    <w:rsid w:val="00655335"/>
    <w:rsid w:val="00655CA8"/>
    <w:rsid w:val="00655E3F"/>
    <w:rsid w:val="00656399"/>
    <w:rsid w:val="00656B08"/>
    <w:rsid w:val="00657002"/>
    <w:rsid w:val="00657C6F"/>
    <w:rsid w:val="00660948"/>
    <w:rsid w:val="00663503"/>
    <w:rsid w:val="00663FEF"/>
    <w:rsid w:val="00664021"/>
    <w:rsid w:val="00665809"/>
    <w:rsid w:val="006662E2"/>
    <w:rsid w:val="00666CAD"/>
    <w:rsid w:val="006673D7"/>
    <w:rsid w:val="0067229A"/>
    <w:rsid w:val="00673BC7"/>
    <w:rsid w:val="00676421"/>
    <w:rsid w:val="00677042"/>
    <w:rsid w:val="00677478"/>
    <w:rsid w:val="00680134"/>
    <w:rsid w:val="00681870"/>
    <w:rsid w:val="00681CC3"/>
    <w:rsid w:val="006828F0"/>
    <w:rsid w:val="00683087"/>
    <w:rsid w:val="006839DE"/>
    <w:rsid w:val="00685873"/>
    <w:rsid w:val="006862AC"/>
    <w:rsid w:val="00687158"/>
    <w:rsid w:val="0068772B"/>
    <w:rsid w:val="00690636"/>
    <w:rsid w:val="00692289"/>
    <w:rsid w:val="00692802"/>
    <w:rsid w:val="006929DC"/>
    <w:rsid w:val="00692CB3"/>
    <w:rsid w:val="006933DD"/>
    <w:rsid w:val="0069341A"/>
    <w:rsid w:val="00696774"/>
    <w:rsid w:val="00696947"/>
    <w:rsid w:val="006978D6"/>
    <w:rsid w:val="006A0159"/>
    <w:rsid w:val="006A062F"/>
    <w:rsid w:val="006A1685"/>
    <w:rsid w:val="006A2704"/>
    <w:rsid w:val="006A31D1"/>
    <w:rsid w:val="006A377A"/>
    <w:rsid w:val="006A3E79"/>
    <w:rsid w:val="006A5C52"/>
    <w:rsid w:val="006A6AAE"/>
    <w:rsid w:val="006A7E3B"/>
    <w:rsid w:val="006A7E74"/>
    <w:rsid w:val="006B060F"/>
    <w:rsid w:val="006B1288"/>
    <w:rsid w:val="006B1F33"/>
    <w:rsid w:val="006B2C30"/>
    <w:rsid w:val="006B428B"/>
    <w:rsid w:val="006B47FB"/>
    <w:rsid w:val="006B6117"/>
    <w:rsid w:val="006B67C8"/>
    <w:rsid w:val="006B6CD8"/>
    <w:rsid w:val="006C165D"/>
    <w:rsid w:val="006C1DF2"/>
    <w:rsid w:val="006C3195"/>
    <w:rsid w:val="006C41D9"/>
    <w:rsid w:val="006C535E"/>
    <w:rsid w:val="006C5DFB"/>
    <w:rsid w:val="006C654C"/>
    <w:rsid w:val="006C71D4"/>
    <w:rsid w:val="006C738F"/>
    <w:rsid w:val="006C740C"/>
    <w:rsid w:val="006D0333"/>
    <w:rsid w:val="006D1C9E"/>
    <w:rsid w:val="006D2E07"/>
    <w:rsid w:val="006D38D0"/>
    <w:rsid w:val="006D4D84"/>
    <w:rsid w:val="006D5976"/>
    <w:rsid w:val="006D69C7"/>
    <w:rsid w:val="006D6EE6"/>
    <w:rsid w:val="006D765F"/>
    <w:rsid w:val="006E0140"/>
    <w:rsid w:val="006E03BC"/>
    <w:rsid w:val="006E17D8"/>
    <w:rsid w:val="006E46BF"/>
    <w:rsid w:val="006E5441"/>
    <w:rsid w:val="006E6BE5"/>
    <w:rsid w:val="006F1915"/>
    <w:rsid w:val="006F59AD"/>
    <w:rsid w:val="006F59FB"/>
    <w:rsid w:val="006F5D50"/>
    <w:rsid w:val="006F5F80"/>
    <w:rsid w:val="006F6829"/>
    <w:rsid w:val="0070028E"/>
    <w:rsid w:val="00701E2B"/>
    <w:rsid w:val="00702657"/>
    <w:rsid w:val="007035B9"/>
    <w:rsid w:val="00703CFC"/>
    <w:rsid w:val="00704849"/>
    <w:rsid w:val="007073F7"/>
    <w:rsid w:val="00711FFC"/>
    <w:rsid w:val="00712FB2"/>
    <w:rsid w:val="0071306C"/>
    <w:rsid w:val="00713EEF"/>
    <w:rsid w:val="00714C9F"/>
    <w:rsid w:val="007150DE"/>
    <w:rsid w:val="00720E2D"/>
    <w:rsid w:val="00723854"/>
    <w:rsid w:val="00723CEB"/>
    <w:rsid w:val="00724CC9"/>
    <w:rsid w:val="0072508B"/>
    <w:rsid w:val="00732059"/>
    <w:rsid w:val="0073224C"/>
    <w:rsid w:val="00733058"/>
    <w:rsid w:val="00734DD6"/>
    <w:rsid w:val="00736088"/>
    <w:rsid w:val="0073623E"/>
    <w:rsid w:val="0073634A"/>
    <w:rsid w:val="0073665C"/>
    <w:rsid w:val="0074070E"/>
    <w:rsid w:val="00740A5A"/>
    <w:rsid w:val="00740DD7"/>
    <w:rsid w:val="007413BF"/>
    <w:rsid w:val="00742D9F"/>
    <w:rsid w:val="00744E8B"/>
    <w:rsid w:val="007453C2"/>
    <w:rsid w:val="00746673"/>
    <w:rsid w:val="00751C16"/>
    <w:rsid w:val="00752782"/>
    <w:rsid w:val="00753191"/>
    <w:rsid w:val="007533D1"/>
    <w:rsid w:val="00755331"/>
    <w:rsid w:val="007601D4"/>
    <w:rsid w:val="00760C6C"/>
    <w:rsid w:val="00763CCD"/>
    <w:rsid w:val="00763DC0"/>
    <w:rsid w:val="00763F5C"/>
    <w:rsid w:val="00765143"/>
    <w:rsid w:val="0076624B"/>
    <w:rsid w:val="00766CE4"/>
    <w:rsid w:val="007675D4"/>
    <w:rsid w:val="00767B10"/>
    <w:rsid w:val="00767DC8"/>
    <w:rsid w:val="0077194E"/>
    <w:rsid w:val="00773881"/>
    <w:rsid w:val="0077595E"/>
    <w:rsid w:val="00775BDA"/>
    <w:rsid w:val="00775D7D"/>
    <w:rsid w:val="0077625D"/>
    <w:rsid w:val="007764CC"/>
    <w:rsid w:val="00780FC7"/>
    <w:rsid w:val="00783F7F"/>
    <w:rsid w:val="0079296F"/>
    <w:rsid w:val="00795FC7"/>
    <w:rsid w:val="00796CEF"/>
    <w:rsid w:val="00797153"/>
    <w:rsid w:val="007A0ADC"/>
    <w:rsid w:val="007A14E6"/>
    <w:rsid w:val="007A427D"/>
    <w:rsid w:val="007A6232"/>
    <w:rsid w:val="007B0124"/>
    <w:rsid w:val="007B26CB"/>
    <w:rsid w:val="007B46B3"/>
    <w:rsid w:val="007B5599"/>
    <w:rsid w:val="007B62A3"/>
    <w:rsid w:val="007B690A"/>
    <w:rsid w:val="007C1C65"/>
    <w:rsid w:val="007C1EDC"/>
    <w:rsid w:val="007C30B1"/>
    <w:rsid w:val="007C375B"/>
    <w:rsid w:val="007C4833"/>
    <w:rsid w:val="007C6B1D"/>
    <w:rsid w:val="007C7C82"/>
    <w:rsid w:val="007D05EC"/>
    <w:rsid w:val="007D06B7"/>
    <w:rsid w:val="007D2258"/>
    <w:rsid w:val="007D416B"/>
    <w:rsid w:val="007D4181"/>
    <w:rsid w:val="007D6C5D"/>
    <w:rsid w:val="007D71E8"/>
    <w:rsid w:val="007E00B0"/>
    <w:rsid w:val="007E0F99"/>
    <w:rsid w:val="007E2425"/>
    <w:rsid w:val="007E2C3D"/>
    <w:rsid w:val="007E35D7"/>
    <w:rsid w:val="007E5A91"/>
    <w:rsid w:val="007F036D"/>
    <w:rsid w:val="007F356B"/>
    <w:rsid w:val="007F4122"/>
    <w:rsid w:val="007F7D36"/>
    <w:rsid w:val="008014F6"/>
    <w:rsid w:val="00801592"/>
    <w:rsid w:val="00801EB7"/>
    <w:rsid w:val="00802940"/>
    <w:rsid w:val="00802F8D"/>
    <w:rsid w:val="00803B17"/>
    <w:rsid w:val="00804690"/>
    <w:rsid w:val="00804D11"/>
    <w:rsid w:val="008057C5"/>
    <w:rsid w:val="00805854"/>
    <w:rsid w:val="00805883"/>
    <w:rsid w:val="008075EA"/>
    <w:rsid w:val="00807652"/>
    <w:rsid w:val="008079DB"/>
    <w:rsid w:val="008125B1"/>
    <w:rsid w:val="00813D7C"/>
    <w:rsid w:val="008153C3"/>
    <w:rsid w:val="00815AF4"/>
    <w:rsid w:val="00815C6D"/>
    <w:rsid w:val="00820C70"/>
    <w:rsid w:val="00821A98"/>
    <w:rsid w:val="00821C68"/>
    <w:rsid w:val="00822C2F"/>
    <w:rsid w:val="00823055"/>
    <w:rsid w:val="008233C5"/>
    <w:rsid w:val="0082365D"/>
    <w:rsid w:val="00824BE2"/>
    <w:rsid w:val="0082533C"/>
    <w:rsid w:val="008264E3"/>
    <w:rsid w:val="0082669F"/>
    <w:rsid w:val="008277A1"/>
    <w:rsid w:val="00827F3F"/>
    <w:rsid w:val="008309B8"/>
    <w:rsid w:val="00831844"/>
    <w:rsid w:val="00833ED0"/>
    <w:rsid w:val="008361A2"/>
    <w:rsid w:val="0083683C"/>
    <w:rsid w:val="0083792A"/>
    <w:rsid w:val="00837ED4"/>
    <w:rsid w:val="00840D8D"/>
    <w:rsid w:val="00842FDE"/>
    <w:rsid w:val="00843359"/>
    <w:rsid w:val="0084376C"/>
    <w:rsid w:val="00843928"/>
    <w:rsid w:val="008440D1"/>
    <w:rsid w:val="00844683"/>
    <w:rsid w:val="0084601D"/>
    <w:rsid w:val="00846DA4"/>
    <w:rsid w:val="00847AAE"/>
    <w:rsid w:val="00850EF7"/>
    <w:rsid w:val="0085242A"/>
    <w:rsid w:val="008527D9"/>
    <w:rsid w:val="008539E5"/>
    <w:rsid w:val="00854260"/>
    <w:rsid w:val="008543F6"/>
    <w:rsid w:val="0085465E"/>
    <w:rsid w:val="00856784"/>
    <w:rsid w:val="00856B60"/>
    <w:rsid w:val="00857698"/>
    <w:rsid w:val="00857ABA"/>
    <w:rsid w:val="00857B50"/>
    <w:rsid w:val="0086244F"/>
    <w:rsid w:val="00862BC5"/>
    <w:rsid w:val="00864937"/>
    <w:rsid w:val="008702A0"/>
    <w:rsid w:val="0087099B"/>
    <w:rsid w:val="00871E68"/>
    <w:rsid w:val="00873851"/>
    <w:rsid w:val="00880874"/>
    <w:rsid w:val="00880D0B"/>
    <w:rsid w:val="00881185"/>
    <w:rsid w:val="00881A2B"/>
    <w:rsid w:val="00881E67"/>
    <w:rsid w:val="00881FC5"/>
    <w:rsid w:val="00882D27"/>
    <w:rsid w:val="00885064"/>
    <w:rsid w:val="00885709"/>
    <w:rsid w:val="00886644"/>
    <w:rsid w:val="00890AF4"/>
    <w:rsid w:val="00890F07"/>
    <w:rsid w:val="0089245F"/>
    <w:rsid w:val="0089357C"/>
    <w:rsid w:val="00893E3A"/>
    <w:rsid w:val="008A2579"/>
    <w:rsid w:val="008A35BA"/>
    <w:rsid w:val="008A5FC4"/>
    <w:rsid w:val="008A66AC"/>
    <w:rsid w:val="008A708E"/>
    <w:rsid w:val="008B0765"/>
    <w:rsid w:val="008B39C6"/>
    <w:rsid w:val="008B51B0"/>
    <w:rsid w:val="008B7648"/>
    <w:rsid w:val="008C012B"/>
    <w:rsid w:val="008C7C9D"/>
    <w:rsid w:val="008D18A5"/>
    <w:rsid w:val="008D4E5E"/>
    <w:rsid w:val="008D5A23"/>
    <w:rsid w:val="008E267F"/>
    <w:rsid w:val="008E33E3"/>
    <w:rsid w:val="008E5611"/>
    <w:rsid w:val="008E5F6C"/>
    <w:rsid w:val="008E602D"/>
    <w:rsid w:val="008E6266"/>
    <w:rsid w:val="008E7DE2"/>
    <w:rsid w:val="008F1087"/>
    <w:rsid w:val="008F1C8E"/>
    <w:rsid w:val="008F1FC9"/>
    <w:rsid w:val="008F7739"/>
    <w:rsid w:val="008F7DCC"/>
    <w:rsid w:val="00900F49"/>
    <w:rsid w:val="009029DF"/>
    <w:rsid w:val="00903CB9"/>
    <w:rsid w:val="00905014"/>
    <w:rsid w:val="009107BC"/>
    <w:rsid w:val="00915DFB"/>
    <w:rsid w:val="00917B86"/>
    <w:rsid w:val="0092049B"/>
    <w:rsid w:val="00920507"/>
    <w:rsid w:val="00923FB6"/>
    <w:rsid w:val="00923FD0"/>
    <w:rsid w:val="009269D3"/>
    <w:rsid w:val="0093121E"/>
    <w:rsid w:val="0093136F"/>
    <w:rsid w:val="00931DD5"/>
    <w:rsid w:val="00932EEA"/>
    <w:rsid w:val="00934695"/>
    <w:rsid w:val="009349B3"/>
    <w:rsid w:val="009350A8"/>
    <w:rsid w:val="00935A41"/>
    <w:rsid w:val="00936CFD"/>
    <w:rsid w:val="00937A19"/>
    <w:rsid w:val="00937B4B"/>
    <w:rsid w:val="009437DB"/>
    <w:rsid w:val="00943A71"/>
    <w:rsid w:val="00944461"/>
    <w:rsid w:val="0094525E"/>
    <w:rsid w:val="0094680E"/>
    <w:rsid w:val="00946DA3"/>
    <w:rsid w:val="00947119"/>
    <w:rsid w:val="00947904"/>
    <w:rsid w:val="00950FE5"/>
    <w:rsid w:val="009536FD"/>
    <w:rsid w:val="00954DDC"/>
    <w:rsid w:val="0095509A"/>
    <w:rsid w:val="00956474"/>
    <w:rsid w:val="009578B7"/>
    <w:rsid w:val="00960DAF"/>
    <w:rsid w:val="00960DFE"/>
    <w:rsid w:val="00962081"/>
    <w:rsid w:val="00963303"/>
    <w:rsid w:val="00965160"/>
    <w:rsid w:val="00965867"/>
    <w:rsid w:val="00966502"/>
    <w:rsid w:val="00966DE6"/>
    <w:rsid w:val="00971C28"/>
    <w:rsid w:val="009737CD"/>
    <w:rsid w:val="009742DA"/>
    <w:rsid w:val="0097705C"/>
    <w:rsid w:val="00977362"/>
    <w:rsid w:val="00981380"/>
    <w:rsid w:val="009813B0"/>
    <w:rsid w:val="00981633"/>
    <w:rsid w:val="00982547"/>
    <w:rsid w:val="009846E4"/>
    <w:rsid w:val="00985469"/>
    <w:rsid w:val="009862CB"/>
    <w:rsid w:val="0098630B"/>
    <w:rsid w:val="00986795"/>
    <w:rsid w:val="0098708B"/>
    <w:rsid w:val="00987206"/>
    <w:rsid w:val="00987CD5"/>
    <w:rsid w:val="00990EDA"/>
    <w:rsid w:val="00992855"/>
    <w:rsid w:val="00993EA1"/>
    <w:rsid w:val="0099741D"/>
    <w:rsid w:val="009A05A7"/>
    <w:rsid w:val="009A43A4"/>
    <w:rsid w:val="009A4FF0"/>
    <w:rsid w:val="009A6E61"/>
    <w:rsid w:val="009A7023"/>
    <w:rsid w:val="009A7049"/>
    <w:rsid w:val="009A750C"/>
    <w:rsid w:val="009B15AE"/>
    <w:rsid w:val="009B2BC1"/>
    <w:rsid w:val="009B3A7A"/>
    <w:rsid w:val="009B4BD3"/>
    <w:rsid w:val="009B59B7"/>
    <w:rsid w:val="009B5DFD"/>
    <w:rsid w:val="009C2ED1"/>
    <w:rsid w:val="009C4288"/>
    <w:rsid w:val="009C6C82"/>
    <w:rsid w:val="009D2475"/>
    <w:rsid w:val="009D2FDF"/>
    <w:rsid w:val="009D3A53"/>
    <w:rsid w:val="009D4585"/>
    <w:rsid w:val="009D7CBD"/>
    <w:rsid w:val="009E1F6A"/>
    <w:rsid w:val="009E2536"/>
    <w:rsid w:val="009E2E0C"/>
    <w:rsid w:val="009E4191"/>
    <w:rsid w:val="009E4628"/>
    <w:rsid w:val="009E4B02"/>
    <w:rsid w:val="009E70F2"/>
    <w:rsid w:val="009F0963"/>
    <w:rsid w:val="009F0AF6"/>
    <w:rsid w:val="009F172D"/>
    <w:rsid w:val="009F2A07"/>
    <w:rsid w:val="009F2BF9"/>
    <w:rsid w:val="009F4539"/>
    <w:rsid w:val="009F49D3"/>
    <w:rsid w:val="009F5781"/>
    <w:rsid w:val="009F786F"/>
    <w:rsid w:val="00A00889"/>
    <w:rsid w:val="00A02914"/>
    <w:rsid w:val="00A0295E"/>
    <w:rsid w:val="00A02FF9"/>
    <w:rsid w:val="00A0378D"/>
    <w:rsid w:val="00A04E24"/>
    <w:rsid w:val="00A04F6A"/>
    <w:rsid w:val="00A07994"/>
    <w:rsid w:val="00A10AC1"/>
    <w:rsid w:val="00A10B59"/>
    <w:rsid w:val="00A13657"/>
    <w:rsid w:val="00A15A18"/>
    <w:rsid w:val="00A1784A"/>
    <w:rsid w:val="00A17F4D"/>
    <w:rsid w:val="00A2086F"/>
    <w:rsid w:val="00A22522"/>
    <w:rsid w:val="00A2349D"/>
    <w:rsid w:val="00A243A6"/>
    <w:rsid w:val="00A244A3"/>
    <w:rsid w:val="00A27B33"/>
    <w:rsid w:val="00A27C67"/>
    <w:rsid w:val="00A328D2"/>
    <w:rsid w:val="00A33679"/>
    <w:rsid w:val="00A4351B"/>
    <w:rsid w:val="00A43C2F"/>
    <w:rsid w:val="00A47CAC"/>
    <w:rsid w:val="00A51057"/>
    <w:rsid w:val="00A518AA"/>
    <w:rsid w:val="00A5244C"/>
    <w:rsid w:val="00A56A4D"/>
    <w:rsid w:val="00A574A2"/>
    <w:rsid w:val="00A57E5E"/>
    <w:rsid w:val="00A612A6"/>
    <w:rsid w:val="00A61E0F"/>
    <w:rsid w:val="00A63CAD"/>
    <w:rsid w:val="00A63DF3"/>
    <w:rsid w:val="00A64697"/>
    <w:rsid w:val="00A64C3B"/>
    <w:rsid w:val="00A64ECF"/>
    <w:rsid w:val="00A651F4"/>
    <w:rsid w:val="00A65F66"/>
    <w:rsid w:val="00A66E58"/>
    <w:rsid w:val="00A675AF"/>
    <w:rsid w:val="00A67727"/>
    <w:rsid w:val="00A67F4F"/>
    <w:rsid w:val="00A71C5E"/>
    <w:rsid w:val="00A728E9"/>
    <w:rsid w:val="00A73731"/>
    <w:rsid w:val="00A73845"/>
    <w:rsid w:val="00A7693B"/>
    <w:rsid w:val="00A76B91"/>
    <w:rsid w:val="00A80D54"/>
    <w:rsid w:val="00A8390F"/>
    <w:rsid w:val="00A8454A"/>
    <w:rsid w:val="00A846FC"/>
    <w:rsid w:val="00A87FA3"/>
    <w:rsid w:val="00A94B04"/>
    <w:rsid w:val="00A951E7"/>
    <w:rsid w:val="00A96956"/>
    <w:rsid w:val="00A97BAC"/>
    <w:rsid w:val="00AA1A10"/>
    <w:rsid w:val="00AA2E3A"/>
    <w:rsid w:val="00AA39F5"/>
    <w:rsid w:val="00AA3BCB"/>
    <w:rsid w:val="00AA6E00"/>
    <w:rsid w:val="00AA7E37"/>
    <w:rsid w:val="00AB267B"/>
    <w:rsid w:val="00AB2A8E"/>
    <w:rsid w:val="00AB4E31"/>
    <w:rsid w:val="00AC1E23"/>
    <w:rsid w:val="00AC3102"/>
    <w:rsid w:val="00AC338B"/>
    <w:rsid w:val="00AC3873"/>
    <w:rsid w:val="00AC4140"/>
    <w:rsid w:val="00AC41F7"/>
    <w:rsid w:val="00AC5F6C"/>
    <w:rsid w:val="00AC79E8"/>
    <w:rsid w:val="00AC7B7A"/>
    <w:rsid w:val="00AC7E79"/>
    <w:rsid w:val="00AD01CB"/>
    <w:rsid w:val="00AD0E1D"/>
    <w:rsid w:val="00AD214C"/>
    <w:rsid w:val="00AD279C"/>
    <w:rsid w:val="00AD3A02"/>
    <w:rsid w:val="00AD3E0D"/>
    <w:rsid w:val="00AD5B2D"/>
    <w:rsid w:val="00AD6697"/>
    <w:rsid w:val="00AD7AB7"/>
    <w:rsid w:val="00AE33BF"/>
    <w:rsid w:val="00AE5E74"/>
    <w:rsid w:val="00AF0D19"/>
    <w:rsid w:val="00AF5BE7"/>
    <w:rsid w:val="00B0015F"/>
    <w:rsid w:val="00B01E17"/>
    <w:rsid w:val="00B0218C"/>
    <w:rsid w:val="00B02395"/>
    <w:rsid w:val="00B03069"/>
    <w:rsid w:val="00B04529"/>
    <w:rsid w:val="00B04A24"/>
    <w:rsid w:val="00B057A5"/>
    <w:rsid w:val="00B06314"/>
    <w:rsid w:val="00B07C20"/>
    <w:rsid w:val="00B109EA"/>
    <w:rsid w:val="00B1123C"/>
    <w:rsid w:val="00B1385A"/>
    <w:rsid w:val="00B13E5C"/>
    <w:rsid w:val="00B148BF"/>
    <w:rsid w:val="00B169C8"/>
    <w:rsid w:val="00B16D14"/>
    <w:rsid w:val="00B17117"/>
    <w:rsid w:val="00B22F12"/>
    <w:rsid w:val="00B231F3"/>
    <w:rsid w:val="00B2443F"/>
    <w:rsid w:val="00B25C10"/>
    <w:rsid w:val="00B30E3C"/>
    <w:rsid w:val="00B348B4"/>
    <w:rsid w:val="00B375A2"/>
    <w:rsid w:val="00B40DEA"/>
    <w:rsid w:val="00B41581"/>
    <w:rsid w:val="00B45D20"/>
    <w:rsid w:val="00B462BC"/>
    <w:rsid w:val="00B463B0"/>
    <w:rsid w:val="00B46427"/>
    <w:rsid w:val="00B518AF"/>
    <w:rsid w:val="00B51FC4"/>
    <w:rsid w:val="00B54146"/>
    <w:rsid w:val="00B552AA"/>
    <w:rsid w:val="00B55321"/>
    <w:rsid w:val="00B5616D"/>
    <w:rsid w:val="00B56D0C"/>
    <w:rsid w:val="00B57A96"/>
    <w:rsid w:val="00B57D62"/>
    <w:rsid w:val="00B614CC"/>
    <w:rsid w:val="00B618FC"/>
    <w:rsid w:val="00B6262A"/>
    <w:rsid w:val="00B654EE"/>
    <w:rsid w:val="00B658FD"/>
    <w:rsid w:val="00B676C3"/>
    <w:rsid w:val="00B67AF1"/>
    <w:rsid w:val="00B70B2D"/>
    <w:rsid w:val="00B71A2B"/>
    <w:rsid w:val="00B72692"/>
    <w:rsid w:val="00B72DD5"/>
    <w:rsid w:val="00B7400E"/>
    <w:rsid w:val="00B74BE1"/>
    <w:rsid w:val="00B753BC"/>
    <w:rsid w:val="00B758E2"/>
    <w:rsid w:val="00B763DF"/>
    <w:rsid w:val="00B77790"/>
    <w:rsid w:val="00B81BF4"/>
    <w:rsid w:val="00B825F7"/>
    <w:rsid w:val="00B82BD4"/>
    <w:rsid w:val="00B82FA5"/>
    <w:rsid w:val="00B8657E"/>
    <w:rsid w:val="00B86C26"/>
    <w:rsid w:val="00B911B0"/>
    <w:rsid w:val="00B91AEE"/>
    <w:rsid w:val="00B91B92"/>
    <w:rsid w:val="00B91C4F"/>
    <w:rsid w:val="00B91F94"/>
    <w:rsid w:val="00B93114"/>
    <w:rsid w:val="00B93693"/>
    <w:rsid w:val="00B94A48"/>
    <w:rsid w:val="00B94B28"/>
    <w:rsid w:val="00B95689"/>
    <w:rsid w:val="00B95CAB"/>
    <w:rsid w:val="00B96A7D"/>
    <w:rsid w:val="00BA7E82"/>
    <w:rsid w:val="00BB0ED4"/>
    <w:rsid w:val="00BB2470"/>
    <w:rsid w:val="00BB2A16"/>
    <w:rsid w:val="00BB30F3"/>
    <w:rsid w:val="00BB31F2"/>
    <w:rsid w:val="00BB3FD4"/>
    <w:rsid w:val="00BB5941"/>
    <w:rsid w:val="00BB72B1"/>
    <w:rsid w:val="00BC1C42"/>
    <w:rsid w:val="00BC5999"/>
    <w:rsid w:val="00BC7629"/>
    <w:rsid w:val="00BD031F"/>
    <w:rsid w:val="00BD040D"/>
    <w:rsid w:val="00BD131A"/>
    <w:rsid w:val="00BD142F"/>
    <w:rsid w:val="00BD1642"/>
    <w:rsid w:val="00BD265F"/>
    <w:rsid w:val="00BD37C7"/>
    <w:rsid w:val="00BD6FE1"/>
    <w:rsid w:val="00BD736F"/>
    <w:rsid w:val="00BE1FD6"/>
    <w:rsid w:val="00BE1FFF"/>
    <w:rsid w:val="00BE2F02"/>
    <w:rsid w:val="00BE3505"/>
    <w:rsid w:val="00BE4047"/>
    <w:rsid w:val="00BF1167"/>
    <w:rsid w:val="00BF6ED1"/>
    <w:rsid w:val="00BF7998"/>
    <w:rsid w:val="00BF79DD"/>
    <w:rsid w:val="00C03311"/>
    <w:rsid w:val="00C03E42"/>
    <w:rsid w:val="00C07BB9"/>
    <w:rsid w:val="00C1087F"/>
    <w:rsid w:val="00C109C1"/>
    <w:rsid w:val="00C115ED"/>
    <w:rsid w:val="00C1399A"/>
    <w:rsid w:val="00C13DF9"/>
    <w:rsid w:val="00C14059"/>
    <w:rsid w:val="00C14084"/>
    <w:rsid w:val="00C14C75"/>
    <w:rsid w:val="00C15510"/>
    <w:rsid w:val="00C168A5"/>
    <w:rsid w:val="00C2026D"/>
    <w:rsid w:val="00C21558"/>
    <w:rsid w:val="00C21739"/>
    <w:rsid w:val="00C21A7E"/>
    <w:rsid w:val="00C230D1"/>
    <w:rsid w:val="00C23204"/>
    <w:rsid w:val="00C23E70"/>
    <w:rsid w:val="00C23F37"/>
    <w:rsid w:val="00C24613"/>
    <w:rsid w:val="00C250D4"/>
    <w:rsid w:val="00C3105E"/>
    <w:rsid w:val="00C3479D"/>
    <w:rsid w:val="00C3500C"/>
    <w:rsid w:val="00C355B9"/>
    <w:rsid w:val="00C35BB3"/>
    <w:rsid w:val="00C3690A"/>
    <w:rsid w:val="00C37634"/>
    <w:rsid w:val="00C41430"/>
    <w:rsid w:val="00C41499"/>
    <w:rsid w:val="00C42C23"/>
    <w:rsid w:val="00C4323A"/>
    <w:rsid w:val="00C4507F"/>
    <w:rsid w:val="00C45270"/>
    <w:rsid w:val="00C45D13"/>
    <w:rsid w:val="00C476CB"/>
    <w:rsid w:val="00C5054D"/>
    <w:rsid w:val="00C510EE"/>
    <w:rsid w:val="00C51935"/>
    <w:rsid w:val="00C53341"/>
    <w:rsid w:val="00C539F4"/>
    <w:rsid w:val="00C53B37"/>
    <w:rsid w:val="00C55F53"/>
    <w:rsid w:val="00C62599"/>
    <w:rsid w:val="00C629BA"/>
    <w:rsid w:val="00C63E9B"/>
    <w:rsid w:val="00C64068"/>
    <w:rsid w:val="00C65EF3"/>
    <w:rsid w:val="00C74C87"/>
    <w:rsid w:val="00C76DB8"/>
    <w:rsid w:val="00C81833"/>
    <w:rsid w:val="00C836C7"/>
    <w:rsid w:val="00C83F9F"/>
    <w:rsid w:val="00C8449C"/>
    <w:rsid w:val="00C864BC"/>
    <w:rsid w:val="00C873AE"/>
    <w:rsid w:val="00C87F50"/>
    <w:rsid w:val="00C9291F"/>
    <w:rsid w:val="00C92EDA"/>
    <w:rsid w:val="00C954E0"/>
    <w:rsid w:val="00CA0AFC"/>
    <w:rsid w:val="00CA1709"/>
    <w:rsid w:val="00CA3900"/>
    <w:rsid w:val="00CA4697"/>
    <w:rsid w:val="00CA685F"/>
    <w:rsid w:val="00CB5506"/>
    <w:rsid w:val="00CB5849"/>
    <w:rsid w:val="00CB5F37"/>
    <w:rsid w:val="00CB664C"/>
    <w:rsid w:val="00CB6B18"/>
    <w:rsid w:val="00CC0412"/>
    <w:rsid w:val="00CC1D20"/>
    <w:rsid w:val="00CC21A5"/>
    <w:rsid w:val="00CC2320"/>
    <w:rsid w:val="00CC3D3B"/>
    <w:rsid w:val="00CC4767"/>
    <w:rsid w:val="00CC5C3A"/>
    <w:rsid w:val="00CC75AA"/>
    <w:rsid w:val="00CD0895"/>
    <w:rsid w:val="00CD2C33"/>
    <w:rsid w:val="00CD3353"/>
    <w:rsid w:val="00CD371C"/>
    <w:rsid w:val="00CD66F3"/>
    <w:rsid w:val="00CD6A14"/>
    <w:rsid w:val="00CE1485"/>
    <w:rsid w:val="00CE2292"/>
    <w:rsid w:val="00CE3A5B"/>
    <w:rsid w:val="00CE3D40"/>
    <w:rsid w:val="00CE6C52"/>
    <w:rsid w:val="00CE7070"/>
    <w:rsid w:val="00CE7938"/>
    <w:rsid w:val="00CF27EA"/>
    <w:rsid w:val="00CF581E"/>
    <w:rsid w:val="00CF66D9"/>
    <w:rsid w:val="00CF68F2"/>
    <w:rsid w:val="00CF73A5"/>
    <w:rsid w:val="00CF78E6"/>
    <w:rsid w:val="00D01164"/>
    <w:rsid w:val="00D01F54"/>
    <w:rsid w:val="00D01FCC"/>
    <w:rsid w:val="00D03C42"/>
    <w:rsid w:val="00D04FBB"/>
    <w:rsid w:val="00D05B54"/>
    <w:rsid w:val="00D0623E"/>
    <w:rsid w:val="00D06C46"/>
    <w:rsid w:val="00D07583"/>
    <w:rsid w:val="00D14A2D"/>
    <w:rsid w:val="00D14D60"/>
    <w:rsid w:val="00D15407"/>
    <w:rsid w:val="00D161AC"/>
    <w:rsid w:val="00D1784A"/>
    <w:rsid w:val="00D17F42"/>
    <w:rsid w:val="00D17FAC"/>
    <w:rsid w:val="00D22E91"/>
    <w:rsid w:val="00D23403"/>
    <w:rsid w:val="00D236CE"/>
    <w:rsid w:val="00D276CE"/>
    <w:rsid w:val="00D27A7D"/>
    <w:rsid w:val="00D30636"/>
    <w:rsid w:val="00D32B54"/>
    <w:rsid w:val="00D33E1F"/>
    <w:rsid w:val="00D350BB"/>
    <w:rsid w:val="00D3526F"/>
    <w:rsid w:val="00D3595E"/>
    <w:rsid w:val="00D35E09"/>
    <w:rsid w:val="00D36C07"/>
    <w:rsid w:val="00D37296"/>
    <w:rsid w:val="00D37AE5"/>
    <w:rsid w:val="00D40439"/>
    <w:rsid w:val="00D41F33"/>
    <w:rsid w:val="00D438C9"/>
    <w:rsid w:val="00D44ECE"/>
    <w:rsid w:val="00D451E6"/>
    <w:rsid w:val="00D47F1D"/>
    <w:rsid w:val="00D501D1"/>
    <w:rsid w:val="00D5084D"/>
    <w:rsid w:val="00D51970"/>
    <w:rsid w:val="00D56DAF"/>
    <w:rsid w:val="00D5759D"/>
    <w:rsid w:val="00D6056F"/>
    <w:rsid w:val="00D605F4"/>
    <w:rsid w:val="00D63243"/>
    <w:rsid w:val="00D66A9B"/>
    <w:rsid w:val="00D71352"/>
    <w:rsid w:val="00D719CE"/>
    <w:rsid w:val="00D753F1"/>
    <w:rsid w:val="00D7556F"/>
    <w:rsid w:val="00D76E31"/>
    <w:rsid w:val="00D777B5"/>
    <w:rsid w:val="00D80B64"/>
    <w:rsid w:val="00D81F26"/>
    <w:rsid w:val="00D82535"/>
    <w:rsid w:val="00D82FF8"/>
    <w:rsid w:val="00D8311C"/>
    <w:rsid w:val="00D84580"/>
    <w:rsid w:val="00D84933"/>
    <w:rsid w:val="00D85558"/>
    <w:rsid w:val="00D86938"/>
    <w:rsid w:val="00D91C76"/>
    <w:rsid w:val="00D92B24"/>
    <w:rsid w:val="00D936CC"/>
    <w:rsid w:val="00D93FCA"/>
    <w:rsid w:val="00D95D2D"/>
    <w:rsid w:val="00D97AD7"/>
    <w:rsid w:val="00DA19A3"/>
    <w:rsid w:val="00DA410D"/>
    <w:rsid w:val="00DA555A"/>
    <w:rsid w:val="00DA7F3B"/>
    <w:rsid w:val="00DB0514"/>
    <w:rsid w:val="00DB4789"/>
    <w:rsid w:val="00DB4BC7"/>
    <w:rsid w:val="00DB6209"/>
    <w:rsid w:val="00DC09F5"/>
    <w:rsid w:val="00DC21BC"/>
    <w:rsid w:val="00DC3804"/>
    <w:rsid w:val="00DC3B71"/>
    <w:rsid w:val="00DC43FD"/>
    <w:rsid w:val="00DC462C"/>
    <w:rsid w:val="00DC6C45"/>
    <w:rsid w:val="00DC6D60"/>
    <w:rsid w:val="00DC72DF"/>
    <w:rsid w:val="00DD2132"/>
    <w:rsid w:val="00DD27FA"/>
    <w:rsid w:val="00DD30EA"/>
    <w:rsid w:val="00DE0B30"/>
    <w:rsid w:val="00DE194F"/>
    <w:rsid w:val="00DE2246"/>
    <w:rsid w:val="00DE7532"/>
    <w:rsid w:val="00DE7E9C"/>
    <w:rsid w:val="00DF2839"/>
    <w:rsid w:val="00DF3471"/>
    <w:rsid w:val="00DF4084"/>
    <w:rsid w:val="00DF6252"/>
    <w:rsid w:val="00E00A0B"/>
    <w:rsid w:val="00E0113D"/>
    <w:rsid w:val="00E01768"/>
    <w:rsid w:val="00E01CA8"/>
    <w:rsid w:val="00E02BBD"/>
    <w:rsid w:val="00E02E7B"/>
    <w:rsid w:val="00E05BFB"/>
    <w:rsid w:val="00E117AA"/>
    <w:rsid w:val="00E14641"/>
    <w:rsid w:val="00E15A7F"/>
    <w:rsid w:val="00E17012"/>
    <w:rsid w:val="00E177C9"/>
    <w:rsid w:val="00E20FE6"/>
    <w:rsid w:val="00E219CC"/>
    <w:rsid w:val="00E21E12"/>
    <w:rsid w:val="00E24394"/>
    <w:rsid w:val="00E246CD"/>
    <w:rsid w:val="00E24EE1"/>
    <w:rsid w:val="00E25B40"/>
    <w:rsid w:val="00E25EBE"/>
    <w:rsid w:val="00E25FD7"/>
    <w:rsid w:val="00E2677D"/>
    <w:rsid w:val="00E27CB3"/>
    <w:rsid w:val="00E3290A"/>
    <w:rsid w:val="00E35446"/>
    <w:rsid w:val="00E35F73"/>
    <w:rsid w:val="00E4191C"/>
    <w:rsid w:val="00E429FD"/>
    <w:rsid w:val="00E447B1"/>
    <w:rsid w:val="00E451E8"/>
    <w:rsid w:val="00E45A38"/>
    <w:rsid w:val="00E4630E"/>
    <w:rsid w:val="00E470AA"/>
    <w:rsid w:val="00E5167F"/>
    <w:rsid w:val="00E529B6"/>
    <w:rsid w:val="00E52CB6"/>
    <w:rsid w:val="00E532DF"/>
    <w:rsid w:val="00E53CBD"/>
    <w:rsid w:val="00E542C6"/>
    <w:rsid w:val="00E54A60"/>
    <w:rsid w:val="00E55688"/>
    <w:rsid w:val="00E57550"/>
    <w:rsid w:val="00E60E97"/>
    <w:rsid w:val="00E61010"/>
    <w:rsid w:val="00E61211"/>
    <w:rsid w:val="00E618E2"/>
    <w:rsid w:val="00E61922"/>
    <w:rsid w:val="00E61A5C"/>
    <w:rsid w:val="00E636A4"/>
    <w:rsid w:val="00E646AF"/>
    <w:rsid w:val="00E64BB9"/>
    <w:rsid w:val="00E64FD1"/>
    <w:rsid w:val="00E660F6"/>
    <w:rsid w:val="00E667EC"/>
    <w:rsid w:val="00E66976"/>
    <w:rsid w:val="00E66F1D"/>
    <w:rsid w:val="00E67247"/>
    <w:rsid w:val="00E708D7"/>
    <w:rsid w:val="00E7189D"/>
    <w:rsid w:val="00E71F70"/>
    <w:rsid w:val="00E72F99"/>
    <w:rsid w:val="00E741F9"/>
    <w:rsid w:val="00E744ED"/>
    <w:rsid w:val="00E77F41"/>
    <w:rsid w:val="00E80B92"/>
    <w:rsid w:val="00E80ED7"/>
    <w:rsid w:val="00E816A8"/>
    <w:rsid w:val="00E8245A"/>
    <w:rsid w:val="00E82BE3"/>
    <w:rsid w:val="00E83EDD"/>
    <w:rsid w:val="00E843B5"/>
    <w:rsid w:val="00E8507E"/>
    <w:rsid w:val="00E85672"/>
    <w:rsid w:val="00E951EA"/>
    <w:rsid w:val="00E96C7F"/>
    <w:rsid w:val="00E97AE8"/>
    <w:rsid w:val="00E97C20"/>
    <w:rsid w:val="00E97F7A"/>
    <w:rsid w:val="00EA5CE5"/>
    <w:rsid w:val="00EB1BB7"/>
    <w:rsid w:val="00EB3526"/>
    <w:rsid w:val="00EB35B8"/>
    <w:rsid w:val="00EB3A23"/>
    <w:rsid w:val="00EB65CF"/>
    <w:rsid w:val="00EC06D6"/>
    <w:rsid w:val="00EC275C"/>
    <w:rsid w:val="00EC583E"/>
    <w:rsid w:val="00EC5A22"/>
    <w:rsid w:val="00EC61C3"/>
    <w:rsid w:val="00EC7F94"/>
    <w:rsid w:val="00ED08FE"/>
    <w:rsid w:val="00ED1602"/>
    <w:rsid w:val="00ED217D"/>
    <w:rsid w:val="00ED29D7"/>
    <w:rsid w:val="00ED567A"/>
    <w:rsid w:val="00ED6D37"/>
    <w:rsid w:val="00ED77A7"/>
    <w:rsid w:val="00EE007F"/>
    <w:rsid w:val="00EE08B9"/>
    <w:rsid w:val="00EE0E86"/>
    <w:rsid w:val="00EE1B82"/>
    <w:rsid w:val="00EE2932"/>
    <w:rsid w:val="00EE39AA"/>
    <w:rsid w:val="00EE4DA0"/>
    <w:rsid w:val="00EE63A5"/>
    <w:rsid w:val="00EE6CBD"/>
    <w:rsid w:val="00EE6D2F"/>
    <w:rsid w:val="00EF43AE"/>
    <w:rsid w:val="00EF5521"/>
    <w:rsid w:val="00EF5DAC"/>
    <w:rsid w:val="00EF746B"/>
    <w:rsid w:val="00F02E79"/>
    <w:rsid w:val="00F06B3B"/>
    <w:rsid w:val="00F106CA"/>
    <w:rsid w:val="00F10B61"/>
    <w:rsid w:val="00F10BCA"/>
    <w:rsid w:val="00F11387"/>
    <w:rsid w:val="00F11C90"/>
    <w:rsid w:val="00F13396"/>
    <w:rsid w:val="00F146C3"/>
    <w:rsid w:val="00F14C70"/>
    <w:rsid w:val="00F15198"/>
    <w:rsid w:val="00F15538"/>
    <w:rsid w:val="00F20228"/>
    <w:rsid w:val="00F217F2"/>
    <w:rsid w:val="00F21CDD"/>
    <w:rsid w:val="00F22588"/>
    <w:rsid w:val="00F24648"/>
    <w:rsid w:val="00F27E89"/>
    <w:rsid w:val="00F300EC"/>
    <w:rsid w:val="00F321BB"/>
    <w:rsid w:val="00F3235E"/>
    <w:rsid w:val="00F33C2A"/>
    <w:rsid w:val="00F34BCF"/>
    <w:rsid w:val="00F3557A"/>
    <w:rsid w:val="00F36CC0"/>
    <w:rsid w:val="00F375D1"/>
    <w:rsid w:val="00F375EB"/>
    <w:rsid w:val="00F37D64"/>
    <w:rsid w:val="00F4244A"/>
    <w:rsid w:val="00F4287A"/>
    <w:rsid w:val="00F430C1"/>
    <w:rsid w:val="00F4415A"/>
    <w:rsid w:val="00F50253"/>
    <w:rsid w:val="00F50C14"/>
    <w:rsid w:val="00F52290"/>
    <w:rsid w:val="00F52A4F"/>
    <w:rsid w:val="00F53339"/>
    <w:rsid w:val="00F53BAF"/>
    <w:rsid w:val="00F54CBD"/>
    <w:rsid w:val="00F55416"/>
    <w:rsid w:val="00F55DE0"/>
    <w:rsid w:val="00F57FDE"/>
    <w:rsid w:val="00F63995"/>
    <w:rsid w:val="00F63C50"/>
    <w:rsid w:val="00F6407C"/>
    <w:rsid w:val="00F64A62"/>
    <w:rsid w:val="00F64D4D"/>
    <w:rsid w:val="00F64D73"/>
    <w:rsid w:val="00F64DE1"/>
    <w:rsid w:val="00F65552"/>
    <w:rsid w:val="00F676CF"/>
    <w:rsid w:val="00F6772F"/>
    <w:rsid w:val="00F709E3"/>
    <w:rsid w:val="00F7699F"/>
    <w:rsid w:val="00F814C3"/>
    <w:rsid w:val="00F82034"/>
    <w:rsid w:val="00F83410"/>
    <w:rsid w:val="00F83C95"/>
    <w:rsid w:val="00F848DD"/>
    <w:rsid w:val="00F853F0"/>
    <w:rsid w:val="00F86946"/>
    <w:rsid w:val="00F86E68"/>
    <w:rsid w:val="00F9118E"/>
    <w:rsid w:val="00F942D7"/>
    <w:rsid w:val="00F95AF9"/>
    <w:rsid w:val="00F95F3D"/>
    <w:rsid w:val="00F9694B"/>
    <w:rsid w:val="00F96F3A"/>
    <w:rsid w:val="00FA0165"/>
    <w:rsid w:val="00FA0279"/>
    <w:rsid w:val="00FA03D7"/>
    <w:rsid w:val="00FA0C34"/>
    <w:rsid w:val="00FA13E7"/>
    <w:rsid w:val="00FA1CE8"/>
    <w:rsid w:val="00FA3536"/>
    <w:rsid w:val="00FA3ACA"/>
    <w:rsid w:val="00FA4FEC"/>
    <w:rsid w:val="00FA54E7"/>
    <w:rsid w:val="00FA64A7"/>
    <w:rsid w:val="00FA6622"/>
    <w:rsid w:val="00FA6689"/>
    <w:rsid w:val="00FA68AB"/>
    <w:rsid w:val="00FB04A8"/>
    <w:rsid w:val="00FB20FA"/>
    <w:rsid w:val="00FB2753"/>
    <w:rsid w:val="00FB2B4B"/>
    <w:rsid w:val="00FB2EC0"/>
    <w:rsid w:val="00FB6C46"/>
    <w:rsid w:val="00FC0082"/>
    <w:rsid w:val="00FC4D07"/>
    <w:rsid w:val="00FC529A"/>
    <w:rsid w:val="00FC584C"/>
    <w:rsid w:val="00FC6AEE"/>
    <w:rsid w:val="00FD1A23"/>
    <w:rsid w:val="00FD4E26"/>
    <w:rsid w:val="00FD5890"/>
    <w:rsid w:val="00FD7B99"/>
    <w:rsid w:val="00FE3A28"/>
    <w:rsid w:val="00FE3B6A"/>
    <w:rsid w:val="00FE4131"/>
    <w:rsid w:val="00FE4728"/>
    <w:rsid w:val="00FF142D"/>
    <w:rsid w:val="00FF15EA"/>
    <w:rsid w:val="00FF2086"/>
    <w:rsid w:val="00FF6852"/>
    <w:rsid w:val="00FF7E02"/>
    <w:rsid w:val="01451A87"/>
    <w:rsid w:val="04F76885"/>
    <w:rsid w:val="05485A89"/>
    <w:rsid w:val="06160841"/>
    <w:rsid w:val="07280CC2"/>
    <w:rsid w:val="086E7B0D"/>
    <w:rsid w:val="08B03E69"/>
    <w:rsid w:val="09323FAC"/>
    <w:rsid w:val="0933746A"/>
    <w:rsid w:val="09993903"/>
    <w:rsid w:val="0ABC6E2D"/>
    <w:rsid w:val="0BA53823"/>
    <w:rsid w:val="0C277597"/>
    <w:rsid w:val="0C7262FF"/>
    <w:rsid w:val="0DB14432"/>
    <w:rsid w:val="10A766AA"/>
    <w:rsid w:val="117F7EE2"/>
    <w:rsid w:val="12543824"/>
    <w:rsid w:val="1274336D"/>
    <w:rsid w:val="13013339"/>
    <w:rsid w:val="13D36C5E"/>
    <w:rsid w:val="142D7DDA"/>
    <w:rsid w:val="143A093F"/>
    <w:rsid w:val="16330098"/>
    <w:rsid w:val="166F7CB5"/>
    <w:rsid w:val="16F5794B"/>
    <w:rsid w:val="181E29C0"/>
    <w:rsid w:val="193279B6"/>
    <w:rsid w:val="19FC46F7"/>
    <w:rsid w:val="1B930561"/>
    <w:rsid w:val="1CF70E14"/>
    <w:rsid w:val="1D5E648A"/>
    <w:rsid w:val="1D86477C"/>
    <w:rsid w:val="1E052B7D"/>
    <w:rsid w:val="1F41198E"/>
    <w:rsid w:val="200A1409"/>
    <w:rsid w:val="20253769"/>
    <w:rsid w:val="20290A89"/>
    <w:rsid w:val="21452025"/>
    <w:rsid w:val="21B07B14"/>
    <w:rsid w:val="21B43A7D"/>
    <w:rsid w:val="221203C5"/>
    <w:rsid w:val="22667E56"/>
    <w:rsid w:val="24983315"/>
    <w:rsid w:val="2709405D"/>
    <w:rsid w:val="290F1F18"/>
    <w:rsid w:val="291F06E1"/>
    <w:rsid w:val="29CC1A74"/>
    <w:rsid w:val="29EA7E79"/>
    <w:rsid w:val="2AA605B6"/>
    <w:rsid w:val="2AE83AB3"/>
    <w:rsid w:val="2C214660"/>
    <w:rsid w:val="2CCE7ACE"/>
    <w:rsid w:val="2DEA02DE"/>
    <w:rsid w:val="2EC30837"/>
    <w:rsid w:val="2F9A223C"/>
    <w:rsid w:val="2FB62E77"/>
    <w:rsid w:val="30A84AC9"/>
    <w:rsid w:val="30A93B13"/>
    <w:rsid w:val="30FB7923"/>
    <w:rsid w:val="327159A9"/>
    <w:rsid w:val="32B61F84"/>
    <w:rsid w:val="35014185"/>
    <w:rsid w:val="3595351D"/>
    <w:rsid w:val="35C803E7"/>
    <w:rsid w:val="37DD4610"/>
    <w:rsid w:val="38B630A8"/>
    <w:rsid w:val="39A0640E"/>
    <w:rsid w:val="3B781DE4"/>
    <w:rsid w:val="3D2201D0"/>
    <w:rsid w:val="3EE014B2"/>
    <w:rsid w:val="40BD6D76"/>
    <w:rsid w:val="42332EA8"/>
    <w:rsid w:val="42CF2358"/>
    <w:rsid w:val="43521101"/>
    <w:rsid w:val="45074B4C"/>
    <w:rsid w:val="45123B0B"/>
    <w:rsid w:val="46B82F99"/>
    <w:rsid w:val="47D75CA8"/>
    <w:rsid w:val="47E8256C"/>
    <w:rsid w:val="48C017E8"/>
    <w:rsid w:val="4B790681"/>
    <w:rsid w:val="4BA46EF3"/>
    <w:rsid w:val="4BB027DB"/>
    <w:rsid w:val="4BEF2F8E"/>
    <w:rsid w:val="4EE01C69"/>
    <w:rsid w:val="50680A53"/>
    <w:rsid w:val="50FD295B"/>
    <w:rsid w:val="513E0572"/>
    <w:rsid w:val="542C6514"/>
    <w:rsid w:val="557905B8"/>
    <w:rsid w:val="565933BD"/>
    <w:rsid w:val="56ED1C7D"/>
    <w:rsid w:val="58193B65"/>
    <w:rsid w:val="58277B90"/>
    <w:rsid w:val="59BA2C47"/>
    <w:rsid w:val="5AE5033B"/>
    <w:rsid w:val="5BBC1A92"/>
    <w:rsid w:val="5CA93512"/>
    <w:rsid w:val="5D757078"/>
    <w:rsid w:val="5DC244D3"/>
    <w:rsid w:val="5DD91009"/>
    <w:rsid w:val="5E771AFF"/>
    <w:rsid w:val="5F1D3030"/>
    <w:rsid w:val="5F854756"/>
    <w:rsid w:val="60671F07"/>
    <w:rsid w:val="611A12B4"/>
    <w:rsid w:val="61636F3D"/>
    <w:rsid w:val="633F0F4B"/>
    <w:rsid w:val="639860B9"/>
    <w:rsid w:val="647B46E8"/>
    <w:rsid w:val="686A2A0B"/>
    <w:rsid w:val="68855DE1"/>
    <w:rsid w:val="69C952AD"/>
    <w:rsid w:val="6AFC7810"/>
    <w:rsid w:val="6B4641B9"/>
    <w:rsid w:val="6C4E167E"/>
    <w:rsid w:val="6CCD33BF"/>
    <w:rsid w:val="6D033010"/>
    <w:rsid w:val="6D105056"/>
    <w:rsid w:val="6E1C09C6"/>
    <w:rsid w:val="6E2D46E0"/>
    <w:rsid w:val="6ECA7E4F"/>
    <w:rsid w:val="719C4AD8"/>
    <w:rsid w:val="719F1EF7"/>
    <w:rsid w:val="723D7D34"/>
    <w:rsid w:val="724B58CA"/>
    <w:rsid w:val="72C61959"/>
    <w:rsid w:val="75901DEC"/>
    <w:rsid w:val="76742182"/>
    <w:rsid w:val="76C25275"/>
    <w:rsid w:val="797D10DD"/>
    <w:rsid w:val="7CF76F37"/>
    <w:rsid w:val="7E320A85"/>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2CD928B9"/>
  <w14:defaultImageDpi w14:val="0"/>
  <w15:docId w15:val="{E530C7C7-76E1-467B-BD96-DFBF8BDC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uiPriority="0" w:qFormat="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line="360" w:lineRule="auto"/>
      <w:jc w:val="both"/>
      <w:textAlignment w:val="baseline"/>
    </w:pPr>
    <w:rPr>
      <w:rFonts w:eastAsia="Times New Roman"/>
      <w:color w:val="000000"/>
      <w:sz w:val="24"/>
      <w:szCs w:val="22"/>
      <w:lang w:eastAsia="en-US"/>
    </w:rPr>
  </w:style>
  <w:style w:type="paragraph" w:styleId="Heading1">
    <w:name w:val="heading 1"/>
    <w:basedOn w:val="Normal"/>
    <w:next w:val="Normal"/>
    <w:link w:val="Heading1Char"/>
    <w:uiPriority w:val="9"/>
    <w:qFormat/>
    <w:pPr>
      <w:keepNext/>
      <w:suppressAutoHyphens w:val="0"/>
      <w:spacing w:before="240" w:after="240"/>
      <w:textAlignment w:val="auto"/>
      <w:outlineLvl w:val="0"/>
    </w:pPr>
    <w:rPr>
      <w:rFonts w:eastAsia="SimSun"/>
      <w:b/>
      <w:bCs/>
      <w:kern w:val="3"/>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olor w:val="1F3763" w:themeColor="accent1" w:themeShade="7F"/>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Pr>
      <w:rFonts w:ascii="Times New Roman" w:hAnsi="Times New Roman"/>
      <w:b/>
      <w:kern w:val="3"/>
      <w:sz w:val="32"/>
    </w:rPr>
  </w:style>
  <w:style w:type="character" w:customStyle="1" w:styleId="Heading2Char">
    <w:name w:val="Heading 2 Char"/>
    <w:basedOn w:val="DefaultParagraphFont"/>
    <w:link w:val="Heading2"/>
    <w:uiPriority w:val="9"/>
    <w:semiHidden/>
    <w:qFormat/>
    <w:locked/>
    <w:rPr>
      <w:rFonts w:asciiTheme="majorHAnsi" w:eastAsiaTheme="majorEastAsia" w:hAnsiTheme="majorHAnsi" w:cs="Times New Roman"/>
      <w:color w:val="2F5496" w:themeColor="accent1" w:themeShade="BF"/>
      <w:sz w:val="26"/>
      <w:szCs w:val="26"/>
      <w:lang w:val="x-none" w:eastAsia="en-US"/>
    </w:rPr>
  </w:style>
  <w:style w:type="character" w:customStyle="1" w:styleId="Heading3Char">
    <w:name w:val="Heading 3 Char"/>
    <w:basedOn w:val="DefaultParagraphFont"/>
    <w:link w:val="Heading3"/>
    <w:uiPriority w:val="9"/>
    <w:semiHidden/>
    <w:qFormat/>
    <w:locked/>
    <w:rPr>
      <w:rFonts w:asciiTheme="majorHAnsi" w:eastAsiaTheme="majorEastAsia" w:hAnsiTheme="majorHAnsi" w:cs="Times New Roman"/>
      <w:color w:val="1F3763" w:themeColor="accent1" w:themeShade="7F"/>
      <w:sz w:val="24"/>
      <w:szCs w:val="24"/>
      <w:lang w:val="x-none" w:eastAsia="en-US"/>
    </w:rPr>
  </w:style>
  <w:style w:type="character" w:customStyle="1" w:styleId="Heading4Char">
    <w:name w:val="Heading 4 Char"/>
    <w:basedOn w:val="DefaultParagraphFont"/>
    <w:link w:val="Heading4"/>
    <w:uiPriority w:val="9"/>
    <w:semiHidden/>
    <w:qFormat/>
    <w:locked/>
    <w:rPr>
      <w:rFonts w:asciiTheme="majorHAnsi" w:eastAsiaTheme="majorEastAsia" w:hAnsiTheme="majorHAnsi" w:cs="Times New Roman"/>
      <w:i/>
      <w:iCs/>
      <w:color w:val="2F5496" w:themeColor="accent1" w:themeShade="BF"/>
      <w:sz w:val="22"/>
      <w:szCs w:val="22"/>
      <w:lang w:val="x-none" w:eastAsia="en-US"/>
    </w:rPr>
  </w:style>
  <w:style w:type="character" w:customStyle="1" w:styleId="Heading5Char">
    <w:name w:val="Heading 5 Char"/>
    <w:basedOn w:val="DefaultParagraphFont"/>
    <w:link w:val="Heading5"/>
    <w:uiPriority w:val="9"/>
    <w:semiHidden/>
    <w:qFormat/>
    <w:locked/>
    <w:rPr>
      <w:rFonts w:asciiTheme="majorHAnsi" w:eastAsiaTheme="majorEastAsia" w:hAnsiTheme="majorHAnsi" w:cs="Times New Roman"/>
      <w:color w:val="2F5496" w:themeColor="accent1" w:themeShade="BF"/>
      <w:sz w:val="22"/>
      <w:szCs w:val="22"/>
      <w:lang w:val="x-none" w:eastAsia="en-US"/>
    </w:rPr>
  </w:style>
  <w:style w:type="character" w:styleId="LineNumber">
    <w:name w:val="line number"/>
    <w:basedOn w:val="DefaultParagraphFont"/>
    <w:uiPriority w:val="99"/>
    <w:semiHidden/>
    <w:unhideWhenUsed/>
    <w:qFormat/>
    <w:rPr>
      <w:rFonts w:cs="Times New Roman"/>
    </w:rPr>
  </w:style>
  <w:style w:type="character" w:styleId="Hyperlink">
    <w:name w:val="Hyperlink"/>
    <w:basedOn w:val="DefaultParagraphFont"/>
    <w:uiPriority w:val="99"/>
    <w:qFormat/>
    <w:rPr>
      <w:rFonts w:cs="Times New Roman"/>
      <w:color w:val="0563C1"/>
      <w:u w:val="single"/>
    </w:rPr>
  </w:style>
  <w:style w:type="character" w:styleId="Strong">
    <w:name w:val="Strong"/>
    <w:basedOn w:val="DefaultParagraphFont"/>
    <w:uiPriority w:val="22"/>
    <w:qFormat/>
    <w:rPr>
      <w:rFonts w:cs="Times New Roman"/>
      <w:b/>
      <w:bCs/>
    </w:rPr>
  </w:style>
  <w:style w:type="character" w:styleId="CommentReference">
    <w:name w:val="annotation reference"/>
    <w:basedOn w:val="DefaultParagraphFont"/>
    <w:uiPriority w:val="99"/>
    <w:qFormat/>
    <w:rPr>
      <w:sz w:val="16"/>
    </w:rPr>
  </w:style>
  <w:style w:type="character" w:styleId="Emphasis">
    <w:name w:val="Emphasis"/>
    <w:basedOn w:val="DefaultParagraphFont"/>
    <w:uiPriority w:val="20"/>
    <w:qFormat/>
    <w:rPr>
      <w:rFonts w:cs="Times New Roman"/>
      <w:i/>
      <w:iCs/>
    </w:rPr>
  </w:style>
  <w:style w:type="paragraph" w:styleId="CommentText">
    <w:name w:val="annotation text"/>
    <w:basedOn w:val="Normal"/>
    <w:link w:val="CommentTextChar"/>
    <w:uiPriority w:val="99"/>
    <w:qFormat/>
    <w:rPr>
      <w:sz w:val="20"/>
      <w:szCs w:val="20"/>
    </w:rPr>
  </w:style>
  <w:style w:type="character" w:customStyle="1" w:styleId="ListParagraphChar">
    <w:name w:val="List Paragraph Char"/>
    <w:aliases w:val="- List tir Char,liste 1 Char,puce 1 Char,Titre1 Char,Paragraphe de liste 1 Char,RM1 Char,Bullets Char,Liste couleur - Accent 11 Char,List Paragraph (numbered (a)) Char,Liste 1 Char,Paragraphe  revu Char,List Paragraph nowy Char"/>
    <w:link w:val="ListParagraph"/>
    <w:uiPriority w:val="1"/>
    <w:qFormat/>
    <w:locked/>
    <w:rsid w:val="00BB2470"/>
    <w:rPr>
      <w:rFonts w:eastAsia="Times New Roman"/>
      <w:color w:val="000000"/>
      <w:sz w:val="22"/>
      <w:lang w:val="x-none" w:eastAsia="en-US"/>
    </w:rPr>
  </w:style>
  <w:style w:type="paragraph" w:styleId="Caption">
    <w:name w:val="caption"/>
    <w:basedOn w:val="Normal"/>
    <w:next w:val="Normal"/>
    <w:uiPriority w:val="35"/>
    <w:qFormat/>
    <w:pPr>
      <w:suppressAutoHyphens w:val="0"/>
      <w:spacing w:line="276" w:lineRule="auto"/>
      <w:textAlignment w:val="auto"/>
    </w:pPr>
    <w:rPr>
      <w:b/>
      <w:bCs/>
      <w:sz w:val="20"/>
      <w:szCs w:val="20"/>
    </w:rPr>
  </w:style>
  <w:style w:type="paragraph" w:styleId="BodyText">
    <w:name w:val="Body Text"/>
    <w:basedOn w:val="Normal"/>
    <w:link w:val="BodyTextChar"/>
    <w:uiPriority w:val="99"/>
    <w:qFormat/>
    <w:pPr>
      <w:widowControl w:val="0"/>
      <w:suppressAutoHyphens w:val="0"/>
      <w:autoSpaceDE w:val="0"/>
      <w:jc w:val="left"/>
      <w:textAlignment w:val="auto"/>
    </w:pPr>
    <w:rPr>
      <w:rFonts w:eastAsia="SimSun"/>
      <w:color w:val="auto"/>
      <w:szCs w:val="24"/>
    </w:rPr>
  </w:style>
  <w:style w:type="character" w:customStyle="1" w:styleId="BodyTextChar">
    <w:name w:val="Body Text Char"/>
    <w:basedOn w:val="DefaultParagraphFont"/>
    <w:link w:val="BodyText"/>
    <w:uiPriority w:val="99"/>
    <w:qFormat/>
    <w:rPr>
      <w:rFonts w:ascii="Times New Roman" w:hAnsi="Times New Roman"/>
      <w:sz w:val="24"/>
    </w:rPr>
  </w:style>
  <w:style w:type="paragraph" w:styleId="BalloonText">
    <w:name w:val="Balloon Text"/>
    <w:basedOn w:val="Normal"/>
    <w:link w:val="BalloonTextChar"/>
    <w:uiPriority w:val="99"/>
    <w:qFormat/>
    <w:rPr>
      <w:rFonts w:ascii="Segoe UI" w:hAnsi="Segoe UI" w:cs="Segoe UI"/>
      <w:sz w:val="18"/>
      <w:szCs w:val="18"/>
    </w:rPr>
  </w:style>
  <w:style w:type="character" w:customStyle="1" w:styleId="BalloonTextChar">
    <w:name w:val="Balloon Text Char"/>
    <w:basedOn w:val="DefaultParagraphFont"/>
    <w:link w:val="BalloonText"/>
    <w:uiPriority w:val="99"/>
    <w:qFormat/>
    <w:rPr>
      <w:rFonts w:ascii="Segoe UI" w:hAnsi="Segoe UI"/>
      <w:sz w:val="18"/>
    </w:rPr>
  </w:style>
  <w:style w:type="paragraph" w:styleId="BodyText2">
    <w:name w:val="Body Text 2"/>
    <w:basedOn w:val="Normal"/>
    <w:link w:val="BodyText2Char"/>
    <w:uiPriority w:val="99"/>
    <w:semiHidden/>
    <w:unhideWhenUsed/>
    <w:qFormat/>
    <w:pPr>
      <w:suppressAutoHyphens w:val="0"/>
      <w:autoSpaceDN/>
      <w:spacing w:after="120" w:line="480" w:lineRule="auto"/>
      <w:textAlignment w:val="auto"/>
    </w:pPr>
    <w:rPr>
      <w:szCs w:val="24"/>
    </w:rPr>
  </w:style>
  <w:style w:type="character" w:customStyle="1" w:styleId="BodyText2Char">
    <w:name w:val="Body Text 2 Char"/>
    <w:basedOn w:val="DefaultParagraphFont"/>
    <w:link w:val="BodyText2"/>
    <w:uiPriority w:val="99"/>
    <w:semiHidden/>
    <w:qFormat/>
    <w:locked/>
    <w:rPr>
      <w:rFonts w:ascii="Times New Roman" w:hAnsi="Times New Roman" w:cs="Times New Roman"/>
      <w:color w:val="000000"/>
      <w:sz w:val="24"/>
      <w:szCs w:val="24"/>
      <w:lang w:val="x-none" w:eastAsia="en-US"/>
    </w:rPr>
  </w:style>
  <w:style w:type="paragraph" w:styleId="TOC3">
    <w:name w:val="toc 3"/>
    <w:basedOn w:val="Normal"/>
    <w:next w:val="Normal"/>
    <w:autoRedefine/>
    <w:uiPriority w:val="39"/>
    <w:unhideWhenUsed/>
    <w:qFormat/>
    <w:pPr>
      <w:suppressAutoHyphens w:val="0"/>
      <w:autoSpaceDN/>
      <w:spacing w:after="100" w:line="259" w:lineRule="auto"/>
      <w:ind w:left="440"/>
      <w:jc w:val="left"/>
      <w:textAlignment w:val="auto"/>
    </w:pPr>
    <w:rPr>
      <w:rFonts w:asciiTheme="minorHAnsi" w:eastAsiaTheme="minorEastAsia" w:hAnsiTheme="minorHAnsi"/>
      <w:color w:val="auto"/>
      <w:sz w:val="22"/>
      <w:lang w:eastAsia="fr-FR"/>
    </w:rPr>
  </w:style>
  <w:style w:type="paragraph" w:styleId="NormalWeb">
    <w:name w:val="Normal (Web)"/>
    <w:basedOn w:val="Normal"/>
    <w:uiPriority w:val="99"/>
    <w:unhideWhenUsed/>
    <w:qFormat/>
    <w:rPr>
      <w:szCs w:val="24"/>
    </w:rPr>
  </w:style>
  <w:style w:type="paragraph" w:styleId="Footer">
    <w:name w:val="footer"/>
    <w:basedOn w:val="Normal"/>
    <w:link w:val="FooterChar"/>
    <w:uiPriority w:val="99"/>
    <w:qFormat/>
    <w:pPr>
      <w:tabs>
        <w:tab w:val="center" w:pos="4536"/>
        <w:tab w:val="right" w:pos="9072"/>
      </w:tabs>
    </w:pPr>
  </w:style>
  <w:style w:type="character" w:customStyle="1" w:styleId="FooterChar">
    <w:name w:val="Footer Char"/>
    <w:basedOn w:val="DefaultParagraphFont"/>
    <w:link w:val="Footer"/>
    <w:uiPriority w:val="99"/>
    <w:qFormat/>
    <w:rPr>
      <w:rFonts w:ascii="Times New Roman" w:hAnsi="Times New Roman"/>
      <w:color w:val="000000"/>
      <w:sz w:val="24"/>
    </w:rPr>
  </w:style>
  <w:style w:type="paragraph" w:styleId="Header">
    <w:name w:val="header"/>
    <w:basedOn w:val="Normal"/>
    <w:link w:val="HeaderChar"/>
    <w:uiPriority w:val="99"/>
    <w:qFormat/>
    <w:pPr>
      <w:tabs>
        <w:tab w:val="center" w:pos="4536"/>
        <w:tab w:val="right" w:pos="9072"/>
      </w:tabs>
    </w:pPr>
  </w:style>
  <w:style w:type="character" w:customStyle="1" w:styleId="HeaderChar">
    <w:name w:val="Header Char"/>
    <w:basedOn w:val="DefaultParagraphFont"/>
    <w:link w:val="Header"/>
    <w:uiPriority w:val="99"/>
    <w:qFormat/>
    <w:rPr>
      <w:rFonts w:ascii="Times New Roman" w:hAnsi="Times New Roman"/>
      <w:color w:val="000000"/>
      <w:sz w:val="24"/>
    </w:rPr>
  </w:style>
  <w:style w:type="paragraph" w:styleId="TOC2">
    <w:name w:val="toc 2"/>
    <w:basedOn w:val="Normal"/>
    <w:next w:val="Normal"/>
    <w:autoRedefine/>
    <w:uiPriority w:val="39"/>
    <w:unhideWhenUsed/>
    <w:qFormat/>
    <w:pPr>
      <w:suppressAutoHyphens w:val="0"/>
      <w:autoSpaceDN/>
      <w:spacing w:after="100" w:line="259" w:lineRule="auto"/>
      <w:ind w:left="220"/>
      <w:jc w:val="left"/>
      <w:textAlignment w:val="auto"/>
    </w:pPr>
    <w:rPr>
      <w:rFonts w:asciiTheme="minorHAnsi" w:eastAsiaTheme="minorEastAsia" w:hAnsiTheme="minorHAnsi"/>
      <w:color w:val="auto"/>
      <w:sz w:val="22"/>
      <w:lang w:eastAsia="fr-FR"/>
    </w:rPr>
  </w:style>
  <w:style w:type="paragraph" w:styleId="ListBullet">
    <w:name w:val="List Bullet"/>
    <w:basedOn w:val="Normal"/>
    <w:uiPriority w:val="99"/>
    <w:semiHidden/>
    <w:unhideWhenUsed/>
    <w:pPr>
      <w:numPr>
        <w:numId w:val="2"/>
      </w:numPr>
    </w:pPr>
  </w:style>
  <w:style w:type="paragraph" w:styleId="TableofFigures">
    <w:name w:val="table of figures"/>
    <w:basedOn w:val="Normal"/>
    <w:next w:val="Normal"/>
    <w:uiPriority w:val="99"/>
    <w:unhideWhenUsed/>
    <w:qFormat/>
  </w:style>
  <w:style w:type="paragraph" w:styleId="Title">
    <w:name w:val="Title"/>
    <w:basedOn w:val="Normal"/>
    <w:next w:val="Normal"/>
    <w:link w:val="TitleChar"/>
    <w:uiPriority w:val="10"/>
    <w:qFormat/>
    <w:pPr>
      <w:spacing w:line="240" w:lineRule="auto"/>
      <w:contextualSpacing/>
    </w:pPr>
    <w:rPr>
      <w:rFonts w:asciiTheme="majorHAnsi" w:eastAsiaTheme="majorEastAsia" w:hAnsiTheme="majorHAnsi"/>
      <w:color w:val="auto"/>
      <w:spacing w:val="-10"/>
      <w:kern w:val="28"/>
      <w:sz w:val="56"/>
      <w:szCs w:val="56"/>
    </w:rPr>
  </w:style>
  <w:style w:type="character" w:customStyle="1" w:styleId="TitleChar">
    <w:name w:val="Title Char"/>
    <w:basedOn w:val="DefaultParagraphFont"/>
    <w:link w:val="Title"/>
    <w:uiPriority w:val="10"/>
    <w:qFormat/>
    <w:locked/>
    <w:rPr>
      <w:rFonts w:asciiTheme="majorHAnsi" w:eastAsiaTheme="majorEastAsia" w:hAnsiTheme="majorHAnsi" w:cs="Times New Roman"/>
      <w:spacing w:val="-10"/>
      <w:kern w:val="28"/>
      <w:sz w:val="56"/>
      <w:szCs w:val="56"/>
      <w:lang w:val="x-none" w:eastAsia="en-US"/>
    </w:rPr>
  </w:style>
  <w:style w:type="paragraph" w:styleId="TOC1">
    <w:name w:val="toc 1"/>
    <w:basedOn w:val="Normal"/>
    <w:next w:val="Normal"/>
    <w:autoRedefine/>
    <w:uiPriority w:val="39"/>
    <w:qFormat/>
    <w:pPr>
      <w:tabs>
        <w:tab w:val="right" w:leader="dot" w:pos="9062"/>
      </w:tabs>
      <w:ind w:left="993" w:hanging="993"/>
    </w:pPr>
    <w:rPr>
      <w:iCs/>
    </w:rPr>
  </w:style>
  <w:style w:type="paragraph" w:styleId="ListParagraph">
    <w:name w:val="List Paragraph"/>
    <w:aliases w:val="- List tir,liste 1,puce 1,Titre1,Paragraphe de liste 1,RM1,Bullets,Liste couleur - Accent 11,List Paragraph (numbered (a)),Liste 1,Paragraphe  revu,List Paragraph nowy,References,Medium Grid 1 - Accent 21,Numbered List Paragraph,Red"/>
    <w:basedOn w:val="Normal"/>
    <w:link w:val="ListParagraphChar"/>
    <w:uiPriority w:val="1"/>
    <w:qFormat/>
    <w:pPr>
      <w:ind w:left="720"/>
    </w:pPr>
  </w:style>
  <w:style w:type="paragraph" w:customStyle="1" w:styleId="Default">
    <w:name w:val="Default"/>
    <w:qFormat/>
    <w:pPr>
      <w:suppressAutoHyphens/>
      <w:autoSpaceDE w:val="0"/>
      <w:autoSpaceDN w:val="0"/>
      <w:textAlignment w:val="baseline"/>
    </w:pPr>
    <w:rPr>
      <w:rFonts w:eastAsia="Times New Roman"/>
      <w:color w:val="000000"/>
      <w:sz w:val="24"/>
      <w:szCs w:val="24"/>
      <w:lang w:eastAsia="en-US"/>
    </w:rPr>
  </w:style>
  <w:style w:type="paragraph" w:styleId="NoSpacing">
    <w:name w:val="No Spacing"/>
    <w:uiPriority w:val="1"/>
    <w:qFormat/>
    <w:pPr>
      <w:autoSpaceDN w:val="0"/>
    </w:pPr>
    <w:rPr>
      <w:rFonts w:ascii="Calibri" w:eastAsia="Times New Roman" w:hAnsi="Calibri"/>
      <w:sz w:val="22"/>
      <w:szCs w:val="22"/>
      <w:lang w:eastAsia="en-US"/>
    </w:rPr>
  </w:style>
  <w:style w:type="character" w:styleId="PlaceholderText">
    <w:name w:val="Placeholder Text"/>
    <w:basedOn w:val="DefaultParagraphFont"/>
    <w:uiPriority w:val="99"/>
    <w:qFormat/>
    <w:rPr>
      <w:color w:val="808080"/>
    </w:rPr>
  </w:style>
  <w:style w:type="character" w:customStyle="1" w:styleId="Normal1">
    <w:name w:val="Normal1"/>
    <w:basedOn w:val="DefaultParagraphFont"/>
    <w:qFormat/>
    <w:rPr>
      <w:rFonts w:cs="Times New Roman"/>
    </w:rPr>
  </w:style>
  <w:style w:type="character" w:customStyle="1" w:styleId="Mentionnonrsolue1">
    <w:name w:val="Mention non résolue1"/>
    <w:basedOn w:val="DefaultParagraphFont"/>
    <w:uiPriority w:val="99"/>
    <w:semiHidden/>
    <w:unhideWhenUsed/>
    <w:qFormat/>
    <w:rPr>
      <w:rFonts w:cs="Times New Roman"/>
      <w:color w:val="605E5C"/>
      <w:shd w:val="clear" w:color="auto" w:fill="E1DFDD"/>
    </w:rPr>
  </w:style>
  <w:style w:type="paragraph" w:customStyle="1" w:styleId="En-ttedetabledesmatires1">
    <w:name w:val="En-tête de table des matières1"/>
    <w:basedOn w:val="Heading1"/>
    <w:next w:val="Normal"/>
    <w:uiPriority w:val="39"/>
    <w:unhideWhenUsed/>
    <w:qFormat/>
    <w:pPr>
      <w:keepLines/>
      <w:autoSpaceDN/>
      <w:spacing w:after="0" w:line="259" w:lineRule="auto"/>
      <w:jc w:val="left"/>
      <w:outlineLvl w:val="9"/>
    </w:pPr>
    <w:rPr>
      <w:rFonts w:asciiTheme="majorHAnsi" w:eastAsiaTheme="majorEastAsia" w:hAnsiTheme="majorHAnsi"/>
      <w:b w:val="0"/>
      <w:bCs w:val="0"/>
      <w:color w:val="2F5496" w:themeColor="accent1" w:themeShade="BF"/>
      <w:kern w:val="0"/>
      <w:sz w:val="32"/>
      <w:lang w:eastAsia="fr-FR"/>
    </w:rPr>
  </w:style>
  <w:style w:type="table" w:styleId="TableGrid">
    <w:name w:val="Table Grid"/>
    <w:basedOn w:val="TableNormal"/>
    <w:uiPriority w:val="39"/>
    <w:qFormat/>
    <w:rPr>
      <w:rFonts w:ascii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4iawc">
    <w:name w:val="q4iawc"/>
    <w:basedOn w:val="DefaultParagraphFont"/>
    <w:qFormat/>
    <w:rPr>
      <w:rFonts w:cs="Times New Roman"/>
    </w:rPr>
  </w:style>
  <w:style w:type="table" w:customStyle="1" w:styleId="Grilledetableauclaire1">
    <w:name w:val="Grille de tableau claire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ausimple11">
    <w:name w:val="Tableau simple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customStyle="1" w:styleId="Tableausimple21">
    <w:name w:val="Tableau simple 21"/>
    <w:basedOn w:val="TableNormal"/>
    <w:uiPriority w:val="42"/>
    <w:qFormat/>
    <w:rPr>
      <w:rFonts w:asciiTheme="minorHAnsi" w:hAnsiTheme="minorHAnsi"/>
      <w:kern w:val="2"/>
      <w:sz w:val="22"/>
      <w:szCs w:val="22"/>
      <w:lang w:eastAsia="en-US"/>
    </w:rPr>
    <w:tblPr>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table" w:customStyle="1" w:styleId="Tableausimple41">
    <w:name w:val="Tableau simple 41"/>
    <w:basedOn w:val="TableNormal"/>
    <w:uiPriority w:val="44"/>
    <w:qFormat/>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customStyle="1" w:styleId="TableauGrille21">
    <w:name w:val="Tableau Grille 21"/>
    <w:basedOn w:val="TableNormal"/>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rFonts w:cs="Times New Roman"/>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rFonts w:cs="Times New Roman"/>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paragraph" w:customStyle="1" w:styleId="Rvision1">
    <w:name w:val="Révision1"/>
    <w:hidden/>
    <w:uiPriority w:val="99"/>
    <w:semiHidden/>
    <w:qFormat/>
    <w:rPr>
      <w:rFonts w:eastAsia="Times New Roman"/>
      <w:color w:val="000000"/>
      <w:sz w:val="24"/>
      <w:szCs w:val="22"/>
      <w:lang w:eastAsia="en-US"/>
    </w:rPr>
  </w:style>
  <w:style w:type="character" w:customStyle="1" w:styleId="ref-journal">
    <w:name w:val="ref-journal"/>
    <w:basedOn w:val="DefaultParagraphFont"/>
    <w:qFormat/>
    <w:rPr>
      <w:rFonts w:cs="Times New Roman"/>
    </w:rPr>
  </w:style>
  <w:style w:type="character" w:customStyle="1" w:styleId="ref-vol">
    <w:name w:val="ref-vol"/>
    <w:basedOn w:val="DefaultParagraphFont"/>
    <w:qFormat/>
    <w:rPr>
      <w:rFonts w:cs="Times New Roman"/>
    </w:rPr>
  </w:style>
  <w:style w:type="character" w:customStyle="1" w:styleId="Mentionnonrsolue2">
    <w:name w:val="Mention non résolue2"/>
    <w:basedOn w:val="DefaultParagraphFont"/>
    <w:uiPriority w:val="99"/>
    <w:semiHidden/>
    <w:unhideWhenUsed/>
    <w:rsid w:val="006839DE"/>
    <w:rPr>
      <w:rFonts w:cs="Times New Roman"/>
      <w:color w:val="605E5C"/>
      <w:shd w:val="clear" w:color="auto" w:fill="E1DFDD"/>
    </w:rPr>
  </w:style>
  <w:style w:type="paragraph" w:styleId="CommentSubject">
    <w:name w:val="annotation subject"/>
    <w:basedOn w:val="CommentText"/>
    <w:next w:val="CommentText"/>
    <w:link w:val="CommentSubjectChar"/>
    <w:uiPriority w:val="99"/>
    <w:semiHidden/>
    <w:unhideWhenUsed/>
    <w:rsid w:val="00C1087F"/>
    <w:pPr>
      <w:spacing w:line="240" w:lineRule="auto"/>
    </w:pPr>
    <w:rPr>
      <w:b/>
      <w:bCs/>
    </w:rPr>
  </w:style>
  <w:style w:type="character" w:customStyle="1" w:styleId="CommentSubjectChar">
    <w:name w:val="Comment Subject Char"/>
    <w:basedOn w:val="CommentTextChar"/>
    <w:link w:val="CommentSubject"/>
    <w:uiPriority w:val="99"/>
    <w:semiHidden/>
    <w:locked/>
    <w:rsid w:val="00C1087F"/>
    <w:rPr>
      <w:rFonts w:eastAsia="Times New Roman" w:cs="Times New Roman"/>
      <w:b/>
      <w:bCs/>
      <w:color w:val="000000"/>
      <w:lang w:val="x-none" w:eastAsia="en-US"/>
    </w:rPr>
  </w:style>
  <w:style w:type="character" w:customStyle="1" w:styleId="CommentTextChar">
    <w:name w:val="Comment Text Char"/>
    <w:basedOn w:val="DefaultParagraphFont"/>
    <w:link w:val="CommentText"/>
    <w:locked/>
    <w:rsid w:val="00C1087F"/>
    <w:rPr>
      <w:rFonts w:eastAsia="Times New Roman" w:cs="Times New Roman"/>
      <w:color w:val="000000"/>
      <w:lang w:val="x-none" w:eastAsia="en-US"/>
    </w:rPr>
  </w:style>
  <w:style w:type="character" w:styleId="UnresolvedMention">
    <w:name w:val="Unresolved Mention"/>
    <w:basedOn w:val="DefaultParagraphFont"/>
    <w:uiPriority w:val="99"/>
    <w:semiHidden/>
    <w:unhideWhenUsed/>
    <w:rsid w:val="00B94B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12917-024-04366-4" TargetMode="External"/><Relationship Id="rId18" Type="http://schemas.openxmlformats.org/officeDocument/2006/relationships/hyperlink" Target="https://doi.org/10.35759/JABs.153.9?utm_source=chatgpt.com" TargetMode="External"/><Relationship Id="rId26" Type="http://schemas.openxmlformats.org/officeDocument/2006/relationships/hyperlink" Target="https://doi.org/10.1007/978-94-011-4008-9_4?utm_source=chatgpt.com" TargetMode="External"/><Relationship Id="rId39" Type="http://schemas.openxmlformats.org/officeDocument/2006/relationships/theme" Target="theme/theme1.xml"/><Relationship Id="rId21" Type="http://schemas.openxmlformats.org/officeDocument/2006/relationships/hyperlink" Target="https://doi.org/10.2478/boku-2021-0002?utm_source=chatgpt.com"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hyperlink" Target="https://doi.org/10.9734/ajfar/2023/v25i3664?utm_source=chatgpt.com" TargetMode="External"/><Relationship Id="rId25" Type="http://schemas.openxmlformats.org/officeDocument/2006/relationships/hyperlink" Target="https://doi.org/10.1016/j.heliyon.2024.e35877?utm_source=chatgpt.com"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33545/26649926.2022.v4.i1a.52?utm_source=chatgpt.com" TargetMode="External"/><Relationship Id="rId20" Type="http://schemas.openxmlformats.org/officeDocument/2006/relationships/hyperlink" Target="https://www.partenariat.gouv.ci/uploads/document/PONADEPA_2022-2026.pdf?download=1&amp;utm_source=chatgpt.com" TargetMode="External"/><Relationship Id="rId29" Type="http://schemas.openxmlformats.org/officeDocument/2006/relationships/hyperlink" Target="https://doi.org/10.1007/s11250-024-04042-7?utm_source=chatgp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s://doi.org/10.56557/upjoz/2025/v46i34796?utm_source=chatgpt.com"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doi.org/10.1111/anu.13221" TargetMode="External"/><Relationship Id="rId23" Type="http://schemas.openxmlformats.org/officeDocument/2006/relationships/hyperlink" Target="https://doi.org/10.24941/ijcr.49322.08.2025?utm_source=chatgpt.com" TargetMode="External"/><Relationship Id="rId28" Type="http://schemas.openxmlformats.org/officeDocument/2006/relationships/hyperlink" Target="https://ijias.issr-journals.org/abstract.php?article=IJIAS-23-088-03&amp;utm_source=chatgpt.com" TargetMode="External"/><Relationship Id="rId36"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yperlink" Target="https://doi.org/10.1111/j.1095-8649.1992.tb02554.x?utm_source=chatgpt.com" TargetMode="External"/><Relationship Id="rId31" Type="http://schemas.openxmlformats.org/officeDocument/2006/relationships/hyperlink" Target="https://www.ajol.info/index.php/aga/article/download/164967/154463/0?utm_source=chatgpt.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1016/j.aquaculture.2023.739620" TargetMode="External"/><Relationship Id="rId22" Type="http://schemas.openxmlformats.org/officeDocument/2006/relationships/hyperlink" Target="https://doi.org/10.9734/jabb/2025/v28i32073?utm_source=chatgpt.com" TargetMode="External"/><Relationship Id="rId27" Type="http://schemas.openxmlformats.org/officeDocument/2006/relationships/hyperlink" Target="https://doi.org/10.1111/are.12463" TargetMode="External"/><Relationship Id="rId30" Type="http://schemas.openxmlformats.org/officeDocument/2006/relationships/hyperlink" Target="https://doi.org/10.19044/esj.2023.v19n9p174?utm_source=chatgpt.com" TargetMode="External"/><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OH_KOUASSI%20N\Desktop\MEMOIRE%20Nguessan%20UPGC%201.dot"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16180473576801"/>
          <c:y val="2.6801570016513902E-2"/>
          <c:w val="0.76384423160397097"/>
          <c:h val="0.76856975324892896"/>
        </c:manualLayout>
      </c:layout>
      <c:lineChart>
        <c:grouping val="standard"/>
        <c:varyColors val="0"/>
        <c:ser>
          <c:idx val="0"/>
          <c:order val="0"/>
          <c:tx>
            <c:strRef>
              <c:f>'COURBE DES POIDS'!$B$2</c:f>
              <c:strCache>
                <c:ptCount val="1"/>
                <c:pt idx="0">
                  <c:v>10% Ration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'COURBE DES POIDS'!$B$12:$B$17</c:f>
                <c:numCache>
                  <c:formatCode>General</c:formatCode>
                  <c:ptCount val="6"/>
                  <c:pt idx="0">
                    <c:v>7.3967995564406701</c:v>
                  </c:pt>
                  <c:pt idx="1">
                    <c:v>29.142929585537299</c:v>
                  </c:pt>
                  <c:pt idx="2">
                    <c:v>78.351550828566104</c:v>
                  </c:pt>
                  <c:pt idx="3">
                    <c:v>155.68498993786801</c:v>
                  </c:pt>
                  <c:pt idx="4">
                    <c:v>240.497807479193</c:v>
                  </c:pt>
                  <c:pt idx="5">
                    <c:v>381.57206577435699</c:v>
                  </c:pt>
                </c:numCache>
              </c:numRef>
            </c:plus>
            <c:minus>
              <c:numRef>
                <c:f>'COURBE DES POIDS'!$B$12:$B$17</c:f>
                <c:numCache>
                  <c:formatCode>General</c:formatCode>
                  <c:ptCount val="6"/>
                  <c:pt idx="0">
                    <c:v>7.3967995564406701</c:v>
                  </c:pt>
                  <c:pt idx="1">
                    <c:v>29.142929585537299</c:v>
                  </c:pt>
                  <c:pt idx="2">
                    <c:v>78.351550828566104</c:v>
                  </c:pt>
                  <c:pt idx="3">
                    <c:v>155.68498993786801</c:v>
                  </c:pt>
                  <c:pt idx="4">
                    <c:v>240.497807479193</c:v>
                  </c:pt>
                  <c:pt idx="5">
                    <c:v>381.57206577435699</c:v>
                  </c:pt>
                </c:numCache>
              </c:numRef>
            </c:minus>
            <c:spPr>
              <a:noFill/>
              <a:ln w="19050" cap="flat" cmpd="sng" algn="ctr">
                <a:solidFill>
                  <a:schemeClr val="accent1"/>
                </a:solidFill>
                <a:round/>
              </a:ln>
              <a:effectLst/>
            </c:spPr>
          </c:errBars>
          <c:cat>
            <c:strRef>
              <c:f>'COURBE DES POIDS'!$A$3:$A$8</c:f>
              <c:strCache>
                <c:ptCount val="6"/>
                <c:pt idx="0">
                  <c:v>Week 0</c:v>
                </c:pt>
                <c:pt idx="1">
                  <c:v>Week 1</c:v>
                </c:pt>
                <c:pt idx="2">
                  <c:v>Week 2</c:v>
                </c:pt>
                <c:pt idx="3">
                  <c:v>Week 3</c:v>
                </c:pt>
                <c:pt idx="4">
                  <c:v>Week 4</c:v>
                </c:pt>
                <c:pt idx="5">
                  <c:v>Week 5</c:v>
                </c:pt>
              </c:strCache>
            </c:strRef>
          </c:cat>
          <c:val>
            <c:numRef>
              <c:f>'COURBE DES POIDS'!$B$3:$B$8</c:f>
              <c:numCache>
                <c:formatCode>General</c:formatCode>
                <c:ptCount val="6"/>
                <c:pt idx="0">
                  <c:v>30.66</c:v>
                </c:pt>
                <c:pt idx="1">
                  <c:v>157</c:v>
                </c:pt>
                <c:pt idx="2">
                  <c:v>273</c:v>
                </c:pt>
                <c:pt idx="3">
                  <c:v>550.33000000000004</c:v>
                </c:pt>
                <c:pt idx="4">
                  <c:v>1012.33</c:v>
                </c:pt>
                <c:pt idx="5">
                  <c:v>1574</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AC6B-48AB-A20E-6D51D3AC6C42}"/>
            </c:ext>
          </c:extLst>
        </c:ser>
        <c:ser>
          <c:idx val="1"/>
          <c:order val="1"/>
          <c:tx>
            <c:strRef>
              <c:f>'COURBE DES POIDS'!$C$2</c:f>
              <c:strCache>
                <c:ptCount val="1"/>
                <c:pt idx="0">
                  <c:v>20% Ration</c:v>
                </c:pt>
              </c:strCache>
            </c:strRef>
          </c:tx>
          <c:spPr>
            <a:ln w="28575" cap="rnd">
              <a:solidFill>
                <a:sysClr val="windowText" lastClr="000000"/>
              </a:solidFill>
              <a:round/>
            </a:ln>
            <a:effectLst/>
          </c:spPr>
          <c:marker>
            <c:symbol val="circle"/>
            <c:size val="5"/>
            <c:spPr>
              <a:solidFill>
                <a:schemeClr val="accent2"/>
              </a:solidFill>
              <a:ln w="9525">
                <a:solidFill>
                  <a:sysClr val="windowText" lastClr="000000"/>
                </a:solidFill>
              </a:ln>
              <a:effectLst/>
            </c:spPr>
          </c:marker>
          <c:errBars>
            <c:errDir val="y"/>
            <c:errBarType val="both"/>
            <c:errValType val="cust"/>
            <c:noEndCap val="0"/>
            <c:plus>
              <c:numRef>
                <c:f>'COURBE DES POIDS'!$C$12:$C$17</c:f>
                <c:numCache>
                  <c:formatCode>General</c:formatCode>
                  <c:ptCount val="6"/>
                  <c:pt idx="0">
                    <c:v>7.3967995564406701</c:v>
                  </c:pt>
                  <c:pt idx="1">
                    <c:v>24.765567494675601</c:v>
                  </c:pt>
                  <c:pt idx="2">
                    <c:v>65.692596549225499</c:v>
                  </c:pt>
                  <c:pt idx="3">
                    <c:v>121.723258764042</c:v>
                  </c:pt>
                  <c:pt idx="4">
                    <c:v>196.37549066350701</c:v>
                  </c:pt>
                  <c:pt idx="5">
                    <c:v>297.71235056369602</c:v>
                  </c:pt>
                </c:numCache>
              </c:numRef>
            </c:plus>
            <c:minus>
              <c:numRef>
                <c:f>'COURBE DES POIDS'!$C$12:$C$17</c:f>
                <c:numCache>
                  <c:formatCode>General</c:formatCode>
                  <c:ptCount val="6"/>
                  <c:pt idx="0">
                    <c:v>7.3967995564406701</c:v>
                  </c:pt>
                  <c:pt idx="1">
                    <c:v>24.765567494675601</c:v>
                  </c:pt>
                  <c:pt idx="2">
                    <c:v>65.692596549225499</c:v>
                  </c:pt>
                  <c:pt idx="3">
                    <c:v>121.723258764042</c:v>
                  </c:pt>
                  <c:pt idx="4">
                    <c:v>196.37549066350701</c:v>
                  </c:pt>
                  <c:pt idx="5">
                    <c:v>297.71235056369602</c:v>
                  </c:pt>
                </c:numCache>
              </c:numRef>
            </c:minus>
            <c:spPr>
              <a:noFill/>
              <a:ln w="12700" cap="flat" cmpd="sng" algn="ctr">
                <a:solidFill>
                  <a:sysClr val="windowText" lastClr="000000"/>
                </a:solidFill>
                <a:round/>
              </a:ln>
              <a:effectLst/>
            </c:spPr>
          </c:errBars>
          <c:cat>
            <c:strRef>
              <c:f>'COURBE DES POIDS'!$A$3:$A$8</c:f>
              <c:strCache>
                <c:ptCount val="6"/>
                <c:pt idx="0">
                  <c:v>Week 0</c:v>
                </c:pt>
                <c:pt idx="1">
                  <c:v>Week 1</c:v>
                </c:pt>
                <c:pt idx="2">
                  <c:v>Week 2</c:v>
                </c:pt>
                <c:pt idx="3">
                  <c:v>Week 3</c:v>
                </c:pt>
                <c:pt idx="4">
                  <c:v>Week 4</c:v>
                </c:pt>
                <c:pt idx="5">
                  <c:v>Week 5</c:v>
                </c:pt>
              </c:strCache>
            </c:strRef>
          </c:cat>
          <c:val>
            <c:numRef>
              <c:f>'COURBE DES POIDS'!$C$3:$C$8</c:f>
              <c:numCache>
                <c:formatCode>General</c:formatCode>
                <c:ptCount val="6"/>
                <c:pt idx="0">
                  <c:v>30.66</c:v>
                </c:pt>
                <c:pt idx="1">
                  <c:v>160.66</c:v>
                </c:pt>
                <c:pt idx="2">
                  <c:v>325</c:v>
                </c:pt>
                <c:pt idx="3">
                  <c:v>622</c:v>
                </c:pt>
                <c:pt idx="4">
                  <c:v>1114.33</c:v>
                </c:pt>
                <c:pt idx="5">
                  <c:v>1745.33</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AC6B-48AB-A20E-6D51D3AC6C42}"/>
            </c:ext>
          </c:extLst>
        </c:ser>
        <c:ser>
          <c:idx val="2"/>
          <c:order val="2"/>
          <c:tx>
            <c:strRef>
              <c:f>'COURBE DES POIDS'!$D$2</c:f>
              <c:strCache>
                <c:ptCount val="1"/>
                <c:pt idx="0">
                  <c:v>30% Ration</c:v>
                </c:pt>
              </c:strCache>
            </c:strRef>
          </c:tx>
          <c:spPr>
            <a:ln w="19050" cap="rnd">
              <a:solidFill>
                <a:srgbClr val="FF0000"/>
              </a:solidFill>
              <a:round/>
            </a:ln>
            <a:effectLst/>
          </c:spPr>
          <c:marker>
            <c:symbol val="circle"/>
            <c:size val="5"/>
            <c:spPr>
              <a:solidFill>
                <a:srgbClr val="FF0000"/>
              </a:solidFill>
              <a:ln w="19050">
                <a:solidFill>
                  <a:srgbClr val="FF0000"/>
                </a:solidFill>
              </a:ln>
              <a:effectLst/>
            </c:spPr>
          </c:marker>
          <c:errBars>
            <c:errDir val="y"/>
            <c:errBarType val="both"/>
            <c:errValType val="cust"/>
            <c:noEndCap val="0"/>
            <c:plus>
              <c:numRef>
                <c:f>'COURBE DES POIDS'!$D$12:$D$17</c:f>
                <c:numCache>
                  <c:formatCode>General</c:formatCode>
                  <c:ptCount val="6"/>
                  <c:pt idx="0">
                    <c:v>7.3967995564406701</c:v>
                  </c:pt>
                  <c:pt idx="1">
                    <c:v>22.765672888561099</c:v>
                  </c:pt>
                  <c:pt idx="2">
                    <c:v>67.542238806457306</c:v>
                  </c:pt>
                  <c:pt idx="3">
                    <c:v>117.44502259922901</c:v>
                  </c:pt>
                  <c:pt idx="4">
                    <c:v>210.16796785581701</c:v>
                  </c:pt>
                  <c:pt idx="5">
                    <c:v>250.71484007629601</c:v>
                  </c:pt>
                </c:numCache>
              </c:numRef>
            </c:plus>
            <c:minus>
              <c:numRef>
                <c:f>'COURBE DES POIDS'!$D$12:$D$17</c:f>
                <c:numCache>
                  <c:formatCode>General</c:formatCode>
                  <c:ptCount val="6"/>
                  <c:pt idx="0">
                    <c:v>7.3967995564406701</c:v>
                  </c:pt>
                  <c:pt idx="1">
                    <c:v>22.765672888561099</c:v>
                  </c:pt>
                  <c:pt idx="2">
                    <c:v>67.542238806457306</c:v>
                  </c:pt>
                  <c:pt idx="3">
                    <c:v>117.44502259922901</c:v>
                  </c:pt>
                  <c:pt idx="4">
                    <c:v>210.16796785581701</c:v>
                  </c:pt>
                  <c:pt idx="5">
                    <c:v>250.71484007629601</c:v>
                  </c:pt>
                </c:numCache>
              </c:numRef>
            </c:minus>
            <c:spPr>
              <a:noFill/>
              <a:ln w="19050" cap="flat" cmpd="sng" algn="ctr">
                <a:solidFill>
                  <a:srgbClr val="FF0000"/>
                </a:solidFill>
                <a:round/>
              </a:ln>
              <a:effectLst/>
            </c:spPr>
          </c:errBars>
          <c:cat>
            <c:strRef>
              <c:f>'COURBE DES POIDS'!$A$3:$A$8</c:f>
              <c:strCache>
                <c:ptCount val="6"/>
                <c:pt idx="0">
                  <c:v>Week 0</c:v>
                </c:pt>
                <c:pt idx="1">
                  <c:v>Week 1</c:v>
                </c:pt>
                <c:pt idx="2">
                  <c:v>Week 2</c:v>
                </c:pt>
                <c:pt idx="3">
                  <c:v>Week 3</c:v>
                </c:pt>
                <c:pt idx="4">
                  <c:v>Week 4</c:v>
                </c:pt>
                <c:pt idx="5">
                  <c:v>Week 5</c:v>
                </c:pt>
              </c:strCache>
            </c:strRef>
          </c:cat>
          <c:val>
            <c:numRef>
              <c:f>'COURBE DES POIDS'!$D$3:$D$8</c:f>
              <c:numCache>
                <c:formatCode>General</c:formatCode>
                <c:ptCount val="6"/>
                <c:pt idx="0">
                  <c:v>30.66</c:v>
                </c:pt>
                <c:pt idx="1">
                  <c:v>157</c:v>
                </c:pt>
                <c:pt idx="2">
                  <c:v>303.66000000000003</c:v>
                </c:pt>
                <c:pt idx="3">
                  <c:v>622.33000000000004</c:v>
                </c:pt>
                <c:pt idx="4">
                  <c:v>1095.33</c:v>
                </c:pt>
                <c:pt idx="5">
                  <c:v>1712</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AC6B-48AB-A20E-6D51D3AC6C42}"/>
            </c:ext>
          </c:extLst>
        </c:ser>
        <c:dLbls>
          <c:showLegendKey val="0"/>
          <c:showVal val="0"/>
          <c:showCatName val="0"/>
          <c:showSerName val="0"/>
          <c:showPercent val="0"/>
          <c:showBubbleSize val="0"/>
        </c:dLbls>
        <c:marker val="1"/>
        <c:smooth val="0"/>
        <c:axId val="296262656"/>
        <c:axId val="295085568"/>
      </c:lineChart>
      <c:catAx>
        <c:axId val="296262656"/>
        <c:scaling>
          <c:orientation val="minMax"/>
        </c:scaling>
        <c:delete val="0"/>
        <c:axPos val="b"/>
        <c:title>
          <c:tx>
            <c:rich>
              <a:bodyPr rot="0" spcFirstLastPara="1" vertOverflow="ellipsis" vert="horz" wrap="square" anchor="ctr" anchorCtr="1"/>
              <a:lstStyle/>
              <a:p>
                <a:pPr>
                  <a:defRPr lang="fr-FR" sz="11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fr-FR" sz="1100" b="1">
                    <a:solidFill>
                      <a:sysClr val="windowText" lastClr="000000"/>
                    </a:solidFill>
                    <a:latin typeface="Times New Roman" panose="02020603050405020304" charset="0"/>
                    <a:cs typeface="Times New Roman" panose="02020603050405020304" charset="0"/>
                  </a:rPr>
                  <a:t>Rearing Period (Weeks)</a:t>
                </a:r>
              </a:p>
            </c:rich>
          </c:tx>
          <c:layout>
            <c:manualLayout>
              <c:xMode val="edge"/>
              <c:yMode val="edge"/>
              <c:x val="0.36017476630460199"/>
              <c:y val="0.91232366228225203"/>
            </c:manualLayout>
          </c:layout>
          <c:overlay val="0"/>
          <c:spPr>
            <a:noFill/>
            <a:ln>
              <a:noFill/>
            </a:ln>
            <a:effectLst/>
          </c:sp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lang="fr-FR" sz="11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crossAx val="295085568"/>
        <c:crosses val="autoZero"/>
        <c:auto val="1"/>
        <c:lblAlgn val="ctr"/>
        <c:lblOffset val="100"/>
        <c:noMultiLvlLbl val="0"/>
      </c:catAx>
      <c:valAx>
        <c:axId val="295085568"/>
        <c:scaling>
          <c:orientation val="minMax"/>
        </c:scaling>
        <c:delete val="0"/>
        <c:axPos val="l"/>
        <c:title>
          <c:tx>
            <c:rich>
              <a:bodyPr rot="-5400000" spcFirstLastPara="1" vertOverflow="ellipsis" vert="horz" wrap="square" anchor="ctr" anchorCtr="1"/>
              <a:lstStyle/>
              <a:p>
                <a:pPr>
                  <a:defRPr lang="fr-FR" sz="11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fr-FR" sz="1100" b="1" baseline="0">
                    <a:solidFill>
                      <a:sysClr val="windowText" lastClr="000000"/>
                    </a:solidFill>
                    <a:latin typeface="Times New Roman" panose="02020603050405020304" charset="0"/>
                    <a:cs typeface="Times New Roman" panose="02020603050405020304" charset="0"/>
                  </a:rPr>
                  <a:t>Average Larval </a:t>
                </a:r>
                <a:r>
                  <a:rPr lang="fr-FR" sz="1100" b="1">
                    <a:solidFill>
                      <a:sysClr val="windowText" lastClr="000000"/>
                    </a:solidFill>
                    <a:latin typeface="Times New Roman" panose="02020603050405020304" charset="0"/>
                    <a:cs typeface="Times New Roman" panose="02020603050405020304" charset="0"/>
                  </a:rPr>
                  <a:t>Weight </a:t>
                </a:r>
                <a:r>
                  <a:rPr lang="fr-FR" sz="1100" b="1" baseline="0">
                    <a:solidFill>
                      <a:sysClr val="windowText" lastClr="000000"/>
                    </a:solidFill>
                    <a:latin typeface="Times New Roman" panose="02020603050405020304" charset="0"/>
                    <a:cs typeface="Times New Roman" panose="02020603050405020304" charset="0"/>
                  </a:rPr>
                  <a:t>(mg)</a:t>
                </a:r>
                <a:endParaRPr lang="fr-FR" sz="1100" b="1">
                  <a:solidFill>
                    <a:sysClr val="windowText" lastClr="000000"/>
                  </a:solidFill>
                  <a:latin typeface="Times New Roman" panose="02020603050405020304" charset="0"/>
                  <a:cs typeface="Times New Roman" panose="02020603050405020304" charset="0"/>
                </a:endParaRPr>
              </a:p>
            </c:rich>
          </c:tx>
          <c:layout>
            <c:manualLayout>
              <c:xMode val="edge"/>
              <c:yMode val="edge"/>
              <c:x val="1.5733684187587499E-2"/>
              <c:y val="0.116474592830818"/>
            </c:manualLayout>
          </c:layout>
          <c:overlay val="0"/>
          <c:spPr>
            <a:noFill/>
            <a:ln>
              <a:noFill/>
            </a:ln>
            <a:effectLst/>
          </c:spPr>
        </c:title>
        <c:numFmt formatCode="General" sourceLinked="1"/>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lang="fr-FR" sz="11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crossAx val="296262656"/>
        <c:crosses val="autoZero"/>
        <c:crossBetween val="midCat"/>
      </c:valAx>
      <c:spPr>
        <a:noFill/>
        <a:ln w="19050">
          <a:noFill/>
        </a:ln>
        <a:effectLst/>
      </c:spPr>
    </c:plotArea>
    <c:legend>
      <c:legendPos val="t"/>
      <c:layout>
        <c:manualLayout>
          <c:xMode val="edge"/>
          <c:yMode val="edge"/>
          <c:x val="0.35351001594144099"/>
          <c:y val="4.0414139576767198E-2"/>
          <c:w val="0.28004275982618398"/>
          <c:h val="0.20553454754325901"/>
        </c:manualLayout>
      </c:layout>
      <c:overlay val="0"/>
      <c:spPr>
        <a:noFill/>
        <a:ln>
          <a:noFill/>
        </a:ln>
        <a:effectLst/>
      </c:spPr>
      <c:txPr>
        <a:bodyPr rot="0" spcFirstLastPara="1" vertOverflow="ellipsis" vert="horz" wrap="square" anchor="ctr" anchorCtr="1"/>
        <a:lstStyle/>
        <a:p>
          <a:pPr>
            <a:defRPr lang="fr-FR" sz="10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legend>
    <c:plotVisOnly val="1"/>
    <c:dispBlanksAs val="gap"/>
    <c:showDLblsOverMax val="0"/>
    <c:extLst xmlns:mc="http://schemas.openxmlformats.org/markup-compatibility/2006" xmlns:c14="http://schemas.microsoft.com/office/drawing/2007/8/2/chart" xmlns:c16="http://schemas.microsoft.com/office/drawing/2014/chart">
      <c:ext uri="{0b15fc19-7d7d-44ad-8c2d-2c3a37ce22c3}">
        <chartProps xmlns="https://web.wps.cn/et/2018/main" chartId="{05107685-98b9-41cb-ab2a-8ef0150cc61d}"/>
      </c:ext>
    </c:extLst>
  </c:chart>
  <c:spPr>
    <a:solidFill>
      <a:schemeClr val="bg1"/>
    </a:solidFill>
    <a:ln w="6350" cap="flat" cmpd="sng" algn="ctr">
      <a:noFill/>
      <a:round/>
    </a:ln>
    <a:effectLst/>
  </c:spPr>
  <c:txPr>
    <a:bodyPr/>
    <a:lstStyle/>
    <a:p>
      <a:pPr>
        <a:defRPr lang="fr-FR"/>
      </a:pPr>
      <a:endParaRPr lang="fr-F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'\Users\CRO-BUREAU-002\Desktop\[Données du MEMOIRE de BLONDE.xls]COURBE DES LONGUEURS'!$B$3</c:f>
              <c:strCache>
                <c:ptCount val="1"/>
                <c:pt idx="0">
                  <c:v>10% Ration</c:v>
                </c:pt>
              </c:strCache>
            </c:strRef>
          </c:tx>
          <c:spPr>
            <a:ln w="28575" cap="rnd" cmpd="sng" algn="ctr">
              <a:solidFill>
                <a:schemeClr val="accent1"/>
              </a:solidFill>
              <a:prstDash val="solid"/>
              <a:round/>
            </a:ln>
            <a:effectLst/>
          </c:spPr>
          <c:marker>
            <c:symbol val="circle"/>
            <c:size val="5"/>
            <c:spPr>
              <a:solidFill>
                <a:schemeClr val="accent1"/>
              </a:solidFill>
              <a:ln w="9525" cap="flat" cmpd="sng" algn="ctr">
                <a:solidFill>
                  <a:schemeClr val="accent1"/>
                </a:solidFill>
                <a:prstDash val="solid"/>
                <a:round/>
              </a:ln>
              <a:effectLst/>
            </c:spPr>
          </c:marker>
          <c:errBars>
            <c:errDir val="y"/>
            <c:errBarType val="both"/>
            <c:errValType val="cust"/>
            <c:noEndCap val="0"/>
            <c:plus>
              <c:numRef>
                <c:f>'\Users\CRO-BUREAU-002\Desktop\[Données du MEMOIRE de BLONDE.xls]COURBE DES LONGUEURS'!$G$4:$G$9</c:f>
                <c:numCache>
                  <c:formatCode>General</c:formatCode>
                  <c:ptCount val="6"/>
                  <c:pt idx="0">
                    <c:v>0.57333333333333303</c:v>
                  </c:pt>
                  <c:pt idx="1">
                    <c:v>1.2129568697262501</c:v>
                  </c:pt>
                  <c:pt idx="2">
                    <c:v>1.96404461873141</c:v>
                  </c:pt>
                  <c:pt idx="3">
                    <c:v>2.8373534698101501</c:v>
                  </c:pt>
                  <c:pt idx="4">
                    <c:v>2.7367234373268001</c:v>
                  </c:pt>
                  <c:pt idx="5">
                    <c:v>3.3176643217366202</c:v>
                  </c:pt>
                </c:numCache>
              </c:numRef>
            </c:plus>
            <c:minus>
              <c:numRef>
                <c:f>'\Users\CRO-BUREAU-002\Desktop\[Données du MEMOIRE de BLONDE.xls]COURBE DES LONGUEURS'!$G$4:$G$9</c:f>
                <c:numCache>
                  <c:formatCode>General</c:formatCode>
                  <c:ptCount val="6"/>
                  <c:pt idx="0">
                    <c:v>0.57333333333333303</c:v>
                  </c:pt>
                  <c:pt idx="1">
                    <c:v>1.2129568697262501</c:v>
                  </c:pt>
                  <c:pt idx="2">
                    <c:v>1.96404461873141</c:v>
                  </c:pt>
                  <c:pt idx="3">
                    <c:v>2.8373534698101501</c:v>
                  </c:pt>
                  <c:pt idx="4">
                    <c:v>2.7367234373268001</c:v>
                  </c:pt>
                  <c:pt idx="5">
                    <c:v>3.3176643217366202</c:v>
                  </c:pt>
                </c:numCache>
              </c:numRef>
            </c:minus>
            <c:spPr>
              <a:noFill/>
              <a:ln w="19050" cap="flat" cmpd="sng" algn="ctr">
                <a:solidFill>
                  <a:srgbClr val="00B0F0"/>
                </a:solidFill>
                <a:prstDash val="solid"/>
                <a:round/>
              </a:ln>
              <a:effectLst/>
            </c:spPr>
          </c:errBars>
          <c:cat>
            <c:strRef>
              <c:f>'\Users\CRO-BUREAU-002\Desktop\[Données du MEMOIRE de BLONDE.xls]COURBE DES LONGUEURS'!$A$4:$A$9</c:f>
              <c:strCache>
                <c:ptCount val="6"/>
                <c:pt idx="0">
                  <c:v>Week 0</c:v>
                </c:pt>
                <c:pt idx="1">
                  <c:v>Week 1</c:v>
                </c:pt>
                <c:pt idx="2">
                  <c:v>Week 2</c:v>
                </c:pt>
                <c:pt idx="3">
                  <c:v>Week 3</c:v>
                </c:pt>
                <c:pt idx="4">
                  <c:v>Week 4</c:v>
                </c:pt>
                <c:pt idx="5">
                  <c:v>Week 5</c:v>
                </c:pt>
              </c:strCache>
            </c:strRef>
          </c:cat>
          <c:val>
            <c:numRef>
              <c:f>'\Users\CRO-BUREAU-002\Desktop\[Données du MEMOIRE de BLONDE.xls]COURBE DES LONGUEURS'!$B$4:$B$9</c:f>
              <c:numCache>
                <c:formatCode>General</c:formatCode>
                <c:ptCount val="6"/>
                <c:pt idx="0">
                  <c:v>12.63</c:v>
                </c:pt>
                <c:pt idx="1">
                  <c:v>21.33</c:v>
                </c:pt>
                <c:pt idx="2">
                  <c:v>25.26</c:v>
                </c:pt>
                <c:pt idx="3">
                  <c:v>32.130000000000003</c:v>
                </c:pt>
                <c:pt idx="4">
                  <c:v>37.4</c:v>
                </c:pt>
                <c:pt idx="5">
                  <c:v>43.6</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D323-46A4-BE6D-B1B952C57096}"/>
            </c:ext>
          </c:extLst>
        </c:ser>
        <c:ser>
          <c:idx val="1"/>
          <c:order val="1"/>
          <c:tx>
            <c:strRef>
              <c:f>'\Users\CRO-BUREAU-002\Desktop\[Données du MEMOIRE de BLONDE.xls]COURBE DES LONGUEURS'!$C$3</c:f>
              <c:strCache>
                <c:ptCount val="1"/>
                <c:pt idx="0">
                  <c:v>20% Ration</c:v>
                </c:pt>
              </c:strCache>
            </c:strRef>
          </c:tx>
          <c:spPr>
            <a:ln w="28575" cap="rnd" cmpd="sng" algn="ctr">
              <a:solidFill>
                <a:sysClr val="windowText" lastClr="000000"/>
              </a:solidFill>
              <a:prstDash val="solid"/>
              <a:round/>
            </a:ln>
            <a:effectLst/>
          </c:spPr>
          <c:marker>
            <c:symbol val="circle"/>
            <c:size val="5"/>
            <c:spPr>
              <a:solidFill>
                <a:schemeClr val="accent2"/>
              </a:solidFill>
              <a:ln w="9525" cap="flat" cmpd="sng" algn="ctr">
                <a:solidFill>
                  <a:sysClr val="windowText" lastClr="000000"/>
                </a:solidFill>
                <a:prstDash val="solid"/>
                <a:round/>
              </a:ln>
              <a:effectLst/>
            </c:spPr>
          </c:marker>
          <c:errBars>
            <c:errDir val="y"/>
            <c:errBarType val="both"/>
            <c:errValType val="cust"/>
            <c:noEndCap val="0"/>
            <c:plus>
              <c:numRef>
                <c:f>'\Users\CRO-BUREAU-002\Desktop\[Données du MEMOIRE de BLONDE.xls]COURBE DES LONGUEURS'!$H$4:$H$9</c:f>
                <c:numCache>
                  <c:formatCode>General</c:formatCode>
                  <c:ptCount val="6"/>
                  <c:pt idx="0">
                    <c:v>0.57333333333333303</c:v>
                  </c:pt>
                  <c:pt idx="1">
                    <c:v>1.03335187228457</c:v>
                  </c:pt>
                  <c:pt idx="2">
                    <c:v>1.89978825196358</c:v>
                  </c:pt>
                  <c:pt idx="3">
                    <c:v>2.2552620460939199</c:v>
                  </c:pt>
                  <c:pt idx="4">
                    <c:v>2.2337536060214398</c:v>
                  </c:pt>
                  <c:pt idx="5">
                    <c:v>2.5051670740622298</c:v>
                  </c:pt>
                </c:numCache>
              </c:numRef>
            </c:plus>
            <c:minus>
              <c:numRef>
                <c:f>'\Users\CRO-BUREAU-002\Desktop\[Données du MEMOIRE de BLONDE.xls]COURBE DES LONGUEURS'!$H$4:$H$9</c:f>
                <c:numCache>
                  <c:formatCode>General</c:formatCode>
                  <c:ptCount val="6"/>
                  <c:pt idx="0">
                    <c:v>0.57333333333333303</c:v>
                  </c:pt>
                  <c:pt idx="1">
                    <c:v>1.03335187228457</c:v>
                  </c:pt>
                  <c:pt idx="2">
                    <c:v>1.89978825196358</c:v>
                  </c:pt>
                  <c:pt idx="3">
                    <c:v>2.2552620460939199</c:v>
                  </c:pt>
                  <c:pt idx="4">
                    <c:v>2.2337536060214398</c:v>
                  </c:pt>
                  <c:pt idx="5">
                    <c:v>2.5051670740622298</c:v>
                  </c:pt>
                </c:numCache>
              </c:numRef>
            </c:minus>
            <c:spPr>
              <a:noFill/>
              <a:ln w="19050" cap="flat" cmpd="sng" algn="ctr">
                <a:solidFill>
                  <a:sysClr val="windowText" lastClr="000000"/>
                </a:solidFill>
                <a:prstDash val="solid"/>
                <a:round/>
              </a:ln>
              <a:effectLst/>
            </c:spPr>
          </c:errBars>
          <c:cat>
            <c:strRef>
              <c:f>'\Users\CRO-BUREAU-002\Desktop\[Données du MEMOIRE de BLONDE.xls]COURBE DES LONGUEURS'!$A$4:$A$9</c:f>
              <c:strCache>
                <c:ptCount val="6"/>
                <c:pt idx="0">
                  <c:v>Week 0</c:v>
                </c:pt>
                <c:pt idx="1">
                  <c:v>Week 1</c:v>
                </c:pt>
                <c:pt idx="2">
                  <c:v>Week 2</c:v>
                </c:pt>
                <c:pt idx="3">
                  <c:v>Week 3</c:v>
                </c:pt>
                <c:pt idx="4">
                  <c:v>Week 4</c:v>
                </c:pt>
                <c:pt idx="5">
                  <c:v>Week 5</c:v>
                </c:pt>
              </c:strCache>
            </c:strRef>
          </c:cat>
          <c:val>
            <c:numRef>
              <c:f>'\Users\CRO-BUREAU-002\Desktop\[Données du MEMOIRE de BLONDE.xls]COURBE DES LONGUEURS'!$C$4:$C$9</c:f>
              <c:numCache>
                <c:formatCode>General</c:formatCode>
                <c:ptCount val="6"/>
                <c:pt idx="0">
                  <c:v>12.63</c:v>
                </c:pt>
                <c:pt idx="1">
                  <c:v>21.63</c:v>
                </c:pt>
                <c:pt idx="2">
                  <c:v>26.66</c:v>
                </c:pt>
                <c:pt idx="3">
                  <c:v>33.5</c:v>
                </c:pt>
                <c:pt idx="4">
                  <c:v>38.9</c:v>
                </c:pt>
                <c:pt idx="5">
                  <c:v>45</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D323-46A4-BE6D-B1B952C57096}"/>
            </c:ext>
          </c:extLst>
        </c:ser>
        <c:ser>
          <c:idx val="2"/>
          <c:order val="2"/>
          <c:tx>
            <c:strRef>
              <c:f>'\Users\CRO-BUREAU-002\Desktop\[Données du MEMOIRE de BLONDE.xls]COURBE DES LONGUEURS'!$D$3</c:f>
              <c:strCache>
                <c:ptCount val="1"/>
                <c:pt idx="0">
                  <c:v>30% Ration</c:v>
                </c:pt>
              </c:strCache>
            </c:strRef>
          </c:tx>
          <c:spPr>
            <a:ln w="25400" cap="rnd" cmpd="sng" algn="ctr">
              <a:solidFill>
                <a:srgbClr val="FF0000"/>
              </a:solidFill>
              <a:prstDash val="solid"/>
              <a:round/>
            </a:ln>
          </c:spPr>
          <c:marker>
            <c:symbol val="circle"/>
            <c:size val="5"/>
            <c:spPr>
              <a:solidFill>
                <a:srgbClr val="FF0000"/>
              </a:solidFill>
              <a:ln w="6350" cap="flat" cmpd="sng" algn="ctr">
                <a:solidFill>
                  <a:srgbClr val="FF0000"/>
                </a:solidFill>
                <a:prstDash val="solid"/>
                <a:round/>
              </a:ln>
            </c:spPr>
          </c:marker>
          <c:errBars>
            <c:errDir val="y"/>
            <c:errBarType val="both"/>
            <c:errValType val="cust"/>
            <c:noEndCap val="0"/>
            <c:plus>
              <c:numRef>
                <c:f>'\Users\CRO-BUREAU-002\Desktop\[Données du MEMOIRE de BLONDE.xls]COURBE DES LONGUEURS'!$I$4:$I$9</c:f>
                <c:numCache>
                  <c:formatCode>General</c:formatCode>
                  <c:ptCount val="6"/>
                  <c:pt idx="0">
                    <c:v>0.57333333333333303</c:v>
                  </c:pt>
                  <c:pt idx="1">
                    <c:v>0.97143098618457702</c:v>
                  </c:pt>
                  <c:pt idx="2">
                    <c:v>2.2460693636232398</c:v>
                  </c:pt>
                  <c:pt idx="3">
                    <c:v>1.8835124230063001</c:v>
                  </c:pt>
                  <c:pt idx="4">
                    <c:v>1.7287295182088001</c:v>
                  </c:pt>
                  <c:pt idx="5">
                    <c:v>2.09980842038002</c:v>
                  </c:pt>
                </c:numCache>
              </c:numRef>
            </c:plus>
            <c:minus>
              <c:numRef>
                <c:f>'\Users\CRO-BUREAU-002\Desktop\[Données du MEMOIRE de BLONDE.xls]COURBE DES LONGUEURS'!$I$4:$I$9</c:f>
                <c:numCache>
                  <c:formatCode>General</c:formatCode>
                  <c:ptCount val="6"/>
                  <c:pt idx="0">
                    <c:v>0.57333333333333303</c:v>
                  </c:pt>
                  <c:pt idx="1">
                    <c:v>0.97143098618457702</c:v>
                  </c:pt>
                  <c:pt idx="2">
                    <c:v>2.2460693636232398</c:v>
                  </c:pt>
                  <c:pt idx="3">
                    <c:v>1.8835124230063001</c:v>
                  </c:pt>
                  <c:pt idx="4">
                    <c:v>1.7287295182088001</c:v>
                  </c:pt>
                  <c:pt idx="5">
                    <c:v>2.09980842038002</c:v>
                  </c:pt>
                </c:numCache>
              </c:numRef>
            </c:minus>
            <c:spPr>
              <a:ln w="19050" cap="flat" cmpd="sng" algn="ctr">
                <a:solidFill>
                  <a:srgbClr val="FF0000"/>
                </a:solidFill>
                <a:prstDash val="solid"/>
                <a:round/>
              </a:ln>
            </c:spPr>
          </c:errBars>
          <c:cat>
            <c:strRef>
              <c:f>'\Users\CRO-BUREAU-002\Desktop\[Données du MEMOIRE de BLONDE.xls]COURBE DES LONGUEURS'!$A$4:$A$9</c:f>
              <c:strCache>
                <c:ptCount val="6"/>
                <c:pt idx="0">
                  <c:v>Week 0</c:v>
                </c:pt>
                <c:pt idx="1">
                  <c:v>Week 1</c:v>
                </c:pt>
                <c:pt idx="2">
                  <c:v>Week 2</c:v>
                </c:pt>
                <c:pt idx="3">
                  <c:v>Week 3</c:v>
                </c:pt>
                <c:pt idx="4">
                  <c:v>Week 4</c:v>
                </c:pt>
                <c:pt idx="5">
                  <c:v>Week 5</c:v>
                </c:pt>
              </c:strCache>
            </c:strRef>
          </c:cat>
          <c:val>
            <c:numRef>
              <c:f>'\Users\CRO-BUREAU-002\Desktop\[Données du MEMOIRE de BLONDE.xls]COURBE DES LONGUEURS'!$D$4:$D$9</c:f>
              <c:numCache>
                <c:formatCode>General</c:formatCode>
                <c:ptCount val="6"/>
                <c:pt idx="0">
                  <c:v>12.63</c:v>
                </c:pt>
                <c:pt idx="1">
                  <c:v>21.43</c:v>
                </c:pt>
                <c:pt idx="2">
                  <c:v>26.3</c:v>
                </c:pt>
                <c:pt idx="3">
                  <c:v>33.159999999999997</c:v>
                </c:pt>
                <c:pt idx="4">
                  <c:v>38.659999999999997</c:v>
                </c:pt>
                <c:pt idx="5">
                  <c:v>44.75</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D323-46A4-BE6D-B1B952C57096}"/>
            </c:ext>
          </c:extLst>
        </c:ser>
        <c:dLbls>
          <c:showLegendKey val="0"/>
          <c:showVal val="0"/>
          <c:showCatName val="0"/>
          <c:showSerName val="0"/>
          <c:showPercent val="0"/>
          <c:showBubbleSize val="0"/>
        </c:dLbls>
        <c:marker val="1"/>
        <c:smooth val="0"/>
        <c:axId val="295139200"/>
        <c:axId val="295141376"/>
      </c:lineChart>
      <c:catAx>
        <c:axId val="295139200"/>
        <c:scaling>
          <c:orientation val="minMax"/>
        </c:scaling>
        <c:delete val="0"/>
        <c:axPos val="b"/>
        <c:title>
          <c:tx>
            <c:rich>
              <a:bodyPr rot="0" spcFirstLastPara="1" vertOverflow="ellipsis" vert="horz" wrap="square" anchor="ctr" anchorCtr="1"/>
              <a:lstStyle/>
              <a:p>
                <a:pPr>
                  <a:defRPr lang="fr-FR" sz="12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fr-FR" sz="1200" b="1" baseline="0">
                    <a:solidFill>
                      <a:sysClr val="windowText" lastClr="000000"/>
                    </a:solidFill>
                    <a:latin typeface="Times New Roman" panose="02020603050405020304" charset="0"/>
                    <a:cs typeface="Times New Roman" panose="02020603050405020304" charset="0"/>
                  </a:rPr>
                  <a:t>Rearing</a:t>
                </a:r>
                <a:r>
                  <a:rPr lang="fr-FR" sz="1200" b="1">
                    <a:solidFill>
                      <a:sysClr val="windowText" lastClr="000000"/>
                    </a:solidFill>
                    <a:latin typeface="Times New Roman" panose="02020603050405020304" charset="0"/>
                    <a:cs typeface="Times New Roman" panose="02020603050405020304" charset="0"/>
                  </a:rPr>
                  <a:t> Period </a:t>
                </a:r>
                <a:r>
                  <a:rPr lang="fr-FR" sz="1200" b="1" baseline="0">
                    <a:solidFill>
                      <a:sysClr val="windowText" lastClr="000000"/>
                    </a:solidFill>
                    <a:latin typeface="Times New Roman" panose="02020603050405020304" charset="0"/>
                    <a:cs typeface="Times New Roman" panose="02020603050405020304" charset="0"/>
                  </a:rPr>
                  <a:t>(Weeks)</a:t>
                </a:r>
                <a:endParaRPr lang="fr-FR" sz="12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6485426650888603"/>
              <c:y val="0.96270079411429099"/>
            </c:manualLayout>
          </c:layout>
          <c:overlay val="0"/>
          <c:spPr>
            <a:noFill/>
            <a:ln w="25400">
              <a:noFill/>
            </a:ln>
          </c:spPr>
        </c:title>
        <c:numFmt formatCode="General" sourceLinked="1"/>
        <c:majorTickMark val="in"/>
        <c:minorTickMark val="none"/>
        <c:tickLblPos val="nextTo"/>
        <c:spPr>
          <a:noFill/>
          <a:ln w="12700" cap="flat" cmpd="sng" algn="ctr">
            <a:solidFill>
              <a:sysClr val="windowText" lastClr="000000"/>
            </a:solidFill>
            <a:prstDash val="solid"/>
            <a:round/>
          </a:ln>
          <a:effectLst/>
        </c:spPr>
        <c:txPr>
          <a:bodyPr rot="-60000000" spcFirstLastPara="1" vertOverflow="ellipsis" vert="horz" wrap="square" anchor="ctr" anchorCtr="1"/>
          <a:lstStyle/>
          <a:p>
            <a:pPr>
              <a:defRPr lang="fr-FR" sz="12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crossAx val="295141376"/>
        <c:crosses val="autoZero"/>
        <c:auto val="1"/>
        <c:lblAlgn val="ctr"/>
        <c:lblOffset val="100"/>
        <c:noMultiLvlLbl val="0"/>
      </c:catAx>
      <c:valAx>
        <c:axId val="295141376"/>
        <c:scaling>
          <c:orientation val="minMax"/>
          <c:min val="10"/>
        </c:scaling>
        <c:delete val="0"/>
        <c:axPos val="l"/>
        <c:title>
          <c:tx>
            <c:rich>
              <a:bodyPr rot="-5400000" spcFirstLastPara="1" vertOverflow="ellipsis" vert="horz" wrap="square" anchor="ctr" anchorCtr="1"/>
              <a:lstStyle/>
              <a:p>
                <a:pPr>
                  <a:defRPr lang="fr-FR" sz="12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fr-FR" sz="1200" b="1">
                    <a:solidFill>
                      <a:sysClr val="windowText" lastClr="000000"/>
                    </a:solidFill>
                    <a:latin typeface="Times New Roman" panose="02020603050405020304" charset="0"/>
                    <a:cs typeface="Times New Roman" panose="02020603050405020304" charset="0"/>
                  </a:rPr>
                  <a:t>Average total length of larvae (mm)</a:t>
                </a:r>
              </a:p>
            </c:rich>
          </c:tx>
          <c:layout>
            <c:manualLayout>
              <c:xMode val="edge"/>
              <c:yMode val="edge"/>
              <c:x val="1.7489120311574E-2"/>
              <c:y val="0.120901179218626"/>
            </c:manualLayout>
          </c:layout>
          <c:overlay val="0"/>
          <c:spPr>
            <a:noFill/>
            <a:ln w="25400">
              <a:noFill/>
            </a:ln>
          </c:spPr>
        </c:title>
        <c:numFmt formatCode="General" sourceLinked="1"/>
        <c:majorTickMark val="in"/>
        <c:minorTickMark val="none"/>
        <c:tickLblPos val="nextTo"/>
        <c:spPr>
          <a:noFill/>
          <a:ln w="12700" cap="flat" cmpd="sng" algn="ctr">
            <a:solidFill>
              <a:sysClr val="windowText" lastClr="000000"/>
            </a:solidFill>
            <a:prstDash val="solid"/>
            <a:round/>
          </a:ln>
          <a:effectLst/>
        </c:spPr>
        <c:txPr>
          <a:bodyPr rot="-60000000" spcFirstLastPara="1" vertOverflow="ellipsis" vert="horz" wrap="square" anchor="ctr" anchorCtr="1"/>
          <a:lstStyle/>
          <a:p>
            <a:pPr>
              <a:defRPr lang="fr-FR" sz="12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crossAx val="295139200"/>
        <c:crosses val="autoZero"/>
        <c:crossBetween val="midCat"/>
      </c:valAx>
      <c:spPr>
        <a:noFill/>
        <a:ln w="25400">
          <a:noFill/>
        </a:ln>
      </c:spPr>
    </c:plotArea>
    <c:legend>
      <c:legendPos val="t"/>
      <c:layout>
        <c:manualLayout>
          <c:xMode val="edge"/>
          <c:yMode val="edge"/>
          <c:x val="0.38792094231316498"/>
          <c:y val="4.94055371421133E-2"/>
          <c:w val="0.21900499534332399"/>
          <c:h val="0.14459430609451299"/>
        </c:manualLayout>
      </c:layout>
      <c:overlay val="0"/>
      <c:spPr>
        <a:noFill/>
        <a:ln w="25400">
          <a:noFill/>
        </a:ln>
      </c:spPr>
      <c:txPr>
        <a:bodyPr rot="0" spcFirstLastPara="1" vertOverflow="ellipsis" vert="horz" wrap="square" anchor="ctr" anchorCtr="1"/>
        <a:lstStyle/>
        <a:p>
          <a:pPr>
            <a:defRPr lang="fr-FR" sz="11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legend>
    <c:plotVisOnly val="1"/>
    <c:dispBlanksAs val="gap"/>
    <c:showDLblsOverMax val="0"/>
    <c:extLst xmlns:mc="http://schemas.openxmlformats.org/markup-compatibility/2006" xmlns:c14="http://schemas.microsoft.com/office/drawing/2007/8/2/chart" xmlns:c16="http://schemas.microsoft.com/office/drawing/2014/chart">
      <c:ext uri="{0b15fc19-7d7d-44ad-8c2d-2c3a37ce22c3}">
        <chartProps xmlns="https://web.wps.cn/et/2018/main" chartId="{5f8ddd6e-8e94-434e-b0ca-1db82ece1f37}"/>
      </c:ext>
    </c:extLst>
  </c:chart>
  <c:spPr>
    <a:solidFill>
      <a:schemeClr val="bg1"/>
    </a:solidFill>
    <a:ln w="6350" cap="flat" cmpd="sng" algn="ctr">
      <a:noFill/>
      <a:prstDash val="solid"/>
      <a:round/>
    </a:ln>
    <a:effectLst/>
  </c:spPr>
  <c:txPr>
    <a:bodyPr/>
    <a:lstStyle/>
    <a:p>
      <a:pPr>
        <a:defRPr lang="fr-FR"/>
      </a:pPr>
      <a:endParaRPr lang="fr-FR"/>
    </a:p>
  </c:tx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2052"/>
  </customShpExts>
</s:customData>
</file>

<file path=customXml/itemProps1.xml><?xml version="1.0" encoding="utf-8"?>
<ds:datastoreItem xmlns:ds="http://schemas.openxmlformats.org/officeDocument/2006/customXml" ds:itemID="{0D9316C5-F9A8-4120-82A1-0083A8CA781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MEMOIRE Nguessan UPGC 1</Template>
  <TotalTime>28</TotalTime>
  <Pages>14</Pages>
  <Words>4260</Words>
  <Characters>24282</Characters>
  <Application>Microsoft Office Word</Application>
  <DocSecurity>0</DocSecurity>
  <Lines>202</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TANO KOUASSI</dc:creator>
  <cp:keywords>, docId:2471811E7A4EC7DE30DE274451527181</cp:keywords>
  <dc:description/>
  <cp:lastModifiedBy>Editor Acc 101</cp:lastModifiedBy>
  <cp:revision>12</cp:revision>
  <cp:lastPrinted>2022-02-27T20:04:00Z</cp:lastPrinted>
  <dcterms:created xsi:type="dcterms:W3CDTF">2026-10-27T13:22:00Z</dcterms:created>
  <dcterms:modified xsi:type="dcterms:W3CDTF">2026-11-03T07:30:00Z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5C009A1641AB4D43B3D1F84220D55C42_12</vt:lpwstr>
  </property>
</Properties>
</file>