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AC8BA" w14:textId="77777777" w:rsidR="008A22DE" w:rsidRDefault="00214398">
      <w:pPr>
        <w:spacing w:after="100" w:line="360" w:lineRule="auto"/>
        <w:rPr>
          <w:b/>
          <w:bCs/>
        </w:rPr>
      </w:pPr>
      <w:r>
        <w:rPr>
          <w:b/>
          <w:bCs/>
        </w:rPr>
        <w:t>Toward Explainable Detection of Hospital Cost-Allocation Anomalies: Evidence and Research Opportunities Using Medicare Cost Reports</w:t>
      </w:r>
    </w:p>
    <w:p w14:paraId="229369BA" w14:textId="77777777" w:rsidR="007E321D" w:rsidRDefault="007E321D">
      <w:pPr>
        <w:spacing w:after="100" w:line="360" w:lineRule="auto"/>
        <w:rPr>
          <w:b/>
          <w:bCs/>
        </w:rPr>
      </w:pPr>
    </w:p>
    <w:p w14:paraId="0C4BDC77" w14:textId="77777777" w:rsidR="008A22DE" w:rsidRDefault="00214398">
      <w:pPr>
        <w:keepNext/>
        <w:spacing w:before="320" w:after="180" w:line="360" w:lineRule="auto"/>
      </w:pPr>
      <w:r>
        <w:rPr>
          <w:b/>
          <w:bCs/>
          <w:color w:val="000000"/>
        </w:rPr>
        <w:t>Abstract</w:t>
      </w:r>
    </w:p>
    <w:p w14:paraId="5555772E" w14:textId="77777777" w:rsidR="008A22DE" w:rsidRDefault="004728A1">
      <w:pPr>
        <w:spacing w:after="200" w:line="360" w:lineRule="auto"/>
        <w:jc w:val="both"/>
      </w:pPr>
      <w:r>
        <w:rPr>
          <w:highlight w:val="yellow"/>
        </w:rPr>
        <w:t>Each Medicare-certified hospital</w:t>
      </w:r>
      <w:r>
        <w:t xml:space="preserve"> in the United States files an annual Medicare Cost Report (MCR, Form CMS-2552-10), in which total expenses are apportioned to standard cost centers and overhead is allocated to patient care departments </w:t>
      </w:r>
      <w:r>
        <w:rPr>
          <w:highlight w:val="yellow"/>
        </w:rPr>
        <w:t>using a statistical step-down procedure</w:t>
      </w:r>
      <w:r>
        <w:t xml:space="preserve">. While most Medicare inpatient reimbursements are </w:t>
      </w:r>
      <w:r>
        <w:rPr>
          <w:highlight w:val="yellow"/>
        </w:rPr>
        <w:t>made prospectively</w:t>
      </w:r>
      <w:r>
        <w:t xml:space="preserve">, the MCR nonetheless underpins cost finding and allocation through cost-to-charge ratios, graduate medical education payments, and disproportionate share payments now based on reported uncompensated care. Nevertheless, independent comparisons have found missing items, discrepancies across sources, and computational errors in MCR data. This narrative review synthesizes three literatures that have developed largely independently: </w:t>
      </w:r>
      <w:r>
        <w:rPr>
          <w:highlight w:val="yellow"/>
        </w:rPr>
        <w:t>investigations into the structure</w:t>
      </w:r>
      <w:r>
        <w:t xml:space="preserve"> and data quality of the MCR itself; machine-learning </w:t>
      </w:r>
      <w:r>
        <w:rPr>
          <w:highlight w:val="yellow"/>
        </w:rPr>
        <w:t>approaches to the detection of anomalies</w:t>
      </w:r>
      <w:r>
        <w:t xml:space="preserve"> and fraud in Medicare claims and in provider data; and explainable artificial intelligence (XAI) in auditing and accounting. Sources were identified by targeted database searches and citation tracking </w:t>
      </w:r>
      <w:r>
        <w:rPr>
          <w:highlight w:val="yellow"/>
        </w:rPr>
        <w:t>rather than through a systematic search</w:t>
      </w:r>
      <w:r>
        <w:t xml:space="preserve">. Fraud detection in Medicare is an established field, and XAI in auditing is emerging, </w:t>
      </w:r>
      <w:r>
        <w:rPr>
          <w:highlight w:val="yellow"/>
        </w:rPr>
        <w:t>but we identified no application</w:t>
      </w:r>
      <w:r>
        <w:t xml:space="preserve"> of explainable anomaly detection to hospital cost-allocation data at the level of cost centers. Based on the synthesis, the review proposes a domain-specific conceptual framework that maps the structure of the MCR onto auditable anomaly indicators, including allocation bases, administrative and general costs, employee benefit allocations, cost-to-charge ratios, reclassifications, and </w:t>
      </w:r>
      <w:r>
        <w:rPr>
          <w:highlight w:val="yellow"/>
        </w:rPr>
        <w:t>year-on-year changes</w:t>
      </w:r>
      <w:r>
        <w:t xml:space="preserve">, </w:t>
      </w:r>
      <w:r>
        <w:rPr>
          <w:highlight w:val="yellow"/>
        </w:rPr>
        <w:t>and links each to potential detection methods</w:t>
      </w:r>
      <w:r>
        <w:t xml:space="preserve"> (robust z-scores, Isolation Forest, and the local outlier factor) and explanation methods such as SHAP. </w:t>
      </w:r>
      <w:r>
        <w:rPr>
          <w:highlight w:val="yellow"/>
        </w:rPr>
        <w:t>Because outliers may reflect</w:t>
      </w:r>
      <w:r>
        <w:t xml:space="preserve"> differences in hospital size, case mix, facility organization, or reporting practices, the framework proposes that flagged data points be treated as investigative leads for auditors and regulators.</w:t>
      </w:r>
    </w:p>
    <w:p w14:paraId="4AC9F128" w14:textId="150F62E1" w:rsidR="008A22DE" w:rsidRDefault="00214398">
      <w:pPr>
        <w:spacing w:after="300" w:line="360" w:lineRule="auto"/>
      </w:pPr>
      <w:r>
        <w:rPr>
          <w:b/>
          <w:bCs/>
        </w:rPr>
        <w:t>Keywords:</w:t>
      </w:r>
      <w:r>
        <w:t xml:space="preserve"> Medicare Cost Report; cost allocation; anomaly detection; explainable artificial intelligence; audit analytics</w:t>
      </w:r>
    </w:p>
    <w:p w14:paraId="40357661" w14:textId="77777777" w:rsidR="00012B00" w:rsidRDefault="00012B00">
      <w:pPr>
        <w:rPr>
          <w:b/>
          <w:bCs/>
          <w:color w:val="000000"/>
        </w:rPr>
      </w:pPr>
      <w:r>
        <w:rPr>
          <w:b/>
          <w:bCs/>
          <w:color w:val="000000"/>
        </w:rPr>
        <w:lastRenderedPageBreak/>
        <w:br w:type="page"/>
      </w:r>
    </w:p>
    <w:p w14:paraId="5E0B41D3" w14:textId="77777777" w:rsidR="008A22DE" w:rsidRDefault="00214398">
      <w:pPr>
        <w:keepNext/>
        <w:spacing w:before="320" w:after="180" w:line="360" w:lineRule="auto"/>
      </w:pPr>
      <w:r>
        <w:rPr>
          <w:b/>
          <w:bCs/>
          <w:color w:val="000000"/>
        </w:rPr>
        <w:lastRenderedPageBreak/>
        <w:t>1. Introduction</w:t>
      </w:r>
    </w:p>
    <w:p w14:paraId="70E92CA4" w14:textId="77777777" w:rsidR="00E83C02" w:rsidRDefault="00E83C02" w:rsidP="00E83C02">
      <w:pPr>
        <w:spacing w:after="200" w:line="360" w:lineRule="auto"/>
        <w:jc w:val="both"/>
      </w:pPr>
      <w:r>
        <w:t xml:space="preserve">Medicare pays most acute care hospitals prospectively for inpatient care at predetermined rates per discharge based on diagnosis-related groups that were revised in 2008 to reflect </w:t>
      </w:r>
      <w:r>
        <w:rPr>
          <w:highlight w:val="yellow"/>
        </w:rPr>
        <w:t>patients' severity of illness</w:t>
      </w:r>
      <w:r>
        <w:t xml:space="preserve"> more closely (Gross et al., 2024). For most hospitals, then, Medicare payment is not a direct reimbursement of reported costs. The Medicare Cost Report (MCR) is nonetheless one of the most consequential financial reports a hospital produces. Each Medicare-certified hospital files the report annually, </w:t>
      </w:r>
      <w:r>
        <w:rPr>
          <w:highlight w:val="yellow"/>
        </w:rPr>
        <w:t>recording costs, charges, utilisation, and payment information (Locey &amp; Stein, 2023), and distributing overhead</w:t>
      </w:r>
      <w:r>
        <w:t xml:space="preserve"> to patient care departments via a step-down method of cost finding prescribed by regulation (42 C.F.R. § 413.24).</w:t>
      </w:r>
    </w:p>
    <w:p w14:paraId="3C628C7C" w14:textId="77777777" w:rsidR="00E83C02" w:rsidRDefault="00E83C02" w:rsidP="00E83C02">
      <w:pPr>
        <w:spacing w:after="200" w:line="360" w:lineRule="auto"/>
        <w:jc w:val="both"/>
      </w:pPr>
      <w:r>
        <w:t xml:space="preserve">The report continues to influence payment in multiple ways. Departmental costs derived from cost finding are apportioned to Medicare by the ratio of Medicare charges to total charges (42 C.F.R. § 413.53), and direct graduate medical education payments are determined under cost-reporting provisions (42 C.F.R. §§ 413.75 to 413.83). </w:t>
      </w:r>
      <w:r>
        <w:rPr>
          <w:highlight w:val="yellow"/>
        </w:rPr>
        <w:t>Since 2018, reported uncompensated care has entered</w:t>
      </w:r>
      <w:r>
        <w:t xml:space="preserve"> the formula for Medicare disproportionate share payments, and some categories of hospitals increased the uncompensated care they reported after the change (Markell et al., 2026). </w:t>
      </w:r>
      <w:r>
        <w:rPr>
          <w:highlight w:val="yellow"/>
        </w:rPr>
        <w:t>Earlier evidence shows that when services were reimbursed on the basis of reported costs, hospitals allocated their overhead costs towards those services</w:t>
      </w:r>
      <w:r>
        <w:t xml:space="preserve"> (Eldenburg &amp; Kallapur, 1997). </w:t>
      </w:r>
      <w:r>
        <w:rPr>
          <w:highlight w:val="yellow"/>
        </w:rPr>
        <w:t>Through the Healthcare Cost Report Information System</w:t>
      </w:r>
      <w:r>
        <w:t>, the reports are also one of the main public sources of hospital financial data (Lamboy-Ruiz et al., 2019; Locey &amp; Stein, 2023).</w:t>
      </w:r>
    </w:p>
    <w:p w14:paraId="2BB44318" w14:textId="77777777" w:rsidR="00E83C02" w:rsidRDefault="00E83C02" w:rsidP="00E83C02">
      <w:pPr>
        <w:spacing w:after="200" w:line="360" w:lineRule="auto"/>
        <w:jc w:val="both"/>
      </w:pPr>
      <w:r>
        <w:t xml:space="preserve">The two lines of evidence make </w:t>
      </w:r>
      <w:r>
        <w:rPr>
          <w:highlight w:val="yellow"/>
        </w:rPr>
        <w:t>the analytical properties of MCR cost allocations</w:t>
      </w:r>
      <w:r>
        <w:t xml:space="preserve"> a priority for research. First, health-services and accounting researchers have noted missing items, cross-source discrepancies, and avoidable computational errors in the MCR data, which limit its reliability as an analytical source (Lamboy-Ruiz et al., 2019; Chalmers et al., 2026). Second, a large machine-learning literature </w:t>
      </w:r>
      <w:r>
        <w:rPr>
          <w:highlight w:val="yellow"/>
        </w:rPr>
        <w:t>shows that supervised and unsupervised methods can detect</w:t>
      </w:r>
      <w:r>
        <w:t xml:space="preserve"> anomalous billing patterns </w:t>
      </w:r>
      <w:r>
        <w:rPr>
          <w:highlight w:val="yellow"/>
        </w:rPr>
        <w:t>in Medicare claims and provider-level data</w:t>
      </w:r>
      <w:r>
        <w:t xml:space="preserve"> (Johnson &amp; Khoshgoftaar, 2019; Shekhar et al., 2026). </w:t>
      </w:r>
      <w:r>
        <w:rPr>
          <w:highlight w:val="yellow"/>
        </w:rPr>
        <w:t>Neither body of literature seems to address how explainable artificial intelligence (XAI) might be applied to the specific features</w:t>
      </w:r>
      <w:r>
        <w:t xml:space="preserve"> of cost-allocation data: the ordering of the step-down, the statistical basis of overhead, and the standard cost-center structure (42 C.F.R. § 413.24).</w:t>
      </w:r>
    </w:p>
    <w:p w14:paraId="3D7EC596" w14:textId="77777777" w:rsidR="00C65F31" w:rsidRPr="00530269" w:rsidRDefault="00000000">
      <w:pPr>
        <w:spacing w:after="200" w:line="360" w:lineRule="auto"/>
        <w:jc w:val="both"/>
        <w:rPr>
          <w:bCs/>
        </w:rPr>
      </w:pPr>
      <w:r w:rsidRPr="00530269">
        <w:rPr>
          <w:bCs/>
          <w:highlight w:val="yellow"/>
        </w:rPr>
        <w:lastRenderedPageBreak/>
        <w:t>The literature on explainable fraud detection also highlights the need to balance predictive performance with the interpretability of selected features (Emmanuel et al., 2026). Research on enterprise-resource-planning transactions has similarly examined the use of ensemble anomaly detectors alongside SHAP-based explanations for individual flags (Qazi &amp; Jadoon, 2026).</w:t>
      </w:r>
    </w:p>
    <w:p w14:paraId="114C74F3" w14:textId="630DCBF5" w:rsidR="00C65F31" w:rsidRPr="00530269" w:rsidRDefault="00E83C02">
      <w:pPr>
        <w:spacing w:after="200" w:line="360" w:lineRule="auto"/>
        <w:jc w:val="both"/>
      </w:pPr>
      <w:r>
        <w:t xml:space="preserve">A central premise of this review is that an anomaly is not a sign of error or fraud on its own. Hospitals vary legitimately in size, </w:t>
      </w:r>
      <w:r>
        <w:rPr>
          <w:highlight w:val="yellow"/>
        </w:rPr>
        <w:t>case mix, teaching status</w:t>
      </w:r>
      <w:r>
        <w:t xml:space="preserve">, facility design, and service mix, and the cost-finding rules themselves permit discretion, including </w:t>
      </w:r>
      <w:r>
        <w:rPr>
          <w:highlight w:val="yellow"/>
        </w:rPr>
        <w:t>changes to the allocation base and sequence</w:t>
      </w:r>
      <w:r>
        <w:t xml:space="preserve"> with the approval of a contractor (42 C.F.R. § 413.24). </w:t>
      </w:r>
      <w:r>
        <w:rPr>
          <w:highlight w:val="yellow"/>
        </w:rPr>
        <w:t>Statistical outliers can represent</w:t>
      </w:r>
      <w:r>
        <w:t xml:space="preserve"> exceptional but valid circumstances as easily as recording errors (Rousseeuw &amp; Hubert, 2018). The correct output of an anomaly-detection model applied to </w:t>
      </w:r>
      <w:r>
        <w:rPr>
          <w:highlight w:val="yellow"/>
        </w:rPr>
        <w:t>cost reports is therefore</w:t>
      </w:r>
      <w:r>
        <w:t xml:space="preserve"> a set of prioritized investigative leads, each with an explanation an auditor can test against the underlying records, not a finding of fraud.</w:t>
      </w:r>
      <w:r w:rsidR="00530269">
        <w:t xml:space="preserve"> </w:t>
      </w:r>
      <w:r w:rsidRPr="00530269">
        <w:rPr>
          <w:bCs/>
          <w:highlight w:val="yellow"/>
        </w:rPr>
        <w:t>A scoping review of artificial intelligence in auditing and financial reporting identifies professional trust, regulatory concerns, and the need for human expertise as continuing considerations for adoption (Oriaku et al., 2026). A broader review of explainable artificial intelligence in finance also describes methodological approaches and challenges relevant to the interpretation of model outputs (Yeo et al., 2025).</w:t>
      </w:r>
    </w:p>
    <w:p w14:paraId="3D2F48A6" w14:textId="77777777" w:rsidR="00C65F31" w:rsidRPr="00530269" w:rsidRDefault="00000000">
      <w:pPr>
        <w:spacing w:after="200" w:line="360" w:lineRule="auto"/>
        <w:jc w:val="both"/>
        <w:rPr>
          <w:bCs/>
        </w:rPr>
      </w:pPr>
      <w:r w:rsidRPr="00530269">
        <w:rPr>
          <w:bCs/>
          <w:highlight w:val="yellow"/>
        </w:rPr>
        <w:t>The studies discussed above support the relevance of anomaly detection and interpretable analysis in related financial and healthcare settings; however, they do not establish a framework specifically organized around the cost-center structure and step-down allocations of the Medicare Cost Report. This review therefore addresses the conceptual gap between cost-allocation indicators, suitable anomaly-detection approaches, and explanations that could support subsequent audit verification.</w:t>
      </w:r>
    </w:p>
    <w:p w14:paraId="5A02CEE3" w14:textId="77777777" w:rsidR="008A22DE" w:rsidRDefault="00E83C02" w:rsidP="00E83C02">
      <w:pPr>
        <w:spacing w:after="200" w:line="360" w:lineRule="auto"/>
        <w:jc w:val="both"/>
      </w:pPr>
      <w:r>
        <w:t xml:space="preserve">This paper is </w:t>
      </w:r>
      <w:r>
        <w:rPr>
          <w:highlight w:val="yellow"/>
        </w:rPr>
        <w:t>a narrative, integrative review</w:t>
      </w:r>
      <w:r>
        <w:t xml:space="preserve">. It draws on representative studies from three literatures: MCR structure and data quality, </w:t>
      </w:r>
      <w:r>
        <w:rPr>
          <w:highlight w:val="yellow"/>
        </w:rPr>
        <w:t>anomaly and fraud detection in Medicare and hospital data</w:t>
      </w:r>
      <w:r>
        <w:t xml:space="preserve">, and XAI in accounting and auditing, </w:t>
      </w:r>
      <w:r>
        <w:rPr>
          <w:highlight w:val="yellow"/>
        </w:rPr>
        <w:t>to characterise the present state of knowledge and the gap between them</w:t>
      </w:r>
      <w:r>
        <w:t xml:space="preserve">. It does not contribute a new detection algorithm or an empirical test on HCRIS data. Rather, the review constructs a domain-specific conceptual framework that translates the structure of the MCR into auditable anomaly indicators, specifies an expected benchmark for each, and </w:t>
      </w:r>
      <w:r>
        <w:rPr>
          <w:highlight w:val="yellow"/>
        </w:rPr>
        <w:t>associates each with candidate</w:t>
      </w:r>
      <w:r>
        <w:t xml:space="preserve"> detection and explanation methods. The framework is intended to provide </w:t>
      </w:r>
      <w:r>
        <w:rPr>
          <w:highlight w:val="yellow"/>
        </w:rPr>
        <w:t>future empirical studies and audit and oversight functions</w:t>
      </w:r>
      <w:r>
        <w:t xml:space="preserve"> with a starting point for explainable cost-allocation analytics.</w:t>
      </w:r>
    </w:p>
    <w:p w14:paraId="38C7B85A" w14:textId="77777777" w:rsidR="008A22DE" w:rsidRDefault="00214398">
      <w:pPr>
        <w:keepNext/>
        <w:spacing w:before="320" w:after="180" w:line="360" w:lineRule="auto"/>
      </w:pPr>
      <w:r>
        <w:rPr>
          <w:b/>
          <w:bCs/>
          <w:color w:val="000000"/>
        </w:rPr>
        <w:lastRenderedPageBreak/>
        <w:t>2. Literature Review</w:t>
      </w:r>
    </w:p>
    <w:p w14:paraId="60F81F06" w14:textId="77777777" w:rsidR="008A22DE" w:rsidRDefault="00214398">
      <w:pPr>
        <w:keepNext/>
        <w:spacing w:before="240" w:after="140" w:line="360" w:lineRule="auto"/>
      </w:pPr>
      <w:r>
        <w:rPr>
          <w:b/>
          <w:bCs/>
          <w:color w:val="000000"/>
        </w:rPr>
        <w:t>2.1 The Medicare Cost Report and Cost-Allocation Practice</w:t>
      </w:r>
    </w:p>
    <w:p w14:paraId="29CB0A37" w14:textId="77777777" w:rsidR="008A22DE" w:rsidRDefault="00E83C02">
      <w:pPr>
        <w:spacing w:after="200" w:line="360" w:lineRule="auto"/>
        <w:jc w:val="both"/>
      </w:pPr>
      <w:r>
        <w:t xml:space="preserve">Under Medicare's cost-finding rules, hospitals distribute overhead on a step-down basis, allocating each general service cost center to the centers it serves, starting with the one that serves the most other centers </w:t>
      </w:r>
      <w:r>
        <w:rPr>
          <w:highlight w:val="yellow"/>
        </w:rPr>
        <w:t>while receiving benefits from the fewest</w:t>
      </w:r>
      <w:r>
        <w:t xml:space="preserve">; once allocated, a center is closed and receives no more costs (42 C.F.R. § 413.24). Recorded expenses are first assigned to standardized cost centers, reclassified, and adjusted, and overhead is then distributed on statistical bases intended to approximate each department's use of the service. The fully allocated costs of revenue-producing departments are then apportioned to Medicare </w:t>
      </w:r>
      <w:r>
        <w:rPr>
          <w:highlight w:val="yellow"/>
        </w:rPr>
        <w:t>on the basis of the ratio of Medicare charges</w:t>
      </w:r>
      <w:r>
        <w:t xml:space="preserve"> to total charges in each department (42 C.F.R. § 413.53). Because these steps rely on hospital-supplied statistics and classification choices, they are where allocation anomalies can arise. Table 1 summarizes the features of this process that are most consequential for anomaly detection.</w:t>
      </w:r>
    </w:p>
    <w:p w14:paraId="6D539C12" w14:textId="77777777" w:rsidR="008A22DE" w:rsidRDefault="00214398">
      <w:pPr>
        <w:keepNext/>
        <w:spacing w:before="120" w:after="160" w:line="360" w:lineRule="auto"/>
      </w:pPr>
      <w:r>
        <w:rPr>
          <w:b/>
          <w:bCs/>
        </w:rPr>
        <w:t>Table 1. Structural Features of the Medicare Cost Report Relevant to Anomaly Detection</w:t>
      </w:r>
    </w:p>
    <w:tbl>
      <w:tblPr>
        <w:tblStyle w:val="TableGrid"/>
        <w:tblW w:w="9350" w:type="dxa"/>
        <w:tblLook w:val="04A0" w:firstRow="1" w:lastRow="0" w:firstColumn="1" w:lastColumn="0" w:noHBand="0" w:noVBand="1"/>
      </w:tblPr>
      <w:tblGrid>
        <w:gridCol w:w="1843"/>
        <w:gridCol w:w="3778"/>
        <w:gridCol w:w="3729"/>
      </w:tblGrid>
      <w:tr w:rsidR="008A22DE" w14:paraId="0B8AED8C" w14:textId="77777777">
        <w:trPr>
          <w:cantSplit/>
          <w:tblHeader/>
        </w:trPr>
        <w:tc>
          <w:tcPr>
            <w:tcW w:w="1843" w:type="dxa"/>
          </w:tcPr>
          <w:p w14:paraId="3B97524E" w14:textId="77777777" w:rsidR="008A22DE" w:rsidRDefault="00214398">
            <w:pPr>
              <w:spacing w:line="360" w:lineRule="auto"/>
            </w:pPr>
            <w:r>
              <w:rPr>
                <w:b/>
                <w:bCs/>
              </w:rPr>
              <w:t>Feature</w:t>
            </w:r>
          </w:p>
        </w:tc>
        <w:tc>
          <w:tcPr>
            <w:tcW w:w="3778" w:type="dxa"/>
          </w:tcPr>
          <w:p w14:paraId="373D463D" w14:textId="77777777" w:rsidR="008A22DE" w:rsidRDefault="00214398">
            <w:pPr>
              <w:spacing w:line="360" w:lineRule="auto"/>
            </w:pPr>
            <w:r>
              <w:rPr>
                <w:b/>
                <w:bCs/>
              </w:rPr>
              <w:t>Description</w:t>
            </w:r>
          </w:p>
        </w:tc>
        <w:tc>
          <w:tcPr>
            <w:tcW w:w="3729" w:type="dxa"/>
          </w:tcPr>
          <w:p w14:paraId="44BC6C13" w14:textId="77777777" w:rsidR="008A22DE" w:rsidRDefault="00214398">
            <w:pPr>
              <w:spacing w:line="360" w:lineRule="auto"/>
            </w:pPr>
            <w:r>
              <w:rPr>
                <w:b/>
                <w:bCs/>
              </w:rPr>
              <w:t>Relevance to Anomaly Detection</w:t>
            </w:r>
          </w:p>
        </w:tc>
      </w:tr>
      <w:tr w:rsidR="008A22DE" w14:paraId="0F8513C9" w14:textId="77777777">
        <w:trPr>
          <w:cantSplit/>
        </w:trPr>
        <w:tc>
          <w:tcPr>
            <w:tcW w:w="1843" w:type="dxa"/>
          </w:tcPr>
          <w:p w14:paraId="6BC7C2C3" w14:textId="77777777" w:rsidR="008A22DE" w:rsidRDefault="00214398">
            <w:pPr>
              <w:spacing w:line="360" w:lineRule="auto"/>
            </w:pPr>
            <w:r>
              <w:t>Step-down allocation order</w:t>
            </w:r>
          </w:p>
        </w:tc>
        <w:tc>
          <w:tcPr>
            <w:tcW w:w="3778" w:type="dxa"/>
          </w:tcPr>
          <w:p w14:paraId="6987A7CD" w14:textId="77777777" w:rsidR="008A22DE" w:rsidRDefault="00214398">
            <w:pPr>
              <w:spacing w:line="360" w:lineRule="auto"/>
            </w:pPr>
            <w:r>
              <w:t>General service cost centers are allocated sequentially; the center serving the most other centers is generally allocated first, and a center is closed once it has been allocated.</w:t>
            </w:r>
          </w:p>
        </w:tc>
        <w:tc>
          <w:tcPr>
            <w:tcW w:w="3729" w:type="dxa"/>
          </w:tcPr>
          <w:p w14:paraId="143D5225" w14:textId="77777777" w:rsidR="008A22DE" w:rsidRDefault="00214398">
            <w:pPr>
              <w:spacing w:line="360" w:lineRule="auto"/>
            </w:pPr>
            <w:r>
              <w:t>Departures from the expected order, or unusual sequencing, can shift costs between departments and distort downstream cost-to-charge ratios.</w:t>
            </w:r>
          </w:p>
        </w:tc>
      </w:tr>
      <w:tr w:rsidR="008A22DE" w14:paraId="2E86DFE0" w14:textId="77777777">
        <w:trPr>
          <w:cantSplit/>
        </w:trPr>
        <w:tc>
          <w:tcPr>
            <w:tcW w:w="1843" w:type="dxa"/>
          </w:tcPr>
          <w:p w14:paraId="7F54BE4A" w14:textId="77777777" w:rsidR="008A22DE" w:rsidRDefault="00214398">
            <w:pPr>
              <w:spacing w:line="360" w:lineRule="auto"/>
            </w:pPr>
            <w:r>
              <w:t>Statistical allocation bases</w:t>
            </w:r>
          </w:p>
        </w:tc>
        <w:tc>
          <w:tcPr>
            <w:tcW w:w="3778" w:type="dxa"/>
          </w:tcPr>
          <w:p w14:paraId="71150687" w14:textId="77777777" w:rsidR="008A22DE" w:rsidRDefault="00214398">
            <w:pPr>
              <w:spacing w:line="360" w:lineRule="auto"/>
            </w:pPr>
            <w:r>
              <w:t>Standard bases include measures such as square footage for capital and plant costs and gross salaries for employee benefits; changes in basis or sequence require contractor approval.</w:t>
            </w:r>
          </w:p>
        </w:tc>
        <w:tc>
          <w:tcPr>
            <w:tcW w:w="3729" w:type="dxa"/>
          </w:tcPr>
          <w:p w14:paraId="4EA86DBE" w14:textId="77777777" w:rsidR="008A22DE" w:rsidRDefault="00214398">
            <w:pPr>
              <w:spacing w:line="360" w:lineRule="auto"/>
            </w:pPr>
            <w:r>
              <w:t>Implausible or internally inconsistent basis values are a candidate anomaly signal (e.g., square footage inconsistent with facility size), although approved alternative bases can produce legitimate variation.</w:t>
            </w:r>
          </w:p>
        </w:tc>
      </w:tr>
      <w:tr w:rsidR="008A22DE" w14:paraId="62FA2E15" w14:textId="77777777">
        <w:trPr>
          <w:cantSplit/>
        </w:trPr>
        <w:tc>
          <w:tcPr>
            <w:tcW w:w="1843" w:type="dxa"/>
          </w:tcPr>
          <w:p w14:paraId="074763A7" w14:textId="77777777" w:rsidR="008A22DE" w:rsidRDefault="00214398">
            <w:pPr>
              <w:spacing w:line="360" w:lineRule="auto"/>
            </w:pPr>
            <w:r>
              <w:lastRenderedPageBreak/>
              <w:t>Non-reimbursable cost centers</w:t>
            </w:r>
          </w:p>
        </w:tc>
        <w:tc>
          <w:tcPr>
            <w:tcW w:w="3778" w:type="dxa"/>
          </w:tcPr>
          <w:p w14:paraId="58C6B7E3" w14:textId="77777777" w:rsidR="008A22DE" w:rsidRDefault="00214398">
            <w:pPr>
              <w:spacing w:line="360" w:lineRule="auto"/>
            </w:pPr>
            <w:r>
              <w:t>Programs unrelated to patient care receive an overhead allocation but are excluded from reimbursable totals.</w:t>
            </w:r>
          </w:p>
        </w:tc>
        <w:tc>
          <w:tcPr>
            <w:tcW w:w="3729" w:type="dxa"/>
          </w:tcPr>
          <w:p w14:paraId="5A895E79" w14:textId="77777777" w:rsidR="008A22DE" w:rsidRDefault="00214398">
            <w:pPr>
              <w:spacing w:line="360" w:lineRule="auto"/>
            </w:pPr>
            <w:r>
              <w:t>Misclassification between reimbursable and non-reimbursable centers changes the costs that flow into reimbursable departments.</w:t>
            </w:r>
          </w:p>
        </w:tc>
      </w:tr>
      <w:tr w:rsidR="008A22DE" w14:paraId="10ACF2C3" w14:textId="77777777">
        <w:trPr>
          <w:cantSplit/>
        </w:trPr>
        <w:tc>
          <w:tcPr>
            <w:tcW w:w="1843" w:type="dxa"/>
          </w:tcPr>
          <w:p w14:paraId="32C6CB93" w14:textId="77777777" w:rsidR="008A22DE" w:rsidRDefault="00214398">
            <w:pPr>
              <w:spacing w:line="360" w:lineRule="auto"/>
            </w:pPr>
            <w:r>
              <w:t>Reclassifications and adjustments</w:t>
            </w:r>
          </w:p>
        </w:tc>
        <w:tc>
          <w:tcPr>
            <w:tcW w:w="3778" w:type="dxa"/>
          </w:tcPr>
          <w:p w14:paraId="0F7C881E" w14:textId="77777777" w:rsidR="008A22DE" w:rsidRDefault="00214398">
            <w:pPr>
              <w:spacing w:line="360" w:lineRule="auto"/>
            </w:pPr>
            <w:r>
              <w:t>Recorded expenses may be reclassified between cost centers, and costs not related to patient care removed, before the step-down allocation.</w:t>
            </w:r>
          </w:p>
        </w:tc>
        <w:tc>
          <w:tcPr>
            <w:tcW w:w="3729" w:type="dxa"/>
          </w:tcPr>
          <w:p w14:paraId="377EA5D7" w14:textId="77777777" w:rsidR="008A22DE" w:rsidRDefault="00214398">
            <w:pPr>
              <w:spacing w:line="360" w:lineRule="auto"/>
            </w:pPr>
            <w:r>
              <w:t>Discretionary reclassification introduces hospital-specific variance that complicates cross-hospital benchmarking and must be separated from genuine anomalies.</w:t>
            </w:r>
          </w:p>
        </w:tc>
      </w:tr>
      <w:tr w:rsidR="008A22DE" w14:paraId="494D5C91" w14:textId="77777777">
        <w:trPr>
          <w:cantSplit/>
        </w:trPr>
        <w:tc>
          <w:tcPr>
            <w:tcW w:w="1843" w:type="dxa"/>
          </w:tcPr>
          <w:p w14:paraId="55E9EB85" w14:textId="77777777" w:rsidR="008A22DE" w:rsidRDefault="00214398">
            <w:pPr>
              <w:spacing w:line="360" w:lineRule="auto"/>
            </w:pPr>
            <w:r>
              <w:t>Filing, review, and settlement cycle</w:t>
            </w:r>
          </w:p>
        </w:tc>
        <w:tc>
          <w:tcPr>
            <w:tcW w:w="3778" w:type="dxa"/>
          </w:tcPr>
          <w:p w14:paraId="09FD2E81" w14:textId="77777777" w:rsidR="008A22DE" w:rsidRDefault="00214398">
            <w:pPr>
              <w:spacing w:line="360" w:lineRule="auto"/>
            </w:pPr>
            <w:r>
              <w:t>Cost reports are filed after fiscal year-end and may later be amended by the hospital or reopened after settlement.</w:t>
            </w:r>
          </w:p>
        </w:tc>
        <w:tc>
          <w:tcPr>
            <w:tcW w:w="3729" w:type="dxa"/>
          </w:tcPr>
          <w:p w14:paraId="50EDAE87" w14:textId="77777777" w:rsidR="008A22DE" w:rsidRDefault="00214398">
            <w:pPr>
              <w:spacing w:line="360" w:lineRule="auto"/>
            </w:pPr>
            <w:r>
              <w:t>Delayed finalization limits real-time detection and increases the value of retrospective, explainable analytics; differences between submitted and settled reports are a potential source of quasi-labels.</w:t>
            </w:r>
          </w:p>
        </w:tc>
      </w:tr>
    </w:tbl>
    <w:p w14:paraId="37E4F341" w14:textId="77777777" w:rsidR="004B3AA6" w:rsidRDefault="004B3AA6">
      <w:pPr>
        <w:spacing w:after="200" w:line="360" w:lineRule="auto"/>
        <w:jc w:val="both"/>
      </w:pPr>
    </w:p>
    <w:p w14:paraId="6554D084" w14:textId="77777777" w:rsidR="002C34EA" w:rsidRDefault="002C34EA" w:rsidP="002C34EA">
      <w:pPr>
        <w:spacing w:after="200" w:line="360" w:lineRule="auto"/>
        <w:jc w:val="both"/>
      </w:pPr>
      <w:r>
        <w:t xml:space="preserve">Evidence on the reliability of MCR data comes mostly from studies that compare it to independent sources. </w:t>
      </w:r>
      <w:r>
        <w:rPr>
          <w:highlight w:val="yellow"/>
        </w:rPr>
        <w:t>Having applied a data-quality criteria framework</w:t>
      </w:r>
      <w:r>
        <w:t xml:space="preserve"> to 34,728 instances of 12 financial-statement items extracted from hospital financial statements and corresponding MCR filings for 2007 to 2011, Lamboy-Ruiz et al. (2019) found a nontrivial rate of missing items, widespread discrepancies across items, discrepancies that were material in both sources, and numerous avoidable computational errors. </w:t>
      </w:r>
      <w:r>
        <w:rPr>
          <w:highlight w:val="yellow"/>
        </w:rPr>
        <w:t>The authors were unable to determine which source was more accurate</w:t>
      </w:r>
      <w:r>
        <w:t xml:space="preserve">, </w:t>
      </w:r>
      <w:r>
        <w:rPr>
          <w:highlight w:val="yellow"/>
        </w:rPr>
        <w:t>and they noted that high-quality hospital financial data are difficult to access</w:t>
      </w:r>
      <w:r>
        <w:t xml:space="preserve">, with hospital financial statements or MCRs being </w:t>
      </w:r>
      <w:r>
        <w:rPr>
          <w:highlight w:val="yellow"/>
        </w:rPr>
        <w:t>the two sources most often used</w:t>
      </w:r>
      <w:r>
        <w:t>. For researchers and oversight bodies operating on a national scale, the MCR is often the more accessible of the options, hence the value of methods for reviewing MCR data in its own right.</w:t>
      </w:r>
    </w:p>
    <w:p w14:paraId="01D031DF" w14:textId="77777777" w:rsidR="002C34EA" w:rsidRDefault="002C34EA" w:rsidP="002C34EA">
      <w:pPr>
        <w:spacing w:after="200" w:line="360" w:lineRule="auto"/>
        <w:jc w:val="both"/>
      </w:pPr>
      <w:r>
        <w:t xml:space="preserve">More recent evidence also shows that such issues are still present. Comparing HCRIS to Medicaid claims in the T-MSIS Analytic Files for general hospitals with reporting periods in 2020 and 2021, Chalmers et al. (2026) identified 25 states in which some hospitals had reported fewer Medicaid </w:t>
      </w:r>
      <w:r>
        <w:lastRenderedPageBreak/>
        <w:t xml:space="preserve">discharges to HCRIS </w:t>
      </w:r>
      <w:r>
        <w:rPr>
          <w:highlight w:val="yellow"/>
        </w:rPr>
        <w:t>than the claims data indicated</w:t>
      </w:r>
      <w:r>
        <w:t xml:space="preserve">, and in which the same hospitals inconsistently reported managed-care Medicaid discharges and patient days. </w:t>
      </w:r>
      <w:r>
        <w:rPr>
          <w:highlight w:val="yellow"/>
        </w:rPr>
        <w:t>They concluded that HCRIS may not</w:t>
      </w:r>
      <w:r>
        <w:t xml:space="preserve"> capture Medicaid discharge volume reliably in those states, particularly for managed-care enrollees. </w:t>
      </w:r>
      <w:r>
        <w:rPr>
          <w:highlight w:val="yellow"/>
        </w:rPr>
        <w:t>For anomaly detection, the implication is</w:t>
      </w:r>
      <w:r>
        <w:t xml:space="preserve"> that data quality varies by field, by state, and by reporting convention, and a model should be able to distinguish systematic reporting differences from irregularities specific to hospitals.</w:t>
      </w:r>
    </w:p>
    <w:p w14:paraId="2B15EA4A" w14:textId="77777777" w:rsidR="002C34EA" w:rsidRDefault="002C34EA" w:rsidP="002C34EA">
      <w:pPr>
        <w:spacing w:after="200" w:line="360" w:lineRule="auto"/>
        <w:jc w:val="both"/>
      </w:pPr>
      <w:r>
        <w:t xml:space="preserve">Reporting accuracy also varies under different regulatory environments. Using over 22,000 MCRs filed between 2007 and 2014, Di Paolo Harrison et al. (2022) found that restatements increased following the Affordable Care Act, driven by more amended reports, while reopenings following a settlement decreased. Evidence that allocations and reporting choices respond to financial incentives </w:t>
      </w:r>
      <w:r>
        <w:rPr>
          <w:highlight w:val="yellow"/>
        </w:rPr>
        <w:t>has long been established</w:t>
      </w:r>
      <w:r>
        <w:t xml:space="preserve">. </w:t>
      </w:r>
      <w:r>
        <w:rPr>
          <w:highlight w:val="yellow"/>
        </w:rPr>
        <w:t>After Medicare transitioned to prospective payments for inpatient care</w:t>
      </w:r>
      <w:r>
        <w:t xml:space="preserve"> and </w:t>
      </w:r>
      <w:r>
        <w:rPr>
          <w:highlight w:val="yellow"/>
        </w:rPr>
        <w:t>continued reimbursing outpatient care on the basis of reported costs</w:t>
      </w:r>
      <w:r>
        <w:t xml:space="preserve">, hospitals allocated more costs to outpatient services (Eldenburg &amp; Kallapur, 1997). More recently, after Medicare began distributing disproportionate share funds on the basis of reported uncompensated care, system-affiliated and for-profit hospitals increased the uncompensated care that they reported (Markell et al., 2026). </w:t>
      </w:r>
      <w:r>
        <w:rPr>
          <w:highlight w:val="yellow"/>
        </w:rPr>
        <w:t>None of these studies demonstrates misconduct</w:t>
      </w:r>
      <w:r>
        <w:t xml:space="preserve">, but taken together, they suggest that reported figures respond to reporting rules and incentives, </w:t>
      </w:r>
      <w:r>
        <w:rPr>
          <w:highlight w:val="yellow"/>
        </w:rPr>
        <w:t>which is precisely the kind of variability that an explainable screening tool should help auditors interpret</w:t>
      </w:r>
      <w:r>
        <w:t>.</w:t>
      </w:r>
    </w:p>
    <w:p w14:paraId="02C9EE28" w14:textId="77777777" w:rsidR="002C34EA" w:rsidRDefault="002C34EA" w:rsidP="002C34EA">
      <w:pPr>
        <w:spacing w:after="200" w:line="360" w:lineRule="auto"/>
        <w:jc w:val="both"/>
      </w:pPr>
      <w:r>
        <w:t xml:space="preserve">A related line of research investigates how hospitals use </w:t>
      </w:r>
      <w:r>
        <w:rPr>
          <w:highlight w:val="yellow"/>
        </w:rPr>
        <w:t>the financial flexibility afforded by higher commercial prices</w:t>
      </w:r>
      <w:r>
        <w:t xml:space="preserve">. Using standardized audited financial data from 156 health systems, Blavin et al. (2023) found that </w:t>
      </w:r>
      <w:r>
        <w:rPr>
          <w:highlight w:val="yellow"/>
        </w:rPr>
        <w:t>a one-unit increase</w:t>
      </w:r>
      <w:r>
        <w:t xml:space="preserve"> in the commercial-to-Medicare inpatient price ratio was associated with a 21.3% increase in days cash on hand and a 2.7 percentage-point increase in operating margins, evidence that stands in contrast to the claim that higher commercial prices predominantly compensate for public-payer shortfalls. </w:t>
      </w:r>
      <w:r>
        <w:rPr>
          <w:highlight w:val="yellow"/>
        </w:rPr>
        <w:t>Wang and Anderson (2022), analysing 8,862 hospital-year observations,</w:t>
      </w:r>
      <w:r>
        <w:t xml:space="preserve"> found that nonprofit hospitals with higher private-to-Medicare payment ratios allocated the additional revenue primarily to operating surplus and </w:t>
      </w:r>
      <w:r>
        <w:rPr>
          <w:highlight w:val="yellow"/>
        </w:rPr>
        <w:t>administrative costs, with smaller increases</w:t>
      </w:r>
      <w:r>
        <w:t xml:space="preserve"> to patient care and charity care expenditures. Neither study looks directly at cost-report allocations, but both suggest that discretion in how hospitals manage costs and revenues has material financial consequences. This is part of the justification for scrutinizing allocation patterns.</w:t>
      </w:r>
    </w:p>
    <w:p w14:paraId="17C233C6" w14:textId="77777777" w:rsidR="008A22DE" w:rsidRDefault="002C34EA" w:rsidP="002C34EA">
      <w:pPr>
        <w:spacing w:after="200" w:line="360" w:lineRule="auto"/>
        <w:jc w:val="both"/>
      </w:pPr>
      <w:r>
        <w:lastRenderedPageBreak/>
        <w:t xml:space="preserve">HCRIS is the repository through which cost-report data are made available for public analysis, but its size and complexity have also been a barrier to use. Locey and Stein (2023) responded by building </w:t>
      </w:r>
      <w:r>
        <w:rPr>
          <w:highlight w:val="yellow"/>
        </w:rPr>
        <w:t>an open-source repository</w:t>
      </w:r>
      <w:r>
        <w:t xml:space="preserve"> of 6,908 hospital-specific databases, each with 2,843 </w:t>
      </w:r>
      <w:r>
        <w:rPr>
          <w:highlight w:val="yellow"/>
        </w:rPr>
        <w:t>labelled features</w:t>
      </w:r>
      <w:r>
        <w:t xml:space="preserve"> spanning 2010 to 2023, plus an application for </w:t>
      </w:r>
      <w:r>
        <w:rPr>
          <w:highlight w:val="yellow"/>
        </w:rPr>
        <w:t>comparing hospitals by feature and over time</w:t>
      </w:r>
      <w:r>
        <w:t>. Such resources make cost-center-level peer benchmarking possible. Such benchmarking requires comparable panels of hospitals and cost centers, so that genuine outliers can be separated from variations resulting from case mix, volume, size, teaching status, and other determinants of cost structure.</w:t>
      </w:r>
    </w:p>
    <w:p w14:paraId="1048F21A" w14:textId="77777777" w:rsidR="008A22DE" w:rsidRDefault="00214398">
      <w:pPr>
        <w:keepNext/>
        <w:spacing w:before="240" w:after="140" w:line="360" w:lineRule="auto"/>
      </w:pPr>
      <w:r>
        <w:rPr>
          <w:b/>
          <w:bCs/>
          <w:color w:val="000000"/>
        </w:rPr>
        <w:t>2.2 Machine Learning for Anomaly and Fraud Detection in Medicare and Hospital Data</w:t>
      </w:r>
    </w:p>
    <w:p w14:paraId="597C7848" w14:textId="77777777" w:rsidR="002C34EA" w:rsidRDefault="002C34EA" w:rsidP="002C34EA">
      <w:pPr>
        <w:spacing w:after="200" w:line="360" w:lineRule="auto"/>
        <w:jc w:val="both"/>
      </w:pPr>
      <w:r>
        <w:t xml:space="preserve">A large literature applies machine learning to Medicare claims and provider data to detect anomalous </w:t>
      </w:r>
      <w:r>
        <w:rPr>
          <w:highlight w:val="yellow"/>
        </w:rPr>
        <w:t>provider behaviour</w:t>
      </w:r>
      <w:r>
        <w:t xml:space="preserve">. These studies typically use </w:t>
      </w:r>
      <w:r>
        <w:rPr>
          <w:highlight w:val="yellow"/>
        </w:rPr>
        <w:t>CMS public-use files</w:t>
      </w:r>
      <w:r>
        <w:t xml:space="preserve"> of physician and supplier services, with fraud labels defined from the federal list of excluded providers, </w:t>
      </w:r>
      <w:r>
        <w:rPr>
          <w:highlight w:val="yellow"/>
        </w:rPr>
        <w:t>rather than from cost-report data</w:t>
      </w:r>
      <w:r>
        <w:t xml:space="preserve"> (Herland et al., 2018; Johnson &amp; Khoshgoftaar, 2019). Johnson and Khoshgoftaar (2019) compared deep neural network approaches on </w:t>
      </w:r>
      <w:r>
        <w:rPr>
          <w:highlight w:val="yellow"/>
        </w:rPr>
        <w:t>Medicare data in which fraudulent providers</w:t>
      </w:r>
      <w:r>
        <w:t xml:space="preserve"> made up only 0.03% of observations, an example of the severe class imbalance that defines fraud labels. Hasanin et al. (2019) considered data-sampling strategies for severely imbalanced big data of this kind, </w:t>
      </w:r>
      <w:r>
        <w:rPr>
          <w:highlight w:val="yellow"/>
        </w:rPr>
        <w:t>while Herland et al. (2018) showed that combining multiple Medicare data sources could improve detection</w:t>
      </w:r>
      <w:r>
        <w:t xml:space="preserve">. Hancock et al. (2023) tackled interpretability directly, using ensemble supervised feature selection to reduce dimensionality by roughly 87.5% without loss of performance on two Medicare claims datasets </w:t>
      </w:r>
      <w:r>
        <w:rPr>
          <w:highlight w:val="yellow"/>
        </w:rPr>
        <w:t>while providing explanations through the definitions</w:t>
      </w:r>
      <w:r>
        <w:t xml:space="preserve"> of the retained features.</w:t>
      </w:r>
    </w:p>
    <w:p w14:paraId="171F3BC6" w14:textId="77777777" w:rsidR="002C34EA" w:rsidRDefault="002C34EA" w:rsidP="002C34EA">
      <w:pPr>
        <w:spacing w:after="200" w:line="360" w:lineRule="auto"/>
        <w:jc w:val="both"/>
      </w:pPr>
      <w:r>
        <w:t xml:space="preserve">The study most relevant to this review is by Shekhar et al. (2026), who treated fraud detection on large-scale Medicare inpatient claims as an unsupervised anomaly-detection problem. </w:t>
      </w:r>
      <w:r>
        <w:rPr>
          <w:highlight w:val="yellow"/>
        </w:rPr>
        <w:t>Their approach combined three unsupervised detectors</w:t>
      </w:r>
      <w:r>
        <w:t xml:space="preserve"> </w:t>
      </w:r>
      <w:r>
        <w:rPr>
          <w:highlight w:val="yellow"/>
        </w:rPr>
        <w:t>and did not rely on incomplete fraud labels</w:t>
      </w:r>
      <w:r>
        <w:t xml:space="preserve">, </w:t>
      </w:r>
      <w:r>
        <w:rPr>
          <w:highlight w:val="yellow"/>
        </w:rPr>
        <w:t>while providing explanations of why individual hospitals were flagged</w:t>
      </w:r>
      <w:r>
        <w:t xml:space="preserve">. Validated against Department of Justice data on hospitals facing anti-fraud lawsuits, it provided roughly an eightfold improvement over random targeting. Its combination of unsupervised detection, provider-level explanation, and validation against partial </w:t>
      </w:r>
      <w:r>
        <w:rPr>
          <w:highlight w:val="yellow"/>
        </w:rPr>
        <w:t>ground truth is the closest</w:t>
      </w:r>
      <w:r>
        <w:t xml:space="preserve"> methodological analogue we identified for cost-report analysis, though it operates on claims rather than on cost-</w:t>
      </w:r>
      <w:proofErr w:type="spellStart"/>
      <w:r>
        <w:t>center</w:t>
      </w:r>
      <w:proofErr w:type="spellEnd"/>
      <w:r>
        <w:t xml:space="preserve"> allocations.</w:t>
      </w:r>
    </w:p>
    <w:p w14:paraId="2444D7B3" w14:textId="77777777" w:rsidR="008A22DE" w:rsidRDefault="002C34EA" w:rsidP="002C34EA">
      <w:pPr>
        <w:spacing w:after="200" w:line="360" w:lineRule="auto"/>
        <w:jc w:val="both"/>
      </w:pPr>
      <w:r>
        <w:lastRenderedPageBreak/>
        <w:t xml:space="preserve">Two further strands of relevance are worth briefly mentioning. First, surveys of class-imbalanced learning and deep anomaly detection cover resampling, cost-sensitive learning and representation-learning approaches for rare-event </w:t>
      </w:r>
      <w:r>
        <w:rPr>
          <w:highlight w:val="yellow"/>
        </w:rPr>
        <w:t>problems such as those encountered in fraud and error detection</w:t>
      </w:r>
      <w:r>
        <w:t xml:space="preserve"> (Kaur et al., 2019; Pang et al., 2021), and Habeeb et al. (2019) review techniques for anomaly detection in large-scale, real-time data processing. Secondly, outside Medicare, studies on health insurance claims have addressed </w:t>
      </w:r>
      <w:r>
        <w:rPr>
          <w:highlight w:val="yellow"/>
        </w:rPr>
        <w:t>sequence modelling</w:t>
      </w:r>
      <w:r>
        <w:t xml:space="preserve"> and interpretability. Fursov et al. (2022) proposed sequence embeddings of patient-visit records for fraud detection, and </w:t>
      </w:r>
      <w:r>
        <w:rPr>
          <w:highlight w:val="yellow"/>
        </w:rPr>
        <w:t>Farbmacher et al. (2022) developed an attention-based network applied to claims from a private German health insurer and designed</w:t>
      </w:r>
      <w:r>
        <w:t xml:space="preserve"> to indicate which claim items drive a fraud prediction. These studies illustrate how sequential structure and interpretability might be approached, though neither has been tested on cost-report data. Table 2 summarizes representative studies and </w:t>
      </w:r>
      <w:r>
        <w:rPr>
          <w:highlight w:val="yellow"/>
        </w:rPr>
        <w:t>their relevance to the cost-allocation problem</w:t>
      </w:r>
      <w:r>
        <w:t>.</w:t>
      </w:r>
    </w:p>
    <w:p w14:paraId="0013AD6C" w14:textId="77777777" w:rsidR="008A22DE" w:rsidRDefault="00214398">
      <w:pPr>
        <w:keepNext/>
        <w:spacing w:before="120" w:after="160" w:line="360" w:lineRule="auto"/>
      </w:pPr>
      <w:r>
        <w:rPr>
          <w:b/>
          <w:bCs/>
        </w:rPr>
        <w:t>Table 2. Representative Studies on Medicare and Healthcare Anomaly and Fraud Detection</w:t>
      </w:r>
    </w:p>
    <w:tbl>
      <w:tblPr>
        <w:tblStyle w:val="TableGrid"/>
        <w:tblW w:w="9350" w:type="dxa"/>
        <w:tblLook w:val="04A0" w:firstRow="1" w:lastRow="0" w:firstColumn="1" w:lastColumn="0" w:noHBand="0" w:noVBand="1"/>
      </w:tblPr>
      <w:tblGrid>
        <w:gridCol w:w="1843"/>
        <w:gridCol w:w="3778"/>
        <w:gridCol w:w="3729"/>
      </w:tblGrid>
      <w:tr w:rsidR="008A22DE" w14:paraId="3EE7B419" w14:textId="77777777">
        <w:trPr>
          <w:cantSplit/>
          <w:tblHeader/>
        </w:trPr>
        <w:tc>
          <w:tcPr>
            <w:tcW w:w="1843" w:type="dxa"/>
          </w:tcPr>
          <w:p w14:paraId="0DF0AEFA" w14:textId="77777777" w:rsidR="008A22DE" w:rsidRDefault="00214398">
            <w:pPr>
              <w:spacing w:line="360" w:lineRule="auto"/>
            </w:pPr>
            <w:r>
              <w:rPr>
                <w:b/>
                <w:bCs/>
              </w:rPr>
              <w:t>Study</w:t>
            </w:r>
          </w:p>
        </w:tc>
        <w:tc>
          <w:tcPr>
            <w:tcW w:w="3778" w:type="dxa"/>
          </w:tcPr>
          <w:p w14:paraId="65755CC6" w14:textId="77777777" w:rsidR="008A22DE" w:rsidRDefault="00214398">
            <w:pPr>
              <w:spacing w:line="360" w:lineRule="auto"/>
            </w:pPr>
            <w:r>
              <w:rPr>
                <w:b/>
                <w:bCs/>
              </w:rPr>
              <w:t>Data / Method</w:t>
            </w:r>
          </w:p>
        </w:tc>
        <w:tc>
          <w:tcPr>
            <w:tcW w:w="3729" w:type="dxa"/>
          </w:tcPr>
          <w:p w14:paraId="62750903" w14:textId="77777777" w:rsidR="008A22DE" w:rsidRDefault="00214398">
            <w:pPr>
              <w:spacing w:line="360" w:lineRule="auto"/>
            </w:pPr>
            <w:r>
              <w:rPr>
                <w:b/>
                <w:bCs/>
              </w:rPr>
              <w:t>Relation to Cost-Allocation Anomaly Detection</w:t>
            </w:r>
          </w:p>
        </w:tc>
      </w:tr>
      <w:tr w:rsidR="008A22DE" w14:paraId="7A58D443" w14:textId="77777777">
        <w:trPr>
          <w:cantSplit/>
        </w:trPr>
        <w:tc>
          <w:tcPr>
            <w:tcW w:w="1843" w:type="dxa"/>
          </w:tcPr>
          <w:p w14:paraId="59F4EE29" w14:textId="77777777" w:rsidR="008A22DE" w:rsidRDefault="00214398">
            <w:pPr>
              <w:spacing w:line="360" w:lineRule="auto"/>
            </w:pPr>
            <w:r>
              <w:t>Johnson &amp; Khoshgoftaar (2019)</w:t>
            </w:r>
          </w:p>
        </w:tc>
        <w:tc>
          <w:tcPr>
            <w:tcW w:w="3778" w:type="dxa"/>
          </w:tcPr>
          <w:p w14:paraId="246174E3" w14:textId="77777777" w:rsidR="008A22DE" w:rsidRDefault="00214398">
            <w:pPr>
              <w:spacing w:line="360" w:lineRule="auto"/>
            </w:pPr>
            <w:r>
              <w:t>CMS Medicare public use data with excluded-provider labels; deep neural networks under severe class imbalance (fraud cases 0.03% of observations)</w:t>
            </w:r>
          </w:p>
        </w:tc>
        <w:tc>
          <w:tcPr>
            <w:tcW w:w="3729" w:type="dxa"/>
          </w:tcPr>
          <w:p w14:paraId="49CDE1B6" w14:textId="77777777" w:rsidR="008A22DE" w:rsidRDefault="00214398">
            <w:pPr>
              <w:spacing w:line="360" w:lineRule="auto"/>
            </w:pPr>
            <w:r>
              <w:t>Provider-level fraud classification; no cost-report or cost-allocation focus</w:t>
            </w:r>
          </w:p>
        </w:tc>
      </w:tr>
      <w:tr w:rsidR="008A22DE" w14:paraId="309282B2" w14:textId="77777777">
        <w:trPr>
          <w:cantSplit/>
        </w:trPr>
        <w:tc>
          <w:tcPr>
            <w:tcW w:w="1843" w:type="dxa"/>
          </w:tcPr>
          <w:p w14:paraId="3CD403AE" w14:textId="77777777" w:rsidR="008A22DE" w:rsidRDefault="00214398">
            <w:pPr>
              <w:spacing w:line="360" w:lineRule="auto"/>
            </w:pPr>
            <w:r>
              <w:t>Shekhar et al. (2026)</w:t>
            </w:r>
          </w:p>
        </w:tc>
        <w:tc>
          <w:tcPr>
            <w:tcW w:w="3778" w:type="dxa"/>
          </w:tcPr>
          <w:p w14:paraId="2C9DEF12" w14:textId="77777777" w:rsidR="008A22DE" w:rsidRDefault="00214398">
            <w:pPr>
              <w:spacing w:line="360" w:lineRule="auto"/>
            </w:pPr>
            <w:r>
              <w:t>Large-scale Medicare inpatient claims; ensemble of unsupervised detectors with hospital-level explanations, validated against Department of Justice cases</w:t>
            </w:r>
          </w:p>
        </w:tc>
        <w:tc>
          <w:tcPr>
            <w:tcW w:w="3729" w:type="dxa"/>
          </w:tcPr>
          <w:p w14:paraId="41E95C9B" w14:textId="77777777" w:rsidR="008A22DE" w:rsidRDefault="00214398">
            <w:pPr>
              <w:spacing w:line="360" w:lineRule="auto"/>
            </w:pPr>
            <w:r>
              <w:t>Explicit explainability; closest methodological analogue identified, but claims-based rather than cost-report-based</w:t>
            </w:r>
          </w:p>
        </w:tc>
      </w:tr>
      <w:tr w:rsidR="008A22DE" w14:paraId="429DB223" w14:textId="77777777">
        <w:trPr>
          <w:cantSplit/>
        </w:trPr>
        <w:tc>
          <w:tcPr>
            <w:tcW w:w="1843" w:type="dxa"/>
          </w:tcPr>
          <w:p w14:paraId="7FACBF13" w14:textId="77777777" w:rsidR="008A22DE" w:rsidRDefault="00214398">
            <w:pPr>
              <w:spacing w:line="360" w:lineRule="auto"/>
            </w:pPr>
            <w:r>
              <w:t>Hancock et al. (2023)</w:t>
            </w:r>
          </w:p>
        </w:tc>
        <w:tc>
          <w:tcPr>
            <w:tcW w:w="3778" w:type="dxa"/>
          </w:tcPr>
          <w:p w14:paraId="212B48FF" w14:textId="77777777" w:rsidR="008A22DE" w:rsidRDefault="00214398">
            <w:pPr>
              <w:spacing w:line="360" w:lineRule="auto"/>
            </w:pPr>
            <w:r>
              <w:t>Two Medicare claims datasets; ensemble supervised feature selection for explainable classifiers</w:t>
            </w:r>
          </w:p>
        </w:tc>
        <w:tc>
          <w:tcPr>
            <w:tcW w:w="3729" w:type="dxa"/>
          </w:tcPr>
          <w:p w14:paraId="149C1350" w14:textId="77777777" w:rsidR="008A22DE" w:rsidRDefault="00214398">
            <w:pPr>
              <w:spacing w:line="360" w:lineRule="auto"/>
            </w:pPr>
            <w:r>
              <w:t>Explainability through feature reduction; supervised and claims-based</w:t>
            </w:r>
          </w:p>
        </w:tc>
      </w:tr>
      <w:tr w:rsidR="008A22DE" w14:paraId="4240345B" w14:textId="77777777">
        <w:trPr>
          <w:cantSplit/>
        </w:trPr>
        <w:tc>
          <w:tcPr>
            <w:tcW w:w="1843" w:type="dxa"/>
          </w:tcPr>
          <w:p w14:paraId="36C7CCE5" w14:textId="77777777" w:rsidR="008A22DE" w:rsidRDefault="00214398">
            <w:pPr>
              <w:spacing w:line="360" w:lineRule="auto"/>
            </w:pPr>
            <w:r>
              <w:lastRenderedPageBreak/>
              <w:t>Herland et al. (2018)</w:t>
            </w:r>
          </w:p>
        </w:tc>
        <w:tc>
          <w:tcPr>
            <w:tcW w:w="3778" w:type="dxa"/>
          </w:tcPr>
          <w:p w14:paraId="2A0C416A" w14:textId="77777777" w:rsidR="008A22DE" w:rsidRDefault="00214398">
            <w:pPr>
              <w:spacing w:line="360" w:lineRule="auto"/>
            </w:pPr>
            <w:r>
              <w:t>Multiple linked Medicare claims data sources; supervised learners with excluded-provider labels</w:t>
            </w:r>
          </w:p>
        </w:tc>
        <w:tc>
          <w:tcPr>
            <w:tcW w:w="3729" w:type="dxa"/>
          </w:tcPr>
          <w:p w14:paraId="33363947" w14:textId="77777777" w:rsidR="008A22DE" w:rsidRDefault="00214398">
            <w:pPr>
              <w:spacing w:line="360" w:lineRule="auto"/>
            </w:pPr>
            <w:r>
              <w:t>Provider-claims focus; no cost-allocation or cost-center dimension</w:t>
            </w:r>
          </w:p>
        </w:tc>
      </w:tr>
      <w:tr w:rsidR="008A22DE" w14:paraId="78D02C70" w14:textId="77777777">
        <w:trPr>
          <w:cantSplit/>
        </w:trPr>
        <w:tc>
          <w:tcPr>
            <w:tcW w:w="1843" w:type="dxa"/>
          </w:tcPr>
          <w:p w14:paraId="34255F8D" w14:textId="77777777" w:rsidR="008A22DE" w:rsidRDefault="00214398">
            <w:pPr>
              <w:spacing w:line="360" w:lineRule="auto"/>
            </w:pPr>
            <w:r>
              <w:t>Farbmacher et al. (2022)</w:t>
            </w:r>
          </w:p>
        </w:tc>
        <w:tc>
          <w:tcPr>
            <w:tcW w:w="3778" w:type="dxa"/>
          </w:tcPr>
          <w:p w14:paraId="18CF6B8F" w14:textId="77777777" w:rsidR="008A22DE" w:rsidRDefault="00214398">
            <w:pPr>
              <w:spacing w:line="360" w:lineRule="auto"/>
            </w:pPr>
            <w:r>
              <w:t>Private health insurance claims (Germany); attention-based deep network</w:t>
            </w:r>
          </w:p>
        </w:tc>
        <w:tc>
          <w:tcPr>
            <w:tcW w:w="3729" w:type="dxa"/>
          </w:tcPr>
          <w:p w14:paraId="685DFD6D" w14:textId="77777777" w:rsidR="008A22DE" w:rsidRDefault="00214398">
            <w:pPr>
              <w:spacing w:line="360" w:lineRule="auto"/>
            </w:pPr>
            <w:r>
              <w:t>Interpretable deep model; non-Medicare and claims-based</w:t>
            </w:r>
          </w:p>
        </w:tc>
      </w:tr>
      <w:tr w:rsidR="008A22DE" w14:paraId="1A145B8D" w14:textId="77777777">
        <w:trPr>
          <w:cantSplit/>
        </w:trPr>
        <w:tc>
          <w:tcPr>
            <w:tcW w:w="1843" w:type="dxa"/>
          </w:tcPr>
          <w:p w14:paraId="6545CFD4" w14:textId="77777777" w:rsidR="008A22DE" w:rsidRDefault="00214398">
            <w:pPr>
              <w:spacing w:line="360" w:lineRule="auto"/>
            </w:pPr>
            <w:r>
              <w:t>Locey &amp; Stein (2023)</w:t>
            </w:r>
          </w:p>
        </w:tc>
        <w:tc>
          <w:tcPr>
            <w:tcW w:w="3778" w:type="dxa"/>
          </w:tcPr>
          <w:p w14:paraId="4242DDB2" w14:textId="77777777" w:rsidR="008A22DE" w:rsidRDefault="00214398">
            <w:pPr>
              <w:spacing w:line="360" w:lineRule="auto"/>
            </w:pPr>
            <w:r>
              <w:t>HCRIS-derived repository of 6,908 hospital datasets with 2,843 labeled features (2010 to 2023)</w:t>
            </w:r>
          </w:p>
        </w:tc>
        <w:tc>
          <w:tcPr>
            <w:tcW w:w="3729" w:type="dxa"/>
          </w:tcPr>
          <w:p w14:paraId="1A3FBBCD" w14:textId="77777777" w:rsidR="008A22DE" w:rsidRDefault="00214398">
            <w:pPr>
              <w:spacing w:line="360" w:lineRule="auto"/>
            </w:pPr>
            <w:r>
              <w:t>Improves access to cost-report data; does not itself perform anomaly detection</w:t>
            </w:r>
          </w:p>
        </w:tc>
      </w:tr>
    </w:tbl>
    <w:p w14:paraId="1A08ECEB" w14:textId="77777777" w:rsidR="004B3AA6" w:rsidRDefault="004B3AA6">
      <w:pPr>
        <w:keepNext/>
        <w:spacing w:before="240" w:after="140" w:line="360" w:lineRule="auto"/>
      </w:pPr>
    </w:p>
    <w:p w14:paraId="6375ABCA" w14:textId="77777777" w:rsidR="008A22DE" w:rsidRDefault="00214398">
      <w:pPr>
        <w:keepNext/>
        <w:spacing w:before="240" w:after="140" w:line="360" w:lineRule="auto"/>
      </w:pPr>
      <w:r>
        <w:rPr>
          <w:b/>
          <w:bCs/>
          <w:color w:val="000000"/>
        </w:rPr>
        <w:t>2.3 Explainable AI in Auditing and Accounting</w:t>
      </w:r>
    </w:p>
    <w:p w14:paraId="344C5BF8" w14:textId="77777777" w:rsidR="002C34EA" w:rsidRDefault="002C34EA" w:rsidP="002C34EA">
      <w:pPr>
        <w:spacing w:after="200" w:line="360" w:lineRule="auto"/>
        <w:jc w:val="both"/>
      </w:pPr>
      <w:r>
        <w:t xml:space="preserve">A separate literature stream addresses explainable AI in accounting and auditing. </w:t>
      </w:r>
      <w:r>
        <w:rPr>
          <w:highlight w:val="yellow"/>
        </w:rPr>
        <w:t>C. A. Zhang et al. (2022)</w:t>
      </w:r>
      <w:r>
        <w:t xml:space="preserve"> </w:t>
      </w:r>
      <w:r>
        <w:rPr>
          <w:highlight w:val="yellow"/>
        </w:rPr>
        <w:t>presented XAI methods to accounting researchers</w:t>
      </w:r>
      <w:r>
        <w:t xml:space="preserve"> and practitioners </w:t>
      </w:r>
      <w:r>
        <w:rPr>
          <w:highlight w:val="yellow"/>
        </w:rPr>
        <w:t>and proposed how these methods could be employed</w:t>
      </w:r>
      <w:r>
        <w:t xml:space="preserve"> to satisfy existing auditing standards, </w:t>
      </w:r>
      <w:r>
        <w:rPr>
          <w:highlight w:val="yellow"/>
        </w:rPr>
        <w:t>with post hoc explanation methods such as LIME</w:t>
      </w:r>
      <w:r>
        <w:t xml:space="preserve"> (Ribeiro et al., 2016) and SHAP (Lundberg &amp; Lee, 2017) </w:t>
      </w:r>
      <w:r>
        <w:rPr>
          <w:highlight w:val="yellow"/>
        </w:rPr>
        <w:t>taking centre stage</w:t>
      </w:r>
      <w:r>
        <w:t xml:space="preserve">. </w:t>
      </w:r>
      <w:r>
        <w:rPr>
          <w:highlight w:val="yellow"/>
        </w:rPr>
        <w:t>According to a recent PRISMA-based scoping review</w:t>
      </w:r>
      <w:r>
        <w:t xml:space="preserve"> of 85 studies, XAI methods in accounting and financial auditing </w:t>
      </w:r>
      <w:r>
        <w:rPr>
          <w:highlight w:val="yellow"/>
        </w:rPr>
        <w:t>are mostly applied to fraud detection</w:t>
      </w:r>
      <w:r>
        <w:t xml:space="preserve">, credit scoring, auditing, and </w:t>
      </w:r>
      <w:r>
        <w:rPr>
          <w:highlight w:val="yellow"/>
        </w:rPr>
        <w:t>decision support</w:t>
      </w:r>
      <w:r>
        <w:t xml:space="preserve">, </w:t>
      </w:r>
      <w:r>
        <w:rPr>
          <w:highlight w:val="yellow"/>
        </w:rPr>
        <w:t>with SHAP and LIME being the most commonly used methods</w:t>
      </w:r>
      <w:r>
        <w:t xml:space="preserve">, </w:t>
      </w:r>
      <w:r>
        <w:rPr>
          <w:highlight w:val="yellow"/>
        </w:rPr>
        <w:t>while computational costs</w:t>
      </w:r>
      <w:r>
        <w:t xml:space="preserve">, data quality, explanation stability, and </w:t>
      </w:r>
      <w:r>
        <w:rPr>
          <w:highlight w:val="yellow"/>
        </w:rPr>
        <w:t>regulatory adaptation are noted as continuing barriers</w:t>
      </w:r>
      <w:r>
        <w:t xml:space="preserve"> (Arias-González et al., 2026). </w:t>
      </w:r>
      <w:r>
        <w:rPr>
          <w:highlight w:val="yellow"/>
        </w:rPr>
        <w:t>A systematic review of AI use</w:t>
      </w:r>
      <w:r>
        <w:t xml:space="preserve"> in accounting and auditing provides an in-depth understanding of applications, benefits, and barriers, including ethical, organizational, and regulatory aspects, while also noting the lack of empirical studies (Abdo-Salloum &amp; Chehade, 2026).</w:t>
      </w:r>
    </w:p>
    <w:p w14:paraId="70710F09" w14:textId="77777777" w:rsidR="008A22DE" w:rsidRDefault="002C34EA" w:rsidP="002C34EA">
      <w:pPr>
        <w:spacing w:after="200" w:line="360" w:lineRule="auto"/>
        <w:jc w:val="both"/>
      </w:pPr>
      <w:r>
        <w:t xml:space="preserve">Outside of auditing, the reviews of XAI applications in finance note the prevalence of post-hoc explanation methods among transparency-oriented finance researchers and practitioners, with post hoc methods overtaking inherently explainable models for many applications (Weber et al., 2024). </w:t>
      </w:r>
      <w:r>
        <w:rPr>
          <w:highlight w:val="yellow"/>
        </w:rPr>
        <w:t>Finance-specific applications include</w:t>
      </w:r>
      <w:r>
        <w:t xml:space="preserve"> multi-criteria decision support and financial distress </w:t>
      </w:r>
      <w:r>
        <w:lastRenderedPageBreak/>
        <w:t xml:space="preserve">prediction </w:t>
      </w:r>
      <w:r>
        <w:rPr>
          <w:highlight w:val="yellow"/>
        </w:rPr>
        <w:t>in which explanations are embedded in decision-support systems</w:t>
      </w:r>
      <w:r>
        <w:t xml:space="preserve"> as a way to increase transparency (</w:t>
      </w:r>
      <w:r>
        <w:rPr>
          <w:highlight w:val="yellow"/>
        </w:rPr>
        <w:t>Černevičienė &amp; Kabašinskas, 2022; Z. Zhang et al., 2022</w:t>
      </w:r>
      <w:r>
        <w:t xml:space="preserve">). Finally, </w:t>
      </w:r>
      <w:r>
        <w:rPr>
          <w:highlight w:val="yellow"/>
        </w:rPr>
        <w:t>a set of survey articles provides</w:t>
      </w:r>
      <w:r>
        <w:t xml:space="preserve"> an overview of explanation paradigms and the associated trade-offs (Adadi &amp; Berrada, 2018). </w:t>
      </w:r>
      <w:r>
        <w:rPr>
          <w:highlight w:val="yellow"/>
        </w:rPr>
        <w:t>Perhaps most importantly, the literature highlights</w:t>
      </w:r>
      <w:r>
        <w:t xml:space="preserve"> pitfalls in the </w:t>
      </w:r>
      <w:r>
        <w:rPr>
          <w:highlight w:val="yellow"/>
        </w:rPr>
        <w:t>adoption process. In particular, Bhatt et al. (2020), in a study of XAI use in real-world settings, found</w:t>
      </w:r>
      <w:r>
        <w:t xml:space="preserve"> that in most cases, explanations were used by machine learning experts to </w:t>
      </w:r>
      <w:r>
        <w:rPr>
          <w:highlight w:val="yellow"/>
        </w:rPr>
        <w:t>better understand the decisions of the models</w:t>
      </w:r>
      <w:r>
        <w:t xml:space="preserve">; in other words, </w:t>
      </w:r>
      <w:r>
        <w:rPr>
          <w:highlight w:val="yellow"/>
        </w:rPr>
        <w:t>regular users of AI systems were not necessarily their auditors</w:t>
      </w:r>
      <w:r>
        <w:t xml:space="preserve">. Thus, when designing explanations for audit analytics, it is paramount to remember that </w:t>
      </w:r>
      <w:r>
        <w:rPr>
          <w:highlight w:val="yellow"/>
        </w:rPr>
        <w:t>their intended user is likely to have a general understanding of how the model works but to be focused</w:t>
      </w:r>
      <w:r>
        <w:t xml:space="preserve"> on using them for day-to-day decision-making. Therefore, the value of the audit analytics explanation will depend on its ability to guide the user through the </w:t>
      </w:r>
      <w:r>
        <w:rPr>
          <w:highlight w:val="yellow"/>
        </w:rPr>
        <w:t>model’s behaviour</w:t>
      </w:r>
      <w:r>
        <w:t xml:space="preserve"> in relation to particular facts and figures that are subject to audit verification. </w:t>
      </w:r>
      <w:r>
        <w:rPr>
          <w:highlight w:val="yellow"/>
        </w:rPr>
        <w:t>Table 3 provides</w:t>
      </w:r>
      <w:r>
        <w:t xml:space="preserve"> an overview of the XAI methods mentioned in the reviewed literature along with their potential application to cost-report data.</w:t>
      </w:r>
    </w:p>
    <w:p w14:paraId="3C5AB339" w14:textId="77777777" w:rsidR="008A22DE" w:rsidRDefault="00214398">
      <w:pPr>
        <w:keepNext/>
        <w:spacing w:before="120" w:after="160" w:line="360" w:lineRule="auto"/>
      </w:pPr>
      <w:r>
        <w:rPr>
          <w:b/>
          <w:bCs/>
        </w:rPr>
        <w:t>Table 3. Explainable AI Methods Reported in the Auditing and Accounting Literature and Their Applicability to Cost-Report Anomaly Detection</w:t>
      </w:r>
    </w:p>
    <w:tbl>
      <w:tblPr>
        <w:tblStyle w:val="TableGrid"/>
        <w:tblW w:w="9350" w:type="dxa"/>
        <w:tblLook w:val="04A0" w:firstRow="1" w:lastRow="0" w:firstColumn="1" w:lastColumn="0" w:noHBand="0" w:noVBand="1"/>
      </w:tblPr>
      <w:tblGrid>
        <w:gridCol w:w="1843"/>
        <w:gridCol w:w="3778"/>
        <w:gridCol w:w="3729"/>
      </w:tblGrid>
      <w:tr w:rsidR="008A22DE" w14:paraId="5F3CC947" w14:textId="77777777">
        <w:trPr>
          <w:cantSplit/>
          <w:tblHeader/>
        </w:trPr>
        <w:tc>
          <w:tcPr>
            <w:tcW w:w="1843" w:type="dxa"/>
          </w:tcPr>
          <w:p w14:paraId="7E9A5B5C" w14:textId="77777777" w:rsidR="008A22DE" w:rsidRDefault="00214398">
            <w:pPr>
              <w:spacing w:line="360" w:lineRule="auto"/>
            </w:pPr>
            <w:r>
              <w:rPr>
                <w:b/>
                <w:bCs/>
              </w:rPr>
              <w:t>Method</w:t>
            </w:r>
          </w:p>
        </w:tc>
        <w:tc>
          <w:tcPr>
            <w:tcW w:w="3778" w:type="dxa"/>
          </w:tcPr>
          <w:p w14:paraId="02AFC778" w14:textId="77777777" w:rsidR="008A22DE" w:rsidRDefault="00214398">
            <w:pPr>
              <w:spacing w:line="360" w:lineRule="auto"/>
            </w:pPr>
            <w:r>
              <w:rPr>
                <w:b/>
                <w:bCs/>
              </w:rPr>
              <w:t>Mechanism</w:t>
            </w:r>
          </w:p>
        </w:tc>
        <w:tc>
          <w:tcPr>
            <w:tcW w:w="3729" w:type="dxa"/>
          </w:tcPr>
          <w:p w14:paraId="2C840190" w14:textId="77777777" w:rsidR="008A22DE" w:rsidRDefault="00214398">
            <w:pPr>
              <w:spacing w:line="360" w:lineRule="auto"/>
            </w:pPr>
            <w:r>
              <w:rPr>
                <w:b/>
                <w:bCs/>
              </w:rPr>
              <w:t>Potential Application to Cost-Allocation Data</w:t>
            </w:r>
          </w:p>
        </w:tc>
      </w:tr>
      <w:tr w:rsidR="008A22DE" w14:paraId="45E20090" w14:textId="77777777">
        <w:trPr>
          <w:cantSplit/>
        </w:trPr>
        <w:tc>
          <w:tcPr>
            <w:tcW w:w="1843" w:type="dxa"/>
          </w:tcPr>
          <w:p w14:paraId="3A02A314" w14:textId="77777777" w:rsidR="008A22DE" w:rsidRDefault="00214398">
            <w:pPr>
              <w:spacing w:line="360" w:lineRule="auto"/>
            </w:pPr>
            <w:r>
              <w:t>SHAP (Shapley Additive Explanations)</w:t>
            </w:r>
          </w:p>
        </w:tc>
        <w:tc>
          <w:tcPr>
            <w:tcW w:w="3778" w:type="dxa"/>
          </w:tcPr>
          <w:p w14:paraId="1236FA87" w14:textId="77777777" w:rsidR="008A22DE" w:rsidRDefault="00214398">
            <w:pPr>
              <w:spacing w:line="360" w:lineRule="auto"/>
            </w:pPr>
            <w:r>
              <w:t>Game-theoretic attribution of a prediction or score to individual input features; widely used for post hoc explanation</w:t>
            </w:r>
          </w:p>
        </w:tc>
        <w:tc>
          <w:tcPr>
            <w:tcW w:w="3729" w:type="dxa"/>
          </w:tcPr>
          <w:p w14:paraId="6235D2B9" w14:textId="77777777" w:rsidR="008A22DE" w:rsidRDefault="00214398">
            <w:pPr>
              <w:spacing w:line="360" w:lineRule="auto"/>
            </w:pPr>
            <w:r>
              <w:t>Could attribute a flagged cost center's anomaly score to specific allocation-basis values (e.g., a disproportionate square-footage input)</w:t>
            </w:r>
          </w:p>
        </w:tc>
      </w:tr>
      <w:tr w:rsidR="008A22DE" w14:paraId="1AF85E67" w14:textId="77777777">
        <w:trPr>
          <w:cantSplit/>
        </w:trPr>
        <w:tc>
          <w:tcPr>
            <w:tcW w:w="1843" w:type="dxa"/>
          </w:tcPr>
          <w:p w14:paraId="0A3C69BC" w14:textId="77777777" w:rsidR="008A22DE" w:rsidRDefault="00214398">
            <w:pPr>
              <w:spacing w:line="360" w:lineRule="auto"/>
            </w:pPr>
            <w:r>
              <w:t>LIME (Local Interpretable Model-Agnostic Explanations)</w:t>
            </w:r>
          </w:p>
        </w:tc>
        <w:tc>
          <w:tcPr>
            <w:tcW w:w="3778" w:type="dxa"/>
          </w:tcPr>
          <w:p w14:paraId="4AB10778" w14:textId="77777777" w:rsidR="008A22DE" w:rsidRDefault="00214398">
            <w:pPr>
              <w:spacing w:line="360" w:lineRule="auto"/>
            </w:pPr>
            <w:r>
              <w:t>Approximates a complex model locally with an interpretable surrogate around a single prediction</w:t>
            </w:r>
          </w:p>
        </w:tc>
        <w:tc>
          <w:tcPr>
            <w:tcW w:w="3729" w:type="dxa"/>
          </w:tcPr>
          <w:p w14:paraId="04786CF3" w14:textId="77777777" w:rsidR="008A22DE" w:rsidRDefault="00214398">
            <w:pPr>
              <w:spacing w:line="360" w:lineRule="auto"/>
            </w:pPr>
            <w:r>
              <w:t>Could explain why one hospital-year cost report was flagged relative to its local peer group</w:t>
            </w:r>
          </w:p>
        </w:tc>
      </w:tr>
      <w:tr w:rsidR="008A22DE" w14:paraId="5CC66524" w14:textId="77777777">
        <w:trPr>
          <w:cantSplit/>
        </w:trPr>
        <w:tc>
          <w:tcPr>
            <w:tcW w:w="1843" w:type="dxa"/>
          </w:tcPr>
          <w:p w14:paraId="454A4AC4" w14:textId="77777777" w:rsidR="008A22DE" w:rsidRDefault="00214398">
            <w:pPr>
              <w:spacing w:line="360" w:lineRule="auto"/>
            </w:pPr>
            <w:r>
              <w:t>Counterfactual explanation</w:t>
            </w:r>
          </w:p>
        </w:tc>
        <w:tc>
          <w:tcPr>
            <w:tcW w:w="3778" w:type="dxa"/>
          </w:tcPr>
          <w:p w14:paraId="4E2327A1" w14:textId="77777777" w:rsidR="008A22DE" w:rsidRDefault="00214398">
            <w:pPr>
              <w:spacing w:line="360" w:lineRule="auto"/>
            </w:pPr>
            <w:r>
              <w:t>Identifies minimal input changes that would alter a model's output</w:t>
            </w:r>
          </w:p>
        </w:tc>
        <w:tc>
          <w:tcPr>
            <w:tcW w:w="3729" w:type="dxa"/>
          </w:tcPr>
          <w:p w14:paraId="35B430F1" w14:textId="77777777" w:rsidR="008A22DE" w:rsidRDefault="00214398">
            <w:pPr>
              <w:spacing w:line="360" w:lineRule="auto"/>
            </w:pPr>
            <w:r>
              <w:t>Could indicate the allocation adjustment that would move a hospital from an atypical to a typical cost-center profile</w:t>
            </w:r>
          </w:p>
        </w:tc>
      </w:tr>
      <w:tr w:rsidR="008A22DE" w14:paraId="698EB644" w14:textId="77777777">
        <w:trPr>
          <w:cantSplit/>
        </w:trPr>
        <w:tc>
          <w:tcPr>
            <w:tcW w:w="1843" w:type="dxa"/>
          </w:tcPr>
          <w:p w14:paraId="4222FCE1" w14:textId="77777777" w:rsidR="008A22DE" w:rsidRDefault="00214398">
            <w:pPr>
              <w:spacing w:line="360" w:lineRule="auto"/>
            </w:pPr>
            <w:r>
              <w:lastRenderedPageBreak/>
              <w:t>Attention mechanisms</w:t>
            </w:r>
          </w:p>
        </w:tc>
        <w:tc>
          <w:tcPr>
            <w:tcW w:w="3778" w:type="dxa"/>
          </w:tcPr>
          <w:p w14:paraId="534C25AB" w14:textId="77777777" w:rsidR="008A22DE" w:rsidRDefault="00214398">
            <w:pPr>
              <w:spacing w:line="360" w:lineRule="auto"/>
            </w:pPr>
            <w:r>
              <w:t>Learned weighting of input sequence elements in neural architectures (e.g., Farbmacher et al., 2022)</w:t>
            </w:r>
          </w:p>
        </w:tc>
        <w:tc>
          <w:tcPr>
            <w:tcW w:w="3729" w:type="dxa"/>
          </w:tcPr>
          <w:p w14:paraId="2B4DFA79" w14:textId="77777777" w:rsidR="008A22DE" w:rsidRDefault="00214398">
            <w:pPr>
              <w:spacing w:line="360" w:lineRule="auto"/>
            </w:pPr>
            <w:r>
              <w:t>Applicable if multi-year cost-report filings for each hospital are modeled sequentially</w:t>
            </w:r>
          </w:p>
        </w:tc>
      </w:tr>
    </w:tbl>
    <w:p w14:paraId="22F34564" w14:textId="77777777" w:rsidR="002C34EA" w:rsidRDefault="002C34EA">
      <w:pPr>
        <w:spacing w:after="200" w:line="360" w:lineRule="auto"/>
        <w:jc w:val="both"/>
      </w:pPr>
    </w:p>
    <w:p w14:paraId="69B9DC60" w14:textId="77777777" w:rsidR="008A22DE" w:rsidRDefault="002C34EA">
      <w:pPr>
        <w:spacing w:after="200" w:line="360" w:lineRule="auto"/>
        <w:jc w:val="both"/>
      </w:pPr>
      <w:r w:rsidRPr="002C34EA">
        <w:t>The fraud-detection and auditing XAI literatures are complementary but distinct. The Medicare fraud-detection literature provides anomaly-detection methods but works almost entirely with claims data and rarely engages with the step-down allocation logic that determines how costs are aggregated. The auditing XAI literature provides explanation methods and a professional framing, but we found no application of it to hospital cost allocation. Neither literature has drawn on documented discrepancies between MCR data and independent sources as a possible source of labels or quasi-labels for model validation</w:t>
      </w:r>
      <w:r>
        <w:t>.</w:t>
      </w:r>
    </w:p>
    <w:p w14:paraId="1A4840EB" w14:textId="77777777" w:rsidR="008A22DE" w:rsidRDefault="00214398">
      <w:pPr>
        <w:keepNext/>
        <w:spacing w:before="320" w:after="180" w:line="360" w:lineRule="auto"/>
      </w:pPr>
      <w:r>
        <w:rPr>
          <w:b/>
          <w:bCs/>
          <w:color w:val="000000"/>
        </w:rPr>
        <w:t>3. Methodology</w:t>
      </w:r>
    </w:p>
    <w:p w14:paraId="60EF3C61" w14:textId="77777777" w:rsidR="002C34EA" w:rsidRDefault="002C34EA" w:rsidP="002C34EA">
      <w:pPr>
        <w:spacing w:after="200" w:line="360" w:lineRule="auto"/>
        <w:jc w:val="both"/>
      </w:pPr>
      <w:r>
        <w:t xml:space="preserve">This paper is a narrative, integrative review rather than a systematic or scoping review; its purpose is to synthesize and interpret findings from three literatures that have developed more or less independently, not to identify all studies that meet a set of inclusion criteria. As such, </w:t>
      </w:r>
      <w:r>
        <w:rPr>
          <w:highlight w:val="yellow"/>
        </w:rPr>
        <w:t>we did not register a protocol, apply a formal screening procedure, or follow PRISMA-ScR reporting, and the review should not be regarded as exhaustive</w:t>
      </w:r>
      <w:r>
        <w:t>.</w:t>
      </w:r>
    </w:p>
    <w:p w14:paraId="54EC3A3E" w14:textId="77777777" w:rsidR="002C34EA" w:rsidRDefault="002C34EA" w:rsidP="002C34EA">
      <w:pPr>
        <w:spacing w:after="200" w:line="360" w:lineRule="auto"/>
        <w:jc w:val="both"/>
      </w:pPr>
      <w:r>
        <w:t xml:space="preserve">Sources were identified through targeted searches of PubMed, ScienceDirect, arXiv, and the National Bureau of Economic Research working paper series, along with federal regulations governing Medicare cost finding. Searches used terms related to Medicare cost reports and HCRIS, cost allocation and step-down cost finding, anomaly and fraud detection, and explainable artificial intelligence in auditing and accounting. </w:t>
      </w:r>
      <w:r>
        <w:rPr>
          <w:highlight w:val="yellow"/>
        </w:rPr>
        <w:t>Backward and forward citation tracking was then conducted from the most relevant studies</w:t>
      </w:r>
      <w:r>
        <w:t>.</w:t>
      </w:r>
    </w:p>
    <w:p w14:paraId="058330AC" w14:textId="77777777" w:rsidR="008A22DE" w:rsidRDefault="002C34EA" w:rsidP="002C34EA">
      <w:pPr>
        <w:spacing w:after="200" w:line="360" w:lineRule="auto"/>
        <w:jc w:val="both"/>
      </w:pPr>
      <w:r>
        <w:rPr>
          <w:highlight w:val="yellow"/>
        </w:rPr>
        <w:t>Only peer-reviewed journal articles and proceedings were retained, with the sole exception of</w:t>
      </w:r>
      <w:r>
        <w:t xml:space="preserve"> federal regulations cited as the rules of cost finding. Preprints, working papers, practitioner guidance, vendor material, and unattributed web content were excluded, as were works published </w:t>
      </w:r>
      <w:r>
        <w:lastRenderedPageBreak/>
        <w:t xml:space="preserve">earlier than 2018 unless they introduced a method used in the proposed framework or presented direct evidence of hospital cost-allocation behavior. All cited sources were checked to ensure that </w:t>
      </w:r>
      <w:r>
        <w:rPr>
          <w:highlight w:val="yellow"/>
        </w:rPr>
        <w:t>they support the statements to which they are attached</w:t>
      </w:r>
      <w:r>
        <w:t>. Because a targeted rather than a systematic search was undertaken, statements about the absence of prior work are cast as decisions about whether we did or did not identify relevant work.</w:t>
      </w:r>
    </w:p>
    <w:p w14:paraId="14EEE94A" w14:textId="77777777" w:rsidR="008A22DE" w:rsidRDefault="00214398">
      <w:pPr>
        <w:keepNext/>
        <w:spacing w:before="320" w:after="180" w:line="360" w:lineRule="auto"/>
      </w:pPr>
      <w:r>
        <w:rPr>
          <w:b/>
          <w:bCs/>
          <w:color w:val="000000"/>
        </w:rPr>
        <w:t>4. Findings of the Review</w:t>
      </w:r>
    </w:p>
    <w:p w14:paraId="2C787534" w14:textId="77777777" w:rsidR="008A22DE" w:rsidRDefault="00214398">
      <w:pPr>
        <w:keepNext/>
        <w:spacing w:before="240" w:after="140" w:line="360" w:lineRule="auto"/>
      </w:pPr>
      <w:r>
        <w:rPr>
          <w:b/>
          <w:bCs/>
          <w:color w:val="000000"/>
        </w:rPr>
        <w:t>4.1 Synthesis Across the Three Literatures</w:t>
      </w:r>
    </w:p>
    <w:p w14:paraId="24352402" w14:textId="77777777" w:rsidR="008A22DE" w:rsidRDefault="00214398">
      <w:pPr>
        <w:spacing w:after="200" w:line="360" w:lineRule="auto"/>
        <w:jc w:val="both"/>
      </w:pPr>
      <w:r>
        <w:t>Table 4 summarizes the synthesis of the three literatures across three dimensions: whether each engages Medicare Cost Report data and structure directly, whether it performs anomaly detection, and whether it incorporates explainability methods.</w:t>
      </w:r>
    </w:p>
    <w:p w14:paraId="25B32B95" w14:textId="77777777" w:rsidR="008A22DE" w:rsidRDefault="00214398">
      <w:pPr>
        <w:keepNext/>
        <w:spacing w:before="120" w:after="160" w:line="360" w:lineRule="auto"/>
      </w:pPr>
      <w:r>
        <w:rPr>
          <w:b/>
          <w:bCs/>
        </w:rPr>
        <w:t>Table 4. Gap Matrix Across the Three Literatures</w:t>
      </w:r>
    </w:p>
    <w:tbl>
      <w:tblPr>
        <w:tblStyle w:val="TableGrid"/>
        <w:tblW w:w="9350" w:type="dxa"/>
        <w:tblLook w:val="04A0" w:firstRow="1" w:lastRow="0" w:firstColumn="1" w:lastColumn="0" w:noHBand="0" w:noVBand="1"/>
      </w:tblPr>
      <w:tblGrid>
        <w:gridCol w:w="3300"/>
        <w:gridCol w:w="2000"/>
        <w:gridCol w:w="2000"/>
        <w:gridCol w:w="2050"/>
      </w:tblGrid>
      <w:tr w:rsidR="008A22DE" w14:paraId="72F563F4" w14:textId="77777777">
        <w:trPr>
          <w:cantSplit/>
          <w:tblHeader/>
        </w:trPr>
        <w:tc>
          <w:tcPr>
            <w:tcW w:w="3300" w:type="dxa"/>
          </w:tcPr>
          <w:p w14:paraId="659BB836" w14:textId="77777777" w:rsidR="008A22DE" w:rsidRDefault="00214398">
            <w:pPr>
              <w:spacing w:line="360" w:lineRule="auto"/>
            </w:pPr>
            <w:r>
              <w:rPr>
                <w:b/>
                <w:bCs/>
              </w:rPr>
              <w:t>Literature</w:t>
            </w:r>
          </w:p>
        </w:tc>
        <w:tc>
          <w:tcPr>
            <w:tcW w:w="2000" w:type="dxa"/>
          </w:tcPr>
          <w:p w14:paraId="21F6DB97" w14:textId="77777777" w:rsidR="008A22DE" w:rsidRDefault="00214398">
            <w:pPr>
              <w:spacing w:line="360" w:lineRule="auto"/>
            </w:pPr>
            <w:r>
              <w:rPr>
                <w:b/>
                <w:bCs/>
              </w:rPr>
              <w:t>Cost-report focus</w:t>
            </w:r>
          </w:p>
        </w:tc>
        <w:tc>
          <w:tcPr>
            <w:tcW w:w="2000" w:type="dxa"/>
          </w:tcPr>
          <w:p w14:paraId="1652FFE2" w14:textId="77777777" w:rsidR="008A22DE" w:rsidRDefault="00214398">
            <w:pPr>
              <w:spacing w:line="360" w:lineRule="auto"/>
            </w:pPr>
            <w:r>
              <w:rPr>
                <w:b/>
                <w:bCs/>
              </w:rPr>
              <w:t>Anomaly detection</w:t>
            </w:r>
          </w:p>
        </w:tc>
        <w:tc>
          <w:tcPr>
            <w:tcW w:w="2050" w:type="dxa"/>
          </w:tcPr>
          <w:p w14:paraId="092F3448" w14:textId="77777777" w:rsidR="008A22DE" w:rsidRDefault="00214398">
            <w:pPr>
              <w:spacing w:line="360" w:lineRule="auto"/>
            </w:pPr>
            <w:r>
              <w:rPr>
                <w:b/>
                <w:bCs/>
              </w:rPr>
              <w:t>Explainability</w:t>
            </w:r>
          </w:p>
        </w:tc>
      </w:tr>
      <w:tr w:rsidR="008A22DE" w14:paraId="4404BA49" w14:textId="77777777">
        <w:trPr>
          <w:cantSplit/>
        </w:trPr>
        <w:tc>
          <w:tcPr>
            <w:tcW w:w="3300" w:type="dxa"/>
          </w:tcPr>
          <w:p w14:paraId="4B087184" w14:textId="77777777" w:rsidR="008A22DE" w:rsidRDefault="00214398">
            <w:pPr>
              <w:spacing w:line="360" w:lineRule="auto"/>
            </w:pPr>
            <w:r>
              <w:t>Medicare Cost Report data quality and structure</w:t>
            </w:r>
          </w:p>
        </w:tc>
        <w:tc>
          <w:tcPr>
            <w:tcW w:w="2000" w:type="dxa"/>
          </w:tcPr>
          <w:p w14:paraId="1DF7A1C2" w14:textId="77777777" w:rsidR="008A22DE" w:rsidRDefault="00214398">
            <w:pPr>
              <w:spacing w:line="360" w:lineRule="auto"/>
            </w:pPr>
            <w:r>
              <w:t>Yes</w:t>
            </w:r>
          </w:p>
        </w:tc>
        <w:tc>
          <w:tcPr>
            <w:tcW w:w="2000" w:type="dxa"/>
          </w:tcPr>
          <w:p w14:paraId="400549EC" w14:textId="77777777" w:rsidR="008A22DE" w:rsidRDefault="00214398">
            <w:pPr>
              <w:spacing w:line="360" w:lineRule="auto"/>
            </w:pPr>
            <w:r>
              <w:t>Partial (cross-source comparison)</w:t>
            </w:r>
          </w:p>
        </w:tc>
        <w:tc>
          <w:tcPr>
            <w:tcW w:w="2050" w:type="dxa"/>
          </w:tcPr>
          <w:p w14:paraId="25F1B049" w14:textId="77777777" w:rsidR="008A22DE" w:rsidRDefault="00214398">
            <w:pPr>
              <w:spacing w:line="360" w:lineRule="auto"/>
            </w:pPr>
            <w:r>
              <w:t>No</w:t>
            </w:r>
          </w:p>
        </w:tc>
      </w:tr>
      <w:tr w:rsidR="008A22DE" w14:paraId="0CB9C946" w14:textId="77777777">
        <w:trPr>
          <w:cantSplit/>
        </w:trPr>
        <w:tc>
          <w:tcPr>
            <w:tcW w:w="3300" w:type="dxa"/>
          </w:tcPr>
          <w:p w14:paraId="046B4D3A" w14:textId="77777777" w:rsidR="008A22DE" w:rsidRDefault="00214398">
            <w:pPr>
              <w:spacing w:line="360" w:lineRule="auto"/>
            </w:pPr>
            <w:r>
              <w:t>Machine learning for Medicare anomaly and fraud detection</w:t>
            </w:r>
          </w:p>
        </w:tc>
        <w:tc>
          <w:tcPr>
            <w:tcW w:w="2000" w:type="dxa"/>
          </w:tcPr>
          <w:p w14:paraId="237E6138" w14:textId="77777777" w:rsidR="008A22DE" w:rsidRDefault="00214398">
            <w:pPr>
              <w:spacing w:line="360" w:lineRule="auto"/>
            </w:pPr>
            <w:r>
              <w:t>Partial (claims, not cost reports)</w:t>
            </w:r>
          </w:p>
        </w:tc>
        <w:tc>
          <w:tcPr>
            <w:tcW w:w="2000" w:type="dxa"/>
          </w:tcPr>
          <w:p w14:paraId="42646F32" w14:textId="77777777" w:rsidR="008A22DE" w:rsidRDefault="00214398">
            <w:pPr>
              <w:spacing w:line="360" w:lineRule="auto"/>
            </w:pPr>
            <w:r>
              <w:t>Yes</w:t>
            </w:r>
          </w:p>
        </w:tc>
        <w:tc>
          <w:tcPr>
            <w:tcW w:w="2050" w:type="dxa"/>
          </w:tcPr>
          <w:p w14:paraId="220AA071" w14:textId="77777777" w:rsidR="008A22DE" w:rsidRDefault="00214398">
            <w:pPr>
              <w:spacing w:line="360" w:lineRule="auto"/>
            </w:pPr>
            <w:r>
              <w:t>Partial (two Medicare studies)</w:t>
            </w:r>
          </w:p>
        </w:tc>
      </w:tr>
      <w:tr w:rsidR="008A22DE" w14:paraId="02E5CC90" w14:textId="77777777">
        <w:trPr>
          <w:cantSplit/>
        </w:trPr>
        <w:tc>
          <w:tcPr>
            <w:tcW w:w="3300" w:type="dxa"/>
          </w:tcPr>
          <w:p w14:paraId="4E6B3B13" w14:textId="77777777" w:rsidR="008A22DE" w:rsidRDefault="00214398">
            <w:pPr>
              <w:spacing w:line="360" w:lineRule="auto"/>
            </w:pPr>
            <w:r>
              <w:t>Explainable AI in auditing and accounting</w:t>
            </w:r>
          </w:p>
        </w:tc>
        <w:tc>
          <w:tcPr>
            <w:tcW w:w="2000" w:type="dxa"/>
          </w:tcPr>
          <w:p w14:paraId="02C62E09" w14:textId="77777777" w:rsidR="008A22DE" w:rsidRDefault="00214398">
            <w:pPr>
              <w:spacing w:line="360" w:lineRule="auto"/>
            </w:pPr>
            <w:r>
              <w:t>No</w:t>
            </w:r>
          </w:p>
        </w:tc>
        <w:tc>
          <w:tcPr>
            <w:tcW w:w="2000" w:type="dxa"/>
          </w:tcPr>
          <w:p w14:paraId="07E0B27D" w14:textId="77777777" w:rsidR="008A22DE" w:rsidRDefault="00214398">
            <w:pPr>
              <w:spacing w:line="360" w:lineRule="auto"/>
            </w:pPr>
            <w:r>
              <w:t>No</w:t>
            </w:r>
          </w:p>
        </w:tc>
        <w:tc>
          <w:tcPr>
            <w:tcW w:w="2050" w:type="dxa"/>
          </w:tcPr>
          <w:p w14:paraId="522C2720" w14:textId="77777777" w:rsidR="008A22DE" w:rsidRDefault="00214398">
            <w:pPr>
              <w:spacing w:line="360" w:lineRule="auto"/>
            </w:pPr>
            <w:r>
              <w:t>Yes</w:t>
            </w:r>
          </w:p>
        </w:tc>
      </w:tr>
      <w:tr w:rsidR="008A22DE" w14:paraId="7739A357" w14:textId="77777777">
        <w:trPr>
          <w:cantSplit/>
        </w:trPr>
        <w:tc>
          <w:tcPr>
            <w:tcW w:w="3300" w:type="dxa"/>
          </w:tcPr>
          <w:p w14:paraId="44E5619E" w14:textId="77777777" w:rsidR="008A22DE" w:rsidRDefault="00214398">
            <w:pPr>
              <w:spacing w:line="360" w:lineRule="auto"/>
            </w:pPr>
            <w:r>
              <w:t>Cost-allocation-specific explainable anomaly detection</w:t>
            </w:r>
          </w:p>
        </w:tc>
        <w:tc>
          <w:tcPr>
            <w:tcW w:w="2000" w:type="dxa"/>
          </w:tcPr>
          <w:p w14:paraId="2EDEB1CF" w14:textId="77777777" w:rsidR="008A22DE" w:rsidRDefault="00214398">
            <w:pPr>
              <w:spacing w:line="360" w:lineRule="auto"/>
            </w:pPr>
            <w:r>
              <w:t>Not identified</w:t>
            </w:r>
          </w:p>
        </w:tc>
        <w:tc>
          <w:tcPr>
            <w:tcW w:w="2000" w:type="dxa"/>
          </w:tcPr>
          <w:p w14:paraId="305820A7" w14:textId="77777777" w:rsidR="008A22DE" w:rsidRDefault="00214398">
            <w:pPr>
              <w:spacing w:line="360" w:lineRule="auto"/>
            </w:pPr>
            <w:r>
              <w:t>Not identified</w:t>
            </w:r>
          </w:p>
        </w:tc>
        <w:tc>
          <w:tcPr>
            <w:tcW w:w="2050" w:type="dxa"/>
          </w:tcPr>
          <w:p w14:paraId="3FE960F6" w14:textId="77777777" w:rsidR="008A22DE" w:rsidRDefault="00214398">
            <w:pPr>
              <w:spacing w:line="360" w:lineRule="auto"/>
            </w:pPr>
            <w:r>
              <w:t>Not identified</w:t>
            </w:r>
          </w:p>
        </w:tc>
      </w:tr>
    </w:tbl>
    <w:p w14:paraId="793C48F9" w14:textId="77777777" w:rsidR="008A22DE" w:rsidRDefault="002C34EA">
      <w:pPr>
        <w:spacing w:after="200" w:line="360" w:lineRule="auto"/>
        <w:jc w:val="both"/>
      </w:pPr>
      <w:r>
        <w:rPr>
          <w:highlight w:val="yellow"/>
        </w:rPr>
        <w:t>The MCR literature analyses</w:t>
      </w:r>
      <w:r>
        <w:t xml:space="preserve"> cost-report data and structure directly and performs limited forms of anomaly detection based on inter-source data-quality comparisons, but none </w:t>
      </w:r>
      <w:r>
        <w:rPr>
          <w:highlight w:val="yellow"/>
        </w:rPr>
        <w:t>uses explainability methods</w:t>
      </w:r>
      <w:r>
        <w:t xml:space="preserve">. </w:t>
      </w:r>
      <w:r>
        <w:rPr>
          <w:highlight w:val="yellow"/>
        </w:rPr>
        <w:t>The Medicare fraud-detection literature analyses</w:t>
      </w:r>
      <w:r>
        <w:t xml:space="preserve"> anomalies in claims, not in cost reports; of the Medicare-related studies considered, only </w:t>
      </w:r>
      <w:r>
        <w:rPr>
          <w:highlight w:val="yellow"/>
        </w:rPr>
        <w:t>Shekhar et al. (2026) and Hancock et al. (2023)</w:t>
      </w:r>
      <w:r>
        <w:t xml:space="preserve"> explicitly address explainability, while </w:t>
      </w:r>
      <w:r>
        <w:rPr>
          <w:highlight w:val="yellow"/>
        </w:rPr>
        <w:t>Farbmacher et al. (2022) applied</w:t>
      </w:r>
      <w:r>
        <w:t xml:space="preserve"> it to non-Medicare claims. The auditing XAI literature provides explanations but does not engage in anomaly detection of </w:t>
      </w:r>
      <w:r>
        <w:lastRenderedPageBreak/>
        <w:t xml:space="preserve">healthcare cost data, and </w:t>
      </w:r>
      <w:r>
        <w:rPr>
          <w:highlight w:val="yellow"/>
        </w:rPr>
        <w:t>none of the works considered addresses cost allocation</w:t>
      </w:r>
      <w:r>
        <w:t>. No study was found that addresses all three aspects in relation to hospital cost allocation data.</w:t>
      </w:r>
    </w:p>
    <w:p w14:paraId="18C868C7" w14:textId="77777777" w:rsidR="008A22DE" w:rsidRDefault="00214398">
      <w:pPr>
        <w:keepNext/>
        <w:spacing w:before="240" w:after="140" w:line="360" w:lineRule="auto"/>
      </w:pPr>
      <w:r>
        <w:rPr>
          <w:b/>
          <w:bCs/>
          <w:color w:val="000000"/>
        </w:rPr>
        <w:t>4.2 Profile of the Reviewed Sources</w:t>
      </w:r>
    </w:p>
    <w:p w14:paraId="5B68588F" w14:textId="77777777" w:rsidR="008A22DE" w:rsidRDefault="00214398">
      <w:pPr>
        <w:spacing w:after="200" w:line="360" w:lineRule="auto"/>
        <w:jc w:val="both"/>
      </w:pPr>
      <w:r>
        <w:t xml:space="preserve">Table 5 reports the number of sources in each literature stream, the range of publication years, and the predominant source type. </w:t>
      </w:r>
      <w:r>
        <w:rPr>
          <w:highlight w:val="yellow"/>
        </w:rPr>
        <w:t>Methodological sources cited solely to specify</w:t>
      </w:r>
      <w:r>
        <w:t xml:space="preserve"> the framework in Section 5 are listed separately, and the three federal regulations cited for cost-finding rules are not counted.</w:t>
      </w:r>
    </w:p>
    <w:p w14:paraId="4D1A3D9D" w14:textId="77777777" w:rsidR="008A22DE" w:rsidRDefault="00214398">
      <w:pPr>
        <w:keepNext/>
        <w:spacing w:before="120" w:after="160" w:line="360" w:lineRule="auto"/>
      </w:pPr>
      <w:r>
        <w:rPr>
          <w:b/>
          <w:bCs/>
        </w:rPr>
        <w:t>Table 5. Summary of Reviewed Sources by Literature Stream</w:t>
      </w:r>
    </w:p>
    <w:tbl>
      <w:tblPr>
        <w:tblStyle w:val="TableGrid"/>
        <w:tblW w:w="9350" w:type="dxa"/>
        <w:tblLook w:val="04A0" w:firstRow="1" w:lastRow="0" w:firstColumn="1" w:lastColumn="0" w:noHBand="0" w:noVBand="1"/>
      </w:tblPr>
      <w:tblGrid>
        <w:gridCol w:w="2900"/>
        <w:gridCol w:w="1600"/>
        <w:gridCol w:w="1800"/>
        <w:gridCol w:w="3050"/>
      </w:tblGrid>
      <w:tr w:rsidR="008A22DE" w14:paraId="7AAA3F05" w14:textId="77777777" w:rsidTr="004728A1">
        <w:tc>
          <w:tcPr>
            <w:tcW w:w="2900" w:type="dxa"/>
          </w:tcPr>
          <w:p w14:paraId="02BA9DCF" w14:textId="77777777" w:rsidR="008A22DE" w:rsidRDefault="00214398">
            <w:pPr>
              <w:spacing w:line="360" w:lineRule="auto"/>
            </w:pPr>
            <w:r>
              <w:rPr>
                <w:b/>
                <w:bCs/>
              </w:rPr>
              <w:t>Literature Stream</w:t>
            </w:r>
          </w:p>
        </w:tc>
        <w:tc>
          <w:tcPr>
            <w:tcW w:w="1600" w:type="dxa"/>
          </w:tcPr>
          <w:p w14:paraId="4C44C5A5" w14:textId="77777777" w:rsidR="008A22DE" w:rsidRDefault="00214398">
            <w:pPr>
              <w:spacing w:line="360" w:lineRule="auto"/>
            </w:pPr>
            <w:r>
              <w:rPr>
                <w:b/>
                <w:bCs/>
              </w:rPr>
              <w:t>Sources</w:t>
            </w:r>
          </w:p>
        </w:tc>
        <w:tc>
          <w:tcPr>
            <w:tcW w:w="1800" w:type="dxa"/>
          </w:tcPr>
          <w:p w14:paraId="055F34AC" w14:textId="77777777" w:rsidR="008A22DE" w:rsidRDefault="00214398">
            <w:pPr>
              <w:spacing w:line="360" w:lineRule="auto"/>
            </w:pPr>
            <w:r>
              <w:rPr>
                <w:b/>
                <w:bCs/>
              </w:rPr>
              <w:t>Publication Years</w:t>
            </w:r>
          </w:p>
        </w:tc>
        <w:tc>
          <w:tcPr>
            <w:tcW w:w="3050" w:type="dxa"/>
          </w:tcPr>
          <w:p w14:paraId="307459EA" w14:textId="77777777" w:rsidR="008A22DE" w:rsidRDefault="00214398">
            <w:pPr>
              <w:spacing w:line="360" w:lineRule="auto"/>
            </w:pPr>
            <w:r>
              <w:rPr>
                <w:b/>
                <w:bCs/>
              </w:rPr>
              <w:t>Predominant Source Type</w:t>
            </w:r>
          </w:p>
        </w:tc>
      </w:tr>
      <w:tr w:rsidR="008A22DE" w14:paraId="478B26E4" w14:textId="77777777" w:rsidTr="004728A1">
        <w:tc>
          <w:tcPr>
            <w:tcW w:w="2900" w:type="dxa"/>
          </w:tcPr>
          <w:p w14:paraId="70409AED" w14:textId="77777777" w:rsidR="008A22DE" w:rsidRDefault="00214398">
            <w:pPr>
              <w:spacing w:line="360" w:lineRule="auto"/>
            </w:pPr>
            <w:r>
              <w:t>Medicare Cost Report data quality, structure, and reporting behavior</w:t>
            </w:r>
          </w:p>
        </w:tc>
        <w:tc>
          <w:tcPr>
            <w:tcW w:w="1600" w:type="dxa"/>
          </w:tcPr>
          <w:p w14:paraId="79845687" w14:textId="77777777" w:rsidR="008A22DE" w:rsidRDefault="00214398">
            <w:pPr>
              <w:spacing w:line="360" w:lineRule="auto"/>
            </w:pPr>
            <w:r>
              <w:t>7</w:t>
            </w:r>
          </w:p>
        </w:tc>
        <w:tc>
          <w:tcPr>
            <w:tcW w:w="1800" w:type="dxa"/>
          </w:tcPr>
          <w:p w14:paraId="64F8708D" w14:textId="77777777" w:rsidR="008A22DE" w:rsidRDefault="00214398">
            <w:pPr>
              <w:spacing w:line="360" w:lineRule="auto"/>
            </w:pPr>
            <w:r>
              <w:t>1997 to 2026</w:t>
            </w:r>
          </w:p>
        </w:tc>
        <w:tc>
          <w:tcPr>
            <w:tcW w:w="3050" w:type="dxa"/>
          </w:tcPr>
          <w:p w14:paraId="2A02C6A3" w14:textId="77777777" w:rsidR="008A22DE" w:rsidRDefault="00214398">
            <w:pPr>
              <w:spacing w:line="360" w:lineRule="auto"/>
            </w:pPr>
            <w:r>
              <w:t>Peer-reviewed accounting, health-services, and analytics journals</w:t>
            </w:r>
          </w:p>
        </w:tc>
      </w:tr>
      <w:tr w:rsidR="008A22DE" w14:paraId="7E36F5CB" w14:textId="77777777" w:rsidTr="004728A1">
        <w:tc>
          <w:tcPr>
            <w:tcW w:w="2900" w:type="dxa"/>
          </w:tcPr>
          <w:p w14:paraId="405FE433" w14:textId="77777777" w:rsidR="008A22DE" w:rsidRDefault="00214398">
            <w:pPr>
              <w:spacing w:line="360" w:lineRule="auto"/>
            </w:pPr>
            <w:r>
              <w:t>Machine learning for Medicare and healthcare fraud and anomaly detection</w:t>
            </w:r>
          </w:p>
        </w:tc>
        <w:tc>
          <w:tcPr>
            <w:tcW w:w="1600" w:type="dxa"/>
          </w:tcPr>
          <w:p w14:paraId="39C25D88" w14:textId="77777777" w:rsidR="008A22DE" w:rsidRDefault="00214398">
            <w:pPr>
              <w:spacing w:line="360" w:lineRule="auto"/>
            </w:pPr>
            <w:r>
              <w:t>10</w:t>
            </w:r>
          </w:p>
        </w:tc>
        <w:tc>
          <w:tcPr>
            <w:tcW w:w="1800" w:type="dxa"/>
          </w:tcPr>
          <w:p w14:paraId="708AFE8C" w14:textId="77777777" w:rsidR="008A22DE" w:rsidRDefault="00214398">
            <w:pPr>
              <w:spacing w:line="360" w:lineRule="auto"/>
            </w:pPr>
            <w:r>
              <w:t>2018 to 2026</w:t>
            </w:r>
          </w:p>
        </w:tc>
        <w:tc>
          <w:tcPr>
            <w:tcW w:w="3050" w:type="dxa"/>
          </w:tcPr>
          <w:p w14:paraId="1F544064" w14:textId="77777777" w:rsidR="008A22DE" w:rsidRDefault="00214398">
            <w:pPr>
              <w:spacing w:line="360" w:lineRule="auto"/>
            </w:pPr>
            <w:r>
              <w:t>Peer-reviewed computing, econometrics, and policy journals</w:t>
            </w:r>
          </w:p>
        </w:tc>
      </w:tr>
      <w:tr w:rsidR="008A22DE" w14:paraId="00E4C7A4" w14:textId="77777777" w:rsidTr="004728A1">
        <w:tc>
          <w:tcPr>
            <w:tcW w:w="2900" w:type="dxa"/>
          </w:tcPr>
          <w:p w14:paraId="1D80792A" w14:textId="77777777" w:rsidR="008A22DE" w:rsidRDefault="00214398">
            <w:pPr>
              <w:spacing w:line="360" w:lineRule="auto"/>
            </w:pPr>
            <w:r>
              <w:t>Explainable AI in auditing, accounting, and finance</w:t>
            </w:r>
          </w:p>
        </w:tc>
        <w:tc>
          <w:tcPr>
            <w:tcW w:w="1600" w:type="dxa"/>
          </w:tcPr>
          <w:p w14:paraId="64B50304" w14:textId="77777777" w:rsidR="008A22DE" w:rsidRDefault="00214398">
            <w:pPr>
              <w:spacing w:line="360" w:lineRule="auto"/>
            </w:pPr>
            <w:r>
              <w:t>8</w:t>
            </w:r>
          </w:p>
        </w:tc>
        <w:tc>
          <w:tcPr>
            <w:tcW w:w="1800" w:type="dxa"/>
          </w:tcPr>
          <w:p w14:paraId="0F41AA97" w14:textId="77777777" w:rsidR="008A22DE" w:rsidRDefault="00214398">
            <w:pPr>
              <w:spacing w:line="360" w:lineRule="auto"/>
            </w:pPr>
            <w:r>
              <w:t>2018 to 2026</w:t>
            </w:r>
          </w:p>
        </w:tc>
        <w:tc>
          <w:tcPr>
            <w:tcW w:w="3050" w:type="dxa"/>
          </w:tcPr>
          <w:p w14:paraId="653A192D" w14:textId="77777777" w:rsidR="008A22DE" w:rsidRDefault="00214398">
            <w:pPr>
              <w:spacing w:line="360" w:lineRule="auto"/>
            </w:pPr>
            <w:r>
              <w:t>Peer-reviewed journals and systematic reviews; one peer-reviewed conference paper</w:t>
            </w:r>
          </w:p>
        </w:tc>
      </w:tr>
      <w:tr w:rsidR="008A22DE" w14:paraId="43F715B0" w14:textId="77777777" w:rsidTr="004728A1">
        <w:tc>
          <w:tcPr>
            <w:tcW w:w="2900" w:type="dxa"/>
          </w:tcPr>
          <w:p w14:paraId="63CB8E75" w14:textId="77777777" w:rsidR="008A22DE" w:rsidRDefault="00214398">
            <w:pPr>
              <w:spacing w:line="360" w:lineRule="auto"/>
            </w:pPr>
            <w:r>
              <w:t>Hospital payment, pricing, and cross-subsidization</w:t>
            </w:r>
          </w:p>
        </w:tc>
        <w:tc>
          <w:tcPr>
            <w:tcW w:w="1600" w:type="dxa"/>
          </w:tcPr>
          <w:p w14:paraId="1324FAF8" w14:textId="77777777" w:rsidR="008A22DE" w:rsidRDefault="00214398">
            <w:pPr>
              <w:spacing w:line="360" w:lineRule="auto"/>
            </w:pPr>
            <w:r>
              <w:t>3</w:t>
            </w:r>
          </w:p>
        </w:tc>
        <w:tc>
          <w:tcPr>
            <w:tcW w:w="1800" w:type="dxa"/>
          </w:tcPr>
          <w:p w14:paraId="0CBCC095" w14:textId="77777777" w:rsidR="008A22DE" w:rsidRDefault="00214398">
            <w:pPr>
              <w:spacing w:line="360" w:lineRule="auto"/>
            </w:pPr>
            <w:r>
              <w:t>2022 to 2024</w:t>
            </w:r>
          </w:p>
        </w:tc>
        <w:tc>
          <w:tcPr>
            <w:tcW w:w="3050" w:type="dxa"/>
          </w:tcPr>
          <w:p w14:paraId="4034C85B" w14:textId="77777777" w:rsidR="008A22DE" w:rsidRDefault="00214398">
            <w:pPr>
              <w:spacing w:line="360" w:lineRule="auto"/>
            </w:pPr>
            <w:r>
              <w:t>Peer-reviewed health-services and economics journals</w:t>
            </w:r>
          </w:p>
        </w:tc>
      </w:tr>
      <w:tr w:rsidR="008A22DE" w14:paraId="360BCBB6" w14:textId="77777777" w:rsidTr="004728A1">
        <w:tc>
          <w:tcPr>
            <w:tcW w:w="2900" w:type="dxa"/>
          </w:tcPr>
          <w:p w14:paraId="7907D77A" w14:textId="77777777" w:rsidR="008A22DE" w:rsidRDefault="00214398">
            <w:pPr>
              <w:spacing w:line="360" w:lineRule="auto"/>
            </w:pPr>
            <w:r>
              <w:t>Methodological sources for the framework</w:t>
            </w:r>
          </w:p>
        </w:tc>
        <w:tc>
          <w:tcPr>
            <w:tcW w:w="1600" w:type="dxa"/>
          </w:tcPr>
          <w:p w14:paraId="3CE25BA8" w14:textId="77777777" w:rsidR="008A22DE" w:rsidRDefault="00214398">
            <w:pPr>
              <w:spacing w:line="360" w:lineRule="auto"/>
            </w:pPr>
            <w:r>
              <w:t>6</w:t>
            </w:r>
          </w:p>
        </w:tc>
        <w:tc>
          <w:tcPr>
            <w:tcW w:w="1800" w:type="dxa"/>
          </w:tcPr>
          <w:p w14:paraId="52E30B14" w14:textId="77777777" w:rsidR="008A22DE" w:rsidRDefault="00214398">
            <w:pPr>
              <w:spacing w:line="360" w:lineRule="auto"/>
            </w:pPr>
            <w:r>
              <w:t>2000 to 2020</w:t>
            </w:r>
          </w:p>
        </w:tc>
        <w:tc>
          <w:tcPr>
            <w:tcW w:w="3050" w:type="dxa"/>
          </w:tcPr>
          <w:p w14:paraId="6B2CF04E" w14:textId="77777777" w:rsidR="008A22DE" w:rsidRDefault="00214398">
            <w:pPr>
              <w:spacing w:line="360" w:lineRule="auto"/>
            </w:pPr>
            <w:r>
              <w:t>Peer-reviewed journals and conference proceedings</w:t>
            </w:r>
          </w:p>
        </w:tc>
      </w:tr>
    </w:tbl>
    <w:p w14:paraId="7D92C3D4" w14:textId="77777777" w:rsidR="008A22DE" w:rsidRDefault="00214398">
      <w:pPr>
        <w:spacing w:after="200" w:line="360" w:lineRule="auto"/>
        <w:jc w:val="both"/>
      </w:pPr>
      <w:r>
        <w:t xml:space="preserve">The machine-learning stream is the largest and most established. XAI in auditing, accounting, and finance is smaller but has grown quickly, with two systematic reviews appearing in 2026. Direct research on MCR data quality and reporting behavior remains modest in size and </w:t>
      </w:r>
      <w:r>
        <w:rPr>
          <w:highlight w:val="yellow"/>
        </w:rPr>
        <w:t xml:space="preserve">is distributed </w:t>
      </w:r>
      <w:r>
        <w:rPr>
          <w:highlight w:val="yellow"/>
        </w:rPr>
        <w:lastRenderedPageBreak/>
        <w:t>across</w:t>
      </w:r>
      <w:r>
        <w:t xml:space="preserve"> accounting and health-services journals, consistent with the relatively few studies we identified on cost-report reliability.</w:t>
      </w:r>
    </w:p>
    <w:p w14:paraId="026F9D7F" w14:textId="77777777" w:rsidR="008A22DE" w:rsidRDefault="00214398">
      <w:pPr>
        <w:keepNext/>
        <w:spacing w:before="240" w:after="140" w:line="360" w:lineRule="auto"/>
      </w:pPr>
      <w:r>
        <w:rPr>
          <w:b/>
          <w:bCs/>
          <w:color w:val="000000"/>
        </w:rPr>
        <w:t>4.3 Quantitative Evidence on Cost-Report Data Quality</w:t>
      </w:r>
    </w:p>
    <w:p w14:paraId="0EF9BFD2" w14:textId="77777777" w:rsidR="008A22DE" w:rsidRDefault="00214398">
      <w:pPr>
        <w:spacing w:after="200" w:line="360" w:lineRule="auto"/>
        <w:jc w:val="both"/>
      </w:pPr>
      <w:r>
        <w:t>Table 6 reports the quantitative findings of the two studies that compared Medicare Cost Report data directly with an independent data source.</w:t>
      </w:r>
    </w:p>
    <w:p w14:paraId="1E4094FD" w14:textId="77777777" w:rsidR="008A22DE" w:rsidRDefault="00214398">
      <w:pPr>
        <w:keepNext/>
        <w:spacing w:before="120" w:after="160" w:line="360" w:lineRule="auto"/>
      </w:pPr>
      <w:r>
        <w:rPr>
          <w:b/>
          <w:bCs/>
        </w:rPr>
        <w:t>Table 6. Quantitative Findings on Cost-Report Data Discrepancies</w:t>
      </w:r>
    </w:p>
    <w:tbl>
      <w:tblPr>
        <w:tblStyle w:val="TableGrid"/>
        <w:tblW w:w="9350" w:type="dxa"/>
        <w:tblLook w:val="04A0" w:firstRow="1" w:lastRow="0" w:firstColumn="1" w:lastColumn="0" w:noHBand="0" w:noVBand="1"/>
      </w:tblPr>
      <w:tblGrid>
        <w:gridCol w:w="1843"/>
        <w:gridCol w:w="3778"/>
        <w:gridCol w:w="3729"/>
      </w:tblGrid>
      <w:tr w:rsidR="008A22DE" w14:paraId="01A3BA98" w14:textId="77777777" w:rsidTr="004B3AA6">
        <w:tc>
          <w:tcPr>
            <w:tcW w:w="1843" w:type="dxa"/>
          </w:tcPr>
          <w:p w14:paraId="2EA07325" w14:textId="77777777" w:rsidR="008A22DE" w:rsidRDefault="00214398">
            <w:pPr>
              <w:spacing w:line="360" w:lineRule="auto"/>
            </w:pPr>
            <w:r>
              <w:rPr>
                <w:b/>
                <w:bCs/>
              </w:rPr>
              <w:t>Study</w:t>
            </w:r>
          </w:p>
        </w:tc>
        <w:tc>
          <w:tcPr>
            <w:tcW w:w="3778" w:type="dxa"/>
          </w:tcPr>
          <w:p w14:paraId="5C6E25FC" w14:textId="77777777" w:rsidR="008A22DE" w:rsidRDefault="00214398">
            <w:pPr>
              <w:spacing w:line="360" w:lineRule="auto"/>
            </w:pPr>
            <w:r>
              <w:rPr>
                <w:b/>
                <w:bCs/>
              </w:rPr>
              <w:t>Data Compared</w:t>
            </w:r>
          </w:p>
        </w:tc>
        <w:tc>
          <w:tcPr>
            <w:tcW w:w="3729" w:type="dxa"/>
          </w:tcPr>
          <w:p w14:paraId="08B422B2" w14:textId="77777777" w:rsidR="008A22DE" w:rsidRDefault="00214398">
            <w:pPr>
              <w:spacing w:line="360" w:lineRule="auto"/>
            </w:pPr>
            <w:r>
              <w:rPr>
                <w:b/>
                <w:bCs/>
              </w:rPr>
              <w:t>Discrepancy Finding</w:t>
            </w:r>
          </w:p>
        </w:tc>
      </w:tr>
      <w:tr w:rsidR="008A22DE" w14:paraId="36E1F373" w14:textId="77777777" w:rsidTr="004B3AA6">
        <w:tc>
          <w:tcPr>
            <w:tcW w:w="1843" w:type="dxa"/>
          </w:tcPr>
          <w:p w14:paraId="013A07FA" w14:textId="77777777" w:rsidR="008A22DE" w:rsidRDefault="00214398">
            <w:pPr>
              <w:spacing w:line="360" w:lineRule="auto"/>
            </w:pPr>
            <w:r>
              <w:t>Lamboy-Ruiz et al. (2019)</w:t>
            </w:r>
          </w:p>
        </w:tc>
        <w:tc>
          <w:tcPr>
            <w:tcW w:w="3778" w:type="dxa"/>
          </w:tcPr>
          <w:p w14:paraId="2A50C27C" w14:textId="77777777" w:rsidR="008A22DE" w:rsidRDefault="00214398">
            <w:pPr>
              <w:spacing w:line="360" w:lineRule="auto"/>
            </w:pPr>
            <w:r>
              <w:t>34,728 instances of 12 financial-statement items compared across hospital financial statements and matched MCR filings, 2007 to 2011</w:t>
            </w:r>
          </w:p>
        </w:tc>
        <w:tc>
          <w:tcPr>
            <w:tcW w:w="3729" w:type="dxa"/>
          </w:tcPr>
          <w:p w14:paraId="7741EB04" w14:textId="77777777" w:rsidR="008A22DE" w:rsidRDefault="00214398">
            <w:pPr>
              <w:spacing w:line="360" w:lineRule="auto"/>
            </w:pPr>
            <w:r>
              <w:t>Nontrivial frequency of missing items; widespread discrepancies across items; discrepancies material in both sources; many avoidable computational errors; neither source shown to be more accurate</w:t>
            </w:r>
          </w:p>
        </w:tc>
      </w:tr>
      <w:tr w:rsidR="008A22DE" w14:paraId="77D797CF" w14:textId="77777777" w:rsidTr="004B3AA6">
        <w:tc>
          <w:tcPr>
            <w:tcW w:w="1843" w:type="dxa"/>
          </w:tcPr>
          <w:p w14:paraId="15454FBB" w14:textId="77777777" w:rsidR="008A22DE" w:rsidRDefault="00214398">
            <w:pPr>
              <w:spacing w:line="360" w:lineRule="auto"/>
            </w:pPr>
            <w:r>
              <w:t>Chalmers et al. (2026)</w:t>
            </w:r>
          </w:p>
        </w:tc>
        <w:tc>
          <w:tcPr>
            <w:tcW w:w="3778" w:type="dxa"/>
          </w:tcPr>
          <w:p w14:paraId="1F108151" w14:textId="77777777" w:rsidR="008A22DE" w:rsidRDefault="00214398">
            <w:pPr>
              <w:spacing w:line="360" w:lineRule="auto"/>
            </w:pPr>
            <w:r>
              <w:t>HCRIS Medicaid discharge and patient-day counts compared with Medicaid claims (T-MSIS Analytic Files), general hospitals, 2020 to 2021</w:t>
            </w:r>
          </w:p>
        </w:tc>
        <w:tc>
          <w:tcPr>
            <w:tcW w:w="3729" w:type="dxa"/>
          </w:tcPr>
          <w:p w14:paraId="573DC5BC" w14:textId="77777777" w:rsidR="008A22DE" w:rsidRDefault="00214398">
            <w:pPr>
              <w:spacing w:line="360" w:lineRule="auto"/>
            </w:pPr>
            <w:r>
              <w:t>In 25 states, some hospitals reported fewer Medicaid discharges in HCRIS than in the claims data, with inconsistent reporting of managed-care Medicaid discharges and patient days</w:t>
            </w:r>
          </w:p>
        </w:tc>
      </w:tr>
    </w:tbl>
    <w:p w14:paraId="24E7CA3A" w14:textId="77777777" w:rsidR="008A22DE" w:rsidRDefault="00214398">
      <w:pPr>
        <w:keepNext/>
        <w:spacing w:before="240" w:after="140" w:line="360" w:lineRule="auto"/>
      </w:pPr>
      <w:r>
        <w:rPr>
          <w:b/>
          <w:bCs/>
          <w:color w:val="000000"/>
        </w:rPr>
        <w:t>4.4 Evidence on Hospital Cross-Subsidization</w:t>
      </w:r>
    </w:p>
    <w:p w14:paraId="6B45C771" w14:textId="77777777" w:rsidR="008A22DE" w:rsidRDefault="00214398">
      <w:pPr>
        <w:spacing w:after="200" w:line="360" w:lineRule="auto"/>
        <w:jc w:val="both"/>
      </w:pPr>
      <w:r>
        <w:t>Table 7 compares the two studies identified on how hospitals use the additional revenue associated with higher commercial prices.</w:t>
      </w:r>
    </w:p>
    <w:p w14:paraId="6F0138FA" w14:textId="77777777" w:rsidR="008A22DE" w:rsidRDefault="00214398">
      <w:pPr>
        <w:keepNext/>
        <w:spacing w:before="120" w:after="160" w:line="360" w:lineRule="auto"/>
      </w:pPr>
      <w:r>
        <w:rPr>
          <w:b/>
          <w:bCs/>
        </w:rPr>
        <w:t>Table 7. Comparison of Evidence on Hospital Cross-Subsidization</w:t>
      </w:r>
    </w:p>
    <w:tbl>
      <w:tblPr>
        <w:tblStyle w:val="TableGrid"/>
        <w:tblW w:w="9350" w:type="dxa"/>
        <w:tblLook w:val="04A0" w:firstRow="1" w:lastRow="0" w:firstColumn="1" w:lastColumn="0" w:noHBand="0" w:noVBand="1"/>
      </w:tblPr>
      <w:tblGrid>
        <w:gridCol w:w="2200"/>
        <w:gridCol w:w="3575"/>
        <w:gridCol w:w="3575"/>
      </w:tblGrid>
      <w:tr w:rsidR="008A22DE" w14:paraId="4395C1CA" w14:textId="77777777" w:rsidTr="004B3AA6">
        <w:tc>
          <w:tcPr>
            <w:tcW w:w="2200" w:type="dxa"/>
          </w:tcPr>
          <w:p w14:paraId="1CF3C3A3" w14:textId="77777777" w:rsidR="008A22DE" w:rsidRDefault="00214398">
            <w:pPr>
              <w:spacing w:line="360" w:lineRule="auto"/>
            </w:pPr>
            <w:r>
              <w:rPr>
                <w:b/>
                <w:bCs/>
              </w:rPr>
              <w:t>Dimension</w:t>
            </w:r>
          </w:p>
        </w:tc>
        <w:tc>
          <w:tcPr>
            <w:tcW w:w="3575" w:type="dxa"/>
          </w:tcPr>
          <w:p w14:paraId="4EA4FE95" w14:textId="77777777" w:rsidR="008A22DE" w:rsidRDefault="00214398">
            <w:pPr>
              <w:spacing w:line="360" w:lineRule="auto"/>
            </w:pPr>
            <w:r>
              <w:rPr>
                <w:b/>
                <w:bCs/>
              </w:rPr>
              <w:t>Blavin et al. (2023)</w:t>
            </w:r>
          </w:p>
        </w:tc>
        <w:tc>
          <w:tcPr>
            <w:tcW w:w="3575" w:type="dxa"/>
          </w:tcPr>
          <w:p w14:paraId="2AC78714" w14:textId="77777777" w:rsidR="008A22DE" w:rsidRDefault="00214398">
            <w:pPr>
              <w:spacing w:line="360" w:lineRule="auto"/>
            </w:pPr>
            <w:r>
              <w:rPr>
                <w:b/>
                <w:bCs/>
              </w:rPr>
              <w:t>Wang and Anderson (2022)</w:t>
            </w:r>
          </w:p>
        </w:tc>
      </w:tr>
      <w:tr w:rsidR="008A22DE" w14:paraId="599916E4" w14:textId="77777777" w:rsidTr="004B3AA6">
        <w:tc>
          <w:tcPr>
            <w:tcW w:w="2200" w:type="dxa"/>
          </w:tcPr>
          <w:p w14:paraId="63382CB6" w14:textId="77777777" w:rsidR="008A22DE" w:rsidRDefault="00214398">
            <w:pPr>
              <w:spacing w:line="360" w:lineRule="auto"/>
            </w:pPr>
            <w:r>
              <w:t>Sample</w:t>
            </w:r>
          </w:p>
        </w:tc>
        <w:tc>
          <w:tcPr>
            <w:tcW w:w="3575" w:type="dxa"/>
          </w:tcPr>
          <w:p w14:paraId="7D182325" w14:textId="77777777" w:rsidR="008A22DE" w:rsidRDefault="00214398">
            <w:pPr>
              <w:spacing w:line="360" w:lineRule="auto"/>
            </w:pPr>
            <w:r>
              <w:t>156 health systems; standardized audited financial data</w:t>
            </w:r>
          </w:p>
        </w:tc>
        <w:tc>
          <w:tcPr>
            <w:tcW w:w="3575" w:type="dxa"/>
          </w:tcPr>
          <w:p w14:paraId="22094B43" w14:textId="77777777" w:rsidR="008A22DE" w:rsidRDefault="00214398">
            <w:pPr>
              <w:spacing w:line="360" w:lineRule="auto"/>
            </w:pPr>
            <w:r>
              <w:t>8,862 hospital-year observations; nonprofit hospitals</w:t>
            </w:r>
          </w:p>
        </w:tc>
      </w:tr>
      <w:tr w:rsidR="008A22DE" w14:paraId="713790BC" w14:textId="77777777" w:rsidTr="004B3AA6">
        <w:tc>
          <w:tcPr>
            <w:tcW w:w="2200" w:type="dxa"/>
          </w:tcPr>
          <w:p w14:paraId="61100297" w14:textId="77777777" w:rsidR="008A22DE" w:rsidRDefault="00214398">
            <w:pPr>
              <w:spacing w:line="360" w:lineRule="auto"/>
            </w:pPr>
            <w:r>
              <w:lastRenderedPageBreak/>
              <w:t>Measure</w:t>
            </w:r>
          </w:p>
        </w:tc>
        <w:tc>
          <w:tcPr>
            <w:tcW w:w="3575" w:type="dxa"/>
          </w:tcPr>
          <w:p w14:paraId="3E404BEC" w14:textId="77777777" w:rsidR="008A22DE" w:rsidRDefault="00214398">
            <w:pPr>
              <w:spacing w:line="360" w:lineRule="auto"/>
            </w:pPr>
            <w:r>
              <w:t>Ratio of commercial-to-Medicare inpatient prices</w:t>
            </w:r>
          </w:p>
        </w:tc>
        <w:tc>
          <w:tcPr>
            <w:tcW w:w="3575" w:type="dxa"/>
          </w:tcPr>
          <w:p w14:paraId="43AD7A3F" w14:textId="77777777" w:rsidR="008A22DE" w:rsidRDefault="00214398">
            <w:pPr>
              <w:spacing w:line="360" w:lineRule="auto"/>
            </w:pPr>
            <w:r>
              <w:t>Private-to-Medicare payment ratio</w:t>
            </w:r>
          </w:p>
        </w:tc>
      </w:tr>
      <w:tr w:rsidR="008A22DE" w14:paraId="0B13313E" w14:textId="77777777" w:rsidTr="004B3AA6">
        <w:tc>
          <w:tcPr>
            <w:tcW w:w="2200" w:type="dxa"/>
          </w:tcPr>
          <w:p w14:paraId="7BB871EE" w14:textId="77777777" w:rsidR="008A22DE" w:rsidRDefault="00214398">
            <w:pPr>
              <w:spacing w:line="360" w:lineRule="auto"/>
            </w:pPr>
            <w:r>
              <w:t>Finding</w:t>
            </w:r>
          </w:p>
        </w:tc>
        <w:tc>
          <w:tcPr>
            <w:tcW w:w="3575" w:type="dxa"/>
          </w:tcPr>
          <w:p w14:paraId="6DF7BE8E" w14:textId="77777777" w:rsidR="008A22DE" w:rsidRDefault="00214398">
            <w:pPr>
              <w:spacing w:line="360" w:lineRule="auto"/>
            </w:pPr>
            <w:r>
              <w:t>A one-unit increase in the price ratio was associated with a 21.3% increase in days cash on hand and a 2.7 percentage point increase in operating margins</w:t>
            </w:r>
          </w:p>
        </w:tc>
        <w:tc>
          <w:tcPr>
            <w:tcW w:w="3575" w:type="dxa"/>
          </w:tcPr>
          <w:p w14:paraId="54563A9B" w14:textId="77777777" w:rsidR="008A22DE" w:rsidRDefault="00214398">
            <w:pPr>
              <w:spacing w:line="360" w:lineRule="auto"/>
            </w:pPr>
            <w:r>
              <w:t>Higher ratios were associated mainly with greater operating surplus and administrative cost, with smaller increases in patient care and charity care spending</w:t>
            </w:r>
          </w:p>
        </w:tc>
      </w:tr>
      <w:tr w:rsidR="008A22DE" w14:paraId="1C0F2035" w14:textId="77777777" w:rsidTr="004B3AA6">
        <w:tc>
          <w:tcPr>
            <w:tcW w:w="2200" w:type="dxa"/>
          </w:tcPr>
          <w:p w14:paraId="7A54BE55" w14:textId="77777777" w:rsidR="008A22DE" w:rsidRDefault="00214398">
            <w:pPr>
              <w:spacing w:line="360" w:lineRule="auto"/>
            </w:pPr>
            <w:r>
              <w:t>Bearing on cross-subsidization</w:t>
            </w:r>
          </w:p>
        </w:tc>
        <w:tc>
          <w:tcPr>
            <w:tcW w:w="3575" w:type="dxa"/>
          </w:tcPr>
          <w:p w14:paraId="2016C688" w14:textId="77777777" w:rsidR="008A22DE" w:rsidRDefault="00214398">
            <w:pPr>
              <w:spacing w:line="360" w:lineRule="auto"/>
            </w:pPr>
            <w:r>
              <w:t>Inconsistent with the view that higher commercial prices mainly offset public-payer shortfalls</w:t>
            </w:r>
          </w:p>
        </w:tc>
        <w:tc>
          <w:tcPr>
            <w:tcW w:w="3575" w:type="dxa"/>
          </w:tcPr>
          <w:p w14:paraId="24CB086E" w14:textId="77777777" w:rsidR="008A22DE" w:rsidRDefault="00214398">
            <w:pPr>
              <w:spacing w:line="360" w:lineRule="auto"/>
            </w:pPr>
            <w:r>
              <w:t>Complicates the assumption that additional margins are spent cross-subsidizing unprofitable services</w:t>
            </w:r>
          </w:p>
        </w:tc>
      </w:tr>
    </w:tbl>
    <w:p w14:paraId="0B53463B" w14:textId="77777777" w:rsidR="008A22DE" w:rsidRDefault="00214398">
      <w:pPr>
        <w:keepNext/>
        <w:spacing w:before="320" w:after="180" w:line="360" w:lineRule="auto"/>
      </w:pPr>
      <w:r>
        <w:rPr>
          <w:b/>
          <w:bCs/>
          <w:color w:val="000000"/>
        </w:rPr>
        <w:t>5. A Domain-Specific Framework for Explainable Cost-Allocation Anomaly Detection</w:t>
      </w:r>
    </w:p>
    <w:p w14:paraId="14BA0906" w14:textId="77777777" w:rsidR="008A22DE" w:rsidRDefault="002C34EA">
      <w:pPr>
        <w:spacing w:after="200" w:line="360" w:lineRule="auto"/>
        <w:jc w:val="both"/>
      </w:pPr>
      <w:r>
        <w:t xml:space="preserve">The synthesis suggests that the approaches needed to support explainable cost-allocation analytics have been pursued, but they are not organized under the headings used in the cost report. Table 8 provides one possible solution. The columns specify where each approach could be applied, </w:t>
      </w:r>
      <w:r>
        <w:rPr>
          <w:highlight w:val="yellow"/>
        </w:rPr>
        <w:t>which variable or ratio could be used to evaluate the MCR</w:t>
      </w:r>
      <w:r>
        <w:t xml:space="preserve">, </w:t>
      </w:r>
      <w:r>
        <w:rPr>
          <w:highlight w:val="yellow"/>
        </w:rPr>
        <w:t>the benchmark against which the ratio could be compared</w:t>
      </w:r>
      <w:r>
        <w:t xml:space="preserve">, the methods that could be used to detect outliers for this ratio, and an explanation method that could be used to show why a particular hospital was singled out. </w:t>
      </w:r>
      <w:r>
        <w:rPr>
          <w:highlight w:val="yellow"/>
        </w:rPr>
        <w:t>The first four approaches are applicable to the MCR because</w:t>
      </w:r>
      <w:r>
        <w:t xml:space="preserve"> it is the most comprehensive overview of hospital costs. The methods for detecting outliers range from the simplest to the most complex. </w:t>
      </w:r>
      <w:r>
        <w:rPr>
          <w:highlight w:val="yellow"/>
        </w:rPr>
        <w:t>Robust z-scores emphasise</w:t>
      </w:r>
      <w:r>
        <w:t xml:space="preserve"> the median and the median absolute deviation within a reference group. They are relatively easy to understand, are resistant to masking effects, and work best with single ratios (Rousseeuw &amp; Hubert, 2018). Isolation Forest uses randomly selected partitions to identify objects with extreme values, and it works well with large sets of variables describing the cost profile of each hospital (Liu et al., 2008). Local outlier factor is similar to isolation forest, but it focuses on comparing the density of a given object to </w:t>
      </w:r>
      <w:r>
        <w:rPr>
          <w:highlight w:val="yellow"/>
        </w:rPr>
        <w:t>the density of its neighbours</w:t>
      </w:r>
      <w:r>
        <w:t xml:space="preserve">. </w:t>
      </w:r>
      <w:r>
        <w:rPr>
          <w:highlight w:val="yellow"/>
        </w:rPr>
        <w:t>It could therefore be applied to peer groups</w:t>
      </w:r>
      <w:r>
        <w:t xml:space="preserve"> with different structures (Breunig et al., 2000). Finally, SHAP uses game theory to indicate how much each input contributes to the final result of a predictive model (Lundberg &amp; Lee, 2017). </w:t>
      </w:r>
      <w:r>
        <w:rPr>
          <w:highlight w:val="yellow"/>
        </w:rPr>
        <w:t>The explanation method could be applied to tree-based models</w:t>
      </w:r>
      <w:r>
        <w:t xml:space="preserve"> because the isolation forest itself is made of decision trees (Lundberg et al., 2020). There are several indicators that have been used in health policy research, including administrative cost measures </w:t>
      </w:r>
      <w:r>
        <w:lastRenderedPageBreak/>
        <w:t>derived from the cost report (Zhou et al., 2026). These were specifically developed for administrative, nursing administration, and medical records expense categories.</w:t>
      </w:r>
    </w:p>
    <w:p w14:paraId="3FF8D883" w14:textId="77777777" w:rsidR="008A22DE" w:rsidRDefault="00214398">
      <w:pPr>
        <w:keepNext/>
        <w:spacing w:before="120" w:after="160" w:line="360" w:lineRule="auto"/>
      </w:pPr>
      <w:r>
        <w:rPr>
          <w:b/>
          <w:bCs/>
        </w:rPr>
        <w:t>Table 8. Conceptual Framework Linking Medicare Cost Report Structure to Explainable Anomaly Indicators</w:t>
      </w:r>
    </w:p>
    <w:tbl>
      <w:tblPr>
        <w:tblStyle w:val="TableGrid"/>
        <w:tblW w:w="9350" w:type="dxa"/>
        <w:tblLook w:val="04A0" w:firstRow="1" w:lastRow="0" w:firstColumn="1" w:lastColumn="0" w:noHBand="0" w:noVBand="1"/>
      </w:tblPr>
      <w:tblGrid>
        <w:gridCol w:w="1843"/>
        <w:gridCol w:w="1918"/>
        <w:gridCol w:w="1909"/>
        <w:gridCol w:w="1806"/>
        <w:gridCol w:w="1874"/>
      </w:tblGrid>
      <w:tr w:rsidR="008A22DE" w14:paraId="40ABB9FD" w14:textId="77777777" w:rsidTr="004B3AA6">
        <w:tc>
          <w:tcPr>
            <w:tcW w:w="1750" w:type="dxa"/>
          </w:tcPr>
          <w:p w14:paraId="4896EF4F" w14:textId="77777777" w:rsidR="008A22DE" w:rsidRDefault="00214398">
            <w:pPr>
              <w:spacing w:line="360" w:lineRule="auto"/>
            </w:pPr>
            <w:r>
              <w:rPr>
                <w:b/>
                <w:bCs/>
              </w:rPr>
              <w:t>MCR Area Tested</w:t>
            </w:r>
          </w:p>
        </w:tc>
        <w:tc>
          <w:tcPr>
            <w:tcW w:w="1950" w:type="dxa"/>
          </w:tcPr>
          <w:p w14:paraId="61677BBE" w14:textId="77777777" w:rsidR="008A22DE" w:rsidRDefault="00214398">
            <w:pPr>
              <w:spacing w:line="360" w:lineRule="auto"/>
            </w:pPr>
            <w:r>
              <w:rPr>
                <w:b/>
                <w:bCs/>
              </w:rPr>
              <w:t>Variable or Ratio</w:t>
            </w:r>
          </w:p>
        </w:tc>
        <w:tc>
          <w:tcPr>
            <w:tcW w:w="1900" w:type="dxa"/>
          </w:tcPr>
          <w:p w14:paraId="5A032441" w14:textId="77777777" w:rsidR="008A22DE" w:rsidRDefault="00214398">
            <w:pPr>
              <w:spacing w:line="360" w:lineRule="auto"/>
            </w:pPr>
            <w:r>
              <w:rPr>
                <w:b/>
                <w:bCs/>
              </w:rPr>
              <w:t>Expected Benchmark</w:t>
            </w:r>
          </w:p>
        </w:tc>
        <w:tc>
          <w:tcPr>
            <w:tcW w:w="1850" w:type="dxa"/>
          </w:tcPr>
          <w:p w14:paraId="4592B199" w14:textId="77777777" w:rsidR="008A22DE" w:rsidRDefault="00214398">
            <w:pPr>
              <w:spacing w:line="360" w:lineRule="auto"/>
            </w:pPr>
            <w:r>
              <w:rPr>
                <w:b/>
                <w:bCs/>
              </w:rPr>
              <w:t>Anomaly-Detection Method</w:t>
            </w:r>
          </w:p>
        </w:tc>
        <w:tc>
          <w:tcPr>
            <w:tcW w:w="1900" w:type="dxa"/>
          </w:tcPr>
          <w:p w14:paraId="27B40836" w14:textId="77777777" w:rsidR="008A22DE" w:rsidRDefault="00214398">
            <w:pPr>
              <w:spacing w:line="360" w:lineRule="auto"/>
            </w:pPr>
            <w:r>
              <w:rPr>
                <w:b/>
                <w:bCs/>
              </w:rPr>
              <w:t>Explanation Method</w:t>
            </w:r>
          </w:p>
        </w:tc>
      </w:tr>
      <w:tr w:rsidR="008A22DE" w14:paraId="650813CC" w14:textId="77777777" w:rsidTr="004B3AA6">
        <w:tc>
          <w:tcPr>
            <w:tcW w:w="1750" w:type="dxa"/>
          </w:tcPr>
          <w:p w14:paraId="170AE57F" w14:textId="77777777" w:rsidR="008A22DE" w:rsidRDefault="00214398">
            <w:pPr>
              <w:spacing w:line="360" w:lineRule="auto"/>
            </w:pPr>
            <w:r>
              <w:t>Statistical allocation bases</w:t>
            </w:r>
          </w:p>
        </w:tc>
        <w:tc>
          <w:tcPr>
            <w:tcW w:w="1950" w:type="dxa"/>
          </w:tcPr>
          <w:p w14:paraId="1812F0A9" w14:textId="77777777" w:rsidR="008A22DE" w:rsidRDefault="00214398">
            <w:pPr>
              <w:spacing w:line="360" w:lineRule="auto"/>
            </w:pPr>
            <w:r>
              <w:t>Square footage per bed; each cost center's share of total square footage; other basis statistics relative to activity volume</w:t>
            </w:r>
          </w:p>
        </w:tc>
        <w:tc>
          <w:tcPr>
            <w:tcW w:w="1900" w:type="dxa"/>
          </w:tcPr>
          <w:p w14:paraId="29A74DBA" w14:textId="77777777" w:rsidR="008A22DE" w:rsidRDefault="00214398">
            <w:pPr>
              <w:spacing w:line="360" w:lineRule="auto"/>
            </w:pPr>
            <w:r>
              <w:t>Peer-group median for hospitals of similar size, type, and teaching status; the hospital's own prior filings</w:t>
            </w:r>
          </w:p>
        </w:tc>
        <w:tc>
          <w:tcPr>
            <w:tcW w:w="1850" w:type="dxa"/>
          </w:tcPr>
          <w:p w14:paraId="125D933E" w14:textId="77777777" w:rsidR="008A22DE" w:rsidRDefault="00214398">
            <w:pPr>
              <w:spacing w:line="360" w:lineRule="auto"/>
            </w:pPr>
            <w:r>
              <w:t>Robust z-scores within peer group; local outlier factor on the multivariate basis profile</w:t>
            </w:r>
          </w:p>
        </w:tc>
        <w:tc>
          <w:tcPr>
            <w:tcW w:w="1900" w:type="dxa"/>
          </w:tcPr>
          <w:p w14:paraId="2AE66D9E" w14:textId="77777777" w:rsidR="008A22DE" w:rsidRDefault="00214398">
            <w:pPr>
              <w:spacing w:line="360" w:lineRule="auto"/>
            </w:pPr>
            <w:r>
              <w:t>SHAP attribution to individual basis values, supported by a side-by-side peer comparison</w:t>
            </w:r>
          </w:p>
        </w:tc>
      </w:tr>
      <w:tr w:rsidR="008A22DE" w14:paraId="6E7D2112" w14:textId="77777777" w:rsidTr="004B3AA6">
        <w:tc>
          <w:tcPr>
            <w:tcW w:w="1750" w:type="dxa"/>
          </w:tcPr>
          <w:p w14:paraId="01EC6B4E" w14:textId="77777777" w:rsidR="008A22DE" w:rsidRDefault="00214398">
            <w:pPr>
              <w:spacing w:line="360" w:lineRule="auto"/>
            </w:pPr>
            <w:r>
              <w:t>Administrative and general (A&amp;G) costs</w:t>
            </w:r>
          </w:p>
        </w:tc>
        <w:tc>
          <w:tcPr>
            <w:tcW w:w="1950" w:type="dxa"/>
          </w:tcPr>
          <w:p w14:paraId="65DD3BEB" w14:textId="77777777" w:rsidR="008A22DE" w:rsidRDefault="00214398">
            <w:pPr>
              <w:spacing w:line="360" w:lineRule="auto"/>
            </w:pPr>
            <w:r>
              <w:t>A&amp;G cost as a share of total operating cost; A&amp;G cost per adjusted patient day</w:t>
            </w:r>
          </w:p>
        </w:tc>
        <w:tc>
          <w:tcPr>
            <w:tcW w:w="1900" w:type="dxa"/>
          </w:tcPr>
          <w:p w14:paraId="73508322" w14:textId="77777777" w:rsidR="008A22DE" w:rsidRDefault="00214398">
            <w:pPr>
              <w:spacing w:line="360" w:lineRule="auto"/>
            </w:pPr>
            <w:r>
              <w:t>Peer-group distribution conditioned on size, system affiliation, and teaching status</w:t>
            </w:r>
          </w:p>
        </w:tc>
        <w:tc>
          <w:tcPr>
            <w:tcW w:w="1850" w:type="dxa"/>
          </w:tcPr>
          <w:p w14:paraId="72C39B3F" w14:textId="77777777" w:rsidR="008A22DE" w:rsidRDefault="00214398">
            <w:pPr>
              <w:spacing w:line="360" w:lineRule="auto"/>
            </w:pPr>
            <w:r>
              <w:t>Isolation Forest on cost-center shares; robust z-scores for the single ratio</w:t>
            </w:r>
          </w:p>
        </w:tc>
        <w:tc>
          <w:tcPr>
            <w:tcW w:w="1900" w:type="dxa"/>
          </w:tcPr>
          <w:p w14:paraId="5527AF4E" w14:textId="77777777" w:rsidR="008A22DE" w:rsidRDefault="00214398">
            <w:pPr>
              <w:spacing w:line="360" w:lineRule="auto"/>
            </w:pPr>
            <w:r>
              <w:t>SHAP values identifying which cost-center shares drive the anomaly score</w:t>
            </w:r>
          </w:p>
        </w:tc>
      </w:tr>
      <w:tr w:rsidR="008A22DE" w14:paraId="31526486" w14:textId="77777777" w:rsidTr="004B3AA6">
        <w:tc>
          <w:tcPr>
            <w:tcW w:w="1750" w:type="dxa"/>
          </w:tcPr>
          <w:p w14:paraId="516A924B" w14:textId="77777777" w:rsidR="008A22DE" w:rsidRDefault="00214398">
            <w:pPr>
              <w:spacing w:line="360" w:lineRule="auto"/>
            </w:pPr>
            <w:r>
              <w:t>Employee benefit allocations</w:t>
            </w:r>
          </w:p>
        </w:tc>
        <w:tc>
          <w:tcPr>
            <w:tcW w:w="1950" w:type="dxa"/>
          </w:tcPr>
          <w:p w14:paraId="007B30AD" w14:textId="77777777" w:rsidR="008A22DE" w:rsidRDefault="00214398">
            <w:pPr>
              <w:spacing w:line="360" w:lineRule="auto"/>
            </w:pPr>
            <w:r>
              <w:t>Employee benefits relative to gross salaries; each center's benefit share compared with its salary share</w:t>
            </w:r>
          </w:p>
        </w:tc>
        <w:tc>
          <w:tcPr>
            <w:tcW w:w="1900" w:type="dxa"/>
          </w:tcPr>
          <w:p w14:paraId="1106FFC4" w14:textId="77777777" w:rsidR="008A22DE" w:rsidRDefault="00214398">
            <w:pPr>
              <w:spacing w:line="360" w:lineRule="auto"/>
            </w:pPr>
            <w:r>
              <w:t xml:space="preserve">Close correspondence between benefit and salary shares, since gross salaries are the standard basis; peer </w:t>
            </w:r>
            <w:r>
              <w:lastRenderedPageBreak/>
              <w:t>benefits-to-salary ratio</w:t>
            </w:r>
          </w:p>
        </w:tc>
        <w:tc>
          <w:tcPr>
            <w:tcW w:w="1850" w:type="dxa"/>
          </w:tcPr>
          <w:p w14:paraId="548ECE68" w14:textId="77777777" w:rsidR="008A22DE" w:rsidRDefault="00214398">
            <w:pPr>
              <w:spacing w:line="360" w:lineRule="auto"/>
            </w:pPr>
            <w:r>
              <w:lastRenderedPageBreak/>
              <w:t>Robust z-scores on the ratio; deviation between benefit and salary shares</w:t>
            </w:r>
          </w:p>
        </w:tc>
        <w:tc>
          <w:tcPr>
            <w:tcW w:w="1900" w:type="dxa"/>
          </w:tcPr>
          <w:p w14:paraId="059146B6" w14:textId="77777777" w:rsidR="008A22DE" w:rsidRDefault="00214398">
            <w:pPr>
              <w:spacing w:line="360" w:lineRule="auto"/>
            </w:pPr>
            <w:r>
              <w:t>SHAP; counterfactual showing the allocation consistent with the salary basis</w:t>
            </w:r>
          </w:p>
        </w:tc>
      </w:tr>
      <w:tr w:rsidR="008A22DE" w14:paraId="1AF649CD" w14:textId="77777777" w:rsidTr="004B3AA6">
        <w:tc>
          <w:tcPr>
            <w:tcW w:w="1750" w:type="dxa"/>
          </w:tcPr>
          <w:p w14:paraId="40E72931" w14:textId="77777777" w:rsidR="008A22DE" w:rsidRDefault="00214398">
            <w:pPr>
              <w:spacing w:line="360" w:lineRule="auto"/>
            </w:pPr>
            <w:r>
              <w:t>Cost-to-charge ratios</w:t>
            </w:r>
          </w:p>
        </w:tc>
        <w:tc>
          <w:tcPr>
            <w:tcW w:w="1950" w:type="dxa"/>
          </w:tcPr>
          <w:p w14:paraId="7F2425B2" w14:textId="77777777" w:rsidR="008A22DE" w:rsidRDefault="00214398">
            <w:pPr>
              <w:spacing w:line="360" w:lineRule="auto"/>
            </w:pPr>
            <w:r>
              <w:t>Departmental and hospital-wide cost-to-charge ratios</w:t>
            </w:r>
          </w:p>
        </w:tc>
        <w:tc>
          <w:tcPr>
            <w:tcW w:w="1900" w:type="dxa"/>
          </w:tcPr>
          <w:p w14:paraId="28C72942" w14:textId="77777777" w:rsidR="008A22DE" w:rsidRDefault="00214398">
            <w:pPr>
              <w:spacing w:line="360" w:lineRule="auto"/>
            </w:pPr>
            <w:r>
              <w:t>Departmental peer medians; plausible ranges; prior-year values</w:t>
            </w:r>
          </w:p>
        </w:tc>
        <w:tc>
          <w:tcPr>
            <w:tcW w:w="1850" w:type="dxa"/>
          </w:tcPr>
          <w:p w14:paraId="7B868BBC" w14:textId="77777777" w:rsidR="008A22DE" w:rsidRDefault="00214398">
            <w:pPr>
              <w:spacing w:line="360" w:lineRule="auto"/>
            </w:pPr>
            <w:r>
              <w:t>Robust z-scores by department; local outlier factor on the vector of departmental ratios</w:t>
            </w:r>
          </w:p>
        </w:tc>
        <w:tc>
          <w:tcPr>
            <w:tcW w:w="1900" w:type="dxa"/>
          </w:tcPr>
          <w:p w14:paraId="73ABA56D" w14:textId="77777777" w:rsidR="008A22DE" w:rsidRDefault="00214398">
            <w:pPr>
              <w:spacing w:line="360" w:lineRule="auto"/>
            </w:pPr>
            <w:r>
              <w:t>SHAP or LIME showing which departments drive the flag</w:t>
            </w:r>
          </w:p>
        </w:tc>
      </w:tr>
      <w:tr w:rsidR="008A22DE" w14:paraId="16246BC2" w14:textId="77777777" w:rsidTr="004B3AA6">
        <w:tc>
          <w:tcPr>
            <w:tcW w:w="1750" w:type="dxa"/>
          </w:tcPr>
          <w:p w14:paraId="7579F30B" w14:textId="77777777" w:rsidR="008A22DE" w:rsidRDefault="00214398">
            <w:pPr>
              <w:spacing w:line="360" w:lineRule="auto"/>
            </w:pPr>
            <w:r>
              <w:t>Reclassifications and adjustments</w:t>
            </w:r>
          </w:p>
        </w:tc>
        <w:tc>
          <w:tcPr>
            <w:tcW w:w="1950" w:type="dxa"/>
          </w:tcPr>
          <w:p w14:paraId="626DE854" w14:textId="77777777" w:rsidR="008A22DE" w:rsidRDefault="00214398">
            <w:pPr>
              <w:spacing w:line="360" w:lineRule="auto"/>
            </w:pPr>
            <w:r>
              <w:t>Net reclassification as a share of cost-center expense; movements between reimbursable and non-reimbursable centers</w:t>
            </w:r>
          </w:p>
        </w:tc>
        <w:tc>
          <w:tcPr>
            <w:tcW w:w="1900" w:type="dxa"/>
          </w:tcPr>
          <w:p w14:paraId="2D76B7C2" w14:textId="77777777" w:rsidR="008A22DE" w:rsidRDefault="00214398">
            <w:pPr>
              <w:spacing w:line="360" w:lineRule="auto"/>
            </w:pPr>
            <w:r>
              <w:t>The hospital's own reclassification history; peer frequency and magnitude</w:t>
            </w:r>
          </w:p>
        </w:tc>
        <w:tc>
          <w:tcPr>
            <w:tcW w:w="1850" w:type="dxa"/>
          </w:tcPr>
          <w:p w14:paraId="3E744DC4" w14:textId="77777777" w:rsidR="008A22DE" w:rsidRDefault="00214398">
            <w:pPr>
              <w:spacing w:line="360" w:lineRule="auto"/>
            </w:pPr>
            <w:r>
              <w:t>Isolation Forest; robust z-scores</w:t>
            </w:r>
          </w:p>
        </w:tc>
        <w:tc>
          <w:tcPr>
            <w:tcW w:w="1900" w:type="dxa"/>
          </w:tcPr>
          <w:p w14:paraId="0ED82C33" w14:textId="77777777" w:rsidR="008A22DE" w:rsidRDefault="00214398">
            <w:pPr>
              <w:spacing w:line="360" w:lineRule="auto"/>
            </w:pPr>
            <w:r>
              <w:t>SHAP, followed by review of the supporting reclassification schedules</w:t>
            </w:r>
          </w:p>
        </w:tc>
      </w:tr>
      <w:tr w:rsidR="008A22DE" w14:paraId="32D6FD4F" w14:textId="77777777" w:rsidTr="004B3AA6">
        <w:tc>
          <w:tcPr>
            <w:tcW w:w="1750" w:type="dxa"/>
          </w:tcPr>
          <w:p w14:paraId="0E46B30B" w14:textId="77777777" w:rsidR="008A22DE" w:rsidRDefault="00214398">
            <w:pPr>
              <w:spacing w:line="360" w:lineRule="auto"/>
            </w:pPr>
            <w:r>
              <w:t>Year-over-year changes</w:t>
            </w:r>
          </w:p>
        </w:tc>
        <w:tc>
          <w:tcPr>
            <w:tcW w:w="1950" w:type="dxa"/>
          </w:tcPr>
          <w:p w14:paraId="494F5E00" w14:textId="77777777" w:rsidR="008A22DE" w:rsidRDefault="00214398">
            <w:pPr>
              <w:spacing w:line="360" w:lineRule="auto"/>
            </w:pPr>
            <w:r>
              <w:t>Percentage change in cost-center costs, allocation statistics, and cost-to-charge ratios between consecutive filings</w:t>
            </w:r>
          </w:p>
        </w:tc>
        <w:tc>
          <w:tcPr>
            <w:tcW w:w="1900" w:type="dxa"/>
          </w:tcPr>
          <w:p w14:paraId="04D5F7E7" w14:textId="77777777" w:rsidR="008A22DE" w:rsidRDefault="00214398">
            <w:pPr>
              <w:spacing w:line="360" w:lineRule="auto"/>
            </w:pPr>
            <w:r>
              <w:t>The hospital's own trajectory; contemporaneous peer-group change</w:t>
            </w:r>
          </w:p>
        </w:tc>
        <w:tc>
          <w:tcPr>
            <w:tcW w:w="1850" w:type="dxa"/>
          </w:tcPr>
          <w:p w14:paraId="1F93FA7D" w14:textId="77777777" w:rsidR="008A22DE" w:rsidRDefault="00214398">
            <w:pPr>
              <w:spacing w:line="360" w:lineRule="auto"/>
            </w:pPr>
            <w:r>
              <w:t>Robust z-scores on changes; Isolation Forest on change vectors</w:t>
            </w:r>
          </w:p>
        </w:tc>
        <w:tc>
          <w:tcPr>
            <w:tcW w:w="1900" w:type="dxa"/>
          </w:tcPr>
          <w:p w14:paraId="0AFD4F47" w14:textId="77777777" w:rsidR="008A22DE" w:rsidRDefault="00214398">
            <w:pPr>
              <w:spacing w:line="360" w:lineRule="auto"/>
            </w:pPr>
            <w:r>
              <w:t>SHAP on change features; attention weights if filings are modeled as sequences</w:t>
            </w:r>
          </w:p>
        </w:tc>
      </w:tr>
    </w:tbl>
    <w:p w14:paraId="7CC0811C" w14:textId="77777777" w:rsidR="004B3AA6" w:rsidRDefault="004B3AA6">
      <w:pPr>
        <w:spacing w:after="200" w:line="360" w:lineRule="auto"/>
        <w:jc w:val="both"/>
      </w:pPr>
    </w:p>
    <w:p w14:paraId="0025FEF8" w14:textId="77777777" w:rsidR="008A22DE" w:rsidRDefault="002C34EA">
      <w:pPr>
        <w:spacing w:after="200" w:line="360" w:lineRule="auto"/>
        <w:jc w:val="both"/>
      </w:pPr>
      <w:r>
        <w:t xml:space="preserve">Three design principles follow from the audit perspective adopted in this review. Each flag is an investigative lead; an unusually high A&amp;G share may reflect the system's decision to centralize </w:t>
      </w:r>
      <w:r>
        <w:lastRenderedPageBreak/>
        <w:t>administrative services and a large square-footage basis may reflect a newly opened facility; the explanation attached to a flag is what enables the auditor to check these alternatives quickly. Benchmarks must be conditioned on peer groups and the hospital's own history, because pooled national distributions confuse anomalies with structural differences in size, case mix, and teaching status. Validation should exploit the best available quasi-labels, such as discrepancies between MCR data and independent sources (</w:t>
      </w:r>
      <w:r>
        <w:rPr>
          <w:highlight w:val="yellow"/>
        </w:rPr>
        <w:t>Chalmers et al., 2026; Lamboy-Ruiz et al., 2019</w:t>
      </w:r>
      <w:r>
        <w:t xml:space="preserve">) or amendments and reopenings of the same cost report (Di Paolo Harrison et al., 2022), while acknowledging that </w:t>
      </w:r>
      <w:r>
        <w:rPr>
          <w:highlight w:val="yellow"/>
        </w:rPr>
        <w:t>none of these is a direct measure</w:t>
      </w:r>
      <w:r>
        <w:t xml:space="preserve"> of misreporting.</w:t>
      </w:r>
    </w:p>
    <w:p w14:paraId="4CB323DE" w14:textId="77777777" w:rsidR="008A22DE" w:rsidRDefault="00214398">
      <w:pPr>
        <w:keepNext/>
        <w:spacing w:before="320" w:after="180" w:line="360" w:lineRule="auto"/>
      </w:pPr>
      <w:r>
        <w:rPr>
          <w:b/>
          <w:bCs/>
          <w:color w:val="000000"/>
        </w:rPr>
        <w:t>6. Discussion</w:t>
      </w:r>
    </w:p>
    <w:p w14:paraId="0F73E933" w14:textId="77777777" w:rsidR="002C34EA" w:rsidRDefault="002C34EA" w:rsidP="002C34EA">
      <w:pPr>
        <w:spacing w:after="200" w:line="360" w:lineRule="auto"/>
        <w:jc w:val="both"/>
      </w:pPr>
      <w:r>
        <w:t xml:space="preserve">The review indicates that research on MCR data quality, Medicare fraud detection, and XAI in auditing has advanced on different axes without intersecting on the question of cost-allocation anomalies. The closest methodological parallel, unsupervised anomaly detection with provider-level explanations of Medicare claims (Shekhar et al., 2026), demonstrates that explainable anomaly detection is viable in a related Medicare context. </w:t>
      </w:r>
      <w:r>
        <w:rPr>
          <w:highlight w:val="yellow"/>
        </w:rPr>
        <w:t>Cost reports provide a different signal from claims</w:t>
      </w:r>
      <w:r>
        <w:t xml:space="preserve">. </w:t>
      </w:r>
      <w:r>
        <w:rPr>
          <w:highlight w:val="yellow"/>
        </w:rPr>
        <w:t>Whereas claims capture coding in individual encounters, cost reports capture how a hospital apportions its costs across departments, and this step-down logic and the allocation bases provide a structure that can be exploited analytically</w:t>
      </w:r>
      <w:r>
        <w:t>.</w:t>
      </w:r>
    </w:p>
    <w:p w14:paraId="6CC5FA74" w14:textId="77777777" w:rsidR="002C34EA" w:rsidRDefault="002C34EA" w:rsidP="002C34EA">
      <w:pPr>
        <w:spacing w:after="200" w:line="360" w:lineRule="auto"/>
        <w:jc w:val="both"/>
      </w:pPr>
      <w:r>
        <w:t xml:space="preserve">For research, </w:t>
      </w:r>
      <w:r>
        <w:rPr>
          <w:highlight w:val="yellow"/>
        </w:rPr>
        <w:t>the need is less for a novel algorithm than for a principled adaptation</w:t>
      </w:r>
      <w:r>
        <w:t xml:space="preserve"> of existing detection and explanation methods to the structure of cost-report data that the framework in Table 8 is designed to support. For practice, the public availability of HCRIS and of open tools that build on it (Locey &amp; Stein, 2023) reduces the barrier to developing and benchmarking such methods without access to restricted claims files.</w:t>
      </w:r>
    </w:p>
    <w:p w14:paraId="02262570" w14:textId="77777777" w:rsidR="002C34EA" w:rsidRDefault="002C34EA" w:rsidP="002C34EA">
      <w:pPr>
        <w:spacing w:after="200" w:line="360" w:lineRule="auto"/>
        <w:jc w:val="both"/>
      </w:pPr>
      <w:r>
        <w:t xml:space="preserve">The potential users of such tools are not limited to CMS and its contractors. </w:t>
      </w:r>
      <w:r>
        <w:rPr>
          <w:highlight w:val="yellow"/>
        </w:rPr>
        <w:t>With cost-report data now informing payment formulas beyond individual hospital settlements</w:t>
      </w:r>
      <w:r>
        <w:t xml:space="preserve">, including disproportionate share distributions (Markell et al., 2026), </w:t>
      </w:r>
      <w:r>
        <w:rPr>
          <w:highlight w:val="yellow"/>
        </w:rPr>
        <w:t>and being widely used in health policy research</w:t>
      </w:r>
      <w:r>
        <w:t xml:space="preserve"> (Chalmers et al., 2026; Locey &amp; Stein, 2023), distortions in reported data can propagate well beyond a single hospital. Hospital internal audit and compliance functions could leverage explainable screening to detect and remediate reporting issues prior to contractor review, and </w:t>
      </w:r>
      <w:r>
        <w:rPr>
          <w:highlight w:val="yellow"/>
        </w:rPr>
        <w:lastRenderedPageBreak/>
        <w:t>researchers who rely on HCRIS</w:t>
      </w:r>
      <w:r>
        <w:t xml:space="preserve"> would benefit from </w:t>
      </w:r>
      <w:r>
        <w:rPr>
          <w:highlight w:val="yellow"/>
        </w:rPr>
        <w:t>a systematic method</w:t>
      </w:r>
      <w:r>
        <w:t xml:space="preserve"> of uncovering implausible values prior to analysis.</w:t>
      </w:r>
    </w:p>
    <w:p w14:paraId="0C76DF61" w14:textId="77777777" w:rsidR="002C34EA" w:rsidRDefault="002C34EA" w:rsidP="002C34EA">
      <w:pPr>
        <w:spacing w:after="200" w:line="360" w:lineRule="auto"/>
        <w:jc w:val="both"/>
      </w:pPr>
      <w:r>
        <w:t xml:space="preserve">Several tensions merit mention. The evidence on </w:t>
      </w:r>
      <w:r>
        <w:rPr>
          <w:highlight w:val="yellow"/>
        </w:rPr>
        <w:t>how hospitals use pricing power</w:t>
      </w:r>
      <w:r>
        <w:t xml:space="preserve"> is itself contentious (Blavin et al., 2023; Wang &amp; Anderson, 2022), and this warns against treating every statistical outlier as an indication of strategic behavior rather than legitimate variation in case mix or facility structure. Explanation methods have their own limitations: </w:t>
      </w:r>
      <w:r>
        <w:rPr>
          <w:highlight w:val="yellow"/>
        </w:rPr>
        <w:t>explanation stability remains</w:t>
      </w:r>
      <w:r>
        <w:t xml:space="preserve"> an unresolved concern within the audit XAI literature (Arias-González et al., 2026), and a feature attribution describes the model rather than confirming that a hospital manipulated its report. Finally, the leeway permitted in reclassification and in contractor-approved changes to allocation bases implies that some </w:t>
      </w:r>
      <w:r>
        <w:rPr>
          <w:highlight w:val="yellow"/>
        </w:rPr>
        <w:t>cross-hospital variation is an artefact</w:t>
      </w:r>
      <w:r>
        <w:t xml:space="preserve"> of the reporting system rather than a flaw (42 C.F.R. § 413.24). Each of these points reinforces the principle that flags are leads to be investigated, not findings.</w:t>
      </w:r>
    </w:p>
    <w:p w14:paraId="47644DBA" w14:textId="77777777" w:rsidR="002C34EA" w:rsidRDefault="002C34EA" w:rsidP="002C34EA">
      <w:pPr>
        <w:spacing w:after="200" w:line="360" w:lineRule="auto"/>
        <w:jc w:val="both"/>
      </w:pPr>
      <w:r>
        <w:t xml:space="preserve">The practical case for explainability is bolstered by the context in which such tools would be used. </w:t>
      </w:r>
      <w:r>
        <w:rPr>
          <w:highlight w:val="yellow"/>
        </w:rPr>
        <w:t>Oversight agencies have increasingly characterised</w:t>
      </w:r>
      <w:r>
        <w:t xml:space="preserve"> data analytics as a component of </w:t>
      </w:r>
      <w:r>
        <w:rPr>
          <w:highlight w:val="yellow"/>
        </w:rPr>
        <w:t>programme integrity work</w:t>
      </w:r>
      <w:r>
        <w:t>, but this shift is documented only in regulatory and practitioner sources rather than in peer-reviewed research, and so falls outside the scope of this review. The implication for the current argument is nonetheless explicit: any tool that auditors or regulators adopt for cost-report review must withstand the kind of scrutiny that unexplained model outputs struggle to survive.</w:t>
      </w:r>
    </w:p>
    <w:p w14:paraId="6E06BFF6" w14:textId="77777777" w:rsidR="002C34EA" w:rsidRDefault="002C34EA" w:rsidP="002C34EA">
      <w:pPr>
        <w:spacing w:after="200" w:line="360" w:lineRule="auto"/>
        <w:jc w:val="both"/>
      </w:pPr>
      <w:r>
        <w:t xml:space="preserve">The auditing literature makes the same argument from the perspective of the profession. </w:t>
      </w:r>
      <w:r>
        <w:rPr>
          <w:highlight w:val="yellow"/>
        </w:rPr>
        <w:t>C. A. Zhang et al. (2022)</w:t>
      </w:r>
      <w:r>
        <w:t xml:space="preserve"> tie XAI techniques to the requirements of existing audit standards, and recent reviews highlight explanation stability and regulatory adaptation as open challenges (Arias-González et al., 2026). For a cost-allocation tool designed for professional or regulatory use, explanations are therefore a requirement rather than an optional augmentation of internal exploratory analysis.</w:t>
      </w:r>
    </w:p>
    <w:p w14:paraId="13FF2466" w14:textId="45DC6E1E" w:rsidR="002C34EA" w:rsidRDefault="002C34EA" w:rsidP="002C34EA">
      <w:pPr>
        <w:spacing w:after="200" w:line="360" w:lineRule="auto"/>
        <w:jc w:val="both"/>
      </w:pPr>
      <w:r>
        <w:t xml:space="preserve">The interdisciplinary nature of the problem is also worth noting. Accounting researchers investigating MCR data quality, computer scientists building Medicare fraud classifiers, and researchers developing XAI for auditing have rarely cited one another on the evidence gathered here. Bridging these literatures does not require a major algorithmic breakthrough, but it does </w:t>
      </w:r>
      <w:r>
        <w:lastRenderedPageBreak/>
        <w:t xml:space="preserve">necessitate an understanding of how cost reports are structured, which </w:t>
      </w:r>
      <w:r>
        <w:rPr>
          <w:highlight w:val="yellow"/>
        </w:rPr>
        <w:t>a framework centred on MCR structure</w:t>
      </w:r>
      <w:r>
        <w:t xml:space="preserve"> is intended to provide.</w:t>
      </w:r>
      <w:r w:rsidR="00530269">
        <w:t xml:space="preserve"> </w:t>
      </w:r>
    </w:p>
    <w:p w14:paraId="2C7DFDF4" w14:textId="77777777" w:rsidR="00530269" w:rsidRDefault="00530269" w:rsidP="002C34EA">
      <w:pPr>
        <w:spacing w:after="200" w:line="360" w:lineRule="auto"/>
        <w:jc w:val="both"/>
      </w:pPr>
    </w:p>
    <w:p w14:paraId="077DA79E" w14:textId="69914487" w:rsidR="00530269" w:rsidRPr="00530269" w:rsidRDefault="00530269" w:rsidP="002C34EA">
      <w:pPr>
        <w:spacing w:after="200" w:line="360" w:lineRule="auto"/>
        <w:jc w:val="both"/>
        <w:rPr>
          <w:b/>
          <w:bCs/>
        </w:rPr>
      </w:pPr>
      <w:r w:rsidRPr="00530269">
        <w:rPr>
          <w:b/>
          <w:bCs/>
        </w:rPr>
        <w:t>Limitations</w:t>
      </w:r>
    </w:p>
    <w:p w14:paraId="3E24236A" w14:textId="77777777" w:rsidR="008A22DE" w:rsidRDefault="002C34EA" w:rsidP="002C34EA">
      <w:pPr>
        <w:spacing w:after="200" w:line="360" w:lineRule="auto"/>
        <w:jc w:val="both"/>
      </w:pPr>
      <w:r>
        <w:t xml:space="preserve">This review has limitations. As a narrative review based on targeted searches, </w:t>
      </w:r>
      <w:r>
        <w:rPr>
          <w:highlight w:val="yellow"/>
        </w:rPr>
        <w:t>it is selective and does not</w:t>
      </w:r>
      <w:r>
        <w:t xml:space="preserve"> claim to capture every relevant study; a study that combines explainable anomaly detection with cost-report data may exist that we did not find. Some sources were only available as abstracts, which </w:t>
      </w:r>
      <w:r>
        <w:rPr>
          <w:highlight w:val="yellow"/>
        </w:rPr>
        <w:t>may limit the methodological detail available for assessment</w:t>
      </w:r>
      <w:r>
        <w:t xml:space="preserve">. The framework in Table 8 is conceptual. Its indicators, benchmarks, and method pairings have not been tested on HCRIS data, and its value should be demonstrated </w:t>
      </w:r>
      <w:r>
        <w:rPr>
          <w:highlight w:val="yellow"/>
        </w:rPr>
        <w:t>empirically rather than assumed</w:t>
      </w:r>
      <w:r>
        <w:t>.</w:t>
      </w:r>
    </w:p>
    <w:p w14:paraId="0B6F627E" w14:textId="77777777" w:rsidR="008A22DE" w:rsidRDefault="00214398">
      <w:pPr>
        <w:keepNext/>
        <w:spacing w:before="320" w:after="180" w:line="360" w:lineRule="auto"/>
      </w:pPr>
      <w:r>
        <w:rPr>
          <w:b/>
          <w:bCs/>
          <w:color w:val="000000"/>
        </w:rPr>
        <w:t>7. Conclusion</w:t>
      </w:r>
    </w:p>
    <w:p w14:paraId="4B222C1A" w14:textId="77777777" w:rsidR="002C34EA" w:rsidRDefault="002C34EA" w:rsidP="002C34EA">
      <w:pPr>
        <w:keepNext/>
        <w:spacing w:before="320" w:after="180" w:line="360" w:lineRule="auto"/>
        <w:jc w:val="both"/>
      </w:pPr>
      <w:r>
        <w:t xml:space="preserve">Hospital cost reports remain central to Medicare cost finding, settlement, and rate setting, despite the fact that most hospital payments are prospective, and the data contain documented reliability problems. </w:t>
      </w:r>
      <w:r>
        <w:rPr>
          <w:highlight w:val="yellow"/>
        </w:rPr>
        <w:t>Over the same period</w:t>
      </w:r>
      <w:r>
        <w:t xml:space="preserve">, machine-learning </w:t>
      </w:r>
      <w:r>
        <w:rPr>
          <w:highlight w:val="yellow"/>
        </w:rPr>
        <w:t>methods for analysing Medicare claims</w:t>
      </w:r>
      <w:r>
        <w:t xml:space="preserve"> have matured, and XAI methods for accounting and auditing have developed. This review finds that </w:t>
      </w:r>
      <w:r>
        <w:rPr>
          <w:highlight w:val="yellow"/>
        </w:rPr>
        <w:t>these literatures, together with research on MCR data quality, have developed largely separately</w:t>
      </w:r>
      <w:r>
        <w:t xml:space="preserve">, and we do not find a study that applies an explainable anomaly detector to hospital cost-allocation data at the cost-center level. The review's primary contribution is a domain-specific framework that </w:t>
      </w:r>
      <w:r>
        <w:rPr>
          <w:highlight w:val="yellow"/>
        </w:rPr>
        <w:t>translates MCR structure into auditable anomaly indicators</w:t>
      </w:r>
      <w:r>
        <w:t xml:space="preserve">, linking each to a detection and explanation method on the premise that flagged results are investigative leads, not conclusions about error or fraud. Because the review was focused rather than systematic, </w:t>
      </w:r>
      <w:r>
        <w:rPr>
          <w:highlight w:val="yellow"/>
        </w:rPr>
        <w:t>a formal systematic or scoping review using predefined search strings, screening procedures, and PRISMA-ScR reporting would</w:t>
      </w:r>
      <w:r>
        <w:t xml:space="preserve"> be a useful next step to confirm the gap found here.</w:t>
      </w:r>
    </w:p>
    <w:p w14:paraId="7902C15A" w14:textId="77777777" w:rsidR="002C34EA" w:rsidRDefault="002C34EA" w:rsidP="002C34EA">
      <w:pPr>
        <w:keepNext/>
        <w:spacing w:before="320" w:after="180" w:line="360" w:lineRule="auto"/>
        <w:jc w:val="both"/>
      </w:pPr>
      <w:r>
        <w:t xml:space="preserve">Empirical work should apply the framework to HCRIS panels by defining peer groups, </w:t>
      </w:r>
      <w:r>
        <w:rPr>
          <w:highlight w:val="yellow"/>
        </w:rPr>
        <w:t>computing robust benchmarks and z-scores for each indicator</w:t>
      </w:r>
      <w:r>
        <w:t xml:space="preserve">, Isolation Forest, and the local outlier factor, and testing whether SHAP explanations remain stable across years and peer-group definitions. Results should be validated against </w:t>
      </w:r>
      <w:r>
        <w:rPr>
          <w:highlight w:val="yellow"/>
        </w:rPr>
        <w:t>the best available quasi-labels</w:t>
      </w:r>
      <w:r>
        <w:t xml:space="preserve">, including cross-source </w:t>
      </w:r>
      <w:r>
        <w:lastRenderedPageBreak/>
        <w:t>discrepancies and amended or reopened reports. A field study of how auditors and analysts interpret and act on these explanations would also be valuable, since this review can only show that the methods are plausibly suited to the task, not how they perform in practice.</w:t>
      </w:r>
    </w:p>
    <w:p w14:paraId="79C086B6" w14:textId="77777777" w:rsidR="0070424D" w:rsidRDefault="0070424D" w:rsidP="002C34EA">
      <w:pPr>
        <w:keepNext/>
        <w:spacing w:before="320" w:after="180" w:line="360" w:lineRule="auto"/>
        <w:jc w:val="both"/>
      </w:pPr>
    </w:p>
    <w:p w14:paraId="69FCFF68" w14:textId="77777777" w:rsidR="0070424D" w:rsidRDefault="0070424D" w:rsidP="0070424D"/>
    <w:p w14:paraId="29DF2C66" w14:textId="77777777" w:rsidR="0070424D" w:rsidRDefault="0070424D" w:rsidP="0070424D">
      <w:pPr>
        <w:rPr>
          <w:b/>
        </w:rPr>
      </w:pPr>
      <w:r w:rsidRPr="000839CE">
        <w:rPr>
          <w:b/>
        </w:rPr>
        <w:t>Declaration of AI Use</w:t>
      </w:r>
    </w:p>
    <w:p w14:paraId="71B702F1" w14:textId="77777777" w:rsidR="0070424D" w:rsidRDefault="0070424D" w:rsidP="0070424D">
      <w:pPr>
        <w:rPr>
          <w:b/>
        </w:rPr>
      </w:pPr>
    </w:p>
    <w:p w14:paraId="14F8D91B" w14:textId="77777777" w:rsidR="0070424D" w:rsidRDefault="0070424D" w:rsidP="0070424D">
      <w:pPr>
        <w:rPr>
          <w:b/>
        </w:rPr>
      </w:pPr>
    </w:p>
    <w:p w14:paraId="29AD9689" w14:textId="77777777" w:rsidR="0070424D" w:rsidRDefault="0070424D" w:rsidP="0070424D">
      <w:pPr>
        <w:rPr>
          <w:b/>
        </w:rPr>
      </w:pPr>
    </w:p>
    <w:p w14:paraId="0374C251" w14:textId="77777777" w:rsidR="0070424D" w:rsidRPr="002D08AC" w:rsidRDefault="0070424D" w:rsidP="0070424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4F47E9" w14:textId="77777777" w:rsidR="002C34EA" w:rsidRDefault="002C34EA">
      <w:r>
        <w:br w:type="page"/>
      </w:r>
    </w:p>
    <w:p w14:paraId="49868F1C" w14:textId="77777777" w:rsidR="008A22DE" w:rsidRDefault="00214398" w:rsidP="002C34EA">
      <w:pPr>
        <w:keepNext/>
        <w:spacing w:before="320" w:after="180" w:line="360" w:lineRule="auto"/>
        <w:rPr>
          <w:b/>
          <w:bCs/>
          <w:color w:val="000000"/>
        </w:rPr>
      </w:pPr>
      <w:r>
        <w:rPr>
          <w:b/>
          <w:bCs/>
          <w:color w:val="000000"/>
        </w:rPr>
        <w:lastRenderedPageBreak/>
        <w:t>References</w:t>
      </w:r>
    </w:p>
    <w:p w14:paraId="103E3FC1"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Abdo-Salloum, A. M., &amp; Chehade, S. (2026). The role of artificial intelligence in transforming accounting and auditing practices: A systematic review. </w:t>
      </w:r>
      <w:r w:rsidRPr="002173EC">
        <w:rPr>
          <w:i/>
          <w:iCs/>
          <w:lang w:val="en-US" w:eastAsia="en-US"/>
        </w:rPr>
        <w:t>SAGE Open, 16</w:t>
      </w:r>
      <w:r w:rsidRPr="002173EC">
        <w:rPr>
          <w:lang w:val="en-US" w:eastAsia="en-US"/>
        </w:rPr>
        <w:t xml:space="preserve">(1). </w:t>
      </w:r>
      <w:hyperlink r:id="rId10" w:history="1">
        <w:r w:rsidRPr="002173EC">
          <w:rPr>
            <w:color w:val="0000FF"/>
            <w:u w:val="single"/>
            <w:lang w:val="en-US" w:eastAsia="en-US"/>
          </w:rPr>
          <w:t>https://doi.org/10.1177/21582440251403296</w:t>
        </w:r>
      </w:hyperlink>
    </w:p>
    <w:p w14:paraId="3F20842A"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Adadi</w:t>
      </w:r>
      <w:proofErr w:type="spellEnd"/>
      <w:r w:rsidRPr="002173EC">
        <w:rPr>
          <w:lang w:val="en-US" w:eastAsia="en-US"/>
        </w:rPr>
        <w:t xml:space="preserve">, A., &amp; Berrada, M. (2018). Peeking inside the black-box: A survey on explainable artificial intelligence (XAI). </w:t>
      </w:r>
      <w:r w:rsidRPr="002173EC">
        <w:rPr>
          <w:i/>
          <w:iCs/>
          <w:lang w:val="en-US" w:eastAsia="en-US"/>
        </w:rPr>
        <w:t>IEEE Access, 6</w:t>
      </w:r>
      <w:r w:rsidRPr="002173EC">
        <w:rPr>
          <w:lang w:val="en-US" w:eastAsia="en-US"/>
        </w:rPr>
        <w:t xml:space="preserve">, 52138–52160. </w:t>
      </w:r>
      <w:hyperlink r:id="rId11" w:history="1">
        <w:r w:rsidRPr="002173EC">
          <w:rPr>
            <w:color w:val="0000FF"/>
            <w:u w:val="single"/>
            <w:lang w:val="en-US" w:eastAsia="en-US"/>
          </w:rPr>
          <w:t>https://doi.org/10.1109/ACCESS.2018.2870052</w:t>
        </w:r>
      </w:hyperlink>
    </w:p>
    <w:p w14:paraId="5D7B09CF"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Adequate cost data and cost finding, 42 C.F.R. § 413.24 (2025). </w:t>
      </w:r>
      <w:hyperlink r:id="rId12" w:history="1">
        <w:r w:rsidRPr="002173EC">
          <w:rPr>
            <w:color w:val="0000FF"/>
            <w:u w:val="single"/>
            <w:lang w:val="en-US" w:eastAsia="en-US"/>
          </w:rPr>
          <w:t>https://www.ecfr.gov/current/title-42/chapter-IV/subchapter-B/part-413/section-413.24</w:t>
        </w:r>
      </w:hyperlink>
    </w:p>
    <w:p w14:paraId="54344023"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Arias-González, I. P., Serrano-Torres, G. J., Dávalos-Mayorga, E. R., &amp; Jiménez-Vargas, N. P. (2026). Explainable artificial intelligence in accounting and financial auditing: A systematic review. </w:t>
      </w:r>
      <w:r w:rsidRPr="002173EC">
        <w:rPr>
          <w:i/>
          <w:iCs/>
          <w:lang w:val="en-US" w:eastAsia="en-US"/>
        </w:rPr>
        <w:t>Frontiers in Artificial Intelligence, 9</w:t>
      </w:r>
      <w:r w:rsidRPr="002173EC">
        <w:rPr>
          <w:lang w:val="en-US" w:eastAsia="en-US"/>
        </w:rPr>
        <w:t xml:space="preserve">, Article 1823263. </w:t>
      </w:r>
      <w:hyperlink r:id="rId13" w:history="1">
        <w:r w:rsidRPr="002173EC">
          <w:rPr>
            <w:color w:val="0000FF"/>
            <w:u w:val="single"/>
            <w:lang w:val="en-US" w:eastAsia="en-US"/>
          </w:rPr>
          <w:t>https://doi.org/10.3389/frai.2026.1823263</w:t>
        </w:r>
      </w:hyperlink>
    </w:p>
    <w:p w14:paraId="738D54CE"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Bhatt, U., Xiang, A., Sharma, S., Weller, A., Taly, A., Jia, Y., Ghosh, J., Puri, R., Moura, J. M. F., &amp; Eckersley, P. (2020). Explainable machine learning in deployment. In </w:t>
      </w:r>
      <w:r w:rsidRPr="002173EC">
        <w:rPr>
          <w:i/>
          <w:iCs/>
          <w:lang w:val="en-US" w:eastAsia="en-US"/>
        </w:rPr>
        <w:t>Proceedings of the 2020 Conference on Fairness, Accountability, and Transparency</w:t>
      </w:r>
      <w:r w:rsidRPr="002173EC">
        <w:rPr>
          <w:lang w:val="en-US" w:eastAsia="en-US"/>
        </w:rPr>
        <w:t xml:space="preserve"> (pp. 648–657). Association for Computing Machinery. </w:t>
      </w:r>
      <w:hyperlink r:id="rId14" w:history="1">
        <w:r w:rsidRPr="002173EC">
          <w:rPr>
            <w:color w:val="0000FF"/>
            <w:u w:val="single"/>
            <w:lang w:val="en-US" w:eastAsia="en-US"/>
          </w:rPr>
          <w:t>https://doi.org/10.1145/3351095.3375624</w:t>
        </w:r>
      </w:hyperlink>
    </w:p>
    <w:p w14:paraId="0FFB57BA"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Blavin, F., Kane, N., Berenson, R., Blanchfield, B., &amp; Zuckerman, S. (2023). Association of commercial-to-Medicare relative prices with health system financial performance. </w:t>
      </w:r>
      <w:r w:rsidRPr="002173EC">
        <w:rPr>
          <w:i/>
          <w:iCs/>
          <w:lang w:val="en-US" w:eastAsia="en-US"/>
        </w:rPr>
        <w:t>JAMA Health Forum, 4</w:t>
      </w:r>
      <w:r w:rsidRPr="002173EC">
        <w:rPr>
          <w:lang w:val="en-US" w:eastAsia="en-US"/>
        </w:rPr>
        <w:t xml:space="preserve">(2), Article e225444. </w:t>
      </w:r>
      <w:hyperlink r:id="rId15" w:history="1">
        <w:r w:rsidRPr="002173EC">
          <w:rPr>
            <w:color w:val="0000FF"/>
            <w:u w:val="single"/>
            <w:lang w:val="en-US" w:eastAsia="en-US"/>
          </w:rPr>
          <w:t>https://doi.org/10.1001/jamahealthforum.2022.5444</w:t>
        </w:r>
      </w:hyperlink>
    </w:p>
    <w:p w14:paraId="38613BD5"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Breunig, M. M., Kriegel, H.-P., Ng, R. T., &amp; Sander, J. (2000). LOF: Identifying density-based local outliers. In </w:t>
      </w:r>
      <w:r w:rsidRPr="002173EC">
        <w:rPr>
          <w:i/>
          <w:iCs/>
          <w:lang w:val="en-US" w:eastAsia="en-US"/>
        </w:rPr>
        <w:t>Proceedings of the 2000 ACM SIGMOD International Conference on Management of Data</w:t>
      </w:r>
      <w:r w:rsidRPr="002173EC">
        <w:rPr>
          <w:lang w:val="en-US" w:eastAsia="en-US"/>
        </w:rPr>
        <w:t xml:space="preserve"> (pp. 93–104). Association for Computing Machinery. </w:t>
      </w:r>
      <w:hyperlink r:id="rId16" w:history="1">
        <w:r w:rsidRPr="002173EC">
          <w:rPr>
            <w:color w:val="0000FF"/>
            <w:u w:val="single"/>
            <w:lang w:val="en-US" w:eastAsia="en-US"/>
          </w:rPr>
          <w:t>https://doi.org/10.1145/342009.335388</w:t>
        </w:r>
      </w:hyperlink>
    </w:p>
    <w:p w14:paraId="05413C3D"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Černevičienė</w:t>
      </w:r>
      <w:proofErr w:type="spellEnd"/>
      <w:r w:rsidRPr="002173EC">
        <w:rPr>
          <w:lang w:val="en-US" w:eastAsia="en-US"/>
        </w:rPr>
        <w:t xml:space="preserve">, J., &amp; </w:t>
      </w:r>
      <w:proofErr w:type="spellStart"/>
      <w:r w:rsidRPr="002173EC">
        <w:rPr>
          <w:lang w:val="en-US" w:eastAsia="en-US"/>
        </w:rPr>
        <w:t>Kabašinskas</w:t>
      </w:r>
      <w:proofErr w:type="spellEnd"/>
      <w:r w:rsidRPr="002173EC">
        <w:rPr>
          <w:lang w:val="en-US" w:eastAsia="en-US"/>
        </w:rPr>
        <w:t xml:space="preserve">, A. (2022). Review of multi-criteria decision-making methods in finance using explainable artificial intelligence. </w:t>
      </w:r>
      <w:r w:rsidRPr="002173EC">
        <w:rPr>
          <w:i/>
          <w:iCs/>
          <w:lang w:val="en-US" w:eastAsia="en-US"/>
        </w:rPr>
        <w:t>Frontiers in Artificial Intelligence, 5</w:t>
      </w:r>
      <w:r w:rsidRPr="002173EC">
        <w:rPr>
          <w:lang w:val="en-US" w:eastAsia="en-US"/>
        </w:rPr>
        <w:t xml:space="preserve">, Article 827584. </w:t>
      </w:r>
      <w:hyperlink r:id="rId17" w:history="1">
        <w:r w:rsidRPr="002173EC">
          <w:rPr>
            <w:color w:val="0000FF"/>
            <w:u w:val="single"/>
            <w:lang w:val="en-US" w:eastAsia="en-US"/>
          </w:rPr>
          <w:t>https://doi.org/10.3389/frai.2022.827584</w:t>
        </w:r>
      </w:hyperlink>
    </w:p>
    <w:p w14:paraId="32B0AC2E"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Chalmers, K., Waghmare, O., Gopinath, V., &amp; Saini, V. (2026). Hospitals in some states under report Medicaid discharge counts in cost report data. </w:t>
      </w:r>
      <w:r w:rsidRPr="002173EC">
        <w:rPr>
          <w:i/>
          <w:iCs/>
          <w:lang w:val="en-US" w:eastAsia="en-US"/>
        </w:rPr>
        <w:t>Health Services Research, 61</w:t>
      </w:r>
      <w:r w:rsidRPr="002173EC">
        <w:rPr>
          <w:lang w:val="en-US" w:eastAsia="en-US"/>
        </w:rPr>
        <w:t xml:space="preserve">(1), Article e70043. </w:t>
      </w:r>
      <w:hyperlink r:id="rId18" w:history="1">
        <w:r w:rsidRPr="002173EC">
          <w:rPr>
            <w:color w:val="0000FF"/>
            <w:u w:val="single"/>
            <w:lang w:val="en-US" w:eastAsia="en-US"/>
          </w:rPr>
          <w:t>https://doi.org/10.1111/1475-6773.70043</w:t>
        </w:r>
      </w:hyperlink>
    </w:p>
    <w:p w14:paraId="3ECA2725"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Determination of cost of services to beneficiaries, 42 C.F.R. § 413.53 (2025). </w:t>
      </w:r>
      <w:hyperlink r:id="rId19" w:history="1">
        <w:r w:rsidRPr="002173EC">
          <w:rPr>
            <w:color w:val="0000FF"/>
            <w:u w:val="single"/>
            <w:lang w:val="en-US" w:eastAsia="en-US"/>
          </w:rPr>
          <w:t>https://www.ecfr.gov/current/title-42/chapter-IV/subchapter-B/part-413/section-413.53</w:t>
        </w:r>
      </w:hyperlink>
    </w:p>
    <w:p w14:paraId="6C4C8663"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Di Paolo Harrison, B. M., Braymen, C., &amp; Hoag, M. L. (2022). The influence of regulatory change on hospital Medicare cost reporting. </w:t>
      </w:r>
      <w:r w:rsidRPr="002173EC">
        <w:rPr>
          <w:i/>
          <w:iCs/>
          <w:lang w:val="en-US" w:eastAsia="en-US"/>
        </w:rPr>
        <w:t>Journal of Governmental &amp; Nonprofit Accounting, 11</w:t>
      </w:r>
      <w:r w:rsidRPr="002173EC">
        <w:rPr>
          <w:lang w:val="en-US" w:eastAsia="en-US"/>
        </w:rPr>
        <w:t xml:space="preserve">(1), 20–50. </w:t>
      </w:r>
      <w:hyperlink r:id="rId20" w:history="1">
        <w:r w:rsidRPr="002173EC">
          <w:rPr>
            <w:color w:val="0000FF"/>
            <w:u w:val="single"/>
            <w:lang w:val="en-US" w:eastAsia="en-US"/>
          </w:rPr>
          <w:t>https://doi.org/10.2308/JOGNA-2020-010</w:t>
        </w:r>
      </w:hyperlink>
    </w:p>
    <w:p w14:paraId="4ECC7CE6" w14:textId="77777777" w:rsidR="002173EC" w:rsidRPr="002173EC" w:rsidRDefault="002173EC" w:rsidP="002173EC">
      <w:pPr>
        <w:spacing w:before="100" w:beforeAutospacing="1" w:after="100" w:afterAutospacing="1"/>
        <w:rPr>
          <w:lang w:val="en-US" w:eastAsia="en-US"/>
        </w:rPr>
      </w:pPr>
      <w:r w:rsidRPr="002173EC">
        <w:rPr>
          <w:lang w:val="en-US" w:eastAsia="en-US"/>
        </w:rPr>
        <w:lastRenderedPageBreak/>
        <w:t xml:space="preserve">Direct graduate medical education payments, 42 C.F.R. §§ 413.75–413.83 (2025). </w:t>
      </w:r>
      <w:hyperlink r:id="rId21" w:history="1">
        <w:r w:rsidRPr="002173EC">
          <w:rPr>
            <w:color w:val="0000FF"/>
            <w:u w:val="single"/>
            <w:lang w:val="en-US" w:eastAsia="en-US"/>
          </w:rPr>
          <w:t>https://www.ecfr.gov/current/title-42/chapter-IV/subchapter-B/part-413/section-413.75</w:t>
        </w:r>
      </w:hyperlink>
    </w:p>
    <w:p w14:paraId="15E063FE"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Eldenburg</w:t>
      </w:r>
      <w:proofErr w:type="spellEnd"/>
      <w:r w:rsidRPr="002173EC">
        <w:rPr>
          <w:lang w:val="en-US" w:eastAsia="en-US"/>
        </w:rPr>
        <w:t xml:space="preserve">, L., &amp; </w:t>
      </w:r>
      <w:proofErr w:type="spellStart"/>
      <w:r w:rsidRPr="002173EC">
        <w:rPr>
          <w:lang w:val="en-US" w:eastAsia="en-US"/>
        </w:rPr>
        <w:t>Kallapur</w:t>
      </w:r>
      <w:proofErr w:type="spellEnd"/>
      <w:r w:rsidRPr="002173EC">
        <w:rPr>
          <w:lang w:val="en-US" w:eastAsia="en-US"/>
        </w:rPr>
        <w:t xml:space="preserve">, S. (1997). Changes in hospital service mix and cost allocations in response to changes in Medicare reimbursement schemes. </w:t>
      </w:r>
      <w:r w:rsidRPr="002173EC">
        <w:rPr>
          <w:i/>
          <w:iCs/>
          <w:lang w:val="en-US" w:eastAsia="en-US"/>
        </w:rPr>
        <w:t>Journal of Accounting and Economics, 23</w:t>
      </w:r>
      <w:r w:rsidRPr="002173EC">
        <w:rPr>
          <w:lang w:val="en-US" w:eastAsia="en-US"/>
        </w:rPr>
        <w:t xml:space="preserve">(1), 31–51. </w:t>
      </w:r>
      <w:hyperlink r:id="rId22" w:history="1">
        <w:r w:rsidRPr="002173EC">
          <w:rPr>
            <w:color w:val="0000FF"/>
            <w:u w:val="single"/>
            <w:lang w:val="en-US" w:eastAsia="en-US"/>
          </w:rPr>
          <w:t>https://doi.org/10.1016/S0165-4101(96)00447-8</w:t>
        </w:r>
      </w:hyperlink>
    </w:p>
    <w:p w14:paraId="5C68B1FB"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Emmanuel, A. M., Ayankoya, F., </w:t>
      </w:r>
      <w:proofErr w:type="spellStart"/>
      <w:r w:rsidRPr="002173EC">
        <w:rPr>
          <w:lang w:val="en-US" w:eastAsia="en-US"/>
        </w:rPr>
        <w:t>Kuyoro</w:t>
      </w:r>
      <w:proofErr w:type="spellEnd"/>
      <w:r w:rsidRPr="002173EC">
        <w:rPr>
          <w:lang w:val="en-US" w:eastAsia="en-US"/>
        </w:rPr>
        <w:t xml:space="preserve">, S., &amp; Ajayi, O. (2026). Causal feature selection for explainable AI (XAI) in fraud detection: A systematic literature review. </w:t>
      </w:r>
      <w:r w:rsidRPr="002173EC">
        <w:rPr>
          <w:i/>
          <w:iCs/>
          <w:lang w:val="en-US" w:eastAsia="en-US"/>
        </w:rPr>
        <w:t>Asian Journal of Research in Computer Science, 19</w:t>
      </w:r>
      <w:r w:rsidRPr="002173EC">
        <w:rPr>
          <w:lang w:val="en-US" w:eastAsia="en-US"/>
        </w:rPr>
        <w:t xml:space="preserve">(1), 292–307. </w:t>
      </w:r>
      <w:hyperlink r:id="rId23" w:history="1">
        <w:r w:rsidRPr="002173EC">
          <w:rPr>
            <w:color w:val="0000FF"/>
            <w:u w:val="single"/>
            <w:lang w:val="en-US" w:eastAsia="en-US"/>
          </w:rPr>
          <w:t>https://doi.org/10.9734/ajrcos/2026/v19i1819</w:t>
        </w:r>
      </w:hyperlink>
    </w:p>
    <w:p w14:paraId="3780D88E"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Farbmacher</w:t>
      </w:r>
      <w:proofErr w:type="spellEnd"/>
      <w:r w:rsidRPr="002173EC">
        <w:rPr>
          <w:lang w:val="en-US" w:eastAsia="en-US"/>
        </w:rPr>
        <w:t xml:space="preserve">, H., Löw, L., &amp; Spindler, M. (2022). An explainable attention network for fraud detection in claims management. </w:t>
      </w:r>
      <w:r w:rsidRPr="002173EC">
        <w:rPr>
          <w:i/>
          <w:iCs/>
          <w:lang w:val="en-US" w:eastAsia="en-US"/>
        </w:rPr>
        <w:t>Journal of Econometrics, 228</w:t>
      </w:r>
      <w:r w:rsidRPr="002173EC">
        <w:rPr>
          <w:lang w:val="en-US" w:eastAsia="en-US"/>
        </w:rPr>
        <w:t xml:space="preserve">(2), 244–258. </w:t>
      </w:r>
      <w:hyperlink r:id="rId24" w:history="1">
        <w:r w:rsidRPr="002173EC">
          <w:rPr>
            <w:color w:val="0000FF"/>
            <w:u w:val="single"/>
            <w:lang w:val="en-US" w:eastAsia="en-US"/>
          </w:rPr>
          <w:t>https://doi.org/10.1016/j.jeconom.2020.05.021</w:t>
        </w:r>
      </w:hyperlink>
    </w:p>
    <w:p w14:paraId="6500886A"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Fursov, I., Kovtun, E., Rivera-Castro, R., Zaytsev, A., Khasyanov, R., Spindler, M., &amp; </w:t>
      </w:r>
      <w:proofErr w:type="spellStart"/>
      <w:r w:rsidRPr="002173EC">
        <w:rPr>
          <w:lang w:val="en-US" w:eastAsia="en-US"/>
        </w:rPr>
        <w:t>Burnaev</w:t>
      </w:r>
      <w:proofErr w:type="spellEnd"/>
      <w:r w:rsidRPr="002173EC">
        <w:rPr>
          <w:lang w:val="en-US" w:eastAsia="en-US"/>
        </w:rPr>
        <w:t xml:space="preserve">, E. (2022). Sequence embeddings help detect insurance fraud. </w:t>
      </w:r>
      <w:r w:rsidRPr="002173EC">
        <w:rPr>
          <w:i/>
          <w:iCs/>
          <w:lang w:val="en-US" w:eastAsia="en-US"/>
        </w:rPr>
        <w:t>IEEE Access, 10</w:t>
      </w:r>
      <w:r w:rsidRPr="002173EC">
        <w:rPr>
          <w:lang w:val="en-US" w:eastAsia="en-US"/>
        </w:rPr>
        <w:t xml:space="preserve">, 32060–32074. </w:t>
      </w:r>
      <w:hyperlink r:id="rId25" w:history="1">
        <w:r w:rsidRPr="002173EC">
          <w:rPr>
            <w:color w:val="0000FF"/>
            <w:u w:val="single"/>
            <w:lang w:val="en-US" w:eastAsia="en-US"/>
          </w:rPr>
          <w:t>https://doi.org/10.1109/ACCESS.2022.3149480</w:t>
        </w:r>
      </w:hyperlink>
    </w:p>
    <w:p w14:paraId="607E39A0"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Gross, T., </w:t>
      </w:r>
      <w:proofErr w:type="spellStart"/>
      <w:r w:rsidRPr="002173EC">
        <w:rPr>
          <w:lang w:val="en-US" w:eastAsia="en-US"/>
        </w:rPr>
        <w:t>Sacarny</w:t>
      </w:r>
      <w:proofErr w:type="spellEnd"/>
      <w:r w:rsidRPr="002173EC">
        <w:rPr>
          <w:lang w:val="en-US" w:eastAsia="en-US"/>
        </w:rPr>
        <w:t xml:space="preserve">, A., Shi, M., &amp; Silver, D. (2024). Regulated revenues and hospital behavior: Evidence from a Medicare overhaul. </w:t>
      </w:r>
      <w:r w:rsidRPr="002173EC">
        <w:rPr>
          <w:i/>
          <w:iCs/>
          <w:lang w:val="en-US" w:eastAsia="en-US"/>
        </w:rPr>
        <w:t>The Review of Economics and Statistics, 106</w:t>
      </w:r>
      <w:r w:rsidRPr="002173EC">
        <w:rPr>
          <w:lang w:val="en-US" w:eastAsia="en-US"/>
        </w:rPr>
        <w:t xml:space="preserve">(6), 1709–1718. </w:t>
      </w:r>
      <w:hyperlink r:id="rId26" w:history="1">
        <w:r w:rsidRPr="002173EC">
          <w:rPr>
            <w:color w:val="0000FF"/>
            <w:u w:val="single"/>
            <w:lang w:val="en-US" w:eastAsia="en-US"/>
          </w:rPr>
          <w:t>https://doi.org/10.1162/rest_a_01254</w:t>
        </w:r>
      </w:hyperlink>
    </w:p>
    <w:p w14:paraId="65759746"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Habeeb, R. A. A., </w:t>
      </w:r>
      <w:proofErr w:type="spellStart"/>
      <w:r w:rsidRPr="002173EC">
        <w:rPr>
          <w:lang w:val="en-US" w:eastAsia="en-US"/>
        </w:rPr>
        <w:t>Nasaruddin</w:t>
      </w:r>
      <w:proofErr w:type="spellEnd"/>
      <w:r w:rsidRPr="002173EC">
        <w:rPr>
          <w:lang w:val="en-US" w:eastAsia="en-US"/>
        </w:rPr>
        <w:t xml:space="preserve">, F., Gani, A., Hashem, I. A. T., Ahmed, E., &amp; Imran, M. (2019). Real-time big data processing for anomaly detection: A survey. </w:t>
      </w:r>
      <w:r w:rsidRPr="002173EC">
        <w:rPr>
          <w:i/>
          <w:iCs/>
          <w:lang w:val="en-US" w:eastAsia="en-US"/>
        </w:rPr>
        <w:t>International Journal of Information Management, 45</w:t>
      </w:r>
      <w:r w:rsidRPr="002173EC">
        <w:rPr>
          <w:lang w:val="en-US" w:eastAsia="en-US"/>
        </w:rPr>
        <w:t xml:space="preserve">, 289–307. </w:t>
      </w:r>
      <w:hyperlink r:id="rId27" w:history="1">
        <w:r w:rsidRPr="002173EC">
          <w:rPr>
            <w:color w:val="0000FF"/>
            <w:u w:val="single"/>
            <w:lang w:val="en-US" w:eastAsia="en-US"/>
          </w:rPr>
          <w:t>https://doi.org/10.1016/j.ijinfomgt.2018.08.006</w:t>
        </w:r>
      </w:hyperlink>
    </w:p>
    <w:p w14:paraId="6B3944B3"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Hancock, J. T., Bauder, R. A., Wang, H., &amp; </w:t>
      </w:r>
      <w:proofErr w:type="spellStart"/>
      <w:r w:rsidRPr="002173EC">
        <w:rPr>
          <w:lang w:val="en-US" w:eastAsia="en-US"/>
        </w:rPr>
        <w:t>Khoshgoftaar</w:t>
      </w:r>
      <w:proofErr w:type="spellEnd"/>
      <w:r w:rsidRPr="002173EC">
        <w:rPr>
          <w:lang w:val="en-US" w:eastAsia="en-US"/>
        </w:rPr>
        <w:t xml:space="preserve">, T. M. (2023). Explainable machine learning models for Medicare fraud detection. </w:t>
      </w:r>
      <w:r w:rsidRPr="002173EC">
        <w:rPr>
          <w:i/>
          <w:iCs/>
          <w:lang w:val="en-US" w:eastAsia="en-US"/>
        </w:rPr>
        <w:t>Journal of Big Data, 10</w:t>
      </w:r>
      <w:r w:rsidRPr="002173EC">
        <w:rPr>
          <w:lang w:val="en-US" w:eastAsia="en-US"/>
        </w:rPr>
        <w:t xml:space="preserve">, Article 154. </w:t>
      </w:r>
      <w:hyperlink r:id="rId28" w:history="1">
        <w:r w:rsidRPr="002173EC">
          <w:rPr>
            <w:color w:val="0000FF"/>
            <w:u w:val="single"/>
            <w:lang w:val="en-US" w:eastAsia="en-US"/>
          </w:rPr>
          <w:t>https://doi.org/10.1186/s40537-023-00821-5</w:t>
        </w:r>
      </w:hyperlink>
    </w:p>
    <w:p w14:paraId="0F0D72ED"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Hasanin, T., </w:t>
      </w:r>
      <w:proofErr w:type="spellStart"/>
      <w:r w:rsidRPr="002173EC">
        <w:rPr>
          <w:lang w:val="en-US" w:eastAsia="en-US"/>
        </w:rPr>
        <w:t>Khoshgoftaar</w:t>
      </w:r>
      <w:proofErr w:type="spellEnd"/>
      <w:r w:rsidRPr="002173EC">
        <w:rPr>
          <w:lang w:val="en-US" w:eastAsia="en-US"/>
        </w:rPr>
        <w:t xml:space="preserve">, T. M., Leevy, J. L., &amp; Bauder, R. A. (2019). Severely imbalanced big data challenges: Investigating data sampling approaches. </w:t>
      </w:r>
      <w:r w:rsidRPr="002173EC">
        <w:rPr>
          <w:i/>
          <w:iCs/>
          <w:lang w:val="en-US" w:eastAsia="en-US"/>
        </w:rPr>
        <w:t>Journal of Big Data, 6</w:t>
      </w:r>
      <w:r w:rsidRPr="002173EC">
        <w:rPr>
          <w:lang w:val="en-US" w:eastAsia="en-US"/>
        </w:rPr>
        <w:t xml:space="preserve">, Article 107. </w:t>
      </w:r>
      <w:hyperlink r:id="rId29" w:history="1">
        <w:r w:rsidRPr="002173EC">
          <w:rPr>
            <w:color w:val="0000FF"/>
            <w:u w:val="single"/>
            <w:lang w:val="en-US" w:eastAsia="en-US"/>
          </w:rPr>
          <w:t>https://doi.org/10.1186/s40537-019-0274-4</w:t>
        </w:r>
      </w:hyperlink>
    </w:p>
    <w:p w14:paraId="11FEB728"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Herland, M., </w:t>
      </w:r>
      <w:proofErr w:type="spellStart"/>
      <w:r w:rsidRPr="002173EC">
        <w:rPr>
          <w:lang w:val="en-US" w:eastAsia="en-US"/>
        </w:rPr>
        <w:t>Khoshgoftaar</w:t>
      </w:r>
      <w:proofErr w:type="spellEnd"/>
      <w:r w:rsidRPr="002173EC">
        <w:rPr>
          <w:lang w:val="en-US" w:eastAsia="en-US"/>
        </w:rPr>
        <w:t xml:space="preserve">, T. M., &amp; Bauder, R. A. (2018). Big data fraud detection using multiple Medicare data sources. </w:t>
      </w:r>
      <w:r w:rsidRPr="002173EC">
        <w:rPr>
          <w:i/>
          <w:iCs/>
          <w:lang w:val="en-US" w:eastAsia="en-US"/>
        </w:rPr>
        <w:t>Journal of Big Data, 5</w:t>
      </w:r>
      <w:r w:rsidRPr="002173EC">
        <w:rPr>
          <w:lang w:val="en-US" w:eastAsia="en-US"/>
        </w:rPr>
        <w:t xml:space="preserve">, Article 29. </w:t>
      </w:r>
      <w:hyperlink r:id="rId30" w:history="1">
        <w:r w:rsidRPr="002173EC">
          <w:rPr>
            <w:color w:val="0000FF"/>
            <w:u w:val="single"/>
            <w:lang w:val="en-US" w:eastAsia="en-US"/>
          </w:rPr>
          <w:t>https://doi.org/10.1186/s40537-018-0138-3</w:t>
        </w:r>
      </w:hyperlink>
    </w:p>
    <w:p w14:paraId="73C530D3"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Johnson, J. M., &amp; </w:t>
      </w:r>
      <w:proofErr w:type="spellStart"/>
      <w:r w:rsidRPr="002173EC">
        <w:rPr>
          <w:lang w:val="en-US" w:eastAsia="en-US"/>
        </w:rPr>
        <w:t>Khoshgoftaar</w:t>
      </w:r>
      <w:proofErr w:type="spellEnd"/>
      <w:r w:rsidRPr="002173EC">
        <w:rPr>
          <w:lang w:val="en-US" w:eastAsia="en-US"/>
        </w:rPr>
        <w:t xml:space="preserve">, T. M. (2019). Medicare fraud detection using neural networks. </w:t>
      </w:r>
      <w:r w:rsidRPr="002173EC">
        <w:rPr>
          <w:i/>
          <w:iCs/>
          <w:lang w:val="en-US" w:eastAsia="en-US"/>
        </w:rPr>
        <w:t>Journal of Big Data, 6</w:t>
      </w:r>
      <w:r w:rsidRPr="002173EC">
        <w:rPr>
          <w:lang w:val="en-US" w:eastAsia="en-US"/>
        </w:rPr>
        <w:t xml:space="preserve">, Article 63. </w:t>
      </w:r>
      <w:hyperlink r:id="rId31" w:history="1">
        <w:r w:rsidRPr="002173EC">
          <w:rPr>
            <w:color w:val="0000FF"/>
            <w:u w:val="single"/>
            <w:lang w:val="en-US" w:eastAsia="en-US"/>
          </w:rPr>
          <w:t>https://doi.org/10.1186/s40537-019-0225-0</w:t>
        </w:r>
      </w:hyperlink>
    </w:p>
    <w:p w14:paraId="6EEF10CD"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Kaur, H., Pannu, H. S., &amp; Malhi, A. K. (2019). A systematic review on imbalanced data challenges in machine learning: Applications and solutions. </w:t>
      </w:r>
      <w:r w:rsidRPr="002173EC">
        <w:rPr>
          <w:i/>
          <w:iCs/>
          <w:lang w:val="en-US" w:eastAsia="en-US"/>
        </w:rPr>
        <w:t>ACM Computing Surveys, 52</w:t>
      </w:r>
      <w:r w:rsidRPr="002173EC">
        <w:rPr>
          <w:lang w:val="en-US" w:eastAsia="en-US"/>
        </w:rPr>
        <w:t xml:space="preserve">(4), Article 79. </w:t>
      </w:r>
      <w:hyperlink r:id="rId32" w:history="1">
        <w:r w:rsidRPr="002173EC">
          <w:rPr>
            <w:color w:val="0000FF"/>
            <w:u w:val="single"/>
            <w:lang w:val="en-US" w:eastAsia="en-US"/>
          </w:rPr>
          <w:t>https://doi.org/10.1145/3343440</w:t>
        </w:r>
      </w:hyperlink>
    </w:p>
    <w:p w14:paraId="646475F1" w14:textId="77777777" w:rsidR="002173EC" w:rsidRPr="002173EC" w:rsidRDefault="002173EC" w:rsidP="002173EC">
      <w:pPr>
        <w:spacing w:before="100" w:beforeAutospacing="1" w:after="100" w:afterAutospacing="1"/>
        <w:rPr>
          <w:lang w:val="en-US" w:eastAsia="en-US"/>
        </w:rPr>
      </w:pPr>
      <w:r w:rsidRPr="002173EC">
        <w:rPr>
          <w:lang w:val="en-US" w:eastAsia="en-US"/>
        </w:rPr>
        <w:lastRenderedPageBreak/>
        <w:t xml:space="preserve">Lamboy-Ruiz, M. A., No, W. G., &amp; Watanabe, O. V. (2019). Discrepancies in hospital financial information: Comparison of financial data in state data repositories and the Healthcare Cost Reporting Information System. </w:t>
      </w:r>
      <w:r w:rsidRPr="002173EC">
        <w:rPr>
          <w:i/>
          <w:iCs/>
          <w:lang w:val="en-US" w:eastAsia="en-US"/>
        </w:rPr>
        <w:t>Journal of Information Systems, 33</w:t>
      </w:r>
      <w:r w:rsidRPr="002173EC">
        <w:rPr>
          <w:lang w:val="en-US" w:eastAsia="en-US"/>
        </w:rPr>
        <w:t xml:space="preserve">(3), 19–44. </w:t>
      </w:r>
      <w:hyperlink r:id="rId33" w:history="1">
        <w:r w:rsidRPr="002173EC">
          <w:rPr>
            <w:color w:val="0000FF"/>
            <w:u w:val="single"/>
            <w:lang w:val="en-US" w:eastAsia="en-US"/>
          </w:rPr>
          <w:t>https://doi.org/10.2308/isys-52149</w:t>
        </w:r>
      </w:hyperlink>
    </w:p>
    <w:p w14:paraId="7D0D86EC"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Liu, F. T., Ting, K. M., &amp; Zhou, Z.-H. (2008). Isolation forest. In </w:t>
      </w:r>
      <w:r w:rsidRPr="002173EC">
        <w:rPr>
          <w:i/>
          <w:iCs/>
          <w:lang w:val="en-US" w:eastAsia="en-US"/>
        </w:rPr>
        <w:t>2008 Eighth IEEE International Conference on Data Mining</w:t>
      </w:r>
      <w:r w:rsidRPr="002173EC">
        <w:rPr>
          <w:lang w:val="en-US" w:eastAsia="en-US"/>
        </w:rPr>
        <w:t xml:space="preserve"> (pp. 413–422). IEEE. </w:t>
      </w:r>
      <w:hyperlink r:id="rId34" w:history="1">
        <w:r w:rsidRPr="002173EC">
          <w:rPr>
            <w:color w:val="0000FF"/>
            <w:u w:val="single"/>
            <w:lang w:val="en-US" w:eastAsia="en-US"/>
          </w:rPr>
          <w:t>https://doi.org/10.1109/ICDM.2008.17</w:t>
        </w:r>
      </w:hyperlink>
    </w:p>
    <w:p w14:paraId="0AFE0CEA"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Locey, K. J., &amp; Stein, B. D. (2023). Democratizing insights into hospital cost reports. </w:t>
      </w:r>
      <w:r w:rsidRPr="002173EC">
        <w:rPr>
          <w:i/>
          <w:iCs/>
          <w:lang w:val="en-US" w:eastAsia="en-US"/>
        </w:rPr>
        <w:t>Healthcare Analytics, 4</w:t>
      </w:r>
      <w:r w:rsidRPr="002173EC">
        <w:rPr>
          <w:lang w:val="en-US" w:eastAsia="en-US"/>
        </w:rPr>
        <w:t xml:space="preserve">, Article 100274. </w:t>
      </w:r>
      <w:hyperlink r:id="rId35" w:history="1">
        <w:r w:rsidRPr="002173EC">
          <w:rPr>
            <w:color w:val="0000FF"/>
            <w:u w:val="single"/>
            <w:lang w:val="en-US" w:eastAsia="en-US"/>
          </w:rPr>
          <w:t>https://doi.org/10.1016/j.health.2023.100274</w:t>
        </w:r>
      </w:hyperlink>
    </w:p>
    <w:p w14:paraId="4F42262D"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Lundberg, S. M., Erion, G., Chen, H., DeGrave, A., </w:t>
      </w:r>
      <w:proofErr w:type="spellStart"/>
      <w:r w:rsidRPr="002173EC">
        <w:rPr>
          <w:lang w:val="en-US" w:eastAsia="en-US"/>
        </w:rPr>
        <w:t>Prutkin</w:t>
      </w:r>
      <w:proofErr w:type="spellEnd"/>
      <w:r w:rsidRPr="002173EC">
        <w:rPr>
          <w:lang w:val="en-US" w:eastAsia="en-US"/>
        </w:rPr>
        <w:t xml:space="preserve">, J. M., Nair, B., Katz, R., Himmelfarb, J., Bansal, N., &amp; Lee, S.-I. (2020). From local explanations to global understanding with explainable AI for trees. </w:t>
      </w:r>
      <w:r w:rsidRPr="002173EC">
        <w:rPr>
          <w:i/>
          <w:iCs/>
          <w:lang w:val="en-US" w:eastAsia="en-US"/>
        </w:rPr>
        <w:t>Nature Machine Intelligence, 2</w:t>
      </w:r>
      <w:r w:rsidRPr="002173EC">
        <w:rPr>
          <w:lang w:val="en-US" w:eastAsia="en-US"/>
        </w:rPr>
        <w:t xml:space="preserve">(1), 56–67. </w:t>
      </w:r>
      <w:hyperlink r:id="rId36" w:history="1">
        <w:r w:rsidRPr="002173EC">
          <w:rPr>
            <w:color w:val="0000FF"/>
            <w:u w:val="single"/>
            <w:lang w:val="en-US" w:eastAsia="en-US"/>
          </w:rPr>
          <w:t>https://doi.org/10.1038/s42256-019-0138-9</w:t>
        </w:r>
      </w:hyperlink>
    </w:p>
    <w:p w14:paraId="37BF7CE4"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Lundberg, S. M., &amp; Lee, S.-I. (2017). A unified approach to interpreting model predictions. In </w:t>
      </w:r>
      <w:r w:rsidRPr="002173EC">
        <w:rPr>
          <w:i/>
          <w:iCs/>
          <w:lang w:val="en-US" w:eastAsia="en-US"/>
        </w:rPr>
        <w:t>Advances in Neural Information Processing Systems</w:t>
      </w:r>
      <w:r w:rsidRPr="002173EC">
        <w:rPr>
          <w:lang w:val="en-US" w:eastAsia="en-US"/>
        </w:rPr>
        <w:t xml:space="preserve"> (Vol. 30, pp. 4765–4774). </w:t>
      </w:r>
      <w:hyperlink r:id="rId37" w:history="1">
        <w:r w:rsidRPr="002173EC">
          <w:rPr>
            <w:color w:val="0000FF"/>
            <w:u w:val="single"/>
            <w:lang w:val="en-US" w:eastAsia="en-US"/>
          </w:rPr>
          <w:t>https://proceedings.neurips.cc/paper_files/paper/2017/hash/8a20a8621978632d76c43dfd28b67767-Abstract.html</w:t>
        </w:r>
      </w:hyperlink>
    </w:p>
    <w:p w14:paraId="482709EC"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Markell, J., Anderson, G., &amp; </w:t>
      </w:r>
      <w:proofErr w:type="spellStart"/>
      <w:r w:rsidRPr="002173EC">
        <w:rPr>
          <w:lang w:val="en-US" w:eastAsia="en-US"/>
        </w:rPr>
        <w:t>Meiselbach</w:t>
      </w:r>
      <w:proofErr w:type="spellEnd"/>
      <w:r w:rsidRPr="002173EC">
        <w:rPr>
          <w:lang w:val="en-US" w:eastAsia="en-US"/>
        </w:rPr>
        <w:t xml:space="preserve">, M. (2026). Hospital responses to new disproportionate share payment rules. </w:t>
      </w:r>
      <w:r w:rsidRPr="002173EC">
        <w:rPr>
          <w:i/>
          <w:iCs/>
          <w:lang w:val="en-US" w:eastAsia="en-US"/>
        </w:rPr>
        <w:t>Health Services Research, 61</w:t>
      </w:r>
      <w:r w:rsidRPr="002173EC">
        <w:rPr>
          <w:lang w:val="en-US" w:eastAsia="en-US"/>
        </w:rPr>
        <w:t xml:space="preserve">(4), Article e70157. </w:t>
      </w:r>
      <w:hyperlink r:id="rId38" w:history="1">
        <w:r w:rsidRPr="002173EC">
          <w:rPr>
            <w:color w:val="0000FF"/>
            <w:u w:val="single"/>
            <w:lang w:val="en-US" w:eastAsia="en-US"/>
          </w:rPr>
          <w:t>https://doi.org/10.1111/1475-6773.70157</w:t>
        </w:r>
      </w:hyperlink>
    </w:p>
    <w:p w14:paraId="1CB48D6F"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Oriaku</w:t>
      </w:r>
      <w:proofErr w:type="spellEnd"/>
      <w:r w:rsidRPr="002173EC">
        <w:rPr>
          <w:lang w:val="en-US" w:eastAsia="en-US"/>
        </w:rPr>
        <w:t xml:space="preserve">, I., Bamidele, O. J., Mensah, T. K., Konadu, R. K., &amp; Thomas, G. A. (2026). Artificial intelligence in auditing and financial reporting: A scoping review of current practices and future directions. </w:t>
      </w:r>
      <w:r w:rsidRPr="002173EC">
        <w:rPr>
          <w:i/>
          <w:iCs/>
          <w:lang w:val="en-US" w:eastAsia="en-US"/>
        </w:rPr>
        <w:t>Journal of Economics and Trade, 11</w:t>
      </w:r>
      <w:r w:rsidRPr="002173EC">
        <w:rPr>
          <w:lang w:val="en-US" w:eastAsia="en-US"/>
        </w:rPr>
        <w:t xml:space="preserve">(1), 1–13. </w:t>
      </w:r>
      <w:hyperlink r:id="rId39" w:history="1">
        <w:r w:rsidRPr="002173EC">
          <w:rPr>
            <w:color w:val="0000FF"/>
            <w:u w:val="single"/>
            <w:lang w:val="en-US" w:eastAsia="en-US"/>
          </w:rPr>
          <w:t>https://doi.org/10.56557/jet/2026/v11i110096</w:t>
        </w:r>
      </w:hyperlink>
    </w:p>
    <w:p w14:paraId="55A2A7FA"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Pang, G., Shen, C., Cao, L., &amp; van den Hengel, A. (2021). Deep learning for anomaly detection: A review. </w:t>
      </w:r>
      <w:r w:rsidRPr="002173EC">
        <w:rPr>
          <w:i/>
          <w:iCs/>
          <w:lang w:val="en-US" w:eastAsia="en-US"/>
        </w:rPr>
        <w:t>ACM Computing Surveys, 54</w:t>
      </w:r>
      <w:r w:rsidRPr="002173EC">
        <w:rPr>
          <w:lang w:val="en-US" w:eastAsia="en-US"/>
        </w:rPr>
        <w:t xml:space="preserve">(2), Article 38. </w:t>
      </w:r>
      <w:hyperlink r:id="rId40" w:history="1">
        <w:r w:rsidRPr="002173EC">
          <w:rPr>
            <w:color w:val="0000FF"/>
            <w:u w:val="single"/>
            <w:lang w:val="en-US" w:eastAsia="en-US"/>
          </w:rPr>
          <w:t>https://doi.org/10.1145/3439950</w:t>
        </w:r>
      </w:hyperlink>
    </w:p>
    <w:p w14:paraId="5C12F4B1"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Qazi, A., &amp; Jadoon, A. A. K. (2026). Explainable ensemble learning using SHAP for ERP anomaly detection. </w:t>
      </w:r>
      <w:r w:rsidRPr="002173EC">
        <w:rPr>
          <w:i/>
          <w:iCs/>
          <w:lang w:val="en-US" w:eastAsia="en-US"/>
        </w:rPr>
        <w:t>Scientific Reports, 16</w:t>
      </w:r>
      <w:r w:rsidRPr="002173EC">
        <w:rPr>
          <w:lang w:val="en-US" w:eastAsia="en-US"/>
        </w:rPr>
        <w:t xml:space="preserve">, Article 27125. </w:t>
      </w:r>
      <w:hyperlink r:id="rId41" w:history="1">
        <w:r w:rsidRPr="002173EC">
          <w:rPr>
            <w:color w:val="0000FF"/>
            <w:u w:val="single"/>
            <w:lang w:val="en-US" w:eastAsia="en-US"/>
          </w:rPr>
          <w:t>https://doi.org/10.1038/s41598-026-57913-4</w:t>
        </w:r>
      </w:hyperlink>
    </w:p>
    <w:p w14:paraId="5E420018"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Ribeiro, M. T., Singh, S., &amp; </w:t>
      </w:r>
      <w:proofErr w:type="spellStart"/>
      <w:r w:rsidRPr="002173EC">
        <w:rPr>
          <w:lang w:val="en-US" w:eastAsia="en-US"/>
        </w:rPr>
        <w:t>Guestrin</w:t>
      </w:r>
      <w:proofErr w:type="spellEnd"/>
      <w:r w:rsidRPr="002173EC">
        <w:rPr>
          <w:lang w:val="en-US" w:eastAsia="en-US"/>
        </w:rPr>
        <w:t xml:space="preserve">, C. (2016). “Why should I trust you?”: Explaining the predictions of any classifier. In </w:t>
      </w:r>
      <w:r w:rsidRPr="002173EC">
        <w:rPr>
          <w:i/>
          <w:iCs/>
          <w:lang w:val="en-US" w:eastAsia="en-US"/>
        </w:rPr>
        <w:t>Proceedings of the 22nd ACM SIGKDD International Conference on Knowledge Discovery and Data Mining</w:t>
      </w:r>
      <w:r w:rsidRPr="002173EC">
        <w:rPr>
          <w:lang w:val="en-US" w:eastAsia="en-US"/>
        </w:rPr>
        <w:t xml:space="preserve"> (pp. 1135–1144). Association for Computing Machinery. </w:t>
      </w:r>
      <w:hyperlink r:id="rId42" w:history="1">
        <w:r w:rsidRPr="002173EC">
          <w:rPr>
            <w:color w:val="0000FF"/>
            <w:u w:val="single"/>
            <w:lang w:val="en-US" w:eastAsia="en-US"/>
          </w:rPr>
          <w:t>https://doi.org/10.1145/2939672.2939778</w:t>
        </w:r>
      </w:hyperlink>
    </w:p>
    <w:p w14:paraId="250A71BC" w14:textId="77777777" w:rsidR="002173EC" w:rsidRPr="002173EC" w:rsidRDefault="002173EC" w:rsidP="002173EC">
      <w:pPr>
        <w:spacing w:before="100" w:beforeAutospacing="1" w:after="100" w:afterAutospacing="1"/>
        <w:rPr>
          <w:lang w:val="en-US" w:eastAsia="en-US"/>
        </w:rPr>
      </w:pPr>
      <w:proofErr w:type="spellStart"/>
      <w:r w:rsidRPr="002173EC">
        <w:rPr>
          <w:lang w:val="en-US" w:eastAsia="en-US"/>
        </w:rPr>
        <w:t>Rousseeuw</w:t>
      </w:r>
      <w:proofErr w:type="spellEnd"/>
      <w:r w:rsidRPr="002173EC">
        <w:rPr>
          <w:lang w:val="en-US" w:eastAsia="en-US"/>
        </w:rPr>
        <w:t xml:space="preserve">, P. J., &amp; Hubert, M. (2018). Anomaly detection by robust statistics. </w:t>
      </w:r>
      <w:r w:rsidRPr="002173EC">
        <w:rPr>
          <w:i/>
          <w:iCs/>
          <w:lang w:val="en-US" w:eastAsia="en-US"/>
        </w:rPr>
        <w:t>WIREs Data Mining and Knowledge Discovery, 8</w:t>
      </w:r>
      <w:r w:rsidRPr="002173EC">
        <w:rPr>
          <w:lang w:val="en-US" w:eastAsia="en-US"/>
        </w:rPr>
        <w:t xml:space="preserve">(2), Article e1236. </w:t>
      </w:r>
      <w:hyperlink r:id="rId43" w:history="1">
        <w:r w:rsidRPr="002173EC">
          <w:rPr>
            <w:color w:val="0000FF"/>
            <w:u w:val="single"/>
            <w:lang w:val="en-US" w:eastAsia="en-US"/>
          </w:rPr>
          <w:t>https://doi.org/10.1002/widm.1236</w:t>
        </w:r>
      </w:hyperlink>
    </w:p>
    <w:p w14:paraId="1CBA0B0C" w14:textId="77777777" w:rsidR="002173EC" w:rsidRPr="002173EC" w:rsidRDefault="002173EC" w:rsidP="002173EC">
      <w:pPr>
        <w:spacing w:before="100" w:beforeAutospacing="1" w:after="100" w:afterAutospacing="1"/>
        <w:rPr>
          <w:lang w:val="en-US" w:eastAsia="en-US"/>
        </w:rPr>
      </w:pPr>
      <w:r w:rsidRPr="002173EC">
        <w:rPr>
          <w:lang w:val="en-US" w:eastAsia="en-US"/>
        </w:rPr>
        <w:lastRenderedPageBreak/>
        <w:t xml:space="preserve">Shekhar, S., Leder-Luis, J., &amp; </w:t>
      </w:r>
      <w:proofErr w:type="spellStart"/>
      <w:r w:rsidRPr="002173EC">
        <w:rPr>
          <w:lang w:val="en-US" w:eastAsia="en-US"/>
        </w:rPr>
        <w:t>Akoglu</w:t>
      </w:r>
      <w:proofErr w:type="spellEnd"/>
      <w:r w:rsidRPr="002173EC">
        <w:rPr>
          <w:lang w:val="en-US" w:eastAsia="en-US"/>
        </w:rPr>
        <w:t xml:space="preserve">, L. (2026). Can machine learning target health care fraud? Evidence from Medicare hospitalizations. </w:t>
      </w:r>
      <w:r w:rsidRPr="002173EC">
        <w:rPr>
          <w:i/>
          <w:iCs/>
          <w:lang w:val="en-US" w:eastAsia="en-US"/>
        </w:rPr>
        <w:t>Journal of Policy Analysis and Management, 45</w:t>
      </w:r>
      <w:r w:rsidRPr="002173EC">
        <w:rPr>
          <w:lang w:val="en-US" w:eastAsia="en-US"/>
        </w:rPr>
        <w:t xml:space="preserve">(1), Article e70078. </w:t>
      </w:r>
      <w:hyperlink r:id="rId44" w:history="1">
        <w:r w:rsidRPr="002173EC">
          <w:rPr>
            <w:color w:val="0000FF"/>
            <w:u w:val="single"/>
            <w:lang w:val="en-US" w:eastAsia="en-US"/>
          </w:rPr>
          <w:t>https://doi.org/10.1002/pam.70078</w:t>
        </w:r>
      </w:hyperlink>
    </w:p>
    <w:p w14:paraId="2846855B"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Wang, Y., &amp; Anderson, G. (2022). Hospital resource allocation decisions when market prices exceed Medicare prices. </w:t>
      </w:r>
      <w:r w:rsidRPr="002173EC">
        <w:rPr>
          <w:i/>
          <w:iCs/>
          <w:lang w:val="en-US" w:eastAsia="en-US"/>
        </w:rPr>
        <w:t>Health Services Research, 57</w:t>
      </w:r>
      <w:r w:rsidRPr="002173EC">
        <w:rPr>
          <w:lang w:val="en-US" w:eastAsia="en-US"/>
        </w:rPr>
        <w:t xml:space="preserve">(2), 237–247. </w:t>
      </w:r>
      <w:hyperlink r:id="rId45" w:history="1">
        <w:r w:rsidRPr="002173EC">
          <w:rPr>
            <w:color w:val="0000FF"/>
            <w:u w:val="single"/>
            <w:lang w:val="en-US" w:eastAsia="en-US"/>
          </w:rPr>
          <w:t>https://doi.org/10.1111/1475-6773.13914</w:t>
        </w:r>
      </w:hyperlink>
    </w:p>
    <w:p w14:paraId="3476BE2A"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Weber, P., Carl, K. V., &amp; Hinz, O. (2024). Applications of explainable artificial intelligence in finance: A systematic review of finance, information systems, and computer science literature. </w:t>
      </w:r>
      <w:r w:rsidRPr="002173EC">
        <w:rPr>
          <w:i/>
          <w:iCs/>
          <w:lang w:val="en-US" w:eastAsia="en-US"/>
        </w:rPr>
        <w:t>Management Review Quarterly, 74</w:t>
      </w:r>
      <w:r w:rsidRPr="002173EC">
        <w:rPr>
          <w:lang w:val="en-US" w:eastAsia="en-US"/>
        </w:rPr>
        <w:t xml:space="preserve">(2), 867–907. </w:t>
      </w:r>
      <w:hyperlink r:id="rId46" w:history="1">
        <w:r w:rsidRPr="002173EC">
          <w:rPr>
            <w:color w:val="0000FF"/>
            <w:u w:val="single"/>
            <w:lang w:val="en-US" w:eastAsia="en-US"/>
          </w:rPr>
          <w:t>https://doi.org/10.1007/s11301-023-00320-0</w:t>
        </w:r>
      </w:hyperlink>
    </w:p>
    <w:p w14:paraId="4A6A1D62"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Yeo, W. J., Van Der Heever, W., Mao, R., Cambria, E., Satapathy, R., &amp; Mengaldo, G. (2025). A comprehensive review on financial explainable AI. </w:t>
      </w:r>
      <w:r w:rsidRPr="002173EC">
        <w:rPr>
          <w:i/>
          <w:iCs/>
          <w:lang w:val="en-US" w:eastAsia="en-US"/>
        </w:rPr>
        <w:t>Artificial Intelligence Review, 58</w:t>
      </w:r>
      <w:r w:rsidRPr="002173EC">
        <w:rPr>
          <w:lang w:val="en-US" w:eastAsia="en-US"/>
        </w:rPr>
        <w:t xml:space="preserve">, Article 189. </w:t>
      </w:r>
      <w:hyperlink r:id="rId47" w:history="1">
        <w:r w:rsidRPr="002173EC">
          <w:rPr>
            <w:color w:val="0000FF"/>
            <w:u w:val="single"/>
            <w:lang w:val="en-US" w:eastAsia="en-US"/>
          </w:rPr>
          <w:t>https://doi.org/10.1007/s10462-024-11077-7</w:t>
        </w:r>
      </w:hyperlink>
    </w:p>
    <w:p w14:paraId="63F6276B"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Zhang, C. A., Cho, S., &amp; </w:t>
      </w:r>
      <w:proofErr w:type="spellStart"/>
      <w:r w:rsidRPr="002173EC">
        <w:rPr>
          <w:lang w:val="en-US" w:eastAsia="en-US"/>
        </w:rPr>
        <w:t>Vasarhelyi</w:t>
      </w:r>
      <w:proofErr w:type="spellEnd"/>
      <w:r w:rsidRPr="002173EC">
        <w:rPr>
          <w:lang w:val="en-US" w:eastAsia="en-US"/>
        </w:rPr>
        <w:t xml:space="preserve">, M. A. (2022). Explainable artificial intelligence (XAI) in auditing. </w:t>
      </w:r>
      <w:r w:rsidRPr="002173EC">
        <w:rPr>
          <w:i/>
          <w:iCs/>
          <w:lang w:val="en-US" w:eastAsia="en-US"/>
        </w:rPr>
        <w:t>International Journal of Accounting Information Systems, 46</w:t>
      </w:r>
      <w:r w:rsidRPr="002173EC">
        <w:rPr>
          <w:lang w:val="en-US" w:eastAsia="en-US"/>
        </w:rPr>
        <w:t xml:space="preserve">, Article 100572. </w:t>
      </w:r>
      <w:hyperlink r:id="rId48" w:history="1">
        <w:r w:rsidRPr="002173EC">
          <w:rPr>
            <w:color w:val="0000FF"/>
            <w:u w:val="single"/>
            <w:lang w:val="en-US" w:eastAsia="en-US"/>
          </w:rPr>
          <w:t>https://doi.org/10.1016/j.accinf.2022.100572</w:t>
        </w:r>
      </w:hyperlink>
    </w:p>
    <w:p w14:paraId="75532682"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Zhang, Z., Wu, C., Qu, S., &amp; Chen, X. (2022). An explainable artificial intelligence approach for financial distress prediction. </w:t>
      </w:r>
      <w:r w:rsidRPr="002173EC">
        <w:rPr>
          <w:i/>
          <w:iCs/>
          <w:lang w:val="en-US" w:eastAsia="en-US"/>
        </w:rPr>
        <w:t>Information Processing &amp; Management, 59</w:t>
      </w:r>
      <w:r w:rsidRPr="002173EC">
        <w:rPr>
          <w:lang w:val="en-US" w:eastAsia="en-US"/>
        </w:rPr>
        <w:t xml:space="preserve">(4), Article 102988. </w:t>
      </w:r>
      <w:hyperlink r:id="rId49" w:history="1">
        <w:r w:rsidRPr="002173EC">
          <w:rPr>
            <w:color w:val="0000FF"/>
            <w:u w:val="single"/>
            <w:lang w:val="en-US" w:eastAsia="en-US"/>
          </w:rPr>
          <w:t>https://doi.org/10.1016/j.ipm.2022.102988</w:t>
        </w:r>
      </w:hyperlink>
    </w:p>
    <w:p w14:paraId="11F945FC" w14:textId="77777777" w:rsidR="002173EC" w:rsidRPr="002173EC" w:rsidRDefault="002173EC" w:rsidP="002173EC">
      <w:pPr>
        <w:spacing w:before="100" w:beforeAutospacing="1" w:after="100" w:afterAutospacing="1"/>
        <w:rPr>
          <w:lang w:val="en-US" w:eastAsia="en-US"/>
        </w:rPr>
      </w:pPr>
      <w:r w:rsidRPr="002173EC">
        <w:rPr>
          <w:lang w:val="en-US" w:eastAsia="en-US"/>
        </w:rPr>
        <w:t xml:space="preserve">Zhou, Z., Buxbaum, J. D., &amp; Ryan, A. M. (2026). Mandatory value-based payment programs and hospital administrative costs. </w:t>
      </w:r>
      <w:r w:rsidRPr="002173EC">
        <w:rPr>
          <w:i/>
          <w:iCs/>
          <w:lang w:val="en-US" w:eastAsia="en-US"/>
        </w:rPr>
        <w:t>JAMA Health Forum, 7</w:t>
      </w:r>
      <w:r w:rsidRPr="002173EC">
        <w:rPr>
          <w:lang w:val="en-US" w:eastAsia="en-US"/>
        </w:rPr>
        <w:t xml:space="preserve">(8), Article e262503. </w:t>
      </w:r>
      <w:hyperlink r:id="rId50" w:history="1">
        <w:r w:rsidRPr="002173EC">
          <w:rPr>
            <w:color w:val="0000FF"/>
            <w:u w:val="single"/>
            <w:lang w:val="en-US" w:eastAsia="en-US"/>
          </w:rPr>
          <w:t>https://doi.org/10.1001/jamahealthforum.2026.2503</w:t>
        </w:r>
      </w:hyperlink>
    </w:p>
    <w:p w14:paraId="611416AF" w14:textId="77777777" w:rsidR="002173EC" w:rsidRDefault="002173EC" w:rsidP="002C34EA">
      <w:pPr>
        <w:keepNext/>
        <w:spacing w:before="320" w:after="180" w:line="360" w:lineRule="auto"/>
      </w:pPr>
    </w:p>
    <w:sectPr w:rsidR="002173EC">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3A4FA" w14:textId="77777777" w:rsidR="003D4009" w:rsidRDefault="003D4009" w:rsidP="00CE5491">
      <w:r>
        <w:separator/>
      </w:r>
    </w:p>
  </w:endnote>
  <w:endnote w:type="continuationSeparator" w:id="0">
    <w:p w14:paraId="3764238B" w14:textId="77777777" w:rsidR="003D4009" w:rsidRDefault="003D4009" w:rsidP="00CE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42B4" w14:textId="77777777" w:rsidR="00CE5491" w:rsidRDefault="00CE5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9E60" w14:textId="77777777" w:rsidR="00CE5491" w:rsidRDefault="00CE5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7E39" w14:textId="77777777" w:rsidR="00CE5491" w:rsidRDefault="00CE5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5A714" w14:textId="77777777" w:rsidR="003D4009" w:rsidRDefault="003D4009" w:rsidP="00CE5491">
      <w:r>
        <w:separator/>
      </w:r>
    </w:p>
  </w:footnote>
  <w:footnote w:type="continuationSeparator" w:id="0">
    <w:p w14:paraId="47F54077" w14:textId="77777777" w:rsidR="003D4009" w:rsidRDefault="003D4009" w:rsidP="00CE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25AB" w14:textId="77777777" w:rsidR="00CE5491" w:rsidRDefault="00000000">
    <w:pPr>
      <w:pStyle w:val="Header"/>
    </w:pPr>
    <w:r>
      <w:rPr>
        <w:noProof/>
      </w:rPr>
      <w:pict w14:anchorId="7F378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8690" w14:textId="77777777" w:rsidR="00CE5491" w:rsidRDefault="00000000">
    <w:pPr>
      <w:pStyle w:val="Header"/>
    </w:pPr>
    <w:r>
      <w:rPr>
        <w:noProof/>
      </w:rPr>
      <w:pict w14:anchorId="52D1A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5744" w14:textId="77777777" w:rsidR="00CE5491" w:rsidRDefault="00000000">
    <w:pPr>
      <w:pStyle w:val="Header"/>
    </w:pPr>
    <w:r>
      <w:rPr>
        <w:noProof/>
      </w:rPr>
      <w:pict w14:anchorId="0A095D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202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6z9GUIrcqsgFjv" int2:id="yV1TGj8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AE1B9"/>
    <w:multiLevelType w:val="hybridMultilevel"/>
    <w:tmpl w:val="FFFFFFFF"/>
    <w:lvl w:ilvl="0" w:tplc="71FEB8F6">
      <w:start w:val="1"/>
      <w:numFmt w:val="decimal"/>
      <w:lvlText w:val="%1."/>
      <w:lvlJc w:val="left"/>
      <w:pPr>
        <w:ind w:left="720" w:hanging="360"/>
      </w:pPr>
    </w:lvl>
    <w:lvl w:ilvl="1" w:tplc="37B6BCB0">
      <w:start w:val="1"/>
      <w:numFmt w:val="lowerLetter"/>
      <w:lvlText w:val="%2."/>
      <w:lvlJc w:val="left"/>
      <w:pPr>
        <w:ind w:left="1440" w:hanging="360"/>
      </w:pPr>
    </w:lvl>
    <w:lvl w:ilvl="2" w:tplc="46AC9E44">
      <w:start w:val="1"/>
      <w:numFmt w:val="lowerRoman"/>
      <w:lvlText w:val="%3."/>
      <w:lvlJc w:val="right"/>
      <w:pPr>
        <w:ind w:left="2160" w:hanging="180"/>
      </w:pPr>
    </w:lvl>
    <w:lvl w:ilvl="3" w:tplc="12349BB0">
      <w:start w:val="1"/>
      <w:numFmt w:val="decimal"/>
      <w:lvlText w:val="%4."/>
      <w:lvlJc w:val="left"/>
      <w:pPr>
        <w:ind w:left="2880" w:hanging="360"/>
      </w:pPr>
    </w:lvl>
    <w:lvl w:ilvl="4" w:tplc="2F845310">
      <w:start w:val="1"/>
      <w:numFmt w:val="lowerLetter"/>
      <w:lvlText w:val="%5."/>
      <w:lvlJc w:val="left"/>
      <w:pPr>
        <w:ind w:left="3600" w:hanging="360"/>
      </w:pPr>
    </w:lvl>
    <w:lvl w:ilvl="5" w:tplc="F9BA0324">
      <w:start w:val="1"/>
      <w:numFmt w:val="lowerRoman"/>
      <w:lvlText w:val="%6."/>
      <w:lvlJc w:val="right"/>
      <w:pPr>
        <w:ind w:left="4320" w:hanging="180"/>
      </w:pPr>
    </w:lvl>
    <w:lvl w:ilvl="6" w:tplc="DDE08F98">
      <w:start w:val="1"/>
      <w:numFmt w:val="decimal"/>
      <w:lvlText w:val="%7."/>
      <w:lvlJc w:val="left"/>
      <w:pPr>
        <w:ind w:left="5040" w:hanging="360"/>
      </w:pPr>
    </w:lvl>
    <w:lvl w:ilvl="7" w:tplc="51185D48">
      <w:start w:val="1"/>
      <w:numFmt w:val="lowerLetter"/>
      <w:lvlText w:val="%8."/>
      <w:lvlJc w:val="left"/>
      <w:pPr>
        <w:ind w:left="5760" w:hanging="360"/>
      </w:pPr>
    </w:lvl>
    <w:lvl w:ilvl="8" w:tplc="EC3EB0AE">
      <w:start w:val="1"/>
      <w:numFmt w:val="lowerRoman"/>
      <w:lvlText w:val="%9."/>
      <w:lvlJc w:val="right"/>
      <w:pPr>
        <w:ind w:left="6480" w:hanging="180"/>
      </w:pPr>
    </w:lvl>
  </w:abstractNum>
  <w:abstractNum w:abstractNumId="1" w15:restartNumberingAfterBreak="0">
    <w:nsid w:val="696B7B1C"/>
    <w:multiLevelType w:val="hybridMultilevel"/>
    <w:tmpl w:val="48542C78"/>
    <w:lvl w:ilvl="0" w:tplc="3B7EE002">
      <w:start w:val="1"/>
      <w:numFmt w:val="bullet"/>
      <w:lvlText w:val="●"/>
      <w:lvlJc w:val="left"/>
      <w:pPr>
        <w:ind w:left="720" w:hanging="360"/>
      </w:pPr>
    </w:lvl>
    <w:lvl w:ilvl="1" w:tplc="39222CF0">
      <w:start w:val="1"/>
      <w:numFmt w:val="bullet"/>
      <w:lvlText w:val="○"/>
      <w:lvlJc w:val="left"/>
      <w:pPr>
        <w:ind w:left="1440" w:hanging="360"/>
      </w:pPr>
    </w:lvl>
    <w:lvl w:ilvl="2" w:tplc="74CC5602">
      <w:start w:val="1"/>
      <w:numFmt w:val="bullet"/>
      <w:lvlText w:val="■"/>
      <w:lvlJc w:val="left"/>
      <w:pPr>
        <w:ind w:left="2160" w:hanging="360"/>
      </w:pPr>
    </w:lvl>
    <w:lvl w:ilvl="3" w:tplc="EFDC6A9A">
      <w:start w:val="1"/>
      <w:numFmt w:val="bullet"/>
      <w:lvlText w:val="●"/>
      <w:lvlJc w:val="left"/>
      <w:pPr>
        <w:ind w:left="2880" w:hanging="360"/>
      </w:pPr>
    </w:lvl>
    <w:lvl w:ilvl="4" w:tplc="FBAEE6D8">
      <w:start w:val="1"/>
      <w:numFmt w:val="bullet"/>
      <w:lvlText w:val="○"/>
      <w:lvlJc w:val="left"/>
      <w:pPr>
        <w:ind w:left="3600" w:hanging="360"/>
      </w:pPr>
    </w:lvl>
    <w:lvl w:ilvl="5" w:tplc="81262332">
      <w:start w:val="1"/>
      <w:numFmt w:val="bullet"/>
      <w:lvlText w:val="■"/>
      <w:lvlJc w:val="left"/>
      <w:pPr>
        <w:ind w:left="4320" w:hanging="360"/>
      </w:pPr>
    </w:lvl>
    <w:lvl w:ilvl="6" w:tplc="98BCEB22">
      <w:start w:val="1"/>
      <w:numFmt w:val="bullet"/>
      <w:lvlText w:val="●"/>
      <w:lvlJc w:val="left"/>
      <w:pPr>
        <w:ind w:left="5040" w:hanging="360"/>
      </w:pPr>
    </w:lvl>
    <w:lvl w:ilvl="7" w:tplc="2A6A89E0">
      <w:start w:val="1"/>
      <w:numFmt w:val="bullet"/>
      <w:lvlText w:val="●"/>
      <w:lvlJc w:val="left"/>
      <w:pPr>
        <w:ind w:left="5760" w:hanging="360"/>
      </w:pPr>
    </w:lvl>
    <w:lvl w:ilvl="8" w:tplc="E31E96CA">
      <w:start w:val="1"/>
      <w:numFmt w:val="bullet"/>
      <w:lvlText w:val="●"/>
      <w:lvlJc w:val="left"/>
      <w:pPr>
        <w:ind w:left="6480" w:hanging="360"/>
      </w:pPr>
    </w:lvl>
  </w:abstractNum>
  <w:abstractNum w:abstractNumId="2" w15:restartNumberingAfterBreak="0">
    <w:nsid w:val="7C3D9FC4"/>
    <w:multiLevelType w:val="hybridMultilevel"/>
    <w:tmpl w:val="510CA526"/>
    <w:lvl w:ilvl="0" w:tplc="3858FB84">
      <w:start w:val="1"/>
      <w:numFmt w:val="decimal"/>
      <w:lvlText w:val="%1."/>
      <w:lvlJc w:val="left"/>
      <w:pPr>
        <w:ind w:left="720" w:hanging="360"/>
      </w:pPr>
    </w:lvl>
    <w:lvl w:ilvl="1" w:tplc="C450D12E">
      <w:start w:val="1"/>
      <w:numFmt w:val="lowerLetter"/>
      <w:lvlText w:val="%2."/>
      <w:lvlJc w:val="left"/>
      <w:pPr>
        <w:ind w:left="1440" w:hanging="360"/>
      </w:pPr>
    </w:lvl>
    <w:lvl w:ilvl="2" w:tplc="79925C7C">
      <w:start w:val="1"/>
      <w:numFmt w:val="lowerRoman"/>
      <w:lvlText w:val="%3."/>
      <w:lvlJc w:val="right"/>
      <w:pPr>
        <w:ind w:left="2160" w:hanging="180"/>
      </w:pPr>
    </w:lvl>
    <w:lvl w:ilvl="3" w:tplc="80FE2B52">
      <w:start w:val="1"/>
      <w:numFmt w:val="decimal"/>
      <w:lvlText w:val="%4."/>
      <w:lvlJc w:val="left"/>
      <w:pPr>
        <w:ind w:left="2880" w:hanging="360"/>
      </w:pPr>
    </w:lvl>
    <w:lvl w:ilvl="4" w:tplc="3A74DCAA">
      <w:start w:val="1"/>
      <w:numFmt w:val="lowerLetter"/>
      <w:lvlText w:val="%5."/>
      <w:lvlJc w:val="left"/>
      <w:pPr>
        <w:ind w:left="3600" w:hanging="360"/>
      </w:pPr>
    </w:lvl>
    <w:lvl w:ilvl="5" w:tplc="EBCC8666">
      <w:start w:val="1"/>
      <w:numFmt w:val="lowerRoman"/>
      <w:lvlText w:val="%6."/>
      <w:lvlJc w:val="right"/>
      <w:pPr>
        <w:ind w:left="4320" w:hanging="180"/>
      </w:pPr>
    </w:lvl>
    <w:lvl w:ilvl="6" w:tplc="63DA404E">
      <w:start w:val="1"/>
      <w:numFmt w:val="decimal"/>
      <w:lvlText w:val="%7."/>
      <w:lvlJc w:val="left"/>
      <w:pPr>
        <w:ind w:left="5040" w:hanging="360"/>
      </w:pPr>
    </w:lvl>
    <w:lvl w:ilvl="7" w:tplc="52ECAF44">
      <w:start w:val="1"/>
      <w:numFmt w:val="lowerLetter"/>
      <w:lvlText w:val="%8."/>
      <w:lvlJc w:val="left"/>
      <w:pPr>
        <w:ind w:left="5760" w:hanging="360"/>
      </w:pPr>
    </w:lvl>
    <w:lvl w:ilvl="8" w:tplc="308E23EC">
      <w:start w:val="1"/>
      <w:numFmt w:val="lowerRoman"/>
      <w:lvlText w:val="%9."/>
      <w:lvlJc w:val="right"/>
      <w:pPr>
        <w:ind w:left="6480" w:hanging="180"/>
      </w:pPr>
    </w:lvl>
  </w:abstractNum>
  <w:num w:numId="1" w16cid:durableId="848522136">
    <w:abstractNumId w:val="1"/>
    <w:lvlOverride w:ilvl="0">
      <w:startOverride w:val="1"/>
    </w:lvlOverride>
  </w:num>
  <w:num w:numId="2" w16cid:durableId="772365922">
    <w:abstractNumId w:val="0"/>
  </w:num>
  <w:num w:numId="3" w16cid:durableId="154223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isplayBackgroundShape/>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yN7IwMjawMDAwNzVX0lEKTi0uzszPAykwqwUAWsGeLywAAAA="/>
  </w:docVars>
  <w:rsids>
    <w:rsidRoot w:val="001640D1"/>
    <w:rsid w:val="00002A77"/>
    <w:rsid w:val="00012B00"/>
    <w:rsid w:val="0006610B"/>
    <w:rsid w:val="001640D1"/>
    <w:rsid w:val="00184A6C"/>
    <w:rsid w:val="001B748C"/>
    <w:rsid w:val="00214398"/>
    <w:rsid w:val="002173EC"/>
    <w:rsid w:val="00257199"/>
    <w:rsid w:val="00293E20"/>
    <w:rsid w:val="002C34EA"/>
    <w:rsid w:val="00337969"/>
    <w:rsid w:val="003A6182"/>
    <w:rsid w:val="003D4009"/>
    <w:rsid w:val="003E73AF"/>
    <w:rsid w:val="00414CA9"/>
    <w:rsid w:val="004208A7"/>
    <w:rsid w:val="00420BD4"/>
    <w:rsid w:val="00450C21"/>
    <w:rsid w:val="004728A1"/>
    <w:rsid w:val="004B3AA6"/>
    <w:rsid w:val="004D4467"/>
    <w:rsid w:val="004F470B"/>
    <w:rsid w:val="00530269"/>
    <w:rsid w:val="00533DC3"/>
    <w:rsid w:val="005358BC"/>
    <w:rsid w:val="005B08AD"/>
    <w:rsid w:val="005D35EF"/>
    <w:rsid w:val="005E5A7C"/>
    <w:rsid w:val="005F62F4"/>
    <w:rsid w:val="00626A07"/>
    <w:rsid w:val="00641D59"/>
    <w:rsid w:val="00687B60"/>
    <w:rsid w:val="006A6E8B"/>
    <w:rsid w:val="006B6437"/>
    <w:rsid w:val="0070424D"/>
    <w:rsid w:val="00704BD2"/>
    <w:rsid w:val="00730587"/>
    <w:rsid w:val="00780F45"/>
    <w:rsid w:val="007A5F75"/>
    <w:rsid w:val="007E321D"/>
    <w:rsid w:val="00812A17"/>
    <w:rsid w:val="00866A8D"/>
    <w:rsid w:val="00874072"/>
    <w:rsid w:val="008770B3"/>
    <w:rsid w:val="008A00D0"/>
    <w:rsid w:val="008A22DE"/>
    <w:rsid w:val="008C0203"/>
    <w:rsid w:val="008E178C"/>
    <w:rsid w:val="008E1874"/>
    <w:rsid w:val="009623CD"/>
    <w:rsid w:val="0097451C"/>
    <w:rsid w:val="009B2B53"/>
    <w:rsid w:val="009D27D3"/>
    <w:rsid w:val="00AF41F1"/>
    <w:rsid w:val="00B044AB"/>
    <w:rsid w:val="00B400A7"/>
    <w:rsid w:val="00B84F46"/>
    <w:rsid w:val="00BB676F"/>
    <w:rsid w:val="00BF142A"/>
    <w:rsid w:val="00C20944"/>
    <w:rsid w:val="00C45EA2"/>
    <w:rsid w:val="00C65F31"/>
    <w:rsid w:val="00C77FA3"/>
    <w:rsid w:val="00CE5491"/>
    <w:rsid w:val="00D05D4B"/>
    <w:rsid w:val="00D32E15"/>
    <w:rsid w:val="00D752B9"/>
    <w:rsid w:val="00D91230"/>
    <w:rsid w:val="00E169D4"/>
    <w:rsid w:val="00E62375"/>
    <w:rsid w:val="00E83C02"/>
    <w:rsid w:val="00EAF67F"/>
    <w:rsid w:val="00FB50AF"/>
    <w:rsid w:val="00FC0819"/>
    <w:rsid w:val="00FC2001"/>
    <w:rsid w:val="00FC4177"/>
    <w:rsid w:val="00FC6FC8"/>
    <w:rsid w:val="00FE3273"/>
    <w:rsid w:val="00FF15CB"/>
    <w:rsid w:val="00FF2109"/>
    <w:rsid w:val="043C35FE"/>
    <w:rsid w:val="04B6392D"/>
    <w:rsid w:val="07263A66"/>
    <w:rsid w:val="0A5EE30E"/>
    <w:rsid w:val="0AA1BABF"/>
    <w:rsid w:val="12B76563"/>
    <w:rsid w:val="1AB1483D"/>
    <w:rsid w:val="1B119738"/>
    <w:rsid w:val="1C5BB2ED"/>
    <w:rsid w:val="1F3A611E"/>
    <w:rsid w:val="1FD0455A"/>
    <w:rsid w:val="23CB46DB"/>
    <w:rsid w:val="23D213E1"/>
    <w:rsid w:val="25953D3D"/>
    <w:rsid w:val="28059884"/>
    <w:rsid w:val="30982E19"/>
    <w:rsid w:val="32794E51"/>
    <w:rsid w:val="331A5617"/>
    <w:rsid w:val="3330F4DF"/>
    <w:rsid w:val="34877E33"/>
    <w:rsid w:val="375D5C59"/>
    <w:rsid w:val="37A5BF18"/>
    <w:rsid w:val="37B719B0"/>
    <w:rsid w:val="392B8815"/>
    <w:rsid w:val="39773195"/>
    <w:rsid w:val="3B20F8A4"/>
    <w:rsid w:val="3B70016C"/>
    <w:rsid w:val="46DE7537"/>
    <w:rsid w:val="47AEDA24"/>
    <w:rsid w:val="4A783855"/>
    <w:rsid w:val="4C4C4662"/>
    <w:rsid w:val="4F3AC83B"/>
    <w:rsid w:val="4FC48558"/>
    <w:rsid w:val="560A66EF"/>
    <w:rsid w:val="57519B0A"/>
    <w:rsid w:val="57A38DF8"/>
    <w:rsid w:val="5E95C3CF"/>
    <w:rsid w:val="61F83836"/>
    <w:rsid w:val="6357AD38"/>
    <w:rsid w:val="689ACEA0"/>
    <w:rsid w:val="701DF90F"/>
    <w:rsid w:val="74D780A6"/>
    <w:rsid w:val="750D1F08"/>
    <w:rsid w:val="7543EFE4"/>
    <w:rsid w:val="756CC2DE"/>
    <w:rsid w:val="7877DA39"/>
    <w:rsid w:val="78EDD395"/>
    <w:rsid w:val="7D79FAED"/>
    <w:rsid w:val="7F45D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0A808"/>
  <w15:docId w15:val="{36598B6C-B81B-4E8D-B3BE-13DF28F90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FC6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14CA9"/>
    <w:rPr>
      <w:b/>
      <w:bCs/>
    </w:rPr>
  </w:style>
  <w:style w:type="character" w:customStyle="1" w:styleId="CommentSubjectChar">
    <w:name w:val="Comment Subject Char"/>
    <w:basedOn w:val="CommentTextChar"/>
    <w:link w:val="CommentSubject"/>
    <w:uiPriority w:val="99"/>
    <w:semiHidden/>
    <w:rsid w:val="00414CA9"/>
    <w:rPr>
      <w:b/>
      <w:bCs/>
      <w:sz w:val="20"/>
      <w:szCs w:val="20"/>
    </w:rPr>
  </w:style>
  <w:style w:type="paragraph" w:styleId="Header">
    <w:name w:val="header"/>
    <w:basedOn w:val="Normal"/>
    <w:link w:val="HeaderChar"/>
    <w:uiPriority w:val="99"/>
    <w:unhideWhenUsed/>
    <w:rsid w:val="00CE5491"/>
    <w:pPr>
      <w:tabs>
        <w:tab w:val="center" w:pos="4680"/>
        <w:tab w:val="right" w:pos="9360"/>
      </w:tabs>
    </w:pPr>
  </w:style>
  <w:style w:type="character" w:customStyle="1" w:styleId="HeaderChar">
    <w:name w:val="Header Char"/>
    <w:basedOn w:val="DefaultParagraphFont"/>
    <w:link w:val="Header"/>
    <w:uiPriority w:val="99"/>
    <w:rsid w:val="00CE5491"/>
  </w:style>
  <w:style w:type="paragraph" w:styleId="Footer">
    <w:name w:val="footer"/>
    <w:basedOn w:val="Normal"/>
    <w:link w:val="FooterChar"/>
    <w:uiPriority w:val="99"/>
    <w:unhideWhenUsed/>
    <w:rsid w:val="00CE5491"/>
    <w:pPr>
      <w:tabs>
        <w:tab w:val="center" w:pos="4680"/>
        <w:tab w:val="right" w:pos="9360"/>
      </w:tabs>
    </w:pPr>
  </w:style>
  <w:style w:type="character" w:customStyle="1" w:styleId="FooterChar">
    <w:name w:val="Footer Char"/>
    <w:basedOn w:val="DefaultParagraphFont"/>
    <w:link w:val="Footer"/>
    <w:uiPriority w:val="99"/>
    <w:rsid w:val="00CE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89/frai.2026.1823263" TargetMode="External"/><Relationship Id="rId18" Type="http://schemas.openxmlformats.org/officeDocument/2006/relationships/hyperlink" Target="https://doi.org/10.1111/1475-6773.70043" TargetMode="External"/><Relationship Id="rId26" Type="http://schemas.openxmlformats.org/officeDocument/2006/relationships/hyperlink" Target="https://doi.org/10.1162/rest_a_01254" TargetMode="External"/><Relationship Id="rId39" Type="http://schemas.openxmlformats.org/officeDocument/2006/relationships/hyperlink" Target="https://doi.org/10.56557/jet/2026/v11i110096" TargetMode="External"/><Relationship Id="rId21" Type="http://schemas.openxmlformats.org/officeDocument/2006/relationships/hyperlink" Target="https://www.ecfr.gov/current/title-42/chapter-IV/subchapter-B/part-413/section-413.75" TargetMode="External"/><Relationship Id="rId34" Type="http://schemas.openxmlformats.org/officeDocument/2006/relationships/hyperlink" Target="https://doi.org/10.1109/ICDM.2008.17" TargetMode="External"/><Relationship Id="rId42" Type="http://schemas.openxmlformats.org/officeDocument/2006/relationships/hyperlink" Target="https://doi.org/10.1145/2939672.2939778" TargetMode="External"/><Relationship Id="rId47" Type="http://schemas.openxmlformats.org/officeDocument/2006/relationships/hyperlink" Target="https://doi.org/10.1007/s10462-024-11077-7" TargetMode="External"/><Relationship Id="rId50" Type="http://schemas.openxmlformats.org/officeDocument/2006/relationships/hyperlink" Target="https://doi.org/10.1001/jamahealthforum.2026.2503" TargetMode="External"/><Relationship Id="rId55"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oi.org/10.1145/342009.335388" TargetMode="External"/><Relationship Id="rId29" Type="http://schemas.openxmlformats.org/officeDocument/2006/relationships/hyperlink" Target="https://doi.org/10.1186/s40537-019-0274-4" TargetMode="External"/><Relationship Id="rId11" Type="http://schemas.openxmlformats.org/officeDocument/2006/relationships/hyperlink" Target="https://doi.org/10.1109/ACCESS.2018.2870052" TargetMode="External"/><Relationship Id="rId24" Type="http://schemas.openxmlformats.org/officeDocument/2006/relationships/hyperlink" Target="https://doi.org/10.1016/j.jeconom.2020.05.021" TargetMode="External"/><Relationship Id="rId32" Type="http://schemas.openxmlformats.org/officeDocument/2006/relationships/hyperlink" Target="https://doi.org/10.1145/3343440" TargetMode="External"/><Relationship Id="rId37" Type="http://schemas.openxmlformats.org/officeDocument/2006/relationships/hyperlink" Target="https://proceedings.neurips.cc/paper_files/paper/2017/hash/8a20a8621978632d76c43dfd28b67767-Abstract.html" TargetMode="External"/><Relationship Id="rId40" Type="http://schemas.openxmlformats.org/officeDocument/2006/relationships/hyperlink" Target="https://doi.org/10.1145/3439950" TargetMode="External"/><Relationship Id="rId45" Type="http://schemas.openxmlformats.org/officeDocument/2006/relationships/hyperlink" Target="https://doi.org/10.1111/1475-6773.13914"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hyperlink" Target="https://www.ecfr.gov/current/title-42/chapter-IV/subchapter-B/part-413/section-413.5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145/3351095.3375624" TargetMode="External"/><Relationship Id="rId22" Type="http://schemas.openxmlformats.org/officeDocument/2006/relationships/hyperlink" Target="https://doi.org/10.1016/S0165-4101(96)00447-8" TargetMode="External"/><Relationship Id="rId27" Type="http://schemas.openxmlformats.org/officeDocument/2006/relationships/hyperlink" Target="https://doi.org/10.1016/j.ijinfomgt.2018.08.006" TargetMode="External"/><Relationship Id="rId30" Type="http://schemas.openxmlformats.org/officeDocument/2006/relationships/hyperlink" Target="https://doi.org/10.1186/s40537-018-0138-3" TargetMode="External"/><Relationship Id="rId35" Type="http://schemas.openxmlformats.org/officeDocument/2006/relationships/hyperlink" Target="https://doi.org/10.1016/j.health.2023.100274" TargetMode="External"/><Relationship Id="rId43" Type="http://schemas.openxmlformats.org/officeDocument/2006/relationships/hyperlink" Target="https://doi.org/10.1002/widm.1236" TargetMode="External"/><Relationship Id="rId48" Type="http://schemas.openxmlformats.org/officeDocument/2006/relationships/hyperlink" Target="https://doi.org/10.1016/j.accinf.2022.100572" TargetMode="External"/><Relationship Id="rId56" Type="http://schemas.openxmlformats.org/officeDocument/2006/relationships/footer" Target="footer3.xm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ecfr.gov/current/title-42/chapter-IV/subchapter-B/part-413/section-413.24" TargetMode="External"/><Relationship Id="rId17" Type="http://schemas.openxmlformats.org/officeDocument/2006/relationships/hyperlink" Target="https://doi.org/10.3389/frai.2022.827584" TargetMode="External"/><Relationship Id="rId25" Type="http://schemas.openxmlformats.org/officeDocument/2006/relationships/hyperlink" Target="https://doi.org/10.1109/ACCESS.2022.3149480" TargetMode="External"/><Relationship Id="rId33" Type="http://schemas.openxmlformats.org/officeDocument/2006/relationships/hyperlink" Target="https://doi.org/10.2308/isys-52149" TargetMode="External"/><Relationship Id="rId38" Type="http://schemas.openxmlformats.org/officeDocument/2006/relationships/hyperlink" Target="https://doi.org/10.1111/1475-6773.70157" TargetMode="External"/><Relationship Id="rId46" Type="http://schemas.openxmlformats.org/officeDocument/2006/relationships/hyperlink" Target="https://doi.org/10.1007/s11301-023-00320-0" TargetMode="External"/><Relationship Id="rId59" Type="http://schemas.microsoft.com/office/2020/10/relationships/intelligence" Target="intelligence2.xml"/><Relationship Id="rId20" Type="http://schemas.openxmlformats.org/officeDocument/2006/relationships/hyperlink" Target="https://doi.org/10.2308/JOGNA-2020-010" TargetMode="External"/><Relationship Id="rId41" Type="http://schemas.openxmlformats.org/officeDocument/2006/relationships/hyperlink" Target="https://doi.org/10.1038/s41598-026-57913-4"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oi.org/10.1001/jamahealthforum.2022.5444" TargetMode="External"/><Relationship Id="rId23" Type="http://schemas.openxmlformats.org/officeDocument/2006/relationships/hyperlink" Target="https://doi.org/10.9734/ajrcos/2026/v19i1819" TargetMode="External"/><Relationship Id="rId28" Type="http://schemas.openxmlformats.org/officeDocument/2006/relationships/hyperlink" Target="https://doi.org/10.1186/s40537-023-00821-5" TargetMode="External"/><Relationship Id="rId36" Type="http://schemas.openxmlformats.org/officeDocument/2006/relationships/hyperlink" Target="https://doi.org/10.1038/s42256-019-0138-9" TargetMode="External"/><Relationship Id="rId49" Type="http://schemas.openxmlformats.org/officeDocument/2006/relationships/hyperlink" Target="https://doi.org/10.1016/j.ipm.2022.102988" TargetMode="External"/><Relationship Id="rId57" Type="http://schemas.openxmlformats.org/officeDocument/2006/relationships/fontTable" Target="fontTable.xml"/><Relationship Id="rId10" Type="http://schemas.openxmlformats.org/officeDocument/2006/relationships/hyperlink" Target="https://doi.org/10.1177/21582440251403296" TargetMode="External"/><Relationship Id="rId31" Type="http://schemas.openxmlformats.org/officeDocument/2006/relationships/hyperlink" Target="https://doi.org/10.1186/s40537-019-0225-0" TargetMode="External"/><Relationship Id="rId44" Type="http://schemas.openxmlformats.org/officeDocument/2006/relationships/hyperlink" Target="https://doi.org/10.1002/pam.70078"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1423D4-E84A-4C4E-B63E-4A3792DF8000}">
  <ds:schemaRefs>
    <ds:schemaRef ds:uri="http://schemas.microsoft.com/sharepoint/v3/contenttype/forms"/>
  </ds:schemaRefs>
</ds:datastoreItem>
</file>

<file path=customXml/itemProps2.xml><?xml version="1.0" encoding="utf-8"?>
<ds:datastoreItem xmlns:ds="http://schemas.openxmlformats.org/officeDocument/2006/customXml" ds:itemID="{07A0B23F-7E39-487B-92ED-EEA461A5FAE1}">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customXml/itemProps3.xml><?xml version="1.0" encoding="utf-8"?>
<ds:datastoreItem xmlns:ds="http://schemas.openxmlformats.org/officeDocument/2006/customXml" ds:itemID="{A6534A2B-0346-473C-A81F-F084B0B2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26</Pages>
  <Words>8318</Words>
  <Characters>47413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2026_AJOCR_15893 - Grammar and APA Edit</dc:title>
  <dc:creator>Bernard Kwakye Antwi</dc:creator>
  <cp:lastModifiedBy>SDI 1087</cp:lastModifiedBy>
  <cp:revision>19</cp:revision>
  <dcterms:created xsi:type="dcterms:W3CDTF">2026-09-25T16:10:00Z</dcterms:created>
  <dcterms:modified xsi:type="dcterms:W3CDTF">2026-10-24T04:33:00Z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cd6cae0f-3256-434e-8496-36beba6ae79d</vt:lpwstr>
  </property>
  <property fmtid="{D5CDD505-2E9C-101B-9397-08002B2CF9AE}" pid="3" name="ContentTypeId">
    <vt:lpwstr>0x0101002E1B828461B2204884F2232A4DF5403E</vt:lpwstr>
  </property>
  <property fmtid="{D5CDD505-2E9C-101B-9397-08002B2CF9AE}" pid="4" name="MediaServiceImageTags">
    <vt:lpwstr/>
  </property>
</Properties>
</file>