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AB934">
      <w:pPr>
        <w:spacing w:after="0" w:line="360" w:lineRule="auto"/>
        <w:jc w:val="center"/>
        <w:rPr>
          <w:b/>
          <w:bCs/>
        </w:rPr>
      </w:pPr>
      <w:r>
        <w:rPr>
          <w:b/>
          <w:bCs/>
        </w:rPr>
        <w:t>Leaf Morphological Diversity and Phenotypic Characterization of Jackfruit (</w:t>
      </w:r>
      <w:r>
        <w:rPr>
          <w:b/>
          <w:bCs/>
          <w:i/>
          <w:iCs/>
        </w:rPr>
        <w:t>Artocarpus heterophyllus</w:t>
      </w:r>
      <w:r>
        <w:rPr>
          <w:b/>
          <w:bCs/>
        </w:rPr>
        <w:t xml:space="preserve"> Lam.) Genotypes in the Rayalaseema Region of Andhra Pradesh, India</w:t>
      </w:r>
    </w:p>
    <w:p w14:paraId="67AFE9FD">
      <w:pPr>
        <w:spacing w:after="0" w:line="360" w:lineRule="auto"/>
        <w:jc w:val="center"/>
        <w:rPr>
          <w:b/>
          <w:bCs/>
        </w:rPr>
      </w:pPr>
    </w:p>
    <w:p w14:paraId="011A452A">
      <w:pPr>
        <w:pStyle w:val="14"/>
        <w:spacing w:before="0" w:after="0" w:line="360" w:lineRule="auto"/>
        <w:jc w:val="center"/>
        <w:rPr>
          <w:rStyle w:val="15"/>
        </w:rPr>
      </w:pPr>
    </w:p>
    <w:p w14:paraId="67DC0025">
      <w:pPr>
        <w:spacing w:after="0" w:line="360" w:lineRule="auto"/>
        <w:jc w:val="both"/>
      </w:pPr>
      <w:r>
        <w:rPr>
          <w:rFonts w:eastAsia="Times New Roman"/>
          <w:b/>
          <w:bCs/>
          <w:kern w:val="0"/>
          <w:lang w:eastAsia="en-IN"/>
        </w:rPr>
        <w:t>Abstract</w:t>
      </w:r>
    </w:p>
    <w:p w14:paraId="7DFE8BDE">
      <w:pPr>
        <w:spacing w:after="0" w:line="360" w:lineRule="auto"/>
        <w:jc w:val="both"/>
        <w:rPr>
          <w:rFonts w:eastAsia="Times New Roman"/>
          <w:kern w:val="0"/>
          <w:lang w:eastAsia="en-IN"/>
        </w:rPr>
      </w:pPr>
      <w:r>
        <w:rPr>
          <w:rFonts w:eastAsia="Times New Roman"/>
          <w:kern w:val="0"/>
          <w:lang w:eastAsia="en-IN"/>
        </w:rPr>
        <w:t>The study conducted characterized leaf morphological diversity among 26 Jackfruit (</w:t>
      </w:r>
      <w:r>
        <w:rPr>
          <w:rFonts w:eastAsia="Times New Roman"/>
          <w:i/>
          <w:iCs/>
          <w:kern w:val="0"/>
          <w:lang w:eastAsia="en-IN"/>
        </w:rPr>
        <w:t>Artocarpus heterophyllus</w:t>
      </w:r>
      <w:r>
        <w:rPr>
          <w:rFonts w:eastAsia="Times New Roman"/>
          <w:kern w:val="0"/>
          <w:lang w:eastAsia="en-IN"/>
        </w:rPr>
        <w:t xml:space="preserve"> Lam.) genotypes maintained at the College of Horticulture, Anantharajupeta, Andhra Pradesh, India. Quantitative and qualitative leaf traits were evaluated under a randomized block design with three replications. Leaf blade length ranged from 8.92 to 19.98 cm, with the maximum in JAP-1, while leaf blade width ranged from 5.54 to 10.78 cm, with the maximum in Yellow round. Petiole length varied from 1.37 to 3.07 cm, with Eddi pasand recording the highest value. SPAD readings ranged from 47.62 to 99.11, with the highest value in ARPJ-7. Elliptic leaf blades, acuminate apices and entire margins were the predominant qualitative characteristics. Pearson’s correlation analysis revealed a positive association between leaf blade length and width (</w:t>
      </w:r>
      <w:r>
        <w:rPr>
          <w:rFonts w:eastAsia="Times New Roman"/>
          <w:i/>
          <w:iCs/>
          <w:kern w:val="0"/>
          <w:lang w:eastAsia="en-IN"/>
        </w:rPr>
        <w:t>r</w:t>
      </w:r>
      <w:r>
        <w:rPr>
          <w:rFonts w:eastAsia="Times New Roman"/>
          <w:kern w:val="0"/>
          <w:lang w:eastAsia="en-IN"/>
        </w:rPr>
        <w:t xml:space="preserve"> = 0.60). The first two principal components explained 71.3% of the total variation, while hierarchical cluster analysis revealed similarities among genotypes based on the measured traits. These findings provide baseline information for characterizing leaf diversity and identifying contrasting genotypes for further evaluation and jackfruit germplasm conservation in the Rayalaseema region of Andhra Pradesh, India.</w:t>
      </w:r>
    </w:p>
    <w:p w14:paraId="2948B5B1">
      <w:pPr>
        <w:spacing w:after="0" w:line="360" w:lineRule="auto"/>
        <w:jc w:val="both"/>
        <w:rPr>
          <w:rFonts w:eastAsia="Times New Roman"/>
          <w:kern w:val="0"/>
          <w:lang w:eastAsia="en-IN"/>
        </w:rPr>
      </w:pPr>
      <w:r>
        <w:rPr>
          <w:b/>
          <w:bCs/>
        </w:rPr>
        <w:t>Keywords:</w:t>
      </w:r>
      <w:r>
        <w:t xml:space="preserve"> Jackfruit; leaf morphology; phenotypic variation; SPAD readings; correlation analysis; principal component analysis; hierarchical clustering</w:t>
      </w:r>
    </w:p>
    <w:p w14:paraId="656F0C75">
      <w:pPr>
        <w:spacing w:after="0" w:line="360" w:lineRule="auto"/>
        <w:jc w:val="both"/>
        <w:rPr>
          <w:rFonts w:eastAsia="Times New Roman"/>
          <w:b/>
          <w:bCs/>
          <w:kern w:val="0"/>
          <w:szCs w:val="28"/>
          <w:lang w:eastAsia="en-IN"/>
        </w:rPr>
      </w:pPr>
    </w:p>
    <w:p w14:paraId="703DD771">
      <w:pPr>
        <w:keepNext/>
        <w:keepLines/>
        <w:spacing w:after="0" w:line="360" w:lineRule="auto"/>
        <w:jc w:val="both"/>
        <w:rPr>
          <w:b/>
          <w:bCs/>
          <w:sz w:val="28"/>
          <w:szCs w:val="28"/>
        </w:rPr>
      </w:pPr>
      <w:r>
        <w:rPr>
          <w:b/>
          <w:bCs/>
          <w:szCs w:val="28"/>
        </w:rPr>
        <w:t xml:space="preserve">1. </w:t>
      </w:r>
      <w:commentRangeStart w:id="0"/>
      <w:r>
        <w:rPr>
          <w:b/>
          <w:bCs/>
          <w:szCs w:val="28"/>
        </w:rPr>
        <w:t>INTRODUCTION</w:t>
      </w:r>
      <w:commentRangeEnd w:id="0"/>
      <w:r>
        <w:commentReference w:id="0"/>
      </w:r>
    </w:p>
    <w:p w14:paraId="0F7EFC52">
      <w:pPr>
        <w:spacing w:after="0" w:line="360" w:lineRule="auto"/>
        <w:ind w:firstLine="720"/>
        <w:jc w:val="both"/>
      </w:pPr>
      <w:r>
        <w:t>Jackfruit (</w:t>
      </w:r>
      <w:r>
        <w:rPr>
          <w:i/>
          <w:iCs/>
        </w:rPr>
        <w:t>Artocarpus heterophyllus</w:t>
      </w:r>
      <w:r>
        <w:t xml:space="preserve"> Lam.), belonging to the family Moraceae, is an important tropical fruit crop valued f</w:t>
      </w:r>
      <w:bookmarkStart w:id="4" w:name="_GoBack"/>
      <w:bookmarkEnd w:id="4"/>
      <w:r>
        <w:t xml:space="preserve">or its nutritional, economic and ecological significance </w:t>
      </w:r>
      <w:commentRangeStart w:id="1"/>
      <w:r>
        <w:t>ref.</w:t>
      </w:r>
      <w:commentRangeEnd w:id="1"/>
      <w:r>
        <w:commentReference w:id="1"/>
      </w:r>
      <w:r>
        <w:t xml:space="preserve"> Considerable variation exists in jackfruit genotypes due to cross pollination and environmental factors, hence characterization jack fruit genotypes in nursery stage is much essential for documenting germplasm diversity, identifying varieties and supporting future crop improvement programmes.</w:t>
      </w:r>
    </w:p>
    <w:p w14:paraId="15A2896B">
      <w:pPr>
        <w:spacing w:after="0" w:line="360" w:lineRule="auto"/>
        <w:ind w:firstLine="720"/>
        <w:jc w:val="both"/>
      </w:pPr>
      <w:r>
        <w:t xml:space="preserve">Leaf characteristics are useful morphological descriptors for differentiating genotypes in early crop growth stages may useful for conservation and crop improvement </w:t>
      </w:r>
      <w:commentRangeStart w:id="2"/>
      <w:r>
        <w:t>(Ref)</w:t>
      </w:r>
      <w:commentRangeEnd w:id="2"/>
      <w:r>
        <w:commentReference w:id="2"/>
      </w:r>
      <w:r>
        <w:t xml:space="preserve">. </w:t>
      </w:r>
    </w:p>
    <w:p w14:paraId="177E871E">
      <w:pPr>
        <w:spacing w:after="0" w:line="360" w:lineRule="auto"/>
        <w:ind w:firstLine="720"/>
        <w:jc w:val="both"/>
      </w:pPr>
      <w:r>
        <w:t xml:space="preserve">The leaf quantitative traits such as leaf blade length, width and petiole length provide measurable information on leaf dimensions, whereas leaf qualitative traits viz, leaf blade shape, apex, base, margin, colour and petiole shape contribute to genotype identification and morphological classification REF. Evaluating these traits through standardized descriptors to be used for documenting jackfruit diversity (International Plant Genetic Resources Institute, 2000; Nakintu </w:t>
      </w:r>
      <w:r>
        <w:rPr>
          <w:i/>
          <w:iCs/>
        </w:rPr>
        <w:t>et al</w:t>
      </w:r>
      <w:r>
        <w:t>., 2023) and it may provide a systematic data for documenting leaf traits  among the jackfruit genotypes.</w:t>
      </w:r>
    </w:p>
    <w:p w14:paraId="6C125B0B">
      <w:pPr>
        <w:spacing w:after="0" w:line="360" w:lineRule="auto"/>
        <w:ind w:firstLine="720"/>
        <w:jc w:val="both"/>
      </w:pPr>
      <w:r>
        <w:t>In addition to morphological characteristics, leaf chlorophyll status provides complementary information on plant physiological attributes to compare leaf greenness among genotypes, although they may be influenced by leaf structure, developmental stage and measurement conditions ref. Non-destructive chlorophyll meters have been evaluated for estimating foliar chlorophyll status (</w:t>
      </w:r>
      <w:commentRangeStart w:id="3"/>
      <w:r>
        <w:t xml:space="preserve">Markwell </w:t>
      </w:r>
      <w:r>
        <w:rPr>
          <w:i/>
          <w:iCs/>
        </w:rPr>
        <w:t>et al.,</w:t>
      </w:r>
      <w:r>
        <w:t xml:space="preserve"> 1995; Richardson </w:t>
      </w:r>
      <w:r>
        <w:rPr>
          <w:i/>
          <w:iCs/>
        </w:rPr>
        <w:t>et al.,</w:t>
      </w:r>
      <w:r>
        <w:t xml:space="preserve"> 2002</w:t>
      </w:r>
      <w:commentRangeEnd w:id="3"/>
      <w:r>
        <w:commentReference w:id="3"/>
      </w:r>
      <w:r>
        <w:t>).</w:t>
      </w:r>
    </w:p>
    <w:p w14:paraId="173BAA56">
      <w:pPr>
        <w:spacing w:after="0" w:line="360" w:lineRule="auto"/>
        <w:ind w:firstLine="720"/>
        <w:jc w:val="both"/>
      </w:pPr>
      <w:r>
        <w:t xml:space="preserve">Jack fruit shows wide diversity and leaf characters due to genetic and environmental factors </w:t>
      </w:r>
      <w:commentRangeStart w:id="4"/>
      <w:r>
        <w:t>ref.</w:t>
      </w:r>
      <w:commentRangeEnd w:id="4"/>
      <w:r>
        <w:commentReference w:id="4"/>
      </w:r>
      <w:r>
        <w:t xml:space="preserve"> Hence, systematic characterization of leaf traits among jackfruit genotypes under specific agro-climatic conditions can generate region-specific information for germplasm selection, conservation and further crop improvement. However, the Rayalaseema region of Andhra Pradesh called as hub of horticulture, still no research work has done on jack fruit genotype evaluation based on leaf traits. </w:t>
      </w:r>
    </w:p>
    <w:p w14:paraId="67026A19">
      <w:pPr>
        <w:spacing w:after="0" w:line="360" w:lineRule="auto"/>
        <w:ind w:firstLine="720"/>
        <w:jc w:val="both"/>
      </w:pPr>
      <w:r>
        <w:t xml:space="preserve">In this context, the present study was undertaken to characterize quantitative and qualitative leaf traits and assess the SPAD chlorophyll index among 26 jackfruit </w:t>
      </w:r>
      <w:commentRangeStart w:id="5"/>
      <w:r>
        <w:t>(</w:t>
      </w:r>
      <w:r>
        <w:rPr>
          <w:i/>
          <w:iCs/>
        </w:rPr>
        <w:t>Artocarpus heterophyllus</w:t>
      </w:r>
      <w:r>
        <w:t xml:space="preserve"> Lam.)</w:t>
      </w:r>
      <w:commentRangeEnd w:id="5"/>
      <w:r>
        <w:commentReference w:id="5"/>
      </w:r>
      <w:r>
        <w:t xml:space="preserve"> genotypes under the Rayalaseema region of Andhra Pradesh, India, with the objective of documenting phenotypic variation and identifying unique leaf characteristics for germplasm characterization and further crop selection and crop improvement.</w:t>
      </w:r>
    </w:p>
    <w:p w14:paraId="62AD3E83">
      <w:pPr>
        <w:keepNext/>
        <w:keepLines/>
        <w:spacing w:after="0" w:line="360" w:lineRule="auto"/>
        <w:jc w:val="both"/>
        <w:rPr>
          <w:b/>
          <w:bCs/>
          <w:sz w:val="28"/>
          <w:szCs w:val="28"/>
        </w:rPr>
      </w:pPr>
      <w:r>
        <w:rPr>
          <w:b/>
          <w:bCs/>
          <w:szCs w:val="28"/>
        </w:rPr>
        <w:t>2. MATERIAL AND METHODS</w:t>
      </w:r>
    </w:p>
    <w:p w14:paraId="2B4403FA">
      <w:pPr>
        <w:spacing w:after="0" w:line="360" w:lineRule="auto"/>
        <w:jc w:val="both"/>
      </w:pPr>
      <w:r>
        <w:t xml:space="preserve">The field investigation was conducted in the jackfruit germplasm block, Department of Fruit Science, College of Horticulture, Dr. YSR Horticultural University, Anantharajupeta, Andhra Pradesh, India. The experimental site is situated at an altitude of approximately 162 m above mean sea level, at the reported coordinates of 13°95′ N latitude and 79°40′ E longitude, within the southern agro-climatic zone of Andhra Pradesh. </w:t>
      </w:r>
    </w:p>
    <w:p w14:paraId="6B59663C">
      <w:pPr>
        <w:spacing w:after="0" w:line="360" w:lineRule="auto"/>
        <w:jc w:val="both"/>
      </w:pPr>
      <w:r>
        <w:t>Twenty-six Jackfruit genotypes were selected for systematic evaluation of leaf morphological characteristics with randomized block design (RBD). The leaf morphological observations were recorded using quantitative and qualitative descriptors published by the International Plant Genetic Resources Institute (IPGRI, 2000) and the Protection of Plant Varieties and Farmers Rights Authority (PPV&amp;FRA, 2001) DUS guidelines for jackfruit. SPAD readings were recorded to estimate chlorophyll content and compare the readings among the evaluated jackfruit genotypes.</w:t>
      </w:r>
    </w:p>
    <w:p w14:paraId="5FB3F286">
      <w:pPr>
        <w:spacing w:after="0" w:line="360" w:lineRule="auto"/>
        <w:jc w:val="both"/>
      </w:pPr>
      <w:r>
        <w:rPr>
          <w:b/>
          <w:bCs/>
        </w:rPr>
        <w:tab/>
      </w:r>
      <w:r>
        <w:t>The quantitative data were analysed using analysis of variance (ANOVA) under a randomized block design (RBD) and the genotype means, standard error of the mean (S. eM), critical difference (C.D.) at the 5% probability level and coefficient of variation (C.V.) were calculated to assess variation among the genotypes. Pearson correlation analysis and principal component analysis (PCA) was done to standardize trait values REF. The hierarchical cluster analysis was performed using Euclidean distance and Ward's method. REF</w:t>
      </w:r>
    </w:p>
    <w:p w14:paraId="156BD9B8">
      <w:pPr>
        <w:spacing w:after="0" w:line="360" w:lineRule="auto"/>
        <w:jc w:val="both"/>
        <w:rPr>
          <w:b/>
          <w:bCs/>
          <w:szCs w:val="28"/>
        </w:rPr>
      </w:pPr>
    </w:p>
    <w:p w14:paraId="658C35EB">
      <w:pPr>
        <w:spacing w:after="0" w:line="360" w:lineRule="auto"/>
        <w:jc w:val="both"/>
        <w:rPr>
          <w:b/>
          <w:bCs/>
          <w:szCs w:val="28"/>
        </w:rPr>
      </w:pPr>
    </w:p>
    <w:p w14:paraId="4EFD5C8D">
      <w:pPr>
        <w:keepNext/>
        <w:keepLines/>
        <w:spacing w:after="0" w:line="360" w:lineRule="auto"/>
        <w:jc w:val="both"/>
        <w:rPr>
          <w:b/>
          <w:bCs/>
          <w:szCs w:val="28"/>
        </w:rPr>
      </w:pPr>
      <w:r>
        <w:rPr>
          <w:b/>
          <w:bCs/>
          <w:szCs w:val="28"/>
        </w:rPr>
        <w:t>3. RESULTS AND DISCUSSION</w:t>
      </w:r>
    </w:p>
    <w:p w14:paraId="68D46171">
      <w:pPr>
        <w:spacing w:after="0" w:line="360" w:lineRule="auto"/>
        <w:ind w:firstLine="720"/>
        <w:jc w:val="both"/>
      </w:pPr>
      <w:r>
        <w:t xml:space="preserve">The results of present study showed significant variation in leaf qualitative characteristics such as leaf blade shape, apex shape, base shape, margin and leaf colour (Table 1). Among the 26 genotypes, elliptic shape was the most frequently observed leaf blade shape, while oblong, obovate, narrowly elliptic and broadly elliptic forms were also observed. The leaf apex was predominantly acuminate, although acute and retuse forms were recorded in some genotypes. Leaf base shape varied among oblique, rounded, shortly attenuate and cuneate types. </w:t>
      </w:r>
    </w:p>
    <w:p w14:paraId="36AB0C2F">
      <w:pPr>
        <w:keepNext/>
        <w:keepLines/>
        <w:spacing w:after="0" w:line="360" w:lineRule="auto"/>
        <w:jc w:val="both"/>
      </w:pPr>
      <w:r>
        <w:rPr>
          <w:b/>
          <w:bCs/>
        </w:rPr>
        <w:t>3.1. Qualitative Leaf Characteristics</w:t>
      </w:r>
    </w:p>
    <w:p w14:paraId="5AFF42A3">
      <w:pPr>
        <w:spacing w:after="0" w:line="360" w:lineRule="auto"/>
        <w:jc w:val="both"/>
        <w:rPr>
          <w:b/>
          <w:bCs/>
        </w:rPr>
      </w:pPr>
      <w:r>
        <w:rPr>
          <w:b/>
          <w:bCs/>
        </w:rPr>
        <w:t>Table 1. Qualitative leaf morphological characteristics of 26 jackfruit genotypes</w:t>
      </w:r>
    </w:p>
    <w:tbl>
      <w:tblPr>
        <w:tblStyle w:val="6"/>
        <w:tblW w:w="9242" w:type="dxa"/>
        <w:jc w:val="center"/>
        <w:tblLayout w:type="fixed"/>
        <w:tblCellMar>
          <w:top w:w="0" w:type="dxa"/>
          <w:left w:w="108" w:type="dxa"/>
          <w:bottom w:w="0" w:type="dxa"/>
          <w:right w:w="108" w:type="dxa"/>
        </w:tblCellMar>
      </w:tblPr>
      <w:tblGrid>
        <w:gridCol w:w="1785"/>
        <w:gridCol w:w="1606"/>
        <w:gridCol w:w="1094"/>
        <w:gridCol w:w="1600"/>
        <w:gridCol w:w="950"/>
        <w:gridCol w:w="1246"/>
        <w:gridCol w:w="961"/>
      </w:tblGrid>
      <w:tr w14:paraId="1F0AACF1">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0DAC3FB5">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Genotype</w:t>
            </w:r>
          </w:p>
        </w:tc>
        <w:tc>
          <w:tcPr>
            <w:tcW w:w="1606" w:type="dxa"/>
            <w:tcBorders>
              <w:top w:val="single" w:color="000000" w:sz="4" w:space="0"/>
              <w:left w:val="single" w:color="000000" w:sz="4" w:space="0"/>
              <w:bottom w:val="single" w:color="000000" w:sz="4" w:space="0"/>
              <w:right w:val="single" w:color="000000" w:sz="4" w:space="0"/>
            </w:tcBorders>
          </w:tcPr>
          <w:p w14:paraId="2414CA16">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Leaf blade shape</w:t>
            </w:r>
          </w:p>
        </w:tc>
        <w:tc>
          <w:tcPr>
            <w:tcW w:w="1094" w:type="dxa"/>
            <w:tcBorders>
              <w:top w:val="single" w:color="000000" w:sz="4" w:space="0"/>
              <w:left w:val="single" w:color="000000" w:sz="4" w:space="0"/>
              <w:bottom w:val="single" w:color="000000" w:sz="4" w:space="0"/>
              <w:right w:val="single" w:color="000000" w:sz="4" w:space="0"/>
            </w:tcBorders>
          </w:tcPr>
          <w:p w14:paraId="4C9984D5">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Leaf apex</w:t>
            </w:r>
          </w:p>
        </w:tc>
        <w:tc>
          <w:tcPr>
            <w:tcW w:w="1600" w:type="dxa"/>
            <w:tcBorders>
              <w:top w:val="single" w:color="000000" w:sz="4" w:space="0"/>
              <w:left w:val="single" w:color="000000" w:sz="4" w:space="0"/>
              <w:bottom w:val="single" w:color="000000" w:sz="4" w:space="0"/>
              <w:right w:val="single" w:color="000000" w:sz="4" w:space="0"/>
            </w:tcBorders>
          </w:tcPr>
          <w:p w14:paraId="3889CD39">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Leaf base</w:t>
            </w:r>
          </w:p>
        </w:tc>
        <w:tc>
          <w:tcPr>
            <w:tcW w:w="950" w:type="dxa"/>
            <w:tcBorders>
              <w:top w:val="single" w:color="000000" w:sz="4" w:space="0"/>
              <w:left w:val="single" w:color="000000" w:sz="4" w:space="0"/>
              <w:bottom w:val="single" w:color="000000" w:sz="4" w:space="0"/>
              <w:right w:val="single" w:color="000000" w:sz="4" w:space="0"/>
            </w:tcBorders>
          </w:tcPr>
          <w:p w14:paraId="1992E87D">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Leaf margin</w:t>
            </w:r>
          </w:p>
        </w:tc>
        <w:tc>
          <w:tcPr>
            <w:tcW w:w="1246" w:type="dxa"/>
            <w:tcBorders>
              <w:top w:val="single" w:color="000000" w:sz="4" w:space="0"/>
              <w:left w:val="single" w:color="000000" w:sz="4" w:space="0"/>
              <w:bottom w:val="single" w:color="000000" w:sz="4" w:space="0"/>
              <w:right w:val="single" w:color="000000" w:sz="4" w:space="0"/>
            </w:tcBorders>
          </w:tcPr>
          <w:p w14:paraId="33EDC2A7">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Leaf colour</w:t>
            </w:r>
          </w:p>
        </w:tc>
        <w:tc>
          <w:tcPr>
            <w:tcW w:w="961" w:type="dxa"/>
            <w:tcBorders>
              <w:top w:val="single" w:color="000000" w:sz="4" w:space="0"/>
              <w:left w:val="single" w:color="000000" w:sz="4" w:space="0"/>
              <w:bottom w:val="single" w:color="000000" w:sz="4" w:space="0"/>
              <w:right w:val="single" w:color="000000" w:sz="4" w:space="0"/>
            </w:tcBorders>
          </w:tcPr>
          <w:p w14:paraId="43513FD5">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Petiole shape</w:t>
            </w:r>
          </w:p>
        </w:tc>
      </w:tr>
      <w:tr w14:paraId="34025CE8">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779955DD">
            <w:pPr>
              <w:spacing w:after="0" w:line="360" w:lineRule="auto"/>
              <w:jc w:val="center"/>
              <w:rPr>
                <w:rFonts w:eastAsia="Times New Roman"/>
                <w:kern w:val="0"/>
                <w:sz w:val="18"/>
                <w:szCs w:val="18"/>
                <w:lang w:eastAsia="en-IN"/>
              </w:rPr>
            </w:pPr>
            <w:r>
              <w:rPr>
                <w:rFonts w:eastAsia="Times New Roman"/>
                <w:kern w:val="0"/>
                <w:sz w:val="20"/>
                <w:szCs w:val="18"/>
                <w:lang w:eastAsia="en-IN"/>
              </w:rPr>
              <w:t>A to Z variety</w:t>
            </w:r>
          </w:p>
        </w:tc>
        <w:tc>
          <w:tcPr>
            <w:tcW w:w="1606" w:type="dxa"/>
            <w:tcBorders>
              <w:top w:val="single" w:color="000000" w:sz="4" w:space="0"/>
              <w:left w:val="single" w:color="000000" w:sz="4" w:space="0"/>
              <w:bottom w:val="single" w:color="000000" w:sz="4" w:space="0"/>
              <w:right w:val="single" w:color="000000" w:sz="4" w:space="0"/>
            </w:tcBorders>
          </w:tcPr>
          <w:p w14:paraId="508007F4">
            <w:pPr>
              <w:spacing w:after="0" w:line="360" w:lineRule="auto"/>
              <w:jc w:val="center"/>
              <w:rPr>
                <w:rFonts w:eastAsia="Times New Roman"/>
                <w:kern w:val="0"/>
                <w:sz w:val="18"/>
                <w:szCs w:val="18"/>
                <w:lang w:eastAsia="en-IN"/>
              </w:rPr>
            </w:pPr>
            <w:r>
              <w:rPr>
                <w:rFonts w:eastAsia="Times New Roman"/>
                <w:kern w:val="0"/>
                <w:sz w:val="20"/>
                <w:szCs w:val="18"/>
                <w:lang w:eastAsia="en-IN"/>
              </w:rPr>
              <w:t>Narrowly elliptic</w:t>
            </w:r>
          </w:p>
        </w:tc>
        <w:tc>
          <w:tcPr>
            <w:tcW w:w="1094" w:type="dxa"/>
            <w:tcBorders>
              <w:top w:val="single" w:color="000000" w:sz="4" w:space="0"/>
              <w:left w:val="single" w:color="000000" w:sz="4" w:space="0"/>
              <w:bottom w:val="single" w:color="000000" w:sz="4" w:space="0"/>
              <w:right w:val="single" w:color="000000" w:sz="4" w:space="0"/>
            </w:tcBorders>
          </w:tcPr>
          <w:p w14:paraId="5ABE0178">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464B2CAA">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4CFD47F4">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2BBE3F72">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3C94D028">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6620391A">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59B309F8">
            <w:pPr>
              <w:spacing w:after="0" w:line="360" w:lineRule="auto"/>
              <w:jc w:val="center"/>
              <w:rPr>
                <w:rFonts w:eastAsia="Times New Roman"/>
                <w:kern w:val="0"/>
                <w:sz w:val="18"/>
                <w:szCs w:val="18"/>
                <w:lang w:eastAsia="en-IN"/>
              </w:rPr>
            </w:pPr>
            <w:r>
              <w:rPr>
                <w:rFonts w:eastAsia="Times New Roman"/>
                <w:kern w:val="0"/>
                <w:sz w:val="20"/>
                <w:szCs w:val="18"/>
                <w:lang w:eastAsia="en-IN"/>
              </w:rPr>
              <w:t>ARPJ-1</w:t>
            </w:r>
          </w:p>
        </w:tc>
        <w:tc>
          <w:tcPr>
            <w:tcW w:w="1606" w:type="dxa"/>
            <w:tcBorders>
              <w:top w:val="single" w:color="000000" w:sz="4" w:space="0"/>
              <w:left w:val="single" w:color="000000" w:sz="4" w:space="0"/>
              <w:bottom w:val="single" w:color="000000" w:sz="4" w:space="0"/>
              <w:right w:val="single" w:color="000000" w:sz="4" w:space="0"/>
            </w:tcBorders>
          </w:tcPr>
          <w:p w14:paraId="44925931">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3D748E6F">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3B8905CD">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12B05C46">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12D091E5">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6679B4F6">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2254E9AA">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7D3B7E52">
            <w:pPr>
              <w:spacing w:after="0" w:line="360" w:lineRule="auto"/>
              <w:jc w:val="center"/>
              <w:rPr>
                <w:rFonts w:eastAsia="Times New Roman"/>
                <w:kern w:val="0"/>
                <w:sz w:val="18"/>
                <w:szCs w:val="18"/>
                <w:lang w:eastAsia="en-IN"/>
              </w:rPr>
            </w:pPr>
            <w:r>
              <w:rPr>
                <w:rFonts w:eastAsia="Times New Roman"/>
                <w:kern w:val="0"/>
                <w:sz w:val="20"/>
                <w:szCs w:val="18"/>
                <w:lang w:eastAsia="en-IN"/>
              </w:rPr>
              <w:t>ARPJ-2</w:t>
            </w:r>
          </w:p>
        </w:tc>
        <w:tc>
          <w:tcPr>
            <w:tcW w:w="1606" w:type="dxa"/>
            <w:tcBorders>
              <w:top w:val="single" w:color="000000" w:sz="4" w:space="0"/>
              <w:left w:val="single" w:color="000000" w:sz="4" w:space="0"/>
              <w:bottom w:val="single" w:color="000000" w:sz="4" w:space="0"/>
              <w:right w:val="single" w:color="000000" w:sz="4" w:space="0"/>
            </w:tcBorders>
          </w:tcPr>
          <w:p w14:paraId="6E6A14DC">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76AF2C89">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394C8446">
            <w:pPr>
              <w:spacing w:after="0" w:line="360" w:lineRule="auto"/>
              <w:jc w:val="center"/>
              <w:rPr>
                <w:rFonts w:eastAsia="Times New Roman"/>
                <w:kern w:val="0"/>
                <w:sz w:val="18"/>
                <w:szCs w:val="18"/>
                <w:lang w:eastAsia="en-IN"/>
              </w:rPr>
            </w:pPr>
            <w:r>
              <w:rPr>
                <w:rFonts w:eastAsia="Times New Roman"/>
                <w:kern w:val="0"/>
                <w:sz w:val="20"/>
                <w:szCs w:val="18"/>
                <w:lang w:eastAsia="en-IN"/>
              </w:rPr>
              <w:t>Shortly attenuate</w:t>
            </w:r>
          </w:p>
        </w:tc>
        <w:tc>
          <w:tcPr>
            <w:tcW w:w="950" w:type="dxa"/>
            <w:tcBorders>
              <w:top w:val="single" w:color="000000" w:sz="4" w:space="0"/>
              <w:left w:val="single" w:color="000000" w:sz="4" w:space="0"/>
              <w:bottom w:val="single" w:color="000000" w:sz="4" w:space="0"/>
              <w:right w:val="single" w:color="000000" w:sz="4" w:space="0"/>
            </w:tcBorders>
          </w:tcPr>
          <w:p w14:paraId="477B38B0">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5D3A87CF">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2979022B">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2383BCA5">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2E94E185">
            <w:pPr>
              <w:spacing w:after="0" w:line="360" w:lineRule="auto"/>
              <w:jc w:val="center"/>
              <w:rPr>
                <w:rFonts w:eastAsia="Times New Roman"/>
                <w:kern w:val="0"/>
                <w:sz w:val="18"/>
                <w:szCs w:val="18"/>
                <w:lang w:eastAsia="en-IN"/>
              </w:rPr>
            </w:pPr>
            <w:r>
              <w:rPr>
                <w:rFonts w:eastAsia="Times New Roman"/>
                <w:kern w:val="0"/>
                <w:sz w:val="20"/>
                <w:szCs w:val="18"/>
                <w:lang w:eastAsia="en-IN"/>
              </w:rPr>
              <w:t>ARPJ-3</w:t>
            </w:r>
          </w:p>
        </w:tc>
        <w:tc>
          <w:tcPr>
            <w:tcW w:w="1606" w:type="dxa"/>
            <w:tcBorders>
              <w:top w:val="single" w:color="000000" w:sz="4" w:space="0"/>
              <w:left w:val="single" w:color="000000" w:sz="4" w:space="0"/>
              <w:bottom w:val="single" w:color="000000" w:sz="4" w:space="0"/>
              <w:right w:val="single" w:color="000000" w:sz="4" w:space="0"/>
            </w:tcBorders>
          </w:tcPr>
          <w:p w14:paraId="209C7F17">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2EC44BAE">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3B982023">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5615B4F5">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19CBF778">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40E16F9D">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3599C204">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0FE8BAEB">
            <w:pPr>
              <w:spacing w:after="0" w:line="360" w:lineRule="auto"/>
              <w:jc w:val="center"/>
              <w:rPr>
                <w:rFonts w:eastAsia="Times New Roman"/>
                <w:kern w:val="0"/>
                <w:sz w:val="18"/>
                <w:szCs w:val="18"/>
                <w:lang w:eastAsia="en-IN"/>
              </w:rPr>
            </w:pPr>
            <w:r>
              <w:rPr>
                <w:rFonts w:eastAsia="Times New Roman"/>
                <w:kern w:val="0"/>
                <w:sz w:val="20"/>
                <w:szCs w:val="18"/>
                <w:lang w:eastAsia="en-IN"/>
              </w:rPr>
              <w:t>ARPJ-4</w:t>
            </w:r>
          </w:p>
        </w:tc>
        <w:tc>
          <w:tcPr>
            <w:tcW w:w="1606" w:type="dxa"/>
            <w:tcBorders>
              <w:top w:val="single" w:color="000000" w:sz="4" w:space="0"/>
              <w:left w:val="single" w:color="000000" w:sz="4" w:space="0"/>
              <w:bottom w:val="single" w:color="000000" w:sz="4" w:space="0"/>
              <w:right w:val="single" w:color="000000" w:sz="4" w:space="0"/>
            </w:tcBorders>
          </w:tcPr>
          <w:p w14:paraId="6E578CF4">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2FC766B3">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0FBBB6D3">
            <w:pPr>
              <w:spacing w:after="0" w:line="360" w:lineRule="auto"/>
              <w:jc w:val="center"/>
              <w:rPr>
                <w:rFonts w:eastAsia="Times New Roman"/>
                <w:kern w:val="0"/>
                <w:sz w:val="18"/>
                <w:szCs w:val="18"/>
                <w:lang w:eastAsia="en-IN"/>
              </w:rPr>
            </w:pPr>
            <w:r>
              <w:rPr>
                <w:rFonts w:eastAsia="Times New Roman"/>
                <w:kern w:val="0"/>
                <w:sz w:val="20"/>
                <w:szCs w:val="18"/>
                <w:lang w:eastAsia="en-IN"/>
              </w:rPr>
              <w:t>Shortly attenuate</w:t>
            </w:r>
          </w:p>
        </w:tc>
        <w:tc>
          <w:tcPr>
            <w:tcW w:w="950" w:type="dxa"/>
            <w:tcBorders>
              <w:top w:val="single" w:color="000000" w:sz="4" w:space="0"/>
              <w:left w:val="single" w:color="000000" w:sz="4" w:space="0"/>
              <w:bottom w:val="single" w:color="000000" w:sz="4" w:space="0"/>
              <w:right w:val="single" w:color="000000" w:sz="4" w:space="0"/>
            </w:tcBorders>
          </w:tcPr>
          <w:p w14:paraId="2F616F4E">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47F7D515">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09B666FE">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1C4D2CA2">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66B4DF94">
            <w:pPr>
              <w:spacing w:after="0" w:line="360" w:lineRule="auto"/>
              <w:jc w:val="center"/>
              <w:rPr>
                <w:rFonts w:eastAsia="Times New Roman"/>
                <w:kern w:val="0"/>
                <w:sz w:val="18"/>
                <w:szCs w:val="18"/>
                <w:lang w:eastAsia="en-IN"/>
              </w:rPr>
            </w:pPr>
            <w:r>
              <w:rPr>
                <w:rFonts w:eastAsia="Times New Roman"/>
                <w:kern w:val="0"/>
                <w:sz w:val="20"/>
                <w:szCs w:val="18"/>
                <w:lang w:eastAsia="en-IN"/>
              </w:rPr>
              <w:t>ARPJ-5</w:t>
            </w:r>
          </w:p>
        </w:tc>
        <w:tc>
          <w:tcPr>
            <w:tcW w:w="1606" w:type="dxa"/>
            <w:tcBorders>
              <w:top w:val="single" w:color="000000" w:sz="4" w:space="0"/>
              <w:left w:val="single" w:color="000000" w:sz="4" w:space="0"/>
              <w:bottom w:val="single" w:color="000000" w:sz="4" w:space="0"/>
              <w:right w:val="single" w:color="000000" w:sz="4" w:space="0"/>
            </w:tcBorders>
          </w:tcPr>
          <w:p w14:paraId="43F21F96">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3AB289C5">
            <w:pPr>
              <w:spacing w:after="0" w:line="360" w:lineRule="auto"/>
              <w:jc w:val="center"/>
              <w:rPr>
                <w:rFonts w:eastAsia="Times New Roman"/>
                <w:kern w:val="0"/>
                <w:sz w:val="18"/>
                <w:szCs w:val="18"/>
                <w:lang w:eastAsia="en-IN"/>
              </w:rPr>
            </w:pPr>
            <w:r>
              <w:rPr>
                <w:rFonts w:eastAsia="Times New Roman"/>
                <w:kern w:val="0"/>
                <w:sz w:val="20"/>
                <w:szCs w:val="18"/>
                <w:lang w:eastAsia="en-IN"/>
              </w:rPr>
              <w:t>Acute</w:t>
            </w:r>
          </w:p>
        </w:tc>
        <w:tc>
          <w:tcPr>
            <w:tcW w:w="1600" w:type="dxa"/>
            <w:tcBorders>
              <w:top w:val="single" w:color="000000" w:sz="4" w:space="0"/>
              <w:left w:val="single" w:color="000000" w:sz="4" w:space="0"/>
              <w:bottom w:val="single" w:color="000000" w:sz="4" w:space="0"/>
              <w:right w:val="single" w:color="000000" w:sz="4" w:space="0"/>
            </w:tcBorders>
          </w:tcPr>
          <w:p w14:paraId="6E5C20F5">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5F694167">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63FEE38F">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446CC84E">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20866035">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57B60397">
            <w:pPr>
              <w:spacing w:after="0" w:line="360" w:lineRule="auto"/>
              <w:jc w:val="center"/>
              <w:rPr>
                <w:rFonts w:eastAsia="Times New Roman"/>
                <w:kern w:val="0"/>
                <w:sz w:val="18"/>
                <w:szCs w:val="18"/>
                <w:lang w:eastAsia="en-IN"/>
              </w:rPr>
            </w:pPr>
            <w:r>
              <w:rPr>
                <w:rFonts w:eastAsia="Times New Roman"/>
                <w:kern w:val="0"/>
                <w:sz w:val="20"/>
                <w:szCs w:val="18"/>
                <w:lang w:eastAsia="en-IN"/>
              </w:rPr>
              <w:t>ARPJ-6</w:t>
            </w:r>
          </w:p>
        </w:tc>
        <w:tc>
          <w:tcPr>
            <w:tcW w:w="1606" w:type="dxa"/>
            <w:tcBorders>
              <w:top w:val="single" w:color="000000" w:sz="4" w:space="0"/>
              <w:left w:val="single" w:color="000000" w:sz="4" w:space="0"/>
              <w:bottom w:val="single" w:color="000000" w:sz="4" w:space="0"/>
              <w:right w:val="single" w:color="000000" w:sz="4" w:space="0"/>
            </w:tcBorders>
          </w:tcPr>
          <w:p w14:paraId="7CB48F4B">
            <w:pPr>
              <w:spacing w:after="0" w:line="360" w:lineRule="auto"/>
              <w:jc w:val="center"/>
              <w:rPr>
                <w:rFonts w:eastAsia="Times New Roman"/>
                <w:kern w:val="0"/>
                <w:sz w:val="18"/>
                <w:szCs w:val="18"/>
                <w:lang w:eastAsia="en-IN"/>
              </w:rPr>
            </w:pPr>
            <w:r>
              <w:rPr>
                <w:rFonts w:eastAsia="Times New Roman"/>
                <w:kern w:val="0"/>
                <w:sz w:val="20"/>
                <w:szCs w:val="18"/>
                <w:lang w:eastAsia="en-IN"/>
              </w:rPr>
              <w:t>Broadly elliptic</w:t>
            </w:r>
          </w:p>
        </w:tc>
        <w:tc>
          <w:tcPr>
            <w:tcW w:w="1094" w:type="dxa"/>
            <w:tcBorders>
              <w:top w:val="single" w:color="000000" w:sz="4" w:space="0"/>
              <w:left w:val="single" w:color="000000" w:sz="4" w:space="0"/>
              <w:bottom w:val="single" w:color="000000" w:sz="4" w:space="0"/>
              <w:right w:val="single" w:color="000000" w:sz="4" w:space="0"/>
            </w:tcBorders>
          </w:tcPr>
          <w:p w14:paraId="35EA2F7A">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742C1F47">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5BB8DD54">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5E0FC724">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1E5791F0">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25F7AB4B">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5E2597AF">
            <w:pPr>
              <w:spacing w:after="0" w:line="360" w:lineRule="auto"/>
              <w:jc w:val="center"/>
              <w:rPr>
                <w:rFonts w:eastAsia="Times New Roman"/>
                <w:kern w:val="0"/>
                <w:sz w:val="18"/>
                <w:szCs w:val="18"/>
                <w:lang w:eastAsia="en-IN"/>
              </w:rPr>
            </w:pPr>
            <w:r>
              <w:rPr>
                <w:rFonts w:eastAsia="Times New Roman"/>
                <w:kern w:val="0"/>
                <w:sz w:val="20"/>
                <w:szCs w:val="18"/>
                <w:lang w:eastAsia="en-IN"/>
              </w:rPr>
              <w:t>ARPJ-7</w:t>
            </w:r>
          </w:p>
        </w:tc>
        <w:tc>
          <w:tcPr>
            <w:tcW w:w="1606" w:type="dxa"/>
            <w:tcBorders>
              <w:top w:val="single" w:color="000000" w:sz="4" w:space="0"/>
              <w:left w:val="single" w:color="000000" w:sz="4" w:space="0"/>
              <w:bottom w:val="single" w:color="000000" w:sz="4" w:space="0"/>
              <w:right w:val="single" w:color="000000" w:sz="4" w:space="0"/>
            </w:tcBorders>
          </w:tcPr>
          <w:p w14:paraId="63390AE2">
            <w:pPr>
              <w:spacing w:after="0" w:line="360" w:lineRule="auto"/>
              <w:jc w:val="center"/>
              <w:rPr>
                <w:rFonts w:eastAsia="Times New Roman"/>
                <w:kern w:val="0"/>
                <w:sz w:val="18"/>
                <w:szCs w:val="18"/>
                <w:lang w:eastAsia="en-IN"/>
              </w:rPr>
            </w:pPr>
            <w:r>
              <w:rPr>
                <w:rFonts w:eastAsia="Times New Roman"/>
                <w:kern w:val="0"/>
                <w:sz w:val="20"/>
                <w:szCs w:val="18"/>
                <w:lang w:eastAsia="en-IN"/>
              </w:rPr>
              <w:t>Narrowly elliptic</w:t>
            </w:r>
          </w:p>
        </w:tc>
        <w:tc>
          <w:tcPr>
            <w:tcW w:w="1094" w:type="dxa"/>
            <w:tcBorders>
              <w:top w:val="single" w:color="000000" w:sz="4" w:space="0"/>
              <w:left w:val="single" w:color="000000" w:sz="4" w:space="0"/>
              <w:bottom w:val="single" w:color="000000" w:sz="4" w:space="0"/>
              <w:right w:val="single" w:color="000000" w:sz="4" w:space="0"/>
            </w:tcBorders>
          </w:tcPr>
          <w:p w14:paraId="1E63790A">
            <w:pPr>
              <w:spacing w:after="0" w:line="360" w:lineRule="auto"/>
              <w:jc w:val="center"/>
              <w:rPr>
                <w:rFonts w:eastAsia="Times New Roman"/>
                <w:kern w:val="0"/>
                <w:sz w:val="18"/>
                <w:szCs w:val="18"/>
                <w:lang w:eastAsia="en-IN"/>
              </w:rPr>
            </w:pPr>
            <w:r>
              <w:rPr>
                <w:rFonts w:eastAsia="Times New Roman"/>
                <w:kern w:val="0"/>
                <w:sz w:val="20"/>
                <w:szCs w:val="18"/>
                <w:lang w:eastAsia="en-IN"/>
              </w:rPr>
              <w:t>Acute</w:t>
            </w:r>
          </w:p>
        </w:tc>
        <w:tc>
          <w:tcPr>
            <w:tcW w:w="1600" w:type="dxa"/>
            <w:tcBorders>
              <w:top w:val="single" w:color="000000" w:sz="4" w:space="0"/>
              <w:left w:val="single" w:color="000000" w:sz="4" w:space="0"/>
              <w:bottom w:val="single" w:color="000000" w:sz="4" w:space="0"/>
              <w:right w:val="single" w:color="000000" w:sz="4" w:space="0"/>
            </w:tcBorders>
          </w:tcPr>
          <w:p w14:paraId="69272E8D">
            <w:pPr>
              <w:spacing w:after="0" w:line="360" w:lineRule="auto"/>
              <w:jc w:val="center"/>
              <w:rPr>
                <w:rFonts w:eastAsia="Times New Roman"/>
                <w:kern w:val="0"/>
                <w:sz w:val="18"/>
                <w:szCs w:val="18"/>
                <w:lang w:eastAsia="en-IN"/>
              </w:rPr>
            </w:pPr>
            <w:r>
              <w:rPr>
                <w:rFonts w:eastAsia="Times New Roman"/>
                <w:kern w:val="0"/>
                <w:sz w:val="20"/>
                <w:szCs w:val="18"/>
                <w:lang w:eastAsia="en-IN"/>
              </w:rPr>
              <w:t>Shortly attenuate</w:t>
            </w:r>
          </w:p>
        </w:tc>
        <w:tc>
          <w:tcPr>
            <w:tcW w:w="950" w:type="dxa"/>
            <w:tcBorders>
              <w:top w:val="single" w:color="000000" w:sz="4" w:space="0"/>
              <w:left w:val="single" w:color="000000" w:sz="4" w:space="0"/>
              <w:bottom w:val="single" w:color="000000" w:sz="4" w:space="0"/>
              <w:right w:val="single" w:color="000000" w:sz="4" w:space="0"/>
            </w:tcBorders>
          </w:tcPr>
          <w:p w14:paraId="1F31C0B9">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52BB4974">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75FDD595">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2FCFEAF9">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297320F5">
            <w:pPr>
              <w:spacing w:after="0" w:line="360" w:lineRule="auto"/>
              <w:jc w:val="center"/>
              <w:rPr>
                <w:rFonts w:eastAsia="Times New Roman"/>
                <w:kern w:val="0"/>
                <w:sz w:val="18"/>
                <w:szCs w:val="18"/>
                <w:lang w:eastAsia="en-IN"/>
              </w:rPr>
            </w:pPr>
            <w:r>
              <w:rPr>
                <w:rFonts w:eastAsia="Times New Roman"/>
                <w:kern w:val="0"/>
                <w:sz w:val="20"/>
                <w:szCs w:val="18"/>
                <w:lang w:eastAsia="en-IN"/>
              </w:rPr>
              <w:t>Byrachandra</w:t>
            </w:r>
          </w:p>
        </w:tc>
        <w:tc>
          <w:tcPr>
            <w:tcW w:w="1606" w:type="dxa"/>
            <w:tcBorders>
              <w:top w:val="single" w:color="000000" w:sz="4" w:space="0"/>
              <w:left w:val="single" w:color="000000" w:sz="4" w:space="0"/>
              <w:bottom w:val="single" w:color="000000" w:sz="4" w:space="0"/>
              <w:right w:val="single" w:color="000000" w:sz="4" w:space="0"/>
            </w:tcBorders>
          </w:tcPr>
          <w:p w14:paraId="40C42022">
            <w:pPr>
              <w:spacing w:after="0" w:line="360" w:lineRule="auto"/>
              <w:jc w:val="center"/>
              <w:rPr>
                <w:rFonts w:eastAsia="Times New Roman"/>
                <w:kern w:val="0"/>
                <w:sz w:val="18"/>
                <w:szCs w:val="18"/>
                <w:lang w:eastAsia="en-IN"/>
              </w:rPr>
            </w:pPr>
            <w:r>
              <w:rPr>
                <w:rFonts w:eastAsia="Times New Roman"/>
                <w:kern w:val="0"/>
                <w:sz w:val="20"/>
                <w:szCs w:val="18"/>
                <w:lang w:eastAsia="en-IN"/>
              </w:rPr>
              <w:t>Oblong</w:t>
            </w:r>
          </w:p>
        </w:tc>
        <w:tc>
          <w:tcPr>
            <w:tcW w:w="1094" w:type="dxa"/>
            <w:tcBorders>
              <w:top w:val="single" w:color="000000" w:sz="4" w:space="0"/>
              <w:left w:val="single" w:color="000000" w:sz="4" w:space="0"/>
              <w:bottom w:val="single" w:color="000000" w:sz="4" w:space="0"/>
              <w:right w:val="single" w:color="000000" w:sz="4" w:space="0"/>
            </w:tcBorders>
          </w:tcPr>
          <w:p w14:paraId="3F119CFB">
            <w:pPr>
              <w:spacing w:after="0" w:line="360" w:lineRule="auto"/>
              <w:jc w:val="center"/>
              <w:rPr>
                <w:rFonts w:eastAsia="Times New Roman"/>
                <w:kern w:val="0"/>
                <w:sz w:val="18"/>
                <w:szCs w:val="18"/>
                <w:lang w:eastAsia="en-IN"/>
              </w:rPr>
            </w:pPr>
            <w:r>
              <w:rPr>
                <w:rFonts w:eastAsia="Times New Roman"/>
                <w:kern w:val="0"/>
                <w:sz w:val="20"/>
                <w:szCs w:val="18"/>
                <w:lang w:eastAsia="en-IN"/>
              </w:rPr>
              <w:t>Acute</w:t>
            </w:r>
          </w:p>
        </w:tc>
        <w:tc>
          <w:tcPr>
            <w:tcW w:w="1600" w:type="dxa"/>
            <w:tcBorders>
              <w:top w:val="single" w:color="000000" w:sz="4" w:space="0"/>
              <w:left w:val="single" w:color="000000" w:sz="4" w:space="0"/>
              <w:bottom w:val="single" w:color="000000" w:sz="4" w:space="0"/>
              <w:right w:val="single" w:color="000000" w:sz="4" w:space="0"/>
            </w:tcBorders>
          </w:tcPr>
          <w:p w14:paraId="21C020DA">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62B9129A">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710B7BC1">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609784D6">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7DEE5E2E">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56761524">
            <w:pPr>
              <w:spacing w:after="0" w:line="360" w:lineRule="auto"/>
              <w:jc w:val="center"/>
              <w:rPr>
                <w:rFonts w:eastAsia="Times New Roman"/>
                <w:kern w:val="0"/>
                <w:sz w:val="18"/>
                <w:szCs w:val="18"/>
                <w:lang w:eastAsia="en-IN"/>
              </w:rPr>
            </w:pPr>
            <w:r>
              <w:rPr>
                <w:rFonts w:eastAsia="Times New Roman"/>
                <w:kern w:val="0"/>
                <w:sz w:val="20"/>
                <w:szCs w:val="18"/>
                <w:lang w:eastAsia="en-IN"/>
              </w:rPr>
              <w:t>Eddi pasand</w:t>
            </w:r>
          </w:p>
        </w:tc>
        <w:tc>
          <w:tcPr>
            <w:tcW w:w="1606" w:type="dxa"/>
            <w:tcBorders>
              <w:top w:val="single" w:color="000000" w:sz="4" w:space="0"/>
              <w:left w:val="single" w:color="000000" w:sz="4" w:space="0"/>
              <w:bottom w:val="single" w:color="000000" w:sz="4" w:space="0"/>
              <w:right w:val="single" w:color="000000" w:sz="4" w:space="0"/>
            </w:tcBorders>
          </w:tcPr>
          <w:p w14:paraId="0B15F93F">
            <w:pPr>
              <w:spacing w:after="0" w:line="360" w:lineRule="auto"/>
              <w:jc w:val="center"/>
              <w:rPr>
                <w:rFonts w:eastAsia="Times New Roman"/>
                <w:kern w:val="0"/>
                <w:sz w:val="18"/>
                <w:szCs w:val="18"/>
                <w:lang w:eastAsia="en-IN"/>
              </w:rPr>
            </w:pPr>
            <w:r>
              <w:rPr>
                <w:rFonts w:eastAsia="Times New Roman"/>
                <w:kern w:val="0"/>
                <w:sz w:val="20"/>
                <w:szCs w:val="18"/>
                <w:lang w:eastAsia="en-IN"/>
              </w:rPr>
              <w:t>Oblong</w:t>
            </w:r>
          </w:p>
        </w:tc>
        <w:tc>
          <w:tcPr>
            <w:tcW w:w="1094" w:type="dxa"/>
            <w:tcBorders>
              <w:top w:val="single" w:color="000000" w:sz="4" w:space="0"/>
              <w:left w:val="single" w:color="000000" w:sz="4" w:space="0"/>
              <w:bottom w:val="single" w:color="000000" w:sz="4" w:space="0"/>
              <w:right w:val="single" w:color="000000" w:sz="4" w:space="0"/>
            </w:tcBorders>
          </w:tcPr>
          <w:p w14:paraId="6507A054">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709EAA6D">
            <w:pPr>
              <w:spacing w:after="0" w:line="360" w:lineRule="auto"/>
              <w:jc w:val="center"/>
              <w:rPr>
                <w:rFonts w:eastAsia="Times New Roman"/>
                <w:kern w:val="0"/>
                <w:sz w:val="18"/>
                <w:szCs w:val="18"/>
                <w:lang w:eastAsia="en-IN"/>
              </w:rPr>
            </w:pPr>
            <w:r>
              <w:rPr>
                <w:rFonts w:eastAsia="Times New Roman"/>
                <w:kern w:val="0"/>
                <w:sz w:val="20"/>
                <w:szCs w:val="18"/>
                <w:lang w:eastAsia="en-IN"/>
              </w:rPr>
              <w:t>Cuneate</w:t>
            </w:r>
          </w:p>
        </w:tc>
        <w:tc>
          <w:tcPr>
            <w:tcW w:w="950" w:type="dxa"/>
            <w:tcBorders>
              <w:top w:val="single" w:color="000000" w:sz="4" w:space="0"/>
              <w:left w:val="single" w:color="000000" w:sz="4" w:space="0"/>
              <w:bottom w:val="single" w:color="000000" w:sz="4" w:space="0"/>
              <w:right w:val="single" w:color="000000" w:sz="4" w:space="0"/>
            </w:tcBorders>
          </w:tcPr>
          <w:p w14:paraId="11FD17BA">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3584056D">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24D0EBAF">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3C69CBAD">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3CA00119">
            <w:pPr>
              <w:spacing w:after="0" w:line="360" w:lineRule="auto"/>
              <w:jc w:val="center"/>
              <w:rPr>
                <w:rFonts w:eastAsia="Times New Roman"/>
                <w:kern w:val="0"/>
                <w:sz w:val="18"/>
                <w:szCs w:val="18"/>
                <w:lang w:eastAsia="en-IN"/>
              </w:rPr>
            </w:pPr>
            <w:r>
              <w:rPr>
                <w:rFonts w:eastAsia="Times New Roman"/>
                <w:kern w:val="0"/>
                <w:sz w:val="20"/>
                <w:szCs w:val="18"/>
                <w:lang w:eastAsia="en-IN"/>
              </w:rPr>
              <w:t>Gumless</w:t>
            </w:r>
          </w:p>
        </w:tc>
        <w:tc>
          <w:tcPr>
            <w:tcW w:w="1606" w:type="dxa"/>
            <w:tcBorders>
              <w:top w:val="single" w:color="000000" w:sz="4" w:space="0"/>
              <w:left w:val="single" w:color="000000" w:sz="4" w:space="0"/>
              <w:bottom w:val="single" w:color="000000" w:sz="4" w:space="0"/>
              <w:right w:val="single" w:color="000000" w:sz="4" w:space="0"/>
            </w:tcBorders>
          </w:tcPr>
          <w:p w14:paraId="6156F59F">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6019B0EC">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54A5379B">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61532866">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4E41AAE5">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4845E4DD">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75C1C1C2">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41B77A13">
            <w:pPr>
              <w:spacing w:after="0" w:line="360" w:lineRule="auto"/>
              <w:jc w:val="center"/>
              <w:rPr>
                <w:rFonts w:eastAsia="Times New Roman"/>
                <w:kern w:val="0"/>
                <w:sz w:val="18"/>
                <w:szCs w:val="18"/>
                <w:lang w:eastAsia="en-IN"/>
              </w:rPr>
            </w:pPr>
            <w:r>
              <w:rPr>
                <w:rFonts w:eastAsia="Times New Roman"/>
                <w:kern w:val="0"/>
                <w:sz w:val="20"/>
                <w:szCs w:val="18"/>
                <w:lang w:eastAsia="en-IN"/>
              </w:rPr>
              <w:t>Honey dew</w:t>
            </w:r>
          </w:p>
        </w:tc>
        <w:tc>
          <w:tcPr>
            <w:tcW w:w="1606" w:type="dxa"/>
            <w:tcBorders>
              <w:top w:val="single" w:color="000000" w:sz="4" w:space="0"/>
              <w:left w:val="single" w:color="000000" w:sz="4" w:space="0"/>
              <w:bottom w:val="single" w:color="000000" w:sz="4" w:space="0"/>
              <w:right w:val="single" w:color="000000" w:sz="4" w:space="0"/>
            </w:tcBorders>
          </w:tcPr>
          <w:p w14:paraId="36D2F6A8">
            <w:pPr>
              <w:spacing w:after="0" w:line="360" w:lineRule="auto"/>
              <w:jc w:val="center"/>
              <w:rPr>
                <w:rFonts w:eastAsia="Times New Roman"/>
                <w:kern w:val="0"/>
                <w:sz w:val="18"/>
                <w:szCs w:val="18"/>
                <w:lang w:eastAsia="en-IN"/>
              </w:rPr>
            </w:pPr>
            <w:r>
              <w:rPr>
                <w:rFonts w:eastAsia="Times New Roman"/>
                <w:kern w:val="0"/>
                <w:sz w:val="20"/>
                <w:szCs w:val="18"/>
                <w:lang w:eastAsia="en-IN"/>
              </w:rPr>
              <w:t>Obovate</w:t>
            </w:r>
          </w:p>
        </w:tc>
        <w:tc>
          <w:tcPr>
            <w:tcW w:w="1094" w:type="dxa"/>
            <w:tcBorders>
              <w:top w:val="single" w:color="000000" w:sz="4" w:space="0"/>
              <w:left w:val="single" w:color="000000" w:sz="4" w:space="0"/>
              <w:bottom w:val="single" w:color="000000" w:sz="4" w:space="0"/>
              <w:right w:val="single" w:color="000000" w:sz="4" w:space="0"/>
            </w:tcBorders>
          </w:tcPr>
          <w:p w14:paraId="564D5702">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700FC89B">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288FDD31">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32257672">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623DBE7E">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6D2385D9">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25333573">
            <w:pPr>
              <w:spacing w:after="0" w:line="360" w:lineRule="auto"/>
              <w:jc w:val="center"/>
              <w:rPr>
                <w:rFonts w:eastAsia="Times New Roman"/>
                <w:kern w:val="0"/>
                <w:sz w:val="18"/>
                <w:szCs w:val="18"/>
                <w:lang w:eastAsia="en-IN"/>
              </w:rPr>
            </w:pPr>
            <w:r>
              <w:rPr>
                <w:rFonts w:eastAsia="Times New Roman"/>
                <w:kern w:val="0"/>
                <w:sz w:val="20"/>
                <w:szCs w:val="18"/>
                <w:lang w:eastAsia="en-IN"/>
              </w:rPr>
              <w:t>JAP-1</w:t>
            </w:r>
          </w:p>
        </w:tc>
        <w:tc>
          <w:tcPr>
            <w:tcW w:w="1606" w:type="dxa"/>
            <w:tcBorders>
              <w:top w:val="single" w:color="000000" w:sz="4" w:space="0"/>
              <w:left w:val="single" w:color="000000" w:sz="4" w:space="0"/>
              <w:bottom w:val="single" w:color="000000" w:sz="4" w:space="0"/>
              <w:right w:val="single" w:color="000000" w:sz="4" w:space="0"/>
            </w:tcBorders>
          </w:tcPr>
          <w:p w14:paraId="38964DED">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79384C12">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7FCB399C">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326E053E">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41CBE0D5">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457D25E4">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21EAC1E3">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06D2D6DD">
            <w:pPr>
              <w:spacing w:after="0" w:line="360" w:lineRule="auto"/>
              <w:jc w:val="center"/>
              <w:rPr>
                <w:rFonts w:eastAsia="Times New Roman"/>
                <w:kern w:val="0"/>
                <w:sz w:val="18"/>
                <w:szCs w:val="18"/>
                <w:lang w:eastAsia="en-IN"/>
              </w:rPr>
            </w:pPr>
            <w:r>
              <w:rPr>
                <w:rFonts w:eastAsia="Times New Roman"/>
                <w:kern w:val="0"/>
                <w:sz w:val="20"/>
                <w:szCs w:val="18"/>
                <w:lang w:eastAsia="en-IN"/>
              </w:rPr>
              <w:t>JAP-2</w:t>
            </w:r>
          </w:p>
        </w:tc>
        <w:tc>
          <w:tcPr>
            <w:tcW w:w="1606" w:type="dxa"/>
            <w:tcBorders>
              <w:top w:val="single" w:color="000000" w:sz="4" w:space="0"/>
              <w:left w:val="single" w:color="000000" w:sz="4" w:space="0"/>
              <w:bottom w:val="single" w:color="000000" w:sz="4" w:space="0"/>
              <w:right w:val="single" w:color="000000" w:sz="4" w:space="0"/>
            </w:tcBorders>
          </w:tcPr>
          <w:p w14:paraId="618987AB">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74268B7A">
            <w:pPr>
              <w:spacing w:after="0" w:line="360" w:lineRule="auto"/>
              <w:jc w:val="center"/>
              <w:rPr>
                <w:rFonts w:eastAsia="Times New Roman"/>
                <w:kern w:val="0"/>
                <w:sz w:val="18"/>
                <w:szCs w:val="18"/>
                <w:lang w:eastAsia="en-IN"/>
              </w:rPr>
            </w:pPr>
            <w:r>
              <w:rPr>
                <w:rFonts w:eastAsia="Times New Roman"/>
                <w:kern w:val="0"/>
                <w:sz w:val="20"/>
                <w:szCs w:val="18"/>
                <w:lang w:eastAsia="en-IN"/>
              </w:rPr>
              <w:t>Acute</w:t>
            </w:r>
          </w:p>
        </w:tc>
        <w:tc>
          <w:tcPr>
            <w:tcW w:w="1600" w:type="dxa"/>
            <w:tcBorders>
              <w:top w:val="single" w:color="000000" w:sz="4" w:space="0"/>
              <w:left w:val="single" w:color="000000" w:sz="4" w:space="0"/>
              <w:bottom w:val="single" w:color="000000" w:sz="4" w:space="0"/>
              <w:right w:val="single" w:color="000000" w:sz="4" w:space="0"/>
            </w:tcBorders>
          </w:tcPr>
          <w:p w14:paraId="05C1B7CB">
            <w:pPr>
              <w:spacing w:after="0" w:line="360" w:lineRule="auto"/>
              <w:jc w:val="center"/>
              <w:rPr>
                <w:rFonts w:eastAsia="Times New Roman"/>
                <w:kern w:val="0"/>
                <w:sz w:val="18"/>
                <w:szCs w:val="18"/>
                <w:lang w:eastAsia="en-IN"/>
              </w:rPr>
            </w:pPr>
            <w:r>
              <w:rPr>
                <w:rFonts w:eastAsia="Times New Roman"/>
                <w:kern w:val="0"/>
                <w:sz w:val="20"/>
                <w:szCs w:val="18"/>
                <w:lang w:eastAsia="en-IN"/>
              </w:rPr>
              <w:t>Cuneate</w:t>
            </w:r>
          </w:p>
        </w:tc>
        <w:tc>
          <w:tcPr>
            <w:tcW w:w="950" w:type="dxa"/>
            <w:tcBorders>
              <w:top w:val="single" w:color="000000" w:sz="4" w:space="0"/>
              <w:left w:val="single" w:color="000000" w:sz="4" w:space="0"/>
              <w:bottom w:val="single" w:color="000000" w:sz="4" w:space="0"/>
              <w:right w:val="single" w:color="000000" w:sz="4" w:space="0"/>
            </w:tcBorders>
          </w:tcPr>
          <w:p w14:paraId="73B48C95">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708225EA">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4BF57087">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376A326D">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461CE8F2">
            <w:pPr>
              <w:spacing w:after="0" w:line="360" w:lineRule="auto"/>
              <w:jc w:val="center"/>
              <w:rPr>
                <w:rFonts w:eastAsia="Times New Roman"/>
                <w:kern w:val="0"/>
                <w:sz w:val="18"/>
                <w:szCs w:val="18"/>
                <w:lang w:eastAsia="en-IN"/>
              </w:rPr>
            </w:pPr>
            <w:r>
              <w:rPr>
                <w:rFonts w:eastAsia="Times New Roman"/>
                <w:kern w:val="0"/>
                <w:sz w:val="20"/>
                <w:szCs w:val="18"/>
                <w:lang w:eastAsia="en-IN"/>
              </w:rPr>
              <w:t>Kanavarikka</w:t>
            </w:r>
          </w:p>
        </w:tc>
        <w:tc>
          <w:tcPr>
            <w:tcW w:w="1606" w:type="dxa"/>
            <w:tcBorders>
              <w:top w:val="single" w:color="000000" w:sz="4" w:space="0"/>
              <w:left w:val="single" w:color="000000" w:sz="4" w:space="0"/>
              <w:bottom w:val="single" w:color="000000" w:sz="4" w:space="0"/>
              <w:right w:val="single" w:color="000000" w:sz="4" w:space="0"/>
            </w:tcBorders>
          </w:tcPr>
          <w:p w14:paraId="5E2170B1">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43ED1BE7">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7A545271">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0FEBBDFA">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61E3DC49">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7D86CCC2">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6B0AD547">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001D547F">
            <w:pPr>
              <w:spacing w:after="0" w:line="360" w:lineRule="auto"/>
              <w:jc w:val="center"/>
              <w:rPr>
                <w:rFonts w:eastAsia="Times New Roman"/>
                <w:kern w:val="0"/>
                <w:sz w:val="18"/>
                <w:szCs w:val="18"/>
                <w:lang w:eastAsia="en-IN"/>
              </w:rPr>
            </w:pPr>
            <w:r>
              <w:rPr>
                <w:rFonts w:eastAsia="Times New Roman"/>
                <w:kern w:val="0"/>
                <w:sz w:val="20"/>
                <w:szCs w:val="18"/>
                <w:lang w:eastAsia="en-IN"/>
              </w:rPr>
              <w:t>Kumbali</w:t>
            </w:r>
          </w:p>
        </w:tc>
        <w:tc>
          <w:tcPr>
            <w:tcW w:w="1606" w:type="dxa"/>
            <w:tcBorders>
              <w:top w:val="single" w:color="000000" w:sz="4" w:space="0"/>
              <w:left w:val="single" w:color="000000" w:sz="4" w:space="0"/>
              <w:bottom w:val="single" w:color="000000" w:sz="4" w:space="0"/>
              <w:right w:val="single" w:color="000000" w:sz="4" w:space="0"/>
            </w:tcBorders>
          </w:tcPr>
          <w:p w14:paraId="003F37E6">
            <w:pPr>
              <w:spacing w:after="0" w:line="360" w:lineRule="auto"/>
              <w:jc w:val="center"/>
              <w:rPr>
                <w:rFonts w:eastAsia="Times New Roman"/>
                <w:kern w:val="0"/>
                <w:sz w:val="18"/>
                <w:szCs w:val="18"/>
                <w:lang w:eastAsia="en-IN"/>
              </w:rPr>
            </w:pPr>
            <w:r>
              <w:rPr>
                <w:rFonts w:eastAsia="Times New Roman"/>
                <w:kern w:val="0"/>
                <w:sz w:val="20"/>
                <w:szCs w:val="18"/>
                <w:lang w:eastAsia="en-IN"/>
              </w:rPr>
              <w:t>Obovate</w:t>
            </w:r>
          </w:p>
        </w:tc>
        <w:tc>
          <w:tcPr>
            <w:tcW w:w="1094" w:type="dxa"/>
            <w:tcBorders>
              <w:top w:val="single" w:color="000000" w:sz="4" w:space="0"/>
              <w:left w:val="single" w:color="000000" w:sz="4" w:space="0"/>
              <w:bottom w:val="single" w:color="000000" w:sz="4" w:space="0"/>
              <w:right w:val="single" w:color="000000" w:sz="4" w:space="0"/>
            </w:tcBorders>
          </w:tcPr>
          <w:p w14:paraId="14502908">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6242DBC7">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39F64B39">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38B0A545">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6BC1208E">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7828E26C">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19A50200">
            <w:pPr>
              <w:spacing w:after="0" w:line="360" w:lineRule="auto"/>
              <w:jc w:val="center"/>
              <w:rPr>
                <w:rFonts w:eastAsia="Times New Roman"/>
                <w:kern w:val="0"/>
                <w:sz w:val="18"/>
                <w:szCs w:val="18"/>
                <w:lang w:eastAsia="en-IN"/>
              </w:rPr>
            </w:pPr>
            <w:r>
              <w:rPr>
                <w:rFonts w:eastAsia="Times New Roman"/>
                <w:kern w:val="0"/>
                <w:sz w:val="20"/>
                <w:szCs w:val="18"/>
                <w:lang w:eastAsia="en-IN"/>
              </w:rPr>
              <w:t>Lalbagh madhura</w:t>
            </w:r>
          </w:p>
        </w:tc>
        <w:tc>
          <w:tcPr>
            <w:tcW w:w="1606" w:type="dxa"/>
            <w:tcBorders>
              <w:top w:val="single" w:color="000000" w:sz="4" w:space="0"/>
              <w:left w:val="single" w:color="000000" w:sz="4" w:space="0"/>
              <w:bottom w:val="single" w:color="000000" w:sz="4" w:space="0"/>
              <w:right w:val="single" w:color="000000" w:sz="4" w:space="0"/>
            </w:tcBorders>
          </w:tcPr>
          <w:p w14:paraId="6A4A818E">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47591055">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3ED46E5C">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769AA552">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25C53C31">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1AA2F1F4">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3C7DB3BF">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53833FB2">
            <w:pPr>
              <w:spacing w:after="0" w:line="360" w:lineRule="auto"/>
              <w:jc w:val="center"/>
              <w:rPr>
                <w:rFonts w:eastAsia="Times New Roman"/>
                <w:kern w:val="0"/>
                <w:sz w:val="18"/>
                <w:szCs w:val="18"/>
                <w:lang w:eastAsia="en-IN"/>
              </w:rPr>
            </w:pPr>
            <w:r>
              <w:rPr>
                <w:rFonts w:eastAsia="Times New Roman"/>
                <w:kern w:val="0"/>
                <w:sz w:val="20"/>
                <w:szCs w:val="18"/>
                <w:lang w:eastAsia="en-IN"/>
              </w:rPr>
              <w:t>Malaysian dwarf</w:t>
            </w:r>
          </w:p>
        </w:tc>
        <w:tc>
          <w:tcPr>
            <w:tcW w:w="1606" w:type="dxa"/>
            <w:tcBorders>
              <w:top w:val="single" w:color="000000" w:sz="4" w:space="0"/>
              <w:left w:val="single" w:color="000000" w:sz="4" w:space="0"/>
              <w:bottom w:val="single" w:color="000000" w:sz="4" w:space="0"/>
              <w:right w:val="single" w:color="000000" w:sz="4" w:space="0"/>
            </w:tcBorders>
          </w:tcPr>
          <w:p w14:paraId="6D2F703F">
            <w:pPr>
              <w:spacing w:after="0" w:line="360" w:lineRule="auto"/>
              <w:jc w:val="center"/>
              <w:rPr>
                <w:rFonts w:eastAsia="Times New Roman"/>
                <w:kern w:val="0"/>
                <w:sz w:val="18"/>
                <w:szCs w:val="18"/>
                <w:lang w:eastAsia="en-IN"/>
              </w:rPr>
            </w:pPr>
            <w:r>
              <w:rPr>
                <w:rFonts w:eastAsia="Times New Roman"/>
                <w:kern w:val="0"/>
                <w:sz w:val="20"/>
                <w:szCs w:val="18"/>
                <w:lang w:eastAsia="en-IN"/>
              </w:rPr>
              <w:t>Oblong</w:t>
            </w:r>
          </w:p>
        </w:tc>
        <w:tc>
          <w:tcPr>
            <w:tcW w:w="1094" w:type="dxa"/>
            <w:tcBorders>
              <w:top w:val="single" w:color="000000" w:sz="4" w:space="0"/>
              <w:left w:val="single" w:color="000000" w:sz="4" w:space="0"/>
              <w:bottom w:val="single" w:color="000000" w:sz="4" w:space="0"/>
              <w:right w:val="single" w:color="000000" w:sz="4" w:space="0"/>
            </w:tcBorders>
          </w:tcPr>
          <w:p w14:paraId="4FF1FFE5">
            <w:pPr>
              <w:spacing w:after="0" w:line="360" w:lineRule="auto"/>
              <w:jc w:val="center"/>
              <w:rPr>
                <w:rFonts w:eastAsia="Times New Roman"/>
                <w:kern w:val="0"/>
                <w:sz w:val="18"/>
                <w:szCs w:val="18"/>
                <w:lang w:eastAsia="en-IN"/>
              </w:rPr>
            </w:pPr>
            <w:r>
              <w:rPr>
                <w:rFonts w:eastAsia="Times New Roman"/>
                <w:kern w:val="0"/>
                <w:sz w:val="20"/>
                <w:szCs w:val="18"/>
                <w:lang w:eastAsia="en-IN"/>
              </w:rPr>
              <w:t>Retuse</w:t>
            </w:r>
          </w:p>
        </w:tc>
        <w:tc>
          <w:tcPr>
            <w:tcW w:w="1600" w:type="dxa"/>
            <w:tcBorders>
              <w:top w:val="single" w:color="000000" w:sz="4" w:space="0"/>
              <w:left w:val="single" w:color="000000" w:sz="4" w:space="0"/>
              <w:bottom w:val="single" w:color="000000" w:sz="4" w:space="0"/>
              <w:right w:val="single" w:color="000000" w:sz="4" w:space="0"/>
            </w:tcBorders>
          </w:tcPr>
          <w:p w14:paraId="11F2DA52">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2CAE455F">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34A80F3A">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2E5CE303">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77CFE8C5">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3D656F11">
            <w:pPr>
              <w:spacing w:after="0" w:line="360" w:lineRule="auto"/>
              <w:jc w:val="center"/>
              <w:rPr>
                <w:rFonts w:eastAsia="Times New Roman"/>
                <w:kern w:val="0"/>
                <w:sz w:val="18"/>
                <w:szCs w:val="18"/>
                <w:lang w:eastAsia="en-IN"/>
              </w:rPr>
            </w:pPr>
            <w:r>
              <w:rPr>
                <w:rFonts w:eastAsia="Times New Roman"/>
                <w:kern w:val="0"/>
                <w:sz w:val="20"/>
                <w:szCs w:val="18"/>
                <w:lang w:eastAsia="en-IN"/>
              </w:rPr>
              <w:t>Muttamvarikka</w:t>
            </w:r>
          </w:p>
        </w:tc>
        <w:tc>
          <w:tcPr>
            <w:tcW w:w="1606" w:type="dxa"/>
            <w:tcBorders>
              <w:top w:val="single" w:color="000000" w:sz="4" w:space="0"/>
              <w:left w:val="single" w:color="000000" w:sz="4" w:space="0"/>
              <w:bottom w:val="single" w:color="000000" w:sz="4" w:space="0"/>
              <w:right w:val="single" w:color="000000" w:sz="4" w:space="0"/>
            </w:tcBorders>
          </w:tcPr>
          <w:p w14:paraId="7762C05B">
            <w:pPr>
              <w:spacing w:after="0" w:line="360" w:lineRule="auto"/>
              <w:jc w:val="center"/>
              <w:rPr>
                <w:rFonts w:eastAsia="Times New Roman"/>
                <w:kern w:val="0"/>
                <w:sz w:val="18"/>
                <w:szCs w:val="18"/>
                <w:lang w:eastAsia="en-IN"/>
              </w:rPr>
            </w:pPr>
            <w:r>
              <w:rPr>
                <w:rFonts w:eastAsia="Times New Roman"/>
                <w:kern w:val="0"/>
                <w:sz w:val="20"/>
                <w:szCs w:val="18"/>
                <w:lang w:eastAsia="en-IN"/>
              </w:rPr>
              <w:t>Oblong</w:t>
            </w:r>
          </w:p>
        </w:tc>
        <w:tc>
          <w:tcPr>
            <w:tcW w:w="1094" w:type="dxa"/>
            <w:tcBorders>
              <w:top w:val="single" w:color="000000" w:sz="4" w:space="0"/>
              <w:left w:val="single" w:color="000000" w:sz="4" w:space="0"/>
              <w:bottom w:val="single" w:color="000000" w:sz="4" w:space="0"/>
              <w:right w:val="single" w:color="000000" w:sz="4" w:space="0"/>
            </w:tcBorders>
          </w:tcPr>
          <w:p w14:paraId="227A5374">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49E04E4D">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3D28AC8D">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5C706920">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5F7DCA8A">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7676900A">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7E21C932">
            <w:pPr>
              <w:spacing w:after="0" w:line="360" w:lineRule="auto"/>
              <w:jc w:val="center"/>
              <w:rPr>
                <w:rFonts w:eastAsia="Times New Roman"/>
                <w:kern w:val="0"/>
                <w:sz w:val="18"/>
                <w:szCs w:val="18"/>
                <w:lang w:eastAsia="en-IN"/>
              </w:rPr>
            </w:pPr>
            <w:r>
              <w:rPr>
                <w:rFonts w:eastAsia="Times New Roman"/>
                <w:kern w:val="0"/>
                <w:sz w:val="20"/>
                <w:szCs w:val="18"/>
                <w:lang w:eastAsia="en-IN"/>
              </w:rPr>
              <w:t>NSP</w:t>
            </w:r>
          </w:p>
        </w:tc>
        <w:tc>
          <w:tcPr>
            <w:tcW w:w="1606" w:type="dxa"/>
            <w:tcBorders>
              <w:top w:val="single" w:color="000000" w:sz="4" w:space="0"/>
              <w:left w:val="single" w:color="000000" w:sz="4" w:space="0"/>
              <w:bottom w:val="single" w:color="000000" w:sz="4" w:space="0"/>
              <w:right w:val="single" w:color="000000" w:sz="4" w:space="0"/>
            </w:tcBorders>
          </w:tcPr>
          <w:p w14:paraId="71307846">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6B831208">
            <w:pPr>
              <w:spacing w:after="0" w:line="360" w:lineRule="auto"/>
              <w:jc w:val="center"/>
              <w:rPr>
                <w:rFonts w:eastAsia="Times New Roman"/>
                <w:kern w:val="0"/>
                <w:sz w:val="18"/>
                <w:szCs w:val="18"/>
                <w:lang w:eastAsia="en-IN"/>
              </w:rPr>
            </w:pPr>
            <w:r>
              <w:rPr>
                <w:rFonts w:eastAsia="Times New Roman"/>
                <w:kern w:val="0"/>
                <w:sz w:val="20"/>
                <w:szCs w:val="18"/>
                <w:lang w:eastAsia="en-IN"/>
              </w:rPr>
              <w:t>Acute</w:t>
            </w:r>
          </w:p>
        </w:tc>
        <w:tc>
          <w:tcPr>
            <w:tcW w:w="1600" w:type="dxa"/>
            <w:tcBorders>
              <w:top w:val="single" w:color="000000" w:sz="4" w:space="0"/>
              <w:left w:val="single" w:color="000000" w:sz="4" w:space="0"/>
              <w:bottom w:val="single" w:color="000000" w:sz="4" w:space="0"/>
              <w:right w:val="single" w:color="000000" w:sz="4" w:space="0"/>
            </w:tcBorders>
          </w:tcPr>
          <w:p w14:paraId="1E57BFCF">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27662844">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152377CC">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0CB77E57">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7FA24802">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3D80D7EE">
            <w:pPr>
              <w:spacing w:after="0" w:line="360" w:lineRule="auto"/>
              <w:jc w:val="center"/>
              <w:rPr>
                <w:rFonts w:eastAsia="Times New Roman"/>
                <w:kern w:val="0"/>
                <w:sz w:val="18"/>
                <w:szCs w:val="18"/>
                <w:lang w:eastAsia="en-IN"/>
              </w:rPr>
            </w:pPr>
            <w:r>
              <w:rPr>
                <w:rFonts w:eastAsia="Times New Roman"/>
                <w:kern w:val="0"/>
                <w:sz w:val="20"/>
                <w:szCs w:val="18"/>
                <w:lang w:eastAsia="en-IN"/>
              </w:rPr>
              <w:t>Palur-1</w:t>
            </w:r>
          </w:p>
        </w:tc>
        <w:tc>
          <w:tcPr>
            <w:tcW w:w="1606" w:type="dxa"/>
            <w:tcBorders>
              <w:top w:val="single" w:color="000000" w:sz="4" w:space="0"/>
              <w:left w:val="single" w:color="000000" w:sz="4" w:space="0"/>
              <w:bottom w:val="single" w:color="000000" w:sz="4" w:space="0"/>
              <w:right w:val="single" w:color="000000" w:sz="4" w:space="0"/>
            </w:tcBorders>
          </w:tcPr>
          <w:p w14:paraId="12E88886">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7DCA45F5">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53EABA92">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6F044289">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11797743">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7BE0F19E">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34365717">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0FB1809F">
            <w:pPr>
              <w:spacing w:after="0" w:line="360" w:lineRule="auto"/>
              <w:jc w:val="center"/>
              <w:rPr>
                <w:rFonts w:eastAsia="Times New Roman"/>
                <w:kern w:val="0"/>
                <w:sz w:val="18"/>
                <w:szCs w:val="18"/>
                <w:lang w:eastAsia="en-IN"/>
              </w:rPr>
            </w:pPr>
            <w:r>
              <w:rPr>
                <w:rFonts w:eastAsia="Times New Roman"/>
                <w:kern w:val="0"/>
                <w:sz w:val="20"/>
                <w:szCs w:val="18"/>
                <w:lang w:eastAsia="en-IN"/>
              </w:rPr>
              <w:t>Prashanti</w:t>
            </w:r>
          </w:p>
        </w:tc>
        <w:tc>
          <w:tcPr>
            <w:tcW w:w="1606" w:type="dxa"/>
            <w:tcBorders>
              <w:top w:val="single" w:color="000000" w:sz="4" w:space="0"/>
              <w:left w:val="single" w:color="000000" w:sz="4" w:space="0"/>
              <w:bottom w:val="single" w:color="000000" w:sz="4" w:space="0"/>
              <w:right w:val="single" w:color="000000" w:sz="4" w:space="0"/>
            </w:tcBorders>
          </w:tcPr>
          <w:p w14:paraId="27A00C09">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41FA788E">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40EFBDC5">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485014C5">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43399A1D">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13DA2E7E">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r w14:paraId="0643EBE3">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23B7D37E">
            <w:pPr>
              <w:spacing w:after="0" w:line="360" w:lineRule="auto"/>
              <w:jc w:val="center"/>
              <w:rPr>
                <w:rFonts w:eastAsia="Times New Roman"/>
                <w:kern w:val="0"/>
                <w:sz w:val="18"/>
                <w:szCs w:val="18"/>
                <w:lang w:eastAsia="en-IN"/>
              </w:rPr>
            </w:pPr>
            <w:r>
              <w:rPr>
                <w:rFonts w:eastAsia="Times New Roman"/>
                <w:kern w:val="0"/>
                <w:sz w:val="20"/>
                <w:szCs w:val="18"/>
                <w:lang w:eastAsia="en-IN"/>
              </w:rPr>
              <w:t>Ramachandra</w:t>
            </w:r>
          </w:p>
        </w:tc>
        <w:tc>
          <w:tcPr>
            <w:tcW w:w="1606" w:type="dxa"/>
            <w:tcBorders>
              <w:top w:val="single" w:color="000000" w:sz="4" w:space="0"/>
              <w:left w:val="single" w:color="000000" w:sz="4" w:space="0"/>
              <w:bottom w:val="single" w:color="000000" w:sz="4" w:space="0"/>
              <w:right w:val="single" w:color="000000" w:sz="4" w:space="0"/>
            </w:tcBorders>
          </w:tcPr>
          <w:p w14:paraId="5E393CD9">
            <w:pPr>
              <w:spacing w:after="0" w:line="360" w:lineRule="auto"/>
              <w:jc w:val="center"/>
              <w:rPr>
                <w:rFonts w:eastAsia="Times New Roman"/>
                <w:kern w:val="0"/>
                <w:sz w:val="18"/>
                <w:szCs w:val="18"/>
                <w:lang w:eastAsia="en-IN"/>
              </w:rPr>
            </w:pPr>
            <w:r>
              <w:rPr>
                <w:rFonts w:eastAsia="Times New Roman"/>
                <w:kern w:val="0"/>
                <w:sz w:val="20"/>
                <w:szCs w:val="18"/>
                <w:lang w:eastAsia="en-IN"/>
              </w:rPr>
              <w:t>Obovate</w:t>
            </w:r>
          </w:p>
        </w:tc>
        <w:tc>
          <w:tcPr>
            <w:tcW w:w="1094" w:type="dxa"/>
            <w:tcBorders>
              <w:top w:val="single" w:color="000000" w:sz="4" w:space="0"/>
              <w:left w:val="single" w:color="000000" w:sz="4" w:space="0"/>
              <w:bottom w:val="single" w:color="000000" w:sz="4" w:space="0"/>
              <w:right w:val="single" w:color="000000" w:sz="4" w:space="0"/>
            </w:tcBorders>
          </w:tcPr>
          <w:p w14:paraId="54E033E3">
            <w:pPr>
              <w:spacing w:after="0" w:line="360" w:lineRule="auto"/>
              <w:jc w:val="center"/>
              <w:rPr>
                <w:rFonts w:eastAsia="Times New Roman"/>
                <w:kern w:val="0"/>
                <w:sz w:val="18"/>
                <w:szCs w:val="18"/>
                <w:lang w:eastAsia="en-IN"/>
              </w:rPr>
            </w:pPr>
            <w:r>
              <w:rPr>
                <w:rFonts w:eastAsia="Times New Roman"/>
                <w:kern w:val="0"/>
                <w:sz w:val="20"/>
                <w:szCs w:val="18"/>
                <w:lang w:eastAsia="en-IN"/>
              </w:rPr>
              <w:t>Acute</w:t>
            </w:r>
          </w:p>
        </w:tc>
        <w:tc>
          <w:tcPr>
            <w:tcW w:w="1600" w:type="dxa"/>
            <w:tcBorders>
              <w:top w:val="single" w:color="000000" w:sz="4" w:space="0"/>
              <w:left w:val="single" w:color="000000" w:sz="4" w:space="0"/>
              <w:bottom w:val="single" w:color="000000" w:sz="4" w:space="0"/>
              <w:right w:val="single" w:color="000000" w:sz="4" w:space="0"/>
            </w:tcBorders>
          </w:tcPr>
          <w:p w14:paraId="38336A40">
            <w:pPr>
              <w:spacing w:after="0" w:line="360" w:lineRule="auto"/>
              <w:jc w:val="center"/>
              <w:rPr>
                <w:rFonts w:eastAsia="Times New Roman"/>
                <w:kern w:val="0"/>
                <w:sz w:val="18"/>
                <w:szCs w:val="18"/>
                <w:lang w:eastAsia="en-IN"/>
              </w:rPr>
            </w:pPr>
            <w:r>
              <w:rPr>
                <w:rFonts w:eastAsia="Times New Roman"/>
                <w:kern w:val="0"/>
                <w:sz w:val="20"/>
                <w:szCs w:val="18"/>
                <w:lang w:eastAsia="en-IN"/>
              </w:rPr>
              <w:t>Oblique</w:t>
            </w:r>
          </w:p>
        </w:tc>
        <w:tc>
          <w:tcPr>
            <w:tcW w:w="950" w:type="dxa"/>
            <w:tcBorders>
              <w:top w:val="single" w:color="000000" w:sz="4" w:space="0"/>
              <w:left w:val="single" w:color="000000" w:sz="4" w:space="0"/>
              <w:bottom w:val="single" w:color="000000" w:sz="4" w:space="0"/>
              <w:right w:val="single" w:color="000000" w:sz="4" w:space="0"/>
            </w:tcBorders>
          </w:tcPr>
          <w:p w14:paraId="277FEA79">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7152F9E6">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1749D382">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266801B1">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76BD05C7">
            <w:pPr>
              <w:spacing w:after="0" w:line="360" w:lineRule="auto"/>
              <w:jc w:val="center"/>
              <w:rPr>
                <w:rFonts w:eastAsia="Times New Roman"/>
                <w:kern w:val="0"/>
                <w:sz w:val="18"/>
                <w:szCs w:val="18"/>
                <w:lang w:eastAsia="en-IN"/>
              </w:rPr>
            </w:pPr>
            <w:r>
              <w:rPr>
                <w:rFonts w:eastAsia="Times New Roman"/>
                <w:kern w:val="0"/>
                <w:sz w:val="20"/>
                <w:szCs w:val="18"/>
                <w:lang w:eastAsia="en-IN"/>
              </w:rPr>
              <w:t>Roja</w:t>
            </w:r>
          </w:p>
        </w:tc>
        <w:tc>
          <w:tcPr>
            <w:tcW w:w="1606" w:type="dxa"/>
            <w:tcBorders>
              <w:top w:val="single" w:color="000000" w:sz="4" w:space="0"/>
              <w:left w:val="single" w:color="000000" w:sz="4" w:space="0"/>
              <w:bottom w:val="single" w:color="000000" w:sz="4" w:space="0"/>
              <w:right w:val="single" w:color="000000" w:sz="4" w:space="0"/>
            </w:tcBorders>
          </w:tcPr>
          <w:p w14:paraId="4C93AAD6">
            <w:pPr>
              <w:spacing w:after="0" w:line="360" w:lineRule="auto"/>
              <w:jc w:val="center"/>
              <w:rPr>
                <w:rFonts w:eastAsia="Times New Roman"/>
                <w:kern w:val="0"/>
                <w:sz w:val="18"/>
                <w:szCs w:val="18"/>
                <w:lang w:eastAsia="en-IN"/>
              </w:rPr>
            </w:pPr>
            <w:r>
              <w:rPr>
                <w:rFonts w:eastAsia="Times New Roman"/>
                <w:kern w:val="0"/>
                <w:sz w:val="20"/>
                <w:szCs w:val="18"/>
                <w:lang w:eastAsia="en-IN"/>
              </w:rPr>
              <w:t>Narrowly elliptic</w:t>
            </w:r>
          </w:p>
        </w:tc>
        <w:tc>
          <w:tcPr>
            <w:tcW w:w="1094" w:type="dxa"/>
            <w:tcBorders>
              <w:top w:val="single" w:color="000000" w:sz="4" w:space="0"/>
              <w:left w:val="single" w:color="000000" w:sz="4" w:space="0"/>
              <w:bottom w:val="single" w:color="000000" w:sz="4" w:space="0"/>
              <w:right w:val="single" w:color="000000" w:sz="4" w:space="0"/>
            </w:tcBorders>
          </w:tcPr>
          <w:p w14:paraId="580DC435">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232D17BF">
            <w:pPr>
              <w:spacing w:after="0" w:line="360" w:lineRule="auto"/>
              <w:jc w:val="center"/>
              <w:rPr>
                <w:rFonts w:eastAsia="Times New Roman"/>
                <w:kern w:val="0"/>
                <w:sz w:val="18"/>
                <w:szCs w:val="18"/>
                <w:lang w:eastAsia="en-IN"/>
              </w:rPr>
            </w:pPr>
            <w:r>
              <w:rPr>
                <w:rFonts w:eastAsia="Times New Roman"/>
                <w:kern w:val="0"/>
                <w:sz w:val="20"/>
                <w:szCs w:val="18"/>
                <w:lang w:eastAsia="en-IN"/>
              </w:rPr>
              <w:t>Shortly attenuate</w:t>
            </w:r>
          </w:p>
        </w:tc>
        <w:tc>
          <w:tcPr>
            <w:tcW w:w="950" w:type="dxa"/>
            <w:tcBorders>
              <w:top w:val="single" w:color="000000" w:sz="4" w:space="0"/>
              <w:left w:val="single" w:color="000000" w:sz="4" w:space="0"/>
              <w:bottom w:val="single" w:color="000000" w:sz="4" w:space="0"/>
              <w:right w:val="single" w:color="000000" w:sz="4" w:space="0"/>
            </w:tcBorders>
          </w:tcPr>
          <w:p w14:paraId="13F4C2D8">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2FE3A4BF">
            <w:pPr>
              <w:spacing w:after="0" w:line="360" w:lineRule="auto"/>
              <w:jc w:val="center"/>
              <w:rPr>
                <w:rFonts w:eastAsia="Times New Roman"/>
                <w:kern w:val="0"/>
                <w:sz w:val="18"/>
                <w:szCs w:val="18"/>
                <w:lang w:eastAsia="en-IN"/>
              </w:rPr>
            </w:pPr>
            <w:r>
              <w:rPr>
                <w:rFonts w:eastAsia="Times New Roman"/>
                <w:kern w:val="0"/>
                <w:sz w:val="20"/>
                <w:szCs w:val="18"/>
                <w:lang w:eastAsia="en-IN"/>
              </w:rPr>
              <w:t>Dark green</w:t>
            </w:r>
          </w:p>
        </w:tc>
        <w:tc>
          <w:tcPr>
            <w:tcW w:w="961" w:type="dxa"/>
            <w:tcBorders>
              <w:top w:val="single" w:color="000000" w:sz="4" w:space="0"/>
              <w:left w:val="single" w:color="000000" w:sz="4" w:space="0"/>
              <w:bottom w:val="single" w:color="000000" w:sz="4" w:space="0"/>
              <w:right w:val="single" w:color="000000" w:sz="4" w:space="0"/>
            </w:tcBorders>
          </w:tcPr>
          <w:p w14:paraId="4B3409C7">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4CE2938D">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7F15BA70">
            <w:pPr>
              <w:spacing w:after="0" w:line="360" w:lineRule="auto"/>
              <w:jc w:val="center"/>
              <w:rPr>
                <w:rFonts w:eastAsia="Times New Roman"/>
                <w:kern w:val="0"/>
                <w:sz w:val="18"/>
                <w:szCs w:val="18"/>
                <w:lang w:eastAsia="en-IN"/>
              </w:rPr>
            </w:pPr>
            <w:r>
              <w:rPr>
                <w:rFonts w:eastAsia="Times New Roman"/>
                <w:kern w:val="0"/>
                <w:sz w:val="20"/>
                <w:szCs w:val="18"/>
                <w:lang w:eastAsia="en-IN"/>
              </w:rPr>
              <w:t>Thailand</w:t>
            </w:r>
          </w:p>
        </w:tc>
        <w:tc>
          <w:tcPr>
            <w:tcW w:w="1606" w:type="dxa"/>
            <w:tcBorders>
              <w:top w:val="single" w:color="000000" w:sz="4" w:space="0"/>
              <w:left w:val="single" w:color="000000" w:sz="4" w:space="0"/>
              <w:bottom w:val="single" w:color="000000" w:sz="4" w:space="0"/>
              <w:right w:val="single" w:color="000000" w:sz="4" w:space="0"/>
            </w:tcBorders>
          </w:tcPr>
          <w:p w14:paraId="7F9E6467">
            <w:pPr>
              <w:spacing w:after="0" w:line="360" w:lineRule="auto"/>
              <w:jc w:val="center"/>
              <w:rPr>
                <w:rFonts w:eastAsia="Times New Roman"/>
                <w:kern w:val="0"/>
                <w:sz w:val="18"/>
                <w:szCs w:val="18"/>
                <w:lang w:eastAsia="en-IN"/>
              </w:rPr>
            </w:pPr>
            <w:r>
              <w:rPr>
                <w:rFonts w:eastAsia="Times New Roman"/>
                <w:kern w:val="0"/>
                <w:sz w:val="20"/>
                <w:szCs w:val="18"/>
                <w:lang w:eastAsia="en-IN"/>
              </w:rPr>
              <w:t>Elliptic</w:t>
            </w:r>
          </w:p>
        </w:tc>
        <w:tc>
          <w:tcPr>
            <w:tcW w:w="1094" w:type="dxa"/>
            <w:tcBorders>
              <w:top w:val="single" w:color="000000" w:sz="4" w:space="0"/>
              <w:left w:val="single" w:color="000000" w:sz="4" w:space="0"/>
              <w:bottom w:val="single" w:color="000000" w:sz="4" w:space="0"/>
              <w:right w:val="single" w:color="000000" w:sz="4" w:space="0"/>
            </w:tcBorders>
          </w:tcPr>
          <w:p w14:paraId="7A7EBE39">
            <w:pPr>
              <w:spacing w:after="0" w:line="360" w:lineRule="auto"/>
              <w:jc w:val="center"/>
              <w:rPr>
                <w:rFonts w:eastAsia="Times New Roman"/>
                <w:kern w:val="0"/>
                <w:sz w:val="18"/>
                <w:szCs w:val="18"/>
                <w:lang w:eastAsia="en-IN"/>
              </w:rPr>
            </w:pPr>
            <w:r>
              <w:rPr>
                <w:rFonts w:eastAsia="Times New Roman"/>
                <w:kern w:val="0"/>
                <w:sz w:val="20"/>
                <w:szCs w:val="18"/>
                <w:lang w:eastAsia="en-IN"/>
              </w:rPr>
              <w:t>Acuminate</w:t>
            </w:r>
          </w:p>
        </w:tc>
        <w:tc>
          <w:tcPr>
            <w:tcW w:w="1600" w:type="dxa"/>
            <w:tcBorders>
              <w:top w:val="single" w:color="000000" w:sz="4" w:space="0"/>
              <w:left w:val="single" w:color="000000" w:sz="4" w:space="0"/>
              <w:bottom w:val="single" w:color="000000" w:sz="4" w:space="0"/>
              <w:right w:val="single" w:color="000000" w:sz="4" w:space="0"/>
            </w:tcBorders>
          </w:tcPr>
          <w:p w14:paraId="6B5485D1">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249E9F89">
            <w:pPr>
              <w:spacing w:after="0" w:line="360" w:lineRule="auto"/>
              <w:jc w:val="center"/>
              <w:rPr>
                <w:rFonts w:eastAsia="Times New Roman"/>
                <w:kern w:val="0"/>
                <w:sz w:val="18"/>
                <w:szCs w:val="18"/>
                <w:lang w:eastAsia="en-IN"/>
              </w:rPr>
            </w:pPr>
            <w:r>
              <w:rPr>
                <w:rFonts w:eastAsia="Times New Roman"/>
                <w:kern w:val="0"/>
                <w:sz w:val="20"/>
                <w:szCs w:val="18"/>
                <w:lang w:eastAsia="en-IN"/>
              </w:rPr>
              <w:t>Entire</w:t>
            </w:r>
          </w:p>
        </w:tc>
        <w:tc>
          <w:tcPr>
            <w:tcW w:w="1246" w:type="dxa"/>
            <w:tcBorders>
              <w:top w:val="single" w:color="000000" w:sz="4" w:space="0"/>
              <w:left w:val="single" w:color="000000" w:sz="4" w:space="0"/>
              <w:bottom w:val="single" w:color="000000" w:sz="4" w:space="0"/>
              <w:right w:val="single" w:color="000000" w:sz="4" w:space="0"/>
            </w:tcBorders>
          </w:tcPr>
          <w:p w14:paraId="745B00F1">
            <w:pPr>
              <w:spacing w:after="0" w:line="360" w:lineRule="auto"/>
              <w:jc w:val="center"/>
              <w:rPr>
                <w:rFonts w:eastAsia="Times New Roman"/>
                <w:kern w:val="0"/>
                <w:sz w:val="18"/>
                <w:szCs w:val="18"/>
                <w:lang w:eastAsia="en-IN"/>
              </w:rPr>
            </w:pPr>
            <w:r>
              <w:rPr>
                <w:rFonts w:eastAsia="Times New Roman"/>
                <w:kern w:val="0"/>
                <w:sz w:val="20"/>
                <w:szCs w:val="18"/>
                <w:lang w:eastAsia="en-IN"/>
              </w:rPr>
              <w:t>Light green</w:t>
            </w:r>
          </w:p>
        </w:tc>
        <w:tc>
          <w:tcPr>
            <w:tcW w:w="961" w:type="dxa"/>
            <w:tcBorders>
              <w:top w:val="single" w:color="000000" w:sz="4" w:space="0"/>
              <w:left w:val="single" w:color="000000" w:sz="4" w:space="0"/>
              <w:bottom w:val="single" w:color="000000" w:sz="4" w:space="0"/>
              <w:right w:val="single" w:color="000000" w:sz="4" w:space="0"/>
            </w:tcBorders>
          </w:tcPr>
          <w:p w14:paraId="624003E7">
            <w:pPr>
              <w:spacing w:after="0" w:line="360" w:lineRule="auto"/>
              <w:jc w:val="center"/>
              <w:rPr>
                <w:rFonts w:eastAsia="Times New Roman"/>
                <w:kern w:val="0"/>
                <w:sz w:val="18"/>
                <w:szCs w:val="18"/>
                <w:lang w:eastAsia="en-IN"/>
              </w:rPr>
            </w:pPr>
            <w:r>
              <w:rPr>
                <w:rFonts w:eastAsia="Times New Roman"/>
                <w:kern w:val="0"/>
                <w:sz w:val="20"/>
                <w:szCs w:val="18"/>
                <w:lang w:eastAsia="en-IN"/>
              </w:rPr>
              <w:t>Flattened</w:t>
            </w:r>
          </w:p>
        </w:tc>
      </w:tr>
      <w:tr w14:paraId="2AF1FFB3">
        <w:tblPrEx>
          <w:tblCellMar>
            <w:top w:w="0" w:type="dxa"/>
            <w:left w:w="108" w:type="dxa"/>
            <w:bottom w:w="0" w:type="dxa"/>
            <w:right w:w="108" w:type="dxa"/>
          </w:tblCellMar>
        </w:tblPrEx>
        <w:trPr>
          <w:jc w:val="center"/>
        </w:trPr>
        <w:tc>
          <w:tcPr>
            <w:tcW w:w="1785" w:type="dxa"/>
            <w:tcBorders>
              <w:top w:val="single" w:color="000000" w:sz="4" w:space="0"/>
              <w:left w:val="single" w:color="000000" w:sz="4" w:space="0"/>
              <w:bottom w:val="single" w:color="000000" w:sz="4" w:space="0"/>
              <w:right w:val="single" w:color="000000" w:sz="4" w:space="0"/>
            </w:tcBorders>
          </w:tcPr>
          <w:p w14:paraId="2B4371E0">
            <w:pPr>
              <w:spacing w:after="0" w:line="360" w:lineRule="auto"/>
              <w:jc w:val="center"/>
              <w:rPr>
                <w:rFonts w:eastAsia="Times New Roman"/>
                <w:kern w:val="0"/>
                <w:sz w:val="18"/>
                <w:szCs w:val="18"/>
                <w:lang w:eastAsia="en-IN"/>
              </w:rPr>
            </w:pPr>
            <w:r>
              <w:rPr>
                <w:rFonts w:eastAsia="Times New Roman"/>
                <w:kern w:val="0"/>
                <w:sz w:val="20"/>
                <w:szCs w:val="18"/>
                <w:lang w:eastAsia="en-IN"/>
              </w:rPr>
              <w:t>Yellow round</w:t>
            </w:r>
          </w:p>
        </w:tc>
        <w:tc>
          <w:tcPr>
            <w:tcW w:w="1606" w:type="dxa"/>
            <w:tcBorders>
              <w:top w:val="single" w:color="000000" w:sz="4" w:space="0"/>
              <w:left w:val="single" w:color="000000" w:sz="4" w:space="0"/>
              <w:bottom w:val="single" w:color="000000" w:sz="4" w:space="0"/>
              <w:right w:val="single" w:color="000000" w:sz="4" w:space="0"/>
            </w:tcBorders>
          </w:tcPr>
          <w:p w14:paraId="55745632">
            <w:pPr>
              <w:spacing w:after="0" w:line="360" w:lineRule="auto"/>
              <w:jc w:val="center"/>
              <w:rPr>
                <w:rFonts w:eastAsia="Times New Roman"/>
                <w:kern w:val="0"/>
                <w:sz w:val="18"/>
                <w:szCs w:val="18"/>
                <w:lang w:eastAsia="en-IN"/>
              </w:rPr>
            </w:pPr>
            <w:r>
              <w:rPr>
                <w:rFonts w:eastAsia="Times New Roman"/>
                <w:kern w:val="0"/>
                <w:sz w:val="20"/>
                <w:szCs w:val="18"/>
                <w:lang w:eastAsia="en-IN"/>
              </w:rPr>
              <w:t>Obovate</w:t>
            </w:r>
          </w:p>
        </w:tc>
        <w:tc>
          <w:tcPr>
            <w:tcW w:w="1094" w:type="dxa"/>
            <w:tcBorders>
              <w:top w:val="single" w:color="000000" w:sz="4" w:space="0"/>
              <w:left w:val="single" w:color="000000" w:sz="4" w:space="0"/>
              <w:bottom w:val="single" w:color="000000" w:sz="4" w:space="0"/>
              <w:right w:val="single" w:color="000000" w:sz="4" w:space="0"/>
            </w:tcBorders>
          </w:tcPr>
          <w:p w14:paraId="6B1BA25D">
            <w:pPr>
              <w:spacing w:after="0" w:line="360" w:lineRule="auto"/>
              <w:jc w:val="center"/>
              <w:rPr>
                <w:rFonts w:eastAsia="Times New Roman"/>
                <w:kern w:val="0"/>
                <w:sz w:val="18"/>
                <w:szCs w:val="18"/>
                <w:lang w:eastAsia="en-IN"/>
              </w:rPr>
            </w:pPr>
            <w:r>
              <w:rPr>
                <w:rFonts w:eastAsia="Times New Roman"/>
                <w:kern w:val="0"/>
                <w:sz w:val="20"/>
                <w:szCs w:val="18"/>
                <w:lang w:eastAsia="en-IN"/>
              </w:rPr>
              <w:t>Acute</w:t>
            </w:r>
          </w:p>
        </w:tc>
        <w:tc>
          <w:tcPr>
            <w:tcW w:w="1600" w:type="dxa"/>
            <w:tcBorders>
              <w:top w:val="single" w:color="000000" w:sz="4" w:space="0"/>
              <w:left w:val="single" w:color="000000" w:sz="4" w:space="0"/>
              <w:bottom w:val="single" w:color="000000" w:sz="4" w:space="0"/>
              <w:right w:val="single" w:color="000000" w:sz="4" w:space="0"/>
            </w:tcBorders>
          </w:tcPr>
          <w:p w14:paraId="1E30C0B3">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c>
          <w:tcPr>
            <w:tcW w:w="950" w:type="dxa"/>
            <w:tcBorders>
              <w:top w:val="single" w:color="000000" w:sz="4" w:space="0"/>
              <w:left w:val="single" w:color="000000" w:sz="4" w:space="0"/>
              <w:bottom w:val="single" w:color="000000" w:sz="4" w:space="0"/>
              <w:right w:val="single" w:color="000000" w:sz="4" w:space="0"/>
            </w:tcBorders>
          </w:tcPr>
          <w:p w14:paraId="4F5D50B1">
            <w:pPr>
              <w:spacing w:after="0" w:line="360" w:lineRule="auto"/>
              <w:jc w:val="center"/>
              <w:rPr>
                <w:rFonts w:eastAsia="Times New Roman"/>
                <w:kern w:val="0"/>
                <w:sz w:val="18"/>
                <w:szCs w:val="18"/>
                <w:lang w:eastAsia="en-IN"/>
              </w:rPr>
            </w:pPr>
            <w:r>
              <w:rPr>
                <w:rFonts w:eastAsia="Times New Roman"/>
                <w:kern w:val="0"/>
                <w:sz w:val="20"/>
                <w:szCs w:val="18"/>
                <w:lang w:eastAsia="en-IN"/>
              </w:rPr>
              <w:t>Undulate</w:t>
            </w:r>
          </w:p>
        </w:tc>
        <w:tc>
          <w:tcPr>
            <w:tcW w:w="1246" w:type="dxa"/>
            <w:tcBorders>
              <w:top w:val="single" w:color="000000" w:sz="4" w:space="0"/>
              <w:left w:val="single" w:color="000000" w:sz="4" w:space="0"/>
              <w:bottom w:val="single" w:color="000000" w:sz="4" w:space="0"/>
              <w:right w:val="single" w:color="000000" w:sz="4" w:space="0"/>
            </w:tcBorders>
          </w:tcPr>
          <w:p w14:paraId="49ED82F2">
            <w:pPr>
              <w:spacing w:after="0" w:line="360" w:lineRule="auto"/>
              <w:jc w:val="center"/>
              <w:rPr>
                <w:rFonts w:eastAsia="Times New Roman"/>
                <w:kern w:val="0"/>
                <w:sz w:val="18"/>
                <w:szCs w:val="18"/>
                <w:lang w:eastAsia="en-IN"/>
              </w:rPr>
            </w:pPr>
            <w:r>
              <w:rPr>
                <w:rFonts w:eastAsia="Times New Roman"/>
                <w:kern w:val="0"/>
                <w:sz w:val="20"/>
                <w:szCs w:val="18"/>
                <w:lang w:eastAsia="en-IN"/>
              </w:rPr>
              <w:t>Green</w:t>
            </w:r>
          </w:p>
        </w:tc>
        <w:tc>
          <w:tcPr>
            <w:tcW w:w="961" w:type="dxa"/>
            <w:tcBorders>
              <w:top w:val="single" w:color="000000" w:sz="4" w:space="0"/>
              <w:left w:val="single" w:color="000000" w:sz="4" w:space="0"/>
              <w:bottom w:val="single" w:color="000000" w:sz="4" w:space="0"/>
              <w:right w:val="single" w:color="000000" w:sz="4" w:space="0"/>
            </w:tcBorders>
          </w:tcPr>
          <w:p w14:paraId="37C5664A">
            <w:pPr>
              <w:spacing w:after="0" w:line="360" w:lineRule="auto"/>
              <w:jc w:val="center"/>
              <w:rPr>
                <w:rFonts w:eastAsia="Times New Roman"/>
                <w:kern w:val="0"/>
                <w:sz w:val="18"/>
                <w:szCs w:val="18"/>
                <w:lang w:eastAsia="en-IN"/>
              </w:rPr>
            </w:pPr>
            <w:r>
              <w:rPr>
                <w:rFonts w:eastAsia="Times New Roman"/>
                <w:kern w:val="0"/>
                <w:sz w:val="20"/>
                <w:szCs w:val="18"/>
                <w:lang w:eastAsia="en-IN"/>
              </w:rPr>
              <w:t>Rounded</w:t>
            </w:r>
          </w:p>
        </w:tc>
      </w:tr>
    </w:tbl>
    <w:p w14:paraId="20EB2F33">
      <w:pPr>
        <w:spacing w:after="120" w:line="360" w:lineRule="auto"/>
        <w:jc w:val="both"/>
        <w:rPr>
          <w:b/>
          <w:bCs/>
        </w:rPr>
      </w:pPr>
    </w:p>
    <w:p w14:paraId="797E81B4">
      <w:pPr>
        <w:spacing w:after="0" w:line="360" w:lineRule="auto"/>
        <w:ind w:firstLine="720"/>
        <w:jc w:val="both"/>
        <w:rPr>
          <w:b/>
          <w:bCs/>
        </w:rPr>
      </w:pPr>
    </w:p>
    <w:p w14:paraId="0542CFDA">
      <w:pPr>
        <w:spacing w:after="0" w:line="360" w:lineRule="auto"/>
        <w:ind w:firstLine="720"/>
        <w:jc w:val="both"/>
      </w:pPr>
      <w:r>
        <w:t>genotypes exhibited an entire leaf margin, whereas Yellow round showed an undulate margin. Leaf colour varied from green to dark green, with Thailand recorded as light green. These qualitative differences provide additional morphological features for describing and distinguishing the evaluated genotypes. Differences in leaf morphological characteristics among selected genotypes are illustrated in Figure 1</w:t>
      </w:r>
    </w:p>
    <w:p w14:paraId="6F2CA29A">
      <w:pPr>
        <w:spacing w:after="0" w:line="360" w:lineRule="auto"/>
        <w:jc w:val="both"/>
        <w:rPr>
          <w:b/>
          <w:bCs/>
          <w:szCs w:val="28"/>
        </w:rPr>
      </w:pPr>
    </w:p>
    <w:p w14:paraId="1E66E7EE">
      <w:pPr>
        <w:spacing w:after="120"/>
      </w:pPr>
      <w:commentRangeStart w:id="6"/>
      <w:r>
        <w:rPr>
          <w:sz w:val="22"/>
        </w:rPr>
        <w:t>The predominance of elliptic leaf blades and acuminate apices, together with less frequent forms, provides descriptive contrasts among the accessions but does not by itself demonstrate the presence of distinct genetic groups. Related studies have reported considerable variation in jackfruit leaf and other vegetative characters and have used such descriptors to support germplasm characterization (Gwokyalya et al., 2024; Nakintu et al., 2023; Singh et al., 2018). As the expression of leaf form can be influenced by both inherited and environmental factors, repeated observations at comparable developmental stages would help establish which distinctions remain consistent (Gupta et al., 2020).</w:t>
      </w:r>
      <w:commentRangeEnd w:id="6"/>
      <w:r>
        <w:commentReference w:id="6"/>
      </w:r>
    </w:p>
    <w:p w14:paraId="6CDC6435">
      <w:pPr>
        <w:spacing w:after="120" w:line="360" w:lineRule="auto"/>
        <w:jc w:val="both"/>
      </w:pPr>
      <w:r>
        <w:pict>
          <v:shape id="Picture 4" o:spid="_x0000_s2051" o:spt="75" type="#_x0000_t75" style="position:absolute;left:0pt;margin-left:-10.3pt;margin-top:19.75pt;height:211.8pt;width:386.4pt;mso-position-horizontal-relative:margin;mso-wrap-distance-left:9.05pt;mso-wrap-distance-right:9.05pt;z-index:-251657216;mso-width-relative:page;mso-height-relative:page;" filled="f" o:preferrelative="t" stroked="f" coordsize="21600,21600" wrapcoords="-42 0 -42 21523 21600 21523 21600 0 -42 0" o:allowincell="f">
            <v:path/>
            <v:fill on="f" focussize="0,0"/>
            <v:stroke on="f" joinstyle="miter"/>
            <v:imagedata r:id="rId14" cropleft="-4f" croptop="-8f" cropright="-4f" cropbottom="-8f" o:title=""/>
            <o:lock v:ext="edit" aspectratio="t"/>
            <w10:wrap type="tight"/>
          </v:shape>
        </w:pict>
      </w:r>
      <w:r>
        <w:t>Figure 1. Leaf morphological variation among selected jackfruit genotypes.</w:t>
      </w:r>
    </w:p>
    <w:p w14:paraId="5DFD41C9">
      <w:pPr>
        <w:spacing w:after="120" w:line="360" w:lineRule="auto"/>
        <w:jc w:val="both"/>
      </w:pPr>
    </w:p>
    <w:p w14:paraId="57D191A9">
      <w:pPr>
        <w:spacing w:after="120" w:line="360" w:lineRule="auto"/>
        <w:jc w:val="both"/>
      </w:pPr>
    </w:p>
    <w:p w14:paraId="1DCDF1D7">
      <w:pPr>
        <w:spacing w:after="120" w:line="360" w:lineRule="auto"/>
        <w:jc w:val="both"/>
      </w:pPr>
    </w:p>
    <w:p w14:paraId="00C378BC">
      <w:pPr>
        <w:spacing w:after="0" w:line="360" w:lineRule="auto"/>
        <w:jc w:val="both"/>
        <w:rPr>
          <w:b/>
          <w:bCs/>
          <w:szCs w:val="28"/>
        </w:rPr>
      </w:pPr>
    </w:p>
    <w:p w14:paraId="65FB7D8A">
      <w:pPr>
        <w:spacing w:after="0" w:line="360" w:lineRule="auto"/>
        <w:jc w:val="both"/>
        <w:rPr>
          <w:b/>
          <w:bCs/>
          <w:szCs w:val="28"/>
        </w:rPr>
      </w:pPr>
    </w:p>
    <w:p w14:paraId="7C0C0EA4">
      <w:pPr>
        <w:spacing w:after="0" w:line="360" w:lineRule="auto"/>
        <w:jc w:val="both"/>
        <w:rPr>
          <w:b/>
          <w:bCs/>
        </w:rPr>
      </w:pPr>
    </w:p>
    <w:p w14:paraId="13AAA415">
      <w:pPr>
        <w:keepNext/>
        <w:keepLines/>
        <w:spacing w:after="0" w:line="360" w:lineRule="auto"/>
        <w:jc w:val="both"/>
        <w:rPr>
          <w:b/>
          <w:bCs/>
        </w:rPr>
      </w:pPr>
    </w:p>
    <w:p w14:paraId="14A3F920">
      <w:pPr>
        <w:keepNext/>
        <w:keepLines/>
        <w:spacing w:after="0" w:line="360" w:lineRule="auto"/>
        <w:jc w:val="both"/>
        <w:rPr>
          <w:b/>
          <w:bCs/>
        </w:rPr>
      </w:pPr>
    </w:p>
    <w:p w14:paraId="17519329">
      <w:pPr>
        <w:keepNext/>
        <w:keepLines/>
        <w:spacing w:after="0" w:line="360" w:lineRule="auto"/>
        <w:jc w:val="both"/>
        <w:rPr>
          <w:b/>
          <w:bCs/>
        </w:rPr>
      </w:pPr>
    </w:p>
    <w:p w14:paraId="759AAA60">
      <w:pPr>
        <w:keepNext/>
        <w:keepLines/>
        <w:spacing w:after="0" w:line="360" w:lineRule="auto"/>
        <w:jc w:val="both"/>
      </w:pPr>
      <w:r>
        <w:rPr>
          <w:b/>
          <w:bCs/>
        </w:rPr>
        <w:t>3.2. Quantitative Leaf Characteristics</w:t>
      </w:r>
    </w:p>
    <w:p w14:paraId="49872E5E">
      <w:pPr>
        <w:spacing w:after="0" w:line="360" w:lineRule="auto"/>
        <w:jc w:val="both"/>
        <w:rPr>
          <w:b/>
          <w:bCs/>
          <w:szCs w:val="28"/>
        </w:rPr>
      </w:pPr>
    </w:p>
    <w:p w14:paraId="620AB1F9">
      <w:pPr>
        <w:spacing w:after="0" w:line="360" w:lineRule="auto"/>
        <w:jc w:val="both"/>
        <w:rPr>
          <w:b/>
          <w:bCs/>
        </w:rPr>
      </w:pPr>
      <w:r>
        <w:rPr>
          <w:b/>
          <w:bCs/>
        </w:rPr>
        <w:t>Table 2. Quantitative leaf traits and SPAD readings of 26 jackfruit genotypes</w:t>
      </w:r>
    </w:p>
    <w:tbl>
      <w:tblPr>
        <w:tblStyle w:val="6"/>
        <w:tblW w:w="8815" w:type="dxa"/>
        <w:jc w:val="center"/>
        <w:tblLayout w:type="fixed"/>
        <w:tblCellMar>
          <w:top w:w="0" w:type="dxa"/>
          <w:left w:w="108" w:type="dxa"/>
          <w:bottom w:w="0" w:type="dxa"/>
          <w:right w:w="108" w:type="dxa"/>
        </w:tblCellMar>
      </w:tblPr>
      <w:tblGrid>
        <w:gridCol w:w="1839"/>
        <w:gridCol w:w="1821"/>
        <w:gridCol w:w="1763"/>
        <w:gridCol w:w="1569"/>
        <w:gridCol w:w="1823"/>
      </w:tblGrid>
      <w:tr w14:paraId="2B23E6AB">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4F5A97E4">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Genotype</w:t>
            </w:r>
          </w:p>
        </w:tc>
        <w:tc>
          <w:tcPr>
            <w:tcW w:w="1821" w:type="dxa"/>
            <w:tcBorders>
              <w:top w:val="single" w:color="000000" w:sz="4" w:space="0"/>
              <w:left w:val="single" w:color="000000" w:sz="4" w:space="0"/>
              <w:bottom w:val="single" w:color="000000" w:sz="4" w:space="0"/>
              <w:right w:val="single" w:color="000000" w:sz="4" w:space="0"/>
            </w:tcBorders>
          </w:tcPr>
          <w:p w14:paraId="6181D806">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Leaf blade length (cm)</w:t>
            </w:r>
          </w:p>
        </w:tc>
        <w:tc>
          <w:tcPr>
            <w:tcW w:w="1763" w:type="dxa"/>
            <w:tcBorders>
              <w:top w:val="single" w:color="000000" w:sz="4" w:space="0"/>
              <w:left w:val="single" w:color="000000" w:sz="4" w:space="0"/>
              <w:bottom w:val="single" w:color="000000" w:sz="4" w:space="0"/>
              <w:right w:val="single" w:color="000000" w:sz="4" w:space="0"/>
            </w:tcBorders>
          </w:tcPr>
          <w:p w14:paraId="4D4941FC">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Leaf blade width (cm)</w:t>
            </w:r>
          </w:p>
        </w:tc>
        <w:tc>
          <w:tcPr>
            <w:tcW w:w="1569" w:type="dxa"/>
            <w:tcBorders>
              <w:top w:val="single" w:color="000000" w:sz="4" w:space="0"/>
              <w:left w:val="single" w:color="000000" w:sz="4" w:space="0"/>
              <w:bottom w:val="single" w:color="000000" w:sz="4" w:space="0"/>
              <w:right w:val="single" w:color="000000" w:sz="4" w:space="0"/>
            </w:tcBorders>
          </w:tcPr>
          <w:p w14:paraId="0E75384B">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Petiole length (cm)</w:t>
            </w:r>
          </w:p>
        </w:tc>
        <w:tc>
          <w:tcPr>
            <w:tcW w:w="1823" w:type="dxa"/>
            <w:tcBorders>
              <w:top w:val="single" w:color="000000" w:sz="4" w:space="0"/>
              <w:left w:val="single" w:color="000000" w:sz="4" w:space="0"/>
              <w:bottom w:val="single" w:color="000000" w:sz="4" w:space="0"/>
              <w:right w:val="single" w:color="000000" w:sz="4" w:space="0"/>
            </w:tcBorders>
          </w:tcPr>
          <w:p w14:paraId="41FD3D42">
            <w:pPr>
              <w:spacing w:after="0" w:line="360" w:lineRule="auto"/>
              <w:jc w:val="center"/>
              <w:rPr>
                <w:rFonts w:eastAsia="Times New Roman"/>
                <w:b/>
                <w:bCs/>
                <w:kern w:val="0"/>
                <w:sz w:val="18"/>
                <w:szCs w:val="18"/>
                <w:lang w:eastAsia="en-IN"/>
              </w:rPr>
            </w:pPr>
            <w:r>
              <w:rPr>
                <w:rFonts w:eastAsia="Times New Roman"/>
                <w:b/>
                <w:bCs/>
                <w:kern w:val="0"/>
                <w:sz w:val="20"/>
                <w:szCs w:val="18"/>
                <w:lang w:eastAsia="en-IN"/>
              </w:rPr>
              <w:t>Chlorophyll (SPAD )</w:t>
            </w:r>
          </w:p>
        </w:tc>
      </w:tr>
      <w:tr w14:paraId="0E49E25A">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1B54F1DC">
            <w:pPr>
              <w:spacing w:after="0" w:line="360" w:lineRule="auto"/>
              <w:jc w:val="center"/>
              <w:rPr>
                <w:rFonts w:eastAsia="Times New Roman"/>
                <w:kern w:val="0"/>
                <w:sz w:val="18"/>
                <w:szCs w:val="18"/>
                <w:lang w:eastAsia="en-IN"/>
              </w:rPr>
            </w:pPr>
            <w:r>
              <w:rPr>
                <w:rFonts w:eastAsia="Times New Roman"/>
                <w:kern w:val="0"/>
                <w:sz w:val="20"/>
                <w:szCs w:val="18"/>
                <w:lang w:eastAsia="en-IN"/>
              </w:rPr>
              <w:t>A to Z variety</w:t>
            </w:r>
          </w:p>
        </w:tc>
        <w:tc>
          <w:tcPr>
            <w:tcW w:w="1821" w:type="dxa"/>
            <w:tcBorders>
              <w:top w:val="single" w:color="000000" w:sz="4" w:space="0"/>
              <w:left w:val="single" w:color="000000" w:sz="4" w:space="0"/>
              <w:bottom w:val="single" w:color="000000" w:sz="4" w:space="0"/>
              <w:right w:val="single" w:color="000000" w:sz="4" w:space="0"/>
            </w:tcBorders>
          </w:tcPr>
          <w:p w14:paraId="24CF4031">
            <w:pPr>
              <w:spacing w:after="0" w:line="360" w:lineRule="auto"/>
              <w:jc w:val="center"/>
              <w:rPr>
                <w:rFonts w:eastAsia="Times New Roman"/>
                <w:kern w:val="0"/>
                <w:sz w:val="18"/>
                <w:szCs w:val="18"/>
                <w:lang w:eastAsia="en-IN"/>
              </w:rPr>
            </w:pPr>
            <w:r>
              <w:rPr>
                <w:rFonts w:eastAsia="Times New Roman"/>
                <w:kern w:val="0"/>
                <w:sz w:val="20"/>
                <w:szCs w:val="18"/>
                <w:lang w:eastAsia="en-IN"/>
              </w:rPr>
              <w:t>12.86</w:t>
            </w:r>
          </w:p>
        </w:tc>
        <w:tc>
          <w:tcPr>
            <w:tcW w:w="1763" w:type="dxa"/>
            <w:tcBorders>
              <w:top w:val="single" w:color="000000" w:sz="4" w:space="0"/>
              <w:left w:val="single" w:color="000000" w:sz="4" w:space="0"/>
              <w:bottom w:val="single" w:color="000000" w:sz="4" w:space="0"/>
              <w:right w:val="single" w:color="000000" w:sz="4" w:space="0"/>
            </w:tcBorders>
          </w:tcPr>
          <w:p w14:paraId="3DDE6547">
            <w:pPr>
              <w:spacing w:after="0" w:line="360" w:lineRule="auto"/>
              <w:jc w:val="center"/>
              <w:rPr>
                <w:rFonts w:eastAsia="Times New Roman"/>
                <w:kern w:val="0"/>
                <w:sz w:val="18"/>
                <w:szCs w:val="18"/>
                <w:lang w:eastAsia="en-IN"/>
              </w:rPr>
            </w:pPr>
            <w:r>
              <w:rPr>
                <w:rFonts w:eastAsia="Times New Roman"/>
                <w:kern w:val="0"/>
                <w:sz w:val="20"/>
                <w:szCs w:val="18"/>
                <w:lang w:eastAsia="en-IN"/>
              </w:rPr>
              <w:t>6.18</w:t>
            </w:r>
          </w:p>
        </w:tc>
        <w:tc>
          <w:tcPr>
            <w:tcW w:w="1569" w:type="dxa"/>
            <w:tcBorders>
              <w:top w:val="single" w:color="000000" w:sz="4" w:space="0"/>
              <w:left w:val="single" w:color="000000" w:sz="4" w:space="0"/>
              <w:bottom w:val="single" w:color="000000" w:sz="4" w:space="0"/>
              <w:right w:val="single" w:color="000000" w:sz="4" w:space="0"/>
            </w:tcBorders>
          </w:tcPr>
          <w:p w14:paraId="17E02797">
            <w:pPr>
              <w:spacing w:after="0" w:line="360" w:lineRule="auto"/>
              <w:jc w:val="center"/>
              <w:rPr>
                <w:rFonts w:eastAsia="Times New Roman"/>
                <w:kern w:val="0"/>
                <w:sz w:val="18"/>
                <w:szCs w:val="18"/>
                <w:lang w:eastAsia="en-IN"/>
              </w:rPr>
            </w:pPr>
            <w:r>
              <w:rPr>
                <w:rFonts w:eastAsia="Times New Roman"/>
                <w:kern w:val="0"/>
                <w:sz w:val="20"/>
                <w:szCs w:val="18"/>
                <w:lang w:eastAsia="en-IN"/>
              </w:rPr>
              <w:t>1.57</w:t>
            </w:r>
          </w:p>
        </w:tc>
        <w:tc>
          <w:tcPr>
            <w:tcW w:w="1823" w:type="dxa"/>
            <w:tcBorders>
              <w:top w:val="single" w:color="000000" w:sz="4" w:space="0"/>
              <w:left w:val="single" w:color="000000" w:sz="4" w:space="0"/>
              <w:bottom w:val="single" w:color="000000" w:sz="4" w:space="0"/>
              <w:right w:val="single" w:color="000000" w:sz="4" w:space="0"/>
            </w:tcBorders>
          </w:tcPr>
          <w:p w14:paraId="0D5B9AAF">
            <w:pPr>
              <w:spacing w:after="0" w:line="360" w:lineRule="auto"/>
              <w:jc w:val="center"/>
              <w:rPr>
                <w:rFonts w:eastAsia="Times New Roman"/>
                <w:kern w:val="0"/>
                <w:sz w:val="18"/>
                <w:szCs w:val="18"/>
                <w:lang w:eastAsia="en-IN"/>
              </w:rPr>
            </w:pPr>
            <w:r>
              <w:rPr>
                <w:rFonts w:eastAsia="Times New Roman"/>
                <w:kern w:val="0"/>
                <w:sz w:val="20"/>
                <w:szCs w:val="18"/>
                <w:lang w:eastAsia="en-IN"/>
              </w:rPr>
              <w:t>80.95</w:t>
            </w:r>
          </w:p>
        </w:tc>
      </w:tr>
      <w:tr w14:paraId="7B96674F">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437D41B4">
            <w:pPr>
              <w:spacing w:after="0" w:line="360" w:lineRule="auto"/>
              <w:jc w:val="center"/>
              <w:rPr>
                <w:rFonts w:eastAsia="Times New Roman"/>
                <w:kern w:val="0"/>
                <w:sz w:val="18"/>
                <w:szCs w:val="18"/>
                <w:lang w:eastAsia="en-IN"/>
              </w:rPr>
            </w:pPr>
            <w:r>
              <w:rPr>
                <w:rFonts w:eastAsia="Times New Roman"/>
                <w:kern w:val="0"/>
                <w:sz w:val="20"/>
                <w:szCs w:val="18"/>
                <w:lang w:eastAsia="en-IN"/>
              </w:rPr>
              <w:t>ARPJ-1</w:t>
            </w:r>
          </w:p>
        </w:tc>
        <w:tc>
          <w:tcPr>
            <w:tcW w:w="1821" w:type="dxa"/>
            <w:tcBorders>
              <w:top w:val="single" w:color="000000" w:sz="4" w:space="0"/>
              <w:left w:val="single" w:color="000000" w:sz="4" w:space="0"/>
              <w:bottom w:val="single" w:color="000000" w:sz="4" w:space="0"/>
              <w:right w:val="single" w:color="000000" w:sz="4" w:space="0"/>
            </w:tcBorders>
          </w:tcPr>
          <w:p w14:paraId="374E7A45">
            <w:pPr>
              <w:spacing w:after="0" w:line="360" w:lineRule="auto"/>
              <w:jc w:val="center"/>
              <w:rPr>
                <w:rFonts w:eastAsia="Times New Roman"/>
                <w:kern w:val="0"/>
                <w:sz w:val="18"/>
                <w:szCs w:val="18"/>
                <w:lang w:eastAsia="en-IN"/>
              </w:rPr>
            </w:pPr>
            <w:r>
              <w:rPr>
                <w:rFonts w:eastAsia="Times New Roman"/>
                <w:kern w:val="0"/>
                <w:sz w:val="20"/>
                <w:szCs w:val="18"/>
                <w:lang w:eastAsia="en-IN"/>
              </w:rPr>
              <w:t>14.58</w:t>
            </w:r>
          </w:p>
        </w:tc>
        <w:tc>
          <w:tcPr>
            <w:tcW w:w="1763" w:type="dxa"/>
            <w:tcBorders>
              <w:top w:val="single" w:color="000000" w:sz="4" w:space="0"/>
              <w:left w:val="single" w:color="000000" w:sz="4" w:space="0"/>
              <w:bottom w:val="single" w:color="000000" w:sz="4" w:space="0"/>
              <w:right w:val="single" w:color="000000" w:sz="4" w:space="0"/>
            </w:tcBorders>
          </w:tcPr>
          <w:p w14:paraId="58B587C6">
            <w:pPr>
              <w:spacing w:after="0" w:line="360" w:lineRule="auto"/>
              <w:jc w:val="center"/>
              <w:rPr>
                <w:rFonts w:eastAsia="Times New Roman"/>
                <w:kern w:val="0"/>
                <w:sz w:val="18"/>
                <w:szCs w:val="18"/>
                <w:lang w:eastAsia="en-IN"/>
              </w:rPr>
            </w:pPr>
            <w:r>
              <w:rPr>
                <w:rFonts w:eastAsia="Times New Roman"/>
                <w:kern w:val="0"/>
                <w:sz w:val="20"/>
                <w:szCs w:val="18"/>
                <w:lang w:eastAsia="en-IN"/>
              </w:rPr>
              <w:t>7.02</w:t>
            </w:r>
          </w:p>
        </w:tc>
        <w:tc>
          <w:tcPr>
            <w:tcW w:w="1569" w:type="dxa"/>
            <w:tcBorders>
              <w:top w:val="single" w:color="000000" w:sz="4" w:space="0"/>
              <w:left w:val="single" w:color="000000" w:sz="4" w:space="0"/>
              <w:bottom w:val="single" w:color="000000" w:sz="4" w:space="0"/>
              <w:right w:val="single" w:color="000000" w:sz="4" w:space="0"/>
            </w:tcBorders>
          </w:tcPr>
          <w:p w14:paraId="4726A78C">
            <w:pPr>
              <w:spacing w:after="0" w:line="360" w:lineRule="auto"/>
              <w:jc w:val="center"/>
              <w:rPr>
                <w:rFonts w:eastAsia="Times New Roman"/>
                <w:kern w:val="0"/>
                <w:sz w:val="18"/>
                <w:szCs w:val="18"/>
                <w:lang w:eastAsia="en-IN"/>
              </w:rPr>
            </w:pPr>
            <w:r>
              <w:rPr>
                <w:rFonts w:eastAsia="Times New Roman"/>
                <w:kern w:val="0"/>
                <w:sz w:val="20"/>
                <w:szCs w:val="18"/>
                <w:lang w:eastAsia="en-IN"/>
              </w:rPr>
              <w:t>1.97</w:t>
            </w:r>
          </w:p>
        </w:tc>
        <w:tc>
          <w:tcPr>
            <w:tcW w:w="1823" w:type="dxa"/>
            <w:tcBorders>
              <w:top w:val="single" w:color="000000" w:sz="4" w:space="0"/>
              <w:left w:val="single" w:color="000000" w:sz="4" w:space="0"/>
              <w:bottom w:val="single" w:color="000000" w:sz="4" w:space="0"/>
              <w:right w:val="single" w:color="000000" w:sz="4" w:space="0"/>
            </w:tcBorders>
          </w:tcPr>
          <w:p w14:paraId="30F67FED">
            <w:pPr>
              <w:spacing w:after="0" w:line="360" w:lineRule="auto"/>
              <w:jc w:val="center"/>
              <w:rPr>
                <w:rFonts w:eastAsia="Times New Roman"/>
                <w:kern w:val="0"/>
                <w:sz w:val="18"/>
                <w:szCs w:val="18"/>
                <w:lang w:eastAsia="en-IN"/>
              </w:rPr>
            </w:pPr>
            <w:r>
              <w:rPr>
                <w:rFonts w:eastAsia="Times New Roman"/>
                <w:kern w:val="0"/>
                <w:sz w:val="20"/>
                <w:szCs w:val="18"/>
                <w:lang w:eastAsia="en-IN"/>
              </w:rPr>
              <w:t>69.11</w:t>
            </w:r>
          </w:p>
        </w:tc>
      </w:tr>
      <w:tr w14:paraId="5542CABA">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54063516">
            <w:pPr>
              <w:spacing w:after="0" w:line="360" w:lineRule="auto"/>
              <w:jc w:val="center"/>
              <w:rPr>
                <w:rFonts w:eastAsia="Times New Roman"/>
                <w:kern w:val="0"/>
                <w:sz w:val="18"/>
                <w:szCs w:val="18"/>
                <w:lang w:eastAsia="en-IN"/>
              </w:rPr>
            </w:pPr>
            <w:r>
              <w:rPr>
                <w:rFonts w:eastAsia="Times New Roman"/>
                <w:kern w:val="0"/>
                <w:sz w:val="20"/>
                <w:szCs w:val="18"/>
                <w:lang w:eastAsia="en-IN"/>
              </w:rPr>
              <w:t>ARPJ-2</w:t>
            </w:r>
          </w:p>
        </w:tc>
        <w:tc>
          <w:tcPr>
            <w:tcW w:w="1821" w:type="dxa"/>
            <w:tcBorders>
              <w:top w:val="single" w:color="000000" w:sz="4" w:space="0"/>
              <w:left w:val="single" w:color="000000" w:sz="4" w:space="0"/>
              <w:bottom w:val="single" w:color="000000" w:sz="4" w:space="0"/>
              <w:right w:val="single" w:color="000000" w:sz="4" w:space="0"/>
            </w:tcBorders>
          </w:tcPr>
          <w:p w14:paraId="0D2F82B5">
            <w:pPr>
              <w:spacing w:after="0" w:line="360" w:lineRule="auto"/>
              <w:jc w:val="center"/>
              <w:rPr>
                <w:rFonts w:eastAsia="Times New Roman"/>
                <w:kern w:val="0"/>
                <w:sz w:val="18"/>
                <w:szCs w:val="18"/>
                <w:lang w:eastAsia="en-IN"/>
              </w:rPr>
            </w:pPr>
            <w:r>
              <w:rPr>
                <w:rFonts w:eastAsia="Times New Roman"/>
                <w:kern w:val="0"/>
                <w:sz w:val="20"/>
                <w:szCs w:val="18"/>
                <w:lang w:eastAsia="en-IN"/>
              </w:rPr>
              <w:t>15.36</w:t>
            </w:r>
          </w:p>
        </w:tc>
        <w:tc>
          <w:tcPr>
            <w:tcW w:w="1763" w:type="dxa"/>
            <w:tcBorders>
              <w:top w:val="single" w:color="000000" w:sz="4" w:space="0"/>
              <w:left w:val="single" w:color="000000" w:sz="4" w:space="0"/>
              <w:bottom w:val="single" w:color="000000" w:sz="4" w:space="0"/>
              <w:right w:val="single" w:color="000000" w:sz="4" w:space="0"/>
            </w:tcBorders>
          </w:tcPr>
          <w:p w14:paraId="72B61AF0">
            <w:pPr>
              <w:spacing w:after="0" w:line="360" w:lineRule="auto"/>
              <w:jc w:val="center"/>
              <w:rPr>
                <w:rFonts w:eastAsia="Times New Roman"/>
                <w:kern w:val="0"/>
                <w:sz w:val="18"/>
                <w:szCs w:val="18"/>
                <w:lang w:eastAsia="en-IN"/>
              </w:rPr>
            </w:pPr>
            <w:r>
              <w:rPr>
                <w:rFonts w:eastAsia="Times New Roman"/>
                <w:kern w:val="0"/>
                <w:sz w:val="20"/>
                <w:szCs w:val="18"/>
                <w:lang w:eastAsia="en-IN"/>
              </w:rPr>
              <w:t>7.46</w:t>
            </w:r>
          </w:p>
        </w:tc>
        <w:tc>
          <w:tcPr>
            <w:tcW w:w="1569" w:type="dxa"/>
            <w:tcBorders>
              <w:top w:val="single" w:color="000000" w:sz="4" w:space="0"/>
              <w:left w:val="single" w:color="000000" w:sz="4" w:space="0"/>
              <w:bottom w:val="single" w:color="000000" w:sz="4" w:space="0"/>
              <w:right w:val="single" w:color="000000" w:sz="4" w:space="0"/>
            </w:tcBorders>
          </w:tcPr>
          <w:p w14:paraId="4F346A70">
            <w:pPr>
              <w:spacing w:after="0" w:line="360" w:lineRule="auto"/>
              <w:jc w:val="center"/>
              <w:rPr>
                <w:rFonts w:eastAsia="Times New Roman"/>
                <w:kern w:val="0"/>
                <w:sz w:val="18"/>
                <w:szCs w:val="18"/>
                <w:lang w:eastAsia="en-IN"/>
              </w:rPr>
            </w:pPr>
            <w:r>
              <w:rPr>
                <w:rFonts w:eastAsia="Times New Roman"/>
                <w:kern w:val="0"/>
                <w:sz w:val="20"/>
                <w:szCs w:val="18"/>
                <w:lang w:eastAsia="en-IN"/>
              </w:rPr>
              <w:t>1.63</w:t>
            </w:r>
          </w:p>
        </w:tc>
        <w:tc>
          <w:tcPr>
            <w:tcW w:w="1823" w:type="dxa"/>
            <w:tcBorders>
              <w:top w:val="single" w:color="000000" w:sz="4" w:space="0"/>
              <w:left w:val="single" w:color="000000" w:sz="4" w:space="0"/>
              <w:bottom w:val="single" w:color="000000" w:sz="4" w:space="0"/>
              <w:right w:val="single" w:color="000000" w:sz="4" w:space="0"/>
            </w:tcBorders>
          </w:tcPr>
          <w:p w14:paraId="28E43144">
            <w:pPr>
              <w:spacing w:after="0" w:line="360" w:lineRule="auto"/>
              <w:jc w:val="center"/>
              <w:rPr>
                <w:rFonts w:eastAsia="Times New Roman"/>
                <w:kern w:val="0"/>
                <w:sz w:val="18"/>
                <w:szCs w:val="18"/>
                <w:lang w:eastAsia="en-IN"/>
              </w:rPr>
            </w:pPr>
            <w:r>
              <w:rPr>
                <w:rFonts w:eastAsia="Times New Roman"/>
                <w:kern w:val="0"/>
                <w:sz w:val="20"/>
                <w:szCs w:val="18"/>
                <w:lang w:eastAsia="en-IN"/>
              </w:rPr>
              <w:t>66.81</w:t>
            </w:r>
          </w:p>
        </w:tc>
      </w:tr>
      <w:tr w14:paraId="4BB4B4DA">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E683747">
            <w:pPr>
              <w:spacing w:after="0" w:line="360" w:lineRule="auto"/>
              <w:jc w:val="center"/>
              <w:rPr>
                <w:rFonts w:eastAsia="Times New Roman"/>
                <w:kern w:val="0"/>
                <w:sz w:val="18"/>
                <w:szCs w:val="18"/>
                <w:lang w:eastAsia="en-IN"/>
              </w:rPr>
            </w:pPr>
            <w:r>
              <w:rPr>
                <w:rFonts w:eastAsia="Times New Roman"/>
                <w:kern w:val="0"/>
                <w:sz w:val="20"/>
                <w:szCs w:val="18"/>
                <w:lang w:eastAsia="en-IN"/>
              </w:rPr>
              <w:t>ARPJ-3</w:t>
            </w:r>
          </w:p>
        </w:tc>
        <w:tc>
          <w:tcPr>
            <w:tcW w:w="1821" w:type="dxa"/>
            <w:tcBorders>
              <w:top w:val="single" w:color="000000" w:sz="4" w:space="0"/>
              <w:left w:val="single" w:color="000000" w:sz="4" w:space="0"/>
              <w:bottom w:val="single" w:color="000000" w:sz="4" w:space="0"/>
              <w:right w:val="single" w:color="000000" w:sz="4" w:space="0"/>
            </w:tcBorders>
          </w:tcPr>
          <w:p w14:paraId="7F1DACB4">
            <w:pPr>
              <w:spacing w:after="0" w:line="360" w:lineRule="auto"/>
              <w:jc w:val="center"/>
              <w:rPr>
                <w:rFonts w:eastAsia="Times New Roman"/>
                <w:kern w:val="0"/>
                <w:sz w:val="18"/>
                <w:szCs w:val="18"/>
                <w:lang w:eastAsia="en-IN"/>
              </w:rPr>
            </w:pPr>
            <w:r>
              <w:rPr>
                <w:rFonts w:eastAsia="Times New Roman"/>
                <w:kern w:val="0"/>
                <w:sz w:val="20"/>
                <w:szCs w:val="18"/>
                <w:lang w:eastAsia="en-IN"/>
              </w:rPr>
              <w:t>13.66</w:t>
            </w:r>
          </w:p>
        </w:tc>
        <w:tc>
          <w:tcPr>
            <w:tcW w:w="1763" w:type="dxa"/>
            <w:tcBorders>
              <w:top w:val="single" w:color="000000" w:sz="4" w:space="0"/>
              <w:left w:val="single" w:color="000000" w:sz="4" w:space="0"/>
              <w:bottom w:val="single" w:color="000000" w:sz="4" w:space="0"/>
              <w:right w:val="single" w:color="000000" w:sz="4" w:space="0"/>
            </w:tcBorders>
          </w:tcPr>
          <w:p w14:paraId="307776CB">
            <w:pPr>
              <w:spacing w:after="0" w:line="360" w:lineRule="auto"/>
              <w:jc w:val="center"/>
              <w:rPr>
                <w:rFonts w:eastAsia="Times New Roman"/>
                <w:kern w:val="0"/>
                <w:sz w:val="18"/>
                <w:szCs w:val="18"/>
                <w:lang w:eastAsia="en-IN"/>
              </w:rPr>
            </w:pPr>
            <w:r>
              <w:rPr>
                <w:rFonts w:eastAsia="Times New Roman"/>
                <w:kern w:val="0"/>
                <w:sz w:val="20"/>
                <w:szCs w:val="18"/>
                <w:lang w:eastAsia="en-IN"/>
              </w:rPr>
              <w:t>7.88</w:t>
            </w:r>
          </w:p>
        </w:tc>
        <w:tc>
          <w:tcPr>
            <w:tcW w:w="1569" w:type="dxa"/>
            <w:tcBorders>
              <w:top w:val="single" w:color="000000" w:sz="4" w:space="0"/>
              <w:left w:val="single" w:color="000000" w:sz="4" w:space="0"/>
              <w:bottom w:val="single" w:color="000000" w:sz="4" w:space="0"/>
              <w:right w:val="single" w:color="000000" w:sz="4" w:space="0"/>
            </w:tcBorders>
          </w:tcPr>
          <w:p w14:paraId="721517E5">
            <w:pPr>
              <w:spacing w:after="0" w:line="360" w:lineRule="auto"/>
              <w:jc w:val="center"/>
              <w:rPr>
                <w:rFonts w:eastAsia="Times New Roman"/>
                <w:kern w:val="0"/>
                <w:sz w:val="18"/>
                <w:szCs w:val="18"/>
                <w:lang w:eastAsia="en-IN"/>
              </w:rPr>
            </w:pPr>
            <w:r>
              <w:rPr>
                <w:rFonts w:eastAsia="Times New Roman"/>
                <w:kern w:val="0"/>
                <w:sz w:val="20"/>
                <w:szCs w:val="18"/>
                <w:lang w:eastAsia="en-IN"/>
              </w:rPr>
              <w:t>2.27</w:t>
            </w:r>
          </w:p>
        </w:tc>
        <w:tc>
          <w:tcPr>
            <w:tcW w:w="1823" w:type="dxa"/>
            <w:tcBorders>
              <w:top w:val="single" w:color="000000" w:sz="4" w:space="0"/>
              <w:left w:val="single" w:color="000000" w:sz="4" w:space="0"/>
              <w:bottom w:val="single" w:color="000000" w:sz="4" w:space="0"/>
              <w:right w:val="single" w:color="000000" w:sz="4" w:space="0"/>
            </w:tcBorders>
          </w:tcPr>
          <w:p w14:paraId="2E429757">
            <w:pPr>
              <w:spacing w:after="0" w:line="360" w:lineRule="auto"/>
              <w:jc w:val="center"/>
              <w:rPr>
                <w:rFonts w:eastAsia="Times New Roman"/>
                <w:kern w:val="0"/>
                <w:sz w:val="18"/>
                <w:szCs w:val="18"/>
                <w:lang w:eastAsia="en-IN"/>
              </w:rPr>
            </w:pPr>
            <w:r>
              <w:rPr>
                <w:rFonts w:eastAsia="Times New Roman"/>
                <w:kern w:val="0"/>
                <w:sz w:val="20"/>
                <w:szCs w:val="18"/>
                <w:lang w:eastAsia="en-IN"/>
              </w:rPr>
              <w:t>91.69</w:t>
            </w:r>
          </w:p>
        </w:tc>
      </w:tr>
      <w:tr w14:paraId="2D5C7DD0">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6E8AFDA3">
            <w:pPr>
              <w:spacing w:after="0" w:line="360" w:lineRule="auto"/>
              <w:jc w:val="center"/>
              <w:rPr>
                <w:rFonts w:eastAsia="Times New Roman"/>
                <w:kern w:val="0"/>
                <w:sz w:val="18"/>
                <w:szCs w:val="18"/>
                <w:lang w:eastAsia="en-IN"/>
              </w:rPr>
            </w:pPr>
            <w:r>
              <w:rPr>
                <w:rFonts w:eastAsia="Times New Roman"/>
                <w:kern w:val="0"/>
                <w:sz w:val="20"/>
                <w:szCs w:val="18"/>
                <w:lang w:eastAsia="en-IN"/>
              </w:rPr>
              <w:t>ARPJ-4</w:t>
            </w:r>
          </w:p>
        </w:tc>
        <w:tc>
          <w:tcPr>
            <w:tcW w:w="1821" w:type="dxa"/>
            <w:tcBorders>
              <w:top w:val="single" w:color="000000" w:sz="4" w:space="0"/>
              <w:left w:val="single" w:color="000000" w:sz="4" w:space="0"/>
              <w:bottom w:val="single" w:color="000000" w:sz="4" w:space="0"/>
              <w:right w:val="single" w:color="000000" w:sz="4" w:space="0"/>
            </w:tcBorders>
          </w:tcPr>
          <w:p w14:paraId="65314C60">
            <w:pPr>
              <w:spacing w:after="0" w:line="360" w:lineRule="auto"/>
              <w:jc w:val="center"/>
              <w:rPr>
                <w:rFonts w:eastAsia="Times New Roman"/>
                <w:kern w:val="0"/>
                <w:sz w:val="18"/>
                <w:szCs w:val="18"/>
                <w:lang w:eastAsia="en-IN"/>
              </w:rPr>
            </w:pPr>
            <w:r>
              <w:rPr>
                <w:rFonts w:eastAsia="Times New Roman"/>
                <w:kern w:val="0"/>
                <w:sz w:val="20"/>
                <w:szCs w:val="18"/>
                <w:lang w:eastAsia="en-IN"/>
              </w:rPr>
              <w:t>11.76</w:t>
            </w:r>
          </w:p>
        </w:tc>
        <w:tc>
          <w:tcPr>
            <w:tcW w:w="1763" w:type="dxa"/>
            <w:tcBorders>
              <w:top w:val="single" w:color="000000" w:sz="4" w:space="0"/>
              <w:left w:val="single" w:color="000000" w:sz="4" w:space="0"/>
              <w:bottom w:val="single" w:color="000000" w:sz="4" w:space="0"/>
              <w:right w:val="single" w:color="000000" w:sz="4" w:space="0"/>
            </w:tcBorders>
          </w:tcPr>
          <w:p w14:paraId="2F4BE9F3">
            <w:pPr>
              <w:spacing w:after="0" w:line="360" w:lineRule="auto"/>
              <w:jc w:val="center"/>
              <w:rPr>
                <w:rFonts w:eastAsia="Times New Roman"/>
                <w:kern w:val="0"/>
                <w:sz w:val="18"/>
                <w:szCs w:val="18"/>
                <w:lang w:eastAsia="en-IN"/>
              </w:rPr>
            </w:pPr>
            <w:r>
              <w:rPr>
                <w:rFonts w:eastAsia="Times New Roman"/>
                <w:kern w:val="0"/>
                <w:sz w:val="20"/>
                <w:szCs w:val="18"/>
                <w:lang w:eastAsia="en-IN"/>
              </w:rPr>
              <w:t>6.62</w:t>
            </w:r>
          </w:p>
        </w:tc>
        <w:tc>
          <w:tcPr>
            <w:tcW w:w="1569" w:type="dxa"/>
            <w:tcBorders>
              <w:top w:val="single" w:color="000000" w:sz="4" w:space="0"/>
              <w:left w:val="single" w:color="000000" w:sz="4" w:space="0"/>
              <w:bottom w:val="single" w:color="000000" w:sz="4" w:space="0"/>
              <w:right w:val="single" w:color="000000" w:sz="4" w:space="0"/>
            </w:tcBorders>
          </w:tcPr>
          <w:p w14:paraId="0E5AD869">
            <w:pPr>
              <w:spacing w:after="0" w:line="360" w:lineRule="auto"/>
              <w:jc w:val="center"/>
              <w:rPr>
                <w:rFonts w:eastAsia="Times New Roman"/>
                <w:kern w:val="0"/>
                <w:sz w:val="18"/>
                <w:szCs w:val="18"/>
                <w:lang w:eastAsia="en-IN"/>
              </w:rPr>
            </w:pPr>
            <w:r>
              <w:rPr>
                <w:rFonts w:eastAsia="Times New Roman"/>
                <w:kern w:val="0"/>
                <w:sz w:val="20"/>
                <w:szCs w:val="18"/>
                <w:lang w:eastAsia="en-IN"/>
              </w:rPr>
              <w:t>2.27</w:t>
            </w:r>
          </w:p>
        </w:tc>
        <w:tc>
          <w:tcPr>
            <w:tcW w:w="1823" w:type="dxa"/>
            <w:tcBorders>
              <w:top w:val="single" w:color="000000" w:sz="4" w:space="0"/>
              <w:left w:val="single" w:color="000000" w:sz="4" w:space="0"/>
              <w:bottom w:val="single" w:color="000000" w:sz="4" w:space="0"/>
              <w:right w:val="single" w:color="000000" w:sz="4" w:space="0"/>
            </w:tcBorders>
          </w:tcPr>
          <w:p w14:paraId="4E2CF269">
            <w:pPr>
              <w:spacing w:after="0" w:line="360" w:lineRule="auto"/>
              <w:jc w:val="center"/>
              <w:rPr>
                <w:rFonts w:eastAsia="Times New Roman"/>
                <w:kern w:val="0"/>
                <w:sz w:val="18"/>
                <w:szCs w:val="18"/>
                <w:lang w:eastAsia="en-IN"/>
              </w:rPr>
            </w:pPr>
            <w:r>
              <w:rPr>
                <w:rFonts w:eastAsia="Times New Roman"/>
                <w:kern w:val="0"/>
                <w:sz w:val="20"/>
                <w:szCs w:val="18"/>
                <w:lang w:eastAsia="en-IN"/>
              </w:rPr>
              <w:t>94.85</w:t>
            </w:r>
          </w:p>
        </w:tc>
      </w:tr>
      <w:tr w14:paraId="1E6A8361">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50535BF8">
            <w:pPr>
              <w:spacing w:after="0" w:line="360" w:lineRule="auto"/>
              <w:jc w:val="center"/>
              <w:rPr>
                <w:rFonts w:eastAsia="Times New Roman"/>
                <w:kern w:val="0"/>
                <w:sz w:val="18"/>
                <w:szCs w:val="18"/>
                <w:lang w:eastAsia="en-IN"/>
              </w:rPr>
            </w:pPr>
            <w:r>
              <w:rPr>
                <w:rFonts w:eastAsia="Times New Roman"/>
                <w:kern w:val="0"/>
                <w:sz w:val="20"/>
                <w:szCs w:val="18"/>
                <w:lang w:eastAsia="en-IN"/>
              </w:rPr>
              <w:t>ARPJ-5</w:t>
            </w:r>
          </w:p>
        </w:tc>
        <w:tc>
          <w:tcPr>
            <w:tcW w:w="1821" w:type="dxa"/>
            <w:tcBorders>
              <w:top w:val="single" w:color="000000" w:sz="4" w:space="0"/>
              <w:left w:val="single" w:color="000000" w:sz="4" w:space="0"/>
              <w:bottom w:val="single" w:color="000000" w:sz="4" w:space="0"/>
              <w:right w:val="single" w:color="000000" w:sz="4" w:space="0"/>
            </w:tcBorders>
          </w:tcPr>
          <w:p w14:paraId="28FC16E8">
            <w:pPr>
              <w:spacing w:after="0" w:line="360" w:lineRule="auto"/>
              <w:jc w:val="center"/>
              <w:rPr>
                <w:rFonts w:eastAsia="Times New Roman"/>
                <w:kern w:val="0"/>
                <w:sz w:val="18"/>
                <w:szCs w:val="18"/>
                <w:lang w:eastAsia="en-IN"/>
              </w:rPr>
            </w:pPr>
            <w:r>
              <w:rPr>
                <w:rFonts w:eastAsia="Times New Roman"/>
                <w:kern w:val="0"/>
                <w:sz w:val="20"/>
                <w:szCs w:val="18"/>
                <w:lang w:eastAsia="en-IN"/>
              </w:rPr>
              <w:t>12.94</w:t>
            </w:r>
          </w:p>
        </w:tc>
        <w:tc>
          <w:tcPr>
            <w:tcW w:w="1763" w:type="dxa"/>
            <w:tcBorders>
              <w:top w:val="single" w:color="000000" w:sz="4" w:space="0"/>
              <w:left w:val="single" w:color="000000" w:sz="4" w:space="0"/>
              <w:bottom w:val="single" w:color="000000" w:sz="4" w:space="0"/>
              <w:right w:val="single" w:color="000000" w:sz="4" w:space="0"/>
            </w:tcBorders>
          </w:tcPr>
          <w:p w14:paraId="6A0785A4">
            <w:pPr>
              <w:spacing w:after="0" w:line="360" w:lineRule="auto"/>
              <w:jc w:val="center"/>
              <w:rPr>
                <w:rFonts w:eastAsia="Times New Roman"/>
                <w:kern w:val="0"/>
                <w:sz w:val="18"/>
                <w:szCs w:val="18"/>
                <w:lang w:eastAsia="en-IN"/>
              </w:rPr>
            </w:pPr>
            <w:r>
              <w:rPr>
                <w:rFonts w:eastAsia="Times New Roman"/>
                <w:kern w:val="0"/>
                <w:sz w:val="20"/>
                <w:szCs w:val="18"/>
                <w:lang w:eastAsia="en-IN"/>
              </w:rPr>
              <w:t>7.68</w:t>
            </w:r>
          </w:p>
        </w:tc>
        <w:tc>
          <w:tcPr>
            <w:tcW w:w="1569" w:type="dxa"/>
            <w:tcBorders>
              <w:top w:val="single" w:color="000000" w:sz="4" w:space="0"/>
              <w:left w:val="single" w:color="000000" w:sz="4" w:space="0"/>
              <w:bottom w:val="single" w:color="000000" w:sz="4" w:space="0"/>
              <w:right w:val="single" w:color="000000" w:sz="4" w:space="0"/>
            </w:tcBorders>
          </w:tcPr>
          <w:p w14:paraId="3D9EC9BB">
            <w:pPr>
              <w:spacing w:after="0" w:line="360" w:lineRule="auto"/>
              <w:jc w:val="center"/>
              <w:rPr>
                <w:rFonts w:eastAsia="Times New Roman"/>
                <w:kern w:val="0"/>
                <w:sz w:val="18"/>
                <w:szCs w:val="18"/>
                <w:lang w:eastAsia="en-IN"/>
              </w:rPr>
            </w:pPr>
            <w:r>
              <w:rPr>
                <w:rFonts w:eastAsia="Times New Roman"/>
                <w:kern w:val="0"/>
                <w:sz w:val="20"/>
                <w:szCs w:val="18"/>
                <w:lang w:eastAsia="en-IN"/>
              </w:rPr>
              <w:t>1.90</w:t>
            </w:r>
          </w:p>
        </w:tc>
        <w:tc>
          <w:tcPr>
            <w:tcW w:w="1823" w:type="dxa"/>
            <w:tcBorders>
              <w:top w:val="single" w:color="000000" w:sz="4" w:space="0"/>
              <w:left w:val="single" w:color="000000" w:sz="4" w:space="0"/>
              <w:bottom w:val="single" w:color="000000" w:sz="4" w:space="0"/>
              <w:right w:val="single" w:color="000000" w:sz="4" w:space="0"/>
            </w:tcBorders>
          </w:tcPr>
          <w:p w14:paraId="0FADED05">
            <w:pPr>
              <w:spacing w:after="0" w:line="360" w:lineRule="auto"/>
              <w:jc w:val="center"/>
              <w:rPr>
                <w:rFonts w:eastAsia="Times New Roman"/>
                <w:kern w:val="0"/>
                <w:sz w:val="18"/>
                <w:szCs w:val="18"/>
                <w:lang w:eastAsia="en-IN"/>
              </w:rPr>
            </w:pPr>
            <w:r>
              <w:rPr>
                <w:rFonts w:eastAsia="Times New Roman"/>
                <w:kern w:val="0"/>
                <w:sz w:val="20"/>
                <w:szCs w:val="18"/>
                <w:lang w:eastAsia="en-IN"/>
              </w:rPr>
              <w:t>66.15</w:t>
            </w:r>
          </w:p>
        </w:tc>
      </w:tr>
      <w:tr w14:paraId="2D21F9AC">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73EDA4E">
            <w:pPr>
              <w:spacing w:after="0" w:line="360" w:lineRule="auto"/>
              <w:jc w:val="center"/>
              <w:rPr>
                <w:rFonts w:eastAsia="Times New Roman"/>
                <w:kern w:val="0"/>
                <w:sz w:val="18"/>
                <w:szCs w:val="18"/>
                <w:lang w:eastAsia="en-IN"/>
              </w:rPr>
            </w:pPr>
            <w:r>
              <w:rPr>
                <w:rFonts w:eastAsia="Times New Roman"/>
                <w:kern w:val="0"/>
                <w:sz w:val="20"/>
                <w:szCs w:val="18"/>
                <w:lang w:eastAsia="en-IN"/>
              </w:rPr>
              <w:t>ARPJ-6</w:t>
            </w:r>
          </w:p>
        </w:tc>
        <w:tc>
          <w:tcPr>
            <w:tcW w:w="1821" w:type="dxa"/>
            <w:tcBorders>
              <w:top w:val="single" w:color="000000" w:sz="4" w:space="0"/>
              <w:left w:val="single" w:color="000000" w:sz="4" w:space="0"/>
              <w:bottom w:val="single" w:color="000000" w:sz="4" w:space="0"/>
              <w:right w:val="single" w:color="000000" w:sz="4" w:space="0"/>
            </w:tcBorders>
          </w:tcPr>
          <w:p w14:paraId="4149D9C6">
            <w:pPr>
              <w:spacing w:after="0" w:line="360" w:lineRule="auto"/>
              <w:jc w:val="center"/>
              <w:rPr>
                <w:rFonts w:eastAsia="Times New Roman"/>
                <w:kern w:val="0"/>
                <w:sz w:val="18"/>
                <w:szCs w:val="18"/>
                <w:lang w:eastAsia="en-IN"/>
              </w:rPr>
            </w:pPr>
            <w:r>
              <w:rPr>
                <w:rFonts w:eastAsia="Times New Roman"/>
                <w:kern w:val="0"/>
                <w:sz w:val="20"/>
                <w:szCs w:val="18"/>
                <w:lang w:eastAsia="en-IN"/>
              </w:rPr>
              <w:t>14.10</w:t>
            </w:r>
          </w:p>
        </w:tc>
        <w:tc>
          <w:tcPr>
            <w:tcW w:w="1763" w:type="dxa"/>
            <w:tcBorders>
              <w:top w:val="single" w:color="000000" w:sz="4" w:space="0"/>
              <w:left w:val="single" w:color="000000" w:sz="4" w:space="0"/>
              <w:bottom w:val="single" w:color="000000" w:sz="4" w:space="0"/>
              <w:right w:val="single" w:color="000000" w:sz="4" w:space="0"/>
            </w:tcBorders>
          </w:tcPr>
          <w:p w14:paraId="49344916">
            <w:pPr>
              <w:spacing w:after="0" w:line="360" w:lineRule="auto"/>
              <w:jc w:val="center"/>
              <w:rPr>
                <w:rFonts w:eastAsia="Times New Roman"/>
                <w:kern w:val="0"/>
                <w:sz w:val="18"/>
                <w:szCs w:val="18"/>
                <w:lang w:eastAsia="en-IN"/>
              </w:rPr>
            </w:pPr>
            <w:r>
              <w:rPr>
                <w:rFonts w:eastAsia="Times New Roman"/>
                <w:kern w:val="0"/>
                <w:sz w:val="20"/>
                <w:szCs w:val="18"/>
                <w:lang w:eastAsia="en-IN"/>
              </w:rPr>
              <w:t>8.72</w:t>
            </w:r>
          </w:p>
        </w:tc>
        <w:tc>
          <w:tcPr>
            <w:tcW w:w="1569" w:type="dxa"/>
            <w:tcBorders>
              <w:top w:val="single" w:color="000000" w:sz="4" w:space="0"/>
              <w:left w:val="single" w:color="000000" w:sz="4" w:space="0"/>
              <w:bottom w:val="single" w:color="000000" w:sz="4" w:space="0"/>
              <w:right w:val="single" w:color="000000" w:sz="4" w:space="0"/>
            </w:tcBorders>
          </w:tcPr>
          <w:p w14:paraId="75E4A7C2">
            <w:pPr>
              <w:spacing w:after="0" w:line="360" w:lineRule="auto"/>
              <w:jc w:val="center"/>
              <w:rPr>
                <w:rFonts w:eastAsia="Times New Roman"/>
                <w:kern w:val="0"/>
                <w:sz w:val="18"/>
                <w:szCs w:val="18"/>
                <w:lang w:eastAsia="en-IN"/>
              </w:rPr>
            </w:pPr>
            <w:r>
              <w:rPr>
                <w:rFonts w:eastAsia="Times New Roman"/>
                <w:kern w:val="0"/>
                <w:sz w:val="20"/>
                <w:szCs w:val="18"/>
                <w:lang w:eastAsia="en-IN"/>
              </w:rPr>
              <w:t>2.33</w:t>
            </w:r>
          </w:p>
        </w:tc>
        <w:tc>
          <w:tcPr>
            <w:tcW w:w="1823" w:type="dxa"/>
            <w:tcBorders>
              <w:top w:val="single" w:color="000000" w:sz="4" w:space="0"/>
              <w:left w:val="single" w:color="000000" w:sz="4" w:space="0"/>
              <w:bottom w:val="single" w:color="000000" w:sz="4" w:space="0"/>
              <w:right w:val="single" w:color="000000" w:sz="4" w:space="0"/>
            </w:tcBorders>
          </w:tcPr>
          <w:p w14:paraId="6004A45A">
            <w:pPr>
              <w:spacing w:after="0" w:line="360" w:lineRule="auto"/>
              <w:jc w:val="center"/>
              <w:rPr>
                <w:rFonts w:eastAsia="Times New Roman"/>
                <w:kern w:val="0"/>
                <w:sz w:val="18"/>
                <w:szCs w:val="18"/>
                <w:lang w:eastAsia="en-IN"/>
              </w:rPr>
            </w:pPr>
            <w:r>
              <w:rPr>
                <w:rFonts w:eastAsia="Times New Roman"/>
                <w:kern w:val="0"/>
                <w:sz w:val="20"/>
                <w:szCs w:val="18"/>
                <w:lang w:eastAsia="en-IN"/>
              </w:rPr>
              <w:t>73.97</w:t>
            </w:r>
          </w:p>
        </w:tc>
      </w:tr>
      <w:tr w14:paraId="22CBB29C">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0B740152">
            <w:pPr>
              <w:spacing w:after="0" w:line="360" w:lineRule="auto"/>
              <w:jc w:val="center"/>
              <w:rPr>
                <w:rFonts w:eastAsia="Times New Roman"/>
                <w:kern w:val="0"/>
                <w:sz w:val="18"/>
                <w:szCs w:val="18"/>
                <w:lang w:eastAsia="en-IN"/>
              </w:rPr>
            </w:pPr>
            <w:r>
              <w:rPr>
                <w:rFonts w:eastAsia="Times New Roman"/>
                <w:kern w:val="0"/>
                <w:sz w:val="20"/>
                <w:szCs w:val="18"/>
                <w:lang w:eastAsia="en-IN"/>
              </w:rPr>
              <w:t>ARPJ-7</w:t>
            </w:r>
          </w:p>
        </w:tc>
        <w:tc>
          <w:tcPr>
            <w:tcW w:w="1821" w:type="dxa"/>
            <w:tcBorders>
              <w:top w:val="single" w:color="000000" w:sz="4" w:space="0"/>
              <w:left w:val="single" w:color="000000" w:sz="4" w:space="0"/>
              <w:bottom w:val="single" w:color="000000" w:sz="4" w:space="0"/>
              <w:right w:val="single" w:color="000000" w:sz="4" w:space="0"/>
            </w:tcBorders>
          </w:tcPr>
          <w:p w14:paraId="7C63655A">
            <w:pPr>
              <w:spacing w:after="0" w:line="360" w:lineRule="auto"/>
              <w:jc w:val="center"/>
              <w:rPr>
                <w:rFonts w:eastAsia="Times New Roman"/>
                <w:kern w:val="0"/>
                <w:sz w:val="18"/>
                <w:szCs w:val="18"/>
                <w:lang w:eastAsia="en-IN"/>
              </w:rPr>
            </w:pPr>
            <w:r>
              <w:rPr>
                <w:rFonts w:eastAsia="Times New Roman"/>
                <w:kern w:val="0"/>
                <w:sz w:val="20"/>
                <w:szCs w:val="18"/>
                <w:lang w:eastAsia="en-IN"/>
              </w:rPr>
              <w:t>15.88</w:t>
            </w:r>
          </w:p>
        </w:tc>
        <w:tc>
          <w:tcPr>
            <w:tcW w:w="1763" w:type="dxa"/>
            <w:tcBorders>
              <w:top w:val="single" w:color="000000" w:sz="4" w:space="0"/>
              <w:left w:val="single" w:color="000000" w:sz="4" w:space="0"/>
              <w:bottom w:val="single" w:color="000000" w:sz="4" w:space="0"/>
              <w:right w:val="single" w:color="000000" w:sz="4" w:space="0"/>
            </w:tcBorders>
          </w:tcPr>
          <w:p w14:paraId="0C34213D">
            <w:pPr>
              <w:spacing w:after="0" w:line="360" w:lineRule="auto"/>
              <w:jc w:val="center"/>
              <w:rPr>
                <w:rFonts w:eastAsia="Times New Roman"/>
                <w:kern w:val="0"/>
                <w:sz w:val="18"/>
                <w:szCs w:val="18"/>
                <w:lang w:eastAsia="en-IN"/>
              </w:rPr>
            </w:pPr>
            <w:r>
              <w:rPr>
                <w:rFonts w:eastAsia="Times New Roman"/>
                <w:kern w:val="0"/>
                <w:sz w:val="20"/>
                <w:szCs w:val="18"/>
                <w:lang w:eastAsia="en-IN"/>
              </w:rPr>
              <w:t>6.42</w:t>
            </w:r>
          </w:p>
        </w:tc>
        <w:tc>
          <w:tcPr>
            <w:tcW w:w="1569" w:type="dxa"/>
            <w:tcBorders>
              <w:top w:val="single" w:color="000000" w:sz="4" w:space="0"/>
              <w:left w:val="single" w:color="000000" w:sz="4" w:space="0"/>
              <w:bottom w:val="single" w:color="000000" w:sz="4" w:space="0"/>
              <w:right w:val="single" w:color="000000" w:sz="4" w:space="0"/>
            </w:tcBorders>
          </w:tcPr>
          <w:p w14:paraId="46EBD83B">
            <w:pPr>
              <w:spacing w:after="0" w:line="360" w:lineRule="auto"/>
              <w:jc w:val="center"/>
              <w:rPr>
                <w:rFonts w:eastAsia="Times New Roman"/>
                <w:kern w:val="0"/>
                <w:sz w:val="18"/>
                <w:szCs w:val="18"/>
                <w:lang w:eastAsia="en-IN"/>
              </w:rPr>
            </w:pPr>
            <w:r>
              <w:rPr>
                <w:rFonts w:eastAsia="Times New Roman"/>
                <w:kern w:val="0"/>
                <w:sz w:val="20"/>
                <w:szCs w:val="18"/>
                <w:lang w:eastAsia="en-IN"/>
              </w:rPr>
              <w:t>2.10</w:t>
            </w:r>
          </w:p>
        </w:tc>
        <w:tc>
          <w:tcPr>
            <w:tcW w:w="1823" w:type="dxa"/>
            <w:tcBorders>
              <w:top w:val="single" w:color="000000" w:sz="4" w:space="0"/>
              <w:left w:val="single" w:color="000000" w:sz="4" w:space="0"/>
              <w:bottom w:val="single" w:color="000000" w:sz="4" w:space="0"/>
              <w:right w:val="single" w:color="000000" w:sz="4" w:space="0"/>
            </w:tcBorders>
          </w:tcPr>
          <w:p w14:paraId="60D33CAD">
            <w:pPr>
              <w:spacing w:after="0" w:line="360" w:lineRule="auto"/>
              <w:jc w:val="center"/>
              <w:rPr>
                <w:rFonts w:eastAsia="Times New Roman"/>
                <w:kern w:val="0"/>
                <w:sz w:val="18"/>
                <w:szCs w:val="18"/>
                <w:lang w:eastAsia="en-IN"/>
              </w:rPr>
            </w:pPr>
            <w:r>
              <w:rPr>
                <w:rFonts w:eastAsia="Times New Roman"/>
                <w:kern w:val="0"/>
                <w:sz w:val="20"/>
                <w:szCs w:val="18"/>
                <w:lang w:eastAsia="en-IN"/>
              </w:rPr>
              <w:t>99.11</w:t>
            </w:r>
          </w:p>
        </w:tc>
      </w:tr>
      <w:tr w14:paraId="42276D6F">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B8FC483">
            <w:pPr>
              <w:spacing w:after="0" w:line="360" w:lineRule="auto"/>
              <w:jc w:val="center"/>
              <w:rPr>
                <w:rFonts w:eastAsia="Times New Roman"/>
                <w:kern w:val="0"/>
                <w:sz w:val="18"/>
                <w:szCs w:val="18"/>
                <w:lang w:eastAsia="en-IN"/>
              </w:rPr>
            </w:pPr>
            <w:r>
              <w:rPr>
                <w:rFonts w:eastAsia="Times New Roman"/>
                <w:kern w:val="0"/>
                <w:sz w:val="20"/>
                <w:szCs w:val="18"/>
                <w:lang w:eastAsia="en-IN"/>
              </w:rPr>
              <w:t>Byrachandra</w:t>
            </w:r>
          </w:p>
        </w:tc>
        <w:tc>
          <w:tcPr>
            <w:tcW w:w="1821" w:type="dxa"/>
            <w:tcBorders>
              <w:top w:val="single" w:color="000000" w:sz="4" w:space="0"/>
              <w:left w:val="single" w:color="000000" w:sz="4" w:space="0"/>
              <w:bottom w:val="single" w:color="000000" w:sz="4" w:space="0"/>
              <w:right w:val="single" w:color="000000" w:sz="4" w:space="0"/>
            </w:tcBorders>
          </w:tcPr>
          <w:p w14:paraId="5572DE7C">
            <w:pPr>
              <w:spacing w:after="0" w:line="360" w:lineRule="auto"/>
              <w:jc w:val="center"/>
              <w:rPr>
                <w:rFonts w:eastAsia="Times New Roman"/>
                <w:kern w:val="0"/>
                <w:sz w:val="18"/>
                <w:szCs w:val="18"/>
                <w:lang w:eastAsia="en-IN"/>
              </w:rPr>
            </w:pPr>
            <w:r>
              <w:rPr>
                <w:rFonts w:eastAsia="Times New Roman"/>
                <w:kern w:val="0"/>
                <w:sz w:val="20"/>
                <w:szCs w:val="18"/>
                <w:lang w:eastAsia="en-IN"/>
              </w:rPr>
              <w:t>14.56</w:t>
            </w:r>
          </w:p>
        </w:tc>
        <w:tc>
          <w:tcPr>
            <w:tcW w:w="1763" w:type="dxa"/>
            <w:tcBorders>
              <w:top w:val="single" w:color="000000" w:sz="4" w:space="0"/>
              <w:left w:val="single" w:color="000000" w:sz="4" w:space="0"/>
              <w:bottom w:val="single" w:color="000000" w:sz="4" w:space="0"/>
              <w:right w:val="single" w:color="000000" w:sz="4" w:space="0"/>
            </w:tcBorders>
          </w:tcPr>
          <w:p w14:paraId="32CE0F7E">
            <w:pPr>
              <w:spacing w:after="0" w:line="360" w:lineRule="auto"/>
              <w:jc w:val="center"/>
              <w:rPr>
                <w:rFonts w:eastAsia="Times New Roman"/>
                <w:kern w:val="0"/>
                <w:sz w:val="18"/>
                <w:szCs w:val="18"/>
                <w:lang w:eastAsia="en-IN"/>
              </w:rPr>
            </w:pPr>
            <w:r>
              <w:rPr>
                <w:rFonts w:eastAsia="Times New Roman"/>
                <w:kern w:val="0"/>
                <w:sz w:val="20"/>
                <w:szCs w:val="18"/>
                <w:lang w:eastAsia="en-IN"/>
              </w:rPr>
              <w:t>8.04</w:t>
            </w:r>
          </w:p>
        </w:tc>
        <w:tc>
          <w:tcPr>
            <w:tcW w:w="1569" w:type="dxa"/>
            <w:tcBorders>
              <w:top w:val="single" w:color="000000" w:sz="4" w:space="0"/>
              <w:left w:val="single" w:color="000000" w:sz="4" w:space="0"/>
              <w:bottom w:val="single" w:color="000000" w:sz="4" w:space="0"/>
              <w:right w:val="single" w:color="000000" w:sz="4" w:space="0"/>
            </w:tcBorders>
          </w:tcPr>
          <w:p w14:paraId="26352373">
            <w:pPr>
              <w:spacing w:after="0" w:line="360" w:lineRule="auto"/>
              <w:jc w:val="center"/>
              <w:rPr>
                <w:rFonts w:eastAsia="Times New Roman"/>
                <w:kern w:val="0"/>
                <w:sz w:val="18"/>
                <w:szCs w:val="18"/>
                <w:lang w:eastAsia="en-IN"/>
              </w:rPr>
            </w:pPr>
            <w:r>
              <w:rPr>
                <w:rFonts w:eastAsia="Times New Roman"/>
                <w:kern w:val="0"/>
                <w:sz w:val="20"/>
                <w:szCs w:val="18"/>
                <w:lang w:eastAsia="en-IN"/>
              </w:rPr>
              <w:t>2.10</w:t>
            </w:r>
          </w:p>
        </w:tc>
        <w:tc>
          <w:tcPr>
            <w:tcW w:w="1823" w:type="dxa"/>
            <w:tcBorders>
              <w:top w:val="single" w:color="000000" w:sz="4" w:space="0"/>
              <w:left w:val="single" w:color="000000" w:sz="4" w:space="0"/>
              <w:bottom w:val="single" w:color="000000" w:sz="4" w:space="0"/>
              <w:right w:val="single" w:color="000000" w:sz="4" w:space="0"/>
            </w:tcBorders>
          </w:tcPr>
          <w:p w14:paraId="5F9DC1FA">
            <w:pPr>
              <w:spacing w:after="0" w:line="360" w:lineRule="auto"/>
              <w:jc w:val="center"/>
              <w:rPr>
                <w:rFonts w:eastAsia="Times New Roman"/>
                <w:kern w:val="0"/>
                <w:sz w:val="18"/>
                <w:szCs w:val="18"/>
                <w:lang w:eastAsia="en-IN"/>
              </w:rPr>
            </w:pPr>
            <w:r>
              <w:rPr>
                <w:rFonts w:eastAsia="Times New Roman"/>
                <w:kern w:val="0"/>
                <w:sz w:val="20"/>
                <w:szCs w:val="18"/>
                <w:lang w:eastAsia="en-IN"/>
              </w:rPr>
              <w:t>63.72</w:t>
            </w:r>
          </w:p>
        </w:tc>
      </w:tr>
      <w:tr w14:paraId="64ED6DB1">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D9E1E73">
            <w:pPr>
              <w:spacing w:after="0" w:line="360" w:lineRule="auto"/>
              <w:jc w:val="center"/>
              <w:rPr>
                <w:rFonts w:eastAsia="Times New Roman"/>
                <w:kern w:val="0"/>
                <w:sz w:val="18"/>
                <w:szCs w:val="18"/>
                <w:lang w:eastAsia="en-IN"/>
              </w:rPr>
            </w:pPr>
            <w:r>
              <w:rPr>
                <w:rFonts w:eastAsia="Times New Roman"/>
                <w:kern w:val="0"/>
                <w:sz w:val="20"/>
                <w:szCs w:val="18"/>
                <w:lang w:eastAsia="en-IN"/>
              </w:rPr>
              <w:t>Eddi pasand</w:t>
            </w:r>
          </w:p>
        </w:tc>
        <w:tc>
          <w:tcPr>
            <w:tcW w:w="1821" w:type="dxa"/>
            <w:tcBorders>
              <w:top w:val="single" w:color="000000" w:sz="4" w:space="0"/>
              <w:left w:val="single" w:color="000000" w:sz="4" w:space="0"/>
              <w:bottom w:val="single" w:color="000000" w:sz="4" w:space="0"/>
              <w:right w:val="single" w:color="000000" w:sz="4" w:space="0"/>
            </w:tcBorders>
          </w:tcPr>
          <w:p w14:paraId="36032DE5">
            <w:pPr>
              <w:spacing w:after="0" w:line="360" w:lineRule="auto"/>
              <w:jc w:val="center"/>
              <w:rPr>
                <w:rFonts w:eastAsia="Times New Roman"/>
                <w:kern w:val="0"/>
                <w:sz w:val="18"/>
                <w:szCs w:val="18"/>
                <w:lang w:eastAsia="en-IN"/>
              </w:rPr>
            </w:pPr>
            <w:r>
              <w:rPr>
                <w:rFonts w:eastAsia="Times New Roman"/>
                <w:kern w:val="0"/>
                <w:sz w:val="20"/>
                <w:szCs w:val="18"/>
                <w:lang w:eastAsia="en-IN"/>
              </w:rPr>
              <w:t>13.94</w:t>
            </w:r>
          </w:p>
        </w:tc>
        <w:tc>
          <w:tcPr>
            <w:tcW w:w="1763" w:type="dxa"/>
            <w:tcBorders>
              <w:top w:val="single" w:color="000000" w:sz="4" w:space="0"/>
              <w:left w:val="single" w:color="000000" w:sz="4" w:space="0"/>
              <w:bottom w:val="single" w:color="000000" w:sz="4" w:space="0"/>
              <w:right w:val="single" w:color="000000" w:sz="4" w:space="0"/>
            </w:tcBorders>
          </w:tcPr>
          <w:p w14:paraId="33047772">
            <w:pPr>
              <w:spacing w:after="0" w:line="360" w:lineRule="auto"/>
              <w:jc w:val="center"/>
              <w:rPr>
                <w:rFonts w:eastAsia="Times New Roman"/>
                <w:kern w:val="0"/>
                <w:sz w:val="18"/>
                <w:szCs w:val="18"/>
                <w:lang w:eastAsia="en-IN"/>
              </w:rPr>
            </w:pPr>
            <w:r>
              <w:rPr>
                <w:rFonts w:eastAsia="Times New Roman"/>
                <w:kern w:val="0"/>
                <w:sz w:val="20"/>
                <w:szCs w:val="18"/>
                <w:lang w:eastAsia="en-IN"/>
              </w:rPr>
              <w:t>7.28</w:t>
            </w:r>
          </w:p>
        </w:tc>
        <w:tc>
          <w:tcPr>
            <w:tcW w:w="1569" w:type="dxa"/>
            <w:tcBorders>
              <w:top w:val="single" w:color="000000" w:sz="4" w:space="0"/>
              <w:left w:val="single" w:color="000000" w:sz="4" w:space="0"/>
              <w:bottom w:val="single" w:color="000000" w:sz="4" w:space="0"/>
              <w:right w:val="single" w:color="000000" w:sz="4" w:space="0"/>
            </w:tcBorders>
          </w:tcPr>
          <w:p w14:paraId="4D670E4E">
            <w:pPr>
              <w:spacing w:after="0" w:line="360" w:lineRule="auto"/>
              <w:jc w:val="center"/>
              <w:rPr>
                <w:rFonts w:eastAsia="Times New Roman"/>
                <w:kern w:val="0"/>
                <w:sz w:val="18"/>
                <w:szCs w:val="18"/>
                <w:lang w:eastAsia="en-IN"/>
              </w:rPr>
            </w:pPr>
            <w:r>
              <w:rPr>
                <w:rFonts w:eastAsia="Times New Roman"/>
                <w:kern w:val="0"/>
                <w:sz w:val="20"/>
                <w:szCs w:val="18"/>
                <w:lang w:eastAsia="en-IN"/>
              </w:rPr>
              <w:t>3.07</w:t>
            </w:r>
          </w:p>
        </w:tc>
        <w:tc>
          <w:tcPr>
            <w:tcW w:w="1823" w:type="dxa"/>
            <w:tcBorders>
              <w:top w:val="single" w:color="000000" w:sz="4" w:space="0"/>
              <w:left w:val="single" w:color="000000" w:sz="4" w:space="0"/>
              <w:bottom w:val="single" w:color="000000" w:sz="4" w:space="0"/>
              <w:right w:val="single" w:color="000000" w:sz="4" w:space="0"/>
            </w:tcBorders>
          </w:tcPr>
          <w:p w14:paraId="059CA187">
            <w:pPr>
              <w:spacing w:after="0" w:line="360" w:lineRule="auto"/>
              <w:jc w:val="center"/>
              <w:rPr>
                <w:rFonts w:eastAsia="Times New Roman"/>
                <w:kern w:val="0"/>
                <w:sz w:val="18"/>
                <w:szCs w:val="18"/>
                <w:lang w:eastAsia="en-IN"/>
              </w:rPr>
            </w:pPr>
            <w:r>
              <w:rPr>
                <w:rFonts w:eastAsia="Times New Roman"/>
                <w:kern w:val="0"/>
                <w:sz w:val="20"/>
                <w:szCs w:val="18"/>
                <w:lang w:eastAsia="en-IN"/>
              </w:rPr>
              <w:t>67.23</w:t>
            </w:r>
          </w:p>
        </w:tc>
      </w:tr>
      <w:tr w14:paraId="37D15CCA">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0395FB3E">
            <w:pPr>
              <w:spacing w:after="0" w:line="360" w:lineRule="auto"/>
              <w:jc w:val="center"/>
              <w:rPr>
                <w:rFonts w:eastAsia="Times New Roman"/>
                <w:kern w:val="0"/>
                <w:sz w:val="18"/>
                <w:szCs w:val="18"/>
                <w:lang w:eastAsia="en-IN"/>
              </w:rPr>
            </w:pPr>
            <w:r>
              <w:rPr>
                <w:rFonts w:eastAsia="Times New Roman"/>
                <w:kern w:val="0"/>
                <w:sz w:val="20"/>
                <w:szCs w:val="18"/>
                <w:lang w:eastAsia="en-IN"/>
              </w:rPr>
              <w:t>Gumless</w:t>
            </w:r>
          </w:p>
        </w:tc>
        <w:tc>
          <w:tcPr>
            <w:tcW w:w="1821" w:type="dxa"/>
            <w:tcBorders>
              <w:top w:val="single" w:color="000000" w:sz="4" w:space="0"/>
              <w:left w:val="single" w:color="000000" w:sz="4" w:space="0"/>
              <w:bottom w:val="single" w:color="000000" w:sz="4" w:space="0"/>
              <w:right w:val="single" w:color="000000" w:sz="4" w:space="0"/>
            </w:tcBorders>
          </w:tcPr>
          <w:p w14:paraId="2BD42821">
            <w:pPr>
              <w:spacing w:after="0" w:line="360" w:lineRule="auto"/>
              <w:jc w:val="center"/>
              <w:rPr>
                <w:rFonts w:eastAsia="Times New Roman"/>
                <w:kern w:val="0"/>
                <w:sz w:val="18"/>
                <w:szCs w:val="18"/>
                <w:lang w:eastAsia="en-IN"/>
              </w:rPr>
            </w:pPr>
            <w:r>
              <w:rPr>
                <w:rFonts w:eastAsia="Times New Roman"/>
                <w:kern w:val="0"/>
                <w:sz w:val="20"/>
                <w:szCs w:val="18"/>
                <w:lang w:eastAsia="en-IN"/>
              </w:rPr>
              <w:t>18.14</w:t>
            </w:r>
          </w:p>
        </w:tc>
        <w:tc>
          <w:tcPr>
            <w:tcW w:w="1763" w:type="dxa"/>
            <w:tcBorders>
              <w:top w:val="single" w:color="000000" w:sz="4" w:space="0"/>
              <w:left w:val="single" w:color="000000" w:sz="4" w:space="0"/>
              <w:bottom w:val="single" w:color="000000" w:sz="4" w:space="0"/>
              <w:right w:val="single" w:color="000000" w:sz="4" w:space="0"/>
            </w:tcBorders>
          </w:tcPr>
          <w:p w14:paraId="05145315">
            <w:pPr>
              <w:spacing w:after="0" w:line="360" w:lineRule="auto"/>
              <w:jc w:val="center"/>
              <w:rPr>
                <w:rFonts w:eastAsia="Times New Roman"/>
                <w:kern w:val="0"/>
                <w:sz w:val="18"/>
                <w:szCs w:val="18"/>
                <w:lang w:eastAsia="en-IN"/>
              </w:rPr>
            </w:pPr>
            <w:r>
              <w:rPr>
                <w:rFonts w:eastAsia="Times New Roman"/>
                <w:kern w:val="0"/>
                <w:sz w:val="20"/>
                <w:szCs w:val="18"/>
                <w:lang w:eastAsia="en-IN"/>
              </w:rPr>
              <w:t>8.92</w:t>
            </w:r>
          </w:p>
        </w:tc>
        <w:tc>
          <w:tcPr>
            <w:tcW w:w="1569" w:type="dxa"/>
            <w:tcBorders>
              <w:top w:val="single" w:color="000000" w:sz="4" w:space="0"/>
              <w:left w:val="single" w:color="000000" w:sz="4" w:space="0"/>
              <w:bottom w:val="single" w:color="000000" w:sz="4" w:space="0"/>
              <w:right w:val="single" w:color="000000" w:sz="4" w:space="0"/>
            </w:tcBorders>
          </w:tcPr>
          <w:p w14:paraId="77C3FEFA">
            <w:pPr>
              <w:spacing w:after="0" w:line="360" w:lineRule="auto"/>
              <w:jc w:val="center"/>
              <w:rPr>
                <w:rFonts w:eastAsia="Times New Roman"/>
                <w:kern w:val="0"/>
                <w:sz w:val="18"/>
                <w:szCs w:val="18"/>
                <w:lang w:eastAsia="en-IN"/>
              </w:rPr>
            </w:pPr>
            <w:r>
              <w:rPr>
                <w:rFonts w:eastAsia="Times New Roman"/>
                <w:kern w:val="0"/>
                <w:sz w:val="20"/>
                <w:szCs w:val="18"/>
                <w:lang w:eastAsia="en-IN"/>
              </w:rPr>
              <w:t>1.90</w:t>
            </w:r>
          </w:p>
        </w:tc>
        <w:tc>
          <w:tcPr>
            <w:tcW w:w="1823" w:type="dxa"/>
            <w:tcBorders>
              <w:top w:val="single" w:color="000000" w:sz="4" w:space="0"/>
              <w:left w:val="single" w:color="000000" w:sz="4" w:space="0"/>
              <w:bottom w:val="single" w:color="000000" w:sz="4" w:space="0"/>
              <w:right w:val="single" w:color="000000" w:sz="4" w:space="0"/>
            </w:tcBorders>
          </w:tcPr>
          <w:p w14:paraId="3519BF6C">
            <w:pPr>
              <w:spacing w:after="0" w:line="360" w:lineRule="auto"/>
              <w:jc w:val="center"/>
              <w:rPr>
                <w:rFonts w:eastAsia="Times New Roman"/>
                <w:kern w:val="0"/>
                <w:sz w:val="18"/>
                <w:szCs w:val="18"/>
                <w:lang w:eastAsia="en-IN"/>
              </w:rPr>
            </w:pPr>
            <w:r>
              <w:rPr>
                <w:rFonts w:eastAsia="Times New Roman"/>
                <w:kern w:val="0"/>
                <w:sz w:val="20"/>
                <w:szCs w:val="18"/>
                <w:lang w:eastAsia="en-IN"/>
              </w:rPr>
              <w:t>79.65</w:t>
            </w:r>
          </w:p>
        </w:tc>
      </w:tr>
      <w:tr w14:paraId="7FB836CB">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5E180F4">
            <w:pPr>
              <w:spacing w:after="0" w:line="360" w:lineRule="auto"/>
              <w:jc w:val="center"/>
              <w:rPr>
                <w:rFonts w:eastAsia="Times New Roman"/>
                <w:kern w:val="0"/>
                <w:sz w:val="18"/>
                <w:szCs w:val="18"/>
                <w:lang w:eastAsia="en-IN"/>
              </w:rPr>
            </w:pPr>
            <w:r>
              <w:rPr>
                <w:rFonts w:eastAsia="Times New Roman"/>
                <w:kern w:val="0"/>
                <w:sz w:val="20"/>
                <w:szCs w:val="18"/>
                <w:lang w:eastAsia="en-IN"/>
              </w:rPr>
              <w:t>Honey dew</w:t>
            </w:r>
          </w:p>
        </w:tc>
        <w:tc>
          <w:tcPr>
            <w:tcW w:w="1821" w:type="dxa"/>
            <w:tcBorders>
              <w:top w:val="single" w:color="000000" w:sz="4" w:space="0"/>
              <w:left w:val="single" w:color="000000" w:sz="4" w:space="0"/>
              <w:bottom w:val="single" w:color="000000" w:sz="4" w:space="0"/>
              <w:right w:val="single" w:color="000000" w:sz="4" w:space="0"/>
            </w:tcBorders>
          </w:tcPr>
          <w:p w14:paraId="671D0D18">
            <w:pPr>
              <w:spacing w:after="0" w:line="360" w:lineRule="auto"/>
              <w:jc w:val="center"/>
              <w:rPr>
                <w:rFonts w:eastAsia="Times New Roman"/>
                <w:kern w:val="0"/>
                <w:sz w:val="18"/>
                <w:szCs w:val="18"/>
                <w:lang w:eastAsia="en-IN"/>
              </w:rPr>
            </w:pPr>
            <w:r>
              <w:rPr>
                <w:rFonts w:eastAsia="Times New Roman"/>
                <w:kern w:val="0"/>
                <w:sz w:val="20"/>
                <w:szCs w:val="18"/>
                <w:lang w:eastAsia="en-IN"/>
              </w:rPr>
              <w:t>8.92</w:t>
            </w:r>
          </w:p>
        </w:tc>
        <w:tc>
          <w:tcPr>
            <w:tcW w:w="1763" w:type="dxa"/>
            <w:tcBorders>
              <w:top w:val="single" w:color="000000" w:sz="4" w:space="0"/>
              <w:left w:val="single" w:color="000000" w:sz="4" w:space="0"/>
              <w:bottom w:val="single" w:color="000000" w:sz="4" w:space="0"/>
              <w:right w:val="single" w:color="000000" w:sz="4" w:space="0"/>
            </w:tcBorders>
          </w:tcPr>
          <w:p w14:paraId="608C46AE">
            <w:pPr>
              <w:spacing w:after="0" w:line="360" w:lineRule="auto"/>
              <w:jc w:val="center"/>
              <w:rPr>
                <w:rFonts w:eastAsia="Times New Roman"/>
                <w:kern w:val="0"/>
                <w:sz w:val="18"/>
                <w:szCs w:val="18"/>
                <w:lang w:eastAsia="en-IN"/>
              </w:rPr>
            </w:pPr>
            <w:r>
              <w:rPr>
                <w:rFonts w:eastAsia="Times New Roman"/>
                <w:kern w:val="0"/>
                <w:sz w:val="20"/>
                <w:szCs w:val="18"/>
                <w:lang w:eastAsia="en-IN"/>
              </w:rPr>
              <w:t>6.00</w:t>
            </w:r>
          </w:p>
        </w:tc>
        <w:tc>
          <w:tcPr>
            <w:tcW w:w="1569" w:type="dxa"/>
            <w:tcBorders>
              <w:top w:val="single" w:color="000000" w:sz="4" w:space="0"/>
              <w:left w:val="single" w:color="000000" w:sz="4" w:space="0"/>
              <w:bottom w:val="single" w:color="000000" w:sz="4" w:space="0"/>
              <w:right w:val="single" w:color="000000" w:sz="4" w:space="0"/>
            </w:tcBorders>
          </w:tcPr>
          <w:p w14:paraId="00806FCF">
            <w:pPr>
              <w:spacing w:after="0" w:line="360" w:lineRule="auto"/>
              <w:jc w:val="center"/>
              <w:rPr>
                <w:rFonts w:eastAsia="Times New Roman"/>
                <w:kern w:val="0"/>
                <w:sz w:val="18"/>
                <w:szCs w:val="18"/>
                <w:lang w:eastAsia="en-IN"/>
              </w:rPr>
            </w:pPr>
            <w:r>
              <w:rPr>
                <w:rFonts w:eastAsia="Times New Roman"/>
                <w:kern w:val="0"/>
                <w:sz w:val="20"/>
                <w:szCs w:val="18"/>
                <w:lang w:eastAsia="en-IN"/>
              </w:rPr>
              <w:t>1.57</w:t>
            </w:r>
          </w:p>
        </w:tc>
        <w:tc>
          <w:tcPr>
            <w:tcW w:w="1823" w:type="dxa"/>
            <w:tcBorders>
              <w:top w:val="single" w:color="000000" w:sz="4" w:space="0"/>
              <w:left w:val="single" w:color="000000" w:sz="4" w:space="0"/>
              <w:bottom w:val="single" w:color="000000" w:sz="4" w:space="0"/>
              <w:right w:val="single" w:color="000000" w:sz="4" w:space="0"/>
            </w:tcBorders>
          </w:tcPr>
          <w:p w14:paraId="5A4E0F92">
            <w:pPr>
              <w:spacing w:after="0" w:line="360" w:lineRule="auto"/>
              <w:jc w:val="center"/>
              <w:rPr>
                <w:rFonts w:eastAsia="Times New Roman"/>
                <w:kern w:val="0"/>
                <w:sz w:val="18"/>
                <w:szCs w:val="18"/>
                <w:lang w:eastAsia="en-IN"/>
              </w:rPr>
            </w:pPr>
            <w:r>
              <w:rPr>
                <w:rFonts w:eastAsia="Times New Roman"/>
                <w:kern w:val="0"/>
                <w:sz w:val="20"/>
                <w:szCs w:val="18"/>
                <w:lang w:eastAsia="en-IN"/>
              </w:rPr>
              <w:t>62.25</w:t>
            </w:r>
          </w:p>
        </w:tc>
      </w:tr>
      <w:tr w14:paraId="518D24CD">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591AFE7C">
            <w:pPr>
              <w:spacing w:after="0" w:line="360" w:lineRule="auto"/>
              <w:jc w:val="center"/>
              <w:rPr>
                <w:rFonts w:eastAsia="Times New Roman"/>
                <w:kern w:val="0"/>
                <w:sz w:val="18"/>
                <w:szCs w:val="18"/>
                <w:lang w:eastAsia="en-IN"/>
              </w:rPr>
            </w:pPr>
            <w:r>
              <w:rPr>
                <w:rFonts w:eastAsia="Times New Roman"/>
                <w:kern w:val="0"/>
                <w:sz w:val="20"/>
                <w:szCs w:val="18"/>
                <w:lang w:eastAsia="en-IN"/>
              </w:rPr>
              <w:t>JAP-1</w:t>
            </w:r>
          </w:p>
        </w:tc>
        <w:tc>
          <w:tcPr>
            <w:tcW w:w="1821" w:type="dxa"/>
            <w:tcBorders>
              <w:top w:val="single" w:color="000000" w:sz="4" w:space="0"/>
              <w:left w:val="single" w:color="000000" w:sz="4" w:space="0"/>
              <w:bottom w:val="single" w:color="000000" w:sz="4" w:space="0"/>
              <w:right w:val="single" w:color="000000" w:sz="4" w:space="0"/>
            </w:tcBorders>
          </w:tcPr>
          <w:p w14:paraId="7BA1B4E2">
            <w:pPr>
              <w:spacing w:after="0" w:line="360" w:lineRule="auto"/>
              <w:jc w:val="center"/>
              <w:rPr>
                <w:rFonts w:eastAsia="Times New Roman"/>
                <w:kern w:val="0"/>
                <w:sz w:val="18"/>
                <w:szCs w:val="18"/>
                <w:lang w:eastAsia="en-IN"/>
              </w:rPr>
            </w:pPr>
            <w:r>
              <w:rPr>
                <w:rFonts w:eastAsia="Times New Roman"/>
                <w:kern w:val="0"/>
                <w:sz w:val="20"/>
                <w:szCs w:val="18"/>
                <w:lang w:eastAsia="en-IN"/>
              </w:rPr>
              <w:t>19.98</w:t>
            </w:r>
          </w:p>
        </w:tc>
        <w:tc>
          <w:tcPr>
            <w:tcW w:w="1763" w:type="dxa"/>
            <w:tcBorders>
              <w:top w:val="single" w:color="000000" w:sz="4" w:space="0"/>
              <w:left w:val="single" w:color="000000" w:sz="4" w:space="0"/>
              <w:bottom w:val="single" w:color="000000" w:sz="4" w:space="0"/>
              <w:right w:val="single" w:color="000000" w:sz="4" w:space="0"/>
            </w:tcBorders>
          </w:tcPr>
          <w:p w14:paraId="05A53A24">
            <w:pPr>
              <w:spacing w:after="0" w:line="360" w:lineRule="auto"/>
              <w:jc w:val="center"/>
              <w:rPr>
                <w:rFonts w:eastAsia="Times New Roman"/>
                <w:kern w:val="0"/>
                <w:sz w:val="18"/>
                <w:szCs w:val="18"/>
                <w:lang w:eastAsia="en-IN"/>
              </w:rPr>
            </w:pPr>
            <w:r>
              <w:rPr>
                <w:rFonts w:eastAsia="Times New Roman"/>
                <w:kern w:val="0"/>
                <w:sz w:val="20"/>
                <w:szCs w:val="18"/>
                <w:lang w:eastAsia="en-IN"/>
              </w:rPr>
              <w:t>9.58</w:t>
            </w:r>
          </w:p>
        </w:tc>
        <w:tc>
          <w:tcPr>
            <w:tcW w:w="1569" w:type="dxa"/>
            <w:tcBorders>
              <w:top w:val="single" w:color="000000" w:sz="4" w:space="0"/>
              <w:left w:val="single" w:color="000000" w:sz="4" w:space="0"/>
              <w:bottom w:val="single" w:color="000000" w:sz="4" w:space="0"/>
              <w:right w:val="single" w:color="000000" w:sz="4" w:space="0"/>
            </w:tcBorders>
          </w:tcPr>
          <w:p w14:paraId="2EB42A41">
            <w:pPr>
              <w:spacing w:after="0" w:line="360" w:lineRule="auto"/>
              <w:jc w:val="center"/>
              <w:rPr>
                <w:rFonts w:eastAsia="Times New Roman"/>
                <w:kern w:val="0"/>
                <w:sz w:val="18"/>
                <w:szCs w:val="18"/>
                <w:lang w:eastAsia="en-IN"/>
              </w:rPr>
            </w:pPr>
            <w:r>
              <w:rPr>
                <w:rFonts w:eastAsia="Times New Roman"/>
                <w:kern w:val="0"/>
                <w:sz w:val="20"/>
                <w:szCs w:val="18"/>
                <w:lang w:eastAsia="en-IN"/>
              </w:rPr>
              <w:t>2.07</w:t>
            </w:r>
          </w:p>
        </w:tc>
        <w:tc>
          <w:tcPr>
            <w:tcW w:w="1823" w:type="dxa"/>
            <w:tcBorders>
              <w:top w:val="single" w:color="000000" w:sz="4" w:space="0"/>
              <w:left w:val="single" w:color="000000" w:sz="4" w:space="0"/>
              <w:bottom w:val="single" w:color="000000" w:sz="4" w:space="0"/>
              <w:right w:val="single" w:color="000000" w:sz="4" w:space="0"/>
            </w:tcBorders>
          </w:tcPr>
          <w:p w14:paraId="50C5DBC6">
            <w:pPr>
              <w:spacing w:after="0" w:line="360" w:lineRule="auto"/>
              <w:jc w:val="center"/>
              <w:rPr>
                <w:rFonts w:eastAsia="Times New Roman"/>
                <w:kern w:val="0"/>
                <w:sz w:val="18"/>
                <w:szCs w:val="18"/>
                <w:lang w:eastAsia="en-IN"/>
              </w:rPr>
            </w:pPr>
            <w:r>
              <w:rPr>
                <w:rFonts w:eastAsia="Times New Roman"/>
                <w:kern w:val="0"/>
                <w:sz w:val="20"/>
                <w:szCs w:val="18"/>
                <w:lang w:eastAsia="en-IN"/>
              </w:rPr>
              <w:t>90.77</w:t>
            </w:r>
          </w:p>
        </w:tc>
      </w:tr>
      <w:tr w14:paraId="6D2BC089">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2EC9BF90">
            <w:pPr>
              <w:spacing w:after="0" w:line="360" w:lineRule="auto"/>
              <w:jc w:val="center"/>
              <w:rPr>
                <w:rFonts w:eastAsia="Times New Roman"/>
                <w:kern w:val="0"/>
                <w:sz w:val="18"/>
                <w:szCs w:val="18"/>
                <w:lang w:eastAsia="en-IN"/>
              </w:rPr>
            </w:pPr>
            <w:r>
              <w:rPr>
                <w:rFonts w:eastAsia="Times New Roman"/>
                <w:kern w:val="0"/>
                <w:sz w:val="20"/>
                <w:szCs w:val="18"/>
                <w:lang w:eastAsia="en-IN"/>
              </w:rPr>
              <w:t>JAP-2</w:t>
            </w:r>
          </w:p>
        </w:tc>
        <w:tc>
          <w:tcPr>
            <w:tcW w:w="1821" w:type="dxa"/>
            <w:tcBorders>
              <w:top w:val="single" w:color="000000" w:sz="4" w:space="0"/>
              <w:left w:val="single" w:color="000000" w:sz="4" w:space="0"/>
              <w:bottom w:val="single" w:color="000000" w:sz="4" w:space="0"/>
              <w:right w:val="single" w:color="000000" w:sz="4" w:space="0"/>
            </w:tcBorders>
          </w:tcPr>
          <w:p w14:paraId="0CC6D128">
            <w:pPr>
              <w:spacing w:after="0" w:line="360" w:lineRule="auto"/>
              <w:jc w:val="center"/>
              <w:rPr>
                <w:rFonts w:eastAsia="Times New Roman"/>
                <w:kern w:val="0"/>
                <w:sz w:val="18"/>
                <w:szCs w:val="18"/>
                <w:lang w:eastAsia="en-IN"/>
              </w:rPr>
            </w:pPr>
            <w:r>
              <w:rPr>
                <w:rFonts w:eastAsia="Times New Roman"/>
                <w:kern w:val="0"/>
                <w:sz w:val="20"/>
                <w:szCs w:val="18"/>
                <w:lang w:eastAsia="en-IN"/>
              </w:rPr>
              <w:t>14.44</w:t>
            </w:r>
          </w:p>
        </w:tc>
        <w:tc>
          <w:tcPr>
            <w:tcW w:w="1763" w:type="dxa"/>
            <w:tcBorders>
              <w:top w:val="single" w:color="000000" w:sz="4" w:space="0"/>
              <w:left w:val="single" w:color="000000" w:sz="4" w:space="0"/>
              <w:bottom w:val="single" w:color="000000" w:sz="4" w:space="0"/>
              <w:right w:val="single" w:color="000000" w:sz="4" w:space="0"/>
            </w:tcBorders>
          </w:tcPr>
          <w:p w14:paraId="425296D7">
            <w:pPr>
              <w:spacing w:after="0" w:line="360" w:lineRule="auto"/>
              <w:jc w:val="center"/>
              <w:rPr>
                <w:rFonts w:eastAsia="Times New Roman"/>
                <w:kern w:val="0"/>
                <w:sz w:val="18"/>
                <w:szCs w:val="18"/>
                <w:lang w:eastAsia="en-IN"/>
              </w:rPr>
            </w:pPr>
            <w:r>
              <w:rPr>
                <w:rFonts w:eastAsia="Times New Roman"/>
                <w:kern w:val="0"/>
                <w:sz w:val="20"/>
                <w:szCs w:val="18"/>
                <w:lang w:eastAsia="en-IN"/>
              </w:rPr>
              <w:t>8.14</w:t>
            </w:r>
          </w:p>
        </w:tc>
        <w:tc>
          <w:tcPr>
            <w:tcW w:w="1569" w:type="dxa"/>
            <w:tcBorders>
              <w:top w:val="single" w:color="000000" w:sz="4" w:space="0"/>
              <w:left w:val="single" w:color="000000" w:sz="4" w:space="0"/>
              <w:bottom w:val="single" w:color="000000" w:sz="4" w:space="0"/>
              <w:right w:val="single" w:color="000000" w:sz="4" w:space="0"/>
            </w:tcBorders>
          </w:tcPr>
          <w:p w14:paraId="75718F7E">
            <w:pPr>
              <w:spacing w:after="0" w:line="360" w:lineRule="auto"/>
              <w:jc w:val="center"/>
              <w:rPr>
                <w:rFonts w:eastAsia="Times New Roman"/>
                <w:kern w:val="0"/>
                <w:sz w:val="18"/>
                <w:szCs w:val="18"/>
                <w:lang w:eastAsia="en-IN"/>
              </w:rPr>
            </w:pPr>
            <w:r>
              <w:rPr>
                <w:rFonts w:eastAsia="Times New Roman"/>
                <w:kern w:val="0"/>
                <w:sz w:val="20"/>
                <w:szCs w:val="18"/>
                <w:lang w:eastAsia="en-IN"/>
              </w:rPr>
              <w:t>2.67</w:t>
            </w:r>
          </w:p>
        </w:tc>
        <w:tc>
          <w:tcPr>
            <w:tcW w:w="1823" w:type="dxa"/>
            <w:tcBorders>
              <w:top w:val="single" w:color="000000" w:sz="4" w:space="0"/>
              <w:left w:val="single" w:color="000000" w:sz="4" w:space="0"/>
              <w:bottom w:val="single" w:color="000000" w:sz="4" w:space="0"/>
              <w:right w:val="single" w:color="000000" w:sz="4" w:space="0"/>
            </w:tcBorders>
          </w:tcPr>
          <w:p w14:paraId="209AC95D">
            <w:pPr>
              <w:spacing w:after="0" w:line="360" w:lineRule="auto"/>
              <w:jc w:val="center"/>
              <w:rPr>
                <w:rFonts w:eastAsia="Times New Roman"/>
                <w:kern w:val="0"/>
                <w:sz w:val="18"/>
                <w:szCs w:val="18"/>
                <w:lang w:eastAsia="en-IN"/>
              </w:rPr>
            </w:pPr>
            <w:r>
              <w:rPr>
                <w:rFonts w:eastAsia="Times New Roman"/>
                <w:kern w:val="0"/>
                <w:sz w:val="20"/>
                <w:szCs w:val="18"/>
                <w:lang w:eastAsia="en-IN"/>
              </w:rPr>
              <w:t>66.51</w:t>
            </w:r>
          </w:p>
        </w:tc>
      </w:tr>
      <w:tr w14:paraId="7020C791">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42863A1C">
            <w:pPr>
              <w:spacing w:after="0" w:line="360" w:lineRule="auto"/>
              <w:jc w:val="center"/>
              <w:rPr>
                <w:rFonts w:eastAsia="Times New Roman"/>
                <w:kern w:val="0"/>
                <w:sz w:val="18"/>
                <w:szCs w:val="18"/>
                <w:lang w:eastAsia="en-IN"/>
              </w:rPr>
            </w:pPr>
            <w:r>
              <w:rPr>
                <w:rFonts w:eastAsia="Times New Roman"/>
                <w:kern w:val="0"/>
                <w:sz w:val="20"/>
                <w:szCs w:val="18"/>
                <w:lang w:eastAsia="en-IN"/>
              </w:rPr>
              <w:t>Kanavarikka</w:t>
            </w:r>
          </w:p>
        </w:tc>
        <w:tc>
          <w:tcPr>
            <w:tcW w:w="1821" w:type="dxa"/>
            <w:tcBorders>
              <w:top w:val="single" w:color="000000" w:sz="4" w:space="0"/>
              <w:left w:val="single" w:color="000000" w:sz="4" w:space="0"/>
              <w:bottom w:val="single" w:color="000000" w:sz="4" w:space="0"/>
              <w:right w:val="single" w:color="000000" w:sz="4" w:space="0"/>
            </w:tcBorders>
          </w:tcPr>
          <w:p w14:paraId="32702535">
            <w:pPr>
              <w:spacing w:after="0" w:line="360" w:lineRule="auto"/>
              <w:jc w:val="center"/>
              <w:rPr>
                <w:rFonts w:eastAsia="Times New Roman"/>
                <w:kern w:val="0"/>
                <w:sz w:val="18"/>
                <w:szCs w:val="18"/>
                <w:lang w:eastAsia="en-IN"/>
              </w:rPr>
            </w:pPr>
            <w:r>
              <w:rPr>
                <w:rFonts w:eastAsia="Times New Roman"/>
                <w:kern w:val="0"/>
                <w:sz w:val="20"/>
                <w:szCs w:val="18"/>
                <w:lang w:eastAsia="en-IN"/>
              </w:rPr>
              <w:t>13.54</w:t>
            </w:r>
          </w:p>
        </w:tc>
        <w:tc>
          <w:tcPr>
            <w:tcW w:w="1763" w:type="dxa"/>
            <w:tcBorders>
              <w:top w:val="single" w:color="000000" w:sz="4" w:space="0"/>
              <w:left w:val="single" w:color="000000" w:sz="4" w:space="0"/>
              <w:bottom w:val="single" w:color="000000" w:sz="4" w:space="0"/>
              <w:right w:val="single" w:color="000000" w:sz="4" w:space="0"/>
            </w:tcBorders>
          </w:tcPr>
          <w:p w14:paraId="13501E59">
            <w:pPr>
              <w:spacing w:after="0" w:line="360" w:lineRule="auto"/>
              <w:jc w:val="center"/>
              <w:rPr>
                <w:rFonts w:eastAsia="Times New Roman"/>
                <w:kern w:val="0"/>
                <w:sz w:val="18"/>
                <w:szCs w:val="18"/>
                <w:lang w:eastAsia="en-IN"/>
              </w:rPr>
            </w:pPr>
            <w:r>
              <w:rPr>
                <w:rFonts w:eastAsia="Times New Roman"/>
                <w:kern w:val="0"/>
                <w:sz w:val="20"/>
                <w:szCs w:val="18"/>
                <w:lang w:eastAsia="en-IN"/>
              </w:rPr>
              <w:t>6.52</w:t>
            </w:r>
          </w:p>
        </w:tc>
        <w:tc>
          <w:tcPr>
            <w:tcW w:w="1569" w:type="dxa"/>
            <w:tcBorders>
              <w:top w:val="single" w:color="000000" w:sz="4" w:space="0"/>
              <w:left w:val="single" w:color="000000" w:sz="4" w:space="0"/>
              <w:bottom w:val="single" w:color="000000" w:sz="4" w:space="0"/>
              <w:right w:val="single" w:color="000000" w:sz="4" w:space="0"/>
            </w:tcBorders>
          </w:tcPr>
          <w:p w14:paraId="03A909BD">
            <w:pPr>
              <w:spacing w:after="0" w:line="360" w:lineRule="auto"/>
              <w:jc w:val="center"/>
              <w:rPr>
                <w:rFonts w:eastAsia="Times New Roman"/>
                <w:kern w:val="0"/>
                <w:sz w:val="18"/>
                <w:szCs w:val="18"/>
                <w:lang w:eastAsia="en-IN"/>
              </w:rPr>
            </w:pPr>
            <w:r>
              <w:rPr>
                <w:rFonts w:eastAsia="Times New Roman"/>
                <w:kern w:val="0"/>
                <w:sz w:val="20"/>
                <w:szCs w:val="18"/>
                <w:lang w:eastAsia="en-IN"/>
              </w:rPr>
              <w:t>2.00</w:t>
            </w:r>
          </w:p>
        </w:tc>
        <w:tc>
          <w:tcPr>
            <w:tcW w:w="1823" w:type="dxa"/>
            <w:tcBorders>
              <w:top w:val="single" w:color="000000" w:sz="4" w:space="0"/>
              <w:left w:val="single" w:color="000000" w:sz="4" w:space="0"/>
              <w:bottom w:val="single" w:color="000000" w:sz="4" w:space="0"/>
              <w:right w:val="single" w:color="000000" w:sz="4" w:space="0"/>
            </w:tcBorders>
          </w:tcPr>
          <w:p w14:paraId="06E73D21">
            <w:pPr>
              <w:spacing w:after="0" w:line="360" w:lineRule="auto"/>
              <w:jc w:val="center"/>
              <w:rPr>
                <w:rFonts w:eastAsia="Times New Roman"/>
                <w:kern w:val="0"/>
                <w:sz w:val="18"/>
                <w:szCs w:val="18"/>
                <w:lang w:eastAsia="en-IN"/>
              </w:rPr>
            </w:pPr>
            <w:r>
              <w:rPr>
                <w:rFonts w:eastAsia="Times New Roman"/>
                <w:kern w:val="0"/>
                <w:sz w:val="20"/>
                <w:szCs w:val="18"/>
                <w:lang w:eastAsia="en-IN"/>
              </w:rPr>
              <w:t>56.96</w:t>
            </w:r>
          </w:p>
        </w:tc>
      </w:tr>
      <w:tr w14:paraId="30678265">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349508CD">
            <w:pPr>
              <w:spacing w:after="0" w:line="360" w:lineRule="auto"/>
              <w:jc w:val="center"/>
              <w:rPr>
                <w:rFonts w:eastAsia="Times New Roman"/>
                <w:kern w:val="0"/>
                <w:sz w:val="18"/>
                <w:szCs w:val="18"/>
                <w:lang w:eastAsia="en-IN"/>
              </w:rPr>
            </w:pPr>
            <w:r>
              <w:rPr>
                <w:rFonts w:eastAsia="Times New Roman"/>
                <w:kern w:val="0"/>
                <w:sz w:val="20"/>
                <w:szCs w:val="18"/>
                <w:lang w:eastAsia="en-IN"/>
              </w:rPr>
              <w:t>Kumbali</w:t>
            </w:r>
          </w:p>
        </w:tc>
        <w:tc>
          <w:tcPr>
            <w:tcW w:w="1821" w:type="dxa"/>
            <w:tcBorders>
              <w:top w:val="single" w:color="000000" w:sz="4" w:space="0"/>
              <w:left w:val="single" w:color="000000" w:sz="4" w:space="0"/>
              <w:bottom w:val="single" w:color="000000" w:sz="4" w:space="0"/>
              <w:right w:val="single" w:color="000000" w:sz="4" w:space="0"/>
            </w:tcBorders>
          </w:tcPr>
          <w:p w14:paraId="547F7584">
            <w:pPr>
              <w:spacing w:after="0" w:line="360" w:lineRule="auto"/>
              <w:jc w:val="center"/>
              <w:rPr>
                <w:rFonts w:eastAsia="Times New Roman"/>
                <w:kern w:val="0"/>
                <w:sz w:val="18"/>
                <w:szCs w:val="18"/>
                <w:lang w:eastAsia="en-IN"/>
              </w:rPr>
            </w:pPr>
            <w:r>
              <w:rPr>
                <w:rFonts w:eastAsia="Times New Roman"/>
                <w:kern w:val="0"/>
                <w:sz w:val="20"/>
                <w:szCs w:val="18"/>
                <w:lang w:eastAsia="en-IN"/>
              </w:rPr>
              <w:t>12.42</w:t>
            </w:r>
          </w:p>
        </w:tc>
        <w:tc>
          <w:tcPr>
            <w:tcW w:w="1763" w:type="dxa"/>
            <w:tcBorders>
              <w:top w:val="single" w:color="000000" w:sz="4" w:space="0"/>
              <w:left w:val="single" w:color="000000" w:sz="4" w:space="0"/>
              <w:bottom w:val="single" w:color="000000" w:sz="4" w:space="0"/>
              <w:right w:val="single" w:color="000000" w:sz="4" w:space="0"/>
            </w:tcBorders>
          </w:tcPr>
          <w:p w14:paraId="38CC2903">
            <w:pPr>
              <w:spacing w:after="0" w:line="360" w:lineRule="auto"/>
              <w:jc w:val="center"/>
              <w:rPr>
                <w:rFonts w:eastAsia="Times New Roman"/>
                <w:kern w:val="0"/>
                <w:sz w:val="18"/>
                <w:szCs w:val="18"/>
                <w:lang w:eastAsia="en-IN"/>
              </w:rPr>
            </w:pPr>
            <w:r>
              <w:rPr>
                <w:rFonts w:eastAsia="Times New Roman"/>
                <w:kern w:val="0"/>
                <w:sz w:val="20"/>
                <w:szCs w:val="18"/>
                <w:lang w:eastAsia="en-IN"/>
              </w:rPr>
              <w:t>7.28</w:t>
            </w:r>
          </w:p>
        </w:tc>
        <w:tc>
          <w:tcPr>
            <w:tcW w:w="1569" w:type="dxa"/>
            <w:tcBorders>
              <w:top w:val="single" w:color="000000" w:sz="4" w:space="0"/>
              <w:left w:val="single" w:color="000000" w:sz="4" w:space="0"/>
              <w:bottom w:val="single" w:color="000000" w:sz="4" w:space="0"/>
              <w:right w:val="single" w:color="000000" w:sz="4" w:space="0"/>
            </w:tcBorders>
          </w:tcPr>
          <w:p w14:paraId="0B4E2CB0">
            <w:pPr>
              <w:spacing w:after="0" w:line="360" w:lineRule="auto"/>
              <w:jc w:val="center"/>
              <w:rPr>
                <w:rFonts w:eastAsia="Times New Roman"/>
                <w:kern w:val="0"/>
                <w:sz w:val="18"/>
                <w:szCs w:val="18"/>
                <w:lang w:eastAsia="en-IN"/>
              </w:rPr>
            </w:pPr>
            <w:r>
              <w:rPr>
                <w:rFonts w:eastAsia="Times New Roman"/>
                <w:kern w:val="0"/>
                <w:sz w:val="20"/>
                <w:szCs w:val="18"/>
                <w:lang w:eastAsia="en-IN"/>
              </w:rPr>
              <w:t>2.27</w:t>
            </w:r>
          </w:p>
        </w:tc>
        <w:tc>
          <w:tcPr>
            <w:tcW w:w="1823" w:type="dxa"/>
            <w:tcBorders>
              <w:top w:val="single" w:color="000000" w:sz="4" w:space="0"/>
              <w:left w:val="single" w:color="000000" w:sz="4" w:space="0"/>
              <w:bottom w:val="single" w:color="000000" w:sz="4" w:space="0"/>
              <w:right w:val="single" w:color="000000" w:sz="4" w:space="0"/>
            </w:tcBorders>
          </w:tcPr>
          <w:p w14:paraId="5115122F">
            <w:pPr>
              <w:spacing w:after="0" w:line="360" w:lineRule="auto"/>
              <w:jc w:val="center"/>
              <w:rPr>
                <w:rFonts w:eastAsia="Times New Roman"/>
                <w:kern w:val="0"/>
                <w:sz w:val="18"/>
                <w:szCs w:val="18"/>
                <w:lang w:eastAsia="en-IN"/>
              </w:rPr>
            </w:pPr>
            <w:r>
              <w:rPr>
                <w:rFonts w:eastAsia="Times New Roman"/>
                <w:kern w:val="0"/>
                <w:sz w:val="20"/>
                <w:szCs w:val="18"/>
                <w:lang w:eastAsia="en-IN"/>
              </w:rPr>
              <w:t>66.43</w:t>
            </w:r>
          </w:p>
        </w:tc>
      </w:tr>
      <w:tr w14:paraId="08B02542">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0E02370F">
            <w:pPr>
              <w:spacing w:after="0" w:line="360" w:lineRule="auto"/>
              <w:jc w:val="center"/>
              <w:rPr>
                <w:rFonts w:eastAsia="Times New Roman"/>
                <w:kern w:val="0"/>
                <w:sz w:val="18"/>
                <w:szCs w:val="18"/>
                <w:lang w:eastAsia="en-IN"/>
              </w:rPr>
            </w:pPr>
            <w:r>
              <w:rPr>
                <w:rFonts w:eastAsia="Times New Roman"/>
                <w:kern w:val="0"/>
                <w:sz w:val="20"/>
                <w:szCs w:val="18"/>
                <w:lang w:eastAsia="en-IN"/>
              </w:rPr>
              <w:t>Lalbagh madhura</w:t>
            </w:r>
          </w:p>
        </w:tc>
        <w:tc>
          <w:tcPr>
            <w:tcW w:w="1821" w:type="dxa"/>
            <w:tcBorders>
              <w:top w:val="single" w:color="000000" w:sz="4" w:space="0"/>
              <w:left w:val="single" w:color="000000" w:sz="4" w:space="0"/>
              <w:bottom w:val="single" w:color="000000" w:sz="4" w:space="0"/>
              <w:right w:val="single" w:color="000000" w:sz="4" w:space="0"/>
            </w:tcBorders>
          </w:tcPr>
          <w:p w14:paraId="0606F02D">
            <w:pPr>
              <w:spacing w:after="0" w:line="360" w:lineRule="auto"/>
              <w:jc w:val="center"/>
              <w:rPr>
                <w:rFonts w:eastAsia="Times New Roman"/>
                <w:kern w:val="0"/>
                <w:sz w:val="18"/>
                <w:szCs w:val="18"/>
                <w:lang w:eastAsia="en-IN"/>
              </w:rPr>
            </w:pPr>
            <w:r>
              <w:rPr>
                <w:rFonts w:eastAsia="Times New Roman"/>
                <w:kern w:val="0"/>
                <w:sz w:val="20"/>
                <w:szCs w:val="18"/>
                <w:lang w:eastAsia="en-IN"/>
              </w:rPr>
              <w:t>14.48</w:t>
            </w:r>
          </w:p>
        </w:tc>
        <w:tc>
          <w:tcPr>
            <w:tcW w:w="1763" w:type="dxa"/>
            <w:tcBorders>
              <w:top w:val="single" w:color="000000" w:sz="4" w:space="0"/>
              <w:left w:val="single" w:color="000000" w:sz="4" w:space="0"/>
              <w:bottom w:val="single" w:color="000000" w:sz="4" w:space="0"/>
              <w:right w:val="single" w:color="000000" w:sz="4" w:space="0"/>
            </w:tcBorders>
          </w:tcPr>
          <w:p w14:paraId="5338AAE4">
            <w:pPr>
              <w:spacing w:after="0" w:line="360" w:lineRule="auto"/>
              <w:jc w:val="center"/>
              <w:rPr>
                <w:rFonts w:eastAsia="Times New Roman"/>
                <w:kern w:val="0"/>
                <w:sz w:val="18"/>
                <w:szCs w:val="18"/>
                <w:lang w:eastAsia="en-IN"/>
              </w:rPr>
            </w:pPr>
            <w:r>
              <w:rPr>
                <w:rFonts w:eastAsia="Times New Roman"/>
                <w:kern w:val="0"/>
                <w:sz w:val="20"/>
                <w:szCs w:val="18"/>
                <w:lang w:eastAsia="en-IN"/>
              </w:rPr>
              <w:t>7.60</w:t>
            </w:r>
          </w:p>
        </w:tc>
        <w:tc>
          <w:tcPr>
            <w:tcW w:w="1569" w:type="dxa"/>
            <w:tcBorders>
              <w:top w:val="single" w:color="000000" w:sz="4" w:space="0"/>
              <w:left w:val="single" w:color="000000" w:sz="4" w:space="0"/>
              <w:bottom w:val="single" w:color="000000" w:sz="4" w:space="0"/>
              <w:right w:val="single" w:color="000000" w:sz="4" w:space="0"/>
            </w:tcBorders>
          </w:tcPr>
          <w:p w14:paraId="4000BDAD">
            <w:pPr>
              <w:spacing w:after="0" w:line="360" w:lineRule="auto"/>
              <w:jc w:val="center"/>
              <w:rPr>
                <w:rFonts w:eastAsia="Times New Roman"/>
                <w:kern w:val="0"/>
                <w:sz w:val="18"/>
                <w:szCs w:val="18"/>
                <w:lang w:eastAsia="en-IN"/>
              </w:rPr>
            </w:pPr>
            <w:r>
              <w:rPr>
                <w:rFonts w:eastAsia="Times New Roman"/>
                <w:kern w:val="0"/>
                <w:sz w:val="20"/>
                <w:szCs w:val="18"/>
                <w:lang w:eastAsia="en-IN"/>
              </w:rPr>
              <w:t>1.77</w:t>
            </w:r>
          </w:p>
        </w:tc>
        <w:tc>
          <w:tcPr>
            <w:tcW w:w="1823" w:type="dxa"/>
            <w:tcBorders>
              <w:top w:val="single" w:color="000000" w:sz="4" w:space="0"/>
              <w:left w:val="single" w:color="000000" w:sz="4" w:space="0"/>
              <w:bottom w:val="single" w:color="000000" w:sz="4" w:space="0"/>
              <w:right w:val="single" w:color="000000" w:sz="4" w:space="0"/>
            </w:tcBorders>
          </w:tcPr>
          <w:p w14:paraId="77796F4F">
            <w:pPr>
              <w:spacing w:after="0" w:line="360" w:lineRule="auto"/>
              <w:jc w:val="center"/>
              <w:rPr>
                <w:rFonts w:eastAsia="Times New Roman"/>
                <w:kern w:val="0"/>
                <w:sz w:val="18"/>
                <w:szCs w:val="18"/>
                <w:lang w:eastAsia="en-IN"/>
              </w:rPr>
            </w:pPr>
            <w:r>
              <w:rPr>
                <w:rFonts w:eastAsia="Times New Roman"/>
                <w:kern w:val="0"/>
                <w:sz w:val="20"/>
                <w:szCs w:val="18"/>
                <w:lang w:eastAsia="en-IN"/>
              </w:rPr>
              <w:t>63.74</w:t>
            </w:r>
          </w:p>
        </w:tc>
      </w:tr>
      <w:tr w14:paraId="79758922">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68921CAE">
            <w:pPr>
              <w:spacing w:after="0" w:line="360" w:lineRule="auto"/>
              <w:jc w:val="center"/>
              <w:rPr>
                <w:rFonts w:eastAsia="Times New Roman"/>
                <w:kern w:val="0"/>
                <w:sz w:val="18"/>
                <w:szCs w:val="18"/>
                <w:lang w:eastAsia="en-IN"/>
              </w:rPr>
            </w:pPr>
            <w:r>
              <w:rPr>
                <w:rFonts w:eastAsia="Times New Roman"/>
                <w:kern w:val="0"/>
                <w:sz w:val="20"/>
                <w:szCs w:val="18"/>
                <w:lang w:eastAsia="en-IN"/>
              </w:rPr>
              <w:t>Malaysian dwarf</w:t>
            </w:r>
          </w:p>
        </w:tc>
        <w:tc>
          <w:tcPr>
            <w:tcW w:w="1821" w:type="dxa"/>
            <w:tcBorders>
              <w:top w:val="single" w:color="000000" w:sz="4" w:space="0"/>
              <w:left w:val="single" w:color="000000" w:sz="4" w:space="0"/>
              <w:bottom w:val="single" w:color="000000" w:sz="4" w:space="0"/>
              <w:right w:val="single" w:color="000000" w:sz="4" w:space="0"/>
            </w:tcBorders>
          </w:tcPr>
          <w:p w14:paraId="486338E5">
            <w:pPr>
              <w:spacing w:after="0" w:line="360" w:lineRule="auto"/>
              <w:jc w:val="center"/>
              <w:rPr>
                <w:rFonts w:eastAsia="Times New Roman"/>
                <w:kern w:val="0"/>
                <w:sz w:val="18"/>
                <w:szCs w:val="18"/>
                <w:lang w:eastAsia="en-IN"/>
              </w:rPr>
            </w:pPr>
            <w:r>
              <w:rPr>
                <w:rFonts w:eastAsia="Times New Roman"/>
                <w:kern w:val="0"/>
                <w:sz w:val="20"/>
                <w:szCs w:val="18"/>
                <w:lang w:eastAsia="en-IN"/>
              </w:rPr>
              <w:t>14.42</w:t>
            </w:r>
          </w:p>
        </w:tc>
        <w:tc>
          <w:tcPr>
            <w:tcW w:w="1763" w:type="dxa"/>
            <w:tcBorders>
              <w:top w:val="single" w:color="000000" w:sz="4" w:space="0"/>
              <w:left w:val="single" w:color="000000" w:sz="4" w:space="0"/>
              <w:bottom w:val="single" w:color="000000" w:sz="4" w:space="0"/>
              <w:right w:val="single" w:color="000000" w:sz="4" w:space="0"/>
            </w:tcBorders>
          </w:tcPr>
          <w:p w14:paraId="218A826F">
            <w:pPr>
              <w:spacing w:after="0" w:line="360" w:lineRule="auto"/>
              <w:jc w:val="center"/>
              <w:rPr>
                <w:rFonts w:eastAsia="Times New Roman"/>
                <w:kern w:val="0"/>
                <w:sz w:val="18"/>
                <w:szCs w:val="18"/>
                <w:lang w:eastAsia="en-IN"/>
              </w:rPr>
            </w:pPr>
            <w:r>
              <w:rPr>
                <w:rFonts w:eastAsia="Times New Roman"/>
                <w:kern w:val="0"/>
                <w:sz w:val="20"/>
                <w:szCs w:val="18"/>
                <w:lang w:eastAsia="en-IN"/>
              </w:rPr>
              <w:t>5.88</w:t>
            </w:r>
          </w:p>
        </w:tc>
        <w:tc>
          <w:tcPr>
            <w:tcW w:w="1569" w:type="dxa"/>
            <w:tcBorders>
              <w:top w:val="single" w:color="000000" w:sz="4" w:space="0"/>
              <w:left w:val="single" w:color="000000" w:sz="4" w:space="0"/>
              <w:bottom w:val="single" w:color="000000" w:sz="4" w:space="0"/>
              <w:right w:val="single" w:color="000000" w:sz="4" w:space="0"/>
            </w:tcBorders>
          </w:tcPr>
          <w:p w14:paraId="59BA9C9D">
            <w:pPr>
              <w:spacing w:after="0" w:line="360" w:lineRule="auto"/>
              <w:jc w:val="center"/>
              <w:rPr>
                <w:rFonts w:eastAsia="Times New Roman"/>
                <w:kern w:val="0"/>
                <w:sz w:val="18"/>
                <w:szCs w:val="18"/>
                <w:lang w:eastAsia="en-IN"/>
              </w:rPr>
            </w:pPr>
            <w:r>
              <w:rPr>
                <w:rFonts w:eastAsia="Times New Roman"/>
                <w:kern w:val="0"/>
                <w:sz w:val="20"/>
                <w:szCs w:val="18"/>
                <w:lang w:eastAsia="en-IN"/>
              </w:rPr>
              <w:t>1.70</w:t>
            </w:r>
          </w:p>
        </w:tc>
        <w:tc>
          <w:tcPr>
            <w:tcW w:w="1823" w:type="dxa"/>
            <w:tcBorders>
              <w:top w:val="single" w:color="000000" w:sz="4" w:space="0"/>
              <w:left w:val="single" w:color="000000" w:sz="4" w:space="0"/>
              <w:bottom w:val="single" w:color="000000" w:sz="4" w:space="0"/>
              <w:right w:val="single" w:color="000000" w:sz="4" w:space="0"/>
            </w:tcBorders>
          </w:tcPr>
          <w:p w14:paraId="67170707">
            <w:pPr>
              <w:spacing w:after="0" w:line="360" w:lineRule="auto"/>
              <w:jc w:val="center"/>
              <w:rPr>
                <w:rFonts w:eastAsia="Times New Roman"/>
                <w:kern w:val="0"/>
                <w:sz w:val="18"/>
                <w:szCs w:val="18"/>
                <w:lang w:eastAsia="en-IN"/>
              </w:rPr>
            </w:pPr>
            <w:r>
              <w:rPr>
                <w:rFonts w:eastAsia="Times New Roman"/>
                <w:kern w:val="0"/>
                <w:sz w:val="20"/>
                <w:szCs w:val="18"/>
                <w:lang w:eastAsia="en-IN"/>
              </w:rPr>
              <w:t>54.51</w:t>
            </w:r>
          </w:p>
        </w:tc>
      </w:tr>
      <w:tr w14:paraId="403456EE">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2D1AC547">
            <w:pPr>
              <w:spacing w:after="0" w:line="360" w:lineRule="auto"/>
              <w:jc w:val="center"/>
              <w:rPr>
                <w:rFonts w:eastAsia="Times New Roman"/>
                <w:kern w:val="0"/>
                <w:sz w:val="18"/>
                <w:szCs w:val="18"/>
                <w:lang w:eastAsia="en-IN"/>
              </w:rPr>
            </w:pPr>
            <w:r>
              <w:rPr>
                <w:rFonts w:eastAsia="Times New Roman"/>
                <w:kern w:val="0"/>
                <w:sz w:val="20"/>
                <w:szCs w:val="18"/>
                <w:lang w:eastAsia="en-IN"/>
              </w:rPr>
              <w:t>Muttamvarikka</w:t>
            </w:r>
          </w:p>
        </w:tc>
        <w:tc>
          <w:tcPr>
            <w:tcW w:w="1821" w:type="dxa"/>
            <w:tcBorders>
              <w:top w:val="single" w:color="000000" w:sz="4" w:space="0"/>
              <w:left w:val="single" w:color="000000" w:sz="4" w:space="0"/>
              <w:bottom w:val="single" w:color="000000" w:sz="4" w:space="0"/>
              <w:right w:val="single" w:color="000000" w:sz="4" w:space="0"/>
            </w:tcBorders>
          </w:tcPr>
          <w:p w14:paraId="770F0C3B">
            <w:pPr>
              <w:spacing w:after="0" w:line="360" w:lineRule="auto"/>
              <w:jc w:val="center"/>
              <w:rPr>
                <w:rFonts w:eastAsia="Times New Roman"/>
                <w:kern w:val="0"/>
                <w:sz w:val="18"/>
                <w:szCs w:val="18"/>
                <w:lang w:eastAsia="en-IN"/>
              </w:rPr>
            </w:pPr>
            <w:r>
              <w:rPr>
                <w:rFonts w:eastAsia="Times New Roman"/>
                <w:kern w:val="0"/>
                <w:sz w:val="20"/>
                <w:szCs w:val="18"/>
                <w:lang w:eastAsia="en-IN"/>
              </w:rPr>
              <w:t>18.04</w:t>
            </w:r>
          </w:p>
        </w:tc>
        <w:tc>
          <w:tcPr>
            <w:tcW w:w="1763" w:type="dxa"/>
            <w:tcBorders>
              <w:top w:val="single" w:color="000000" w:sz="4" w:space="0"/>
              <w:left w:val="single" w:color="000000" w:sz="4" w:space="0"/>
              <w:bottom w:val="single" w:color="000000" w:sz="4" w:space="0"/>
              <w:right w:val="single" w:color="000000" w:sz="4" w:space="0"/>
            </w:tcBorders>
          </w:tcPr>
          <w:p w14:paraId="175532AA">
            <w:pPr>
              <w:spacing w:after="0" w:line="360" w:lineRule="auto"/>
              <w:jc w:val="center"/>
              <w:rPr>
                <w:rFonts w:eastAsia="Times New Roman"/>
                <w:kern w:val="0"/>
                <w:sz w:val="18"/>
                <w:szCs w:val="18"/>
                <w:lang w:eastAsia="en-IN"/>
              </w:rPr>
            </w:pPr>
            <w:r>
              <w:rPr>
                <w:rFonts w:eastAsia="Times New Roman"/>
                <w:kern w:val="0"/>
                <w:sz w:val="20"/>
                <w:szCs w:val="18"/>
                <w:lang w:eastAsia="en-IN"/>
              </w:rPr>
              <w:t>9.02</w:t>
            </w:r>
          </w:p>
        </w:tc>
        <w:tc>
          <w:tcPr>
            <w:tcW w:w="1569" w:type="dxa"/>
            <w:tcBorders>
              <w:top w:val="single" w:color="000000" w:sz="4" w:space="0"/>
              <w:left w:val="single" w:color="000000" w:sz="4" w:space="0"/>
              <w:bottom w:val="single" w:color="000000" w:sz="4" w:space="0"/>
              <w:right w:val="single" w:color="000000" w:sz="4" w:space="0"/>
            </w:tcBorders>
          </w:tcPr>
          <w:p w14:paraId="3A8567B8">
            <w:pPr>
              <w:spacing w:after="0" w:line="360" w:lineRule="auto"/>
              <w:jc w:val="center"/>
              <w:rPr>
                <w:rFonts w:eastAsia="Times New Roman"/>
                <w:kern w:val="0"/>
                <w:sz w:val="18"/>
                <w:szCs w:val="18"/>
                <w:lang w:eastAsia="en-IN"/>
              </w:rPr>
            </w:pPr>
            <w:r>
              <w:rPr>
                <w:rFonts w:eastAsia="Times New Roman"/>
                <w:kern w:val="0"/>
                <w:sz w:val="20"/>
                <w:szCs w:val="18"/>
                <w:lang w:eastAsia="en-IN"/>
              </w:rPr>
              <w:t>1.80</w:t>
            </w:r>
          </w:p>
        </w:tc>
        <w:tc>
          <w:tcPr>
            <w:tcW w:w="1823" w:type="dxa"/>
            <w:tcBorders>
              <w:top w:val="single" w:color="000000" w:sz="4" w:space="0"/>
              <w:left w:val="single" w:color="000000" w:sz="4" w:space="0"/>
              <w:bottom w:val="single" w:color="000000" w:sz="4" w:space="0"/>
              <w:right w:val="single" w:color="000000" w:sz="4" w:space="0"/>
            </w:tcBorders>
          </w:tcPr>
          <w:p w14:paraId="2AE8CE05">
            <w:pPr>
              <w:spacing w:after="0" w:line="360" w:lineRule="auto"/>
              <w:jc w:val="center"/>
              <w:rPr>
                <w:rFonts w:eastAsia="Times New Roman"/>
                <w:kern w:val="0"/>
                <w:sz w:val="18"/>
                <w:szCs w:val="18"/>
                <w:lang w:eastAsia="en-IN"/>
              </w:rPr>
            </w:pPr>
            <w:r>
              <w:rPr>
                <w:rFonts w:eastAsia="Times New Roman"/>
                <w:kern w:val="0"/>
                <w:sz w:val="20"/>
                <w:szCs w:val="18"/>
                <w:lang w:eastAsia="en-IN"/>
              </w:rPr>
              <w:t>61.20</w:t>
            </w:r>
          </w:p>
        </w:tc>
      </w:tr>
      <w:tr w14:paraId="4532BCAE">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32F7BC62">
            <w:pPr>
              <w:spacing w:after="0" w:line="360" w:lineRule="auto"/>
              <w:jc w:val="center"/>
              <w:rPr>
                <w:rFonts w:eastAsia="Times New Roman"/>
                <w:kern w:val="0"/>
                <w:sz w:val="18"/>
                <w:szCs w:val="18"/>
                <w:lang w:eastAsia="en-IN"/>
              </w:rPr>
            </w:pPr>
            <w:r>
              <w:rPr>
                <w:rFonts w:eastAsia="Times New Roman"/>
                <w:kern w:val="0"/>
                <w:sz w:val="20"/>
                <w:szCs w:val="18"/>
                <w:lang w:eastAsia="en-IN"/>
              </w:rPr>
              <w:t>NSP</w:t>
            </w:r>
          </w:p>
        </w:tc>
        <w:tc>
          <w:tcPr>
            <w:tcW w:w="1821" w:type="dxa"/>
            <w:tcBorders>
              <w:top w:val="single" w:color="000000" w:sz="4" w:space="0"/>
              <w:left w:val="single" w:color="000000" w:sz="4" w:space="0"/>
              <w:bottom w:val="single" w:color="000000" w:sz="4" w:space="0"/>
              <w:right w:val="single" w:color="000000" w:sz="4" w:space="0"/>
            </w:tcBorders>
          </w:tcPr>
          <w:p w14:paraId="6502BFDC">
            <w:pPr>
              <w:spacing w:after="0" w:line="360" w:lineRule="auto"/>
              <w:jc w:val="center"/>
              <w:rPr>
                <w:rFonts w:eastAsia="Times New Roman"/>
                <w:kern w:val="0"/>
                <w:sz w:val="18"/>
                <w:szCs w:val="18"/>
                <w:lang w:eastAsia="en-IN"/>
              </w:rPr>
            </w:pPr>
            <w:r>
              <w:rPr>
                <w:rFonts w:eastAsia="Times New Roman"/>
                <w:kern w:val="0"/>
                <w:sz w:val="20"/>
                <w:szCs w:val="18"/>
                <w:lang w:eastAsia="en-IN"/>
              </w:rPr>
              <w:t>13.16</w:t>
            </w:r>
          </w:p>
        </w:tc>
        <w:tc>
          <w:tcPr>
            <w:tcW w:w="1763" w:type="dxa"/>
            <w:tcBorders>
              <w:top w:val="single" w:color="000000" w:sz="4" w:space="0"/>
              <w:left w:val="single" w:color="000000" w:sz="4" w:space="0"/>
              <w:bottom w:val="single" w:color="000000" w:sz="4" w:space="0"/>
              <w:right w:val="single" w:color="000000" w:sz="4" w:space="0"/>
            </w:tcBorders>
          </w:tcPr>
          <w:p w14:paraId="358746F8">
            <w:pPr>
              <w:spacing w:after="0" w:line="360" w:lineRule="auto"/>
              <w:jc w:val="center"/>
              <w:rPr>
                <w:rFonts w:eastAsia="Times New Roman"/>
                <w:kern w:val="0"/>
                <w:sz w:val="18"/>
                <w:szCs w:val="18"/>
                <w:lang w:eastAsia="en-IN"/>
              </w:rPr>
            </w:pPr>
            <w:r>
              <w:rPr>
                <w:rFonts w:eastAsia="Times New Roman"/>
                <w:kern w:val="0"/>
                <w:sz w:val="20"/>
                <w:szCs w:val="18"/>
                <w:lang w:eastAsia="en-IN"/>
              </w:rPr>
              <w:t>7.98</w:t>
            </w:r>
          </w:p>
        </w:tc>
        <w:tc>
          <w:tcPr>
            <w:tcW w:w="1569" w:type="dxa"/>
            <w:tcBorders>
              <w:top w:val="single" w:color="000000" w:sz="4" w:space="0"/>
              <w:left w:val="single" w:color="000000" w:sz="4" w:space="0"/>
              <w:bottom w:val="single" w:color="000000" w:sz="4" w:space="0"/>
              <w:right w:val="single" w:color="000000" w:sz="4" w:space="0"/>
            </w:tcBorders>
          </w:tcPr>
          <w:p w14:paraId="21BA6F16">
            <w:pPr>
              <w:spacing w:after="0" w:line="360" w:lineRule="auto"/>
              <w:jc w:val="center"/>
              <w:rPr>
                <w:rFonts w:eastAsia="Times New Roman"/>
                <w:kern w:val="0"/>
                <w:sz w:val="18"/>
                <w:szCs w:val="18"/>
                <w:lang w:eastAsia="en-IN"/>
              </w:rPr>
            </w:pPr>
            <w:r>
              <w:rPr>
                <w:rFonts w:eastAsia="Times New Roman"/>
                <w:kern w:val="0"/>
                <w:sz w:val="20"/>
                <w:szCs w:val="18"/>
                <w:lang w:eastAsia="en-IN"/>
              </w:rPr>
              <w:t>2.00</w:t>
            </w:r>
          </w:p>
        </w:tc>
        <w:tc>
          <w:tcPr>
            <w:tcW w:w="1823" w:type="dxa"/>
            <w:tcBorders>
              <w:top w:val="single" w:color="000000" w:sz="4" w:space="0"/>
              <w:left w:val="single" w:color="000000" w:sz="4" w:space="0"/>
              <w:bottom w:val="single" w:color="000000" w:sz="4" w:space="0"/>
              <w:right w:val="single" w:color="000000" w:sz="4" w:space="0"/>
            </w:tcBorders>
          </w:tcPr>
          <w:p w14:paraId="0844746A">
            <w:pPr>
              <w:spacing w:after="0" w:line="360" w:lineRule="auto"/>
              <w:jc w:val="center"/>
              <w:rPr>
                <w:rFonts w:eastAsia="Times New Roman"/>
                <w:kern w:val="0"/>
                <w:sz w:val="18"/>
                <w:szCs w:val="18"/>
                <w:lang w:eastAsia="en-IN"/>
              </w:rPr>
            </w:pPr>
            <w:r>
              <w:rPr>
                <w:rFonts w:eastAsia="Times New Roman"/>
                <w:kern w:val="0"/>
                <w:sz w:val="20"/>
                <w:szCs w:val="18"/>
                <w:lang w:eastAsia="en-IN"/>
              </w:rPr>
              <w:t>56.37</w:t>
            </w:r>
          </w:p>
        </w:tc>
      </w:tr>
      <w:tr w14:paraId="63BAF76A">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467D4590">
            <w:pPr>
              <w:spacing w:after="0" w:line="360" w:lineRule="auto"/>
              <w:jc w:val="center"/>
              <w:rPr>
                <w:rFonts w:eastAsia="Times New Roman"/>
                <w:kern w:val="0"/>
                <w:sz w:val="18"/>
                <w:szCs w:val="18"/>
                <w:lang w:eastAsia="en-IN"/>
              </w:rPr>
            </w:pPr>
            <w:r>
              <w:rPr>
                <w:rFonts w:eastAsia="Times New Roman"/>
                <w:kern w:val="0"/>
                <w:sz w:val="20"/>
                <w:szCs w:val="18"/>
                <w:lang w:eastAsia="en-IN"/>
              </w:rPr>
              <w:t>Palur-1</w:t>
            </w:r>
          </w:p>
        </w:tc>
        <w:tc>
          <w:tcPr>
            <w:tcW w:w="1821" w:type="dxa"/>
            <w:tcBorders>
              <w:top w:val="single" w:color="000000" w:sz="4" w:space="0"/>
              <w:left w:val="single" w:color="000000" w:sz="4" w:space="0"/>
              <w:bottom w:val="single" w:color="000000" w:sz="4" w:space="0"/>
              <w:right w:val="single" w:color="000000" w:sz="4" w:space="0"/>
            </w:tcBorders>
          </w:tcPr>
          <w:p w14:paraId="4EE283CC">
            <w:pPr>
              <w:spacing w:after="0" w:line="360" w:lineRule="auto"/>
              <w:jc w:val="center"/>
              <w:rPr>
                <w:rFonts w:eastAsia="Times New Roman"/>
                <w:kern w:val="0"/>
                <w:sz w:val="18"/>
                <w:szCs w:val="18"/>
                <w:lang w:eastAsia="en-IN"/>
              </w:rPr>
            </w:pPr>
            <w:r>
              <w:rPr>
                <w:rFonts w:eastAsia="Times New Roman"/>
                <w:kern w:val="0"/>
                <w:sz w:val="20"/>
                <w:szCs w:val="18"/>
                <w:lang w:eastAsia="en-IN"/>
              </w:rPr>
              <w:t>15.04</w:t>
            </w:r>
          </w:p>
        </w:tc>
        <w:tc>
          <w:tcPr>
            <w:tcW w:w="1763" w:type="dxa"/>
            <w:tcBorders>
              <w:top w:val="single" w:color="000000" w:sz="4" w:space="0"/>
              <w:left w:val="single" w:color="000000" w:sz="4" w:space="0"/>
              <w:bottom w:val="single" w:color="000000" w:sz="4" w:space="0"/>
              <w:right w:val="single" w:color="000000" w:sz="4" w:space="0"/>
            </w:tcBorders>
          </w:tcPr>
          <w:p w14:paraId="62E704D2">
            <w:pPr>
              <w:spacing w:after="0" w:line="360" w:lineRule="auto"/>
              <w:jc w:val="center"/>
              <w:rPr>
                <w:rFonts w:eastAsia="Times New Roman"/>
                <w:kern w:val="0"/>
                <w:sz w:val="18"/>
                <w:szCs w:val="18"/>
                <w:lang w:eastAsia="en-IN"/>
              </w:rPr>
            </w:pPr>
            <w:r>
              <w:rPr>
                <w:rFonts w:eastAsia="Times New Roman"/>
                <w:kern w:val="0"/>
                <w:sz w:val="20"/>
                <w:szCs w:val="18"/>
                <w:lang w:eastAsia="en-IN"/>
              </w:rPr>
              <w:t>7.64</w:t>
            </w:r>
          </w:p>
        </w:tc>
        <w:tc>
          <w:tcPr>
            <w:tcW w:w="1569" w:type="dxa"/>
            <w:tcBorders>
              <w:top w:val="single" w:color="000000" w:sz="4" w:space="0"/>
              <w:left w:val="single" w:color="000000" w:sz="4" w:space="0"/>
              <w:bottom w:val="single" w:color="000000" w:sz="4" w:space="0"/>
              <w:right w:val="single" w:color="000000" w:sz="4" w:space="0"/>
            </w:tcBorders>
          </w:tcPr>
          <w:p w14:paraId="53B0D2B7">
            <w:pPr>
              <w:spacing w:after="0" w:line="360" w:lineRule="auto"/>
              <w:jc w:val="center"/>
              <w:rPr>
                <w:rFonts w:eastAsia="Times New Roman"/>
                <w:kern w:val="0"/>
                <w:sz w:val="18"/>
                <w:szCs w:val="18"/>
                <w:lang w:eastAsia="en-IN"/>
              </w:rPr>
            </w:pPr>
            <w:r>
              <w:rPr>
                <w:rFonts w:eastAsia="Times New Roman"/>
                <w:kern w:val="0"/>
                <w:sz w:val="20"/>
                <w:szCs w:val="18"/>
                <w:lang w:eastAsia="en-IN"/>
              </w:rPr>
              <w:t>1.93</w:t>
            </w:r>
          </w:p>
        </w:tc>
        <w:tc>
          <w:tcPr>
            <w:tcW w:w="1823" w:type="dxa"/>
            <w:tcBorders>
              <w:top w:val="single" w:color="000000" w:sz="4" w:space="0"/>
              <w:left w:val="single" w:color="000000" w:sz="4" w:space="0"/>
              <w:bottom w:val="single" w:color="000000" w:sz="4" w:space="0"/>
              <w:right w:val="single" w:color="000000" w:sz="4" w:space="0"/>
            </w:tcBorders>
          </w:tcPr>
          <w:p w14:paraId="41909BEF">
            <w:pPr>
              <w:spacing w:after="0" w:line="360" w:lineRule="auto"/>
              <w:jc w:val="center"/>
              <w:rPr>
                <w:rFonts w:eastAsia="Times New Roman"/>
                <w:kern w:val="0"/>
                <w:sz w:val="18"/>
                <w:szCs w:val="18"/>
                <w:lang w:eastAsia="en-IN"/>
              </w:rPr>
            </w:pPr>
            <w:r>
              <w:rPr>
                <w:rFonts w:eastAsia="Times New Roman"/>
                <w:kern w:val="0"/>
                <w:sz w:val="20"/>
                <w:szCs w:val="18"/>
                <w:lang w:eastAsia="en-IN"/>
              </w:rPr>
              <w:t>82.83</w:t>
            </w:r>
          </w:p>
        </w:tc>
      </w:tr>
      <w:tr w14:paraId="14D30537">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16B28450">
            <w:pPr>
              <w:spacing w:after="0" w:line="360" w:lineRule="auto"/>
              <w:jc w:val="center"/>
              <w:rPr>
                <w:rFonts w:eastAsia="Times New Roman"/>
                <w:kern w:val="0"/>
                <w:sz w:val="18"/>
                <w:szCs w:val="18"/>
                <w:lang w:eastAsia="en-IN"/>
              </w:rPr>
            </w:pPr>
            <w:r>
              <w:rPr>
                <w:rFonts w:eastAsia="Times New Roman"/>
                <w:kern w:val="0"/>
                <w:sz w:val="20"/>
                <w:szCs w:val="18"/>
                <w:lang w:eastAsia="en-IN"/>
              </w:rPr>
              <w:t>Prashanti</w:t>
            </w:r>
          </w:p>
        </w:tc>
        <w:tc>
          <w:tcPr>
            <w:tcW w:w="1821" w:type="dxa"/>
            <w:tcBorders>
              <w:top w:val="single" w:color="000000" w:sz="4" w:space="0"/>
              <w:left w:val="single" w:color="000000" w:sz="4" w:space="0"/>
              <w:bottom w:val="single" w:color="000000" w:sz="4" w:space="0"/>
              <w:right w:val="single" w:color="000000" w:sz="4" w:space="0"/>
            </w:tcBorders>
          </w:tcPr>
          <w:p w14:paraId="598AACA1">
            <w:pPr>
              <w:spacing w:after="0" w:line="360" w:lineRule="auto"/>
              <w:jc w:val="center"/>
              <w:rPr>
                <w:rFonts w:eastAsia="Times New Roman"/>
                <w:kern w:val="0"/>
                <w:sz w:val="18"/>
                <w:szCs w:val="18"/>
                <w:lang w:eastAsia="en-IN"/>
              </w:rPr>
            </w:pPr>
            <w:r>
              <w:rPr>
                <w:rFonts w:eastAsia="Times New Roman"/>
                <w:kern w:val="0"/>
                <w:sz w:val="20"/>
                <w:szCs w:val="18"/>
                <w:lang w:eastAsia="en-IN"/>
              </w:rPr>
              <w:t>17.50</w:t>
            </w:r>
          </w:p>
        </w:tc>
        <w:tc>
          <w:tcPr>
            <w:tcW w:w="1763" w:type="dxa"/>
            <w:tcBorders>
              <w:top w:val="single" w:color="000000" w:sz="4" w:space="0"/>
              <w:left w:val="single" w:color="000000" w:sz="4" w:space="0"/>
              <w:bottom w:val="single" w:color="000000" w:sz="4" w:space="0"/>
              <w:right w:val="single" w:color="000000" w:sz="4" w:space="0"/>
            </w:tcBorders>
          </w:tcPr>
          <w:p w14:paraId="380D85D7">
            <w:pPr>
              <w:spacing w:after="0" w:line="360" w:lineRule="auto"/>
              <w:jc w:val="center"/>
              <w:rPr>
                <w:rFonts w:eastAsia="Times New Roman"/>
                <w:kern w:val="0"/>
                <w:sz w:val="18"/>
                <w:szCs w:val="18"/>
                <w:lang w:eastAsia="en-IN"/>
              </w:rPr>
            </w:pPr>
            <w:r>
              <w:rPr>
                <w:rFonts w:eastAsia="Times New Roman"/>
                <w:kern w:val="0"/>
                <w:sz w:val="20"/>
                <w:szCs w:val="18"/>
                <w:lang w:eastAsia="en-IN"/>
              </w:rPr>
              <w:t>7.96</w:t>
            </w:r>
          </w:p>
        </w:tc>
        <w:tc>
          <w:tcPr>
            <w:tcW w:w="1569" w:type="dxa"/>
            <w:tcBorders>
              <w:top w:val="single" w:color="000000" w:sz="4" w:space="0"/>
              <w:left w:val="single" w:color="000000" w:sz="4" w:space="0"/>
              <w:bottom w:val="single" w:color="000000" w:sz="4" w:space="0"/>
              <w:right w:val="single" w:color="000000" w:sz="4" w:space="0"/>
            </w:tcBorders>
          </w:tcPr>
          <w:p w14:paraId="79D44B6A">
            <w:pPr>
              <w:spacing w:after="0" w:line="360" w:lineRule="auto"/>
              <w:jc w:val="center"/>
              <w:rPr>
                <w:rFonts w:eastAsia="Times New Roman"/>
                <w:kern w:val="0"/>
                <w:sz w:val="18"/>
                <w:szCs w:val="18"/>
                <w:lang w:eastAsia="en-IN"/>
              </w:rPr>
            </w:pPr>
            <w:r>
              <w:rPr>
                <w:rFonts w:eastAsia="Times New Roman"/>
                <w:kern w:val="0"/>
                <w:sz w:val="20"/>
                <w:szCs w:val="18"/>
                <w:lang w:eastAsia="en-IN"/>
              </w:rPr>
              <w:t>2.40</w:t>
            </w:r>
          </w:p>
        </w:tc>
        <w:tc>
          <w:tcPr>
            <w:tcW w:w="1823" w:type="dxa"/>
            <w:tcBorders>
              <w:top w:val="single" w:color="000000" w:sz="4" w:space="0"/>
              <w:left w:val="single" w:color="000000" w:sz="4" w:space="0"/>
              <w:bottom w:val="single" w:color="000000" w:sz="4" w:space="0"/>
              <w:right w:val="single" w:color="000000" w:sz="4" w:space="0"/>
            </w:tcBorders>
          </w:tcPr>
          <w:p w14:paraId="605E1831">
            <w:pPr>
              <w:spacing w:after="0" w:line="360" w:lineRule="auto"/>
              <w:jc w:val="center"/>
              <w:rPr>
                <w:rFonts w:eastAsia="Times New Roman"/>
                <w:kern w:val="0"/>
                <w:sz w:val="18"/>
                <w:szCs w:val="18"/>
                <w:lang w:eastAsia="en-IN"/>
              </w:rPr>
            </w:pPr>
            <w:r>
              <w:rPr>
                <w:rFonts w:eastAsia="Times New Roman"/>
                <w:kern w:val="0"/>
                <w:sz w:val="20"/>
                <w:szCs w:val="18"/>
                <w:lang w:eastAsia="en-IN"/>
              </w:rPr>
              <w:t>70.54</w:t>
            </w:r>
          </w:p>
        </w:tc>
      </w:tr>
      <w:tr w14:paraId="03DC0C33">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E7BDAA8">
            <w:pPr>
              <w:spacing w:after="0" w:line="360" w:lineRule="auto"/>
              <w:jc w:val="center"/>
              <w:rPr>
                <w:rFonts w:eastAsia="Times New Roman"/>
                <w:kern w:val="0"/>
                <w:sz w:val="18"/>
                <w:szCs w:val="18"/>
                <w:lang w:eastAsia="en-IN"/>
              </w:rPr>
            </w:pPr>
            <w:r>
              <w:rPr>
                <w:rFonts w:eastAsia="Times New Roman"/>
                <w:kern w:val="0"/>
                <w:sz w:val="20"/>
                <w:szCs w:val="18"/>
                <w:lang w:eastAsia="en-IN"/>
              </w:rPr>
              <w:t>Ramachandra</w:t>
            </w:r>
          </w:p>
        </w:tc>
        <w:tc>
          <w:tcPr>
            <w:tcW w:w="1821" w:type="dxa"/>
            <w:tcBorders>
              <w:top w:val="single" w:color="000000" w:sz="4" w:space="0"/>
              <w:left w:val="single" w:color="000000" w:sz="4" w:space="0"/>
              <w:bottom w:val="single" w:color="000000" w:sz="4" w:space="0"/>
              <w:right w:val="single" w:color="000000" w:sz="4" w:space="0"/>
            </w:tcBorders>
          </w:tcPr>
          <w:p w14:paraId="70804A67">
            <w:pPr>
              <w:spacing w:after="0" w:line="360" w:lineRule="auto"/>
              <w:jc w:val="center"/>
              <w:rPr>
                <w:rFonts w:eastAsia="Times New Roman"/>
                <w:kern w:val="0"/>
                <w:sz w:val="18"/>
                <w:szCs w:val="18"/>
                <w:lang w:eastAsia="en-IN"/>
              </w:rPr>
            </w:pPr>
            <w:r>
              <w:rPr>
                <w:rFonts w:eastAsia="Times New Roman"/>
                <w:kern w:val="0"/>
                <w:sz w:val="20"/>
                <w:szCs w:val="18"/>
                <w:lang w:eastAsia="en-IN"/>
              </w:rPr>
              <w:t>15.52</w:t>
            </w:r>
          </w:p>
        </w:tc>
        <w:tc>
          <w:tcPr>
            <w:tcW w:w="1763" w:type="dxa"/>
            <w:tcBorders>
              <w:top w:val="single" w:color="000000" w:sz="4" w:space="0"/>
              <w:left w:val="single" w:color="000000" w:sz="4" w:space="0"/>
              <w:bottom w:val="single" w:color="000000" w:sz="4" w:space="0"/>
              <w:right w:val="single" w:color="000000" w:sz="4" w:space="0"/>
            </w:tcBorders>
          </w:tcPr>
          <w:p w14:paraId="04B33680">
            <w:pPr>
              <w:spacing w:after="0" w:line="360" w:lineRule="auto"/>
              <w:jc w:val="center"/>
              <w:rPr>
                <w:rFonts w:eastAsia="Times New Roman"/>
                <w:kern w:val="0"/>
                <w:sz w:val="18"/>
                <w:szCs w:val="18"/>
                <w:lang w:eastAsia="en-IN"/>
              </w:rPr>
            </w:pPr>
            <w:r>
              <w:rPr>
                <w:rFonts w:eastAsia="Times New Roman"/>
                <w:kern w:val="0"/>
                <w:sz w:val="20"/>
                <w:szCs w:val="18"/>
                <w:lang w:eastAsia="en-IN"/>
              </w:rPr>
              <w:t>8.78</w:t>
            </w:r>
          </w:p>
        </w:tc>
        <w:tc>
          <w:tcPr>
            <w:tcW w:w="1569" w:type="dxa"/>
            <w:tcBorders>
              <w:top w:val="single" w:color="000000" w:sz="4" w:space="0"/>
              <w:left w:val="single" w:color="000000" w:sz="4" w:space="0"/>
              <w:bottom w:val="single" w:color="000000" w:sz="4" w:space="0"/>
              <w:right w:val="single" w:color="000000" w:sz="4" w:space="0"/>
            </w:tcBorders>
          </w:tcPr>
          <w:p w14:paraId="6A3E8152">
            <w:pPr>
              <w:spacing w:after="0" w:line="360" w:lineRule="auto"/>
              <w:jc w:val="center"/>
              <w:rPr>
                <w:rFonts w:eastAsia="Times New Roman"/>
                <w:kern w:val="0"/>
                <w:sz w:val="18"/>
                <w:szCs w:val="18"/>
                <w:lang w:eastAsia="en-IN"/>
              </w:rPr>
            </w:pPr>
            <w:r>
              <w:rPr>
                <w:rFonts w:eastAsia="Times New Roman"/>
                <w:kern w:val="0"/>
                <w:sz w:val="20"/>
                <w:szCs w:val="18"/>
                <w:lang w:eastAsia="en-IN"/>
              </w:rPr>
              <w:t>2.10</w:t>
            </w:r>
          </w:p>
        </w:tc>
        <w:tc>
          <w:tcPr>
            <w:tcW w:w="1823" w:type="dxa"/>
            <w:tcBorders>
              <w:top w:val="single" w:color="000000" w:sz="4" w:space="0"/>
              <w:left w:val="single" w:color="000000" w:sz="4" w:space="0"/>
              <w:bottom w:val="single" w:color="000000" w:sz="4" w:space="0"/>
              <w:right w:val="single" w:color="000000" w:sz="4" w:space="0"/>
            </w:tcBorders>
          </w:tcPr>
          <w:p w14:paraId="7AF42929">
            <w:pPr>
              <w:spacing w:after="0" w:line="360" w:lineRule="auto"/>
              <w:jc w:val="center"/>
              <w:rPr>
                <w:rFonts w:eastAsia="Times New Roman"/>
                <w:kern w:val="0"/>
                <w:sz w:val="18"/>
                <w:szCs w:val="18"/>
                <w:lang w:eastAsia="en-IN"/>
              </w:rPr>
            </w:pPr>
            <w:r>
              <w:rPr>
                <w:rFonts w:eastAsia="Times New Roman"/>
                <w:kern w:val="0"/>
                <w:sz w:val="20"/>
                <w:szCs w:val="18"/>
                <w:lang w:eastAsia="en-IN"/>
              </w:rPr>
              <w:t>48.37</w:t>
            </w:r>
          </w:p>
        </w:tc>
      </w:tr>
      <w:tr w14:paraId="3E2C9BEB">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2BCCAF36">
            <w:pPr>
              <w:spacing w:after="0" w:line="360" w:lineRule="auto"/>
              <w:jc w:val="center"/>
              <w:rPr>
                <w:rFonts w:eastAsia="Times New Roman"/>
                <w:kern w:val="0"/>
                <w:sz w:val="18"/>
                <w:szCs w:val="18"/>
                <w:lang w:eastAsia="en-IN"/>
              </w:rPr>
            </w:pPr>
            <w:r>
              <w:rPr>
                <w:rFonts w:eastAsia="Times New Roman"/>
                <w:kern w:val="0"/>
                <w:sz w:val="20"/>
                <w:szCs w:val="18"/>
                <w:lang w:eastAsia="en-IN"/>
              </w:rPr>
              <w:t>Roja</w:t>
            </w:r>
          </w:p>
        </w:tc>
        <w:tc>
          <w:tcPr>
            <w:tcW w:w="1821" w:type="dxa"/>
            <w:tcBorders>
              <w:top w:val="single" w:color="000000" w:sz="4" w:space="0"/>
              <w:left w:val="single" w:color="000000" w:sz="4" w:space="0"/>
              <w:bottom w:val="single" w:color="000000" w:sz="4" w:space="0"/>
              <w:right w:val="single" w:color="000000" w:sz="4" w:space="0"/>
            </w:tcBorders>
          </w:tcPr>
          <w:p w14:paraId="666A644F">
            <w:pPr>
              <w:spacing w:after="0" w:line="360" w:lineRule="auto"/>
              <w:jc w:val="center"/>
              <w:rPr>
                <w:rFonts w:eastAsia="Times New Roman"/>
                <w:kern w:val="0"/>
                <w:sz w:val="18"/>
                <w:szCs w:val="18"/>
                <w:lang w:eastAsia="en-IN"/>
              </w:rPr>
            </w:pPr>
            <w:r>
              <w:rPr>
                <w:rFonts w:eastAsia="Times New Roman"/>
                <w:kern w:val="0"/>
                <w:sz w:val="20"/>
                <w:szCs w:val="18"/>
                <w:lang w:eastAsia="en-IN"/>
              </w:rPr>
              <w:t>10.64</w:t>
            </w:r>
          </w:p>
        </w:tc>
        <w:tc>
          <w:tcPr>
            <w:tcW w:w="1763" w:type="dxa"/>
            <w:tcBorders>
              <w:top w:val="single" w:color="000000" w:sz="4" w:space="0"/>
              <w:left w:val="single" w:color="000000" w:sz="4" w:space="0"/>
              <w:bottom w:val="single" w:color="000000" w:sz="4" w:space="0"/>
              <w:right w:val="single" w:color="000000" w:sz="4" w:space="0"/>
            </w:tcBorders>
          </w:tcPr>
          <w:p w14:paraId="1A9725A9">
            <w:pPr>
              <w:spacing w:after="0" w:line="360" w:lineRule="auto"/>
              <w:jc w:val="center"/>
              <w:rPr>
                <w:rFonts w:eastAsia="Times New Roman"/>
                <w:kern w:val="0"/>
                <w:sz w:val="18"/>
                <w:szCs w:val="18"/>
                <w:lang w:eastAsia="en-IN"/>
              </w:rPr>
            </w:pPr>
            <w:r>
              <w:rPr>
                <w:rFonts w:eastAsia="Times New Roman"/>
                <w:kern w:val="0"/>
                <w:sz w:val="20"/>
                <w:szCs w:val="18"/>
                <w:lang w:eastAsia="en-IN"/>
              </w:rPr>
              <w:t>5.54</w:t>
            </w:r>
          </w:p>
        </w:tc>
        <w:tc>
          <w:tcPr>
            <w:tcW w:w="1569" w:type="dxa"/>
            <w:tcBorders>
              <w:top w:val="single" w:color="000000" w:sz="4" w:space="0"/>
              <w:left w:val="single" w:color="000000" w:sz="4" w:space="0"/>
              <w:bottom w:val="single" w:color="000000" w:sz="4" w:space="0"/>
              <w:right w:val="single" w:color="000000" w:sz="4" w:space="0"/>
            </w:tcBorders>
          </w:tcPr>
          <w:p w14:paraId="338C7AA5">
            <w:pPr>
              <w:spacing w:after="0" w:line="360" w:lineRule="auto"/>
              <w:jc w:val="center"/>
              <w:rPr>
                <w:rFonts w:eastAsia="Times New Roman"/>
                <w:kern w:val="0"/>
                <w:sz w:val="18"/>
                <w:szCs w:val="18"/>
                <w:lang w:eastAsia="en-IN"/>
              </w:rPr>
            </w:pPr>
            <w:r>
              <w:rPr>
                <w:rFonts w:eastAsia="Times New Roman"/>
                <w:kern w:val="0"/>
                <w:sz w:val="20"/>
                <w:szCs w:val="18"/>
                <w:lang w:eastAsia="en-IN"/>
              </w:rPr>
              <w:t>1.57</w:t>
            </w:r>
          </w:p>
        </w:tc>
        <w:tc>
          <w:tcPr>
            <w:tcW w:w="1823" w:type="dxa"/>
            <w:tcBorders>
              <w:top w:val="single" w:color="000000" w:sz="4" w:space="0"/>
              <w:left w:val="single" w:color="000000" w:sz="4" w:space="0"/>
              <w:bottom w:val="single" w:color="000000" w:sz="4" w:space="0"/>
              <w:right w:val="single" w:color="000000" w:sz="4" w:space="0"/>
            </w:tcBorders>
          </w:tcPr>
          <w:p w14:paraId="2F49D2E6">
            <w:pPr>
              <w:spacing w:after="0" w:line="360" w:lineRule="auto"/>
              <w:jc w:val="center"/>
              <w:rPr>
                <w:rFonts w:eastAsia="Times New Roman"/>
                <w:kern w:val="0"/>
                <w:sz w:val="18"/>
                <w:szCs w:val="18"/>
                <w:lang w:eastAsia="en-IN"/>
              </w:rPr>
            </w:pPr>
            <w:r>
              <w:rPr>
                <w:rFonts w:eastAsia="Times New Roman"/>
                <w:kern w:val="0"/>
                <w:sz w:val="20"/>
                <w:szCs w:val="18"/>
                <w:lang w:eastAsia="en-IN"/>
              </w:rPr>
              <w:t>62.99</w:t>
            </w:r>
          </w:p>
        </w:tc>
      </w:tr>
      <w:tr w14:paraId="14ECFE7D">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50666275">
            <w:pPr>
              <w:spacing w:after="0" w:line="360" w:lineRule="auto"/>
              <w:jc w:val="center"/>
              <w:rPr>
                <w:rFonts w:eastAsia="Times New Roman"/>
                <w:kern w:val="0"/>
                <w:sz w:val="18"/>
                <w:szCs w:val="18"/>
                <w:lang w:eastAsia="en-IN"/>
              </w:rPr>
            </w:pPr>
            <w:r>
              <w:rPr>
                <w:rFonts w:eastAsia="Times New Roman"/>
                <w:kern w:val="0"/>
                <w:sz w:val="20"/>
                <w:szCs w:val="18"/>
                <w:lang w:eastAsia="en-IN"/>
              </w:rPr>
              <w:t>Thailand</w:t>
            </w:r>
          </w:p>
        </w:tc>
        <w:tc>
          <w:tcPr>
            <w:tcW w:w="1821" w:type="dxa"/>
            <w:tcBorders>
              <w:top w:val="single" w:color="000000" w:sz="4" w:space="0"/>
              <w:left w:val="single" w:color="000000" w:sz="4" w:space="0"/>
              <w:bottom w:val="single" w:color="000000" w:sz="4" w:space="0"/>
              <w:right w:val="single" w:color="000000" w:sz="4" w:space="0"/>
            </w:tcBorders>
          </w:tcPr>
          <w:p w14:paraId="02DC056A">
            <w:pPr>
              <w:spacing w:after="0" w:line="360" w:lineRule="auto"/>
              <w:jc w:val="center"/>
              <w:rPr>
                <w:rFonts w:eastAsia="Times New Roman"/>
                <w:kern w:val="0"/>
                <w:sz w:val="18"/>
                <w:szCs w:val="18"/>
                <w:lang w:eastAsia="en-IN"/>
              </w:rPr>
            </w:pPr>
            <w:r>
              <w:rPr>
                <w:rFonts w:eastAsia="Times New Roman"/>
                <w:kern w:val="0"/>
                <w:sz w:val="20"/>
                <w:szCs w:val="18"/>
                <w:lang w:eastAsia="en-IN"/>
              </w:rPr>
              <w:t>11.84</w:t>
            </w:r>
          </w:p>
        </w:tc>
        <w:tc>
          <w:tcPr>
            <w:tcW w:w="1763" w:type="dxa"/>
            <w:tcBorders>
              <w:top w:val="single" w:color="000000" w:sz="4" w:space="0"/>
              <w:left w:val="single" w:color="000000" w:sz="4" w:space="0"/>
              <w:bottom w:val="single" w:color="000000" w:sz="4" w:space="0"/>
              <w:right w:val="single" w:color="000000" w:sz="4" w:space="0"/>
            </w:tcBorders>
          </w:tcPr>
          <w:p w14:paraId="4DC85DFE">
            <w:pPr>
              <w:spacing w:after="0" w:line="360" w:lineRule="auto"/>
              <w:jc w:val="center"/>
              <w:rPr>
                <w:rFonts w:eastAsia="Times New Roman"/>
                <w:kern w:val="0"/>
                <w:sz w:val="18"/>
                <w:szCs w:val="18"/>
                <w:lang w:eastAsia="en-IN"/>
              </w:rPr>
            </w:pPr>
            <w:r>
              <w:rPr>
                <w:rFonts w:eastAsia="Times New Roman"/>
                <w:kern w:val="0"/>
                <w:sz w:val="20"/>
                <w:szCs w:val="18"/>
                <w:lang w:eastAsia="en-IN"/>
              </w:rPr>
              <w:t>6.06</w:t>
            </w:r>
          </w:p>
        </w:tc>
        <w:tc>
          <w:tcPr>
            <w:tcW w:w="1569" w:type="dxa"/>
            <w:tcBorders>
              <w:top w:val="single" w:color="000000" w:sz="4" w:space="0"/>
              <w:left w:val="single" w:color="000000" w:sz="4" w:space="0"/>
              <w:bottom w:val="single" w:color="000000" w:sz="4" w:space="0"/>
              <w:right w:val="single" w:color="000000" w:sz="4" w:space="0"/>
            </w:tcBorders>
          </w:tcPr>
          <w:p w14:paraId="1ACAB2BE">
            <w:pPr>
              <w:spacing w:after="0" w:line="360" w:lineRule="auto"/>
              <w:jc w:val="center"/>
              <w:rPr>
                <w:rFonts w:eastAsia="Times New Roman"/>
                <w:kern w:val="0"/>
                <w:sz w:val="18"/>
                <w:szCs w:val="18"/>
                <w:lang w:eastAsia="en-IN"/>
              </w:rPr>
            </w:pPr>
            <w:r>
              <w:rPr>
                <w:rFonts w:eastAsia="Times New Roman"/>
                <w:kern w:val="0"/>
                <w:sz w:val="20"/>
                <w:szCs w:val="18"/>
                <w:lang w:eastAsia="en-IN"/>
              </w:rPr>
              <w:t>1.37</w:t>
            </w:r>
          </w:p>
        </w:tc>
        <w:tc>
          <w:tcPr>
            <w:tcW w:w="1823" w:type="dxa"/>
            <w:tcBorders>
              <w:top w:val="single" w:color="000000" w:sz="4" w:space="0"/>
              <w:left w:val="single" w:color="000000" w:sz="4" w:space="0"/>
              <w:bottom w:val="single" w:color="000000" w:sz="4" w:space="0"/>
              <w:right w:val="single" w:color="000000" w:sz="4" w:space="0"/>
            </w:tcBorders>
          </w:tcPr>
          <w:p w14:paraId="6D37E8DB">
            <w:pPr>
              <w:spacing w:after="0" w:line="360" w:lineRule="auto"/>
              <w:jc w:val="center"/>
              <w:rPr>
                <w:rFonts w:eastAsia="Times New Roman"/>
                <w:kern w:val="0"/>
                <w:sz w:val="18"/>
                <w:szCs w:val="18"/>
                <w:lang w:eastAsia="en-IN"/>
              </w:rPr>
            </w:pPr>
            <w:r>
              <w:rPr>
                <w:rFonts w:eastAsia="Times New Roman"/>
                <w:kern w:val="0"/>
                <w:sz w:val="20"/>
                <w:szCs w:val="18"/>
                <w:lang w:eastAsia="en-IN"/>
              </w:rPr>
              <w:t>47.62</w:t>
            </w:r>
          </w:p>
        </w:tc>
      </w:tr>
      <w:tr w14:paraId="691D06F8">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62EBCEA9">
            <w:pPr>
              <w:spacing w:after="0" w:line="360" w:lineRule="auto"/>
              <w:jc w:val="center"/>
              <w:rPr>
                <w:rFonts w:eastAsia="Times New Roman"/>
                <w:kern w:val="0"/>
                <w:sz w:val="18"/>
                <w:szCs w:val="18"/>
                <w:lang w:eastAsia="en-IN"/>
              </w:rPr>
            </w:pPr>
            <w:r>
              <w:rPr>
                <w:rFonts w:eastAsia="Times New Roman"/>
                <w:kern w:val="0"/>
                <w:sz w:val="20"/>
                <w:szCs w:val="18"/>
                <w:lang w:eastAsia="en-IN"/>
              </w:rPr>
              <w:t>Yellow round</w:t>
            </w:r>
          </w:p>
        </w:tc>
        <w:tc>
          <w:tcPr>
            <w:tcW w:w="1821" w:type="dxa"/>
            <w:tcBorders>
              <w:top w:val="single" w:color="000000" w:sz="4" w:space="0"/>
              <w:left w:val="single" w:color="000000" w:sz="4" w:space="0"/>
              <w:bottom w:val="single" w:color="000000" w:sz="4" w:space="0"/>
              <w:right w:val="single" w:color="000000" w:sz="4" w:space="0"/>
            </w:tcBorders>
          </w:tcPr>
          <w:p w14:paraId="0B640DA7">
            <w:pPr>
              <w:spacing w:after="0" w:line="360" w:lineRule="auto"/>
              <w:jc w:val="center"/>
              <w:rPr>
                <w:rFonts w:eastAsia="Times New Roman"/>
                <w:kern w:val="0"/>
                <w:sz w:val="18"/>
                <w:szCs w:val="18"/>
                <w:lang w:eastAsia="en-IN"/>
              </w:rPr>
            </w:pPr>
            <w:r>
              <w:rPr>
                <w:rFonts w:eastAsia="Times New Roman"/>
                <w:kern w:val="0"/>
                <w:sz w:val="20"/>
                <w:szCs w:val="18"/>
                <w:lang w:eastAsia="en-IN"/>
              </w:rPr>
              <w:t>13.54</w:t>
            </w:r>
          </w:p>
        </w:tc>
        <w:tc>
          <w:tcPr>
            <w:tcW w:w="1763" w:type="dxa"/>
            <w:tcBorders>
              <w:top w:val="single" w:color="000000" w:sz="4" w:space="0"/>
              <w:left w:val="single" w:color="000000" w:sz="4" w:space="0"/>
              <w:bottom w:val="single" w:color="000000" w:sz="4" w:space="0"/>
              <w:right w:val="single" w:color="000000" w:sz="4" w:space="0"/>
            </w:tcBorders>
          </w:tcPr>
          <w:p w14:paraId="186C747F">
            <w:pPr>
              <w:spacing w:after="0" w:line="360" w:lineRule="auto"/>
              <w:jc w:val="center"/>
              <w:rPr>
                <w:rFonts w:eastAsia="Times New Roman"/>
                <w:kern w:val="0"/>
                <w:sz w:val="18"/>
                <w:szCs w:val="18"/>
                <w:lang w:eastAsia="en-IN"/>
              </w:rPr>
            </w:pPr>
            <w:r>
              <w:rPr>
                <w:rFonts w:eastAsia="Times New Roman"/>
                <w:kern w:val="0"/>
                <w:sz w:val="20"/>
                <w:szCs w:val="18"/>
                <w:lang w:eastAsia="en-IN"/>
              </w:rPr>
              <w:t>10.78</w:t>
            </w:r>
          </w:p>
        </w:tc>
        <w:tc>
          <w:tcPr>
            <w:tcW w:w="1569" w:type="dxa"/>
            <w:tcBorders>
              <w:top w:val="single" w:color="000000" w:sz="4" w:space="0"/>
              <w:left w:val="single" w:color="000000" w:sz="4" w:space="0"/>
              <w:bottom w:val="single" w:color="000000" w:sz="4" w:space="0"/>
              <w:right w:val="single" w:color="000000" w:sz="4" w:space="0"/>
            </w:tcBorders>
          </w:tcPr>
          <w:p w14:paraId="13BDE1CA">
            <w:pPr>
              <w:spacing w:after="0" w:line="360" w:lineRule="auto"/>
              <w:jc w:val="center"/>
              <w:rPr>
                <w:rFonts w:eastAsia="Times New Roman"/>
                <w:kern w:val="0"/>
                <w:sz w:val="18"/>
                <w:szCs w:val="18"/>
                <w:lang w:eastAsia="en-IN"/>
              </w:rPr>
            </w:pPr>
            <w:r>
              <w:rPr>
                <w:rFonts w:eastAsia="Times New Roman"/>
                <w:kern w:val="0"/>
                <w:sz w:val="20"/>
                <w:szCs w:val="18"/>
                <w:lang w:eastAsia="en-IN"/>
              </w:rPr>
              <w:t>1.93</w:t>
            </w:r>
          </w:p>
        </w:tc>
        <w:tc>
          <w:tcPr>
            <w:tcW w:w="1823" w:type="dxa"/>
            <w:tcBorders>
              <w:top w:val="single" w:color="000000" w:sz="4" w:space="0"/>
              <w:left w:val="single" w:color="000000" w:sz="4" w:space="0"/>
              <w:bottom w:val="single" w:color="000000" w:sz="4" w:space="0"/>
              <w:right w:val="single" w:color="000000" w:sz="4" w:space="0"/>
            </w:tcBorders>
          </w:tcPr>
          <w:p w14:paraId="768BB7F4">
            <w:pPr>
              <w:spacing w:after="0" w:line="360" w:lineRule="auto"/>
              <w:jc w:val="center"/>
              <w:rPr>
                <w:rFonts w:eastAsia="Times New Roman"/>
                <w:kern w:val="0"/>
                <w:sz w:val="18"/>
                <w:szCs w:val="18"/>
                <w:lang w:eastAsia="en-IN"/>
              </w:rPr>
            </w:pPr>
            <w:r>
              <w:rPr>
                <w:rFonts w:eastAsia="Times New Roman"/>
                <w:kern w:val="0"/>
                <w:sz w:val="20"/>
                <w:szCs w:val="18"/>
                <w:lang w:eastAsia="en-IN"/>
              </w:rPr>
              <w:t>79.79</w:t>
            </w:r>
          </w:p>
        </w:tc>
      </w:tr>
      <w:tr w14:paraId="21086C1D">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19A157B3">
            <w:pPr>
              <w:spacing w:after="0" w:line="360" w:lineRule="auto"/>
              <w:jc w:val="center"/>
              <w:rPr>
                <w:rFonts w:eastAsia="Times New Roman"/>
                <w:kern w:val="0"/>
                <w:sz w:val="18"/>
                <w:szCs w:val="18"/>
                <w:lang w:eastAsia="en-IN"/>
              </w:rPr>
            </w:pPr>
            <w:r>
              <w:rPr>
                <w:rFonts w:eastAsia="Times New Roman"/>
                <w:kern w:val="0"/>
                <w:sz w:val="20"/>
                <w:szCs w:val="18"/>
                <w:lang w:eastAsia="en-IN"/>
              </w:rPr>
              <w:t>Mean</w:t>
            </w:r>
          </w:p>
        </w:tc>
        <w:tc>
          <w:tcPr>
            <w:tcW w:w="1821" w:type="dxa"/>
            <w:tcBorders>
              <w:top w:val="single" w:color="000000" w:sz="4" w:space="0"/>
              <w:left w:val="single" w:color="000000" w:sz="4" w:space="0"/>
              <w:bottom w:val="single" w:color="000000" w:sz="4" w:space="0"/>
              <w:right w:val="single" w:color="000000" w:sz="4" w:space="0"/>
            </w:tcBorders>
          </w:tcPr>
          <w:p w14:paraId="5DAE2E50">
            <w:pPr>
              <w:spacing w:after="0" w:line="360" w:lineRule="auto"/>
              <w:jc w:val="center"/>
              <w:rPr>
                <w:rFonts w:eastAsia="Times New Roman"/>
                <w:kern w:val="0"/>
                <w:sz w:val="18"/>
                <w:szCs w:val="18"/>
                <w:lang w:eastAsia="en-IN"/>
              </w:rPr>
            </w:pPr>
            <w:r>
              <w:rPr>
                <w:rFonts w:eastAsia="Times New Roman"/>
                <w:kern w:val="0"/>
                <w:sz w:val="20"/>
                <w:szCs w:val="18"/>
                <w:lang w:eastAsia="en-IN"/>
              </w:rPr>
              <w:t>14.37</w:t>
            </w:r>
          </w:p>
        </w:tc>
        <w:tc>
          <w:tcPr>
            <w:tcW w:w="1763" w:type="dxa"/>
            <w:tcBorders>
              <w:top w:val="single" w:color="000000" w:sz="4" w:space="0"/>
              <w:left w:val="single" w:color="000000" w:sz="4" w:space="0"/>
              <w:bottom w:val="single" w:color="000000" w:sz="4" w:space="0"/>
              <w:right w:val="single" w:color="000000" w:sz="4" w:space="0"/>
            </w:tcBorders>
          </w:tcPr>
          <w:p w14:paraId="7E33AD6B">
            <w:pPr>
              <w:spacing w:after="0" w:line="360" w:lineRule="auto"/>
              <w:jc w:val="center"/>
              <w:rPr>
                <w:rFonts w:eastAsia="Times New Roman"/>
                <w:kern w:val="0"/>
                <w:sz w:val="18"/>
                <w:szCs w:val="18"/>
                <w:lang w:eastAsia="en-IN"/>
              </w:rPr>
            </w:pPr>
            <w:r>
              <w:rPr>
                <w:rFonts w:eastAsia="Times New Roman"/>
                <w:kern w:val="0"/>
                <w:sz w:val="20"/>
                <w:szCs w:val="18"/>
                <w:lang w:eastAsia="en-IN"/>
              </w:rPr>
              <w:t>7.90</w:t>
            </w:r>
          </w:p>
        </w:tc>
        <w:tc>
          <w:tcPr>
            <w:tcW w:w="1569" w:type="dxa"/>
            <w:tcBorders>
              <w:top w:val="single" w:color="000000" w:sz="4" w:space="0"/>
              <w:left w:val="single" w:color="000000" w:sz="4" w:space="0"/>
              <w:bottom w:val="single" w:color="000000" w:sz="4" w:space="0"/>
              <w:right w:val="single" w:color="000000" w:sz="4" w:space="0"/>
            </w:tcBorders>
          </w:tcPr>
          <w:p w14:paraId="1F90D377">
            <w:pPr>
              <w:spacing w:after="0" w:line="360" w:lineRule="auto"/>
              <w:jc w:val="center"/>
              <w:rPr>
                <w:rFonts w:eastAsia="Times New Roman"/>
                <w:kern w:val="0"/>
                <w:sz w:val="18"/>
                <w:szCs w:val="18"/>
                <w:lang w:eastAsia="en-IN"/>
              </w:rPr>
            </w:pPr>
            <w:r>
              <w:rPr>
                <w:rFonts w:eastAsia="Times New Roman"/>
                <w:kern w:val="0"/>
                <w:sz w:val="18"/>
                <w:szCs w:val="18"/>
                <w:lang w:eastAsia="en-IN"/>
              </w:rPr>
              <w:t>2.01</w:t>
            </w:r>
          </w:p>
        </w:tc>
        <w:tc>
          <w:tcPr>
            <w:tcW w:w="1823" w:type="dxa"/>
            <w:tcBorders>
              <w:top w:val="single" w:color="000000" w:sz="4" w:space="0"/>
              <w:left w:val="single" w:color="000000" w:sz="4" w:space="0"/>
              <w:bottom w:val="single" w:color="000000" w:sz="4" w:space="0"/>
              <w:right w:val="single" w:color="000000" w:sz="4" w:space="0"/>
            </w:tcBorders>
          </w:tcPr>
          <w:p w14:paraId="120D3DCC">
            <w:pPr>
              <w:spacing w:after="0" w:line="360" w:lineRule="auto"/>
              <w:jc w:val="center"/>
              <w:rPr>
                <w:rFonts w:eastAsia="Times New Roman"/>
                <w:kern w:val="0"/>
                <w:sz w:val="18"/>
                <w:szCs w:val="18"/>
                <w:lang w:eastAsia="en-IN"/>
              </w:rPr>
            </w:pPr>
            <w:r>
              <w:rPr>
                <w:rFonts w:eastAsia="Times New Roman"/>
                <w:kern w:val="0"/>
                <w:sz w:val="20"/>
                <w:szCs w:val="18"/>
                <w:lang w:eastAsia="en-IN"/>
              </w:rPr>
              <w:t>70.16</w:t>
            </w:r>
          </w:p>
        </w:tc>
      </w:tr>
      <w:tr w14:paraId="5DC0EFCC">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5B28666E">
            <w:pPr>
              <w:spacing w:after="0" w:line="360" w:lineRule="auto"/>
              <w:jc w:val="center"/>
              <w:rPr>
                <w:rFonts w:eastAsia="Times New Roman"/>
                <w:kern w:val="0"/>
                <w:sz w:val="18"/>
                <w:szCs w:val="18"/>
                <w:lang w:eastAsia="en-IN"/>
              </w:rPr>
            </w:pPr>
            <w:r>
              <w:rPr>
                <w:rFonts w:eastAsia="Times New Roman"/>
                <w:kern w:val="0"/>
                <w:sz w:val="20"/>
                <w:szCs w:val="18"/>
                <w:lang w:eastAsia="en-IN"/>
              </w:rPr>
              <w:t>Range</w:t>
            </w:r>
          </w:p>
        </w:tc>
        <w:tc>
          <w:tcPr>
            <w:tcW w:w="1821" w:type="dxa"/>
            <w:tcBorders>
              <w:top w:val="single" w:color="000000" w:sz="4" w:space="0"/>
              <w:left w:val="single" w:color="000000" w:sz="4" w:space="0"/>
              <w:bottom w:val="single" w:color="000000" w:sz="4" w:space="0"/>
              <w:right w:val="single" w:color="000000" w:sz="4" w:space="0"/>
            </w:tcBorders>
          </w:tcPr>
          <w:p w14:paraId="37EE7842">
            <w:pPr>
              <w:spacing w:after="0" w:line="360" w:lineRule="auto"/>
              <w:jc w:val="center"/>
              <w:rPr>
                <w:rFonts w:eastAsia="Times New Roman"/>
                <w:kern w:val="0"/>
                <w:sz w:val="18"/>
                <w:szCs w:val="18"/>
                <w:lang w:eastAsia="en-IN"/>
              </w:rPr>
            </w:pPr>
            <w:r>
              <w:rPr>
                <w:rFonts w:eastAsia="Times New Roman"/>
                <w:kern w:val="0"/>
                <w:sz w:val="20"/>
                <w:szCs w:val="18"/>
                <w:lang w:eastAsia="en-IN"/>
              </w:rPr>
              <w:t>8.92–19.98</w:t>
            </w:r>
          </w:p>
        </w:tc>
        <w:tc>
          <w:tcPr>
            <w:tcW w:w="1763" w:type="dxa"/>
            <w:tcBorders>
              <w:top w:val="single" w:color="000000" w:sz="4" w:space="0"/>
              <w:left w:val="single" w:color="000000" w:sz="4" w:space="0"/>
              <w:bottom w:val="single" w:color="000000" w:sz="4" w:space="0"/>
              <w:right w:val="single" w:color="000000" w:sz="4" w:space="0"/>
            </w:tcBorders>
          </w:tcPr>
          <w:p w14:paraId="52883DD6">
            <w:pPr>
              <w:spacing w:after="0" w:line="360" w:lineRule="auto"/>
              <w:jc w:val="center"/>
              <w:rPr>
                <w:rFonts w:eastAsia="Times New Roman"/>
                <w:kern w:val="0"/>
                <w:sz w:val="18"/>
                <w:szCs w:val="18"/>
                <w:lang w:eastAsia="en-IN"/>
              </w:rPr>
            </w:pPr>
            <w:r>
              <w:rPr>
                <w:rFonts w:eastAsia="Times New Roman"/>
                <w:kern w:val="0"/>
                <w:sz w:val="20"/>
                <w:szCs w:val="18"/>
                <w:lang w:eastAsia="en-IN"/>
              </w:rPr>
              <w:t>5.54–10.78</w:t>
            </w:r>
          </w:p>
        </w:tc>
        <w:tc>
          <w:tcPr>
            <w:tcW w:w="1569" w:type="dxa"/>
            <w:tcBorders>
              <w:top w:val="single" w:color="000000" w:sz="4" w:space="0"/>
              <w:left w:val="single" w:color="000000" w:sz="4" w:space="0"/>
              <w:bottom w:val="single" w:color="000000" w:sz="4" w:space="0"/>
              <w:right w:val="single" w:color="000000" w:sz="4" w:space="0"/>
            </w:tcBorders>
          </w:tcPr>
          <w:p w14:paraId="4FB92DFB">
            <w:pPr>
              <w:spacing w:after="0" w:line="360" w:lineRule="auto"/>
              <w:jc w:val="center"/>
              <w:rPr>
                <w:rFonts w:eastAsia="Times New Roman"/>
                <w:kern w:val="0"/>
                <w:sz w:val="18"/>
                <w:szCs w:val="18"/>
                <w:lang w:eastAsia="en-IN"/>
              </w:rPr>
            </w:pPr>
            <w:r>
              <w:rPr>
                <w:rFonts w:eastAsia="Times New Roman"/>
                <w:kern w:val="0"/>
                <w:sz w:val="20"/>
                <w:szCs w:val="18"/>
                <w:lang w:eastAsia="en-IN"/>
              </w:rPr>
              <w:t>1.37–3.07</w:t>
            </w:r>
          </w:p>
        </w:tc>
        <w:tc>
          <w:tcPr>
            <w:tcW w:w="1823" w:type="dxa"/>
            <w:tcBorders>
              <w:top w:val="single" w:color="000000" w:sz="4" w:space="0"/>
              <w:left w:val="single" w:color="000000" w:sz="4" w:space="0"/>
              <w:bottom w:val="single" w:color="000000" w:sz="4" w:space="0"/>
              <w:right w:val="single" w:color="000000" w:sz="4" w:space="0"/>
            </w:tcBorders>
          </w:tcPr>
          <w:p w14:paraId="0E25DDF6">
            <w:pPr>
              <w:spacing w:after="0" w:line="360" w:lineRule="auto"/>
              <w:jc w:val="center"/>
              <w:rPr>
                <w:rFonts w:eastAsia="Times New Roman"/>
                <w:kern w:val="0"/>
                <w:sz w:val="18"/>
                <w:szCs w:val="18"/>
                <w:lang w:eastAsia="en-IN"/>
              </w:rPr>
            </w:pPr>
            <w:r>
              <w:rPr>
                <w:rFonts w:eastAsia="Times New Roman"/>
                <w:kern w:val="0"/>
                <w:sz w:val="20"/>
                <w:szCs w:val="18"/>
                <w:lang w:eastAsia="en-IN"/>
              </w:rPr>
              <w:t>47.62–99.11</w:t>
            </w:r>
          </w:p>
        </w:tc>
      </w:tr>
      <w:tr w14:paraId="309FBB99">
        <w:tblPrEx>
          <w:tblCellMar>
            <w:top w:w="0" w:type="dxa"/>
            <w:left w:w="108" w:type="dxa"/>
            <w:bottom w:w="0" w:type="dxa"/>
            <w:right w:w="108" w:type="dxa"/>
          </w:tblCellMar>
        </w:tblPrEx>
        <w:trPr>
          <w:trHeight w:val="283"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4DBC3F3F">
            <w:pPr>
              <w:spacing w:after="0" w:line="360" w:lineRule="auto"/>
              <w:jc w:val="center"/>
              <w:rPr>
                <w:rFonts w:eastAsia="Times New Roman"/>
                <w:kern w:val="0"/>
                <w:sz w:val="18"/>
                <w:szCs w:val="18"/>
                <w:lang w:eastAsia="en-IN"/>
              </w:rPr>
            </w:pPr>
            <w:r>
              <w:rPr>
                <w:rFonts w:eastAsia="Times New Roman"/>
                <w:kern w:val="0"/>
                <w:sz w:val="20"/>
                <w:szCs w:val="18"/>
                <w:lang w:eastAsia="en-IN"/>
              </w:rPr>
              <w:t>S.E. (m.)</w:t>
            </w:r>
          </w:p>
        </w:tc>
        <w:tc>
          <w:tcPr>
            <w:tcW w:w="1821" w:type="dxa"/>
            <w:tcBorders>
              <w:top w:val="single" w:color="000000" w:sz="4" w:space="0"/>
              <w:left w:val="single" w:color="000000" w:sz="4" w:space="0"/>
              <w:bottom w:val="single" w:color="000000" w:sz="4" w:space="0"/>
              <w:right w:val="single" w:color="000000" w:sz="4" w:space="0"/>
            </w:tcBorders>
          </w:tcPr>
          <w:p w14:paraId="49D3416E">
            <w:pPr>
              <w:spacing w:after="0" w:line="360" w:lineRule="auto"/>
              <w:jc w:val="center"/>
              <w:rPr>
                <w:rFonts w:eastAsia="Times New Roman"/>
                <w:kern w:val="0"/>
                <w:sz w:val="18"/>
                <w:szCs w:val="18"/>
                <w:lang w:eastAsia="en-IN"/>
              </w:rPr>
            </w:pPr>
            <w:r>
              <w:rPr>
                <w:rFonts w:eastAsia="Times New Roman"/>
                <w:kern w:val="0"/>
                <w:sz w:val="20"/>
                <w:szCs w:val="18"/>
                <w:lang w:eastAsia="en-IN"/>
              </w:rPr>
              <w:t>0.73</w:t>
            </w:r>
          </w:p>
        </w:tc>
        <w:tc>
          <w:tcPr>
            <w:tcW w:w="1763" w:type="dxa"/>
            <w:tcBorders>
              <w:top w:val="single" w:color="000000" w:sz="4" w:space="0"/>
              <w:left w:val="single" w:color="000000" w:sz="4" w:space="0"/>
              <w:bottom w:val="single" w:color="000000" w:sz="4" w:space="0"/>
              <w:right w:val="single" w:color="000000" w:sz="4" w:space="0"/>
            </w:tcBorders>
          </w:tcPr>
          <w:p w14:paraId="4882083B">
            <w:pPr>
              <w:spacing w:after="0" w:line="360" w:lineRule="auto"/>
              <w:jc w:val="center"/>
              <w:rPr>
                <w:rFonts w:eastAsia="Times New Roman"/>
                <w:kern w:val="0"/>
                <w:sz w:val="18"/>
                <w:szCs w:val="18"/>
                <w:lang w:eastAsia="en-IN"/>
              </w:rPr>
            </w:pPr>
            <w:r>
              <w:rPr>
                <w:rFonts w:eastAsia="Times New Roman"/>
                <w:kern w:val="0"/>
                <w:sz w:val="20"/>
                <w:szCs w:val="18"/>
                <w:lang w:eastAsia="en-IN"/>
              </w:rPr>
              <w:t>0.39</w:t>
            </w:r>
          </w:p>
        </w:tc>
        <w:tc>
          <w:tcPr>
            <w:tcW w:w="1569" w:type="dxa"/>
            <w:tcBorders>
              <w:top w:val="single" w:color="000000" w:sz="4" w:space="0"/>
              <w:left w:val="single" w:color="000000" w:sz="4" w:space="0"/>
              <w:bottom w:val="single" w:color="000000" w:sz="4" w:space="0"/>
              <w:right w:val="single" w:color="000000" w:sz="4" w:space="0"/>
            </w:tcBorders>
          </w:tcPr>
          <w:p w14:paraId="3F828F28">
            <w:pPr>
              <w:spacing w:after="0" w:line="360" w:lineRule="auto"/>
              <w:jc w:val="center"/>
              <w:rPr>
                <w:rFonts w:eastAsia="Times New Roman"/>
                <w:kern w:val="0"/>
                <w:sz w:val="18"/>
                <w:szCs w:val="18"/>
                <w:lang w:eastAsia="en-IN"/>
              </w:rPr>
            </w:pPr>
            <w:r>
              <w:rPr>
                <w:rFonts w:eastAsia="Times New Roman"/>
                <w:kern w:val="0"/>
                <w:sz w:val="18"/>
                <w:szCs w:val="18"/>
                <w:lang w:eastAsia="en-IN"/>
              </w:rPr>
              <w:t>0.07</w:t>
            </w:r>
          </w:p>
        </w:tc>
        <w:tc>
          <w:tcPr>
            <w:tcW w:w="1823" w:type="dxa"/>
            <w:tcBorders>
              <w:top w:val="single" w:color="000000" w:sz="4" w:space="0"/>
              <w:left w:val="single" w:color="000000" w:sz="4" w:space="0"/>
              <w:bottom w:val="single" w:color="000000" w:sz="4" w:space="0"/>
              <w:right w:val="single" w:color="000000" w:sz="4" w:space="0"/>
            </w:tcBorders>
          </w:tcPr>
          <w:p w14:paraId="0EBAD590">
            <w:pPr>
              <w:spacing w:after="0" w:line="360" w:lineRule="auto"/>
              <w:jc w:val="center"/>
              <w:rPr>
                <w:rFonts w:eastAsia="Times New Roman"/>
                <w:kern w:val="0"/>
                <w:sz w:val="18"/>
                <w:szCs w:val="18"/>
                <w:lang w:eastAsia="en-IN"/>
              </w:rPr>
            </w:pPr>
            <w:r>
              <w:rPr>
                <w:rFonts w:eastAsia="Times New Roman"/>
                <w:kern w:val="0"/>
                <w:sz w:val="18"/>
                <w:szCs w:val="18"/>
                <w:lang w:eastAsia="en-IN"/>
              </w:rPr>
              <w:t>2.52</w:t>
            </w:r>
          </w:p>
        </w:tc>
      </w:tr>
      <w:tr w14:paraId="7AD90AD0">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AEC9E97">
            <w:pPr>
              <w:spacing w:after="0" w:line="360" w:lineRule="auto"/>
              <w:jc w:val="center"/>
              <w:rPr>
                <w:rFonts w:eastAsia="Times New Roman"/>
                <w:kern w:val="0"/>
                <w:sz w:val="18"/>
                <w:szCs w:val="18"/>
                <w:lang w:eastAsia="en-IN"/>
              </w:rPr>
            </w:pPr>
            <w:r>
              <w:rPr>
                <w:rFonts w:eastAsia="Times New Roman"/>
                <w:kern w:val="0"/>
                <w:sz w:val="20"/>
                <w:szCs w:val="18"/>
                <w:lang w:eastAsia="en-IN"/>
              </w:rPr>
              <w:t>C.D. (P = 0.05)</w:t>
            </w:r>
          </w:p>
        </w:tc>
        <w:tc>
          <w:tcPr>
            <w:tcW w:w="1821" w:type="dxa"/>
            <w:tcBorders>
              <w:top w:val="single" w:color="000000" w:sz="4" w:space="0"/>
              <w:left w:val="single" w:color="000000" w:sz="4" w:space="0"/>
              <w:bottom w:val="single" w:color="000000" w:sz="4" w:space="0"/>
              <w:right w:val="single" w:color="000000" w:sz="4" w:space="0"/>
            </w:tcBorders>
          </w:tcPr>
          <w:p w14:paraId="628D0808">
            <w:pPr>
              <w:spacing w:after="0" w:line="360" w:lineRule="auto"/>
              <w:jc w:val="center"/>
              <w:rPr>
                <w:rFonts w:eastAsia="Times New Roman"/>
                <w:kern w:val="0"/>
                <w:sz w:val="18"/>
                <w:szCs w:val="18"/>
                <w:lang w:eastAsia="en-IN"/>
              </w:rPr>
            </w:pPr>
            <w:r>
              <w:rPr>
                <w:rFonts w:eastAsia="Times New Roman"/>
                <w:kern w:val="0"/>
                <w:sz w:val="20"/>
                <w:szCs w:val="18"/>
                <w:lang w:eastAsia="en-IN"/>
              </w:rPr>
              <w:t>2.07</w:t>
            </w:r>
          </w:p>
        </w:tc>
        <w:tc>
          <w:tcPr>
            <w:tcW w:w="1763" w:type="dxa"/>
            <w:tcBorders>
              <w:top w:val="single" w:color="000000" w:sz="4" w:space="0"/>
              <w:left w:val="single" w:color="000000" w:sz="4" w:space="0"/>
              <w:bottom w:val="single" w:color="000000" w:sz="4" w:space="0"/>
              <w:right w:val="single" w:color="000000" w:sz="4" w:space="0"/>
            </w:tcBorders>
          </w:tcPr>
          <w:p w14:paraId="5779FA70">
            <w:pPr>
              <w:spacing w:after="0" w:line="360" w:lineRule="auto"/>
              <w:jc w:val="center"/>
              <w:rPr>
                <w:rFonts w:eastAsia="Times New Roman"/>
                <w:kern w:val="0"/>
                <w:sz w:val="18"/>
                <w:szCs w:val="18"/>
                <w:lang w:eastAsia="en-IN"/>
              </w:rPr>
            </w:pPr>
            <w:r>
              <w:rPr>
                <w:rFonts w:eastAsia="Times New Roman"/>
                <w:kern w:val="0"/>
                <w:sz w:val="20"/>
                <w:szCs w:val="18"/>
                <w:lang w:eastAsia="en-IN"/>
              </w:rPr>
              <w:t>1.10</w:t>
            </w:r>
          </w:p>
        </w:tc>
        <w:tc>
          <w:tcPr>
            <w:tcW w:w="1569" w:type="dxa"/>
            <w:tcBorders>
              <w:top w:val="single" w:color="000000" w:sz="4" w:space="0"/>
              <w:left w:val="single" w:color="000000" w:sz="4" w:space="0"/>
              <w:bottom w:val="single" w:color="000000" w:sz="4" w:space="0"/>
              <w:right w:val="single" w:color="000000" w:sz="4" w:space="0"/>
            </w:tcBorders>
          </w:tcPr>
          <w:p w14:paraId="7D898B3A">
            <w:pPr>
              <w:spacing w:after="0" w:line="360" w:lineRule="auto"/>
              <w:jc w:val="center"/>
              <w:rPr>
                <w:rFonts w:eastAsia="Times New Roman"/>
                <w:kern w:val="0"/>
                <w:sz w:val="18"/>
                <w:szCs w:val="18"/>
                <w:lang w:eastAsia="en-IN"/>
              </w:rPr>
            </w:pPr>
            <w:r>
              <w:rPr>
                <w:rFonts w:eastAsia="Times New Roman"/>
                <w:kern w:val="0"/>
                <w:sz w:val="18"/>
                <w:szCs w:val="18"/>
                <w:lang w:eastAsia="en-IN"/>
              </w:rPr>
              <w:t>0.19</w:t>
            </w:r>
          </w:p>
        </w:tc>
        <w:tc>
          <w:tcPr>
            <w:tcW w:w="1823" w:type="dxa"/>
            <w:tcBorders>
              <w:top w:val="single" w:color="000000" w:sz="4" w:space="0"/>
              <w:left w:val="single" w:color="000000" w:sz="4" w:space="0"/>
              <w:bottom w:val="single" w:color="000000" w:sz="4" w:space="0"/>
              <w:right w:val="single" w:color="000000" w:sz="4" w:space="0"/>
            </w:tcBorders>
          </w:tcPr>
          <w:p w14:paraId="20AF2988">
            <w:pPr>
              <w:spacing w:after="0" w:line="360" w:lineRule="auto"/>
              <w:jc w:val="center"/>
              <w:rPr>
                <w:rFonts w:eastAsia="Times New Roman"/>
                <w:kern w:val="0"/>
                <w:sz w:val="18"/>
                <w:szCs w:val="18"/>
                <w:lang w:eastAsia="en-IN"/>
              </w:rPr>
            </w:pPr>
            <w:r>
              <w:rPr>
                <w:rFonts w:eastAsia="Times New Roman"/>
                <w:kern w:val="0"/>
                <w:sz w:val="18"/>
                <w:szCs w:val="18"/>
                <w:lang w:eastAsia="en-IN"/>
              </w:rPr>
              <w:t>7.17</w:t>
            </w:r>
          </w:p>
        </w:tc>
      </w:tr>
      <w:tr w14:paraId="0C130281">
        <w:tblPrEx>
          <w:tblCellMar>
            <w:top w:w="0" w:type="dxa"/>
            <w:left w:w="108" w:type="dxa"/>
            <w:bottom w:w="0" w:type="dxa"/>
            <w:right w:w="108" w:type="dxa"/>
          </w:tblCellMar>
        </w:tblPrEx>
        <w:trPr>
          <w:trHeight w:val="274" w:hRule="atLeast"/>
          <w:jc w:val="center"/>
        </w:trPr>
        <w:tc>
          <w:tcPr>
            <w:tcW w:w="1839" w:type="dxa"/>
            <w:tcBorders>
              <w:top w:val="single" w:color="000000" w:sz="4" w:space="0"/>
              <w:left w:val="single" w:color="000000" w:sz="4" w:space="0"/>
              <w:bottom w:val="single" w:color="000000" w:sz="4" w:space="0"/>
              <w:right w:val="single" w:color="000000" w:sz="4" w:space="0"/>
            </w:tcBorders>
          </w:tcPr>
          <w:p w14:paraId="7380C78B">
            <w:pPr>
              <w:spacing w:after="0" w:line="360" w:lineRule="auto"/>
              <w:jc w:val="center"/>
              <w:rPr>
                <w:rFonts w:eastAsia="Times New Roman"/>
                <w:kern w:val="0"/>
                <w:sz w:val="18"/>
                <w:szCs w:val="18"/>
                <w:lang w:eastAsia="en-IN"/>
              </w:rPr>
            </w:pPr>
            <w:r>
              <w:rPr>
                <w:rFonts w:eastAsia="Times New Roman"/>
                <w:kern w:val="0"/>
                <w:sz w:val="20"/>
                <w:szCs w:val="18"/>
                <w:lang w:eastAsia="en-IN"/>
              </w:rPr>
              <w:t>C.V. (%)</w:t>
            </w:r>
          </w:p>
        </w:tc>
        <w:tc>
          <w:tcPr>
            <w:tcW w:w="1821" w:type="dxa"/>
            <w:tcBorders>
              <w:top w:val="single" w:color="000000" w:sz="4" w:space="0"/>
              <w:left w:val="single" w:color="000000" w:sz="4" w:space="0"/>
              <w:bottom w:val="single" w:color="000000" w:sz="4" w:space="0"/>
              <w:right w:val="single" w:color="000000" w:sz="4" w:space="0"/>
            </w:tcBorders>
          </w:tcPr>
          <w:p w14:paraId="2E74149C">
            <w:pPr>
              <w:spacing w:after="0" w:line="360" w:lineRule="auto"/>
              <w:jc w:val="center"/>
              <w:rPr>
                <w:rFonts w:eastAsia="Times New Roman"/>
                <w:kern w:val="0"/>
                <w:sz w:val="18"/>
                <w:szCs w:val="18"/>
                <w:lang w:eastAsia="en-IN"/>
              </w:rPr>
            </w:pPr>
            <w:r>
              <w:rPr>
                <w:rFonts w:eastAsia="Times New Roman"/>
                <w:kern w:val="0"/>
                <w:sz w:val="20"/>
                <w:szCs w:val="18"/>
                <w:lang w:eastAsia="en-IN"/>
              </w:rPr>
              <w:t>8.82</w:t>
            </w:r>
          </w:p>
        </w:tc>
        <w:tc>
          <w:tcPr>
            <w:tcW w:w="1763" w:type="dxa"/>
            <w:tcBorders>
              <w:top w:val="single" w:color="000000" w:sz="4" w:space="0"/>
              <w:left w:val="single" w:color="000000" w:sz="4" w:space="0"/>
              <w:bottom w:val="single" w:color="000000" w:sz="4" w:space="0"/>
              <w:right w:val="single" w:color="000000" w:sz="4" w:space="0"/>
            </w:tcBorders>
          </w:tcPr>
          <w:p w14:paraId="36477AEA">
            <w:pPr>
              <w:spacing w:after="0" w:line="360" w:lineRule="auto"/>
              <w:jc w:val="center"/>
              <w:rPr>
                <w:rFonts w:eastAsia="Times New Roman"/>
                <w:kern w:val="0"/>
                <w:sz w:val="18"/>
                <w:szCs w:val="18"/>
                <w:lang w:eastAsia="en-IN"/>
              </w:rPr>
            </w:pPr>
            <w:r>
              <w:rPr>
                <w:rFonts w:eastAsia="Times New Roman"/>
                <w:kern w:val="0"/>
                <w:sz w:val="20"/>
                <w:szCs w:val="18"/>
                <w:lang w:eastAsia="en-IN"/>
              </w:rPr>
              <w:t>8.61</w:t>
            </w:r>
          </w:p>
        </w:tc>
        <w:tc>
          <w:tcPr>
            <w:tcW w:w="1569" w:type="dxa"/>
            <w:tcBorders>
              <w:top w:val="single" w:color="000000" w:sz="4" w:space="0"/>
              <w:left w:val="single" w:color="000000" w:sz="4" w:space="0"/>
              <w:bottom w:val="single" w:color="000000" w:sz="4" w:space="0"/>
              <w:right w:val="single" w:color="000000" w:sz="4" w:space="0"/>
            </w:tcBorders>
          </w:tcPr>
          <w:p w14:paraId="6F433F77">
            <w:pPr>
              <w:spacing w:after="0" w:line="360" w:lineRule="auto"/>
              <w:jc w:val="center"/>
              <w:rPr>
                <w:rFonts w:eastAsia="Times New Roman"/>
                <w:kern w:val="0"/>
                <w:sz w:val="18"/>
                <w:szCs w:val="18"/>
                <w:lang w:eastAsia="en-IN"/>
              </w:rPr>
            </w:pPr>
            <w:r>
              <w:rPr>
                <w:rFonts w:eastAsia="Times New Roman"/>
                <w:kern w:val="0"/>
                <w:sz w:val="18"/>
                <w:szCs w:val="18"/>
                <w:lang w:eastAsia="en-IN"/>
              </w:rPr>
              <w:t>6.10</w:t>
            </w:r>
          </w:p>
        </w:tc>
        <w:tc>
          <w:tcPr>
            <w:tcW w:w="1823" w:type="dxa"/>
            <w:tcBorders>
              <w:top w:val="single" w:color="000000" w:sz="4" w:space="0"/>
              <w:left w:val="single" w:color="000000" w:sz="4" w:space="0"/>
              <w:bottom w:val="single" w:color="000000" w:sz="4" w:space="0"/>
              <w:right w:val="single" w:color="000000" w:sz="4" w:space="0"/>
            </w:tcBorders>
          </w:tcPr>
          <w:p w14:paraId="01E6BDFB">
            <w:pPr>
              <w:spacing w:after="0" w:line="360" w:lineRule="auto"/>
              <w:jc w:val="center"/>
              <w:rPr>
                <w:rFonts w:eastAsia="Times New Roman"/>
                <w:kern w:val="0"/>
                <w:sz w:val="18"/>
                <w:szCs w:val="18"/>
                <w:lang w:eastAsia="en-IN"/>
              </w:rPr>
            </w:pPr>
            <w:r>
              <w:rPr>
                <w:rFonts w:eastAsia="Times New Roman"/>
                <w:kern w:val="0"/>
                <w:sz w:val="18"/>
                <w:szCs w:val="18"/>
                <w:lang w:eastAsia="en-IN"/>
              </w:rPr>
              <w:t>6.23</w:t>
            </w:r>
          </w:p>
        </w:tc>
      </w:tr>
    </w:tbl>
    <w:p w14:paraId="5053CACF">
      <w:pPr>
        <w:spacing w:after="120" w:line="360" w:lineRule="auto"/>
        <w:jc w:val="both"/>
        <w:rPr>
          <w:b/>
          <w:bCs/>
        </w:rPr>
      </w:pPr>
    </w:p>
    <w:p w14:paraId="39983DA8">
      <w:pPr>
        <w:spacing w:after="0" w:line="360" w:lineRule="auto"/>
        <w:jc w:val="both"/>
        <w:rPr>
          <w:b/>
          <w:bCs/>
        </w:rPr>
      </w:pPr>
      <w:r>
        <w:rPr>
          <w:b/>
          <w:bCs/>
        </w:rPr>
        <w:t xml:space="preserve">Among the all 26 genotypes showed significant variation with respect to </w:t>
      </w:r>
    </w:p>
    <w:p w14:paraId="2082381D">
      <w:pPr>
        <w:spacing w:after="0" w:line="360" w:lineRule="auto"/>
        <w:ind w:firstLine="720"/>
        <w:jc w:val="both"/>
        <w:rPr>
          <w:b/>
          <w:bCs/>
        </w:rPr>
      </w:pPr>
    </w:p>
    <w:p w14:paraId="3EAF8175">
      <w:pPr>
        <w:spacing w:after="0" w:line="360" w:lineRule="auto"/>
        <w:ind w:firstLine="720"/>
        <w:jc w:val="both"/>
      </w:pPr>
    </w:p>
    <w:p w14:paraId="6E0645EF">
      <w:pPr>
        <w:spacing w:after="0" w:line="360" w:lineRule="auto"/>
        <w:ind w:firstLine="720"/>
        <w:jc w:val="both"/>
      </w:pPr>
      <w:r>
        <w:t>Leaf blade length ranged from 8.92 to 19.98 cm, with a mean of 14.37 cm. JAP-1 recorded the maximum length (19.98 cm), whereas Honey dew recorded the minimum (8.92 cm). Leaf blade width ranged from 5.54 to 10.78 cm, with a mean of 7.90 cm. Yellow round recorded the maximum width (10.78 cm), while Roja recorded the minimum (5.54 cm).Petiole length ranged from 1.37 to 3.07 cm. Eddi pasand recorded the maximum length (3.07 cm), whereas Thailand recorded the minimum (1.37 cm).</w:t>
      </w:r>
    </w:p>
    <w:p w14:paraId="01B5D944">
      <w:pPr>
        <w:spacing w:after="0" w:line="360" w:lineRule="auto"/>
        <w:jc w:val="both"/>
        <w:rPr>
          <w:b/>
          <w:bCs/>
        </w:rPr>
      </w:pPr>
    </w:p>
    <w:p w14:paraId="385CA77F">
      <w:pPr>
        <w:spacing w:after="0" w:line="360" w:lineRule="auto"/>
        <w:ind w:firstLine="720"/>
        <w:jc w:val="both"/>
      </w:pPr>
      <w:r>
        <w:t>SPAD readings ranged from 47.62 to 99.11, with a reported mean of 70.16. ARPJ-7 recorded the highest reading (99.11) and Thailand recorded the lowest reading (47.62). SPAD readings provide relative estimates of leaf greenness and should not be interpreted as direct chlorophyll concentrations unless calibrated against direct chlorophyll measurements.</w:t>
      </w:r>
    </w:p>
    <w:p w14:paraId="559289E8">
      <w:pPr>
        <w:spacing w:after="0" w:line="360" w:lineRule="auto"/>
        <w:ind w:firstLine="720"/>
        <w:jc w:val="both"/>
      </w:pPr>
    </w:p>
    <w:p w14:paraId="71C160CB">
      <w:pPr>
        <w:spacing w:after="120"/>
      </w:pPr>
      <w:commentRangeStart w:id="7"/>
      <w:r>
        <w:rPr>
          <w:sz w:val="22"/>
        </w:rPr>
        <w:t>The observed differences in leaf dimensions are broadly consistent with reports of morphological variability in jackfruit collections from Uttarakhand and Tripura, although differences in plant age, site conditions and sampling methods limit direct numerical comparisons (Roy et al., 2021; Singh et al., 2018). Evaluating blade length and width jointly is relevant because individual dimensions do not fully capture leaf form, as emphasised in morphometric studies of leaf size and shape (Chuanromanee et al., 2019). The SPAD differences should likewise be treated as relative greenness indices: the relationship between meter readings and extracted chlorophyll can depend on leaf structure and calibration (Markwell et al., 1995; Richardson et al., 2002). Consequently, the present SPAD rankings cannot, on their own, establish differences in absolute pigment concentration or photosynthetic capacity.</w:t>
      </w:r>
      <w:commentRangeEnd w:id="7"/>
      <w:r>
        <w:commentReference w:id="7"/>
      </w:r>
    </w:p>
    <w:p w14:paraId="22AB51F2">
      <w:pPr>
        <w:keepNext/>
        <w:keepLines/>
        <w:spacing w:after="0" w:line="360" w:lineRule="auto"/>
        <w:jc w:val="both"/>
      </w:pPr>
      <w:r>
        <w:rPr>
          <w:b/>
          <w:bCs/>
        </w:rPr>
        <w:t>3.3. Implications for morphological characterization</w:t>
      </w:r>
    </w:p>
    <w:p w14:paraId="217370AE">
      <w:pPr>
        <w:spacing w:after="0" w:line="360" w:lineRule="auto"/>
        <w:ind w:firstLine="720"/>
        <w:jc w:val="both"/>
      </w:pPr>
      <w:r>
        <w:t>The combined assessment of quantitative and qualitative traits showed variation among the 26 genotypes. JAP-1 had the longest leaf blades, Yellow round had the widest blades, Eddi pasand had the longest petioles, and ARPJ-7 had the highest SPAD reading. These traits may be useful for preliminary phenotypic description, although selection decisions require consideration of the full dataset and additional evidence.</w:t>
      </w:r>
    </w:p>
    <w:p w14:paraId="64B68CCA">
      <w:pPr>
        <w:spacing w:after="120"/>
      </w:pPr>
      <w:commentRangeStart w:id="8"/>
      <w:r>
        <w:rPr>
          <w:sz w:val="22"/>
        </w:rPr>
        <w:t>The combination of qualitative descriptors, dimensions and SPAD readings provides a preliminary profile of contrasting jackfruit accessions, consistent with the use of multiple morphological descriptors in germplasm studies (Nakintu et al., 2023; Singh et al., 2018). Nevertheless, similarity in observable traits should not be equated with genetic identity: jackfruit investigations using molecular markers have shown that morphological and genetic relationships can differ (Gwokyalya et al., 2024; Shyamalamma et al., 2008). The present observations are therefore most appropriately used to prioritise genotypes for further evaluation rather than to make definitive claims about genetic superiority.</w:t>
      </w:r>
      <w:commentRangeEnd w:id="8"/>
      <w:r>
        <w:commentReference w:id="8"/>
      </w:r>
    </w:p>
    <w:p w14:paraId="4A440975">
      <w:pPr>
        <w:keepNext/>
        <w:keepLines/>
        <w:spacing w:after="0" w:line="360" w:lineRule="auto"/>
        <w:jc w:val="both"/>
        <w:rPr>
          <w:b/>
          <w:bCs/>
        </w:rPr>
      </w:pPr>
      <w:r>
        <w:rPr>
          <w:b/>
          <w:bCs/>
        </w:rPr>
        <w:t>3.4. Correlation Analysis</w:t>
      </w:r>
    </w:p>
    <w:p w14:paraId="2F2BB2CF">
      <w:pPr>
        <w:spacing w:after="0" w:line="360" w:lineRule="auto"/>
        <w:jc w:val="both"/>
        <w:rPr>
          <w:bCs/>
        </w:rPr>
      </w:pPr>
      <w:r>
        <w:t>Correlation analysis showed positive relationships among the four quantitative traits (Figure 2). The strongest positive correlation was between leaf blade length and leaf blade width (r = 0.60). Petiole length was positively correlated with leaf blade width (r = 0.30), SPAD reading (r = 0.25) and leaf blade length (r = 0.22). SPAD reading was positively correlated with leaf blade length (r = 0.25) and width (r = 0.18). These coefficients describe associations and do not establish causal relationships.</w:t>
      </w:r>
    </w:p>
    <w:p w14:paraId="3A7778DB">
      <w:pPr>
        <w:spacing w:after="120"/>
      </w:pPr>
      <w:commentRangeStart w:id="9"/>
      <w:r>
        <w:rPr>
          <w:sz w:val="22"/>
        </w:rPr>
        <w:t>The moderate association between blade length and width is compatible with partial covariation in leaf size; it does not imply that the two measurements are interchangeable. Leaf morphometric research has highlighted the value of analysing related size and shape measurements together, while also recognising variation associated with growing conditions (Chuanromanee et al., 2019; Gupta et al., 2020). In a separate jackfruit study, correlation analysis was combined with multivariate approaches to characterise morphological differences, underscoring the descriptive value of interpreting several traits jointly (Ullah et al., 2025). The current coefficients therefore warrant cautious interpretation, particularly in the absence of multi-environment observations.</w:t>
      </w:r>
      <w:commentRangeEnd w:id="9"/>
      <w:r>
        <w:commentReference w:id="9"/>
      </w:r>
    </w:p>
    <w:p w14:paraId="1464323E">
      <w:pPr>
        <w:spacing w:after="120" w:line="360" w:lineRule="auto"/>
        <w:jc w:val="both"/>
        <w:rPr>
          <w:bCs/>
          <w:lang w:val="en-US" w:eastAsia="en-US"/>
        </w:rPr>
      </w:pPr>
      <w:r>
        <w:pict>
          <v:shape id="Picture 1" o:spid="_x0000_s2050" o:spt="75" type="#_x0000_t75" style="position:absolute;left:0pt;margin-left:8.15pt;margin-top:1.15pt;height:332.5pt;width:417.6pt;mso-position-horizontal-relative:margin;mso-wrap-distance-left:9.05pt;mso-wrap-distance-right:9.05pt;z-index:-251657216;mso-width-relative:page;mso-height-relative:page;" filled="f" o:preferrelative="t" stroked="f" coordsize="21600,21600" wrapcoords="-39 0 -39 21551 21600 21551 21600 0 -39 0" o:allowincell="f">
            <v:path/>
            <v:fill on="f" focussize="0,0"/>
            <v:stroke on="f" joinstyle="miter"/>
            <v:imagedata r:id="rId15" cropleft="-5f" croptop="-6f" cropright="-5f" cropbottom="-6f" o:title=""/>
            <o:lock v:ext="edit" aspectratio="t"/>
            <w10:wrap type="tight"/>
          </v:shape>
        </w:pict>
      </w:r>
    </w:p>
    <w:p w14:paraId="62E82F57">
      <w:pPr>
        <w:spacing w:after="120" w:line="360" w:lineRule="auto"/>
        <w:jc w:val="both"/>
        <w:rPr>
          <w:rFonts w:eastAsia="Times New Roman"/>
        </w:rPr>
      </w:pPr>
      <w:r>
        <w:rPr>
          <w:rFonts w:eastAsia="Times New Roman"/>
        </w:rPr>
        <w:t xml:space="preserve"> </w:t>
      </w:r>
    </w:p>
    <w:p w14:paraId="006D0D01">
      <w:pPr>
        <w:spacing w:after="0" w:line="360" w:lineRule="auto"/>
        <w:jc w:val="both"/>
      </w:pPr>
      <w:r>
        <w:t>Figure 2. Pearson correlation matrix showing the relationships among four quantitative leaf traits of 26 jackfruit genotypes</w:t>
      </w:r>
    </w:p>
    <w:p w14:paraId="72987E28">
      <w:pPr>
        <w:keepNext/>
        <w:keepLines/>
        <w:spacing w:after="0" w:line="360" w:lineRule="auto"/>
        <w:jc w:val="both"/>
        <w:rPr>
          <w:b/>
          <w:bCs/>
        </w:rPr>
      </w:pPr>
      <w:r>
        <w:rPr>
          <w:b/>
          <w:bCs/>
        </w:rPr>
        <w:t>3.5. Principal Component Analysis (PCA)</w:t>
      </w:r>
    </w:p>
    <w:p w14:paraId="5F2CB779">
      <w:pPr>
        <w:spacing w:after="0" w:line="360" w:lineRule="auto"/>
        <w:jc w:val="both"/>
      </w:pPr>
      <w:r>
        <w:t xml:space="preserve">Principal component analysis (PCA) summarized variation among the 26 genotypes based on the four quantitative traits. The first principal component explained 48.3% of the total variation and the second explained 23.0%; together, they accounted for 71.3%. Leaf blade length and width were oriented towards the positive sides of both components, whereas petiole length and SPAD reading were oriented towards the positive side of the first component and negative side of the second. JAP-1 was positioned towards the positive extreme of the first component, while ARPJ-4 was located towards the negative extreme of the second. </w:t>
      </w:r>
    </w:p>
    <w:p w14:paraId="51877466">
      <w:pPr>
        <w:spacing w:after="120"/>
      </w:pPr>
      <w:commentRangeStart w:id="10"/>
      <w:r>
        <w:rPr>
          <w:sz w:val="22"/>
        </w:rPr>
        <w:t>The first two components retain a substantial proportion of the measured variation, but the remaining 28.7% is not displayed in the two-dimensional biplot. Comparable jackfruit research has used PCA to summarise multivariate phenotypic patterns and to identify accessions differing in measured characteristics (Karunakaran et al., 2025; Ullah et al., 2025). Nevertheless, separation on an ordination plot represents phenotypic contrast within the variables analysed rather than independent confirmation of genetic distinctness, a distinction reinforced by work comparing morphological and molecular information in jackfruit (Gwokyalya et al., 2024). The PCA interpretation should also be considered in relation to the standardisation of leaf dimensions and SPAD readings, which have different measurement scales.</w:t>
      </w:r>
      <w:commentRangeEnd w:id="10"/>
      <w:r>
        <w:commentReference w:id="10"/>
      </w:r>
    </w:p>
    <w:p w14:paraId="548945EB">
      <w:pPr>
        <w:keepNext/>
        <w:spacing w:after="0" w:line="360" w:lineRule="auto"/>
        <w:jc w:val="both"/>
        <w:rPr>
          <w:lang w:val="en-US" w:eastAsia="en-US"/>
        </w:rPr>
      </w:pPr>
      <w:r>
        <w:rPr>
          <w:lang w:val="en-US" w:eastAsia="en-US"/>
        </w:rPr>
        <w:pict>
          <v:shape id="_x0000_i1025" o:spt="75" type="#_x0000_t75" style="height:336.25pt;width:432pt;" filled="f" o:preferrelative="t" stroked="f" coordsize="21600,21600">
            <v:path/>
            <v:fill on="f" focussize="0,0"/>
            <v:stroke on="f" joinstyle="miter"/>
            <v:imagedata r:id="rId16" cropleft="-5f" croptop="-5f" cropright="-5f" cropbottom="-5f" o:title=""/>
            <o:lock v:ext="edit" aspectratio="t"/>
            <w10:wrap type="none"/>
            <w10:anchorlock/>
          </v:shape>
        </w:pict>
      </w:r>
    </w:p>
    <w:p w14:paraId="314C328C">
      <w:pPr>
        <w:keepNext/>
        <w:keepLines/>
        <w:spacing w:after="0" w:line="360" w:lineRule="auto"/>
        <w:jc w:val="both"/>
      </w:pPr>
      <w:r>
        <w:t>Figure 3. Principal component analysis (PCA) biplot showing the relationships among 26 jackfruit genotypes based on four quantitative leaf traits</w:t>
      </w:r>
    </w:p>
    <w:p w14:paraId="533BE718">
      <w:pPr>
        <w:spacing w:after="0" w:line="360" w:lineRule="auto"/>
        <w:jc w:val="both"/>
      </w:pPr>
    </w:p>
    <w:p w14:paraId="3C1D7370">
      <w:pPr>
        <w:spacing w:after="0" w:line="360" w:lineRule="auto"/>
        <w:jc w:val="both"/>
      </w:pPr>
    </w:p>
    <w:p w14:paraId="50E262DB">
      <w:pPr>
        <w:spacing w:after="0" w:line="360" w:lineRule="auto"/>
        <w:jc w:val="both"/>
      </w:pPr>
    </w:p>
    <w:p w14:paraId="17F75D3A">
      <w:pPr>
        <w:spacing w:after="0" w:line="360" w:lineRule="auto"/>
        <w:jc w:val="both"/>
      </w:pPr>
    </w:p>
    <w:p w14:paraId="07C0429B">
      <w:pPr>
        <w:spacing w:after="0" w:line="360" w:lineRule="auto"/>
        <w:jc w:val="both"/>
      </w:pPr>
    </w:p>
    <w:p w14:paraId="75C7E130">
      <w:pPr>
        <w:spacing w:after="0" w:line="360" w:lineRule="auto"/>
        <w:jc w:val="both"/>
      </w:pPr>
    </w:p>
    <w:p w14:paraId="1016E713">
      <w:pPr>
        <w:spacing w:after="0" w:line="360" w:lineRule="auto"/>
        <w:jc w:val="both"/>
      </w:pPr>
    </w:p>
    <w:p w14:paraId="59AB8876">
      <w:pPr>
        <w:spacing w:after="0" w:line="360" w:lineRule="auto"/>
        <w:jc w:val="both"/>
      </w:pPr>
    </w:p>
    <w:p w14:paraId="249EF86D">
      <w:pPr>
        <w:spacing w:after="0" w:line="360" w:lineRule="auto"/>
        <w:jc w:val="both"/>
      </w:pPr>
    </w:p>
    <w:p w14:paraId="01AD341C">
      <w:pPr>
        <w:spacing w:after="0" w:line="360" w:lineRule="auto"/>
        <w:jc w:val="both"/>
      </w:pPr>
    </w:p>
    <w:p w14:paraId="6CB4C6B9">
      <w:pPr>
        <w:spacing w:after="0" w:line="360" w:lineRule="auto"/>
        <w:jc w:val="both"/>
      </w:pPr>
    </w:p>
    <w:p w14:paraId="6E389C05">
      <w:pPr>
        <w:spacing w:after="0" w:line="360" w:lineRule="auto"/>
        <w:jc w:val="both"/>
      </w:pPr>
    </w:p>
    <w:p w14:paraId="0CC6637B">
      <w:pPr>
        <w:spacing w:after="0" w:line="360" w:lineRule="auto"/>
        <w:jc w:val="both"/>
      </w:pPr>
    </w:p>
    <w:p w14:paraId="31E31C4F">
      <w:pPr>
        <w:spacing w:after="0" w:line="360" w:lineRule="auto"/>
        <w:jc w:val="both"/>
      </w:pPr>
    </w:p>
    <w:p w14:paraId="70C1C622">
      <w:pPr>
        <w:keepNext/>
        <w:keepLines/>
        <w:spacing w:after="0" w:line="360" w:lineRule="auto"/>
        <w:jc w:val="both"/>
        <w:rPr>
          <w:b/>
        </w:rPr>
      </w:pPr>
      <w:r>
        <w:rPr>
          <w:b/>
        </w:rPr>
        <w:t>3.6. Hierarchical Cluster Analysis</w:t>
      </w:r>
    </w:p>
    <w:p w14:paraId="54DAF279">
      <w:pPr>
        <w:spacing w:after="0" w:line="360" w:lineRule="auto"/>
        <w:jc w:val="both"/>
      </w:pPr>
      <w:r>
        <w:t>The dendrogram showed differences in similarity among genotypes,  Thailand, Honey dew and Roja formed a closely associated group; ARPJ-2 and Lalbagh madhura were also closely associated. ARPJ-3 and Palur-1, ARPJ-6 and JAP-2, and Byrachandra, ARPJ-5 and NSP showed close clustering relationships. Genotypes joined at shorter Euclidean distances were more similar for the measured traits than those joined at larger distances. The clustering pattern complemented the PCA summary of phenotypic variation.</w:t>
      </w:r>
    </w:p>
    <w:p w14:paraId="6E94E9FD">
      <w:pPr>
        <w:spacing w:after="120"/>
      </w:pPr>
      <w:commentRangeStart w:id="11"/>
      <w:r>
        <w:rPr>
          <w:sz w:val="22"/>
        </w:rPr>
        <w:t>The short branch distances in the dendrogram indicate similarity under the four standardised traits examined, not verified pedigree relationships. Jackfruit studies have applied hierarchical clustering to morphological descriptors and molecular-marker profiles, illustrating that the resulting groupings depend on the underlying character set and analytical method (Shyamalamma et al., 2008; Ullah et al., 2025). Moreover, research comparing morphological and molecular distances in jackfruit found limited correspondence between the two in the populations examined (Gwokyalya et al., 2024). The groups identified here are therefore useful for organising subsequent assessments, but additional traits, environments and, where feasible, molecular data would be required to assess the stability and genetic basis of these associations.</w:t>
      </w:r>
      <w:commentRangeEnd w:id="11"/>
      <w:r>
        <w:commentReference w:id="11"/>
      </w:r>
    </w:p>
    <w:p w14:paraId="61E18D8A">
      <w:pPr>
        <w:keepNext/>
        <w:spacing w:after="120" w:line="360" w:lineRule="auto"/>
        <w:ind w:firstLine="720"/>
        <w:jc w:val="both"/>
        <w:rPr>
          <w:lang w:val="en-US" w:eastAsia="en-US"/>
        </w:rPr>
      </w:pPr>
      <w:r>
        <w:rPr>
          <w:lang w:val="en-US" w:eastAsia="en-US"/>
        </w:rPr>
        <w:pict>
          <v:shape id="_x0000_i1026" o:spt="75" type="#_x0000_t75" style="height:316.5pt;width:432pt;" filled="f" o:preferrelative="t" stroked="f" coordsize="21600,21600">
            <v:path/>
            <v:fill on="f" focussize="0,0"/>
            <v:stroke on="f" joinstyle="miter"/>
            <v:imagedata r:id="rId17" cropleft="-5f" croptop="-6f" cropright="-5f" cropbottom="-6f" o:title=""/>
            <o:lock v:ext="edit" aspectratio="t"/>
            <w10:wrap type="none"/>
            <w10:anchorlock/>
          </v:shape>
        </w:pict>
      </w:r>
    </w:p>
    <w:p w14:paraId="24FFC013">
      <w:pPr>
        <w:keepNext/>
        <w:keepLines/>
        <w:spacing w:after="0" w:line="360" w:lineRule="auto"/>
        <w:jc w:val="both"/>
      </w:pPr>
      <w:r>
        <w:t>Figure 4. Hierarchical cluster analysis of 26 jackfruit genotypes based on standardized leaf traits using Euclidean distance and Ward’s method.</w:t>
      </w:r>
    </w:p>
    <w:p w14:paraId="027863AF">
      <w:pPr>
        <w:spacing w:after="0" w:line="360" w:lineRule="auto"/>
        <w:jc w:val="both"/>
      </w:pPr>
    </w:p>
    <w:p w14:paraId="5F94EEB0">
      <w:pPr>
        <w:spacing w:after="0" w:line="360" w:lineRule="auto"/>
        <w:jc w:val="both"/>
        <w:rPr>
          <w:rFonts w:eastAsia="Times New Roman"/>
        </w:rPr>
      </w:pPr>
      <w:r>
        <w:rPr>
          <w:rFonts w:eastAsia="Times New Roman"/>
        </w:rPr>
        <w:t xml:space="preserve"> </w:t>
      </w:r>
    </w:p>
    <w:p w14:paraId="6F95C608">
      <w:pPr>
        <w:keepNext/>
        <w:keepLines/>
        <w:spacing w:after="0" w:line="360" w:lineRule="auto"/>
        <w:jc w:val="both"/>
        <w:rPr>
          <w:rFonts w:eastAsia="Times New Roman"/>
          <w:b/>
          <w:bCs/>
          <w:kern w:val="0"/>
          <w:sz w:val="28"/>
          <w:szCs w:val="28"/>
          <w:lang w:eastAsia="en-IN"/>
        </w:rPr>
      </w:pPr>
      <w:r>
        <w:rPr>
          <w:rFonts w:eastAsia="Times New Roman"/>
          <w:b/>
          <w:bCs/>
          <w:kern w:val="0"/>
          <w:szCs w:val="28"/>
          <w:lang w:eastAsia="en-IN"/>
        </w:rPr>
        <w:t>4. CONCLUSION</w:t>
      </w:r>
    </w:p>
    <w:p w14:paraId="5FDB078E">
      <w:pPr>
        <w:spacing w:after="0" w:line="360" w:lineRule="auto"/>
        <w:ind w:firstLine="720"/>
        <w:jc w:val="both"/>
      </w:pPr>
      <w:r>
        <w:t>The study revealed notable variation in quantitative and qualitative leaf traits among 26 jackfruit genotypes evaluated under the Rayalaseema region of Andhra Pradesh, India. The genotype, JAP-1 recorded the maximum leaf blade length (19.98 cm), Yellow round the widest blades (10.78 cm), Eddi pasand the longest petioles (3.07 cm), and ARPJ-7 the highest SPAD reading (99.11). Wide variation was also observed in leaf blade shape, apex, base, margin, colour and petiole shape. Leaf blade length and width showed the strongest positive correlation. Cluster analysis also showed differences among the genotypes based on quantitative traits. These findings provide baseline information for leaf-trait characterization and documentation of jackfruit germplasm in Rayalaseema region of A.P..</w:t>
      </w:r>
    </w:p>
    <w:p w14:paraId="70BDCD17">
      <w:pPr>
        <w:spacing w:after="0" w:line="360" w:lineRule="auto"/>
        <w:ind w:firstLine="720"/>
        <w:jc w:val="both"/>
      </w:pPr>
    </w:p>
    <w:p w14:paraId="3C71EAE2">
      <w:pPr>
        <w:spacing w:after="0" w:line="240" w:lineRule="auto"/>
        <w:rPr>
          <w:rFonts w:ascii="Arial" w:hAnsi="Arial" w:cs="Arial"/>
          <w:b/>
          <w:kern w:val="0"/>
          <w:sz w:val="20"/>
          <w:szCs w:val="20"/>
          <w:lang w:val="en-US"/>
        </w:rPr>
      </w:pPr>
      <w:r>
        <w:rPr>
          <w:rFonts w:ascii="Arial" w:hAnsi="Arial" w:cs="Arial"/>
          <w:b/>
          <w:kern w:val="0"/>
          <w:sz w:val="20"/>
          <w:szCs w:val="20"/>
          <w:lang w:val="en-US"/>
        </w:rPr>
        <w:t>Declaration of AI Use</w:t>
      </w:r>
    </w:p>
    <w:p w14:paraId="794CBFEF">
      <w:pPr>
        <w:spacing w:after="0" w:line="240" w:lineRule="auto"/>
        <w:rPr>
          <w:rFonts w:ascii="Arial" w:hAnsi="Arial" w:cs="Arial"/>
          <w:b/>
          <w:kern w:val="0"/>
          <w:sz w:val="20"/>
          <w:szCs w:val="20"/>
          <w:lang w:val="en-US"/>
        </w:rPr>
      </w:pPr>
    </w:p>
    <w:p w14:paraId="106C19E1">
      <w:pPr>
        <w:spacing w:after="0" w:line="240" w:lineRule="auto"/>
        <w:rPr>
          <w:rFonts w:ascii="Arial" w:hAnsi="Arial" w:cs="Arial"/>
          <w:kern w:val="0"/>
          <w:sz w:val="20"/>
          <w:szCs w:val="20"/>
          <w:lang w:val="en-US"/>
        </w:rPr>
      </w:pPr>
      <w:bookmarkStart w:id="0" w:name="_Hlk238550938"/>
      <w:commentRangeStart w:id="12"/>
      <w:r>
        <w:rPr>
          <w:rFonts w:ascii="Arial" w:hAnsi="Arial" w:cs="Arial"/>
          <w:kern w:val="0"/>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Pr>
          <w:rFonts w:ascii="Arial" w:hAnsi="Arial" w:cs="Arial"/>
          <w:kern w:val="0"/>
          <w:sz w:val="20"/>
          <w:szCs w:val="20"/>
          <w:lang w:val="en-US"/>
        </w:rPr>
        <w:t>.</w:t>
      </w:r>
      <w:commentRangeEnd w:id="12"/>
      <w:r>
        <w:commentReference w:id="12"/>
      </w:r>
    </w:p>
    <w:p w14:paraId="1E298F80">
      <w:pPr>
        <w:spacing w:after="0" w:line="360" w:lineRule="auto"/>
        <w:ind w:firstLine="720"/>
        <w:jc w:val="both"/>
        <w:rPr>
          <w:rFonts w:ascii="Arial" w:hAnsi="Arial" w:eastAsia="Times New Roman" w:cs="Arial"/>
          <w:b/>
          <w:bCs/>
          <w:kern w:val="0"/>
          <w:sz w:val="28"/>
          <w:szCs w:val="28"/>
          <w:lang w:val="en-US" w:eastAsia="en-IN"/>
        </w:rPr>
      </w:pPr>
      <w:bookmarkStart w:id="1" w:name="_Hlk237856463"/>
      <w:bookmarkEnd w:id="1"/>
      <w:bookmarkStart w:id="2" w:name="_Hlk237862032"/>
      <w:bookmarkEnd w:id="2"/>
      <w:bookmarkStart w:id="3" w:name="_Hlk239068730"/>
      <w:bookmarkEnd w:id="3"/>
    </w:p>
    <w:p w14:paraId="3B4C9E0A">
      <w:pPr>
        <w:spacing w:line="360" w:lineRule="auto"/>
        <w:rPr>
          <w:b/>
        </w:rPr>
      </w:pPr>
      <w:r>
        <w:rPr>
          <w:b/>
        </w:rPr>
        <w:t>Competing Interests</w:t>
      </w:r>
    </w:p>
    <w:p w14:paraId="0557BBE1">
      <w:pPr>
        <w:spacing w:line="360" w:lineRule="auto"/>
      </w:pPr>
      <w:r>
        <w:t>The authors declare that no competing interests exist</w:t>
      </w:r>
    </w:p>
    <w:p w14:paraId="5CE6773B">
      <w:pPr>
        <w:spacing w:after="0" w:line="360" w:lineRule="auto"/>
        <w:jc w:val="both"/>
        <w:rPr>
          <w:rFonts w:eastAsia="Times New Roman"/>
          <w:kern w:val="0"/>
          <w:lang w:eastAsia="en-IN"/>
        </w:rPr>
      </w:pPr>
      <w:r>
        <w:rPr>
          <w:rFonts w:eastAsia="Times New Roman"/>
          <w:b/>
          <w:kern w:val="0"/>
          <w:lang w:eastAsia="en-IN"/>
        </w:rPr>
        <w:t>References</w:t>
      </w:r>
    </w:p>
    <w:p w14:paraId="1078EDC6">
      <w:pPr>
        <w:spacing w:after="40"/>
        <w:ind w:left="360" w:hanging="360"/>
      </w:pPr>
      <w:commentRangeStart w:id="13"/>
      <w:r>
        <w:rPr>
          <w:sz w:val="22"/>
        </w:rPr>
        <w:t xml:space="preserve">Chuanromanee, T. S., Cohen, J. I., &amp; Ryan, G. L. (2019). Morphological analysis of size and shape (MASS): An integrative software program for morphometric analyses of leaves. </w:t>
      </w:r>
      <w:r>
        <w:rPr>
          <w:i/>
          <w:sz w:val="22"/>
        </w:rPr>
        <w:t>Applications in Plant Sciences, 7</w:t>
      </w:r>
      <w:r>
        <w:rPr>
          <w:sz w:val="22"/>
        </w:rPr>
        <w:t>(9), Article e11288. https://doi.org/10.1002/aps3.11288</w:t>
      </w:r>
    </w:p>
    <w:p w14:paraId="0A468885">
      <w:pPr>
        <w:spacing w:after="40"/>
        <w:ind w:left="360" w:hanging="360"/>
      </w:pPr>
      <w:r>
        <w:rPr>
          <w:sz w:val="22"/>
        </w:rPr>
        <w:t>Gupta, S., Rosenthal, D. M., Stinchcombe, J. R., &amp; Baucom, R. S. (2020). The remarkable morphological diversity of leaf shape in sweet potato (</w:t>
      </w:r>
      <w:commentRangeStart w:id="14"/>
      <w:r>
        <w:rPr>
          <w:sz w:val="22"/>
        </w:rPr>
        <w:t>Ipomoea batatas</w:t>
      </w:r>
      <w:commentRangeEnd w:id="14"/>
      <w:r>
        <w:commentReference w:id="14"/>
      </w:r>
      <w:r>
        <w:rPr>
          <w:sz w:val="22"/>
        </w:rPr>
        <w:t xml:space="preserve">): The influence of genetics, environment, and G × E. </w:t>
      </w:r>
      <w:r>
        <w:rPr>
          <w:i/>
          <w:sz w:val="22"/>
        </w:rPr>
        <w:t>New Phytologist, 225</w:t>
      </w:r>
      <w:r>
        <w:rPr>
          <w:sz w:val="22"/>
        </w:rPr>
        <w:t>(5), 2183–2195. https://doi.org/10.1111/nph.16286</w:t>
      </w:r>
      <w:commentRangeEnd w:id="13"/>
      <w:r>
        <w:commentReference w:id="13"/>
      </w:r>
    </w:p>
    <w:p w14:paraId="4EF003A6">
      <w:pPr>
        <w:spacing w:after="0" w:line="360" w:lineRule="auto"/>
        <w:ind w:left="720" w:hanging="720"/>
        <w:jc w:val="both"/>
      </w:pPr>
      <w:r>
        <w:rPr>
          <w:rFonts w:eastAsia="Times New Roman"/>
          <w:kern w:val="0"/>
          <w:lang w:eastAsia="en-IN"/>
        </w:rPr>
        <w:t>Gwokyalya, R., Nanteza, A., Wagaba, H., Kayondo, S. I., Kazigaba, D., et al. (2024). Morphological and genetic characterization of jackfruit (</w:t>
      </w:r>
      <w:r>
        <w:rPr>
          <w:rFonts w:eastAsia="Times New Roman"/>
          <w:i/>
          <w:iCs/>
          <w:kern w:val="0"/>
          <w:lang w:eastAsia="en-IN"/>
        </w:rPr>
        <w:t>Artocarpus heterophyllus</w:t>
      </w:r>
      <w:r>
        <w:rPr>
          <w:rFonts w:eastAsia="Times New Roman"/>
          <w:kern w:val="0"/>
          <w:lang w:eastAsia="en-IN"/>
        </w:rPr>
        <w:t xml:space="preserve">) in the Kayunga and Luwero districts of Uganda. </w:t>
      </w:r>
      <w:r>
        <w:rPr>
          <w:rFonts w:eastAsia="Times New Roman"/>
          <w:i/>
          <w:iCs/>
          <w:kern w:val="0"/>
          <w:lang w:eastAsia="en-IN"/>
        </w:rPr>
        <w:t>BMC Plant Biology, 24</w:t>
      </w:r>
      <w:r>
        <w:rPr>
          <w:rFonts w:eastAsia="Times New Roman"/>
          <w:kern w:val="0"/>
          <w:lang w:eastAsia="en-IN"/>
        </w:rPr>
        <w:t>, Article 355.</w:t>
      </w:r>
      <w:r>
        <w:rPr>
          <w:sz w:val="22"/>
        </w:rPr>
        <w:t xml:space="preserve"> https://doi.org/10.1186/s12870-024-05064-x</w:t>
      </w:r>
    </w:p>
    <w:p w14:paraId="68C8CD05">
      <w:pPr>
        <w:spacing w:after="0" w:line="360" w:lineRule="auto"/>
        <w:ind w:left="720" w:hanging="720"/>
        <w:jc w:val="both"/>
      </w:pPr>
      <w:r>
        <w:rPr>
          <w:rFonts w:eastAsia="Times New Roman"/>
          <w:kern w:val="0"/>
          <w:lang w:eastAsia="en-IN"/>
        </w:rPr>
        <w:t xml:space="preserve">International Plant Genetic Resources Institute. (2000). </w:t>
      </w:r>
      <w:r>
        <w:rPr>
          <w:rFonts w:eastAsia="Times New Roman"/>
          <w:i/>
          <w:iCs/>
          <w:kern w:val="0"/>
          <w:lang w:eastAsia="en-IN"/>
        </w:rPr>
        <w:t>Descriptors for jackfruit (Artocarpus heterophyllus)</w:t>
      </w:r>
      <w:r>
        <w:rPr>
          <w:rFonts w:eastAsia="Times New Roman"/>
          <w:kern w:val="0"/>
          <w:lang w:eastAsia="en-IN"/>
        </w:rPr>
        <w:t>. IPGRI.</w:t>
      </w:r>
      <w:r>
        <w:rPr>
          <w:sz w:val="22"/>
        </w:rPr>
        <w:t xml:space="preserve"> https://alliancebioversityciat.org/publications-data/descriptors-jackfruit-artocarpus-heterophyllus</w:t>
      </w:r>
    </w:p>
    <w:p w14:paraId="7A6E3139">
      <w:pPr>
        <w:spacing w:after="40"/>
        <w:ind w:left="360" w:hanging="360"/>
      </w:pPr>
      <w:commentRangeStart w:id="15"/>
      <w:r>
        <w:rPr>
          <w:sz w:val="22"/>
        </w:rPr>
        <w:t xml:space="preserve">Karunakaran, G., Dinesh, M. R., Ravishankar, K. V., Prakash, K., Kanupriya, C., Singh, P., Arivalagan, M., &amp; Ruchitha, T. (2025). Characterization of jackfruit </w:t>
      </w:r>
      <w:commentRangeStart w:id="16"/>
      <w:r>
        <w:rPr>
          <w:sz w:val="22"/>
        </w:rPr>
        <w:t>Artocarpus heterophyllus</w:t>
      </w:r>
      <w:commentRangeEnd w:id="16"/>
      <w:r>
        <w:commentReference w:id="16"/>
      </w:r>
      <w:r>
        <w:rPr>
          <w:sz w:val="22"/>
        </w:rPr>
        <w:t xml:space="preserve"> Lam. for economic traits in dry zones of Karnataka, India. </w:t>
      </w:r>
      <w:r>
        <w:rPr>
          <w:i/>
          <w:sz w:val="22"/>
        </w:rPr>
        <w:t>Scientific Reports, 15</w:t>
      </w:r>
      <w:r>
        <w:rPr>
          <w:sz w:val="22"/>
        </w:rPr>
        <w:t>, Article 6830. https://doi.org/10.1038/s41598-025-91810-6</w:t>
      </w:r>
      <w:commentRangeEnd w:id="15"/>
      <w:r>
        <w:commentReference w:id="15"/>
      </w:r>
    </w:p>
    <w:p w14:paraId="706353EF">
      <w:pPr>
        <w:spacing w:after="0" w:line="360" w:lineRule="auto"/>
        <w:ind w:left="720" w:hanging="720"/>
        <w:jc w:val="both"/>
      </w:pPr>
      <w:r>
        <w:rPr>
          <w:rFonts w:eastAsia="Times New Roman"/>
          <w:kern w:val="0"/>
          <w:lang w:eastAsia="en-IN"/>
        </w:rPr>
        <w:t xml:space="preserve">Markwell, J., Osterman, J. C., &amp; Mitchell, J. L. (1995). Calibration of the Minolta SPAD-502 leaf chlorophyll meter. </w:t>
      </w:r>
      <w:r>
        <w:rPr>
          <w:rFonts w:eastAsia="Times New Roman"/>
          <w:i/>
          <w:iCs/>
          <w:kern w:val="0"/>
          <w:lang w:eastAsia="en-IN"/>
        </w:rPr>
        <w:t>Photosynthesis Research, 46</w:t>
      </w:r>
      <w:r>
        <w:rPr>
          <w:rFonts w:eastAsia="Times New Roman"/>
          <w:kern w:val="0"/>
          <w:lang w:eastAsia="en-IN"/>
        </w:rPr>
        <w:t>, 467–472.</w:t>
      </w:r>
      <w:r>
        <w:rPr>
          <w:sz w:val="22"/>
        </w:rPr>
        <w:t xml:space="preserve"> https://doi.org/10.1007/BF00032301</w:t>
      </w:r>
    </w:p>
    <w:p w14:paraId="2D97FE52">
      <w:pPr>
        <w:spacing w:after="0" w:line="360" w:lineRule="auto"/>
        <w:ind w:left="720" w:hanging="720"/>
        <w:jc w:val="both"/>
        <w:rPr>
          <w:rFonts w:eastAsia="Times New Roman"/>
          <w:kern w:val="0"/>
          <w:lang w:eastAsia="en-IN"/>
        </w:rPr>
      </w:pPr>
      <w:r>
        <w:rPr>
          <w:rFonts w:eastAsia="Times New Roman"/>
          <w:kern w:val="0"/>
          <w:lang w:eastAsia="en-IN"/>
        </w:rPr>
        <w:t>Nakintu, J., Andama, M., Albrecht, C., Wangalwa, R., Lejju, J. B., &amp; Olet, E. A. (2023). Morphological traits of jackfruit (</w:t>
      </w:r>
      <w:r>
        <w:rPr>
          <w:rFonts w:eastAsia="Times New Roman"/>
          <w:i/>
          <w:iCs/>
          <w:kern w:val="0"/>
          <w:lang w:eastAsia="en-IN"/>
        </w:rPr>
        <w:t>Artocarpus heterophyllus</w:t>
      </w:r>
      <w:r>
        <w:rPr>
          <w:rFonts w:eastAsia="Times New Roman"/>
          <w:kern w:val="0"/>
          <w:lang w:eastAsia="en-IN"/>
        </w:rPr>
        <w:t xml:space="preserve"> Lam.): Indicators of diversity, selection and germplasm dispersion in Uganda. </w:t>
      </w:r>
      <w:r>
        <w:rPr>
          <w:rFonts w:eastAsia="Times New Roman"/>
          <w:i/>
          <w:iCs/>
          <w:kern w:val="0"/>
          <w:lang w:eastAsia="en-IN"/>
        </w:rPr>
        <w:t>Scientific African, 22</w:t>
      </w:r>
      <w:r>
        <w:rPr>
          <w:rFonts w:eastAsia="Times New Roman"/>
          <w:kern w:val="0"/>
          <w:lang w:eastAsia="en-IN"/>
        </w:rPr>
        <w:t>, Article e01900.</w:t>
      </w:r>
      <w:r>
        <w:rPr>
          <w:sz w:val="22"/>
        </w:rPr>
        <w:t xml:space="preserve"> https://doi.org/10.1016/j.sciaf.2023.e01900</w:t>
      </w:r>
    </w:p>
    <w:p w14:paraId="3B046B6D">
      <w:pPr>
        <w:spacing w:after="0" w:line="360" w:lineRule="auto"/>
        <w:ind w:left="720" w:hanging="720"/>
        <w:jc w:val="both"/>
        <w:rPr>
          <w:rFonts w:eastAsia="Times New Roman"/>
          <w:kern w:val="0"/>
          <w:lang w:eastAsia="en-IN"/>
        </w:rPr>
      </w:pPr>
      <w:r>
        <w:rPr>
          <w:rFonts w:eastAsia="Times New Roman"/>
          <w:kern w:val="0"/>
          <w:lang w:eastAsia="en-IN"/>
        </w:rPr>
        <w:t xml:space="preserve">Protection of Plant Varieties and Farmers’ Rights Authority. (n.d.). </w:t>
      </w:r>
      <w:r>
        <w:rPr>
          <w:rFonts w:eastAsia="Times New Roman"/>
          <w:i/>
          <w:iCs/>
          <w:kern w:val="0"/>
          <w:lang w:eastAsia="en-IN"/>
        </w:rPr>
        <w:t>Guidelines for the conduct of test for distinctiveness, uniformity and stability on jackfruit (Artocarpus heterophyllus Lam.)</w:t>
      </w:r>
      <w:r>
        <w:rPr>
          <w:rFonts w:eastAsia="Times New Roman"/>
          <w:kern w:val="0"/>
          <w:lang w:eastAsia="en-IN"/>
        </w:rPr>
        <w:t xml:space="preserve">. Government of India. </w:t>
      </w:r>
      <w:r>
        <w:rPr>
          <w:sz w:val="22"/>
        </w:rPr>
        <w:t xml:space="preserve"> https://plantauthority.gov.in/sites/default/files/draftjackfruitguideline.pdf</w:t>
      </w:r>
    </w:p>
    <w:p w14:paraId="339A140F">
      <w:pPr>
        <w:spacing w:after="0" w:line="360" w:lineRule="auto"/>
        <w:ind w:left="720" w:hanging="720"/>
        <w:jc w:val="both"/>
      </w:pPr>
      <w:r>
        <w:rPr>
          <w:rFonts w:eastAsia="Times New Roman"/>
          <w:kern w:val="0"/>
          <w:lang w:eastAsia="en-IN"/>
        </w:rPr>
        <w:t xml:space="preserve">Richardson, A. D., Duigan, S. P., &amp; Berlyn, G. P. (2002). An evaluation of noninvasive methods to estimate foliar chlorophyll content. </w:t>
      </w:r>
      <w:r>
        <w:rPr>
          <w:rFonts w:eastAsia="Times New Roman"/>
          <w:i/>
          <w:iCs/>
          <w:kern w:val="0"/>
          <w:lang w:eastAsia="en-IN"/>
        </w:rPr>
        <w:t>New Phytologist, 153</w:t>
      </w:r>
      <w:r>
        <w:rPr>
          <w:rFonts w:eastAsia="Times New Roman"/>
          <w:kern w:val="0"/>
          <w:lang w:eastAsia="en-IN"/>
        </w:rPr>
        <w:t>(1), 185–194.</w:t>
      </w:r>
      <w:r>
        <w:rPr>
          <w:sz w:val="22"/>
        </w:rPr>
        <w:t xml:space="preserve"> https://doi.org/10.1046/j.0028-646X.2001.00289.x</w:t>
      </w:r>
    </w:p>
    <w:p w14:paraId="390046A9">
      <w:pPr>
        <w:spacing w:after="0" w:line="360" w:lineRule="auto"/>
        <w:ind w:left="720" w:hanging="720"/>
        <w:jc w:val="both"/>
        <w:rPr>
          <w:rFonts w:eastAsia="Times New Roman"/>
          <w:kern w:val="0"/>
          <w:lang w:eastAsia="en-IN"/>
        </w:rPr>
      </w:pPr>
      <w:r>
        <w:rPr>
          <w:rFonts w:eastAsia="Times New Roman"/>
          <w:kern w:val="0"/>
          <w:lang w:eastAsia="en-IN"/>
        </w:rPr>
        <w:t>Roy, A., Banerjee, R., &amp; Pratibha. (2021). Effect of jackfruit (</w:t>
      </w:r>
      <w:r>
        <w:rPr>
          <w:rFonts w:eastAsia="Times New Roman"/>
          <w:i/>
          <w:iCs/>
          <w:kern w:val="0"/>
          <w:lang w:eastAsia="en-IN"/>
        </w:rPr>
        <w:t>Artocarpus heterophyllus</w:t>
      </w:r>
      <w:r>
        <w:rPr>
          <w:rFonts w:eastAsia="Times New Roman"/>
          <w:kern w:val="0"/>
          <w:lang w:eastAsia="en-IN"/>
        </w:rPr>
        <w:t xml:space="preserve"> Lam.) germplasms on the morphological characters under Terai conditions of Uttarakhand. </w:t>
      </w:r>
      <w:r>
        <w:rPr>
          <w:rFonts w:eastAsia="Times New Roman"/>
          <w:i/>
          <w:iCs/>
          <w:kern w:val="0"/>
          <w:lang w:eastAsia="en-IN"/>
        </w:rPr>
        <w:t>Bhartiya Krishi Anusandhan Patrika, 36</w:t>
      </w:r>
      <w:r>
        <w:rPr>
          <w:rFonts w:eastAsia="Times New Roman"/>
          <w:kern w:val="0"/>
          <w:lang w:eastAsia="en-IN"/>
        </w:rPr>
        <w:t>(3), 186–191.</w:t>
      </w:r>
      <w:r>
        <w:rPr>
          <w:sz w:val="22"/>
        </w:rPr>
        <w:t xml:space="preserve"> https://doi.org/10.18805/BKAP354</w:t>
      </w:r>
    </w:p>
    <w:p w14:paraId="5AA3989C">
      <w:pPr>
        <w:spacing w:after="120" w:line="360" w:lineRule="auto"/>
        <w:jc w:val="both"/>
        <w:rPr>
          <w:rFonts w:eastAsia="Times New Roman"/>
          <w:kern w:val="0"/>
          <w:lang w:eastAsia="en-IN"/>
        </w:rPr>
      </w:pPr>
      <w:r>
        <w:br w:type="page"/>
      </w:r>
    </w:p>
    <w:p w14:paraId="512282FF">
      <w:pPr>
        <w:spacing w:line="360" w:lineRule="auto"/>
      </w:pPr>
    </w:p>
    <w:p w14:paraId="340840D0">
      <w:pPr>
        <w:spacing w:after="40"/>
        <w:ind w:left="360" w:hanging="360"/>
      </w:pPr>
      <w:commentRangeStart w:id="17"/>
      <w:r>
        <w:rPr>
          <w:sz w:val="22"/>
        </w:rPr>
        <w:t>Shyamalamma, S., Chandra, S. B. C., Hegde, M., &amp; Naryanswamy, P. (2008). Evaluation of genetic diversity in jackfruit (</w:t>
      </w:r>
      <w:commentRangeStart w:id="18"/>
      <w:r>
        <w:rPr>
          <w:sz w:val="22"/>
        </w:rPr>
        <w:t>Artocarpus heterophyllus</w:t>
      </w:r>
      <w:commentRangeEnd w:id="18"/>
      <w:r>
        <w:commentReference w:id="18"/>
      </w:r>
      <w:r>
        <w:rPr>
          <w:sz w:val="22"/>
        </w:rPr>
        <w:t xml:space="preserve"> Lam.) based on amplified fragment length polymorphism markers. </w:t>
      </w:r>
      <w:r>
        <w:rPr>
          <w:i/>
          <w:sz w:val="22"/>
        </w:rPr>
        <w:t>Genetics and Molecular Research, 7</w:t>
      </w:r>
      <w:r>
        <w:rPr>
          <w:sz w:val="22"/>
        </w:rPr>
        <w:t>(3), 645–656. https://doi.org/10.4238/vol7-3gmr457</w:t>
      </w:r>
    </w:p>
    <w:p w14:paraId="3BAB2CAD">
      <w:pPr>
        <w:spacing w:after="40"/>
        <w:ind w:left="360" w:hanging="360"/>
      </w:pPr>
      <w:r>
        <w:rPr>
          <w:sz w:val="22"/>
        </w:rPr>
        <w:t xml:space="preserve">Singh, A. K., Gohain, I., &amp; Shyamalamma, S. (2018). Morphological variability in jackfruit grown under agro-forestry system of Tripura. </w:t>
      </w:r>
      <w:r>
        <w:rPr>
          <w:i/>
          <w:sz w:val="22"/>
        </w:rPr>
        <w:t>Indian Journal of Horticulture, 75</w:t>
      </w:r>
      <w:r>
        <w:rPr>
          <w:sz w:val="22"/>
        </w:rPr>
        <w:t>(3), 376–383. https://doi.org/10.5958/0974-0112.2018.00065.8</w:t>
      </w:r>
    </w:p>
    <w:p w14:paraId="30DDBCC5">
      <w:pPr>
        <w:spacing w:after="40"/>
        <w:ind w:left="360" w:hanging="360"/>
      </w:pPr>
      <w:r>
        <w:rPr>
          <w:sz w:val="22"/>
        </w:rPr>
        <w:t>Ullah, L. R., Purnama, P. R., &amp; Wisanti. (2025). Morphological characterization and clustering analysis of three local jackfruit cultivars (</w:t>
      </w:r>
      <w:commentRangeStart w:id="19"/>
      <w:r>
        <w:rPr>
          <w:sz w:val="22"/>
        </w:rPr>
        <w:t>Artocarpus heterophyllus</w:t>
      </w:r>
      <w:commentRangeEnd w:id="19"/>
      <w:r>
        <w:commentReference w:id="19"/>
      </w:r>
      <w:r>
        <w:rPr>
          <w:sz w:val="22"/>
        </w:rPr>
        <w:t xml:space="preserve">) in Lamongan District, East Java, Indonesia. </w:t>
      </w:r>
      <w:r>
        <w:rPr>
          <w:i/>
          <w:sz w:val="22"/>
        </w:rPr>
        <w:t>Biodiversitas, 26</w:t>
      </w:r>
      <w:r>
        <w:rPr>
          <w:sz w:val="22"/>
        </w:rPr>
        <w:t>(4), 1920–1928. https://doi.org/10.13057/biodiv/d260441</w:t>
      </w:r>
      <w:commentRangeEnd w:id="17"/>
      <w:r>
        <w:commentReference w:id="17"/>
      </w:r>
    </w:p>
    <w:sectPr>
      <w:headerReference r:id="rId9" w:type="first"/>
      <w:footerReference r:id="rId12" w:type="first"/>
      <w:headerReference r:id="rId7" w:type="default"/>
      <w:footerReference r:id="rId10" w:type="default"/>
      <w:headerReference r:id="rId8" w:type="even"/>
      <w:footerReference r:id="rId11" w:type="even"/>
      <w:pgSz w:w="11906" w:h="16838"/>
      <w:pgMar w:top="1440" w:right="1440" w:bottom="1440" w:left="1440" w:header="0" w:footer="0" w:gutter="0"/>
      <w:cols w:space="720" w:num="1"/>
      <w:formProt w:val="0"/>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oustav Datta" w:date="2026-09-14T22:40:18Z" w:initials="S">
    <w:p w14:paraId="73F8BCE8">
      <w:pPr>
        <w:pStyle w:val="8"/>
        <w:rPr>
          <w:rFonts w:hint="default"/>
          <w:lang w:val="en-US"/>
        </w:rPr>
      </w:pPr>
      <w:r>
        <w:rPr>
          <w:rFonts w:hint="default"/>
          <w:lang w:val="en-US"/>
        </w:rPr>
        <w:t>Add more number of citation in Introduction part</w:t>
      </w:r>
    </w:p>
  </w:comment>
  <w:comment w:id="1" w:author="Soustav Datta" w:date="2026-09-14T22:47:48Z" w:initials="S">
    <w:p w14:paraId="60032E07">
      <w:pPr>
        <w:pStyle w:val="8"/>
        <w:rPr>
          <w:rFonts w:hint="default"/>
          <w:lang w:val="en-US"/>
        </w:rPr>
      </w:pPr>
      <w:r>
        <w:rPr>
          <w:rFonts w:hint="default"/>
          <w:lang w:val="en-US"/>
        </w:rPr>
        <w:t>What does it mean?</w:t>
      </w:r>
    </w:p>
  </w:comment>
  <w:comment w:id="2" w:author="Soustav Datta" w:date="2026-09-14T22:48:11Z" w:initials="S">
    <w:p w14:paraId="0F80A040">
      <w:pPr>
        <w:pStyle w:val="8"/>
      </w:pPr>
      <w:r>
        <w:rPr>
          <w:rFonts w:hint="default"/>
          <w:lang w:val="en-US"/>
        </w:rPr>
        <w:t>What does it mean?</w:t>
      </w:r>
    </w:p>
  </w:comment>
  <w:comment w:id="3" w:author="Soustav Datta" w:date="2026-09-14T22:39:06Z" w:initials="S">
    <w:p w14:paraId="1A455DFC">
      <w:pPr>
        <w:pStyle w:val="8"/>
        <w:rPr>
          <w:rFonts w:hint="default"/>
          <w:lang w:val="en-US"/>
        </w:rPr>
      </w:pPr>
      <w:r>
        <w:rPr>
          <w:rFonts w:hint="default"/>
          <w:lang w:val="en-US"/>
        </w:rPr>
        <w:t>Please provide current citation</w:t>
      </w:r>
    </w:p>
  </w:comment>
  <w:comment w:id="4" w:author="Soustav Datta" w:date="2026-09-14T22:48:22Z" w:initials="S">
    <w:p w14:paraId="78261CA7">
      <w:pPr>
        <w:pStyle w:val="8"/>
      </w:pPr>
      <w:r>
        <w:rPr>
          <w:rFonts w:hint="default"/>
          <w:lang w:val="en-US"/>
        </w:rPr>
        <w:t>What does it mean?</w:t>
      </w:r>
    </w:p>
  </w:comment>
  <w:comment w:id="5" w:author="Soustav Datta" w:date="2026-09-14T22:39:52Z" w:initials="S">
    <w:p w14:paraId="324D7CCD">
      <w:pPr>
        <w:pStyle w:val="8"/>
        <w:rPr>
          <w:rFonts w:hint="default"/>
          <w:lang w:val="en-US"/>
        </w:rPr>
      </w:pPr>
      <w:r>
        <w:rPr>
          <w:rFonts w:hint="default"/>
          <w:lang w:val="en-US"/>
        </w:rPr>
        <w:t>Repeatation in Introduction part</w:t>
      </w:r>
    </w:p>
  </w:comment>
  <w:comment w:id="6" w:author="Soustav Datta" w:date="2026-09-14T22:42:10Z" w:initials="S">
    <w:p w14:paraId="4A00FC06">
      <w:pPr>
        <w:pStyle w:val="8"/>
        <w:rPr>
          <w:rFonts w:hint="default"/>
          <w:lang w:val="en-US"/>
        </w:rPr>
      </w:pPr>
      <w:r>
        <w:rPr>
          <w:rFonts w:hint="default"/>
          <w:lang w:val="en-US"/>
        </w:rPr>
        <w:t>Font of this portion is not similar with the above portion of the manuscript</w:t>
      </w:r>
    </w:p>
  </w:comment>
  <w:comment w:id="7" w:author="Soustav Datta" w:date="2026-09-14T22:42:54Z" w:initials="S">
    <w:p w14:paraId="561E382F">
      <w:pPr>
        <w:pStyle w:val="8"/>
      </w:pPr>
      <w:r>
        <w:rPr>
          <w:rFonts w:hint="default"/>
          <w:lang w:val="en-US"/>
        </w:rPr>
        <w:t>Font of this portion is not similar with the above portion of the manuscript</w:t>
      </w:r>
    </w:p>
  </w:comment>
  <w:comment w:id="8" w:author="Soustav Datta" w:date="2026-09-14T22:43:04Z" w:initials="S">
    <w:p w14:paraId="496E3A60">
      <w:pPr>
        <w:pStyle w:val="8"/>
      </w:pPr>
      <w:r>
        <w:rPr>
          <w:rFonts w:hint="default"/>
          <w:lang w:val="en-US"/>
        </w:rPr>
        <w:t>Font of this portion is not similar with the above portion of the manuscript</w:t>
      </w:r>
    </w:p>
  </w:comment>
  <w:comment w:id="9" w:author="Soustav Datta" w:date="2026-09-14T22:43:11Z" w:initials="S">
    <w:p w14:paraId="0E6CD913">
      <w:pPr>
        <w:pStyle w:val="8"/>
      </w:pPr>
      <w:r>
        <w:rPr>
          <w:rFonts w:hint="default"/>
          <w:lang w:val="en-US"/>
        </w:rPr>
        <w:t>Font of this portion is not similar with the above portion of the manuscript</w:t>
      </w:r>
    </w:p>
  </w:comment>
  <w:comment w:id="10" w:author="Soustav Datta" w:date="2026-09-14T22:43:22Z" w:initials="S">
    <w:p w14:paraId="2A097CEA">
      <w:pPr>
        <w:pStyle w:val="8"/>
      </w:pPr>
      <w:r>
        <w:rPr>
          <w:rFonts w:hint="default"/>
          <w:lang w:val="en-US"/>
        </w:rPr>
        <w:t>Font of this portion is not similar with the above portion of the manuscript</w:t>
      </w:r>
    </w:p>
  </w:comment>
  <w:comment w:id="11" w:author="Soustav Datta" w:date="2026-09-14T22:43:37Z" w:initials="S">
    <w:p w14:paraId="5D61B7B1">
      <w:pPr>
        <w:pStyle w:val="8"/>
      </w:pPr>
      <w:r>
        <w:rPr>
          <w:rFonts w:hint="default"/>
          <w:lang w:val="en-US"/>
        </w:rPr>
        <w:t>Font of this portion is not similar with the above portion of the manuscript</w:t>
      </w:r>
    </w:p>
  </w:comment>
  <w:comment w:id="12" w:author="Soustav Datta" w:date="2026-09-14T22:43:53Z" w:initials="S">
    <w:p w14:paraId="273A980B">
      <w:pPr>
        <w:pStyle w:val="8"/>
      </w:pPr>
      <w:r>
        <w:rPr>
          <w:rFonts w:hint="default"/>
          <w:lang w:val="en-US"/>
        </w:rPr>
        <w:t>Font of this portion is not similar with the above portion of the manuscript</w:t>
      </w:r>
    </w:p>
  </w:comment>
  <w:comment w:id="14" w:author="Soustav Datta" w:date="2026-09-14T22:44:03Z" w:initials="S">
    <w:p w14:paraId="13591097">
      <w:pPr>
        <w:pStyle w:val="8"/>
        <w:rPr>
          <w:rFonts w:hint="default"/>
          <w:lang w:val="en-US"/>
        </w:rPr>
      </w:pPr>
      <w:r>
        <w:rPr>
          <w:rFonts w:hint="default"/>
          <w:lang w:val="en-US"/>
        </w:rPr>
        <w:t>Scientific name should be in Italics</w:t>
      </w:r>
    </w:p>
  </w:comment>
  <w:comment w:id="13" w:author="Soustav Datta" w:date="2026-09-14T22:45:34Z" w:initials="S">
    <w:p w14:paraId="0638B7B4">
      <w:pPr>
        <w:pStyle w:val="8"/>
      </w:pPr>
      <w:r>
        <w:rPr>
          <w:rFonts w:hint="default"/>
          <w:lang w:val="en-US"/>
        </w:rPr>
        <w:t>Font of this portion is not similar with the above portion of the manuscript</w:t>
      </w:r>
    </w:p>
  </w:comment>
  <w:comment w:id="16" w:author="Soustav Datta" w:date="2026-09-14T22:44:39Z" w:initials="S">
    <w:p w14:paraId="103BA75B">
      <w:pPr>
        <w:pStyle w:val="8"/>
      </w:pPr>
      <w:r>
        <w:rPr>
          <w:rFonts w:hint="default"/>
          <w:lang w:val="en-US"/>
        </w:rPr>
        <w:t>Scientific name should be in Italics</w:t>
      </w:r>
    </w:p>
  </w:comment>
  <w:comment w:id="15" w:author="Soustav Datta" w:date="2026-09-14T22:45:43Z" w:initials="S">
    <w:p w14:paraId="7392D025">
      <w:pPr>
        <w:pStyle w:val="8"/>
      </w:pPr>
      <w:r>
        <w:rPr>
          <w:rFonts w:hint="default"/>
          <w:lang w:val="en-US"/>
        </w:rPr>
        <w:t>Font of this portion is not similar with the above portion of the manuscript</w:t>
      </w:r>
    </w:p>
  </w:comment>
  <w:comment w:id="18" w:author="Soustav Datta" w:date="2026-09-14T22:44:56Z" w:initials="S">
    <w:p w14:paraId="77D18A76">
      <w:pPr>
        <w:pStyle w:val="8"/>
      </w:pPr>
      <w:r>
        <w:rPr>
          <w:rFonts w:hint="default"/>
          <w:lang w:val="en-US"/>
        </w:rPr>
        <w:t>Scientific name should be in Italics</w:t>
      </w:r>
    </w:p>
  </w:comment>
  <w:comment w:id="19" w:author="Soustav Datta" w:date="2026-09-14T22:45:04Z" w:initials="S">
    <w:p w14:paraId="0411B769">
      <w:pPr>
        <w:pStyle w:val="8"/>
      </w:pPr>
      <w:r>
        <w:rPr>
          <w:rFonts w:hint="default"/>
          <w:lang w:val="en-US"/>
        </w:rPr>
        <w:t>Scientific name should be in Italics</w:t>
      </w:r>
    </w:p>
  </w:comment>
  <w:comment w:id="17" w:author="Soustav Datta" w:date="2026-09-14T22:45:53Z" w:initials="S">
    <w:p w14:paraId="6364FE8E">
      <w:pPr>
        <w:pStyle w:val="8"/>
      </w:pPr>
      <w:r>
        <w:rPr>
          <w:rFonts w:hint="default"/>
          <w:lang w:val="en-US"/>
        </w:rPr>
        <w:t>Font of this portion is not similar with the above portion of the manuscript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3F8BCE8" w15:done="0"/>
  <w15:commentEx w15:paraId="60032E07" w15:done="0"/>
  <w15:commentEx w15:paraId="0F80A040" w15:done="0"/>
  <w15:commentEx w15:paraId="1A455DFC" w15:done="0"/>
  <w15:commentEx w15:paraId="78261CA7" w15:done="0"/>
  <w15:commentEx w15:paraId="324D7CCD" w15:done="0"/>
  <w15:commentEx w15:paraId="4A00FC06" w15:done="0"/>
  <w15:commentEx w15:paraId="561E382F" w15:done="0"/>
  <w15:commentEx w15:paraId="496E3A60" w15:done="0"/>
  <w15:commentEx w15:paraId="0E6CD913" w15:done="0"/>
  <w15:commentEx w15:paraId="2A097CEA" w15:done="0"/>
  <w15:commentEx w15:paraId="5D61B7B1" w15:done="0"/>
  <w15:commentEx w15:paraId="273A980B" w15:done="0"/>
  <w15:commentEx w15:paraId="13591097" w15:done="0"/>
  <w15:commentEx w15:paraId="0638B7B4" w15:done="0"/>
  <w15:commentEx w15:paraId="103BA75B" w15:done="0"/>
  <w15:commentEx w15:paraId="7392D025" w15:done="0"/>
  <w15:commentEx w15:paraId="77D18A76" w15:done="0"/>
  <w15:commentEx w15:paraId="0411B769" w15:done="0"/>
  <w15:commentEx w15:paraId="6364FE8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Siyam Rupali"/>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Noto Serif CJK SC">
    <w:altName w:val="SimSun"/>
    <w:panose1 w:val="00000000000000000000"/>
    <w:charset w:val="86"/>
    <w:family w:val="roman"/>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Liberation Sans">
    <w:altName w:val="Arial"/>
    <w:panose1 w:val="00000000000000000000"/>
    <w:charset w:val="00"/>
    <w:family w:val="swiss"/>
    <w:pitch w:val="default"/>
    <w:sig w:usb0="00000000" w:usb1="00000000" w:usb2="00000000" w:usb3="00000000" w:csb0="00000000" w:csb1="00000000"/>
  </w:font>
  <w:font w:name="Noto Sans CJK SC">
    <w:altName w:val="Siyam Rupali"/>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iyam Rupali">
    <w:panose1 w:val="02000500000000020004"/>
    <w:charset w:val="00"/>
    <w:family w:val="auto"/>
    <w:pitch w:val="default"/>
    <w:sig w:usb0="0001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6144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FDBD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EEB6C">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7" w:lineRule="auto"/>
      </w:pPr>
      <w:r>
        <w:separator/>
      </w:r>
    </w:p>
  </w:footnote>
  <w:footnote w:type="continuationSeparator" w:id="1">
    <w:p>
      <w:pPr>
        <w:spacing w:before="0" w:after="0" w:line="257"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5AC56">
    <w:pPr>
      <w:pStyle w:val="11"/>
    </w:pPr>
    <w:r>
      <w:pict>
        <v:shape id="PowerPlusWaterMarkObject167592408" o:spid="_x0000_s1027" o:spt="136" type="#_x0000_t136" style="position:absolute;left:0pt;height:63.6pt;width:572.6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27651">
    <w:pPr>
      <w:pStyle w:val="11"/>
    </w:pPr>
    <w:r>
      <w:pict>
        <v:shape id="PowerPlusWaterMarkObject167592407" o:spid="_x0000_s1026" o:spt="136" type="#_x0000_t136" style="position:absolute;left:0pt;height:63.6pt;width:572.6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47DFC">
    <w:pPr>
      <w:pStyle w:val="11"/>
    </w:pPr>
    <w:r>
      <w:pict>
        <v:shape id="PowerPlusWaterMarkObject167592406" o:spid="_x0000_s1025" o:spt="136" type="#_x0000_t136" style="position:absolute;left:0pt;height:63.6pt;width:572.6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4371F"/>
    <w:multiLevelType w:val="multilevel"/>
    <w:tmpl w:val="6BF4371F"/>
    <w:lvl w:ilvl="0" w:tentative="0">
      <w:start w:val="1"/>
      <w:numFmt w:val="none"/>
      <w:suff w:val="nothing"/>
      <w:lvlText w:val=""/>
      <w:lvlJc w:val="left"/>
      <w:pPr>
        <w:tabs>
          <w:tab w:val="left" w:pos="0"/>
        </w:tabs>
        <w:ind w:left="0" w:firstLine="0"/>
      </w:pPr>
    </w:lvl>
    <w:lvl w:ilvl="1" w:tentative="0">
      <w:start w:val="1"/>
      <w:numFmt w:val="none"/>
      <w:pStyle w:val="2"/>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oustav Datta">
    <w15:presenceInfo w15:providerId="None" w15:userId="Soustav Dat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autoHyphenation/>
  <w:hyphenationZone w:val="0"/>
  <w:characterSpacingControl w:val="doNotCompress"/>
  <w:hdrShapeDefaults>
    <o:shapelayout v:ext="edit">
      <o:idmap v:ext="edit" data="1"/>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4F6D"/>
    <w:rsid w:val="000451E1"/>
    <w:rsid w:val="000E4F6D"/>
    <w:rsid w:val="0034791A"/>
    <w:rsid w:val="003D2DC4"/>
    <w:rsid w:val="009A4129"/>
    <w:rsid w:val="00C020D4"/>
    <w:rsid w:val="00E12951"/>
    <w:rsid w:val="035E581E"/>
    <w:rsid w:val="345A3DB8"/>
    <w:rsid w:val="6C0B0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160" w:line="257" w:lineRule="auto"/>
    </w:pPr>
    <w:rPr>
      <w:rFonts w:ascii="Times New Roman" w:hAnsi="Times New Roman" w:eastAsia="Calibri" w:cs="Times New Roman"/>
      <w:kern w:val="2"/>
      <w:sz w:val="24"/>
      <w:szCs w:val="24"/>
      <w:lang w:val="en-IN" w:eastAsia="zh-CN" w:bidi="ar-SA"/>
    </w:rPr>
  </w:style>
  <w:style w:type="paragraph" w:styleId="2">
    <w:name w:val="heading 2"/>
    <w:basedOn w:val="1"/>
    <w:next w:val="3"/>
    <w:semiHidden/>
    <w:unhideWhenUsed/>
    <w:qFormat/>
    <w:uiPriority w:val="9"/>
    <w:pPr>
      <w:numPr>
        <w:ilvl w:val="1"/>
        <w:numId w:val="1"/>
      </w:numPr>
      <w:spacing w:before="280" w:after="280" w:line="240" w:lineRule="auto"/>
      <w:outlineLvl w:val="1"/>
    </w:pPr>
    <w:rPr>
      <w:rFonts w:eastAsia="Times New Roman"/>
      <w:b/>
      <w:bCs/>
      <w:kern w:val="0"/>
      <w:sz w:val="36"/>
      <w:szCs w:val="36"/>
    </w:rPr>
  </w:style>
  <w:style w:type="paragraph" w:styleId="4">
    <w:name w:val="heading 3"/>
    <w:basedOn w:val="1"/>
    <w:next w:val="1"/>
    <w:semiHidden/>
    <w:unhideWhenUsed/>
    <w:qFormat/>
    <w:uiPriority w:val="9"/>
    <w:pPr>
      <w:keepNext/>
      <w:keepLines/>
      <w:numPr>
        <w:ilvl w:val="2"/>
        <w:numId w:val="1"/>
      </w:numPr>
      <w:spacing w:before="40" w:after="0"/>
      <w:outlineLvl w:val="2"/>
    </w:pPr>
    <w:rPr>
      <w:rFonts w:ascii="Calibri Light" w:hAnsi="Calibri Light" w:eastAsia="Times New Roman"/>
      <w:color w:val="1F3763"/>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40" w:line="276" w:lineRule="auto"/>
    </w:pPr>
  </w:style>
  <w:style w:type="paragraph" w:styleId="7">
    <w:name w:val="caption"/>
    <w:basedOn w:val="1"/>
    <w:qFormat/>
    <w:uiPriority w:val="0"/>
    <w:pPr>
      <w:suppressLineNumbers/>
      <w:spacing w:before="120" w:after="120"/>
    </w:pPr>
    <w:rPr>
      <w:rFonts w:cs="Lohit Devanagari"/>
      <w:i/>
      <w:iCs/>
    </w:rPr>
  </w:style>
  <w:style w:type="paragraph" w:styleId="8">
    <w:name w:val="annotation text"/>
    <w:basedOn w:val="1"/>
    <w:semiHidden/>
    <w:unhideWhenUsed/>
    <w:uiPriority w:val="99"/>
    <w:pPr>
      <w:jc w:val="left"/>
    </w:pPr>
  </w:style>
  <w:style w:type="character" w:styleId="9">
    <w:name w:val="Emphasis"/>
    <w:qFormat/>
    <w:uiPriority w:val="0"/>
    <w:rPr>
      <w:i/>
      <w:iCs/>
    </w:rPr>
  </w:style>
  <w:style w:type="paragraph" w:styleId="10">
    <w:name w:val="footer"/>
    <w:basedOn w:val="1"/>
    <w:link w:val="24"/>
    <w:unhideWhenUsed/>
    <w:uiPriority w:val="99"/>
    <w:pPr>
      <w:tabs>
        <w:tab w:val="center" w:pos="4513"/>
        <w:tab w:val="right" w:pos="9026"/>
      </w:tabs>
    </w:pPr>
  </w:style>
  <w:style w:type="paragraph" w:styleId="11">
    <w:name w:val="header"/>
    <w:basedOn w:val="1"/>
    <w:link w:val="23"/>
    <w:unhideWhenUsed/>
    <w:qFormat/>
    <w:uiPriority w:val="99"/>
    <w:pPr>
      <w:tabs>
        <w:tab w:val="center" w:pos="4513"/>
        <w:tab w:val="right" w:pos="9026"/>
      </w:tabs>
    </w:pPr>
  </w:style>
  <w:style w:type="character" w:styleId="12">
    <w:name w:val="Hyperlink"/>
    <w:qFormat/>
    <w:uiPriority w:val="0"/>
    <w:rPr>
      <w:color w:val="0000FF"/>
      <w:u w:val="single"/>
    </w:rPr>
  </w:style>
  <w:style w:type="paragraph" w:styleId="13">
    <w:name w:val="List"/>
    <w:basedOn w:val="3"/>
    <w:qFormat/>
    <w:uiPriority w:val="0"/>
    <w:rPr>
      <w:rFonts w:cs="Lohit Devanagari"/>
    </w:rPr>
  </w:style>
  <w:style w:type="paragraph" w:styleId="14">
    <w:name w:val="Normal (Web)"/>
    <w:basedOn w:val="1"/>
    <w:qFormat/>
    <w:uiPriority w:val="0"/>
    <w:pPr>
      <w:spacing w:before="280" w:after="280" w:line="240" w:lineRule="auto"/>
    </w:pPr>
    <w:rPr>
      <w:rFonts w:eastAsia="Times New Roman"/>
      <w:kern w:val="0"/>
    </w:rPr>
  </w:style>
  <w:style w:type="character" w:styleId="15">
    <w:name w:val="Strong"/>
    <w:qFormat/>
    <w:uiPriority w:val="0"/>
    <w:rPr>
      <w:b/>
      <w:bCs/>
    </w:rPr>
  </w:style>
  <w:style w:type="character" w:customStyle="1" w:styleId="16">
    <w:name w:val="Heading 2 Char"/>
    <w:qFormat/>
    <w:uiPriority w:val="0"/>
    <w:rPr>
      <w:rFonts w:eastAsia="Times New Roman"/>
      <w:b/>
      <w:bCs/>
      <w:kern w:val="0"/>
      <w:sz w:val="36"/>
      <w:szCs w:val="36"/>
    </w:rPr>
  </w:style>
  <w:style w:type="character" w:customStyle="1" w:styleId="17">
    <w:name w:val="Heading 3 Char"/>
    <w:qFormat/>
    <w:uiPriority w:val="0"/>
    <w:rPr>
      <w:rFonts w:ascii="Calibri Light" w:hAnsi="Calibri Light" w:eastAsia="Times New Roman" w:cs="Times New Roman"/>
      <w:color w:val="1F3763"/>
    </w:rPr>
  </w:style>
  <w:style w:type="character" w:customStyle="1" w:styleId="18">
    <w:name w:val="Unresolved Mention"/>
    <w:qFormat/>
    <w:uiPriority w:val="0"/>
    <w:rPr>
      <w:color w:val="605E5C"/>
      <w:shd w:val="clear" w:color="auto" w:fill="E1DFDD"/>
    </w:rPr>
  </w:style>
  <w:style w:type="paragraph" w:customStyle="1" w:styleId="19">
    <w:name w:val="Heading"/>
    <w:basedOn w:val="1"/>
    <w:next w:val="3"/>
    <w:qFormat/>
    <w:uiPriority w:val="0"/>
    <w:pPr>
      <w:keepNext/>
      <w:spacing w:before="240" w:after="120"/>
    </w:pPr>
    <w:rPr>
      <w:rFonts w:ascii="Liberation Sans" w:hAnsi="Liberation Sans" w:eastAsia="Noto Sans CJK SC" w:cs="Lohit Devanagari"/>
      <w:sz w:val="28"/>
      <w:szCs w:val="28"/>
    </w:rPr>
  </w:style>
  <w:style w:type="paragraph" w:customStyle="1" w:styleId="20">
    <w:name w:val="Index"/>
    <w:basedOn w:val="1"/>
    <w:qFormat/>
    <w:uiPriority w:val="0"/>
    <w:pPr>
      <w:suppressLineNumbers/>
    </w:pPr>
    <w:rPr>
      <w:rFonts w:cs="Lohit Devanagari"/>
    </w:rPr>
  </w:style>
  <w:style w:type="paragraph" w:customStyle="1" w:styleId="21">
    <w:name w:val="Table Contents"/>
    <w:basedOn w:val="1"/>
    <w:qFormat/>
    <w:uiPriority w:val="0"/>
    <w:pPr>
      <w:widowControl w:val="0"/>
      <w:suppressLineNumbers/>
    </w:pPr>
  </w:style>
  <w:style w:type="paragraph" w:customStyle="1" w:styleId="22">
    <w:name w:val="Table Heading"/>
    <w:basedOn w:val="21"/>
    <w:qFormat/>
    <w:uiPriority w:val="0"/>
    <w:pPr>
      <w:jc w:val="center"/>
    </w:pPr>
    <w:rPr>
      <w:b/>
      <w:bCs/>
    </w:rPr>
  </w:style>
  <w:style w:type="character" w:customStyle="1" w:styleId="23">
    <w:name w:val="Header Char"/>
    <w:link w:val="11"/>
    <w:qFormat/>
    <w:uiPriority w:val="99"/>
    <w:rPr>
      <w:rFonts w:ascii="Times New Roman" w:hAnsi="Times New Roman" w:eastAsia="Calibri" w:cs="Times New Roman"/>
      <w:kern w:val="2"/>
      <w:sz w:val="24"/>
      <w:szCs w:val="24"/>
      <w:lang w:val="en-IN" w:eastAsia="zh-CN"/>
    </w:rPr>
  </w:style>
  <w:style w:type="character" w:customStyle="1" w:styleId="24">
    <w:name w:val="Footer Char"/>
    <w:link w:val="10"/>
    <w:uiPriority w:val="99"/>
    <w:rPr>
      <w:rFonts w:ascii="Times New Roman" w:hAnsi="Times New Roman" w:eastAsia="Calibri" w:cs="Times New Roman"/>
      <w:kern w:val="2"/>
      <w:sz w:val="24"/>
      <w:szCs w:val="24"/>
      <w:lang w:val="en-IN" w:eastAsia="zh-CN"/>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3099</Words>
  <Characters>19756</Characters>
  <Lines>162</Lines>
  <Paragraphs>45</Paragraphs>
  <TotalTime>1</TotalTime>
  <ScaleCrop>false</ScaleCrop>
  <LinksUpToDate>false</LinksUpToDate>
  <CharactersWithSpaces>22455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2026-10-14T12:53:00Z</dcterms:created>
  <dc:creator>VEERA SHANKAR</dc:creator>
  <cp:lastModifiedBy>Soustav Datta</cp:lastModifiedBy>
  <dcterms:modified xsi:type="dcterms:W3CDTF">2026-09-14T17:20:50Z</dcterms:modified>
  <dc:title>Morphological Characterization and Diversity of Leaf Traits among Jackfruit Genotypes in the Rayalaseema Region of Andhra Pradesh, India</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eyJoZGlkIjoiZjRlZTQ5NTljYzNhMDMwYmI0YWVjMjZmMDI5NDM2NjEifQ==</vt:lpwstr>
  </property>
  <property fmtid="{D5CDD505-2E9C-101B-9397-08002B2CF9AE}" pid="3" name="KSOProductBuildVer">
    <vt:lpwstr>1033-12.1.0.28485</vt:lpwstr>
  </property>
  <property fmtid="{D5CDD505-2E9C-101B-9397-08002B2CF9AE}" pid="4" name="ICV">
    <vt:lpwstr>A78500C2D40E4656A7693F0882B2A727_12</vt:lpwstr>
  </property>
</Properties>
</file>