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EC8FF" w14:textId="77777777" w:rsidR="00670611" w:rsidRPr="00670611" w:rsidRDefault="00670611" w:rsidP="00624032">
      <w:pPr>
        <w:spacing w:line="240" w:lineRule="auto"/>
        <w:jc w:val="center"/>
        <w:rPr>
          <w:b/>
          <w:bCs/>
          <w:sz w:val="32"/>
          <w:szCs w:val="32"/>
        </w:rPr>
      </w:pPr>
      <w:commentRangeStart w:id="0"/>
      <w:r>
        <w:rPr>
          <w:b/>
          <w:bCs/>
          <w:sz w:val="32"/>
          <w:szCs w:val="32"/>
        </w:rPr>
        <w:t>Language as a Situational Adapter: A Study of Conversational Variation Across Contexts</w:t>
      </w:r>
      <w:commentRangeEnd w:id="0"/>
      <w:r w:rsidRPr="00670611">
        <w:rPr>
          <w:rStyle w:val="CommentReference"/>
          <w:b/>
          <w:bCs/>
          <w:sz w:val="32"/>
          <w:szCs w:val="32"/>
        </w:rPr>
        <w:commentReference w:id="0"/>
      </w:r>
    </w:p>
    <w:p w14:paraId="5DA8D483" w14:textId="77777777" w:rsidR="00820A34" w:rsidRDefault="00820A34" w:rsidP="00670611">
      <w:pPr>
        <w:jc w:val="center"/>
        <w:rPr>
          <w:rFonts w:cs="Times New Roman"/>
          <w:b/>
          <w:bCs/>
          <w:szCs w:val="24"/>
        </w:rPr>
      </w:pPr>
    </w:p>
    <w:p w14:paraId="26C4DC84" w14:textId="77777777" w:rsidR="00820A34" w:rsidRDefault="00820A34" w:rsidP="00670611">
      <w:pPr>
        <w:jc w:val="center"/>
        <w:rPr>
          <w:rFonts w:cs="Times New Roman"/>
          <w:b/>
          <w:bCs/>
          <w:szCs w:val="24"/>
        </w:rPr>
      </w:pPr>
    </w:p>
    <w:p w14:paraId="3D505DDF" w14:textId="48DE82C4" w:rsidR="00717EA4" w:rsidRPr="002538AF" w:rsidRDefault="00C540C4" w:rsidP="002538AF">
      <w:pPr>
        <w:spacing w:after="200" w:line="276" w:lineRule="auto"/>
        <w:rPr>
          <w:rFonts w:eastAsiaTheme="majorEastAsia" w:cs="Times New Roman"/>
          <w:b/>
          <w:bCs/>
          <w:sz w:val="28"/>
          <w:szCs w:val="28"/>
        </w:rPr>
      </w:pPr>
      <w:r>
        <w:rPr>
          <w:rFonts w:cs="Times New Roman"/>
          <w:b/>
          <w:bCs/>
        </w:rPr>
        <w:t>Abstract</w:t>
      </w:r>
    </w:p>
    <w:p w14:paraId="4F2E1472" w14:textId="51280419" w:rsidR="00717EA4" w:rsidRPr="002538AF" w:rsidRDefault="00C540C4" w:rsidP="00C37406">
      <w:pPr>
        <w:spacing w:line="240" w:lineRule="auto"/>
        <w:jc w:val="both"/>
        <w:rPr>
          <w:rFonts w:cs="Times New Roman"/>
        </w:rPr>
      </w:pPr>
      <w:r>
        <w:rPr>
          <w:rFonts w:cs="Times New Roman"/>
        </w:rPr>
        <w:t xml:space="preserve">Language is not a fixed stock of words and grammatical rules that exists apart from social life. Speakers keep reshaping their vocabulary, syntax, politeness, terminology, level of explicitness, turn-taking and even pronunciation according to who they are talking to, what institutional roles are in play, what the interaction is meant to achieve and what is at stake in it. This article looks at language as a “situational adaptor” by means of a qualitative, discourse-analytic comparison of </w:t>
      </w:r>
      <w:commentRangeStart w:id="1"/>
      <w:r>
        <w:rPr>
          <w:rFonts w:cs="Times New Roman"/>
        </w:rPr>
        <w:t>conversational practice in legal, medical, commercial/market, classroom, hierarchical workplace, business and interview settings</w:t>
      </w:r>
      <w:commentRangeEnd w:id="1"/>
      <w:r>
        <w:rPr>
          <w:rStyle w:val="CommentReference"/>
          <w:rFonts w:cs="Times New Roman"/>
          <w:sz w:val="22"/>
          <w:szCs w:val="22"/>
        </w:rPr>
        <w:commentReference w:id="1"/>
      </w:r>
      <w:r>
        <w:rPr>
          <w:rFonts w:cs="Times New Roman"/>
        </w:rPr>
        <w:t>. It draws on register theory, the ethnography of communication, contextualization theory, audience design and Communication Accommodation Theory, and argues that effective speakers do more than know a standard language: they command a repertoire of context-sensitive options and know when to use each one. The illustrative dialogues are built from documented linguistic principles and research findings, and they are not verbatim transcripts unless stated otherwise. The analysis shows that one and the same propositional meaning can be expressed in very different registers. A lawyer may favor precise, institutionally conventional wording; a clinician may move between technical terms and lay explanation; a market seller may use bargaining-oriented, relational and locally intelligible forms; a teacher may alternate between pedagogic metalanguage and accessible explanation; and a subordinate may soften disagreement when speaking to a superior. It also separates grammatical correctness from pragmatic appropriateness, and holds that “standard language” is not one universal style fit for every communicative situation. Situational adaptability is therefore presented as a central part of communicative competence, professional effectiveness and social meaning.</w:t>
      </w:r>
    </w:p>
    <w:p w14:paraId="672AFDD3" w14:textId="77777777" w:rsidR="00C37406" w:rsidRDefault="00C37406" w:rsidP="00C37406">
      <w:pPr>
        <w:spacing w:line="240" w:lineRule="auto"/>
        <w:jc w:val="both"/>
        <w:rPr>
          <w:rFonts w:cs="Times New Roman"/>
        </w:rPr>
      </w:pPr>
    </w:p>
    <w:p w14:paraId="50C44558" w14:textId="465F6768" w:rsidR="002538AF" w:rsidRDefault="00C540C4" w:rsidP="00C37406">
      <w:pPr>
        <w:spacing w:line="240" w:lineRule="auto"/>
        <w:jc w:val="both"/>
        <w:rPr>
          <w:rFonts w:cs="Times New Roman"/>
        </w:rPr>
      </w:pPr>
      <w:r>
        <w:rPr>
          <w:rFonts w:cs="Times New Roman"/>
          <w:b/>
          <w:bCs/>
        </w:rPr>
        <w:t>Keywords</w:t>
      </w:r>
      <w:r>
        <w:rPr>
          <w:rFonts w:cs="Times New Roman"/>
        </w:rPr>
        <w:t>: situational adaptation, conversational change, accommodation, pragmatics, language variation</w:t>
      </w:r>
    </w:p>
    <w:p w14:paraId="1B4D5C88" w14:textId="77777777" w:rsidR="002538AF" w:rsidRDefault="002538AF">
      <w:pPr>
        <w:spacing w:after="200" w:line="276" w:lineRule="auto"/>
        <w:rPr>
          <w:rFonts w:cs="Times New Roman"/>
          <w:b/>
          <w:bCs/>
        </w:rPr>
      </w:pPr>
      <w:r>
        <w:rPr>
          <w:rFonts w:cs="Times New Roman"/>
          <w:b/>
          <w:bCs/>
        </w:rPr>
        <w:br w:type="page"/>
      </w:r>
    </w:p>
    <w:p w14:paraId="0111C56C" w14:textId="14A50F6C" w:rsidR="00717EA4" w:rsidRPr="002538AF" w:rsidRDefault="00C540C4" w:rsidP="002538AF">
      <w:pPr>
        <w:spacing w:line="480" w:lineRule="auto"/>
        <w:jc w:val="both"/>
        <w:rPr>
          <w:rFonts w:cs="Times New Roman"/>
        </w:rPr>
      </w:pPr>
      <w:r>
        <w:rPr>
          <w:rFonts w:cs="Times New Roman"/>
          <w:b/>
          <w:bCs/>
        </w:rPr>
        <w:lastRenderedPageBreak/>
        <w:t>Introduction</w:t>
      </w:r>
    </w:p>
    <w:p w14:paraId="21CF62B4" w14:textId="0B802ED0" w:rsidR="00717EA4" w:rsidRPr="002538AF" w:rsidRDefault="00C540C4" w:rsidP="002538AF">
      <w:pPr>
        <w:spacing w:line="480" w:lineRule="auto"/>
        <w:jc w:val="both"/>
        <w:rPr>
          <w:rFonts w:cs="Times New Roman"/>
        </w:rPr>
      </w:pPr>
      <w:r>
        <w:rPr>
          <w:rFonts w:cs="Times New Roman"/>
        </w:rPr>
        <w:t>Human communication is both linguistic and social. Speakers rarely choose words, sentence structures, degrees of formality and interactional strategies in a social vacuum. The form an utterance takes depends on the context, which are: who is speaking, to whom, about what, where, for what purpose, and with what institutional or interpersonal consequences. In that sense language can be described, metaphorically, as a situational adaptor, since it adjusts its visible form to what the communicative environment demands. Register scholarship has long shown that people vary both spoken and written production according to the features of the situation and the purpose of the communication (Biber &amp; Conrad, 2009; Conrad, 2026). Halliday and Hasan (1989) in the same way treat register as functional variation tied to the context of situation.</w:t>
      </w:r>
    </w:p>
    <w:p w14:paraId="2C0A5C26" w14:textId="77777777" w:rsidR="00717EA4" w:rsidRPr="002538AF" w:rsidRDefault="00C540C4" w:rsidP="002538AF">
      <w:pPr>
        <w:spacing w:line="480" w:lineRule="auto"/>
        <w:jc w:val="both"/>
        <w:rPr>
          <w:rFonts w:cs="Times New Roman"/>
        </w:rPr>
      </w:pPr>
      <w:r>
        <w:rPr>
          <w:rFonts w:cs="Times New Roman"/>
        </w:rPr>
        <w:t>The idea carries special weight in multilingual and socially stratified settings such as Nigeria, where speakers regularly move between formal English, Nigerian English varieties, professional terminology, institutional language, informal speech, and local languages or codes. A lecturer may draw on one repertoire in a Senate meeting, another in the classroom and a third when haggling in a market. Such differences need not signal inconsistency or a lack of linguistic ability. They may instead reflect a sophisticated skill in matching linguistic resources to participants, purposes and expectations.</w:t>
      </w:r>
    </w:p>
    <w:p w14:paraId="247DEB18" w14:textId="77777777" w:rsidR="00717EA4" w:rsidRPr="002538AF" w:rsidRDefault="00C540C4" w:rsidP="002538AF">
      <w:pPr>
        <w:spacing w:line="480" w:lineRule="auto"/>
        <w:jc w:val="both"/>
        <w:rPr>
          <w:rFonts w:cs="Times New Roman"/>
        </w:rPr>
      </w:pPr>
      <w:commentRangeStart w:id="2"/>
      <w:r>
        <w:rPr>
          <w:rFonts w:cs="Times New Roman"/>
        </w:rPr>
        <w:t>The central argument here is that linguistic competence cannot be reduced to command of “standard” grammar.</w:t>
      </w:r>
      <w:commentRangeEnd w:id="2"/>
      <w:r>
        <w:rPr>
          <w:rStyle w:val="CommentReference"/>
          <w:rFonts w:cs="Times New Roman"/>
          <w:sz w:val="22"/>
          <w:szCs w:val="22"/>
        </w:rPr>
        <w:commentReference w:id="2"/>
      </w:r>
      <w:r>
        <w:rPr>
          <w:rFonts w:cs="Times New Roman"/>
        </w:rPr>
        <w:t xml:space="preserve"> Hymes (1972) widened the notion of competence by stressing knowledge of how grammatical resources are properly used in different social situations. Gumperz (1982) showed that interpreting conversation depends on contextualization cues, meaning the linguistic and prosodic signals through which participants work out what activity is under way and how an utterance is to be understood. Bell’s (1984) audience-design model adds that stylistic choices respond systematically to the audience, and Communication Accommodation Theory explains how speakers may converge toward, or diverge from, the communicative patterns of those they address (Giles et al., 1991).</w:t>
      </w:r>
    </w:p>
    <w:p w14:paraId="5D930796" w14:textId="77777777" w:rsidR="00AD5EAE" w:rsidRDefault="00C540C4" w:rsidP="00AD5EAE">
      <w:pPr>
        <w:spacing w:line="480" w:lineRule="auto"/>
        <w:jc w:val="both"/>
        <w:rPr>
          <w:rFonts w:cs="Times New Roman"/>
        </w:rPr>
      </w:pPr>
      <w:r>
        <w:rPr>
          <w:rFonts w:cs="Times New Roman"/>
        </w:rPr>
        <w:t xml:space="preserve">Four questions guide the article: (1) How does conversational language change when the context, the relationship between participants or the communicative purpose changes? </w:t>
      </w:r>
      <w:commentRangeStart w:id="3"/>
      <w:r>
        <w:rPr>
          <w:rFonts w:cs="Times New Roman"/>
        </w:rPr>
        <w:t>(2) Which lexical, syntactic, pragmatic and interactional features set the major professional and everyday contexts apart?</w:t>
      </w:r>
      <w:commentRangeEnd w:id="3"/>
      <w:r>
        <w:rPr>
          <w:rStyle w:val="CommentReference"/>
          <w:rFonts w:cs="Times New Roman"/>
          <w:sz w:val="22"/>
          <w:szCs w:val="22"/>
        </w:rPr>
        <w:commentReference w:id="3"/>
      </w:r>
      <w:r>
        <w:rPr>
          <w:rFonts w:cs="Times New Roman"/>
        </w:rPr>
        <w:t xml:space="preserve"> (3) What does this </w:t>
      </w:r>
      <w:r>
        <w:rPr>
          <w:rFonts w:cs="Times New Roman"/>
        </w:rPr>
        <w:lastRenderedPageBreak/>
        <w:t>variation tell us about the relationship between standard language and communicative appropriateness? and (4) Why should situational adaptability count as a component of communicative competence?</w:t>
      </w:r>
    </w:p>
    <w:p w14:paraId="6B33E0CC" w14:textId="77777777" w:rsidR="00DD3F87" w:rsidRDefault="00C540C4" w:rsidP="00DD3F87">
      <w:pPr>
        <w:spacing w:line="480" w:lineRule="auto"/>
        <w:jc w:val="both"/>
        <w:rPr>
          <w:rFonts w:cs="Times New Roman"/>
          <w:b/>
          <w:bCs/>
          <w:sz w:val="24"/>
          <w:szCs w:val="24"/>
        </w:rPr>
      </w:pPr>
      <w:r>
        <w:rPr>
          <w:rFonts w:cs="Times New Roman"/>
          <w:b/>
          <w:bCs/>
          <w:sz w:val="24"/>
          <w:szCs w:val="24"/>
        </w:rPr>
        <w:t>Conceptual Clarifications</w:t>
      </w:r>
    </w:p>
    <w:p w14:paraId="66AC7FDB" w14:textId="344F8F29" w:rsidR="00717EA4" w:rsidRPr="00DD3F87" w:rsidRDefault="00C540C4" w:rsidP="00DD3F87">
      <w:pPr>
        <w:spacing w:line="480" w:lineRule="auto"/>
        <w:jc w:val="both"/>
        <w:rPr>
          <w:rFonts w:cs="Times New Roman"/>
          <w:b/>
          <w:bCs/>
          <w:sz w:val="28"/>
          <w:szCs w:val="28"/>
        </w:rPr>
      </w:pPr>
      <w:r>
        <w:rPr>
          <w:rFonts w:cs="Times New Roman"/>
          <w:b/>
          <w:bCs/>
          <w:sz w:val="24"/>
          <w:szCs w:val="24"/>
        </w:rPr>
        <w:t>Language, register, style and context</w:t>
      </w:r>
    </w:p>
    <w:p w14:paraId="02B1F524" w14:textId="77777777" w:rsidR="00717EA4" w:rsidRPr="002538AF" w:rsidRDefault="00C540C4" w:rsidP="002538AF">
      <w:pPr>
        <w:spacing w:line="480" w:lineRule="auto"/>
        <w:jc w:val="both"/>
        <w:rPr>
          <w:rFonts w:cs="Times New Roman"/>
        </w:rPr>
      </w:pPr>
      <w:r>
        <w:rPr>
          <w:rFonts w:cs="Times New Roman"/>
        </w:rPr>
        <w:t>Language is an organized semiotic resource with which speakers build meanings, identities, relationships and actions. Register means recurrent patterns of linguistic choice linked to particular situations, purposes and activities. Biber and Conrad (2009) set register apart from the neighboring notions of genre and style: register has to do with linguistic patterns conditioned by situation, genre with conventional ways of organizing discourse to reach communicative purposes, and style with the characteristic preferences of an individual or group. The three overlap in practice, but the distinctions remain useful for analysis.</w:t>
      </w:r>
    </w:p>
    <w:p w14:paraId="62F55D34" w14:textId="77777777" w:rsidR="00DD3F87" w:rsidRDefault="00C540C4" w:rsidP="00DD3F87">
      <w:pPr>
        <w:spacing w:line="480" w:lineRule="auto"/>
        <w:jc w:val="both"/>
        <w:rPr>
          <w:rFonts w:cs="Times New Roman"/>
        </w:rPr>
      </w:pPr>
      <w:r>
        <w:rPr>
          <w:rFonts w:cs="Times New Roman"/>
        </w:rPr>
        <w:t>Halliday and Hasan (1989) offer an especially influential account in which the context of situation is described through field, tenor and mode. Field is what is going on, the social activity; tenor is who the participants are and how they relate; and mode is the part language plays in the activity and how it is organized. A courtroom, a hospital, a market, a lecture room and a job interview thus create different expectations because their fields, tenors and modes are different.</w:t>
      </w:r>
    </w:p>
    <w:p w14:paraId="691EC26F" w14:textId="16A8C0B3" w:rsidR="00717EA4" w:rsidRPr="00DD3F87" w:rsidRDefault="00C540C4" w:rsidP="00DD3F87">
      <w:pPr>
        <w:spacing w:line="480" w:lineRule="auto"/>
        <w:jc w:val="both"/>
        <w:rPr>
          <w:rFonts w:cs="Times New Roman"/>
          <w:b/>
          <w:bCs/>
          <w:sz w:val="24"/>
          <w:szCs w:val="24"/>
        </w:rPr>
      </w:pPr>
      <w:r>
        <w:rPr>
          <w:rFonts w:cs="Times New Roman"/>
          <w:b/>
          <w:bCs/>
          <w:sz w:val="24"/>
          <w:szCs w:val="24"/>
        </w:rPr>
        <w:t>Standard language versus appropriate language</w:t>
      </w:r>
    </w:p>
    <w:p w14:paraId="5C16036B" w14:textId="77777777" w:rsidR="00717EA4" w:rsidRPr="002538AF" w:rsidRDefault="00C540C4" w:rsidP="002538AF">
      <w:pPr>
        <w:spacing w:line="480" w:lineRule="auto"/>
        <w:jc w:val="both"/>
        <w:rPr>
          <w:rFonts w:cs="Times New Roman"/>
        </w:rPr>
      </w:pPr>
      <w:r>
        <w:rPr>
          <w:rFonts w:cs="Times New Roman"/>
        </w:rPr>
        <w:t>“Standard language” and “appropriate language” are not synonyms. Standardization concerns socially recognized norms of linguistic form, while appropriateness concerns whether a given choice suits a particular social activity. A very formal expression can be grammatically flawless and still out of place in a friendly market exchange; an informal one can be perfectly suitable among close friends and yet wrong in a judicial proceeding. Communicative competence includes being able to see this difference.</w:t>
      </w:r>
    </w:p>
    <w:p w14:paraId="39A9E963" w14:textId="77777777" w:rsidR="00DD3F87" w:rsidRDefault="00C540C4" w:rsidP="00DD3F87">
      <w:pPr>
        <w:spacing w:line="480" w:lineRule="auto"/>
        <w:jc w:val="both"/>
        <w:rPr>
          <w:rFonts w:cs="Times New Roman"/>
        </w:rPr>
      </w:pPr>
      <w:r>
        <w:rPr>
          <w:rFonts w:cs="Times New Roman"/>
        </w:rPr>
        <w:t xml:space="preserve">Professional communication is affected too. </w:t>
      </w:r>
      <w:commentRangeStart w:id="4"/>
      <w:r>
        <w:rPr>
          <w:rFonts w:cs="Times New Roman"/>
        </w:rPr>
        <w:t>Recent research on professional discourse points out that institutional norms, power relations, goals, specialized terminology and genre conventions all shape professional language (Statham, 2025).</w:t>
      </w:r>
      <w:commentRangeEnd w:id="4"/>
      <w:r>
        <w:rPr>
          <w:rStyle w:val="CommentReference"/>
          <w:rFonts w:cs="Times New Roman"/>
          <w:sz w:val="22"/>
          <w:szCs w:val="22"/>
        </w:rPr>
        <w:commentReference w:id="4"/>
      </w:r>
      <w:r>
        <w:rPr>
          <w:rFonts w:cs="Times New Roman"/>
        </w:rPr>
        <w:t xml:space="preserve"> Competence in a profession therefore covers when a technical term should be used, with whom and whether it must be explained, as well as what it means.</w:t>
      </w:r>
    </w:p>
    <w:p w14:paraId="1C345072" w14:textId="77777777" w:rsidR="00DD3F87" w:rsidRDefault="00DD3F87" w:rsidP="00DD3F87">
      <w:pPr>
        <w:spacing w:line="480" w:lineRule="auto"/>
        <w:jc w:val="both"/>
        <w:rPr>
          <w:rFonts w:cs="Times New Roman"/>
        </w:rPr>
      </w:pPr>
    </w:p>
    <w:p w14:paraId="265505A6" w14:textId="77777777" w:rsidR="00DD3F87" w:rsidRDefault="00C540C4" w:rsidP="00DD3F87">
      <w:pPr>
        <w:spacing w:line="480" w:lineRule="auto"/>
        <w:jc w:val="both"/>
        <w:rPr>
          <w:rFonts w:cs="Times New Roman"/>
          <w:b/>
          <w:bCs/>
          <w:sz w:val="24"/>
          <w:szCs w:val="24"/>
        </w:rPr>
      </w:pPr>
      <w:r>
        <w:rPr>
          <w:rFonts w:cs="Times New Roman"/>
          <w:b/>
          <w:bCs/>
          <w:sz w:val="24"/>
          <w:szCs w:val="24"/>
        </w:rPr>
        <w:t>Theoretical Framework</w:t>
      </w:r>
    </w:p>
    <w:p w14:paraId="08500B01" w14:textId="4FAFCCEA" w:rsidR="00717EA4" w:rsidRPr="00DD3F87" w:rsidRDefault="00C540C4" w:rsidP="00DD3F87">
      <w:pPr>
        <w:spacing w:line="480" w:lineRule="auto"/>
        <w:jc w:val="both"/>
        <w:rPr>
          <w:rFonts w:cs="Times New Roman"/>
          <w:b/>
          <w:bCs/>
          <w:sz w:val="28"/>
          <w:szCs w:val="28"/>
        </w:rPr>
      </w:pPr>
      <w:r>
        <w:rPr>
          <w:rFonts w:cs="Times New Roman"/>
          <w:b/>
          <w:bCs/>
          <w:sz w:val="24"/>
          <w:szCs w:val="24"/>
        </w:rPr>
        <w:t>Hallidayan register theory</w:t>
      </w:r>
    </w:p>
    <w:p w14:paraId="388BE570" w14:textId="77777777" w:rsidR="00DD3F87" w:rsidRDefault="00C540C4" w:rsidP="00DD3F87">
      <w:pPr>
        <w:spacing w:line="480" w:lineRule="auto"/>
        <w:jc w:val="both"/>
        <w:rPr>
          <w:rFonts w:cs="Times New Roman"/>
        </w:rPr>
      </w:pPr>
      <w:r>
        <w:rPr>
          <w:rFonts w:cs="Times New Roman"/>
        </w:rPr>
        <w:t>Halliday and Hasan’s (1989) social-semiotic approach supplies the first analytical foundation. This study uses field, tenor and mode to explain why speakers change their vocabulary, grammar and interactional organization. In a medical consultation, for instance, the field is diagnosis and care; the tenor is an unequal but ideally cooperative relationship between clinician and patient; and the mode is usually face-to-face talk backed up by written or digital records. A courtroom has a different field, a more tightly regulated tenor and highly conventionalized ways of questioning, answering and presenting evidence.</w:t>
      </w:r>
    </w:p>
    <w:p w14:paraId="2C0B1603" w14:textId="69EDCE21" w:rsidR="00717EA4" w:rsidRPr="00DD3F87" w:rsidRDefault="00C540C4" w:rsidP="00DD3F87">
      <w:pPr>
        <w:spacing w:line="480" w:lineRule="auto"/>
        <w:jc w:val="both"/>
        <w:rPr>
          <w:rFonts w:cs="Times New Roman"/>
          <w:b/>
          <w:bCs/>
          <w:sz w:val="24"/>
          <w:szCs w:val="24"/>
        </w:rPr>
      </w:pPr>
      <w:r>
        <w:rPr>
          <w:rFonts w:cs="Times New Roman"/>
          <w:b/>
          <w:bCs/>
          <w:sz w:val="24"/>
          <w:szCs w:val="24"/>
        </w:rPr>
        <w:t>Ethnography of communication and communicative competence</w:t>
      </w:r>
    </w:p>
    <w:p w14:paraId="43316316" w14:textId="77777777" w:rsidR="00DD3F87" w:rsidRDefault="00C540C4" w:rsidP="00DD3F87">
      <w:pPr>
        <w:spacing w:line="480" w:lineRule="auto"/>
        <w:jc w:val="both"/>
        <w:rPr>
          <w:rFonts w:cs="Times New Roman"/>
        </w:rPr>
      </w:pPr>
      <w:r>
        <w:rPr>
          <w:rFonts w:cs="Times New Roman"/>
        </w:rPr>
        <w:t>Hymes (1972) argued that knowing a language means more than knowing what its grammar allows. Speakers also acquire culturally and socially appropriate ways of speaking. The question, then, is not just whether an utterance is grammatical but whether it is appropriate, possible, acceptable and effective in the speech event at hand. This view bears particularly on institutional interaction, where participants are expected to recognize the rules governing turn-taking, forms of address, politeness and permissible topics.</w:t>
      </w:r>
    </w:p>
    <w:p w14:paraId="11B90942" w14:textId="2316F7E9" w:rsidR="00717EA4" w:rsidRPr="00DD3F87" w:rsidRDefault="00C540C4" w:rsidP="00DD3F87">
      <w:pPr>
        <w:spacing w:line="480" w:lineRule="auto"/>
        <w:jc w:val="both"/>
        <w:rPr>
          <w:rFonts w:cs="Times New Roman"/>
          <w:b/>
          <w:bCs/>
          <w:sz w:val="24"/>
          <w:szCs w:val="24"/>
        </w:rPr>
      </w:pPr>
      <w:r>
        <w:rPr>
          <w:rFonts w:cs="Times New Roman"/>
          <w:b/>
          <w:bCs/>
          <w:sz w:val="24"/>
          <w:szCs w:val="24"/>
        </w:rPr>
        <w:t>Contextualization cues</w:t>
      </w:r>
    </w:p>
    <w:p w14:paraId="1D21E4B9" w14:textId="77777777" w:rsidR="00DD3F87" w:rsidRDefault="00C540C4" w:rsidP="00DD3F87">
      <w:pPr>
        <w:spacing w:line="480" w:lineRule="auto"/>
        <w:jc w:val="both"/>
        <w:rPr>
          <w:rFonts w:cs="Times New Roman"/>
        </w:rPr>
      </w:pPr>
      <w:r>
        <w:rPr>
          <w:rFonts w:cs="Times New Roman"/>
        </w:rPr>
        <w:t>Gumperz (1982, pp. 130–152) shows that speakers rely on contextualization cues to signal how an utterance should be interpreted. These cues can include word choice, syntax, prosody, rhythm, choice of code and formulaic expressions, so the same words can carry different interactional meanings depending on how and where they are produced. In multilingual societies code-switching can itself serve as a contextualization cue, marking intimacy, authority, solidarity, a change of topic or an institutional frame.</w:t>
      </w:r>
    </w:p>
    <w:p w14:paraId="09E95CF9" w14:textId="46F0C0D1" w:rsidR="00717EA4" w:rsidRPr="00DD3F87" w:rsidRDefault="00C540C4" w:rsidP="00DD3F87">
      <w:pPr>
        <w:spacing w:line="480" w:lineRule="auto"/>
        <w:jc w:val="both"/>
        <w:rPr>
          <w:rFonts w:cs="Times New Roman"/>
          <w:b/>
          <w:bCs/>
          <w:sz w:val="24"/>
          <w:szCs w:val="24"/>
        </w:rPr>
      </w:pPr>
      <w:r>
        <w:rPr>
          <w:rFonts w:cs="Times New Roman"/>
          <w:b/>
          <w:bCs/>
          <w:sz w:val="24"/>
          <w:szCs w:val="24"/>
        </w:rPr>
        <w:t>Audience design and Communication Accommodation Theory</w:t>
      </w:r>
    </w:p>
    <w:p w14:paraId="58A0618C" w14:textId="77777777" w:rsidR="00717EA4" w:rsidRPr="002538AF" w:rsidRDefault="00C540C4" w:rsidP="002538AF">
      <w:pPr>
        <w:spacing w:line="480" w:lineRule="auto"/>
        <w:jc w:val="both"/>
        <w:rPr>
          <w:rFonts w:cs="Times New Roman"/>
        </w:rPr>
      </w:pPr>
      <w:r>
        <w:rPr>
          <w:rFonts w:cs="Times New Roman"/>
        </w:rPr>
        <w:t xml:space="preserve">Bell (1984, 2008) proposes that stylistic variation is fundamentally tied to audience. Speakers shape their speech with their addressees in mind, while other listeners may have secondary effects. Giles, Coupland, and Coupland (1991) likewise describe accommodation as a process in which speakers modify their </w:t>
      </w:r>
      <w:r>
        <w:rPr>
          <w:rFonts w:cs="Times New Roman"/>
        </w:rPr>
        <w:lastRenderedPageBreak/>
        <w:t>communicative behavior in response to contextual and interpersonal factors. Accommodation can take the form of convergence, moving toward another person’s speech style, or divergence, stressing difference. Adaptation is not always conscious imitation, importantly; it may be strategic, conventional, bound up with identity or imposed by an institution.</w:t>
      </w:r>
    </w:p>
    <w:p w14:paraId="6B7493A5" w14:textId="77777777" w:rsidR="00DD3F87" w:rsidRDefault="00C540C4" w:rsidP="00DD3F87">
      <w:pPr>
        <w:spacing w:line="480" w:lineRule="auto"/>
        <w:jc w:val="both"/>
        <w:rPr>
          <w:rFonts w:cs="Times New Roman"/>
        </w:rPr>
      </w:pPr>
      <w:commentRangeStart w:id="5"/>
      <w:r>
        <w:rPr>
          <w:rFonts w:cs="Times New Roman"/>
        </w:rPr>
        <w:t>What these theories share is the idea that linguistic form matters socially.</w:t>
      </w:r>
      <w:commentRangeEnd w:id="5"/>
      <w:r>
        <w:rPr>
          <w:rStyle w:val="CommentReference"/>
          <w:rFonts w:cs="Times New Roman"/>
          <w:sz w:val="22"/>
          <w:szCs w:val="22"/>
        </w:rPr>
        <w:commentReference w:id="5"/>
      </w:r>
      <w:r>
        <w:rPr>
          <w:rFonts w:cs="Times New Roman"/>
        </w:rPr>
        <w:t xml:space="preserve"> Lexical and grammatical choices can signal deference, expertise, solidarity, distance, authority, uncertainty, urgency, friendliness or institutional legitimacy.</w:t>
      </w:r>
    </w:p>
    <w:p w14:paraId="5B6393CD" w14:textId="2C9857FF" w:rsidR="00717EA4" w:rsidRPr="00DD3F87" w:rsidRDefault="00C540C4" w:rsidP="00DD3F87">
      <w:pPr>
        <w:spacing w:line="480" w:lineRule="auto"/>
        <w:jc w:val="both"/>
        <w:rPr>
          <w:rFonts w:cs="Times New Roman"/>
          <w:b/>
          <w:bCs/>
        </w:rPr>
      </w:pPr>
      <w:r>
        <w:rPr>
          <w:rFonts w:cs="Times New Roman"/>
          <w:b/>
          <w:bCs/>
        </w:rPr>
        <w:t>Methodological Orientation</w:t>
      </w:r>
    </w:p>
    <w:p w14:paraId="162A1796" w14:textId="77777777" w:rsidR="00717EA4" w:rsidRPr="002538AF" w:rsidRDefault="00C540C4" w:rsidP="002538AF">
      <w:pPr>
        <w:spacing w:line="480" w:lineRule="auto"/>
        <w:jc w:val="both"/>
        <w:rPr>
          <w:rFonts w:cs="Times New Roman"/>
        </w:rPr>
      </w:pPr>
      <w:r>
        <w:rPr>
          <w:rFonts w:cs="Times New Roman"/>
        </w:rPr>
        <w:t xml:space="preserve">The article takes a qualitative, comparative, discourse-analytic approach and does not claim to be a statistical corpus study. It synthesizes established sociolinguistic and discourse-analytic scholarship and uses carefully controlled illustrative dialogues to show how conversational choices differ across contexts. </w:t>
      </w:r>
      <w:commentRangeStart w:id="6"/>
      <w:r>
        <w:rPr>
          <w:rFonts w:cs="Times New Roman"/>
        </w:rPr>
        <w:t>The dialogues are original pedagogical reconstructions based on documented patterns, so they should not be read as verbatim quotations from the studies cited.</w:t>
      </w:r>
      <w:commentRangeEnd w:id="6"/>
      <w:r>
        <w:rPr>
          <w:rStyle w:val="CommentReference"/>
          <w:rFonts w:cs="Times New Roman"/>
          <w:sz w:val="22"/>
          <w:szCs w:val="22"/>
        </w:rPr>
        <w:commentReference w:id="6"/>
      </w:r>
      <w:r>
        <w:rPr>
          <w:rFonts w:cs="Times New Roman"/>
        </w:rPr>
        <w:t xml:space="preserve"> Wherever empirical findings are discussed, the source is cited.</w:t>
      </w:r>
    </w:p>
    <w:p w14:paraId="6372863E" w14:textId="77777777" w:rsidR="00DD3F87" w:rsidRDefault="00C540C4" w:rsidP="00DD3F87">
      <w:pPr>
        <w:spacing w:line="480" w:lineRule="auto"/>
        <w:jc w:val="both"/>
        <w:rPr>
          <w:rFonts w:cs="Times New Roman"/>
        </w:rPr>
      </w:pPr>
      <w:commentRangeStart w:id="7"/>
      <w:r>
        <w:rPr>
          <w:rFonts w:cs="Times New Roman"/>
        </w:rPr>
        <w:t>Ten categories structure the analysis: participants and social roles (a); communicative goal (b)</w:t>
      </w:r>
      <w:commentRangeEnd w:id="7"/>
      <w:r>
        <w:rPr>
          <w:rStyle w:val="CommentReference"/>
          <w:rFonts w:cs="Times New Roman"/>
          <w:sz w:val="22"/>
          <w:szCs w:val="22"/>
        </w:rPr>
        <w:commentReference w:id="7"/>
      </w:r>
      <w:r>
        <w:rPr>
          <w:rFonts w:cs="Times New Roman"/>
        </w:rPr>
        <w:t>; degree of formality (c); lexical specialization (d); politeness and mitigation (e); sentence structure (f); turn-taking (g); explicitness (h); power and solidarity (i); and audience accommodation (j). Using them lets contexts be compared without implying that all members of a profession speak alike.</w:t>
      </w:r>
    </w:p>
    <w:p w14:paraId="28BF5CF0" w14:textId="77777777" w:rsidR="00DD3F87" w:rsidRPr="00DD3F87" w:rsidRDefault="00C540C4" w:rsidP="00DD3F87">
      <w:pPr>
        <w:spacing w:line="480" w:lineRule="auto"/>
        <w:jc w:val="both"/>
        <w:rPr>
          <w:rFonts w:cs="Times New Roman"/>
          <w:b/>
          <w:bCs/>
          <w:sz w:val="24"/>
          <w:szCs w:val="24"/>
        </w:rPr>
      </w:pPr>
      <w:r>
        <w:rPr>
          <w:rFonts w:cs="Times New Roman"/>
          <w:b/>
          <w:bCs/>
          <w:sz w:val="24"/>
          <w:szCs w:val="24"/>
        </w:rPr>
        <w:t>Conversational Adaptation Across Contexts</w:t>
      </w:r>
    </w:p>
    <w:p w14:paraId="01242C16" w14:textId="1D6E3A4D" w:rsidR="00717EA4" w:rsidRPr="00DD3F87" w:rsidRDefault="00C540C4" w:rsidP="00DD3F87">
      <w:pPr>
        <w:spacing w:line="480" w:lineRule="auto"/>
        <w:jc w:val="both"/>
        <w:rPr>
          <w:rFonts w:cs="Times New Roman"/>
          <w:b/>
          <w:bCs/>
          <w:sz w:val="24"/>
          <w:szCs w:val="24"/>
        </w:rPr>
      </w:pPr>
      <w:r>
        <w:rPr>
          <w:rFonts w:cs="Times New Roman"/>
          <w:b/>
          <w:bCs/>
          <w:sz w:val="24"/>
          <w:szCs w:val="24"/>
        </w:rPr>
        <w:t>Legal context: precision, institutional authority and constrained interaction</w:t>
      </w:r>
    </w:p>
    <w:p w14:paraId="63BBEA15" w14:textId="77777777" w:rsidR="00717EA4" w:rsidRPr="002538AF" w:rsidRDefault="00C540C4" w:rsidP="002538AF">
      <w:pPr>
        <w:spacing w:line="480" w:lineRule="auto"/>
        <w:jc w:val="both"/>
        <w:rPr>
          <w:rFonts w:cs="Times New Roman"/>
        </w:rPr>
      </w:pPr>
      <w:r>
        <w:rPr>
          <w:rFonts w:cs="Times New Roman"/>
        </w:rPr>
        <w:t>Institutional procedure, evidential requirements and the need to tell propositions apart with precision shape legal discourse strongly. Kurzon (1997) warns against treating “legal language” as one homogeneous variety, since legal discourse spans different genres, registers and institutional activities. Even so, courtroom questioning typically places limits on turn-taking, relevance and what can be answered.</w:t>
      </w:r>
    </w:p>
    <w:p w14:paraId="324D581E" w14:textId="77777777" w:rsidR="00DC7907" w:rsidRDefault="00DC7907" w:rsidP="002538AF">
      <w:pPr>
        <w:spacing w:line="480" w:lineRule="auto"/>
        <w:jc w:val="both"/>
        <w:rPr>
          <w:rFonts w:cs="Times New Roman"/>
          <w:b/>
        </w:rPr>
      </w:pPr>
    </w:p>
    <w:p w14:paraId="42B7134C" w14:textId="77777777" w:rsidR="00DC7907" w:rsidRDefault="00DC7907" w:rsidP="002538AF">
      <w:pPr>
        <w:spacing w:line="480" w:lineRule="auto"/>
        <w:jc w:val="both"/>
        <w:rPr>
          <w:rFonts w:cs="Times New Roman"/>
          <w:b/>
        </w:rPr>
      </w:pPr>
    </w:p>
    <w:p w14:paraId="3B101A45" w14:textId="5C3A46B2" w:rsidR="00717EA4" w:rsidRPr="002538AF" w:rsidRDefault="00C540C4" w:rsidP="002538AF">
      <w:pPr>
        <w:spacing w:line="480" w:lineRule="auto"/>
        <w:jc w:val="both"/>
        <w:rPr>
          <w:rFonts w:cs="Times New Roman"/>
        </w:rPr>
      </w:pPr>
      <w:r>
        <w:rPr>
          <w:rFonts w:cs="Times New Roman"/>
          <w:b/>
        </w:rPr>
        <w:lastRenderedPageBreak/>
        <w:t>Illustrative dialogue 1: Courtroom examination</w:t>
      </w:r>
    </w:p>
    <w:p w14:paraId="73CCAAEB" w14:textId="77777777" w:rsidR="00717EA4" w:rsidRPr="002538AF" w:rsidRDefault="00C540C4" w:rsidP="002538AF">
      <w:pPr>
        <w:spacing w:line="480" w:lineRule="auto"/>
        <w:ind w:left="360"/>
        <w:jc w:val="both"/>
        <w:rPr>
          <w:rFonts w:cs="Times New Roman"/>
        </w:rPr>
      </w:pPr>
      <w:r>
        <w:rPr>
          <w:rFonts w:cs="Times New Roman"/>
          <w:b/>
        </w:rPr>
        <w:t xml:space="preserve">Counsel: </w:t>
      </w:r>
      <w:r>
        <w:rPr>
          <w:rFonts w:cs="Times New Roman"/>
        </w:rPr>
        <w:t>Please state your full name for the record.</w:t>
      </w:r>
    </w:p>
    <w:p w14:paraId="0DC6021E" w14:textId="77777777" w:rsidR="00717EA4" w:rsidRPr="002538AF" w:rsidRDefault="00C540C4" w:rsidP="002538AF">
      <w:pPr>
        <w:spacing w:line="480" w:lineRule="auto"/>
        <w:ind w:left="360"/>
        <w:jc w:val="both"/>
        <w:rPr>
          <w:rFonts w:cs="Times New Roman"/>
        </w:rPr>
      </w:pPr>
      <w:r>
        <w:rPr>
          <w:rFonts w:cs="Times New Roman"/>
          <w:b/>
        </w:rPr>
        <w:t xml:space="preserve">Witness: </w:t>
      </w:r>
      <w:r>
        <w:rPr>
          <w:rFonts w:cs="Times New Roman"/>
        </w:rPr>
        <w:t>My name is Daniel Okoro.</w:t>
      </w:r>
    </w:p>
    <w:p w14:paraId="004BFF69" w14:textId="77777777" w:rsidR="00717EA4" w:rsidRPr="002538AF" w:rsidRDefault="00C540C4" w:rsidP="002538AF">
      <w:pPr>
        <w:spacing w:line="480" w:lineRule="auto"/>
        <w:ind w:left="360"/>
        <w:jc w:val="both"/>
        <w:rPr>
          <w:rFonts w:cs="Times New Roman"/>
        </w:rPr>
      </w:pPr>
      <w:r>
        <w:rPr>
          <w:rFonts w:cs="Times New Roman"/>
          <w:b/>
        </w:rPr>
        <w:t xml:space="preserve">Counsel: </w:t>
      </w:r>
      <w:r>
        <w:rPr>
          <w:rFonts w:cs="Times New Roman"/>
        </w:rPr>
        <w:t>Were you present at the premises on 14 March at approximately 8:00 p.m.?</w:t>
      </w:r>
    </w:p>
    <w:p w14:paraId="7E920FB2" w14:textId="77777777" w:rsidR="00717EA4" w:rsidRPr="002538AF" w:rsidRDefault="00C540C4" w:rsidP="002538AF">
      <w:pPr>
        <w:spacing w:line="480" w:lineRule="auto"/>
        <w:ind w:left="360"/>
        <w:jc w:val="both"/>
        <w:rPr>
          <w:rFonts w:cs="Times New Roman"/>
        </w:rPr>
      </w:pPr>
      <w:r>
        <w:rPr>
          <w:rFonts w:cs="Times New Roman"/>
          <w:b/>
        </w:rPr>
        <w:t xml:space="preserve">Witness: </w:t>
      </w:r>
      <w:r>
        <w:rPr>
          <w:rFonts w:cs="Times New Roman"/>
        </w:rPr>
        <w:t>Yes, I was.</w:t>
      </w:r>
    </w:p>
    <w:p w14:paraId="4471147B" w14:textId="77777777" w:rsidR="00717EA4" w:rsidRPr="002538AF" w:rsidRDefault="00C540C4" w:rsidP="002538AF">
      <w:pPr>
        <w:spacing w:line="480" w:lineRule="auto"/>
        <w:ind w:left="360"/>
        <w:jc w:val="both"/>
        <w:rPr>
          <w:rFonts w:cs="Times New Roman"/>
        </w:rPr>
      </w:pPr>
      <w:r>
        <w:rPr>
          <w:rFonts w:cs="Times New Roman"/>
          <w:b/>
        </w:rPr>
        <w:t xml:space="preserve">Counsel: </w:t>
      </w:r>
      <w:r>
        <w:rPr>
          <w:rFonts w:cs="Times New Roman"/>
        </w:rPr>
        <w:t>What, if anything, did you observe?</w:t>
      </w:r>
    </w:p>
    <w:p w14:paraId="412B7B70" w14:textId="77777777" w:rsidR="00717EA4" w:rsidRPr="002538AF" w:rsidRDefault="00C540C4" w:rsidP="002538AF">
      <w:pPr>
        <w:spacing w:line="480" w:lineRule="auto"/>
        <w:ind w:left="360"/>
        <w:jc w:val="both"/>
        <w:rPr>
          <w:rFonts w:cs="Times New Roman"/>
        </w:rPr>
      </w:pPr>
      <w:r>
        <w:rPr>
          <w:rFonts w:cs="Times New Roman"/>
          <w:b/>
        </w:rPr>
        <w:t xml:space="preserve">Witness: </w:t>
      </w:r>
      <w:r>
        <w:rPr>
          <w:rFonts w:cs="Times New Roman"/>
        </w:rPr>
        <w:t>I saw the defendant leave the building.</w:t>
      </w:r>
    </w:p>
    <w:p w14:paraId="3C2B5FD7" w14:textId="77777777" w:rsidR="00717EA4" w:rsidRPr="002538AF" w:rsidRDefault="00C540C4" w:rsidP="002538AF">
      <w:pPr>
        <w:spacing w:line="480" w:lineRule="auto"/>
        <w:ind w:left="360"/>
        <w:jc w:val="both"/>
        <w:rPr>
          <w:rFonts w:cs="Times New Roman"/>
        </w:rPr>
      </w:pPr>
      <w:r>
        <w:rPr>
          <w:rFonts w:cs="Times New Roman"/>
          <w:b/>
        </w:rPr>
        <w:t xml:space="preserve">Counsel: </w:t>
      </w:r>
      <w:r>
        <w:rPr>
          <w:rFonts w:cs="Times New Roman"/>
        </w:rPr>
        <w:t>Did you have a clear view of his face?</w:t>
      </w:r>
    </w:p>
    <w:p w14:paraId="4C4A3BFC" w14:textId="79C76AF5" w:rsidR="00717EA4" w:rsidRPr="002538AF" w:rsidRDefault="00C540C4" w:rsidP="006E44C9">
      <w:pPr>
        <w:spacing w:line="480" w:lineRule="auto"/>
        <w:ind w:left="360"/>
        <w:jc w:val="both"/>
        <w:rPr>
          <w:rFonts w:cs="Times New Roman"/>
        </w:rPr>
      </w:pPr>
      <w:r>
        <w:rPr>
          <w:rFonts w:cs="Times New Roman"/>
          <w:b/>
        </w:rPr>
        <w:t xml:space="preserve">Witness: </w:t>
      </w:r>
      <w:r>
        <w:rPr>
          <w:rFonts w:cs="Times New Roman"/>
        </w:rPr>
        <w:t>Yes.</w:t>
      </w:r>
    </w:p>
    <w:p w14:paraId="56EC21F7" w14:textId="77777777" w:rsidR="00717EA4" w:rsidRPr="002538AF" w:rsidRDefault="00C540C4" w:rsidP="002538AF">
      <w:pPr>
        <w:spacing w:line="480" w:lineRule="auto"/>
        <w:jc w:val="both"/>
        <w:rPr>
          <w:rFonts w:cs="Times New Roman"/>
        </w:rPr>
      </w:pPr>
      <w:r>
        <w:rPr>
          <w:rFonts w:cs="Times New Roman"/>
        </w:rPr>
        <w:t>Formulaic expressions (“for the record”), precise timing (“14 March,” “approximately 8:00 p.m.”), controlled questions and limited answers are the main linguistic features here. The witness is not just chatting with counsel, since the interaction is institutionally framed. “What, if anything, did you observe?” also weakens any presupposition that something was observed. A casual speaker might ask, “So, what did you see?” This would not be ungrammatical, merely less institutionally marked.</w:t>
      </w:r>
    </w:p>
    <w:p w14:paraId="3BDBAF8E" w14:textId="77777777" w:rsidR="006E44C9" w:rsidRDefault="00C540C4" w:rsidP="006E44C9">
      <w:pPr>
        <w:spacing w:line="480" w:lineRule="auto"/>
        <w:jc w:val="both"/>
        <w:rPr>
          <w:rFonts w:cs="Times New Roman"/>
        </w:rPr>
      </w:pPr>
      <w:r>
        <w:rPr>
          <w:rFonts w:cs="Times New Roman"/>
        </w:rPr>
        <w:t xml:space="preserve">The legal setting illustrates an important point: the institution itself can demand adaptation. </w:t>
      </w:r>
      <w:commentRangeStart w:id="8"/>
      <w:r>
        <w:rPr>
          <w:rFonts w:cs="Times New Roman"/>
        </w:rPr>
        <w:t>A speaker who is too informal, who uses vague references (“that thing,” “somewhere around there”) or who tells an unregulated story risk communicating inefficiently.</w:t>
      </w:r>
      <w:commentRangeEnd w:id="8"/>
      <w:r>
        <w:rPr>
          <w:rStyle w:val="CommentReference"/>
          <w:rFonts w:cs="Times New Roman"/>
          <w:sz w:val="22"/>
          <w:szCs w:val="22"/>
        </w:rPr>
        <w:commentReference w:id="8"/>
      </w:r>
      <w:r>
        <w:rPr>
          <w:rFonts w:cs="Times New Roman"/>
        </w:rPr>
        <w:t xml:space="preserve"> Research on accommodation in courtroom interaction belongs to the wider literature showing that institutional roles affect linguistic behavior (Giles et al., 1991).</w:t>
      </w:r>
    </w:p>
    <w:p w14:paraId="16637E1E" w14:textId="0A500BA7" w:rsidR="00717EA4" w:rsidRPr="006E44C9" w:rsidRDefault="00C540C4" w:rsidP="006E44C9">
      <w:pPr>
        <w:spacing w:line="480" w:lineRule="auto"/>
        <w:jc w:val="both"/>
        <w:rPr>
          <w:rFonts w:cs="Times New Roman"/>
          <w:b/>
          <w:bCs/>
        </w:rPr>
      </w:pPr>
      <w:r>
        <w:rPr>
          <w:rFonts w:cs="Times New Roman"/>
          <w:b/>
          <w:bCs/>
        </w:rPr>
        <w:t>Medical context: technical expertise versus patient accessibility</w:t>
      </w:r>
    </w:p>
    <w:p w14:paraId="01EA0BEF" w14:textId="77777777" w:rsidR="00717EA4" w:rsidRPr="002538AF" w:rsidRDefault="00C540C4" w:rsidP="002538AF">
      <w:pPr>
        <w:spacing w:line="480" w:lineRule="auto"/>
        <w:jc w:val="both"/>
        <w:rPr>
          <w:rFonts w:cs="Times New Roman"/>
        </w:rPr>
      </w:pPr>
      <w:r>
        <w:rPr>
          <w:rFonts w:cs="Times New Roman"/>
        </w:rPr>
        <w:t xml:space="preserve">Medicine shows a particularly clear tension between specialized terminology and accessible communication. Technical terms let professionals talk efficiently with colleagues, but excessive or unexplained jargon can get in the way of patient understanding. Bourhis, Roth, and MacQueen (1989, pp. 339–346) found that doctors, patients and student nurses use different mixes of medical and everyday language, and that accommodation toward the patient’s everyday register was generally judged more appropriate. Newer evidence still points to problems with medical jargon: Gotlieb et al. (2022) documented uneven public understanding of common </w:t>
      </w:r>
      <w:r>
        <w:rPr>
          <w:rFonts w:cs="Times New Roman"/>
        </w:rPr>
        <w:lastRenderedPageBreak/>
        <w:t>medical expressions, and Wahrenbrock et al. (2025) found poor understanding of several frequently used emergency-department terms.</w:t>
      </w:r>
    </w:p>
    <w:p w14:paraId="0AD88ACC" w14:textId="77777777" w:rsidR="00717EA4" w:rsidRPr="002538AF" w:rsidRDefault="00C540C4" w:rsidP="002538AF">
      <w:pPr>
        <w:spacing w:line="480" w:lineRule="auto"/>
        <w:jc w:val="both"/>
        <w:rPr>
          <w:rFonts w:cs="Times New Roman"/>
        </w:rPr>
      </w:pPr>
      <w:r>
        <w:rPr>
          <w:rFonts w:cs="Times New Roman"/>
          <w:b/>
        </w:rPr>
        <w:t>Illustrative dialogue 2A: Doctor-to-doctor</w:t>
      </w:r>
    </w:p>
    <w:p w14:paraId="305165B7" w14:textId="77777777" w:rsidR="00717EA4" w:rsidRPr="002538AF" w:rsidRDefault="00C540C4" w:rsidP="002538AF">
      <w:pPr>
        <w:spacing w:line="480" w:lineRule="auto"/>
        <w:ind w:left="360"/>
        <w:jc w:val="both"/>
        <w:rPr>
          <w:rFonts w:cs="Times New Roman"/>
        </w:rPr>
      </w:pPr>
      <w:r>
        <w:rPr>
          <w:rFonts w:cs="Times New Roman"/>
          <w:b/>
        </w:rPr>
        <w:t xml:space="preserve">Dr. Adeyemi: </w:t>
      </w:r>
      <w:r>
        <w:rPr>
          <w:rFonts w:cs="Times New Roman"/>
        </w:rPr>
        <w:t>The patient is tachycardic with suspected community-acquired pneumonia. We should obtain a chest X-ray, FBC and blood cultures.</w:t>
      </w:r>
    </w:p>
    <w:p w14:paraId="3DB7F164" w14:textId="77777777" w:rsidR="00717EA4" w:rsidRPr="002538AF" w:rsidRDefault="00C540C4" w:rsidP="002538AF">
      <w:pPr>
        <w:spacing w:line="480" w:lineRule="auto"/>
        <w:ind w:left="360"/>
        <w:jc w:val="both"/>
        <w:rPr>
          <w:rFonts w:cs="Times New Roman"/>
        </w:rPr>
      </w:pPr>
      <w:r>
        <w:rPr>
          <w:rFonts w:cs="Times New Roman"/>
          <w:b/>
        </w:rPr>
        <w:t xml:space="preserve">Dr. Bello: </w:t>
      </w:r>
      <w:r>
        <w:rPr>
          <w:rFonts w:cs="Times New Roman"/>
        </w:rPr>
        <w:t>Agreed. Start empiric antibiotics after cultures and review the oxygen saturation.</w:t>
      </w:r>
    </w:p>
    <w:p w14:paraId="54B464B4" w14:textId="77777777" w:rsidR="00717EA4" w:rsidRPr="002538AF" w:rsidRDefault="00717EA4" w:rsidP="002538AF">
      <w:pPr>
        <w:spacing w:line="480" w:lineRule="auto"/>
        <w:jc w:val="both"/>
        <w:rPr>
          <w:rFonts w:cs="Times New Roman"/>
        </w:rPr>
      </w:pPr>
    </w:p>
    <w:p w14:paraId="2788279B" w14:textId="77777777" w:rsidR="00717EA4" w:rsidRPr="002538AF" w:rsidRDefault="00C540C4" w:rsidP="002538AF">
      <w:pPr>
        <w:spacing w:line="480" w:lineRule="auto"/>
        <w:jc w:val="both"/>
        <w:rPr>
          <w:rFonts w:cs="Times New Roman"/>
        </w:rPr>
      </w:pPr>
      <w:r>
        <w:rPr>
          <w:rFonts w:cs="Times New Roman"/>
          <w:b/>
        </w:rPr>
        <w:t>Illustrative dialogue 2B: Doctor-to-patient</w:t>
      </w:r>
    </w:p>
    <w:p w14:paraId="2D643376" w14:textId="77777777" w:rsidR="00717EA4" w:rsidRPr="002538AF" w:rsidRDefault="00C540C4" w:rsidP="002538AF">
      <w:pPr>
        <w:spacing w:line="480" w:lineRule="auto"/>
        <w:ind w:left="360"/>
        <w:jc w:val="both"/>
        <w:rPr>
          <w:rFonts w:cs="Times New Roman"/>
        </w:rPr>
      </w:pPr>
      <w:r>
        <w:rPr>
          <w:rFonts w:cs="Times New Roman"/>
          <w:b/>
        </w:rPr>
        <w:t xml:space="preserve">Doctor: </w:t>
      </w:r>
      <w:r>
        <w:rPr>
          <w:rFonts w:cs="Times New Roman"/>
        </w:rPr>
        <w:t>Your heart is beating faster than normal, and the examination suggests a chest infection.</w:t>
      </w:r>
    </w:p>
    <w:p w14:paraId="7816FAA6" w14:textId="77777777" w:rsidR="00717EA4" w:rsidRPr="002538AF" w:rsidRDefault="00C540C4" w:rsidP="002538AF">
      <w:pPr>
        <w:spacing w:line="480" w:lineRule="auto"/>
        <w:ind w:left="360"/>
        <w:jc w:val="both"/>
        <w:rPr>
          <w:rFonts w:cs="Times New Roman"/>
        </w:rPr>
      </w:pPr>
      <w:r>
        <w:rPr>
          <w:rFonts w:cs="Times New Roman"/>
          <w:b/>
        </w:rPr>
        <w:t xml:space="preserve">Patient: </w:t>
      </w:r>
      <w:r>
        <w:rPr>
          <w:rFonts w:cs="Times New Roman"/>
        </w:rPr>
        <w:t>Is it serious?</w:t>
      </w:r>
    </w:p>
    <w:p w14:paraId="5C4947C9" w14:textId="725F3C20" w:rsidR="00717EA4" w:rsidRPr="002538AF" w:rsidRDefault="00C540C4" w:rsidP="006E44C9">
      <w:pPr>
        <w:spacing w:line="480" w:lineRule="auto"/>
        <w:ind w:left="360"/>
        <w:jc w:val="both"/>
        <w:rPr>
          <w:rFonts w:cs="Times New Roman"/>
        </w:rPr>
      </w:pPr>
      <w:r>
        <w:rPr>
          <w:rFonts w:cs="Times New Roman"/>
          <w:b/>
        </w:rPr>
        <w:t xml:space="preserve">Doctor: </w:t>
      </w:r>
      <w:r>
        <w:rPr>
          <w:rFonts w:cs="Times New Roman"/>
        </w:rPr>
        <w:t>We need the X-ray and blood tests to confirm what is happening. We will then decide on the best treatment.</w:t>
      </w:r>
    </w:p>
    <w:p w14:paraId="0253C908" w14:textId="77777777" w:rsidR="00717EA4" w:rsidRPr="002538AF" w:rsidRDefault="00C540C4" w:rsidP="002538AF">
      <w:pPr>
        <w:spacing w:line="480" w:lineRule="auto"/>
        <w:jc w:val="both"/>
        <w:rPr>
          <w:rFonts w:cs="Times New Roman"/>
        </w:rPr>
      </w:pPr>
      <w:commentRangeStart w:id="9"/>
      <w:r>
        <w:rPr>
          <w:rFonts w:cs="Times New Roman"/>
        </w:rPr>
        <w:t>Content stays roughly constant across the two versions, but the register shifts sharply.</w:t>
      </w:r>
      <w:commentRangeEnd w:id="9"/>
      <w:r>
        <w:rPr>
          <w:rStyle w:val="CommentReference"/>
          <w:rFonts w:cs="Times New Roman"/>
          <w:sz w:val="22"/>
          <w:szCs w:val="22"/>
        </w:rPr>
        <w:commentReference w:id="9"/>
      </w:r>
      <w:r>
        <w:rPr>
          <w:rFonts w:cs="Times New Roman"/>
        </w:rPr>
        <w:t xml:space="preserve"> Terms like “tachycardic,” “community-acquired pneumonia,” “FBC,” “blood cultures” and “empiric antibiotics” pack a great deal into very few words. For the patient, the clinician unpacks them as “heart is beating faster than normal” and “chest infection.” That is accommodation, though not simplification for its own sake: the aim is to fit the code to what the listener is presumed to know.</w:t>
      </w:r>
    </w:p>
    <w:p w14:paraId="6353F7AB" w14:textId="77777777" w:rsidR="00717EA4" w:rsidRPr="002538AF" w:rsidRDefault="00C540C4" w:rsidP="002538AF">
      <w:pPr>
        <w:spacing w:line="480" w:lineRule="auto"/>
        <w:jc w:val="both"/>
        <w:rPr>
          <w:rFonts w:cs="Times New Roman"/>
        </w:rPr>
      </w:pPr>
      <w:r>
        <w:rPr>
          <w:rFonts w:cs="Times New Roman"/>
        </w:rPr>
        <w:t>Empirical research supports the practical importance of this. LeBlanc et al. (2014) found that medical students’ estimates of patients’ understanding of jargon varied, and Castro et al. (2007) found unclarified jargon in 81% of the diabetes encounters observed in their sample. More recent evidence also favors plain-language strategies and explicit checking of understanding (Wahrenbrock et al., 2025). Medical adaptation therefore means more than swapping technical terms for everyday ones; it also means monitoring comprehension.</w:t>
      </w:r>
    </w:p>
    <w:p w14:paraId="456F49EB" w14:textId="4A929308" w:rsidR="006E44C9" w:rsidRDefault="006E44C9" w:rsidP="002538AF">
      <w:pPr>
        <w:spacing w:line="480" w:lineRule="auto"/>
        <w:jc w:val="both"/>
        <w:rPr>
          <w:rFonts w:cs="Times New Roman"/>
          <w:b/>
        </w:rPr>
      </w:pPr>
    </w:p>
    <w:p w14:paraId="741F7A09" w14:textId="7699AD31" w:rsidR="006E44C9" w:rsidRDefault="006E44C9" w:rsidP="002538AF">
      <w:pPr>
        <w:spacing w:line="480" w:lineRule="auto"/>
        <w:jc w:val="both"/>
        <w:rPr>
          <w:rFonts w:cs="Times New Roman"/>
          <w:b/>
        </w:rPr>
      </w:pPr>
    </w:p>
    <w:p w14:paraId="00962FCF" w14:textId="77777777" w:rsidR="006E44C9" w:rsidRDefault="006E44C9" w:rsidP="002538AF">
      <w:pPr>
        <w:spacing w:line="480" w:lineRule="auto"/>
        <w:jc w:val="both"/>
        <w:rPr>
          <w:rFonts w:cs="Times New Roman"/>
          <w:b/>
        </w:rPr>
      </w:pPr>
    </w:p>
    <w:p w14:paraId="27514B11" w14:textId="75EAA2AA" w:rsidR="00717EA4" w:rsidRPr="002538AF" w:rsidRDefault="00C540C4" w:rsidP="002538AF">
      <w:pPr>
        <w:spacing w:line="480" w:lineRule="auto"/>
        <w:jc w:val="both"/>
        <w:rPr>
          <w:rFonts w:cs="Times New Roman"/>
        </w:rPr>
      </w:pPr>
      <w:r>
        <w:rPr>
          <w:rFonts w:cs="Times New Roman"/>
          <w:b/>
        </w:rPr>
        <w:lastRenderedPageBreak/>
        <w:t>Illustrative dialogue 2C: Teach-back</w:t>
      </w:r>
    </w:p>
    <w:p w14:paraId="74B9A3E3" w14:textId="77777777" w:rsidR="00717EA4" w:rsidRPr="002538AF" w:rsidRDefault="00C540C4" w:rsidP="002538AF">
      <w:pPr>
        <w:spacing w:line="480" w:lineRule="auto"/>
        <w:ind w:left="360"/>
        <w:jc w:val="both"/>
        <w:rPr>
          <w:rFonts w:cs="Times New Roman"/>
        </w:rPr>
      </w:pPr>
      <w:r>
        <w:rPr>
          <w:rFonts w:cs="Times New Roman"/>
          <w:b/>
        </w:rPr>
        <w:t xml:space="preserve">Clinician: </w:t>
      </w:r>
      <w:r>
        <w:rPr>
          <w:rFonts w:cs="Times New Roman"/>
        </w:rPr>
        <w:t>Before you leave, can you tell me in your own words how you will take the medicine?</w:t>
      </w:r>
    </w:p>
    <w:p w14:paraId="10D13E11" w14:textId="77777777" w:rsidR="00717EA4" w:rsidRPr="002538AF" w:rsidRDefault="00C540C4" w:rsidP="002538AF">
      <w:pPr>
        <w:spacing w:line="480" w:lineRule="auto"/>
        <w:ind w:left="360"/>
        <w:jc w:val="both"/>
        <w:rPr>
          <w:rFonts w:cs="Times New Roman"/>
        </w:rPr>
      </w:pPr>
      <w:r>
        <w:rPr>
          <w:rFonts w:cs="Times New Roman"/>
          <w:b/>
        </w:rPr>
        <w:t xml:space="preserve">Patient: </w:t>
      </w:r>
      <w:r>
        <w:rPr>
          <w:rFonts w:cs="Times New Roman"/>
        </w:rPr>
        <w:t>One tablet in the morning and one at night for five days.</w:t>
      </w:r>
    </w:p>
    <w:p w14:paraId="278EC182" w14:textId="1CB4C72F" w:rsidR="00717EA4" w:rsidRPr="002538AF" w:rsidRDefault="00C540C4" w:rsidP="006E44C9">
      <w:pPr>
        <w:spacing w:line="480" w:lineRule="auto"/>
        <w:ind w:left="360"/>
        <w:jc w:val="both"/>
        <w:rPr>
          <w:rFonts w:cs="Times New Roman"/>
        </w:rPr>
      </w:pPr>
      <w:r>
        <w:rPr>
          <w:rFonts w:cs="Times New Roman"/>
          <w:b/>
        </w:rPr>
        <w:t xml:space="preserve">Clinician: </w:t>
      </w:r>
      <w:r>
        <w:rPr>
          <w:rFonts w:cs="Times New Roman"/>
        </w:rPr>
        <w:t>Exactly. If you develop difficulty breathing or your symptoms become much worse, seek urgent care.</w:t>
      </w:r>
    </w:p>
    <w:p w14:paraId="78DB370A" w14:textId="77777777" w:rsidR="006E44C9" w:rsidRDefault="00C540C4" w:rsidP="006E44C9">
      <w:pPr>
        <w:spacing w:line="480" w:lineRule="auto"/>
        <w:jc w:val="both"/>
        <w:rPr>
          <w:rFonts w:cs="Times New Roman"/>
        </w:rPr>
      </w:pPr>
      <w:r>
        <w:rPr>
          <w:rFonts w:cs="Times New Roman"/>
        </w:rPr>
        <w:t>The teach-back move is an interactional adaptation because the clinician shifts part of the burden of explanation from professional authority to the patient’s own demonstration of understanding. That lowers the risk of silence being taken for comprehension.</w:t>
      </w:r>
    </w:p>
    <w:p w14:paraId="346F0E51" w14:textId="6A41C97A" w:rsidR="00717EA4" w:rsidRPr="006E44C9" w:rsidRDefault="00C540C4" w:rsidP="006E44C9">
      <w:pPr>
        <w:spacing w:line="480" w:lineRule="auto"/>
        <w:jc w:val="both"/>
        <w:rPr>
          <w:rFonts w:cs="Times New Roman"/>
          <w:b/>
          <w:bCs/>
          <w:sz w:val="24"/>
          <w:szCs w:val="24"/>
        </w:rPr>
      </w:pPr>
      <w:r>
        <w:rPr>
          <w:rFonts w:cs="Times New Roman"/>
          <w:b/>
          <w:bCs/>
          <w:sz w:val="24"/>
          <w:szCs w:val="24"/>
        </w:rPr>
        <w:t>Commercial/market context: bargaining, solidarity and relational language</w:t>
      </w:r>
    </w:p>
    <w:p w14:paraId="2384FAB1" w14:textId="77777777" w:rsidR="00717EA4" w:rsidRPr="002538AF" w:rsidRDefault="00C540C4" w:rsidP="002538AF">
      <w:pPr>
        <w:spacing w:line="480" w:lineRule="auto"/>
        <w:jc w:val="both"/>
        <w:rPr>
          <w:rFonts w:cs="Times New Roman"/>
        </w:rPr>
      </w:pPr>
      <w:r>
        <w:rPr>
          <w:rFonts w:cs="Times New Roman"/>
        </w:rPr>
        <w:t xml:space="preserve">Market discourse is generally less institutionally rigid than courtroom or hospital discourse. Its linguistic aims often include attracting customers, building trust, negotiating a price, stressing the value of the goods and keeping up social rapport. </w:t>
      </w:r>
      <w:commentRangeStart w:id="10"/>
      <w:r>
        <w:rPr>
          <w:rFonts w:cs="Times New Roman"/>
        </w:rPr>
        <w:t>In Nigerian markets English may sit alongside Nigerian Pidgin, local languages and code-mixed forms, and the key criterion is often communicative effectiveness and relationship management, not adherence to formal standard English.</w:t>
      </w:r>
      <w:commentRangeEnd w:id="10"/>
      <w:r w:rsidRPr="002538AF">
        <w:rPr>
          <w:rStyle w:val="CommentReference"/>
          <w:rFonts w:cs="Times New Roman"/>
          <w:sz w:val="22"/>
          <w:szCs w:val="22"/>
        </w:rPr>
        <w:commentReference w:id="10"/>
      </w:r>
    </w:p>
    <w:p w14:paraId="3F9213CB" w14:textId="77777777" w:rsidR="00717EA4" w:rsidRPr="002538AF" w:rsidRDefault="00C540C4" w:rsidP="002538AF">
      <w:pPr>
        <w:spacing w:line="480" w:lineRule="auto"/>
        <w:jc w:val="both"/>
        <w:rPr>
          <w:rFonts w:cs="Times New Roman"/>
        </w:rPr>
      </w:pPr>
      <w:r>
        <w:rPr>
          <w:rFonts w:cs="Times New Roman"/>
          <w:b/>
        </w:rPr>
        <w:t>Illustrative dialogue 3: Open-market bargaining</w:t>
      </w:r>
    </w:p>
    <w:p w14:paraId="620E3520" w14:textId="77777777" w:rsidR="00717EA4" w:rsidRPr="002538AF" w:rsidRDefault="00C540C4" w:rsidP="002538AF">
      <w:pPr>
        <w:spacing w:line="480" w:lineRule="auto"/>
        <w:ind w:left="360"/>
        <w:jc w:val="both"/>
        <w:rPr>
          <w:rFonts w:cs="Times New Roman"/>
        </w:rPr>
      </w:pPr>
      <w:r>
        <w:rPr>
          <w:rFonts w:cs="Times New Roman"/>
          <w:b/>
        </w:rPr>
        <w:t xml:space="preserve">Buyer: </w:t>
      </w:r>
      <w:r>
        <w:rPr>
          <w:rFonts w:cs="Times New Roman"/>
        </w:rPr>
        <w:t>How much is this bag?</w:t>
      </w:r>
    </w:p>
    <w:p w14:paraId="5618F96B" w14:textId="77777777" w:rsidR="00717EA4" w:rsidRPr="002538AF" w:rsidRDefault="00C540C4" w:rsidP="002538AF">
      <w:pPr>
        <w:spacing w:line="480" w:lineRule="auto"/>
        <w:ind w:left="360"/>
        <w:jc w:val="both"/>
        <w:rPr>
          <w:rFonts w:cs="Times New Roman"/>
        </w:rPr>
      </w:pPr>
      <w:r>
        <w:rPr>
          <w:rFonts w:cs="Times New Roman"/>
          <w:b/>
        </w:rPr>
        <w:t xml:space="preserve">Seller: </w:t>
      </w:r>
      <w:r>
        <w:rPr>
          <w:rFonts w:cs="Times New Roman"/>
        </w:rPr>
        <w:t>Sister, na thirty-five thousand. The quality is very good.</w:t>
      </w:r>
    </w:p>
    <w:p w14:paraId="17257430" w14:textId="77777777" w:rsidR="00717EA4" w:rsidRPr="002538AF" w:rsidRDefault="00C540C4" w:rsidP="002538AF">
      <w:pPr>
        <w:spacing w:line="480" w:lineRule="auto"/>
        <w:ind w:left="360"/>
        <w:jc w:val="both"/>
        <w:rPr>
          <w:rFonts w:cs="Times New Roman"/>
        </w:rPr>
      </w:pPr>
      <w:r>
        <w:rPr>
          <w:rFonts w:cs="Times New Roman"/>
          <w:b/>
        </w:rPr>
        <w:t xml:space="preserve">Buyer: </w:t>
      </w:r>
      <w:r>
        <w:rPr>
          <w:rFonts w:cs="Times New Roman"/>
        </w:rPr>
        <w:t>Thirty-five? That's too much. Make it twenty-five.</w:t>
      </w:r>
    </w:p>
    <w:p w14:paraId="12E701A6" w14:textId="77777777" w:rsidR="00717EA4" w:rsidRPr="002538AF" w:rsidRDefault="00C540C4" w:rsidP="002538AF">
      <w:pPr>
        <w:spacing w:line="480" w:lineRule="auto"/>
        <w:ind w:left="360"/>
        <w:jc w:val="both"/>
        <w:rPr>
          <w:rFonts w:cs="Times New Roman"/>
        </w:rPr>
      </w:pPr>
      <w:r>
        <w:rPr>
          <w:rFonts w:cs="Times New Roman"/>
          <w:b/>
        </w:rPr>
        <w:t xml:space="preserve">Seller: </w:t>
      </w:r>
      <w:r>
        <w:rPr>
          <w:rFonts w:cs="Times New Roman"/>
        </w:rPr>
        <w:t>Ah, no. I bought it for thirty. Come, let me do thirty-two for you.</w:t>
      </w:r>
    </w:p>
    <w:p w14:paraId="4336F739" w14:textId="77777777" w:rsidR="00717EA4" w:rsidRPr="002538AF" w:rsidRDefault="00C540C4" w:rsidP="002538AF">
      <w:pPr>
        <w:spacing w:line="480" w:lineRule="auto"/>
        <w:ind w:left="360"/>
        <w:jc w:val="both"/>
        <w:rPr>
          <w:rFonts w:cs="Times New Roman"/>
        </w:rPr>
      </w:pPr>
      <w:r>
        <w:rPr>
          <w:rFonts w:cs="Times New Roman"/>
          <w:b/>
        </w:rPr>
        <w:t xml:space="preserve">Buyer: </w:t>
      </w:r>
      <w:r>
        <w:rPr>
          <w:rFonts w:cs="Times New Roman"/>
        </w:rPr>
        <w:t>Make it thirty, and I will pay now.</w:t>
      </w:r>
    </w:p>
    <w:p w14:paraId="449AD481" w14:textId="5E4A0547" w:rsidR="00717EA4" w:rsidRPr="002538AF" w:rsidRDefault="00C540C4" w:rsidP="006E44C9">
      <w:pPr>
        <w:spacing w:line="480" w:lineRule="auto"/>
        <w:ind w:left="360"/>
        <w:jc w:val="both"/>
        <w:rPr>
          <w:rFonts w:cs="Times New Roman"/>
        </w:rPr>
      </w:pPr>
      <w:r>
        <w:rPr>
          <w:rFonts w:cs="Times New Roman"/>
          <w:b/>
        </w:rPr>
        <w:t xml:space="preserve">Seller: </w:t>
      </w:r>
      <w:r>
        <w:rPr>
          <w:rFonts w:cs="Times New Roman"/>
        </w:rPr>
        <w:t>Okay, thirty. You are my last customer today.</w:t>
      </w:r>
    </w:p>
    <w:p w14:paraId="02D720F3" w14:textId="77777777" w:rsidR="00717EA4" w:rsidRPr="002538AF" w:rsidRDefault="00C540C4" w:rsidP="002538AF">
      <w:pPr>
        <w:spacing w:line="480" w:lineRule="auto"/>
        <w:jc w:val="both"/>
        <w:rPr>
          <w:rFonts w:cs="Times New Roman"/>
        </w:rPr>
      </w:pPr>
      <w:r>
        <w:rPr>
          <w:rFonts w:cs="Times New Roman"/>
        </w:rPr>
        <w:t xml:space="preserve">Several features stand out in the bargaining exchange: a relational address term (“Sister”), a switch into Nigerian Pidgin (“na”), evaluative wording (“very good”), haggling over numbers, repetition and concessions made for strategic reasons. Had the speakers used a fully formal version, for example “The asking price is </w:t>
      </w:r>
      <w:r>
        <w:rPr>
          <w:rFonts w:cs="Times New Roman"/>
        </w:rPr>
        <w:lastRenderedPageBreak/>
        <w:t>thirty-five thousand naira. I would be willing to reduce it to thirty thousand,” it would be standard in grammar yet unusual pragmatically in many informal market encounters. Informality brings the parties closer and takes some of the edge off the commercial transaction.</w:t>
      </w:r>
    </w:p>
    <w:p w14:paraId="4447C448" w14:textId="77777777" w:rsidR="006E44C9" w:rsidRDefault="00C540C4" w:rsidP="006E44C9">
      <w:pPr>
        <w:spacing w:line="480" w:lineRule="auto"/>
        <w:jc w:val="both"/>
        <w:rPr>
          <w:rFonts w:cs="Times New Roman"/>
        </w:rPr>
      </w:pPr>
      <w:r>
        <w:rPr>
          <w:rFonts w:cs="Times New Roman"/>
        </w:rPr>
        <w:t>None of this means that market language is linguistically deficient. It means that the communicative ecology allows forms that would be out of place in a formal business contract. Situational adaptability is therefore not the same as always moving toward the most formal variety.</w:t>
      </w:r>
    </w:p>
    <w:p w14:paraId="3256381E" w14:textId="07C8FABC" w:rsidR="00717EA4" w:rsidRPr="006E44C9" w:rsidRDefault="00C540C4" w:rsidP="006E44C9">
      <w:pPr>
        <w:spacing w:line="480" w:lineRule="auto"/>
        <w:jc w:val="both"/>
        <w:rPr>
          <w:rFonts w:cs="Times New Roman"/>
          <w:b/>
          <w:bCs/>
          <w:sz w:val="24"/>
          <w:szCs w:val="24"/>
        </w:rPr>
      </w:pPr>
      <w:r>
        <w:rPr>
          <w:rFonts w:cs="Times New Roman"/>
          <w:b/>
          <w:bCs/>
          <w:sz w:val="24"/>
          <w:szCs w:val="24"/>
        </w:rPr>
        <w:t>Teacher–student interaction: pedagogic simplification and controlled authority</w:t>
      </w:r>
    </w:p>
    <w:p w14:paraId="30B3B010" w14:textId="77777777" w:rsidR="00717EA4" w:rsidRPr="002538AF" w:rsidRDefault="00C540C4" w:rsidP="002538AF">
      <w:pPr>
        <w:spacing w:line="480" w:lineRule="auto"/>
        <w:jc w:val="both"/>
        <w:rPr>
          <w:rFonts w:cs="Times New Roman"/>
        </w:rPr>
      </w:pPr>
      <w:r>
        <w:rPr>
          <w:rFonts w:cs="Times New Roman"/>
        </w:rPr>
        <w:t>Classroom discourse is asymmetrical but fundamentally pedagogic. The teacher holds institutional authority and subject expertise, and students are expected to learn. Teachers therefore alternate regularly between technical metalanguage and explanatory language, with questions, repetition, examples, reformulation and comprehension checks as central resources.</w:t>
      </w:r>
    </w:p>
    <w:p w14:paraId="7876357E" w14:textId="77777777" w:rsidR="00717EA4" w:rsidRPr="002538AF" w:rsidRDefault="00C540C4" w:rsidP="002538AF">
      <w:pPr>
        <w:spacing w:line="480" w:lineRule="auto"/>
        <w:jc w:val="both"/>
        <w:rPr>
          <w:rFonts w:cs="Times New Roman"/>
        </w:rPr>
      </w:pPr>
      <w:r>
        <w:rPr>
          <w:rFonts w:cs="Times New Roman"/>
          <w:b/>
        </w:rPr>
        <w:t>Illustrative dialogue 4: University classroom</w:t>
      </w:r>
    </w:p>
    <w:p w14:paraId="69EF2140" w14:textId="77777777" w:rsidR="00717EA4" w:rsidRPr="002538AF" w:rsidRDefault="00C540C4" w:rsidP="002538AF">
      <w:pPr>
        <w:spacing w:line="480" w:lineRule="auto"/>
        <w:ind w:left="360"/>
        <w:jc w:val="both"/>
        <w:rPr>
          <w:rFonts w:cs="Times New Roman"/>
        </w:rPr>
      </w:pPr>
      <w:r>
        <w:rPr>
          <w:rFonts w:cs="Times New Roman"/>
          <w:b/>
        </w:rPr>
        <w:t xml:space="preserve">Lecturer: </w:t>
      </w:r>
      <w:r>
        <w:rPr>
          <w:rFonts w:cs="Times New Roman"/>
        </w:rPr>
        <w:t>Today we are examining code-switching. In sociolinguistics, code-switching refers to the alternation between two or more linguistic codes within an interaction.</w:t>
      </w:r>
    </w:p>
    <w:p w14:paraId="15DB8578" w14:textId="77777777" w:rsidR="00717EA4" w:rsidRPr="002538AF" w:rsidRDefault="00C540C4" w:rsidP="002538AF">
      <w:pPr>
        <w:spacing w:line="480" w:lineRule="auto"/>
        <w:ind w:left="360"/>
        <w:jc w:val="both"/>
        <w:rPr>
          <w:rFonts w:cs="Times New Roman"/>
        </w:rPr>
      </w:pPr>
      <w:r>
        <w:rPr>
          <w:rFonts w:cs="Times New Roman"/>
          <w:b/>
        </w:rPr>
        <w:t xml:space="preserve">Student: </w:t>
      </w:r>
      <w:r>
        <w:rPr>
          <w:rFonts w:cs="Times New Roman"/>
        </w:rPr>
        <w:t>Sir, does that mean changing languages in the middle of a conversation?</w:t>
      </w:r>
    </w:p>
    <w:p w14:paraId="219C11AE" w14:textId="77777777" w:rsidR="00717EA4" w:rsidRPr="002538AF" w:rsidRDefault="00C540C4" w:rsidP="002538AF">
      <w:pPr>
        <w:spacing w:line="480" w:lineRule="auto"/>
        <w:ind w:left="360"/>
        <w:jc w:val="both"/>
        <w:rPr>
          <w:rFonts w:cs="Times New Roman"/>
        </w:rPr>
      </w:pPr>
      <w:r>
        <w:rPr>
          <w:rFonts w:cs="Times New Roman"/>
          <w:b/>
        </w:rPr>
        <w:t xml:space="preserve">Lecturer: </w:t>
      </w:r>
      <w:r>
        <w:rPr>
          <w:rFonts w:cs="Times New Roman"/>
        </w:rPr>
        <w:t>Yes, that is a useful starting point. But it can also involve varieties or registers, depending on the analytical framework.</w:t>
      </w:r>
    </w:p>
    <w:p w14:paraId="7B5F05D1" w14:textId="77777777" w:rsidR="00717EA4" w:rsidRPr="002538AF" w:rsidRDefault="00C540C4" w:rsidP="002538AF">
      <w:pPr>
        <w:spacing w:line="480" w:lineRule="auto"/>
        <w:ind w:left="360"/>
        <w:jc w:val="both"/>
        <w:rPr>
          <w:rFonts w:cs="Times New Roman"/>
        </w:rPr>
      </w:pPr>
      <w:r>
        <w:rPr>
          <w:rFonts w:cs="Times New Roman"/>
          <w:b/>
        </w:rPr>
        <w:t xml:space="preserve">Student: </w:t>
      </w:r>
      <w:r>
        <w:rPr>
          <w:rFonts w:cs="Times New Roman"/>
        </w:rPr>
        <w:t>So if I speak English and then switch to Igbo to explain something to my friend, that can be code-switching?</w:t>
      </w:r>
    </w:p>
    <w:p w14:paraId="4C2AEB9A" w14:textId="58B96AC4" w:rsidR="00717EA4" w:rsidRPr="002538AF" w:rsidRDefault="00C540C4" w:rsidP="006E44C9">
      <w:pPr>
        <w:spacing w:line="480" w:lineRule="auto"/>
        <w:ind w:left="360"/>
        <w:jc w:val="both"/>
        <w:rPr>
          <w:rFonts w:cs="Times New Roman"/>
        </w:rPr>
      </w:pPr>
      <w:r>
        <w:rPr>
          <w:rFonts w:cs="Times New Roman"/>
          <w:b/>
        </w:rPr>
        <w:t xml:space="preserve">Lecturer: </w:t>
      </w:r>
      <w:r>
        <w:rPr>
          <w:rFonts w:cs="Times New Roman"/>
        </w:rPr>
        <w:t>Exactly. Now let us examine why you made the switch and what social meaning it produced.</w:t>
      </w:r>
    </w:p>
    <w:p w14:paraId="259D4F1C" w14:textId="77777777" w:rsidR="00717EA4" w:rsidRPr="002538AF" w:rsidRDefault="00C540C4" w:rsidP="002538AF">
      <w:pPr>
        <w:spacing w:line="480" w:lineRule="auto"/>
        <w:jc w:val="both"/>
        <w:rPr>
          <w:rFonts w:cs="Times New Roman"/>
        </w:rPr>
      </w:pPr>
      <w:r>
        <w:rPr>
          <w:rFonts w:cs="Times New Roman"/>
        </w:rPr>
        <w:t>Disciplinary terminology opens the lecturer’s turn (“code-switching,” “linguistic codes,” “analytical framework”), after which the lecturer takes up the student’s reformulation. “Does that mean...” is the student asking for clarification, and “Yes, that is a useful starting point” affirms the learner before further complexity is introduced. Authority and accommodation, in other words, can sit together in pedagogical talk.</w:t>
      </w:r>
    </w:p>
    <w:p w14:paraId="18CDB4A8" w14:textId="77777777" w:rsidR="006E44C9" w:rsidRDefault="00C540C4" w:rsidP="006E44C9">
      <w:pPr>
        <w:spacing w:line="480" w:lineRule="auto"/>
        <w:jc w:val="both"/>
        <w:rPr>
          <w:rFonts w:cs="Times New Roman"/>
        </w:rPr>
      </w:pPr>
      <w:r>
        <w:rPr>
          <w:rFonts w:cs="Times New Roman"/>
        </w:rPr>
        <w:lastRenderedPageBreak/>
        <w:t>Gumperz’s (1982) stress on contextualization applies here too. What a code choice means goes beyond the words themselves, and the act of switching can serve as a signal about the situation. A classroom exchange thus passes on content and, at the same time, the ways of talking that belong to the discipline.</w:t>
      </w:r>
    </w:p>
    <w:p w14:paraId="11840E4E" w14:textId="7C27AABB" w:rsidR="00717EA4" w:rsidRPr="006E44C9" w:rsidRDefault="00C540C4" w:rsidP="006E44C9">
      <w:pPr>
        <w:spacing w:line="480" w:lineRule="auto"/>
        <w:jc w:val="both"/>
        <w:rPr>
          <w:rFonts w:cs="Times New Roman"/>
          <w:b/>
          <w:bCs/>
          <w:sz w:val="24"/>
          <w:szCs w:val="24"/>
        </w:rPr>
      </w:pPr>
      <w:r>
        <w:rPr>
          <w:rFonts w:cs="Times New Roman"/>
          <w:b/>
          <w:bCs/>
          <w:sz w:val="24"/>
          <w:szCs w:val="24"/>
        </w:rPr>
        <w:t>Superior–subordinate interaction: hierarchy, mitigation and face management</w:t>
      </w:r>
    </w:p>
    <w:p w14:paraId="122579D1" w14:textId="77777777" w:rsidR="00717EA4" w:rsidRPr="002538AF" w:rsidRDefault="00C540C4" w:rsidP="002538AF">
      <w:pPr>
        <w:spacing w:line="480" w:lineRule="auto"/>
        <w:jc w:val="both"/>
        <w:rPr>
          <w:rFonts w:cs="Times New Roman"/>
        </w:rPr>
      </w:pPr>
      <w:r>
        <w:rPr>
          <w:rFonts w:cs="Times New Roman"/>
        </w:rPr>
        <w:t>Hierarchical workplace interaction brings out the link between language and power. A subordinate may need to disagree with a superior while keeping up respect and institutional cooperation, and the linguistic response may accordingly contain hedges, deferential address, indirect disagreement and justification.</w:t>
      </w:r>
    </w:p>
    <w:p w14:paraId="42BEF23C" w14:textId="77777777" w:rsidR="00717EA4" w:rsidRPr="002538AF" w:rsidRDefault="00C540C4" w:rsidP="002538AF">
      <w:pPr>
        <w:spacing w:line="480" w:lineRule="auto"/>
        <w:jc w:val="both"/>
        <w:rPr>
          <w:rFonts w:cs="Times New Roman"/>
        </w:rPr>
      </w:pPr>
      <w:r>
        <w:rPr>
          <w:rFonts w:cs="Times New Roman"/>
          <w:b/>
        </w:rPr>
        <w:t>Illustrative dialogue 5A: Subordinate to superior</w:t>
      </w:r>
    </w:p>
    <w:p w14:paraId="325FC130" w14:textId="77777777" w:rsidR="00717EA4" w:rsidRPr="002538AF" w:rsidRDefault="00C540C4" w:rsidP="002538AF">
      <w:pPr>
        <w:spacing w:line="480" w:lineRule="auto"/>
        <w:ind w:left="360"/>
        <w:jc w:val="both"/>
        <w:rPr>
          <w:rFonts w:cs="Times New Roman"/>
        </w:rPr>
      </w:pPr>
      <w:r>
        <w:rPr>
          <w:rFonts w:cs="Times New Roman"/>
          <w:b/>
        </w:rPr>
        <w:t xml:space="preserve">Manager: </w:t>
      </w:r>
      <w:r>
        <w:rPr>
          <w:rFonts w:cs="Times New Roman"/>
        </w:rPr>
        <w:t>I want the report submitted by noon today.</w:t>
      </w:r>
    </w:p>
    <w:p w14:paraId="1E831CAA" w14:textId="77777777" w:rsidR="00717EA4" w:rsidRPr="002538AF" w:rsidRDefault="00C540C4" w:rsidP="002538AF">
      <w:pPr>
        <w:spacing w:line="480" w:lineRule="auto"/>
        <w:ind w:left="360"/>
        <w:jc w:val="both"/>
        <w:rPr>
          <w:rFonts w:cs="Times New Roman"/>
        </w:rPr>
      </w:pPr>
      <w:r>
        <w:rPr>
          <w:rFonts w:cs="Times New Roman"/>
          <w:b/>
        </w:rPr>
        <w:t xml:space="preserve">Officer: </w:t>
      </w:r>
      <w:r>
        <w:rPr>
          <w:rFonts w:cs="Times New Roman"/>
        </w:rPr>
        <w:t>Sir, I understand. May I point out that the financial figures from Accounts have not yet arrived? If you agree, I can submit the completed sections by noon and send the final version as soon as the figures are available.</w:t>
      </w:r>
    </w:p>
    <w:p w14:paraId="4AE27A91" w14:textId="06347401" w:rsidR="00717EA4" w:rsidRPr="002538AF" w:rsidRDefault="00C540C4" w:rsidP="006E44C9">
      <w:pPr>
        <w:spacing w:line="480" w:lineRule="auto"/>
        <w:ind w:left="360"/>
        <w:jc w:val="both"/>
        <w:rPr>
          <w:rFonts w:cs="Times New Roman"/>
        </w:rPr>
      </w:pPr>
      <w:r>
        <w:rPr>
          <w:rFonts w:cs="Times New Roman"/>
          <w:b/>
        </w:rPr>
        <w:t xml:space="preserve">Manager: </w:t>
      </w:r>
      <w:r>
        <w:rPr>
          <w:rFonts w:cs="Times New Roman"/>
        </w:rPr>
        <w:t>All right. Do that, and send me the final version immediately after Accounts responds.</w:t>
      </w:r>
    </w:p>
    <w:p w14:paraId="700A1E69" w14:textId="2552EFD4" w:rsidR="006E44C9" w:rsidRPr="006E44C9" w:rsidRDefault="00C540C4" w:rsidP="002538AF">
      <w:pPr>
        <w:spacing w:line="480" w:lineRule="auto"/>
        <w:jc w:val="both"/>
        <w:rPr>
          <w:rFonts w:cs="Times New Roman"/>
        </w:rPr>
      </w:pPr>
      <w:r>
        <w:rPr>
          <w:rFonts w:cs="Times New Roman"/>
        </w:rPr>
        <w:t>The subordinate does not say “You are wrong” or “I cannot do it.” Instead “May I point out...” works as a mitigation device, and “If you agree” further acknowledges the superior’s authority to decide. The response is strategically adaptive because it conveys resistance to the original deadline without openly challenging the manager’s status.</w:t>
      </w:r>
    </w:p>
    <w:p w14:paraId="1F9A5B78" w14:textId="5C66D51A" w:rsidR="00717EA4" w:rsidRPr="002538AF" w:rsidRDefault="00C540C4" w:rsidP="002538AF">
      <w:pPr>
        <w:spacing w:line="480" w:lineRule="auto"/>
        <w:jc w:val="both"/>
        <w:rPr>
          <w:rFonts w:cs="Times New Roman"/>
        </w:rPr>
      </w:pPr>
      <w:r>
        <w:rPr>
          <w:rFonts w:cs="Times New Roman"/>
          <w:b/>
        </w:rPr>
        <w:t>Illustrative dialogue 5B: Superior to subordinate</w:t>
      </w:r>
    </w:p>
    <w:p w14:paraId="7FB3E03C" w14:textId="77777777" w:rsidR="00717EA4" w:rsidRPr="002538AF" w:rsidRDefault="00C540C4" w:rsidP="002538AF">
      <w:pPr>
        <w:spacing w:line="480" w:lineRule="auto"/>
        <w:ind w:left="360"/>
        <w:jc w:val="both"/>
        <w:rPr>
          <w:rFonts w:cs="Times New Roman"/>
        </w:rPr>
      </w:pPr>
      <w:r>
        <w:rPr>
          <w:rFonts w:cs="Times New Roman"/>
          <w:b/>
        </w:rPr>
        <w:t xml:space="preserve">Manager: </w:t>
      </w:r>
      <w:r>
        <w:rPr>
          <w:rFonts w:cs="Times New Roman"/>
        </w:rPr>
        <w:t>I noticed that the figures in this section do not match the supporting schedule. Please check them before resubmitting the report.</w:t>
      </w:r>
    </w:p>
    <w:p w14:paraId="6422B14C" w14:textId="4F3D856D" w:rsidR="00717EA4" w:rsidRPr="002538AF" w:rsidRDefault="00C540C4" w:rsidP="006E44C9">
      <w:pPr>
        <w:spacing w:line="480" w:lineRule="auto"/>
        <w:ind w:left="360"/>
        <w:jc w:val="both"/>
        <w:rPr>
          <w:rFonts w:cs="Times New Roman"/>
        </w:rPr>
      </w:pPr>
      <w:r>
        <w:rPr>
          <w:rFonts w:cs="Times New Roman"/>
          <w:b/>
        </w:rPr>
        <w:t xml:space="preserve">Officer: </w:t>
      </w:r>
      <w:r>
        <w:rPr>
          <w:rFonts w:cs="Times New Roman"/>
        </w:rPr>
        <w:t>Yes, sir. I will verify the figures and correct the discrepancy.</w:t>
      </w:r>
    </w:p>
    <w:p w14:paraId="2A702366" w14:textId="77777777" w:rsidR="006E44C9" w:rsidRDefault="00C540C4" w:rsidP="006E44C9">
      <w:pPr>
        <w:spacing w:line="480" w:lineRule="auto"/>
        <w:jc w:val="both"/>
        <w:rPr>
          <w:rFonts w:cs="Times New Roman"/>
        </w:rPr>
      </w:pPr>
      <w:r>
        <w:rPr>
          <w:rFonts w:cs="Times New Roman"/>
        </w:rPr>
        <w:t>The superior’s language is directive but professional. “Please” softens the command, and the subordinate answers with respectful acknowledgment. The exchange illustrates that workplace language is shaped at once by task requirements and by interpersonal relations.</w:t>
      </w:r>
    </w:p>
    <w:p w14:paraId="58D4C931" w14:textId="77777777" w:rsidR="006E44C9" w:rsidRDefault="006E44C9" w:rsidP="006E44C9">
      <w:pPr>
        <w:spacing w:line="480" w:lineRule="auto"/>
        <w:jc w:val="both"/>
        <w:rPr>
          <w:rFonts w:cs="Times New Roman"/>
        </w:rPr>
      </w:pPr>
    </w:p>
    <w:p w14:paraId="59D82D6F" w14:textId="2B0ACFDB" w:rsidR="00717EA4" w:rsidRPr="006E44C9" w:rsidRDefault="00C540C4" w:rsidP="006E44C9">
      <w:pPr>
        <w:spacing w:line="480" w:lineRule="auto"/>
        <w:jc w:val="both"/>
        <w:rPr>
          <w:rFonts w:cs="Times New Roman"/>
          <w:b/>
          <w:bCs/>
          <w:sz w:val="24"/>
          <w:szCs w:val="24"/>
        </w:rPr>
      </w:pPr>
      <w:r>
        <w:rPr>
          <w:rFonts w:cs="Times New Roman"/>
          <w:b/>
          <w:bCs/>
          <w:sz w:val="24"/>
          <w:szCs w:val="24"/>
        </w:rPr>
        <w:lastRenderedPageBreak/>
        <w:t>Business negotiation: strategic politeness and precision</w:t>
      </w:r>
    </w:p>
    <w:p w14:paraId="5553F169" w14:textId="77777777" w:rsidR="00717EA4" w:rsidRPr="002538AF" w:rsidRDefault="00C540C4" w:rsidP="002538AF">
      <w:pPr>
        <w:spacing w:line="480" w:lineRule="auto"/>
        <w:jc w:val="both"/>
        <w:rPr>
          <w:rFonts w:cs="Times New Roman"/>
        </w:rPr>
      </w:pPr>
      <w:r>
        <w:rPr>
          <w:rFonts w:cs="Times New Roman"/>
        </w:rPr>
        <w:t>Business discourse usually sits midway between conversational informality and institutional formality. Negotiators need to be clear enough to avoid ambiguity while preserving the relationship, so conditional constructions, modal verbs, hedges, quantified claims and explicit commitments are common.</w:t>
      </w:r>
    </w:p>
    <w:p w14:paraId="10612D2D" w14:textId="77777777" w:rsidR="00717EA4" w:rsidRPr="002538AF" w:rsidRDefault="00C540C4" w:rsidP="002538AF">
      <w:pPr>
        <w:spacing w:line="480" w:lineRule="auto"/>
        <w:jc w:val="both"/>
        <w:rPr>
          <w:rFonts w:cs="Times New Roman"/>
        </w:rPr>
      </w:pPr>
      <w:r>
        <w:rPr>
          <w:rFonts w:cs="Times New Roman"/>
          <w:b/>
        </w:rPr>
        <w:t>Illustrative dialogue 6: Business negotiation</w:t>
      </w:r>
    </w:p>
    <w:p w14:paraId="7B0EDDA1" w14:textId="77777777" w:rsidR="00717EA4" w:rsidRPr="002538AF" w:rsidRDefault="00C540C4" w:rsidP="002538AF">
      <w:pPr>
        <w:spacing w:line="480" w:lineRule="auto"/>
        <w:ind w:left="360"/>
        <w:jc w:val="both"/>
        <w:rPr>
          <w:rFonts w:cs="Times New Roman"/>
        </w:rPr>
      </w:pPr>
      <w:r>
        <w:rPr>
          <w:rFonts w:cs="Times New Roman"/>
          <w:b/>
        </w:rPr>
        <w:t xml:space="preserve">Client: </w:t>
      </w:r>
      <w:r>
        <w:rPr>
          <w:rFonts w:cs="Times New Roman"/>
        </w:rPr>
        <w:t>Your proposal is attractive, but the delivery period is longer than we can accept.</w:t>
      </w:r>
    </w:p>
    <w:p w14:paraId="045951DE" w14:textId="77777777" w:rsidR="00717EA4" w:rsidRPr="002538AF" w:rsidRDefault="00C540C4" w:rsidP="002538AF">
      <w:pPr>
        <w:spacing w:line="480" w:lineRule="auto"/>
        <w:ind w:left="360"/>
        <w:jc w:val="both"/>
        <w:rPr>
          <w:rFonts w:cs="Times New Roman"/>
        </w:rPr>
      </w:pPr>
      <w:r>
        <w:rPr>
          <w:rFonts w:cs="Times New Roman"/>
          <w:b/>
        </w:rPr>
        <w:t xml:space="preserve">Supplier: </w:t>
      </w:r>
      <w:r>
        <w:rPr>
          <w:rFonts w:cs="Times New Roman"/>
        </w:rPr>
        <w:t>We may be able to reduce the lead time from six weeks to four, provided the initial payment is received by Friday.</w:t>
      </w:r>
    </w:p>
    <w:p w14:paraId="71A6662C" w14:textId="77777777" w:rsidR="00717EA4" w:rsidRPr="002538AF" w:rsidRDefault="00C540C4" w:rsidP="002538AF">
      <w:pPr>
        <w:spacing w:line="480" w:lineRule="auto"/>
        <w:ind w:left="360"/>
        <w:jc w:val="both"/>
        <w:rPr>
          <w:rFonts w:cs="Times New Roman"/>
        </w:rPr>
      </w:pPr>
      <w:r>
        <w:rPr>
          <w:rFonts w:cs="Times New Roman"/>
          <w:b/>
        </w:rPr>
        <w:t xml:space="preserve">Client: </w:t>
      </w:r>
      <w:r>
        <w:rPr>
          <w:rFonts w:cs="Times New Roman"/>
        </w:rPr>
        <w:t>That is workable. Could you also include installation in the quoted price?</w:t>
      </w:r>
    </w:p>
    <w:p w14:paraId="04DC5D79" w14:textId="76374553" w:rsidR="00717EA4" w:rsidRPr="002538AF" w:rsidRDefault="00C540C4" w:rsidP="006E44C9">
      <w:pPr>
        <w:spacing w:line="480" w:lineRule="auto"/>
        <w:ind w:left="360"/>
        <w:jc w:val="both"/>
        <w:rPr>
          <w:rFonts w:cs="Times New Roman"/>
        </w:rPr>
      </w:pPr>
      <w:r>
        <w:rPr>
          <w:rFonts w:cs="Times New Roman"/>
          <w:b/>
        </w:rPr>
        <w:t xml:space="preserve">Supplier: </w:t>
      </w:r>
      <w:r>
        <w:rPr>
          <w:rFonts w:cs="Times New Roman"/>
        </w:rPr>
        <w:t>We can include installation, subject to the revised delivery schedule.</w:t>
      </w:r>
    </w:p>
    <w:p w14:paraId="4FF7419F" w14:textId="77777777" w:rsidR="00CA579D" w:rsidRDefault="00C540C4" w:rsidP="00CA579D">
      <w:pPr>
        <w:spacing w:line="480" w:lineRule="auto"/>
        <w:jc w:val="both"/>
        <w:rPr>
          <w:rFonts w:cs="Times New Roman"/>
        </w:rPr>
      </w:pPr>
      <w:r>
        <w:rPr>
          <w:rFonts w:cs="Times New Roman"/>
        </w:rPr>
        <w:t>Conditionality (“provided,” “subject to”), modality (“may be able,” “could”) and controlled commitment mark this exchange. Consider “We will deliver in four weeks” next to “We may be able to reduce the lead time... provided...”: the second protects the speaker from committing unconditionally and leaves the negotiation open. The adaptation is strategic rather than simply courteous.</w:t>
      </w:r>
    </w:p>
    <w:p w14:paraId="6CA884FD" w14:textId="69D29DA9" w:rsidR="00717EA4" w:rsidRPr="00CA579D" w:rsidRDefault="00C540C4" w:rsidP="00CA579D">
      <w:pPr>
        <w:spacing w:line="480" w:lineRule="auto"/>
        <w:jc w:val="both"/>
        <w:rPr>
          <w:rFonts w:cs="Times New Roman"/>
          <w:b/>
          <w:bCs/>
          <w:sz w:val="24"/>
          <w:szCs w:val="24"/>
        </w:rPr>
      </w:pPr>
      <w:r>
        <w:rPr>
          <w:rFonts w:cs="Times New Roman"/>
          <w:b/>
          <w:bCs/>
          <w:sz w:val="24"/>
          <w:szCs w:val="24"/>
        </w:rPr>
        <w:t>Job interview: institutional evaluation and self-presentation</w:t>
      </w:r>
    </w:p>
    <w:p w14:paraId="1802BC53" w14:textId="77777777" w:rsidR="00717EA4" w:rsidRPr="002538AF" w:rsidRDefault="00C540C4" w:rsidP="002538AF">
      <w:pPr>
        <w:spacing w:line="480" w:lineRule="auto"/>
        <w:jc w:val="both"/>
        <w:rPr>
          <w:rFonts w:cs="Times New Roman"/>
        </w:rPr>
      </w:pPr>
      <w:r>
        <w:rPr>
          <w:rFonts w:cs="Times New Roman"/>
        </w:rPr>
        <w:t>A job interview is a speech event with high stakes. In contrast to casual conversation, the candidate’s language is read as evidence of competence, confidence, interpersonal awareness and professional suitability, which pushes candidates toward standard grammar, structured answers, formal vocabulary and explicit claims of achievement.</w:t>
      </w:r>
    </w:p>
    <w:p w14:paraId="3BFF6A89" w14:textId="77777777" w:rsidR="00717EA4" w:rsidRPr="002538AF" w:rsidRDefault="00C540C4" w:rsidP="002538AF">
      <w:pPr>
        <w:spacing w:line="480" w:lineRule="auto"/>
        <w:jc w:val="both"/>
        <w:rPr>
          <w:rFonts w:cs="Times New Roman"/>
        </w:rPr>
      </w:pPr>
      <w:r>
        <w:rPr>
          <w:rFonts w:cs="Times New Roman"/>
          <w:b/>
        </w:rPr>
        <w:t>Illustrative dialogue 7: Interview</w:t>
      </w:r>
    </w:p>
    <w:p w14:paraId="50A6CDF4" w14:textId="77777777" w:rsidR="00717EA4" w:rsidRPr="002538AF" w:rsidRDefault="00C540C4" w:rsidP="002538AF">
      <w:pPr>
        <w:spacing w:line="480" w:lineRule="auto"/>
        <w:ind w:left="360"/>
        <w:jc w:val="both"/>
        <w:rPr>
          <w:rFonts w:cs="Times New Roman"/>
        </w:rPr>
      </w:pPr>
      <w:r>
        <w:rPr>
          <w:rFonts w:cs="Times New Roman"/>
          <w:b/>
        </w:rPr>
        <w:t xml:space="preserve">Interviewer: </w:t>
      </w:r>
      <w:r>
        <w:rPr>
          <w:rFonts w:cs="Times New Roman"/>
        </w:rPr>
        <w:t>Tell us about a challenge you encountered in your previous teaching role.</w:t>
      </w:r>
    </w:p>
    <w:p w14:paraId="2A37EEB8" w14:textId="77777777" w:rsidR="00717EA4" w:rsidRPr="002538AF" w:rsidRDefault="00C540C4" w:rsidP="002538AF">
      <w:pPr>
        <w:spacing w:line="480" w:lineRule="auto"/>
        <w:ind w:left="360"/>
        <w:jc w:val="both"/>
        <w:rPr>
          <w:rFonts w:cs="Times New Roman"/>
        </w:rPr>
      </w:pPr>
      <w:r>
        <w:rPr>
          <w:rFonts w:cs="Times New Roman"/>
          <w:b/>
        </w:rPr>
        <w:t xml:space="preserve">Candidate: </w:t>
      </w:r>
      <w:r>
        <w:rPr>
          <w:rFonts w:cs="Times New Roman"/>
        </w:rPr>
        <w:t>One significant challenge was adapting instruction to students with different proficiency levels. I addressed it by differentiating classroom activities, providing additional guided practice, and monitoring progress through formative assessment.</w:t>
      </w:r>
    </w:p>
    <w:p w14:paraId="3ECDE3F5" w14:textId="77777777" w:rsidR="00717EA4" w:rsidRPr="002538AF" w:rsidRDefault="00C540C4" w:rsidP="002538AF">
      <w:pPr>
        <w:spacing w:line="480" w:lineRule="auto"/>
        <w:ind w:left="360"/>
        <w:jc w:val="both"/>
        <w:rPr>
          <w:rFonts w:cs="Times New Roman"/>
        </w:rPr>
      </w:pPr>
      <w:r>
        <w:rPr>
          <w:rFonts w:cs="Times New Roman"/>
          <w:b/>
        </w:rPr>
        <w:t xml:space="preserve">Interviewer: </w:t>
      </w:r>
      <w:r>
        <w:rPr>
          <w:rFonts w:cs="Times New Roman"/>
        </w:rPr>
        <w:t>What was the outcome?</w:t>
      </w:r>
    </w:p>
    <w:p w14:paraId="0414C36C" w14:textId="5B9D59CF" w:rsidR="00717EA4" w:rsidRPr="002538AF" w:rsidRDefault="00C540C4" w:rsidP="00CA579D">
      <w:pPr>
        <w:spacing w:line="480" w:lineRule="auto"/>
        <w:ind w:left="360"/>
        <w:jc w:val="both"/>
        <w:rPr>
          <w:rFonts w:cs="Times New Roman"/>
        </w:rPr>
      </w:pPr>
      <w:r>
        <w:rPr>
          <w:rFonts w:cs="Times New Roman"/>
          <w:b/>
        </w:rPr>
        <w:lastRenderedPageBreak/>
        <w:t xml:space="preserve">Candidate: </w:t>
      </w:r>
      <w:r>
        <w:rPr>
          <w:rFonts w:cs="Times New Roman"/>
        </w:rPr>
        <w:t>Student participation improved, and I was able to identify learning gaps earlier and adjust instruction accordingly.</w:t>
      </w:r>
    </w:p>
    <w:p w14:paraId="2B99B49E" w14:textId="77777777" w:rsidR="00717EA4" w:rsidRPr="002538AF" w:rsidRDefault="00C540C4" w:rsidP="002538AF">
      <w:pPr>
        <w:spacing w:line="480" w:lineRule="auto"/>
        <w:jc w:val="both"/>
        <w:rPr>
          <w:rFonts w:cs="Times New Roman"/>
        </w:rPr>
      </w:pPr>
      <w:r>
        <w:rPr>
          <w:rFonts w:cs="Times New Roman"/>
        </w:rPr>
        <w:t>Challenge, action and outcome give the candidate’s answer its structure, and phrases like “differentiating classroom activities,” “guided practice,” “formative assessment,” “monitoring progress” and “learning gaps” point to professional competence. A casual reply such as “Some students were struggling, so I changed what I was doing” would be easy to follow but would say less about the speaker’s command of professional discourse.</w:t>
      </w:r>
    </w:p>
    <w:p w14:paraId="4C603AB3" w14:textId="77777777" w:rsidR="00CA579D" w:rsidRDefault="00C540C4" w:rsidP="00CA579D">
      <w:pPr>
        <w:spacing w:line="480" w:lineRule="auto"/>
        <w:jc w:val="both"/>
        <w:rPr>
          <w:rFonts w:cs="Times New Roman"/>
        </w:rPr>
      </w:pPr>
      <w:r>
        <w:rPr>
          <w:rFonts w:cs="Times New Roman"/>
        </w:rPr>
        <w:t>The interview thus demonstrates audience design: the candidate anticipates what the institutional audience values and chooses language accordingly (Bell, 1984). Over-formalization can backfire, however, if it yields memorized, unnatural answers. Effective adaptation needs a balance between professional register and conversational authenticity.</w:t>
      </w:r>
    </w:p>
    <w:p w14:paraId="61B89A35" w14:textId="7FFA9CD9" w:rsidR="00717EA4" w:rsidRPr="00CA579D" w:rsidRDefault="00C540C4" w:rsidP="00CA579D">
      <w:pPr>
        <w:spacing w:line="480" w:lineRule="auto"/>
        <w:jc w:val="both"/>
        <w:rPr>
          <w:rFonts w:cs="Times New Roman"/>
          <w:b/>
          <w:bCs/>
          <w:sz w:val="24"/>
          <w:szCs w:val="24"/>
        </w:rPr>
      </w:pPr>
      <w:commentRangeStart w:id="11"/>
      <w:r>
        <w:rPr>
          <w:rFonts w:cs="Times New Roman"/>
          <w:b/>
          <w:bCs/>
          <w:sz w:val="24"/>
          <w:szCs w:val="24"/>
        </w:rPr>
        <w:t>Academic supervision: expertise, feedback and intellectual positioning</w:t>
      </w:r>
      <w:commentRangeEnd w:id="11"/>
      <w:r w:rsidRPr="00CA579D">
        <w:rPr>
          <w:rStyle w:val="CommentReference"/>
          <w:rFonts w:cs="Times New Roman"/>
          <w:b/>
          <w:bCs/>
          <w:sz w:val="24"/>
          <w:szCs w:val="24"/>
        </w:rPr>
        <w:commentReference w:id="11"/>
      </w:r>
    </w:p>
    <w:p w14:paraId="0200BE5F" w14:textId="77777777" w:rsidR="00717EA4" w:rsidRPr="002538AF" w:rsidRDefault="00C540C4" w:rsidP="002538AF">
      <w:pPr>
        <w:spacing w:line="480" w:lineRule="auto"/>
        <w:jc w:val="both"/>
        <w:rPr>
          <w:rFonts w:cs="Times New Roman"/>
        </w:rPr>
      </w:pPr>
      <w:r>
        <w:rPr>
          <w:rFonts w:cs="Times New Roman"/>
          <w:b/>
        </w:rPr>
        <w:t>Illustrative dialogue 8: Supervisor–research student</w:t>
      </w:r>
    </w:p>
    <w:p w14:paraId="7193F130" w14:textId="77777777" w:rsidR="00717EA4" w:rsidRPr="002538AF" w:rsidRDefault="00C540C4" w:rsidP="002538AF">
      <w:pPr>
        <w:spacing w:line="480" w:lineRule="auto"/>
        <w:ind w:left="360"/>
        <w:jc w:val="both"/>
        <w:rPr>
          <w:rFonts w:cs="Times New Roman"/>
        </w:rPr>
      </w:pPr>
      <w:r>
        <w:rPr>
          <w:rFonts w:cs="Times New Roman"/>
          <w:b/>
        </w:rPr>
        <w:t xml:space="preserve">Supervisor: </w:t>
      </w:r>
      <w:r>
        <w:rPr>
          <w:rFonts w:cs="Times New Roman"/>
        </w:rPr>
        <w:t>Your research question is interesting, but it is currently too broad for the proposed methodology.</w:t>
      </w:r>
    </w:p>
    <w:p w14:paraId="5398C4DC" w14:textId="77777777" w:rsidR="00717EA4" w:rsidRPr="002538AF" w:rsidRDefault="00C540C4" w:rsidP="002538AF">
      <w:pPr>
        <w:spacing w:line="480" w:lineRule="auto"/>
        <w:ind w:left="360"/>
        <w:jc w:val="both"/>
        <w:rPr>
          <w:rFonts w:cs="Times New Roman"/>
        </w:rPr>
      </w:pPr>
      <w:r>
        <w:rPr>
          <w:rFonts w:cs="Times New Roman"/>
          <w:b/>
        </w:rPr>
        <w:t xml:space="preserve">Student: </w:t>
      </w:r>
      <w:r>
        <w:rPr>
          <w:rFonts w:cs="Times New Roman"/>
        </w:rPr>
        <w:t>Would it be better if I restricted the study to two regions and focused specifically on lexical innovation?</w:t>
      </w:r>
    </w:p>
    <w:p w14:paraId="26C51798" w14:textId="77777777" w:rsidR="00717EA4" w:rsidRPr="002538AF" w:rsidRDefault="00C540C4" w:rsidP="002538AF">
      <w:pPr>
        <w:spacing w:line="480" w:lineRule="auto"/>
        <w:ind w:left="360"/>
        <w:jc w:val="both"/>
        <w:rPr>
          <w:rFonts w:cs="Times New Roman"/>
        </w:rPr>
      </w:pPr>
      <w:r>
        <w:rPr>
          <w:rFonts w:cs="Times New Roman"/>
          <w:b/>
        </w:rPr>
        <w:t xml:space="preserve">Supervisor: </w:t>
      </w:r>
      <w:r>
        <w:rPr>
          <w:rFonts w:cs="Times New Roman"/>
        </w:rPr>
        <w:t>Yes. That would give you a more manageable corpus and a clearer analytical boundary.</w:t>
      </w:r>
    </w:p>
    <w:p w14:paraId="5CBA7BF5" w14:textId="22B8C743" w:rsidR="00717EA4" w:rsidRPr="002538AF" w:rsidRDefault="00C540C4" w:rsidP="00CA579D">
      <w:pPr>
        <w:spacing w:line="480" w:lineRule="auto"/>
        <w:ind w:left="360"/>
        <w:jc w:val="both"/>
        <w:rPr>
          <w:rFonts w:cs="Times New Roman"/>
        </w:rPr>
      </w:pPr>
      <w:r>
        <w:rPr>
          <w:rFonts w:cs="Times New Roman"/>
          <w:b/>
        </w:rPr>
        <w:t xml:space="preserve">Student: </w:t>
      </w:r>
      <w:r>
        <w:rPr>
          <w:rFonts w:cs="Times New Roman"/>
        </w:rPr>
        <w:t>Thank you. I will revise the scope and align the objectives with the new delimitation.</w:t>
      </w:r>
    </w:p>
    <w:p w14:paraId="0D4C774E" w14:textId="77777777" w:rsidR="00CA579D" w:rsidRDefault="00C540C4" w:rsidP="00CA579D">
      <w:pPr>
        <w:spacing w:line="480" w:lineRule="auto"/>
        <w:jc w:val="both"/>
        <w:rPr>
          <w:rFonts w:cs="Times New Roman"/>
        </w:rPr>
      </w:pPr>
      <w:r>
        <w:rPr>
          <w:rFonts w:cs="Times New Roman"/>
        </w:rPr>
        <w:t>Here the supervisor evaluates (“too broad,” “manageable corpus,” “analytical boundary”) and the student answers deferentially yet collaboratively (“Would it be better...?”, “I will revise...”). Academic talk of this kind mixes authority with negotiation. Passive acceptance is not what the supervisor wants; the expected reply is one that shows reasoned accommodation.</w:t>
      </w:r>
    </w:p>
    <w:p w14:paraId="405EFA92" w14:textId="77777777" w:rsidR="00CA579D" w:rsidRDefault="00CA579D" w:rsidP="00CA579D">
      <w:pPr>
        <w:spacing w:line="480" w:lineRule="auto"/>
        <w:jc w:val="both"/>
        <w:rPr>
          <w:rFonts w:cs="Times New Roman"/>
          <w:b/>
          <w:bCs/>
          <w:sz w:val="24"/>
          <w:szCs w:val="24"/>
        </w:rPr>
      </w:pPr>
    </w:p>
    <w:p w14:paraId="4C58D33F" w14:textId="77777777" w:rsidR="00CA579D" w:rsidRDefault="00CA579D" w:rsidP="00CA579D">
      <w:pPr>
        <w:spacing w:line="480" w:lineRule="auto"/>
        <w:jc w:val="both"/>
        <w:rPr>
          <w:rFonts w:cs="Times New Roman"/>
          <w:b/>
          <w:bCs/>
          <w:sz w:val="24"/>
          <w:szCs w:val="24"/>
        </w:rPr>
      </w:pPr>
    </w:p>
    <w:p w14:paraId="17EA9197" w14:textId="16BF84DD" w:rsidR="00717EA4" w:rsidRPr="00CA579D" w:rsidRDefault="00C540C4" w:rsidP="00CA579D">
      <w:pPr>
        <w:spacing w:line="480" w:lineRule="auto"/>
        <w:jc w:val="both"/>
        <w:rPr>
          <w:rFonts w:cs="Times New Roman"/>
          <w:b/>
          <w:bCs/>
          <w:sz w:val="24"/>
          <w:szCs w:val="24"/>
        </w:rPr>
      </w:pPr>
      <w:r>
        <w:rPr>
          <w:rFonts w:cs="Times New Roman"/>
          <w:b/>
          <w:bCs/>
          <w:sz w:val="24"/>
          <w:szCs w:val="24"/>
        </w:rPr>
        <w:lastRenderedPageBreak/>
        <w:t>Customer service: institutional politeness and problem resolution</w:t>
      </w:r>
    </w:p>
    <w:p w14:paraId="1CE01C4F" w14:textId="77777777" w:rsidR="00717EA4" w:rsidRPr="002538AF" w:rsidRDefault="00C540C4" w:rsidP="002538AF">
      <w:pPr>
        <w:spacing w:line="480" w:lineRule="auto"/>
        <w:jc w:val="both"/>
        <w:rPr>
          <w:rFonts w:cs="Times New Roman"/>
        </w:rPr>
      </w:pPr>
      <w:r>
        <w:rPr>
          <w:rFonts w:cs="Times New Roman"/>
          <w:b/>
        </w:rPr>
        <w:t>Illustrative dialogue 9: Customer and service representative</w:t>
      </w:r>
    </w:p>
    <w:p w14:paraId="5CAABCFE" w14:textId="77777777" w:rsidR="00717EA4" w:rsidRPr="002538AF" w:rsidRDefault="00C540C4" w:rsidP="002538AF">
      <w:pPr>
        <w:spacing w:line="480" w:lineRule="auto"/>
        <w:ind w:left="360"/>
        <w:jc w:val="both"/>
        <w:rPr>
          <w:rFonts w:cs="Times New Roman"/>
        </w:rPr>
      </w:pPr>
      <w:r>
        <w:rPr>
          <w:rFonts w:cs="Times New Roman"/>
          <w:b/>
        </w:rPr>
        <w:t xml:space="preserve">Customer: </w:t>
      </w:r>
      <w:r>
        <w:rPr>
          <w:rFonts w:cs="Times New Roman"/>
        </w:rPr>
        <w:t>I was charged twice for the same transaction.</w:t>
      </w:r>
    </w:p>
    <w:p w14:paraId="1D214241" w14:textId="77777777" w:rsidR="00717EA4" w:rsidRPr="002538AF" w:rsidRDefault="00C540C4" w:rsidP="002538AF">
      <w:pPr>
        <w:spacing w:line="480" w:lineRule="auto"/>
        <w:ind w:left="360"/>
        <w:jc w:val="both"/>
        <w:rPr>
          <w:rFonts w:cs="Times New Roman"/>
        </w:rPr>
      </w:pPr>
      <w:r>
        <w:rPr>
          <w:rFonts w:cs="Times New Roman"/>
          <w:b/>
        </w:rPr>
        <w:t xml:space="preserve">Agent: </w:t>
      </w:r>
      <w:r>
        <w:rPr>
          <w:rFonts w:cs="Times New Roman"/>
        </w:rPr>
        <w:t>I am sorry about that. Let me check the transaction history for you.</w:t>
      </w:r>
    </w:p>
    <w:p w14:paraId="1FF77342" w14:textId="77777777" w:rsidR="00717EA4" w:rsidRPr="002538AF" w:rsidRDefault="00C540C4" w:rsidP="002538AF">
      <w:pPr>
        <w:spacing w:line="480" w:lineRule="auto"/>
        <w:ind w:left="360"/>
        <w:jc w:val="both"/>
        <w:rPr>
          <w:rFonts w:cs="Times New Roman"/>
        </w:rPr>
      </w:pPr>
      <w:r>
        <w:rPr>
          <w:rFonts w:cs="Times New Roman"/>
          <w:b/>
        </w:rPr>
        <w:t xml:space="preserve">Customer: </w:t>
      </w:r>
      <w:r>
        <w:rPr>
          <w:rFonts w:cs="Times New Roman"/>
        </w:rPr>
        <w:t>I need the duplicate charge reversed as soon as possible.</w:t>
      </w:r>
    </w:p>
    <w:p w14:paraId="664BB303" w14:textId="3AE641C2" w:rsidR="00717EA4" w:rsidRPr="002538AF" w:rsidRDefault="00C540C4" w:rsidP="00B266EB">
      <w:pPr>
        <w:spacing w:line="480" w:lineRule="auto"/>
        <w:ind w:left="360"/>
        <w:jc w:val="both"/>
        <w:rPr>
          <w:rFonts w:cs="Times New Roman"/>
        </w:rPr>
      </w:pPr>
      <w:r>
        <w:rPr>
          <w:rFonts w:cs="Times New Roman"/>
          <w:b/>
        </w:rPr>
        <w:t xml:space="preserve">Agent: </w:t>
      </w:r>
      <w:r>
        <w:rPr>
          <w:rFonts w:cs="Times New Roman"/>
        </w:rPr>
        <w:t>I understand. I have confirmed the duplicate transaction. I will initiate the reversal and provide you with the reference number.</w:t>
      </w:r>
    </w:p>
    <w:p w14:paraId="4B630804" w14:textId="77777777" w:rsidR="00B266EB" w:rsidRDefault="00C540C4" w:rsidP="00B266EB">
      <w:pPr>
        <w:spacing w:line="480" w:lineRule="auto"/>
        <w:jc w:val="both"/>
        <w:rPr>
          <w:rFonts w:cs="Times New Roman"/>
        </w:rPr>
      </w:pPr>
      <w:r>
        <w:rPr>
          <w:rFonts w:cs="Times New Roman"/>
        </w:rPr>
        <w:t>Apology, acknowledgment, procedural explanation and commitment characterize customer-service talk. Saying “I understand” acknowledges the customer’s concern without conceding institutional fault, while “I will initiate...” converts a vague promise into a concrete procedural step. Formulas like these do real work: they organize trust and expectations within the institution and are far from empty politeness.</w:t>
      </w:r>
    </w:p>
    <w:p w14:paraId="2E4A7070" w14:textId="2C08098C" w:rsidR="00717EA4" w:rsidRPr="00B266EB" w:rsidRDefault="00C540C4" w:rsidP="00B266EB">
      <w:pPr>
        <w:spacing w:line="480" w:lineRule="auto"/>
        <w:jc w:val="both"/>
        <w:rPr>
          <w:rFonts w:cs="Times New Roman"/>
          <w:b/>
          <w:bCs/>
          <w:sz w:val="24"/>
          <w:szCs w:val="24"/>
        </w:rPr>
      </w:pPr>
      <w:r>
        <w:rPr>
          <w:rFonts w:cs="Times New Roman"/>
          <w:b/>
          <w:bCs/>
          <w:sz w:val="24"/>
          <w:szCs w:val="24"/>
        </w:rPr>
        <w:t>Comparative Analysis of Linguistic Adaptation</w:t>
      </w:r>
    </w:p>
    <w:p w14:paraId="78C84DE1" w14:textId="77777777" w:rsidR="00717EA4" w:rsidRPr="002538AF" w:rsidRDefault="00C540C4" w:rsidP="002538AF">
      <w:pPr>
        <w:spacing w:line="480" w:lineRule="auto"/>
        <w:jc w:val="both"/>
        <w:rPr>
          <w:rFonts w:cs="Times New Roman"/>
        </w:rPr>
      </w:pPr>
      <w:r>
        <w:rPr>
          <w:rFonts w:cs="Times New Roman"/>
        </w:rPr>
        <w:t>The contexts above show that conversational change operates at several linguistic levels. The first is lexical: legal settings favor terms such as “for the record,” “evidence” and “statement”; medical settings use technical terms such as “tachycardic” and “blood cultures”; academic contexts use metalanguage such as “analytical framework”; and market contexts may use relational and locally meaningful forms. The second is syntax: legal and business discourse often relies on carefully bounded clauses and conditionals, whereas everyday market talk can favor shorter clauses and elliptical constructions. The third is pragmatics, where mitigation, politeness, directness and indirectness shift with status and purpose.</w:t>
      </w:r>
    </w:p>
    <w:p w14:paraId="3760AA3C" w14:textId="77777777" w:rsidR="00717EA4" w:rsidRPr="002538AF" w:rsidRDefault="00C540C4" w:rsidP="002538AF">
      <w:pPr>
        <w:spacing w:line="480" w:lineRule="auto"/>
        <w:jc w:val="both"/>
        <w:rPr>
          <w:rFonts w:cs="Times New Roman"/>
        </w:rPr>
      </w:pPr>
      <w:r>
        <w:rPr>
          <w:rFonts w:cs="Times New Roman"/>
        </w:rPr>
        <w:t>The fourth level is discourse organization. Interviews reward structured responses; classrooms use question–answer–evaluation sequences; clinical encounters involve history-taking, explanation and checking; courtroom questioning limits the types of response; and bargaining moves through proposals and counterproposals. Adaptation is thus more than vocabulary substitution, since it involves the organization of the whole interaction.</w:t>
      </w:r>
    </w:p>
    <w:p w14:paraId="126F9AD6" w14:textId="77777777" w:rsidR="00717EA4" w:rsidRPr="002538AF" w:rsidRDefault="00C540C4" w:rsidP="002538AF">
      <w:pPr>
        <w:spacing w:line="480" w:lineRule="auto"/>
        <w:jc w:val="both"/>
        <w:rPr>
          <w:rFonts w:cs="Times New Roman"/>
        </w:rPr>
      </w:pPr>
      <w:r>
        <w:rPr>
          <w:rFonts w:cs="Times New Roman"/>
        </w:rPr>
        <w:lastRenderedPageBreak/>
        <w:t xml:space="preserve">Prosody and delivery form the fifth level. For Gumperz (1982), rhythm, stress, intonation, pauses and similar contextualization cues all feed into interpretation. “You did that” can be heard as an accusation, an expression of surprise, praise or disbelief, depending on how it is said and where. </w:t>
      </w:r>
      <w:commentRangeStart w:id="12"/>
      <w:r>
        <w:rPr>
          <w:rFonts w:cs="Times New Roman"/>
        </w:rPr>
        <w:t>An analysis confined to written lexical items will therefore overlook part of what happens in conversational adaptation.</w:t>
      </w:r>
      <w:commentRangeEnd w:id="12"/>
      <w:r w:rsidRPr="002538AF">
        <w:rPr>
          <w:rStyle w:val="CommentReference"/>
          <w:rFonts w:cs="Times New Roman"/>
          <w:sz w:val="22"/>
          <w:szCs w:val="22"/>
        </w:rPr>
        <w:commentReference w:id="12"/>
      </w:r>
    </w:p>
    <w:p w14:paraId="5E93D1D1" w14:textId="77777777" w:rsidR="00717EA4" w:rsidRPr="002538AF" w:rsidRDefault="00C540C4" w:rsidP="002538AF">
      <w:pPr>
        <w:pStyle w:val="Heading2"/>
        <w:spacing w:line="480" w:lineRule="auto"/>
        <w:jc w:val="both"/>
        <w:rPr>
          <w:rFonts w:ascii="Times New Roman" w:hAnsi="Times New Roman" w:cs="Times New Roman"/>
          <w:color w:val="auto"/>
        </w:rPr>
      </w:pPr>
      <w:r>
        <w:rPr>
          <w:rFonts w:ascii="Times New Roman" w:hAnsi="Times New Roman" w:cs="Times New Roman"/>
          <w:color w:val="auto"/>
        </w:rPr>
        <w:t>Table 1. Comparative profile of situational language adaptation</w:t>
      </w:r>
    </w:p>
    <w:tbl>
      <w:tblPr>
        <w:tblStyle w:val="TableGrid"/>
        <w:tblW w:w="11160" w:type="dxa"/>
        <w:tblInd w:w="-522" w:type="dxa"/>
        <w:tblLayout w:type="fixed"/>
        <w:tblLook w:val="04A0" w:firstRow="1" w:lastRow="0" w:firstColumn="1" w:lastColumn="0" w:noHBand="0" w:noVBand="1"/>
      </w:tblPr>
      <w:tblGrid>
        <w:gridCol w:w="1260"/>
        <w:gridCol w:w="1993"/>
        <w:gridCol w:w="1780"/>
        <w:gridCol w:w="2527"/>
        <w:gridCol w:w="1890"/>
        <w:gridCol w:w="1710"/>
      </w:tblGrid>
      <w:tr w:rsidR="003036DE" w:rsidRPr="002538AF" w14:paraId="5C5548B3" w14:textId="77777777" w:rsidTr="008620EB">
        <w:tc>
          <w:tcPr>
            <w:tcW w:w="1260" w:type="dxa"/>
          </w:tcPr>
          <w:p w14:paraId="67E5231A" w14:textId="77777777" w:rsidR="00717EA4" w:rsidRPr="002538AF" w:rsidRDefault="00C540C4" w:rsidP="008620EB">
            <w:pPr>
              <w:spacing w:line="240" w:lineRule="auto"/>
              <w:jc w:val="both"/>
              <w:rPr>
                <w:rFonts w:cs="Times New Roman"/>
              </w:rPr>
            </w:pPr>
            <w:r>
              <w:rPr>
                <w:rFonts w:cs="Times New Roman"/>
              </w:rPr>
              <w:t>Context</w:t>
            </w:r>
          </w:p>
        </w:tc>
        <w:tc>
          <w:tcPr>
            <w:tcW w:w="1993" w:type="dxa"/>
          </w:tcPr>
          <w:p w14:paraId="5C809707" w14:textId="77777777" w:rsidR="00717EA4" w:rsidRPr="002538AF" w:rsidRDefault="00C540C4" w:rsidP="008620EB">
            <w:pPr>
              <w:spacing w:line="240" w:lineRule="auto"/>
              <w:jc w:val="both"/>
              <w:rPr>
                <w:rFonts w:cs="Times New Roman"/>
              </w:rPr>
            </w:pPr>
            <w:r>
              <w:rPr>
                <w:rFonts w:cs="Times New Roman"/>
              </w:rPr>
              <w:t>Primary goal</w:t>
            </w:r>
          </w:p>
        </w:tc>
        <w:tc>
          <w:tcPr>
            <w:tcW w:w="1780" w:type="dxa"/>
          </w:tcPr>
          <w:p w14:paraId="4C2EC7AD" w14:textId="77777777" w:rsidR="00717EA4" w:rsidRPr="002538AF" w:rsidRDefault="00C540C4" w:rsidP="008620EB">
            <w:pPr>
              <w:spacing w:line="240" w:lineRule="auto"/>
              <w:jc w:val="both"/>
              <w:rPr>
                <w:rFonts w:cs="Times New Roman"/>
              </w:rPr>
            </w:pPr>
            <w:r>
              <w:rPr>
                <w:rFonts w:cs="Times New Roman"/>
              </w:rPr>
              <w:t>Typical register</w:t>
            </w:r>
          </w:p>
        </w:tc>
        <w:tc>
          <w:tcPr>
            <w:tcW w:w="2527" w:type="dxa"/>
          </w:tcPr>
          <w:p w14:paraId="39AF1369" w14:textId="77777777" w:rsidR="00717EA4" w:rsidRPr="002538AF" w:rsidRDefault="00C540C4" w:rsidP="008620EB">
            <w:pPr>
              <w:spacing w:line="240" w:lineRule="auto"/>
              <w:jc w:val="both"/>
              <w:rPr>
                <w:rFonts w:cs="Times New Roman"/>
              </w:rPr>
            </w:pPr>
            <w:r>
              <w:rPr>
                <w:rFonts w:cs="Times New Roman"/>
              </w:rPr>
              <w:t>Characteristic choices</w:t>
            </w:r>
          </w:p>
        </w:tc>
        <w:tc>
          <w:tcPr>
            <w:tcW w:w="1890" w:type="dxa"/>
          </w:tcPr>
          <w:p w14:paraId="0C887BA3" w14:textId="77777777" w:rsidR="00717EA4" w:rsidRPr="002538AF" w:rsidRDefault="00C540C4" w:rsidP="008620EB">
            <w:pPr>
              <w:spacing w:line="240" w:lineRule="auto"/>
              <w:jc w:val="both"/>
              <w:rPr>
                <w:rFonts w:cs="Times New Roman"/>
              </w:rPr>
            </w:pPr>
            <w:r>
              <w:rPr>
                <w:rFonts w:cs="Times New Roman"/>
              </w:rPr>
              <w:t>Power relation</w:t>
            </w:r>
          </w:p>
        </w:tc>
        <w:tc>
          <w:tcPr>
            <w:tcW w:w="1710" w:type="dxa"/>
          </w:tcPr>
          <w:p w14:paraId="6AFBE38B" w14:textId="77777777" w:rsidR="00717EA4" w:rsidRPr="002538AF" w:rsidRDefault="00C540C4" w:rsidP="008620EB">
            <w:pPr>
              <w:spacing w:line="240" w:lineRule="auto"/>
              <w:jc w:val="both"/>
              <w:rPr>
                <w:rFonts w:cs="Times New Roman"/>
              </w:rPr>
            </w:pPr>
            <w:r>
              <w:rPr>
                <w:rFonts w:cs="Times New Roman"/>
              </w:rPr>
              <w:t>Adaptation priority</w:t>
            </w:r>
          </w:p>
        </w:tc>
      </w:tr>
      <w:tr w:rsidR="003036DE" w:rsidRPr="002538AF" w14:paraId="046D5B53" w14:textId="77777777" w:rsidTr="008620EB">
        <w:tc>
          <w:tcPr>
            <w:tcW w:w="1260" w:type="dxa"/>
          </w:tcPr>
          <w:p w14:paraId="4ED2E8F2" w14:textId="77777777" w:rsidR="00717EA4" w:rsidRPr="002538AF" w:rsidRDefault="00C540C4" w:rsidP="008620EB">
            <w:pPr>
              <w:spacing w:line="240" w:lineRule="auto"/>
              <w:jc w:val="both"/>
              <w:rPr>
                <w:rFonts w:cs="Times New Roman"/>
              </w:rPr>
            </w:pPr>
            <w:r>
              <w:rPr>
                <w:rFonts w:cs="Times New Roman"/>
              </w:rPr>
              <w:t>Law</w:t>
            </w:r>
          </w:p>
        </w:tc>
        <w:tc>
          <w:tcPr>
            <w:tcW w:w="1993" w:type="dxa"/>
          </w:tcPr>
          <w:p w14:paraId="0C3F77AA" w14:textId="77777777" w:rsidR="00717EA4" w:rsidRPr="002538AF" w:rsidRDefault="00C540C4" w:rsidP="008620EB">
            <w:pPr>
              <w:spacing w:line="240" w:lineRule="auto"/>
              <w:jc w:val="both"/>
              <w:rPr>
                <w:rFonts w:cs="Times New Roman"/>
              </w:rPr>
            </w:pPr>
            <w:r>
              <w:rPr>
                <w:rFonts w:cs="Times New Roman"/>
              </w:rPr>
              <w:t>Precision, evidential control</w:t>
            </w:r>
          </w:p>
        </w:tc>
        <w:tc>
          <w:tcPr>
            <w:tcW w:w="1780" w:type="dxa"/>
          </w:tcPr>
          <w:p w14:paraId="79DE6FDF" w14:textId="77777777" w:rsidR="00717EA4" w:rsidRPr="002538AF" w:rsidRDefault="00C540C4" w:rsidP="008620EB">
            <w:pPr>
              <w:spacing w:line="240" w:lineRule="auto"/>
              <w:jc w:val="both"/>
              <w:rPr>
                <w:rFonts w:cs="Times New Roman"/>
              </w:rPr>
            </w:pPr>
            <w:r>
              <w:rPr>
                <w:rFonts w:cs="Times New Roman"/>
              </w:rPr>
              <w:t>Formal/institutional</w:t>
            </w:r>
          </w:p>
        </w:tc>
        <w:tc>
          <w:tcPr>
            <w:tcW w:w="2527" w:type="dxa"/>
          </w:tcPr>
          <w:p w14:paraId="6576CA47" w14:textId="77777777" w:rsidR="00717EA4" w:rsidRPr="002538AF" w:rsidRDefault="00C540C4" w:rsidP="008620EB">
            <w:pPr>
              <w:spacing w:line="240" w:lineRule="auto"/>
              <w:jc w:val="both"/>
              <w:rPr>
                <w:rFonts w:cs="Times New Roman"/>
              </w:rPr>
            </w:pPr>
            <w:r>
              <w:rPr>
                <w:rFonts w:cs="Times New Roman"/>
              </w:rPr>
              <w:t>Formulaic phrases, precise references, restricted answers</w:t>
            </w:r>
          </w:p>
        </w:tc>
        <w:tc>
          <w:tcPr>
            <w:tcW w:w="1890" w:type="dxa"/>
          </w:tcPr>
          <w:p w14:paraId="193AE0D5" w14:textId="77777777" w:rsidR="00717EA4" w:rsidRPr="002538AF" w:rsidRDefault="00C540C4" w:rsidP="008620EB">
            <w:pPr>
              <w:spacing w:line="240" w:lineRule="auto"/>
              <w:jc w:val="both"/>
              <w:rPr>
                <w:rFonts w:cs="Times New Roman"/>
              </w:rPr>
            </w:pPr>
            <w:r>
              <w:rPr>
                <w:rFonts w:cs="Times New Roman"/>
              </w:rPr>
              <w:t>Strong institutional asymmetry</w:t>
            </w:r>
          </w:p>
        </w:tc>
        <w:tc>
          <w:tcPr>
            <w:tcW w:w="1710" w:type="dxa"/>
          </w:tcPr>
          <w:p w14:paraId="02D01975" w14:textId="77777777" w:rsidR="00717EA4" w:rsidRPr="002538AF" w:rsidRDefault="00C540C4" w:rsidP="008620EB">
            <w:pPr>
              <w:spacing w:line="240" w:lineRule="auto"/>
              <w:jc w:val="both"/>
              <w:rPr>
                <w:rFonts w:cs="Times New Roman"/>
              </w:rPr>
            </w:pPr>
            <w:r>
              <w:rPr>
                <w:rFonts w:cs="Times New Roman"/>
              </w:rPr>
              <w:t>Accuracy and procedural conformity</w:t>
            </w:r>
          </w:p>
        </w:tc>
      </w:tr>
      <w:tr w:rsidR="003036DE" w:rsidRPr="002538AF" w14:paraId="2E335046" w14:textId="77777777" w:rsidTr="008620EB">
        <w:tc>
          <w:tcPr>
            <w:tcW w:w="1260" w:type="dxa"/>
          </w:tcPr>
          <w:p w14:paraId="72552D02" w14:textId="77777777" w:rsidR="00717EA4" w:rsidRPr="002538AF" w:rsidRDefault="00C540C4" w:rsidP="008620EB">
            <w:pPr>
              <w:spacing w:line="240" w:lineRule="auto"/>
              <w:jc w:val="both"/>
              <w:rPr>
                <w:rFonts w:cs="Times New Roman"/>
              </w:rPr>
            </w:pPr>
            <w:r>
              <w:rPr>
                <w:rFonts w:cs="Times New Roman"/>
              </w:rPr>
              <w:t>Medicine</w:t>
            </w:r>
          </w:p>
        </w:tc>
        <w:tc>
          <w:tcPr>
            <w:tcW w:w="1993" w:type="dxa"/>
          </w:tcPr>
          <w:p w14:paraId="48AC9CDA" w14:textId="77777777" w:rsidR="00717EA4" w:rsidRPr="002538AF" w:rsidRDefault="00C540C4" w:rsidP="008620EB">
            <w:pPr>
              <w:spacing w:line="240" w:lineRule="auto"/>
              <w:jc w:val="both"/>
              <w:rPr>
                <w:rFonts w:cs="Times New Roman"/>
              </w:rPr>
            </w:pPr>
            <w:r>
              <w:rPr>
                <w:rFonts w:cs="Times New Roman"/>
              </w:rPr>
              <w:t>Diagnosis, treatment, informed understanding</w:t>
            </w:r>
          </w:p>
        </w:tc>
        <w:tc>
          <w:tcPr>
            <w:tcW w:w="1780" w:type="dxa"/>
          </w:tcPr>
          <w:p w14:paraId="210A40EC" w14:textId="77777777" w:rsidR="00717EA4" w:rsidRPr="002538AF" w:rsidRDefault="00C540C4" w:rsidP="008620EB">
            <w:pPr>
              <w:spacing w:line="240" w:lineRule="auto"/>
              <w:jc w:val="both"/>
              <w:rPr>
                <w:rFonts w:cs="Times New Roman"/>
              </w:rPr>
            </w:pPr>
            <w:r>
              <w:rPr>
                <w:rFonts w:cs="Times New Roman"/>
              </w:rPr>
              <w:t>Technical ↔ lay</w:t>
            </w:r>
          </w:p>
        </w:tc>
        <w:tc>
          <w:tcPr>
            <w:tcW w:w="2527" w:type="dxa"/>
          </w:tcPr>
          <w:p w14:paraId="21695C87" w14:textId="77777777" w:rsidR="00717EA4" w:rsidRPr="002538AF" w:rsidRDefault="00C540C4" w:rsidP="008620EB">
            <w:pPr>
              <w:spacing w:line="240" w:lineRule="auto"/>
              <w:jc w:val="both"/>
              <w:rPr>
                <w:rFonts w:cs="Times New Roman"/>
              </w:rPr>
            </w:pPr>
            <w:r>
              <w:rPr>
                <w:rFonts w:cs="Times New Roman"/>
              </w:rPr>
              <w:t>Terminology, reformulation, teach-back</w:t>
            </w:r>
          </w:p>
        </w:tc>
        <w:tc>
          <w:tcPr>
            <w:tcW w:w="1890" w:type="dxa"/>
          </w:tcPr>
          <w:p w14:paraId="620F62C2" w14:textId="77777777" w:rsidR="00717EA4" w:rsidRPr="002538AF" w:rsidRDefault="00C540C4" w:rsidP="008620EB">
            <w:pPr>
              <w:spacing w:line="240" w:lineRule="auto"/>
              <w:jc w:val="both"/>
              <w:rPr>
                <w:rFonts w:cs="Times New Roman"/>
              </w:rPr>
            </w:pPr>
            <w:r>
              <w:rPr>
                <w:rFonts w:cs="Times New Roman"/>
              </w:rPr>
              <w:t>Expertise asymmetry</w:t>
            </w:r>
          </w:p>
        </w:tc>
        <w:tc>
          <w:tcPr>
            <w:tcW w:w="1710" w:type="dxa"/>
          </w:tcPr>
          <w:p w14:paraId="034CA3C4" w14:textId="77777777" w:rsidR="00717EA4" w:rsidRPr="002538AF" w:rsidRDefault="00C540C4" w:rsidP="008620EB">
            <w:pPr>
              <w:spacing w:line="240" w:lineRule="auto"/>
              <w:jc w:val="both"/>
              <w:rPr>
                <w:rFonts w:cs="Times New Roman"/>
              </w:rPr>
            </w:pPr>
            <w:r>
              <w:rPr>
                <w:rFonts w:cs="Times New Roman"/>
              </w:rPr>
              <w:t>Comprehension and safety</w:t>
            </w:r>
          </w:p>
        </w:tc>
      </w:tr>
      <w:tr w:rsidR="003036DE" w:rsidRPr="002538AF" w14:paraId="45838737" w14:textId="77777777" w:rsidTr="008620EB">
        <w:tc>
          <w:tcPr>
            <w:tcW w:w="1260" w:type="dxa"/>
          </w:tcPr>
          <w:p w14:paraId="019B5E82" w14:textId="77777777" w:rsidR="00717EA4" w:rsidRPr="002538AF" w:rsidRDefault="00C540C4" w:rsidP="008620EB">
            <w:pPr>
              <w:spacing w:line="240" w:lineRule="auto"/>
              <w:jc w:val="both"/>
              <w:rPr>
                <w:rFonts w:cs="Times New Roman"/>
              </w:rPr>
            </w:pPr>
            <w:r>
              <w:rPr>
                <w:rFonts w:cs="Times New Roman"/>
              </w:rPr>
              <w:t>Market</w:t>
            </w:r>
          </w:p>
        </w:tc>
        <w:tc>
          <w:tcPr>
            <w:tcW w:w="1993" w:type="dxa"/>
          </w:tcPr>
          <w:p w14:paraId="408559DF" w14:textId="77777777" w:rsidR="00717EA4" w:rsidRPr="002538AF" w:rsidRDefault="00C540C4" w:rsidP="008620EB">
            <w:pPr>
              <w:spacing w:line="240" w:lineRule="auto"/>
              <w:jc w:val="both"/>
              <w:rPr>
                <w:rFonts w:cs="Times New Roman"/>
              </w:rPr>
            </w:pPr>
            <w:r>
              <w:rPr>
                <w:rFonts w:cs="Times New Roman"/>
              </w:rPr>
              <w:t>Exchange, persuasion, bargaining</w:t>
            </w:r>
          </w:p>
        </w:tc>
        <w:tc>
          <w:tcPr>
            <w:tcW w:w="1780" w:type="dxa"/>
          </w:tcPr>
          <w:p w14:paraId="56D5A624" w14:textId="77777777" w:rsidR="00717EA4" w:rsidRPr="002538AF" w:rsidRDefault="00C540C4" w:rsidP="008620EB">
            <w:pPr>
              <w:spacing w:line="240" w:lineRule="auto"/>
              <w:jc w:val="both"/>
              <w:rPr>
                <w:rFonts w:cs="Times New Roman"/>
              </w:rPr>
            </w:pPr>
            <w:r>
              <w:rPr>
                <w:rFonts w:cs="Times New Roman"/>
              </w:rPr>
              <w:t>Informal/relational</w:t>
            </w:r>
          </w:p>
        </w:tc>
        <w:tc>
          <w:tcPr>
            <w:tcW w:w="2527" w:type="dxa"/>
          </w:tcPr>
          <w:p w14:paraId="5D53881F" w14:textId="77777777" w:rsidR="00717EA4" w:rsidRPr="002538AF" w:rsidRDefault="00C540C4" w:rsidP="008620EB">
            <w:pPr>
              <w:spacing w:line="240" w:lineRule="auto"/>
              <w:jc w:val="both"/>
              <w:rPr>
                <w:rFonts w:cs="Times New Roman"/>
              </w:rPr>
            </w:pPr>
            <w:r>
              <w:rPr>
                <w:rFonts w:cs="Times New Roman"/>
              </w:rPr>
              <w:t>Ellipsis, address terms, code-switching, repetition</w:t>
            </w:r>
          </w:p>
        </w:tc>
        <w:tc>
          <w:tcPr>
            <w:tcW w:w="1890" w:type="dxa"/>
          </w:tcPr>
          <w:p w14:paraId="6899ED51" w14:textId="77777777" w:rsidR="00717EA4" w:rsidRPr="002538AF" w:rsidRDefault="00C540C4" w:rsidP="008620EB">
            <w:pPr>
              <w:spacing w:line="240" w:lineRule="auto"/>
              <w:jc w:val="both"/>
              <w:rPr>
                <w:rFonts w:cs="Times New Roman"/>
              </w:rPr>
            </w:pPr>
            <w:r>
              <w:rPr>
                <w:rFonts w:cs="Times New Roman"/>
              </w:rPr>
              <w:t>Negotiable/social</w:t>
            </w:r>
          </w:p>
        </w:tc>
        <w:tc>
          <w:tcPr>
            <w:tcW w:w="1710" w:type="dxa"/>
          </w:tcPr>
          <w:p w14:paraId="74323761" w14:textId="77777777" w:rsidR="00717EA4" w:rsidRPr="002538AF" w:rsidRDefault="00C540C4" w:rsidP="008620EB">
            <w:pPr>
              <w:spacing w:line="240" w:lineRule="auto"/>
              <w:jc w:val="both"/>
              <w:rPr>
                <w:rFonts w:cs="Times New Roman"/>
              </w:rPr>
            </w:pPr>
            <w:r>
              <w:rPr>
                <w:rFonts w:cs="Times New Roman"/>
              </w:rPr>
              <w:t>Rapport and persuasion</w:t>
            </w:r>
          </w:p>
        </w:tc>
      </w:tr>
      <w:tr w:rsidR="003036DE" w:rsidRPr="002538AF" w14:paraId="51A9381B" w14:textId="77777777" w:rsidTr="008620EB">
        <w:tc>
          <w:tcPr>
            <w:tcW w:w="1260" w:type="dxa"/>
          </w:tcPr>
          <w:p w14:paraId="61E70FF0" w14:textId="77777777" w:rsidR="00717EA4" w:rsidRPr="002538AF" w:rsidRDefault="00C540C4" w:rsidP="008620EB">
            <w:pPr>
              <w:spacing w:line="240" w:lineRule="auto"/>
              <w:jc w:val="both"/>
              <w:rPr>
                <w:rFonts w:cs="Times New Roman"/>
              </w:rPr>
            </w:pPr>
            <w:r>
              <w:rPr>
                <w:rFonts w:cs="Times New Roman"/>
              </w:rPr>
              <w:t>Classroom</w:t>
            </w:r>
          </w:p>
        </w:tc>
        <w:tc>
          <w:tcPr>
            <w:tcW w:w="1993" w:type="dxa"/>
          </w:tcPr>
          <w:p w14:paraId="785B448C" w14:textId="77777777" w:rsidR="00717EA4" w:rsidRPr="002538AF" w:rsidRDefault="00C540C4" w:rsidP="008620EB">
            <w:pPr>
              <w:spacing w:line="240" w:lineRule="auto"/>
              <w:jc w:val="both"/>
              <w:rPr>
                <w:rFonts w:cs="Times New Roman"/>
              </w:rPr>
            </w:pPr>
            <w:r>
              <w:rPr>
                <w:rFonts w:cs="Times New Roman"/>
              </w:rPr>
              <w:t>Teaching and learning</w:t>
            </w:r>
          </w:p>
        </w:tc>
        <w:tc>
          <w:tcPr>
            <w:tcW w:w="1780" w:type="dxa"/>
          </w:tcPr>
          <w:p w14:paraId="6061B14F" w14:textId="77777777" w:rsidR="00717EA4" w:rsidRPr="002538AF" w:rsidRDefault="00C540C4" w:rsidP="008620EB">
            <w:pPr>
              <w:spacing w:line="240" w:lineRule="auto"/>
              <w:jc w:val="both"/>
              <w:rPr>
                <w:rFonts w:cs="Times New Roman"/>
              </w:rPr>
            </w:pPr>
            <w:r>
              <w:rPr>
                <w:rFonts w:cs="Times New Roman"/>
              </w:rPr>
              <w:t>Pedagogic</w:t>
            </w:r>
          </w:p>
        </w:tc>
        <w:tc>
          <w:tcPr>
            <w:tcW w:w="2527" w:type="dxa"/>
          </w:tcPr>
          <w:p w14:paraId="1EDC06AF" w14:textId="77777777" w:rsidR="00717EA4" w:rsidRPr="002538AF" w:rsidRDefault="00C540C4" w:rsidP="008620EB">
            <w:pPr>
              <w:spacing w:line="240" w:lineRule="auto"/>
              <w:jc w:val="both"/>
              <w:rPr>
                <w:rFonts w:cs="Times New Roman"/>
              </w:rPr>
            </w:pPr>
            <w:r>
              <w:rPr>
                <w:rFonts w:cs="Times New Roman"/>
              </w:rPr>
              <w:t>Explanation, questioning, repetition, metalanguage</w:t>
            </w:r>
          </w:p>
        </w:tc>
        <w:tc>
          <w:tcPr>
            <w:tcW w:w="1890" w:type="dxa"/>
          </w:tcPr>
          <w:p w14:paraId="79F91906" w14:textId="77777777" w:rsidR="00717EA4" w:rsidRPr="002538AF" w:rsidRDefault="00C540C4" w:rsidP="008620EB">
            <w:pPr>
              <w:spacing w:line="240" w:lineRule="auto"/>
              <w:jc w:val="both"/>
              <w:rPr>
                <w:rFonts w:cs="Times New Roman"/>
              </w:rPr>
            </w:pPr>
            <w:r>
              <w:rPr>
                <w:rFonts w:cs="Times New Roman"/>
              </w:rPr>
              <w:t>Teacher–student asymmetry</w:t>
            </w:r>
          </w:p>
        </w:tc>
        <w:tc>
          <w:tcPr>
            <w:tcW w:w="1710" w:type="dxa"/>
          </w:tcPr>
          <w:p w14:paraId="6441F6E2" w14:textId="77777777" w:rsidR="00717EA4" w:rsidRPr="002538AF" w:rsidRDefault="00C540C4" w:rsidP="008620EB">
            <w:pPr>
              <w:spacing w:line="240" w:lineRule="auto"/>
              <w:jc w:val="both"/>
              <w:rPr>
                <w:rFonts w:cs="Times New Roman"/>
              </w:rPr>
            </w:pPr>
            <w:r>
              <w:rPr>
                <w:rFonts w:cs="Times New Roman"/>
              </w:rPr>
              <w:t>Comprehensibility and learning</w:t>
            </w:r>
          </w:p>
        </w:tc>
      </w:tr>
      <w:tr w:rsidR="003036DE" w:rsidRPr="002538AF" w14:paraId="00061DDB" w14:textId="77777777" w:rsidTr="008620EB">
        <w:tc>
          <w:tcPr>
            <w:tcW w:w="1260" w:type="dxa"/>
          </w:tcPr>
          <w:p w14:paraId="63DA5540" w14:textId="77777777" w:rsidR="00717EA4" w:rsidRPr="002538AF" w:rsidRDefault="00C540C4" w:rsidP="008620EB">
            <w:pPr>
              <w:spacing w:line="240" w:lineRule="auto"/>
              <w:jc w:val="both"/>
              <w:rPr>
                <w:rFonts w:cs="Times New Roman"/>
              </w:rPr>
            </w:pPr>
            <w:r>
              <w:rPr>
                <w:rFonts w:cs="Times New Roman"/>
              </w:rPr>
              <w:t>Work hierarchy</w:t>
            </w:r>
          </w:p>
        </w:tc>
        <w:tc>
          <w:tcPr>
            <w:tcW w:w="1993" w:type="dxa"/>
          </w:tcPr>
          <w:p w14:paraId="4A05523D" w14:textId="77777777" w:rsidR="00717EA4" w:rsidRPr="002538AF" w:rsidRDefault="00C540C4" w:rsidP="008620EB">
            <w:pPr>
              <w:spacing w:line="240" w:lineRule="auto"/>
              <w:jc w:val="both"/>
              <w:rPr>
                <w:rFonts w:cs="Times New Roman"/>
              </w:rPr>
            </w:pPr>
            <w:r>
              <w:rPr>
                <w:rFonts w:cs="Times New Roman"/>
              </w:rPr>
              <w:t>Task coordination</w:t>
            </w:r>
          </w:p>
        </w:tc>
        <w:tc>
          <w:tcPr>
            <w:tcW w:w="1780" w:type="dxa"/>
          </w:tcPr>
          <w:p w14:paraId="4930CDC5" w14:textId="77777777" w:rsidR="00717EA4" w:rsidRPr="002538AF" w:rsidRDefault="00C540C4" w:rsidP="008620EB">
            <w:pPr>
              <w:spacing w:line="240" w:lineRule="auto"/>
              <w:jc w:val="both"/>
              <w:rPr>
                <w:rFonts w:cs="Times New Roman"/>
              </w:rPr>
            </w:pPr>
            <w:r>
              <w:rPr>
                <w:rFonts w:cs="Times New Roman"/>
              </w:rPr>
              <w:t>Formal/informal hybrid</w:t>
            </w:r>
          </w:p>
        </w:tc>
        <w:tc>
          <w:tcPr>
            <w:tcW w:w="2527" w:type="dxa"/>
          </w:tcPr>
          <w:p w14:paraId="7052CFB6" w14:textId="77777777" w:rsidR="00717EA4" w:rsidRPr="002538AF" w:rsidRDefault="00C540C4" w:rsidP="008620EB">
            <w:pPr>
              <w:spacing w:line="240" w:lineRule="auto"/>
              <w:jc w:val="both"/>
              <w:rPr>
                <w:rFonts w:cs="Times New Roman"/>
              </w:rPr>
            </w:pPr>
            <w:r>
              <w:rPr>
                <w:rFonts w:cs="Times New Roman"/>
              </w:rPr>
              <w:t>Mitigation, directives, deference</w:t>
            </w:r>
          </w:p>
        </w:tc>
        <w:tc>
          <w:tcPr>
            <w:tcW w:w="1890" w:type="dxa"/>
          </w:tcPr>
          <w:p w14:paraId="33F76E75" w14:textId="77777777" w:rsidR="00717EA4" w:rsidRPr="002538AF" w:rsidRDefault="00C540C4" w:rsidP="008620EB">
            <w:pPr>
              <w:spacing w:line="240" w:lineRule="auto"/>
              <w:jc w:val="both"/>
              <w:rPr>
                <w:rFonts w:cs="Times New Roman"/>
              </w:rPr>
            </w:pPr>
            <w:r>
              <w:rPr>
                <w:rFonts w:cs="Times New Roman"/>
              </w:rPr>
              <w:t>Status asymmetry</w:t>
            </w:r>
          </w:p>
        </w:tc>
        <w:tc>
          <w:tcPr>
            <w:tcW w:w="1710" w:type="dxa"/>
          </w:tcPr>
          <w:p w14:paraId="3655435D" w14:textId="77777777" w:rsidR="00717EA4" w:rsidRPr="002538AF" w:rsidRDefault="00C540C4" w:rsidP="008620EB">
            <w:pPr>
              <w:spacing w:line="240" w:lineRule="auto"/>
              <w:jc w:val="both"/>
              <w:rPr>
                <w:rFonts w:cs="Times New Roman"/>
              </w:rPr>
            </w:pPr>
            <w:r>
              <w:rPr>
                <w:rFonts w:cs="Times New Roman"/>
              </w:rPr>
              <w:t>Respect plus efficiency</w:t>
            </w:r>
          </w:p>
        </w:tc>
      </w:tr>
      <w:tr w:rsidR="003036DE" w:rsidRPr="002538AF" w14:paraId="2C6C7B54" w14:textId="77777777" w:rsidTr="008620EB">
        <w:tc>
          <w:tcPr>
            <w:tcW w:w="1260" w:type="dxa"/>
          </w:tcPr>
          <w:p w14:paraId="05B41096" w14:textId="77777777" w:rsidR="00717EA4" w:rsidRPr="002538AF" w:rsidRDefault="00C540C4" w:rsidP="008620EB">
            <w:pPr>
              <w:spacing w:line="240" w:lineRule="auto"/>
              <w:jc w:val="both"/>
              <w:rPr>
                <w:rFonts w:cs="Times New Roman"/>
              </w:rPr>
            </w:pPr>
            <w:r>
              <w:rPr>
                <w:rFonts w:cs="Times New Roman"/>
              </w:rPr>
              <w:t>Business</w:t>
            </w:r>
          </w:p>
        </w:tc>
        <w:tc>
          <w:tcPr>
            <w:tcW w:w="1993" w:type="dxa"/>
          </w:tcPr>
          <w:p w14:paraId="67ECFC8B" w14:textId="77777777" w:rsidR="00717EA4" w:rsidRPr="002538AF" w:rsidRDefault="00C540C4" w:rsidP="008620EB">
            <w:pPr>
              <w:spacing w:line="240" w:lineRule="auto"/>
              <w:jc w:val="both"/>
              <w:rPr>
                <w:rFonts w:cs="Times New Roman"/>
              </w:rPr>
            </w:pPr>
            <w:r>
              <w:rPr>
                <w:rFonts w:cs="Times New Roman"/>
              </w:rPr>
              <w:t>Negotiation/commitment</w:t>
            </w:r>
          </w:p>
        </w:tc>
        <w:tc>
          <w:tcPr>
            <w:tcW w:w="1780" w:type="dxa"/>
          </w:tcPr>
          <w:p w14:paraId="09A154E2" w14:textId="77777777" w:rsidR="00717EA4" w:rsidRPr="002538AF" w:rsidRDefault="00C540C4" w:rsidP="008620EB">
            <w:pPr>
              <w:spacing w:line="240" w:lineRule="auto"/>
              <w:jc w:val="both"/>
              <w:rPr>
                <w:rFonts w:cs="Times New Roman"/>
              </w:rPr>
            </w:pPr>
            <w:r>
              <w:rPr>
                <w:rFonts w:cs="Times New Roman"/>
              </w:rPr>
              <w:t>Professional</w:t>
            </w:r>
          </w:p>
        </w:tc>
        <w:tc>
          <w:tcPr>
            <w:tcW w:w="2527" w:type="dxa"/>
          </w:tcPr>
          <w:p w14:paraId="0D421116" w14:textId="77777777" w:rsidR="00717EA4" w:rsidRPr="002538AF" w:rsidRDefault="00C540C4" w:rsidP="008620EB">
            <w:pPr>
              <w:spacing w:line="240" w:lineRule="auto"/>
              <w:jc w:val="both"/>
              <w:rPr>
                <w:rFonts w:cs="Times New Roman"/>
              </w:rPr>
            </w:pPr>
            <w:r>
              <w:rPr>
                <w:rFonts w:cs="Times New Roman"/>
              </w:rPr>
              <w:t>Modality, conditionals, precise commitments</w:t>
            </w:r>
          </w:p>
        </w:tc>
        <w:tc>
          <w:tcPr>
            <w:tcW w:w="1890" w:type="dxa"/>
          </w:tcPr>
          <w:p w14:paraId="3A962833" w14:textId="77777777" w:rsidR="00717EA4" w:rsidRPr="002538AF" w:rsidRDefault="00C540C4" w:rsidP="008620EB">
            <w:pPr>
              <w:spacing w:line="240" w:lineRule="auto"/>
              <w:jc w:val="both"/>
              <w:rPr>
                <w:rFonts w:cs="Times New Roman"/>
              </w:rPr>
            </w:pPr>
            <w:r>
              <w:rPr>
                <w:rFonts w:cs="Times New Roman"/>
              </w:rPr>
              <w:t>Relational/organizational</w:t>
            </w:r>
          </w:p>
        </w:tc>
        <w:tc>
          <w:tcPr>
            <w:tcW w:w="1710" w:type="dxa"/>
          </w:tcPr>
          <w:p w14:paraId="2D90F0A3" w14:textId="77777777" w:rsidR="00717EA4" w:rsidRPr="002538AF" w:rsidRDefault="00C540C4" w:rsidP="008620EB">
            <w:pPr>
              <w:spacing w:line="240" w:lineRule="auto"/>
              <w:jc w:val="both"/>
              <w:rPr>
                <w:rFonts w:cs="Times New Roman"/>
              </w:rPr>
            </w:pPr>
            <w:r>
              <w:rPr>
                <w:rFonts w:cs="Times New Roman"/>
              </w:rPr>
              <w:t>Clarity and strategic flexibility</w:t>
            </w:r>
          </w:p>
        </w:tc>
      </w:tr>
      <w:tr w:rsidR="003036DE" w:rsidRPr="002538AF" w14:paraId="64A37E43" w14:textId="77777777" w:rsidTr="008620EB">
        <w:tc>
          <w:tcPr>
            <w:tcW w:w="1260" w:type="dxa"/>
          </w:tcPr>
          <w:p w14:paraId="58C3FE63" w14:textId="77777777" w:rsidR="00717EA4" w:rsidRPr="002538AF" w:rsidRDefault="00C540C4" w:rsidP="008620EB">
            <w:pPr>
              <w:spacing w:line="240" w:lineRule="auto"/>
              <w:jc w:val="both"/>
              <w:rPr>
                <w:rFonts w:cs="Times New Roman"/>
              </w:rPr>
            </w:pPr>
            <w:r>
              <w:rPr>
                <w:rFonts w:cs="Times New Roman"/>
              </w:rPr>
              <w:t>Interview</w:t>
            </w:r>
          </w:p>
        </w:tc>
        <w:tc>
          <w:tcPr>
            <w:tcW w:w="1993" w:type="dxa"/>
          </w:tcPr>
          <w:p w14:paraId="7202F0A2" w14:textId="77777777" w:rsidR="00717EA4" w:rsidRPr="002538AF" w:rsidRDefault="00C540C4" w:rsidP="008620EB">
            <w:pPr>
              <w:spacing w:line="240" w:lineRule="auto"/>
              <w:jc w:val="both"/>
              <w:rPr>
                <w:rFonts w:cs="Times New Roman"/>
              </w:rPr>
            </w:pPr>
            <w:r>
              <w:rPr>
                <w:rFonts w:cs="Times New Roman"/>
              </w:rPr>
              <w:t>Evaluation/self-presentation</w:t>
            </w:r>
          </w:p>
        </w:tc>
        <w:tc>
          <w:tcPr>
            <w:tcW w:w="1780" w:type="dxa"/>
          </w:tcPr>
          <w:p w14:paraId="75D65A6E" w14:textId="77777777" w:rsidR="00717EA4" w:rsidRPr="002538AF" w:rsidRDefault="00C540C4" w:rsidP="008620EB">
            <w:pPr>
              <w:spacing w:line="240" w:lineRule="auto"/>
              <w:jc w:val="both"/>
              <w:rPr>
                <w:rFonts w:cs="Times New Roman"/>
              </w:rPr>
            </w:pPr>
            <w:r>
              <w:rPr>
                <w:rFonts w:cs="Times New Roman"/>
              </w:rPr>
              <w:t>Formal professional</w:t>
            </w:r>
          </w:p>
        </w:tc>
        <w:tc>
          <w:tcPr>
            <w:tcW w:w="2527" w:type="dxa"/>
          </w:tcPr>
          <w:p w14:paraId="3B58173C" w14:textId="77777777" w:rsidR="00717EA4" w:rsidRPr="002538AF" w:rsidRDefault="00C540C4" w:rsidP="008620EB">
            <w:pPr>
              <w:spacing w:line="240" w:lineRule="auto"/>
              <w:jc w:val="both"/>
              <w:rPr>
                <w:rFonts w:cs="Times New Roman"/>
              </w:rPr>
            </w:pPr>
            <w:r>
              <w:rPr>
                <w:rFonts w:cs="Times New Roman"/>
              </w:rPr>
              <w:t>Structured answers, achievement vocabulary</w:t>
            </w:r>
          </w:p>
        </w:tc>
        <w:tc>
          <w:tcPr>
            <w:tcW w:w="1890" w:type="dxa"/>
          </w:tcPr>
          <w:p w14:paraId="3D803A94" w14:textId="77777777" w:rsidR="00717EA4" w:rsidRPr="002538AF" w:rsidRDefault="00C540C4" w:rsidP="008620EB">
            <w:pPr>
              <w:spacing w:line="240" w:lineRule="auto"/>
              <w:jc w:val="both"/>
              <w:rPr>
                <w:rFonts w:cs="Times New Roman"/>
              </w:rPr>
            </w:pPr>
            <w:r>
              <w:rPr>
                <w:rFonts w:cs="Times New Roman"/>
              </w:rPr>
              <w:t>Evaluator–candidate</w:t>
            </w:r>
          </w:p>
        </w:tc>
        <w:tc>
          <w:tcPr>
            <w:tcW w:w="1710" w:type="dxa"/>
          </w:tcPr>
          <w:p w14:paraId="7B541B2D" w14:textId="77777777" w:rsidR="00717EA4" w:rsidRPr="002538AF" w:rsidRDefault="00C540C4" w:rsidP="008620EB">
            <w:pPr>
              <w:spacing w:line="240" w:lineRule="auto"/>
              <w:jc w:val="both"/>
              <w:rPr>
                <w:rFonts w:cs="Times New Roman"/>
              </w:rPr>
            </w:pPr>
            <w:r>
              <w:rPr>
                <w:rFonts w:cs="Times New Roman"/>
              </w:rPr>
              <w:t>Credibility and competence</w:t>
            </w:r>
          </w:p>
        </w:tc>
      </w:tr>
      <w:tr w:rsidR="003036DE" w:rsidRPr="002538AF" w14:paraId="2762068E" w14:textId="77777777" w:rsidTr="008620EB">
        <w:tc>
          <w:tcPr>
            <w:tcW w:w="1260" w:type="dxa"/>
          </w:tcPr>
          <w:p w14:paraId="6F2FC659" w14:textId="77777777" w:rsidR="00717EA4" w:rsidRPr="002538AF" w:rsidRDefault="00C540C4" w:rsidP="008620EB">
            <w:pPr>
              <w:spacing w:line="240" w:lineRule="auto"/>
              <w:jc w:val="both"/>
              <w:rPr>
                <w:rFonts w:cs="Times New Roman"/>
              </w:rPr>
            </w:pPr>
            <w:r>
              <w:rPr>
                <w:rFonts w:cs="Times New Roman"/>
              </w:rPr>
              <w:t>Customer service</w:t>
            </w:r>
          </w:p>
        </w:tc>
        <w:tc>
          <w:tcPr>
            <w:tcW w:w="1993" w:type="dxa"/>
          </w:tcPr>
          <w:p w14:paraId="16D947C2" w14:textId="77777777" w:rsidR="00717EA4" w:rsidRPr="002538AF" w:rsidRDefault="00C540C4" w:rsidP="008620EB">
            <w:pPr>
              <w:spacing w:line="240" w:lineRule="auto"/>
              <w:jc w:val="both"/>
              <w:rPr>
                <w:rFonts w:cs="Times New Roman"/>
              </w:rPr>
            </w:pPr>
            <w:r>
              <w:rPr>
                <w:rFonts w:cs="Times New Roman"/>
              </w:rPr>
              <w:t>Problem resolution/trust</w:t>
            </w:r>
          </w:p>
        </w:tc>
        <w:tc>
          <w:tcPr>
            <w:tcW w:w="1780" w:type="dxa"/>
          </w:tcPr>
          <w:p w14:paraId="28A2A808" w14:textId="77777777" w:rsidR="00717EA4" w:rsidRPr="002538AF" w:rsidRDefault="00C540C4" w:rsidP="008620EB">
            <w:pPr>
              <w:spacing w:line="240" w:lineRule="auto"/>
              <w:jc w:val="both"/>
              <w:rPr>
                <w:rFonts w:cs="Times New Roman"/>
              </w:rPr>
            </w:pPr>
            <w:r>
              <w:rPr>
                <w:rFonts w:cs="Times New Roman"/>
              </w:rPr>
              <w:t>Institutional conversational</w:t>
            </w:r>
          </w:p>
        </w:tc>
        <w:tc>
          <w:tcPr>
            <w:tcW w:w="2527" w:type="dxa"/>
          </w:tcPr>
          <w:p w14:paraId="03150A7C" w14:textId="77777777" w:rsidR="00717EA4" w:rsidRPr="002538AF" w:rsidRDefault="00C540C4" w:rsidP="008620EB">
            <w:pPr>
              <w:spacing w:line="240" w:lineRule="auto"/>
              <w:jc w:val="both"/>
              <w:rPr>
                <w:rFonts w:cs="Times New Roman"/>
              </w:rPr>
            </w:pPr>
            <w:r>
              <w:rPr>
                <w:rFonts w:cs="Times New Roman"/>
              </w:rPr>
              <w:t>Apology, acknowledgment, procedural language</w:t>
            </w:r>
          </w:p>
        </w:tc>
        <w:tc>
          <w:tcPr>
            <w:tcW w:w="1890" w:type="dxa"/>
          </w:tcPr>
          <w:p w14:paraId="593FE6C6" w14:textId="77777777" w:rsidR="00717EA4" w:rsidRPr="002538AF" w:rsidRDefault="00C540C4" w:rsidP="008620EB">
            <w:pPr>
              <w:spacing w:line="240" w:lineRule="auto"/>
              <w:jc w:val="both"/>
              <w:rPr>
                <w:rFonts w:cs="Times New Roman"/>
              </w:rPr>
            </w:pPr>
            <w:r>
              <w:rPr>
                <w:rFonts w:cs="Times New Roman"/>
              </w:rPr>
              <w:t>Institutional asymmetry</w:t>
            </w:r>
          </w:p>
        </w:tc>
        <w:tc>
          <w:tcPr>
            <w:tcW w:w="1710" w:type="dxa"/>
          </w:tcPr>
          <w:p w14:paraId="03852ED3" w14:textId="77777777" w:rsidR="00717EA4" w:rsidRPr="002538AF" w:rsidRDefault="00C540C4" w:rsidP="008620EB">
            <w:pPr>
              <w:spacing w:line="240" w:lineRule="auto"/>
              <w:jc w:val="both"/>
              <w:rPr>
                <w:rFonts w:cs="Times New Roman"/>
              </w:rPr>
            </w:pPr>
            <w:r>
              <w:rPr>
                <w:rFonts w:cs="Times New Roman"/>
              </w:rPr>
              <w:t>Trust and resolution</w:t>
            </w:r>
          </w:p>
        </w:tc>
      </w:tr>
    </w:tbl>
    <w:p w14:paraId="76A24E5F" w14:textId="4DEF5A90" w:rsidR="00717EA4" w:rsidRPr="002538AF" w:rsidRDefault="00C540C4" w:rsidP="002538AF">
      <w:pPr>
        <w:pStyle w:val="Heading1"/>
        <w:spacing w:line="480" w:lineRule="auto"/>
        <w:jc w:val="both"/>
        <w:rPr>
          <w:rFonts w:ascii="Times New Roman" w:hAnsi="Times New Roman" w:cs="Times New Roman"/>
          <w:color w:val="auto"/>
        </w:rPr>
      </w:pPr>
      <w:r>
        <w:rPr>
          <w:rFonts w:ascii="Times New Roman" w:hAnsi="Times New Roman" w:cs="Times New Roman"/>
          <w:color w:val="auto"/>
        </w:rPr>
        <w:t>The Meaning of “Standard” in Situational Communication</w:t>
      </w:r>
    </w:p>
    <w:p w14:paraId="4BA59C14" w14:textId="77777777" w:rsidR="00717EA4" w:rsidRPr="002538AF" w:rsidRDefault="00C540C4" w:rsidP="002538AF">
      <w:pPr>
        <w:spacing w:line="480" w:lineRule="auto"/>
        <w:jc w:val="both"/>
        <w:rPr>
          <w:rFonts w:cs="Times New Roman"/>
        </w:rPr>
      </w:pPr>
      <w:commentRangeStart w:id="13"/>
      <w:r>
        <w:rPr>
          <w:rFonts w:cs="Times New Roman"/>
        </w:rPr>
        <w:t>The evidence suggests that the idea of a single, universally appropriate “standard” of language is inadequate in both theory and practice.</w:t>
      </w:r>
      <w:commentRangeEnd w:id="13"/>
      <w:r>
        <w:rPr>
          <w:rStyle w:val="CommentReference"/>
          <w:rFonts w:cs="Times New Roman"/>
          <w:sz w:val="22"/>
          <w:szCs w:val="22"/>
        </w:rPr>
        <w:commentReference w:id="13"/>
      </w:r>
      <w:r>
        <w:rPr>
          <w:rFonts w:cs="Times New Roman"/>
        </w:rPr>
        <w:t xml:space="preserve"> Standard English remains important in formal writing, education, public administration and many professional settings, but speakers need a broader repertoire. A doctor who uses highly technical language with a patient may show professional knowledge but poor audience adaptation. A lawyer who uses slang in a formal judicial exchange produces an inappropriate register. A market seller who </w:t>
      </w:r>
      <w:r>
        <w:rPr>
          <w:rFonts w:cs="Times New Roman"/>
        </w:rPr>
        <w:lastRenderedPageBreak/>
        <w:t>talks like a court registrar may sound socially distant. In each case the problem is not grammaticality alone but register fit.</w:t>
      </w:r>
    </w:p>
    <w:p w14:paraId="2B6197FD" w14:textId="77777777" w:rsidR="00717EA4" w:rsidRPr="002538AF" w:rsidRDefault="00C540C4" w:rsidP="002538AF">
      <w:pPr>
        <w:spacing w:line="480" w:lineRule="auto"/>
        <w:jc w:val="both"/>
        <w:rPr>
          <w:rFonts w:cs="Times New Roman"/>
        </w:rPr>
      </w:pPr>
      <w:r>
        <w:rPr>
          <w:rFonts w:cs="Times New Roman"/>
        </w:rPr>
        <w:t>Three questions separate the dimensions. Standardness asks whether a form is recognized as part of the socially sanctioned standard variety. Appropriateness asks whether it suits this participant, this activity, this relationship and this purpose. Effectiveness asks whether the choice actually accomplishes the communicative action intended. The answers may coincide, but they need not.</w:t>
      </w:r>
    </w:p>
    <w:p w14:paraId="7D43AEB3" w14:textId="77777777" w:rsidR="008620EB" w:rsidRDefault="00C540C4" w:rsidP="008620EB">
      <w:pPr>
        <w:spacing w:line="480" w:lineRule="auto"/>
        <w:jc w:val="both"/>
        <w:rPr>
          <w:rFonts w:cs="Times New Roman"/>
        </w:rPr>
      </w:pPr>
      <w:r>
        <w:rPr>
          <w:rFonts w:cs="Times New Roman"/>
        </w:rPr>
        <w:t>Variation is not random, and that is why Biber and Conrad’s (2009) register perspective is so helpful: patterns that recur in a given situation can be described in a systematic way. Conrad’s (2026) overview of the field also confirms that register variation and corpus-based methods remain current, and that they extend to specialized spoken and written domains.</w:t>
      </w:r>
    </w:p>
    <w:p w14:paraId="48203A85" w14:textId="6742805F" w:rsidR="00717EA4" w:rsidRPr="008620EB" w:rsidRDefault="00C540C4" w:rsidP="008620EB">
      <w:pPr>
        <w:spacing w:line="480" w:lineRule="auto"/>
        <w:jc w:val="both"/>
        <w:rPr>
          <w:rFonts w:cs="Times New Roman"/>
          <w:b/>
          <w:bCs/>
          <w:sz w:val="24"/>
          <w:szCs w:val="24"/>
        </w:rPr>
      </w:pPr>
      <w:r>
        <w:rPr>
          <w:rFonts w:cs="Times New Roman"/>
          <w:b/>
          <w:bCs/>
          <w:sz w:val="24"/>
          <w:szCs w:val="24"/>
        </w:rPr>
        <w:t>Situational Adaptation and Nigerian English</w:t>
      </w:r>
    </w:p>
    <w:p w14:paraId="1771E03A" w14:textId="77777777" w:rsidR="00717EA4" w:rsidRPr="002538AF" w:rsidRDefault="00C540C4" w:rsidP="002538AF">
      <w:pPr>
        <w:spacing w:line="480" w:lineRule="auto"/>
        <w:jc w:val="both"/>
        <w:rPr>
          <w:rFonts w:cs="Times New Roman"/>
        </w:rPr>
      </w:pPr>
      <w:commentRangeStart w:id="14"/>
      <w:r>
        <w:rPr>
          <w:rFonts w:cs="Times New Roman"/>
        </w:rPr>
        <w:t>Nigeria makes situational adaptation easy to see because English is used alongside Nigerian English varieties, Nigerian Pidgin and many indigenous languages</w:t>
      </w:r>
      <w:commentRangeEnd w:id="14"/>
      <w:r>
        <w:rPr>
          <w:rStyle w:val="CommentReference"/>
          <w:rFonts w:cs="Times New Roman"/>
          <w:sz w:val="22"/>
          <w:szCs w:val="22"/>
        </w:rPr>
        <w:commentReference w:id="14"/>
      </w:r>
      <w:r>
        <w:rPr>
          <w:rFonts w:cs="Times New Roman"/>
        </w:rPr>
        <w:t>, and speakers shift between codes according to place, audience, social distance, professional identity and purpose. Consider a university lecturer: internationally recognizable academic English may go into a journal article, formal institutional English into a memorandum, accessible English into a lecture, and Nigerian Pidgin or an indigenous language into casual conversation.</w:t>
      </w:r>
    </w:p>
    <w:p w14:paraId="06B3D7BB" w14:textId="77777777" w:rsidR="00717EA4" w:rsidRPr="002538AF" w:rsidRDefault="00C540C4" w:rsidP="002538AF">
      <w:pPr>
        <w:spacing w:line="480" w:lineRule="auto"/>
        <w:jc w:val="both"/>
        <w:rPr>
          <w:rFonts w:cs="Times New Roman"/>
        </w:rPr>
      </w:pPr>
      <w:r>
        <w:rPr>
          <w:rFonts w:cs="Times New Roman"/>
        </w:rPr>
        <w:t>It would be a mistake to read such shifts automatically as signs of linguistic deficiency. Seen sociolinguistically, being able to choose between varieties is a resource in its own right. What matters educationally is whether speakers can work out what different contexts expect and then control their choices on purpose. Language teaching for learners should therefore cover register awareness, audience awareness, professional terminology, politeness strategies, conversational repair and awareness of code-switching, in addition to grammar and vocabulary.</w:t>
      </w:r>
    </w:p>
    <w:p w14:paraId="6E50A09A" w14:textId="77777777" w:rsidR="008620EB" w:rsidRDefault="00C540C4" w:rsidP="008620EB">
      <w:pPr>
        <w:spacing w:line="480" w:lineRule="auto"/>
        <w:jc w:val="both"/>
        <w:rPr>
          <w:rFonts w:cs="Times New Roman"/>
        </w:rPr>
      </w:pPr>
      <w:r>
        <w:rPr>
          <w:rFonts w:cs="Times New Roman"/>
        </w:rPr>
        <w:t xml:space="preserve">In multilingual professional environments, failing to adapt can have serious consequences. Gumperz’s (1982) work shows how speakers with strong grammatical competence may still misread contextual cues. In medicine, too little adaptation may compromise comprehension; in law, ambiguity may carry procedural </w:t>
      </w:r>
      <w:r>
        <w:rPr>
          <w:rFonts w:cs="Times New Roman"/>
        </w:rPr>
        <w:lastRenderedPageBreak/>
        <w:t>consequences; in business, overly blunt language may damage a negotiation; and in interviews, inappropriate informality may affect professional evaluation.</w:t>
      </w:r>
    </w:p>
    <w:p w14:paraId="77F31ECD" w14:textId="6FA37F1E" w:rsidR="00717EA4" w:rsidRPr="008620EB" w:rsidRDefault="00C540C4" w:rsidP="008620EB">
      <w:pPr>
        <w:spacing w:line="480" w:lineRule="auto"/>
        <w:jc w:val="both"/>
        <w:rPr>
          <w:rFonts w:cs="Times New Roman"/>
          <w:b/>
          <w:bCs/>
        </w:rPr>
      </w:pPr>
      <w:r>
        <w:rPr>
          <w:rFonts w:cs="Times New Roman"/>
          <w:b/>
          <w:bCs/>
        </w:rPr>
        <w:t>Discussion</w:t>
      </w:r>
    </w:p>
    <w:p w14:paraId="44F1A63E" w14:textId="77777777" w:rsidR="00717EA4" w:rsidRPr="002538AF" w:rsidRDefault="00C540C4" w:rsidP="002538AF">
      <w:pPr>
        <w:spacing w:line="480" w:lineRule="auto"/>
        <w:jc w:val="both"/>
        <w:rPr>
          <w:rFonts w:cs="Times New Roman"/>
        </w:rPr>
      </w:pPr>
      <w:commentRangeStart w:id="15"/>
      <w:r>
        <w:rPr>
          <w:rFonts w:cs="Times New Roman"/>
        </w:rPr>
        <w:t>The comparative analysis supports five main propositions.</w:t>
      </w:r>
      <w:commentRangeEnd w:id="15"/>
      <w:r>
        <w:rPr>
          <w:rStyle w:val="CommentReference"/>
          <w:rFonts w:cs="Times New Roman"/>
          <w:sz w:val="22"/>
          <w:szCs w:val="22"/>
        </w:rPr>
        <w:commentReference w:id="15"/>
      </w:r>
      <w:r>
        <w:rPr>
          <w:rFonts w:cs="Times New Roman"/>
        </w:rPr>
        <w:t xml:space="preserve"> First, language is inherently sensitive to context. Second, conversational change is multidimensional, involving lexical, syntactic, pragmatic, prosodic and interactional levels. Third, adaptation is shaped by both audience and institutional setting. Fourth, power relations influence how direct a speaker can be, how much mitigation is needed and what responses are permissible. Fifth, communicative competence calls for control of a repertoire and not exclusive mastery of one prestigious variety.</w:t>
      </w:r>
    </w:p>
    <w:p w14:paraId="05837776" w14:textId="77777777" w:rsidR="00717EA4" w:rsidRPr="002538AF" w:rsidRDefault="00C540C4" w:rsidP="002538AF">
      <w:pPr>
        <w:spacing w:line="480" w:lineRule="auto"/>
        <w:jc w:val="both"/>
        <w:rPr>
          <w:rFonts w:cs="Times New Roman"/>
        </w:rPr>
      </w:pPr>
      <w:r>
        <w:rPr>
          <w:rFonts w:cs="Times New Roman"/>
        </w:rPr>
        <w:t>The phrase “language as the best situational adaptor” should accordingly be read analytically and not literally. Language does not adapt independently; speakers adapt their linguistic behavior by choosing from the resources in their repertoire. The metaphor earns its place because it captures the remarkable flexibility of human language use: a speaker can keep a core proposition intact while changing almost every social signal around it.</w:t>
      </w:r>
    </w:p>
    <w:p w14:paraId="1F8AA2AA" w14:textId="77777777" w:rsidR="00717EA4" w:rsidRPr="002538AF" w:rsidRDefault="00C540C4" w:rsidP="002538AF">
      <w:pPr>
        <w:spacing w:line="480" w:lineRule="auto"/>
        <w:jc w:val="both"/>
        <w:rPr>
          <w:rFonts w:cs="Times New Roman"/>
        </w:rPr>
      </w:pPr>
      <w:r>
        <w:rPr>
          <w:rFonts w:cs="Times New Roman"/>
        </w:rPr>
        <w:t>Accommodation does not always mean convergence, though. Superiors may choose to keep their institutional formality, lawyers to stay with legal terminology, and teenagers to move away from a teacher’s formal style so as to display peer identity; speakers may likewise keep an accent or code precisely because it marks who they are. Bell’s audience-design approach and subsequent style-shifting research warn against seeing variation as an automatic reaction to the setting, because speakers build identities actively through style (Bell, 2008; Coupland, 2010).</w:t>
      </w:r>
    </w:p>
    <w:p w14:paraId="72C9E9E3" w14:textId="410206D8" w:rsidR="00670611" w:rsidRDefault="00C540C4" w:rsidP="00670611">
      <w:pPr>
        <w:spacing w:line="480" w:lineRule="auto"/>
        <w:jc w:val="both"/>
        <w:rPr>
          <w:rFonts w:cs="Times New Roman"/>
        </w:rPr>
      </w:pPr>
      <w:r>
        <w:rPr>
          <w:rFonts w:cs="Times New Roman"/>
        </w:rPr>
        <w:t>Professional discourse is changing as well. Digital communication, globalization and emerging technologies have produced hybrid genres in which professional and conversational registers meet. Statham (2025) observes that professional communicative practices are continually reshaped by technological and social change. A business executive may use highly formal language in a contract and informal, abbreviated language on a workplace messaging platform. Context now includes not just physical location but also platform, medium, visibility, permanence and imagined audience.</w:t>
      </w:r>
    </w:p>
    <w:p w14:paraId="22036D35" w14:textId="2150CDD5" w:rsidR="00717EA4" w:rsidRPr="00670611" w:rsidRDefault="00C540C4" w:rsidP="00670611">
      <w:pPr>
        <w:spacing w:line="480" w:lineRule="auto"/>
        <w:jc w:val="both"/>
        <w:rPr>
          <w:rFonts w:cs="Times New Roman"/>
          <w:b/>
          <w:bCs/>
        </w:rPr>
      </w:pPr>
      <w:r>
        <w:rPr>
          <w:rFonts w:cs="Times New Roman"/>
          <w:b/>
          <w:bCs/>
        </w:rPr>
        <w:lastRenderedPageBreak/>
        <w:t>Implications for Language Teaching and Professional Training/Recommendations</w:t>
      </w:r>
    </w:p>
    <w:p w14:paraId="78814CB6" w14:textId="2C2C9635" w:rsidR="00717EA4" w:rsidRPr="002538AF" w:rsidRDefault="00C540C4" w:rsidP="002538AF">
      <w:pPr>
        <w:spacing w:line="480" w:lineRule="auto"/>
        <w:jc w:val="both"/>
        <w:rPr>
          <w:rFonts w:cs="Times New Roman"/>
        </w:rPr>
      </w:pPr>
      <w:r>
        <w:rPr>
          <w:rFonts w:cs="Times New Roman"/>
        </w:rPr>
        <w:t>The findings have direct implications for teaching. Language curricula should move beyond a binary of “correct” and “incorrect” language and train learners to notice register differences. Students should practice one communicative intention across several settings, such as asking for information as a friend, a student, a customer, a lawyer, a patient or a subordinate. Exercises of this kind make the social side of language visible.</w:t>
      </w:r>
    </w:p>
    <w:p w14:paraId="1368E6BE" w14:textId="77777777" w:rsidR="00717EA4" w:rsidRPr="002538AF" w:rsidRDefault="00C540C4" w:rsidP="002538AF">
      <w:pPr>
        <w:spacing w:line="480" w:lineRule="auto"/>
        <w:jc w:val="both"/>
        <w:rPr>
          <w:rFonts w:cs="Times New Roman"/>
        </w:rPr>
      </w:pPr>
      <w:r>
        <w:rPr>
          <w:rFonts w:cs="Times New Roman"/>
        </w:rPr>
        <w:t>Professional language teaching should also couple terminology work with attention to the audience. Trainee doctors can rehearse turning technical concepts into wording a patient will follow, trainee lawyers can practice explaining legal ideas to people with no legal background, business students can rehearse both formal bargaining and informal rapport-building, and trainee teachers can practice presenting subject concepts to learners at different proficiency levels. In a pilot study, Bittner et al. (2015) found that rewriting medical documents in plain language helped medical students’ communication skills.</w:t>
      </w:r>
    </w:p>
    <w:p w14:paraId="3A68CDFB" w14:textId="77777777" w:rsidR="00717EA4" w:rsidRPr="002538AF" w:rsidRDefault="00C540C4" w:rsidP="002538AF">
      <w:pPr>
        <w:spacing w:line="480" w:lineRule="auto"/>
        <w:jc w:val="both"/>
        <w:rPr>
          <w:rFonts w:cs="Times New Roman"/>
        </w:rPr>
      </w:pPr>
      <w:r>
        <w:rPr>
          <w:rFonts w:cs="Times New Roman"/>
        </w:rPr>
        <w:t>Assessment, third, should reward pragmatic appropriateness. Grammatically correct sentences in the wrong register do not deserve the same communicative evaluation as contextually effective choices. Role-play, discourse completion tasks, recorded simulations and corpus-informed activities all help develop the skill.</w:t>
      </w:r>
    </w:p>
    <w:p w14:paraId="54995097" w14:textId="4540C1DB" w:rsidR="00670611" w:rsidRDefault="00C540C4" w:rsidP="00670611">
      <w:pPr>
        <w:spacing w:line="480" w:lineRule="auto"/>
        <w:jc w:val="both"/>
        <w:rPr>
          <w:rFonts w:cs="Times New Roman"/>
        </w:rPr>
      </w:pPr>
      <w:r>
        <w:rPr>
          <w:rFonts w:cs="Times New Roman"/>
        </w:rPr>
        <w:t xml:space="preserve">Fourth, language education in Nigeria needs to deal openly with code-switching and multilingual repertoires. Learners should find out when switching helps strategically and when it does not. Nigerian English, Nigerian Pidgin and indigenous languages are not to be stigmatized; the goal is controlled repertoire management, meaning an understanding of which variety fits which audience and purpose. </w:t>
      </w:r>
      <w:commentRangeStart w:id="16"/>
      <w:r>
        <w:rPr>
          <w:rFonts w:cs="Times New Roman"/>
        </w:rPr>
        <w:t>In the study of semantical and lexical intersection, Efih and Dele (2024) noted that there are situations where you have to look beyond the what is supposed to be, and do what works.</w:t>
      </w:r>
      <w:commentRangeEnd w:id="16"/>
      <w:r>
        <w:rPr>
          <w:rStyle w:val="CommentReference"/>
          <w:rFonts w:cs="Times New Roman"/>
          <w:sz w:val="22"/>
          <w:szCs w:val="22"/>
        </w:rPr>
        <w:commentReference w:id="16"/>
      </w:r>
    </w:p>
    <w:p w14:paraId="2BC1A43A" w14:textId="77777777" w:rsidR="00E82128" w:rsidRDefault="00E82128">
      <w:pPr>
        <w:spacing w:after="200" w:line="276" w:lineRule="auto"/>
        <w:rPr>
          <w:rFonts w:cs="Times New Roman"/>
          <w:b/>
          <w:bCs/>
        </w:rPr>
      </w:pPr>
      <w:r>
        <w:rPr>
          <w:rFonts w:cs="Times New Roman"/>
          <w:b/>
          <w:bCs/>
        </w:rPr>
        <w:br w:type="page"/>
      </w:r>
    </w:p>
    <w:p w14:paraId="28C306F3" w14:textId="74C7B041" w:rsidR="00717EA4" w:rsidRPr="002F0881" w:rsidRDefault="00C540C4" w:rsidP="00670611">
      <w:pPr>
        <w:spacing w:line="480" w:lineRule="auto"/>
        <w:jc w:val="both"/>
        <w:rPr>
          <w:rFonts w:cs="Times New Roman"/>
          <w:b/>
          <w:bCs/>
        </w:rPr>
      </w:pPr>
      <w:r>
        <w:rPr>
          <w:rFonts w:cs="Times New Roman"/>
          <w:b/>
          <w:bCs/>
        </w:rPr>
        <w:lastRenderedPageBreak/>
        <w:t>Conclusion</w:t>
      </w:r>
    </w:p>
    <w:p w14:paraId="5CEE54D1" w14:textId="77777777" w:rsidR="00717EA4" w:rsidRPr="002538AF" w:rsidRDefault="00C540C4" w:rsidP="002538AF">
      <w:pPr>
        <w:spacing w:line="480" w:lineRule="auto"/>
        <w:jc w:val="both"/>
        <w:rPr>
          <w:rFonts w:cs="Times New Roman"/>
        </w:rPr>
      </w:pPr>
      <w:r>
        <w:rPr>
          <w:rFonts w:cs="Times New Roman"/>
        </w:rPr>
        <w:t>When language can follow the situation without losing sight of its purpose, it is at its most powerful. Across the legal, medical, market, classroom, hierarchical, business, interview and customer-service conversations examined here, the mix of precision, informality, technicality, politeness, mitigation, directness and relationality required is different each time. Being a competent speaker thus means more than knowing a language’s standard grammar; it means choosing and organizing linguistic resources to suit the context.</w:t>
      </w:r>
    </w:p>
    <w:p w14:paraId="3E38CD23" w14:textId="77777777" w:rsidR="00717EA4" w:rsidRPr="002538AF" w:rsidRDefault="00C540C4" w:rsidP="002538AF">
      <w:pPr>
        <w:spacing w:line="480" w:lineRule="auto"/>
        <w:jc w:val="both"/>
        <w:rPr>
          <w:rFonts w:cs="Times New Roman"/>
        </w:rPr>
      </w:pPr>
      <w:r>
        <w:rPr>
          <w:rFonts w:cs="Times New Roman"/>
        </w:rPr>
        <w:t>Situational adaptation, the central conclusion runs, belongs among the core dimensions of communicative competence. Standard language keeps its value, above all in formal and institutional settings, but being standard is no substitute for register awareness. The most effective communicators shift between registers, explain specialized language where needed, recognize power relations, read contextualization cues, tune their speech to the audience and balance clarity against social meaning. Where the communicative environment is multilingual and changing quickly, as in Nigeria, this adaptive competence is of particular value for education, professional practice and everyday social interaction.</w:t>
      </w:r>
    </w:p>
    <w:p w14:paraId="62943EBC" w14:textId="77777777" w:rsidR="00625537" w:rsidRDefault="00C540C4" w:rsidP="00625537">
      <w:pPr>
        <w:spacing w:line="480" w:lineRule="auto"/>
        <w:jc w:val="both"/>
        <w:rPr>
          <w:rFonts w:cs="Times New Roman"/>
        </w:rPr>
      </w:pPr>
      <w:commentRangeStart w:id="17"/>
      <w:r>
        <w:rPr>
          <w:rFonts w:cs="Times New Roman"/>
        </w:rPr>
        <w:t>Recorded Nigerian conversations from professional and everyday settings could be used in future work to put this framework into practice.</w:t>
      </w:r>
      <w:commentRangeEnd w:id="17"/>
      <w:r>
        <w:rPr>
          <w:rStyle w:val="CommentReference"/>
          <w:rFonts w:cs="Times New Roman"/>
          <w:sz w:val="22"/>
          <w:szCs w:val="22"/>
        </w:rPr>
        <w:commentReference w:id="17"/>
      </w:r>
      <w:r>
        <w:rPr>
          <w:rFonts w:cs="Times New Roman"/>
        </w:rPr>
        <w:t xml:space="preserve"> Corpus measures such as lexical density, modality, pronoun use, politeness markers, discourse markers, code-switching and syntactic complexity would make comparison possible, and the “situational adaptor” metaphor could then be tested empirically across regions, professions, age groups and communication platforms.</w:t>
      </w:r>
    </w:p>
    <w:p w14:paraId="3D7A3899" w14:textId="77777777" w:rsidR="00E35CFD" w:rsidRPr="00E35CFD" w:rsidRDefault="00E35CFD" w:rsidP="00E35CFD">
      <w:pPr>
        <w:spacing w:after="0" w:line="240" w:lineRule="auto"/>
        <w:rPr>
          <w:rFonts w:eastAsia="Calibri" w:cs="Times New Roman"/>
          <w:b/>
        </w:rPr>
      </w:pPr>
      <w:r>
        <w:rPr>
          <w:rFonts w:eastAsia="Calibri" w:cs="Times New Roman"/>
          <w:b/>
        </w:rPr>
        <w:t>Declaration of AI Use</w:t>
      </w:r>
    </w:p>
    <w:p w14:paraId="14DA23FF" w14:textId="77777777" w:rsidR="00E35CFD" w:rsidRPr="00E35CFD" w:rsidRDefault="00E35CFD" w:rsidP="00E35CFD">
      <w:pPr>
        <w:spacing w:after="0" w:line="240" w:lineRule="auto"/>
        <w:rPr>
          <w:rFonts w:eastAsia="Calibri" w:cs="Times New Roman"/>
          <w:b/>
        </w:rPr>
      </w:pPr>
    </w:p>
    <w:p w14:paraId="0FA39C05" w14:textId="77777777" w:rsidR="00E35CFD" w:rsidRPr="00E35CFD" w:rsidRDefault="00E35CFD" w:rsidP="00E35CFD">
      <w:pPr>
        <w:spacing w:after="0" w:line="240" w:lineRule="auto"/>
        <w:rPr>
          <w:rFonts w:eastAsia="Calibri" w:cs="Times New Roman"/>
          <w:b/>
        </w:rPr>
      </w:pPr>
    </w:p>
    <w:p w14:paraId="12A53001" w14:textId="77777777" w:rsidR="00E35CFD" w:rsidRPr="00E35CFD" w:rsidRDefault="00E35CFD" w:rsidP="00E35CFD">
      <w:pPr>
        <w:spacing w:after="0" w:line="240" w:lineRule="auto"/>
        <w:rPr>
          <w:rFonts w:eastAsia="Calibri" w:cs="Times New Roman"/>
          <w:b/>
        </w:rPr>
      </w:pPr>
    </w:p>
    <w:p w14:paraId="662F5514" w14:textId="77777777" w:rsidR="00E35CFD" w:rsidRPr="00E35CFD" w:rsidRDefault="00E35CFD" w:rsidP="00E35CFD">
      <w:pPr>
        <w:spacing w:after="0" w:line="240" w:lineRule="auto"/>
        <w:rPr>
          <w:rFonts w:ascii="Arial" w:eastAsia="Calibri" w:hAnsi="Arial" w:cs="Arial"/>
          <w:sz w:val="20"/>
          <w:szCs w:val="20"/>
        </w:rPr>
      </w:pPr>
      <w:r>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CE0885" w14:textId="77777777" w:rsidR="00E35CFD" w:rsidRDefault="00E35CFD" w:rsidP="00625537">
      <w:pPr>
        <w:spacing w:line="480" w:lineRule="auto"/>
        <w:jc w:val="both"/>
        <w:rPr>
          <w:rFonts w:cs="Times New Roman"/>
        </w:rPr>
      </w:pPr>
    </w:p>
    <w:p w14:paraId="2B77DBD6" w14:textId="77777777" w:rsidR="00625537" w:rsidRDefault="00625537">
      <w:pPr>
        <w:spacing w:after="200" w:line="276" w:lineRule="auto"/>
        <w:rPr>
          <w:rFonts w:cs="Times New Roman"/>
        </w:rPr>
      </w:pPr>
      <w:r>
        <w:rPr>
          <w:rFonts w:cs="Times New Roman"/>
        </w:rPr>
        <w:br w:type="page"/>
      </w:r>
    </w:p>
    <w:p w14:paraId="5D2866E7" w14:textId="6C3795B9" w:rsidR="00717EA4" w:rsidRPr="00625537" w:rsidRDefault="00C540C4" w:rsidP="00625537">
      <w:pPr>
        <w:spacing w:line="480" w:lineRule="auto"/>
        <w:jc w:val="both"/>
        <w:rPr>
          <w:rFonts w:cs="Times New Roman"/>
          <w:b/>
          <w:bCs/>
        </w:rPr>
      </w:pPr>
      <w:r>
        <w:rPr>
          <w:rFonts w:cs="Times New Roman"/>
          <w:b/>
          <w:bCs/>
        </w:rPr>
        <w:lastRenderedPageBreak/>
        <w:t>References</w:t>
      </w:r>
    </w:p>
    <w:p w14:paraId="200049D1" w14:textId="77777777" w:rsidR="001F1843" w:rsidRPr="001F1843" w:rsidRDefault="001F1843" w:rsidP="001F1843">
      <w:pPr>
        <w:pStyle w:val="NormalWeb"/>
        <w:jc w:val="both"/>
      </w:pPr>
      <w:r>
        <w:t xml:space="preserve">Bell, A. (1984). Language style as audience design. </w:t>
      </w:r>
      <w:r>
        <w:rPr>
          <w:rStyle w:val="Emphasis"/>
        </w:rPr>
        <w:t>Language in Society, 13</w:t>
      </w:r>
      <w:r>
        <w:t xml:space="preserve">(2), 145–204. </w:t>
      </w:r>
      <w:hyperlink r:id="rId12" w:history="1">
        <w:r>
          <w:rPr>
            <w:rStyle w:val="Hyperlink"/>
            <w:color w:val="auto"/>
          </w:rPr>
          <w:t>https://doi.org/10.1017/S004740450001037X</w:t>
        </w:r>
      </w:hyperlink>
    </w:p>
    <w:p w14:paraId="461C8827" w14:textId="3D0F64BB" w:rsidR="001F1843" w:rsidRPr="001F1843" w:rsidRDefault="001F1843" w:rsidP="001F1843">
      <w:pPr>
        <w:pStyle w:val="NormalWeb"/>
        <w:jc w:val="both"/>
      </w:pPr>
      <w:r>
        <w:t xml:space="preserve">Bell, A. (2001). Back in style: Reworking audience design. In P. Eckert &amp; J. R. Rickford (Eds.), </w:t>
      </w:r>
      <w:r>
        <w:rPr>
          <w:rStyle w:val="Emphasis"/>
        </w:rPr>
        <w:t>Style and sociolinguistic variation</w:t>
      </w:r>
      <w:r>
        <w:t xml:space="preserve"> (pp. 139–169). Cambridge University Press.</w:t>
      </w:r>
    </w:p>
    <w:p w14:paraId="4FA026F8" w14:textId="77777777" w:rsidR="001F1843" w:rsidRPr="001F1843" w:rsidRDefault="001F1843" w:rsidP="001F1843">
      <w:pPr>
        <w:pStyle w:val="NormalWeb"/>
        <w:jc w:val="both"/>
      </w:pPr>
      <w:r>
        <w:t xml:space="preserve">Biber, D., &amp; Conrad, S. (2009). </w:t>
      </w:r>
      <w:r>
        <w:rPr>
          <w:rStyle w:val="Emphasis"/>
        </w:rPr>
        <w:t>Register, genre, and style</w:t>
      </w:r>
      <w:r>
        <w:t>. Cambridge University Press.</w:t>
      </w:r>
    </w:p>
    <w:p w14:paraId="4E03DA06" w14:textId="77777777" w:rsidR="001F1843" w:rsidRPr="001F1843" w:rsidRDefault="001F1843" w:rsidP="001F1843">
      <w:pPr>
        <w:pStyle w:val="NormalWeb"/>
        <w:jc w:val="both"/>
      </w:pPr>
      <w:r>
        <w:t xml:space="preserve">Bittner, A., Jonietz, A., Bittner, J., Beickert, L., &amp; Harendza, S. (2015). Translating medical documents into plain language enhances communication skills in medical students: A pilot study. </w:t>
      </w:r>
      <w:r>
        <w:rPr>
          <w:rStyle w:val="Emphasis"/>
        </w:rPr>
        <w:t>Patient Education and Counseling, 98</w:t>
      </w:r>
      <w:r>
        <w:t xml:space="preserve">(9), 1137–1141. </w:t>
      </w:r>
      <w:hyperlink r:id="rId13" w:history="1">
        <w:r>
          <w:rPr>
            <w:rStyle w:val="Hyperlink"/>
            <w:color w:val="auto"/>
          </w:rPr>
          <w:t>https://doi.org/10.1016/j.pec.2015.05.024</w:t>
        </w:r>
      </w:hyperlink>
    </w:p>
    <w:p w14:paraId="04D00188" w14:textId="77777777" w:rsidR="001F1843" w:rsidRPr="001F1843" w:rsidRDefault="001F1843" w:rsidP="001F1843">
      <w:pPr>
        <w:pStyle w:val="NormalWeb"/>
        <w:jc w:val="both"/>
      </w:pPr>
      <w:r>
        <w:t xml:space="preserve">Bourhis, R. Y., Roth, S., &amp; MacQueen, G. (1989). Communication in the hospital setting: A survey of medical and everyday language use amongst patients, nurses and doctors. </w:t>
      </w:r>
      <w:r>
        <w:rPr>
          <w:rStyle w:val="Emphasis"/>
        </w:rPr>
        <w:t>Social Science &amp; Medicine, 28</w:t>
      </w:r>
      <w:r>
        <w:t xml:space="preserve">(4), 339–346. </w:t>
      </w:r>
      <w:hyperlink r:id="rId14" w:history="1">
        <w:r>
          <w:rPr>
            <w:rStyle w:val="Hyperlink"/>
            <w:color w:val="auto"/>
          </w:rPr>
          <w:t>https://doi.org/10.1016/0277-9536(89)90035-X</w:t>
        </w:r>
      </w:hyperlink>
    </w:p>
    <w:p w14:paraId="3AD780B8" w14:textId="69C65402" w:rsidR="001F1843" w:rsidRPr="001F1843" w:rsidRDefault="001F1843" w:rsidP="001F1843">
      <w:pPr>
        <w:pStyle w:val="NormalWeb"/>
        <w:jc w:val="both"/>
      </w:pPr>
      <w:r>
        <w:t xml:space="preserve">Castro, C. M., Wilson, C., Wang, F., &amp; Schillinger, D. (2007). Babel babble: Physicians’ use of unclarified medical jargon with patients. </w:t>
      </w:r>
      <w:r>
        <w:rPr>
          <w:rStyle w:val="Emphasis"/>
        </w:rPr>
        <w:t>American Journal of Health Behavior, 31</w:t>
      </w:r>
      <w:r>
        <w:t xml:space="preserve">(Suppl. 1), S85–S95. </w:t>
      </w:r>
      <w:hyperlink r:id="rId15" w:history="1">
        <w:r>
          <w:rPr>
            <w:rStyle w:val="Hyperlink"/>
            <w:color w:val="auto"/>
          </w:rPr>
          <w:t>https://doi.org/10.5555/ajhb.2007.31.supp.S85</w:t>
        </w:r>
      </w:hyperlink>
      <w:r>
        <w:t xml:space="preserve"> </w:t>
      </w:r>
    </w:p>
    <w:p w14:paraId="7871E32A" w14:textId="357F254A" w:rsidR="001F1843" w:rsidRPr="001F1843" w:rsidRDefault="001F1843" w:rsidP="001F1843">
      <w:pPr>
        <w:pStyle w:val="NormalWeb"/>
        <w:jc w:val="both"/>
      </w:pPr>
      <w:commentRangeStart w:id="18"/>
      <w:r>
        <w:t>Conrad, S. (2024). Register variation.</w:t>
      </w:r>
      <w:commentRangeEnd w:id="18"/>
      <w:r>
        <w:rPr>
          <w:rStyle w:val="CommentReference"/>
          <w:sz w:val="24"/>
          <w:szCs w:val="24"/>
        </w:rPr>
        <w:commentReference w:id="18"/>
      </w:r>
      <w:r>
        <w:t xml:space="preserve"> In R. Reppen, L. Goulart, &amp; D. Biber (Eds.), </w:t>
      </w:r>
      <w:r>
        <w:rPr>
          <w:rStyle w:val="Emphasis"/>
        </w:rPr>
        <w:t>The Cambridge handbook of English corpus linguistics</w:t>
      </w:r>
      <w:r>
        <w:t xml:space="preserve"> (2nd ed.) Cambridge University Press. </w:t>
      </w:r>
    </w:p>
    <w:p w14:paraId="4424B7AC" w14:textId="40E0AC1A" w:rsidR="001F1843" w:rsidRPr="001F1843" w:rsidRDefault="001F1843" w:rsidP="001F1843">
      <w:pPr>
        <w:pStyle w:val="NormalWeb"/>
        <w:jc w:val="both"/>
      </w:pPr>
      <w:r>
        <w:t xml:space="preserve">Coupland, N. (2007). </w:t>
      </w:r>
      <w:r>
        <w:rPr>
          <w:rStyle w:val="Emphasis"/>
        </w:rPr>
        <w:t>Style: Language variation and identity</w:t>
      </w:r>
      <w:r>
        <w:t xml:space="preserve">. Cambridge University Press. </w:t>
      </w:r>
    </w:p>
    <w:p w14:paraId="4FA70D3C" w14:textId="48BE200F" w:rsidR="001F1843" w:rsidRPr="001F1843" w:rsidRDefault="001F1843" w:rsidP="001F1843">
      <w:pPr>
        <w:pStyle w:val="NormalWeb"/>
        <w:jc w:val="both"/>
      </w:pPr>
      <w:r>
        <w:t xml:space="preserve">Efih, E. N., &amp; Adegboku, D. (2024). L’entrecroisement sémantique et lexical de quelques procédés de la formation des mots en français : étude de la composition, la dérivation et les mots-valises [The semantic and lexical intersection of some word-formation processes in French: A study of compounding, derivation, and portmanteau words]. </w:t>
      </w:r>
      <w:r>
        <w:rPr>
          <w:rStyle w:val="Emphasis"/>
        </w:rPr>
        <w:t>Icheke Journal of the Faculty of Humanities, 22</w:t>
      </w:r>
      <w:r>
        <w:t>(1), (pp 293-300).</w:t>
      </w:r>
    </w:p>
    <w:p w14:paraId="56B3A923" w14:textId="77777777" w:rsidR="001F1843" w:rsidRPr="001F1843" w:rsidRDefault="001F1843" w:rsidP="001F1843">
      <w:pPr>
        <w:pStyle w:val="NormalWeb"/>
        <w:jc w:val="both"/>
      </w:pPr>
      <w:r>
        <w:t xml:space="preserve">Giles, H., Coupland, N., &amp; Coupland, J. (1991). Accommodation theory: Communication, context, and consequence. In H. Giles, J. Coupland, &amp; N. Coupland (Eds.), </w:t>
      </w:r>
      <w:r>
        <w:rPr>
          <w:rStyle w:val="Emphasis"/>
        </w:rPr>
        <w:t>Contexts of accommodation: Developments in applied sociolinguistics</w:t>
      </w:r>
      <w:r>
        <w:t xml:space="preserve"> (pp. 1–68). Cambridge University Press.</w:t>
      </w:r>
    </w:p>
    <w:p w14:paraId="456C8499" w14:textId="7859B876" w:rsidR="001F1843" w:rsidRPr="001F1843" w:rsidRDefault="001F1843" w:rsidP="001F1843">
      <w:pPr>
        <w:pStyle w:val="NormalWeb"/>
        <w:jc w:val="both"/>
      </w:pPr>
      <w:r>
        <w:t xml:space="preserve">Gotlieb, R., Praska, C., Hendrickson, M. A., Marmet, J., Charpentier, V., Hause, E., Lunos, S., &amp; Pitt, M. B. (2022). Accuracy in patient understanding of common medical phrases. </w:t>
      </w:r>
      <w:r>
        <w:rPr>
          <w:rStyle w:val="Emphasis"/>
        </w:rPr>
        <w:t>JAMA Network Open, 5</w:t>
      </w:r>
      <w:r>
        <w:t xml:space="preserve">(11), Article e2242972. </w:t>
      </w:r>
      <w:hyperlink r:id="rId16" w:history="1">
        <w:r>
          <w:rPr>
            <w:rStyle w:val="Hyperlink"/>
            <w:color w:val="auto"/>
          </w:rPr>
          <w:t>https://doi.org/10.1001/jamanetworkopen.2022.42972</w:t>
        </w:r>
      </w:hyperlink>
      <w:r>
        <w:t xml:space="preserve"> </w:t>
      </w:r>
    </w:p>
    <w:p w14:paraId="6F27B619" w14:textId="77777777" w:rsidR="001F1843" w:rsidRPr="001F1843" w:rsidRDefault="001F1843" w:rsidP="001F1843">
      <w:pPr>
        <w:pStyle w:val="NormalWeb"/>
        <w:jc w:val="both"/>
      </w:pPr>
      <w:r>
        <w:t xml:space="preserve">Gumperz, J. J. (1982). </w:t>
      </w:r>
      <w:r>
        <w:rPr>
          <w:rStyle w:val="Emphasis"/>
        </w:rPr>
        <w:t>Discourse strategies: Studies in interactional sociolinguistics</w:t>
      </w:r>
      <w:r>
        <w:t>. Cambridge University Press.</w:t>
      </w:r>
    </w:p>
    <w:p w14:paraId="6181D916" w14:textId="77777777" w:rsidR="001F1843" w:rsidRPr="001F1843" w:rsidRDefault="001F1843" w:rsidP="001F1843">
      <w:pPr>
        <w:pStyle w:val="NormalWeb"/>
        <w:jc w:val="both"/>
      </w:pPr>
      <w:r>
        <w:t xml:space="preserve">Halliday, M. A. K., &amp; Hasan, R. (1989). </w:t>
      </w:r>
      <w:r>
        <w:rPr>
          <w:rStyle w:val="Emphasis"/>
        </w:rPr>
        <w:t>Language, context, and text: Aspects of language in a social-semiotic perspective</w:t>
      </w:r>
      <w:r>
        <w:t xml:space="preserve"> (2nd ed.). Oxford University Press.</w:t>
      </w:r>
    </w:p>
    <w:p w14:paraId="4D721282" w14:textId="77777777" w:rsidR="001F1843" w:rsidRPr="001F1843" w:rsidRDefault="001F1843" w:rsidP="001F1843">
      <w:pPr>
        <w:pStyle w:val="NormalWeb"/>
        <w:jc w:val="both"/>
      </w:pPr>
      <w:r>
        <w:t xml:space="preserve">Hymes, D. (1972). On communicative competence. In J. B. Pride &amp; J. Holmes (Eds.), </w:t>
      </w:r>
      <w:r>
        <w:rPr>
          <w:rStyle w:val="Emphasis"/>
        </w:rPr>
        <w:t>Sociolinguistics: Selected readings</w:t>
      </w:r>
      <w:r>
        <w:t xml:space="preserve"> (pp. 269–293). Penguin.</w:t>
      </w:r>
    </w:p>
    <w:p w14:paraId="2C3CE62F" w14:textId="77777777" w:rsidR="001F1843" w:rsidRPr="001F1843" w:rsidRDefault="001F1843" w:rsidP="001F1843">
      <w:pPr>
        <w:pStyle w:val="NormalWeb"/>
        <w:jc w:val="both"/>
      </w:pPr>
      <w:r>
        <w:lastRenderedPageBreak/>
        <w:t xml:space="preserve">Kurzon, D. (1997). “Legal language”: Varieties, genres, registers, discourses. </w:t>
      </w:r>
      <w:r>
        <w:rPr>
          <w:rStyle w:val="Emphasis"/>
        </w:rPr>
        <w:t>International Journal of Applied Linguistics, 7</w:t>
      </w:r>
      <w:r>
        <w:t xml:space="preserve">(2), 119–132. </w:t>
      </w:r>
      <w:hyperlink r:id="rId17" w:history="1">
        <w:r>
          <w:rPr>
            <w:rStyle w:val="Hyperlink"/>
            <w:color w:val="auto"/>
          </w:rPr>
          <w:t>https://doi.org/10.1111/j.1473-4192.1997.tb00111.x</w:t>
        </w:r>
      </w:hyperlink>
    </w:p>
    <w:p w14:paraId="37577490" w14:textId="77777777" w:rsidR="001F1843" w:rsidRPr="001F1843" w:rsidRDefault="001F1843" w:rsidP="001F1843">
      <w:pPr>
        <w:pStyle w:val="NormalWeb"/>
        <w:jc w:val="both"/>
      </w:pPr>
      <w:r>
        <w:t xml:space="preserve">LeBlanc, T. W., Hesson, A., Williams, A., Feudtner, C., Holmes-Rovner, M., Williamson, L. D., &amp; Ubel, P. A. (2014). Patient understanding of medical jargon: A survey study of U.S. medical students. </w:t>
      </w:r>
      <w:r>
        <w:rPr>
          <w:rStyle w:val="Emphasis"/>
        </w:rPr>
        <w:t>Patient Education and Counseling, 95</w:t>
      </w:r>
      <w:r>
        <w:t xml:space="preserve">(2), 238–242. </w:t>
      </w:r>
      <w:hyperlink r:id="rId18" w:history="1">
        <w:r>
          <w:rPr>
            <w:rStyle w:val="Hyperlink"/>
            <w:color w:val="auto"/>
          </w:rPr>
          <w:t>https://doi.org/10.1016/j.pec.2014.01.014</w:t>
        </w:r>
      </w:hyperlink>
    </w:p>
    <w:p w14:paraId="311F89D6" w14:textId="01A6D583" w:rsidR="001F1843" w:rsidRPr="001F1843" w:rsidRDefault="001F1843" w:rsidP="001F1843">
      <w:pPr>
        <w:pStyle w:val="NormalWeb"/>
        <w:jc w:val="both"/>
      </w:pPr>
      <w:r>
        <w:t xml:space="preserve">Staples, S., &amp; Brookes, G. (2025). Register and professional discourse. </w:t>
      </w:r>
      <w:r>
        <w:rPr>
          <w:rStyle w:val="Emphasis"/>
        </w:rPr>
        <w:t>Register Studies, 7</w:t>
      </w:r>
      <w:r>
        <w:t xml:space="preserve">(1), 1–10. </w:t>
      </w:r>
      <w:hyperlink r:id="rId19" w:history="1">
        <w:r>
          <w:rPr>
            <w:rStyle w:val="Hyperlink"/>
            <w:color w:val="auto"/>
          </w:rPr>
          <w:t>https://doi.org/10.1075/rs.25009.sta</w:t>
        </w:r>
      </w:hyperlink>
      <w:r>
        <w:t xml:space="preserve"> </w:t>
      </w:r>
    </w:p>
    <w:p w14:paraId="21F7A232" w14:textId="77777777" w:rsidR="001F1843" w:rsidRPr="001F1843" w:rsidRDefault="001F1843" w:rsidP="001F1843">
      <w:pPr>
        <w:pStyle w:val="NormalWeb"/>
        <w:jc w:val="both"/>
      </w:pPr>
      <w:r>
        <w:t xml:space="preserve">Wahrenbrock, T., Landry, K., Amin, D. P., Rizvanolli, L., Chandrasekaran, R., Mycyk, M. B., &amp; Routsolias, J. C. (2025). Medical jargon is often misunderstood by emergency department patients. </w:t>
      </w:r>
      <w:r>
        <w:rPr>
          <w:rStyle w:val="Emphasis"/>
        </w:rPr>
        <w:t>The American Journal of Emergency Medicine, 96</w:t>
      </w:r>
      <w:r>
        <w:t xml:space="preserve">, 25–29. </w:t>
      </w:r>
      <w:hyperlink r:id="rId20" w:history="1">
        <w:r>
          <w:rPr>
            <w:rStyle w:val="Hyperlink"/>
            <w:color w:val="auto"/>
          </w:rPr>
          <w:t>https://doi.org/10.1016/j.ajem.2025.06.012</w:t>
        </w:r>
      </w:hyperlink>
    </w:p>
    <w:p w14:paraId="71D5204A" w14:textId="636E780C" w:rsidR="00717EA4" w:rsidRPr="002538AF" w:rsidRDefault="00717EA4" w:rsidP="001F1843">
      <w:pPr>
        <w:spacing w:after="80" w:line="480" w:lineRule="auto"/>
        <w:ind w:left="360" w:hanging="360"/>
        <w:jc w:val="both"/>
        <w:rPr>
          <w:rFonts w:cs="Times New Roman"/>
        </w:rPr>
      </w:pPr>
    </w:p>
    <w:sectPr w:rsidR="00717EA4" w:rsidRPr="002538AF" w:rsidSect="00034616">
      <w:headerReference w:type="even" r:id="rId21"/>
      <w:headerReference w:type="default" r:id="rId22"/>
      <w:footerReference w:type="even" r:id="rId23"/>
      <w:footerReference w:type="default" r:id="rId24"/>
      <w:headerReference w:type="first" r:id="rId25"/>
      <w:footerReference w:type="first" r:id="rId26"/>
      <w:pgSz w:w="12240" w:h="15840"/>
      <w:pgMar w:top="1008" w:right="1224" w:bottom="1008" w:left="1224"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10-29T15:00:00Z" w:initials="A">
    <w:p w14:paraId="76F91D6B" w14:textId="77777777" w:rsidR="00733AA9" w:rsidRDefault="00000000" w:rsidP="00733AA9">
      <w:pPr>
        <w:pStyle w:val="CommentText"/>
      </w:pPr>
      <w:r>
        <w:annotationRef/>
      </w:r>
      <w:r w:rsidR="00733AA9">
        <w:rPr>
          <w:color w:val="000000"/>
        </w:rPr>
        <w:t>You spell the key term "Adapter" in the title but "adaptor" in the Abstract and Discussion, so please choose one form. Also, "A Study of" suggests empirical data, so I suggest framing the paper explicitly as a conceptual or position paper.</w:t>
      </w:r>
    </w:p>
  </w:comment>
  <w:comment w:id="1" w:author="Author" w:date="2026-10-29T15:09:00Z" w:initials="A">
    <w:p w14:paraId="5E3121EC" w14:textId="77777777" w:rsidR="00733AA9" w:rsidRDefault="00000000" w:rsidP="00733AA9">
      <w:pPr>
        <w:pStyle w:val="CommentText"/>
      </w:pPr>
      <w:r>
        <w:annotationRef/>
      </w:r>
      <w:r w:rsidR="00733AA9">
        <w:rPr>
          <w:color w:val="000000"/>
        </w:rPr>
        <w:t>You list seven settings here, but the body analyzes nine, adding academic supervision and customer service. Please align the Abstract with the actual scope of the paper.</w:t>
      </w:r>
    </w:p>
  </w:comment>
  <w:comment w:id="2" w:author="Author" w:date="2026-10-29T15:19:00Z" w:initials="A">
    <w:p w14:paraId="6C7C0450" w14:textId="12DFD57D" w:rsidR="00733AA9" w:rsidRDefault="00000000" w:rsidP="00733AA9">
      <w:pPr>
        <w:pStyle w:val="CommentText"/>
      </w:pPr>
      <w:r>
        <w:annotationRef/>
      </w:r>
      <w:r w:rsidR="00733AA9">
        <w:rPr>
          <w:color w:val="000000"/>
        </w:rPr>
        <w:t>You state your central argument, but I do not see a clear research gap anywhere in the Introduction. Please explain what earlier register and accommodation studies have left open and what this paper adds.</w:t>
      </w:r>
    </w:p>
  </w:comment>
  <w:comment w:id="3" w:author="Author" w:date="2026-10-29T15:28:00Z" w:initials="A">
    <w:p w14:paraId="1F575A94" w14:textId="77777777" w:rsidR="00733AA9" w:rsidRDefault="00000000" w:rsidP="00733AA9">
      <w:pPr>
        <w:pStyle w:val="CommentText"/>
      </w:pPr>
      <w:r>
        <w:annotationRef/>
      </w:r>
      <w:r w:rsidR="00733AA9">
        <w:rPr>
          <w:color w:val="000000"/>
        </w:rPr>
        <w:t>This question is empirical, yet your invented dialogues cannot show which features actually distinguish the contexts. I suggest rephrasing the questions as conceptual aims or answering each one explicitly in the Discussion.</w:t>
      </w:r>
    </w:p>
  </w:comment>
  <w:comment w:id="4" w:author="Author" w:date="2026-10-29T15:38:00Z" w:initials="A">
    <w:p w14:paraId="3E492AEB" w14:textId="77777777" w:rsidR="00733AA9" w:rsidRDefault="00000000" w:rsidP="00733AA9">
      <w:pPr>
        <w:pStyle w:val="CommentText"/>
      </w:pPr>
      <w:r>
        <w:annotationRef/>
      </w:r>
      <w:r w:rsidR="00733AA9">
        <w:rPr>
          <w:color w:val="000000"/>
        </w:rPr>
        <w:t>Statham (2025) does not appear in your reference list, which instead has Staples and Brookes (2025). Please correct this citation here and in the Discussion.</w:t>
      </w:r>
    </w:p>
  </w:comment>
  <w:comment w:id="5" w:author="Author" w:date="2026-10-29T15:47:00Z" w:initials="A">
    <w:p w14:paraId="1F4D5D99" w14:textId="77777777" w:rsidR="00733AA9" w:rsidRDefault="00000000" w:rsidP="00733AA9">
      <w:pPr>
        <w:pStyle w:val="CommentText"/>
      </w:pPr>
      <w:r>
        <w:annotationRef/>
      </w:r>
      <w:r w:rsidR="00733AA9">
        <w:rPr>
          <w:color w:val="000000"/>
        </w:rPr>
        <w:t>Your analysis relies on face, hedging and mitigation (especially in Dialogues 5A and 5B), yet politeness theory (e.g., Brown &amp; Levinson, 1987) and research on institutional talk (e.g., Drew &amp; Heritage, 1992) are missing from the framework. I suggest adding them and showing how all the theories feed into one analytical model.</w:t>
      </w:r>
    </w:p>
  </w:comment>
  <w:comment w:id="6" w:author="Author" w:date="2026-10-29T15:57:00Z" w:initials="A">
    <w:p w14:paraId="704A669F" w14:textId="77777777" w:rsidR="00733AA9" w:rsidRDefault="00000000" w:rsidP="00733AA9">
      <w:pPr>
        <w:pStyle w:val="CommentText"/>
      </w:pPr>
      <w:r>
        <w:annotationRef/>
      </w:r>
      <w:r w:rsidR="00733AA9">
        <w:rPr>
          <w:color w:val="000000"/>
        </w:rPr>
        <w:t>Because you wrote all the dialogues yourself, the analysis risks circularity, since the data were designed to confirm your claims. Please explain how each dialogue was built, which documented finding it reflects, and how its authenticity was checked (for example, by expert or practitioner judgment).</w:t>
      </w:r>
    </w:p>
  </w:comment>
  <w:comment w:id="7" w:author="Author" w:date="2026-10-29T16:06:00Z" w:initials="A">
    <w:p w14:paraId="50D237A6" w14:textId="77777777" w:rsidR="00733AA9" w:rsidRDefault="00000000" w:rsidP="00733AA9">
      <w:pPr>
        <w:pStyle w:val="CommentText"/>
      </w:pPr>
      <w:r>
        <w:annotationRef/>
      </w:r>
      <w:r w:rsidR="00733AA9">
        <w:rPr>
          <w:color w:val="000000"/>
        </w:rPr>
        <w:t>You announce ten categories, but the context analyses apply them unevenly, and most dialogues are discussed through only two or three of them. I suggest applying all ten to every dialogue, perhaps in a coding matrix introduced by a short paragraph.</w:t>
      </w:r>
    </w:p>
  </w:comment>
  <w:comment w:id="8" w:author="Author" w:date="2026-10-29T16:16:00Z" w:initials="A">
    <w:p w14:paraId="484BB821" w14:textId="77777777" w:rsidR="00733AA9" w:rsidRDefault="00000000" w:rsidP="00733AA9">
      <w:pPr>
        <w:pStyle w:val="CommentText"/>
      </w:pPr>
      <w:r>
        <w:annotationRef/>
      </w:r>
      <w:r w:rsidR="00733AA9">
        <w:rPr>
          <w:color w:val="000000"/>
        </w:rPr>
        <w:t>Please change "risk" to "risks" so the verb agrees with "A speaker". The next sentence cites Giles et al. (1991), which is too general for courtroom claims, so I suggest drawing on courtroom discourse research (e.g., Atkinson &amp; Drew, 1979; Eades, 2010).</w:t>
      </w:r>
    </w:p>
  </w:comment>
  <w:comment w:id="9" w:author="Author" w:date="2026-10-29T16:25:00Z" w:initials="A">
    <w:p w14:paraId="6D8918BF" w14:textId="77777777" w:rsidR="00733AA9" w:rsidRDefault="00000000" w:rsidP="00733AA9">
      <w:pPr>
        <w:pStyle w:val="CommentText"/>
      </w:pPr>
      <w:r>
        <w:annotationRef/>
      </w:r>
      <w:r w:rsidR="00733AA9">
        <w:rPr>
          <w:color w:val="000000"/>
        </w:rPr>
        <w:t>In Dialogue 2B the doctor never directly answers the patient's question "Is it serious?", so the content is not quite constant and the exchange is less accommodating than you claim. I suggest you either revise the dialogue or discuss this deferral as a feature of clinical talk.</w:t>
      </w:r>
    </w:p>
  </w:comment>
  <w:comment w:id="10" w:author="Author" w:date="2026-10-29T16:35:00Z" w:initials="A">
    <w:p w14:paraId="28361EE3" w14:textId="77777777" w:rsidR="00733AA9" w:rsidRDefault="00000000" w:rsidP="00733AA9">
      <w:pPr>
        <w:pStyle w:val="CommentText"/>
      </w:pPr>
      <w:r>
        <w:annotationRef/>
      </w:r>
      <w:r w:rsidR="00733AA9">
        <w:rPr>
          <w:color w:val="000000"/>
        </w:rPr>
        <w:t>This claim needs support from studies of Nigerian market discourse, and Dialogue 3 contains only one Pidgin token ("na"), which hardly reflects the code-mixing you describe. I suggest citing such studies and making the dialogue more representative.</w:t>
      </w:r>
    </w:p>
  </w:comment>
  <w:comment w:id="11" w:author="Author" w:date="2026-10-29T16:44:00Z" w:initials="A">
    <w:p w14:paraId="37336FD7" w14:textId="77777777" w:rsidR="00733AA9" w:rsidRDefault="00000000" w:rsidP="00733AA9">
      <w:pPr>
        <w:pStyle w:val="CommentText"/>
      </w:pPr>
      <w:r>
        <w:annotationRef/>
      </w:r>
      <w:r w:rsidR="00733AA9">
        <w:rPr>
          <w:color w:val="000000"/>
        </w:rPr>
        <w:t>These two sections open directly with a dialogue and have no framing paragraph or citations, and academic supervision is also missing from Table 1 and the Conclusion. Please add a short introduction with sources to each section and keep the list of contexts consistent across the paper.</w:t>
      </w:r>
    </w:p>
  </w:comment>
  <w:comment w:id="12" w:author="Author" w:date="2026-10-29T16:54:00Z" w:initials="A">
    <w:p w14:paraId="240807B1" w14:textId="77777777" w:rsidR="00733AA9" w:rsidRDefault="00000000" w:rsidP="00733AA9">
      <w:pPr>
        <w:pStyle w:val="CommentText"/>
      </w:pPr>
      <w:r>
        <w:annotationRef/>
      </w:r>
      <w:r w:rsidR="00733AA9">
        <w:rPr>
          <w:color w:val="000000"/>
        </w:rPr>
        <w:t>I find that this sentence turns against your own design, since your data are written, invented dialogues with no prosodic information. Please acknowledge that the prosodic level is described theoretically rather than analyzed.</w:t>
      </w:r>
    </w:p>
  </w:comment>
  <w:comment w:id="13" w:author="Author" w:date="2026-10-29T17:03:00Z" w:initials="A">
    <w:p w14:paraId="1F9397F8" w14:textId="77777777" w:rsidR="00733AA9" w:rsidRDefault="00000000" w:rsidP="00733AA9">
      <w:pPr>
        <w:pStyle w:val="CommentText"/>
      </w:pPr>
      <w:r>
        <w:annotationRef/>
      </w:r>
      <w:r w:rsidR="00733AA9">
        <w:rPr>
          <w:color w:val="000000"/>
        </w:rPr>
        <w:t>Constructed dialogues cannot serve as evidence in the empirical sense. Please soften this to "The illustrations suggest" or support the claim with empirical studies.</w:t>
      </w:r>
    </w:p>
  </w:comment>
  <w:comment w:id="14" w:author="Author" w:date="2026-10-29T17:13:00Z" w:initials="A">
    <w:p w14:paraId="2F4DAD4A" w14:textId="77777777" w:rsidR="00733AA9" w:rsidRDefault="00000000" w:rsidP="00733AA9">
      <w:pPr>
        <w:pStyle w:val="CommentText"/>
      </w:pPr>
      <w:r>
        <w:annotationRef/>
      </w:r>
      <w:r w:rsidR="00733AA9">
        <w:rPr>
          <w:color w:val="000000"/>
        </w:rPr>
        <w:t>This section, like the Introduction, makes empirical claims about Nigeria without a single Nigerian source, and you never explain why Nigeria is the focal context. Please justify this choice and cite Nigerian sociolinguistic work (e.g., Bamgbose or Jowitt on Nigerian English, and studies of Nigerian Pidgin).</w:t>
      </w:r>
    </w:p>
  </w:comment>
  <w:comment w:id="15" w:author="Author" w:date="2026-10-29T17:22:00Z" w:initials="A">
    <w:p w14:paraId="079CF19C" w14:textId="77777777" w:rsidR="00733AA9" w:rsidRDefault="00000000" w:rsidP="00733AA9">
      <w:pPr>
        <w:pStyle w:val="CommentText"/>
      </w:pPr>
      <w:r>
        <w:annotationRef/>
      </w:r>
      <w:r w:rsidR="00733AA9">
        <w:rPr>
          <w:color w:val="000000"/>
        </w:rPr>
        <w:t>These five propositions restate what register theory and accommodation theory already claim, so I cannot yet see what is new; please compare your observations with prior studies and state your contribution. Also, the phrase "the best situational adaptor" later in this section introduces a superlative that appears nowhere else and is not defended.</w:t>
      </w:r>
    </w:p>
  </w:comment>
  <w:comment w:id="16" w:author="Author" w:date="2026-10-29T17:32:00Z" w:initials="A">
    <w:p w14:paraId="0C77EC76" w14:textId="77777777" w:rsidR="00733AA9" w:rsidRDefault="00000000" w:rsidP="00733AA9">
      <w:pPr>
        <w:pStyle w:val="CommentText"/>
      </w:pPr>
      <w:r>
        <w:annotationRef/>
      </w:r>
      <w:r w:rsidR="00733AA9">
        <w:rPr>
          <w:color w:val="000000"/>
        </w:rPr>
        <w:t>This source is a study of French word formation, so it does not support a point about code-switching in Nigeria, and your reference list names the co-author as Adegboku, not Dele. I suggest removing the sentence, which is also ungrammatical ("beyond the what").</w:t>
      </w:r>
    </w:p>
  </w:comment>
  <w:comment w:id="17" w:author="Author" w:date="2026-10-29T17:41:00Z" w:initials="A">
    <w:p w14:paraId="67202EC9" w14:textId="77777777" w:rsidR="00733AA9" w:rsidRDefault="00000000" w:rsidP="00733AA9">
      <w:pPr>
        <w:pStyle w:val="CommentText"/>
      </w:pPr>
      <w:r>
        <w:annotationRef/>
      </w:r>
      <w:r w:rsidR="00733AA9">
        <w:rPr>
          <w:color w:val="000000"/>
        </w:rPr>
        <w:t>I welcome this direction, but the paper needs an explicit Limitations paragraph stating that all claims rest on invented dialogues. The Conclusion should also answer the four research questions one by one.</w:t>
      </w:r>
    </w:p>
  </w:comment>
  <w:comment w:id="18" w:author="Author" w:date="2026-10-29T18:00:00Z" w:initials="A">
    <w:p w14:paraId="74BCDDAF" w14:textId="77777777" w:rsidR="00733AA9" w:rsidRDefault="00000000" w:rsidP="00733AA9">
      <w:pPr>
        <w:pStyle w:val="CommentText"/>
      </w:pPr>
      <w:r>
        <w:annotationRef/>
      </w:r>
      <w:r w:rsidR="00733AA9">
        <w:rPr>
          <w:color w:val="000000"/>
        </w:rPr>
        <w:t>Several in-text citations do not match the list: Conrad (2026) vs 2024, Bell (2008) vs 2001, Coupland (2010) vs 2007, and Efih and Dele vs Efih and Adegboku. Please cross-check every entry and add the missing page range for Conrad (2024).</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6F91D6B" w15:done="0"/>
  <w15:commentEx w15:paraId="5E3121EC" w15:done="0"/>
  <w15:commentEx w15:paraId="6C7C0450" w15:done="0"/>
  <w15:commentEx w15:paraId="1F575A94" w15:done="0"/>
  <w15:commentEx w15:paraId="3E492AEB" w15:done="0"/>
  <w15:commentEx w15:paraId="1F4D5D99" w15:done="0"/>
  <w15:commentEx w15:paraId="704A669F" w15:done="0"/>
  <w15:commentEx w15:paraId="50D237A6" w15:done="0"/>
  <w15:commentEx w15:paraId="484BB821" w15:done="0"/>
  <w15:commentEx w15:paraId="6D8918BF" w15:done="0"/>
  <w15:commentEx w15:paraId="28361EE3" w15:done="0"/>
  <w15:commentEx w15:paraId="37336FD7" w15:done="0"/>
  <w15:commentEx w15:paraId="240807B1" w15:done="0"/>
  <w15:commentEx w15:paraId="1F9397F8" w15:done="0"/>
  <w15:commentEx w15:paraId="2F4DAD4A" w15:done="0"/>
  <w15:commentEx w15:paraId="079CF19C" w15:done="0"/>
  <w15:commentEx w15:paraId="0C77EC76" w15:done="0"/>
  <w15:commentEx w15:paraId="67202EC9" w15:done="0"/>
  <w15:commentEx w15:paraId="74BCDDA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D9F0EB" w16cex:dateUtc="2026-10-29T06:00:00Z"/>
  <w16cex:commentExtensible w16cex:durableId="12C1A2C5" w16cex:dateUtc="2026-10-29T06:09:00Z"/>
  <w16cex:commentExtensible w16cex:durableId="6E1DA671" w16cex:dateUtc="2026-10-29T06:19:00Z"/>
  <w16cex:commentExtensible w16cex:durableId="22ACC6A0" w16cex:dateUtc="2026-10-29T06:28:00Z"/>
  <w16cex:commentExtensible w16cex:durableId="0B1A6AE1" w16cex:dateUtc="2026-10-29T06:38:00Z"/>
  <w16cex:commentExtensible w16cex:durableId="2331DA7F" w16cex:dateUtc="2026-10-29T06:47:00Z"/>
  <w16cex:commentExtensible w16cex:durableId="2E061740" w16cex:dateUtc="2026-10-29T06:57:00Z"/>
  <w16cex:commentExtensible w16cex:durableId="1064A7E0" w16cex:dateUtc="2026-10-29T07:06:00Z"/>
  <w16cex:commentExtensible w16cex:durableId="7DB247FA" w16cex:dateUtc="2026-10-29T07:16:00Z"/>
  <w16cex:commentExtensible w16cex:durableId="0BE028A4" w16cex:dateUtc="2026-10-29T07:25:00Z"/>
  <w16cex:commentExtensible w16cex:durableId="0803D623" w16cex:dateUtc="2026-10-29T07:35:00Z"/>
  <w16cex:commentExtensible w16cex:durableId="557CB0AF" w16cex:dateUtc="2026-10-29T07:44:00Z"/>
  <w16cex:commentExtensible w16cex:durableId="3CA4179B" w16cex:dateUtc="2026-10-29T07:54:00Z"/>
  <w16cex:commentExtensible w16cex:durableId="183548D7" w16cex:dateUtc="2026-10-29T08:03:00Z"/>
  <w16cex:commentExtensible w16cex:durableId="7618CB97" w16cex:dateUtc="2026-10-29T08:13:00Z"/>
  <w16cex:commentExtensible w16cex:durableId="4307CE49" w16cex:dateUtc="2026-10-29T08:22:00Z"/>
  <w16cex:commentExtensible w16cex:durableId="5798E1DD" w16cex:dateUtc="2026-10-29T08:32:00Z"/>
  <w16cex:commentExtensible w16cex:durableId="275EF438" w16cex:dateUtc="2026-10-29T08:41:00Z"/>
  <w16cex:commentExtensible w16cex:durableId="7514DC5C" w16cex:dateUtc="2026-10-29T09: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6F91D6B" w16cid:durableId="7CD9F0EB"/>
  <w16cid:commentId w16cid:paraId="5E3121EC" w16cid:durableId="12C1A2C5"/>
  <w16cid:commentId w16cid:paraId="6C7C0450" w16cid:durableId="6E1DA671"/>
  <w16cid:commentId w16cid:paraId="1F575A94" w16cid:durableId="22ACC6A0"/>
  <w16cid:commentId w16cid:paraId="3E492AEB" w16cid:durableId="0B1A6AE1"/>
  <w16cid:commentId w16cid:paraId="1F4D5D99" w16cid:durableId="2331DA7F"/>
  <w16cid:commentId w16cid:paraId="704A669F" w16cid:durableId="2E061740"/>
  <w16cid:commentId w16cid:paraId="50D237A6" w16cid:durableId="1064A7E0"/>
  <w16cid:commentId w16cid:paraId="484BB821" w16cid:durableId="7DB247FA"/>
  <w16cid:commentId w16cid:paraId="6D8918BF" w16cid:durableId="0BE028A4"/>
  <w16cid:commentId w16cid:paraId="28361EE3" w16cid:durableId="0803D623"/>
  <w16cid:commentId w16cid:paraId="37336FD7" w16cid:durableId="557CB0AF"/>
  <w16cid:commentId w16cid:paraId="240807B1" w16cid:durableId="3CA4179B"/>
  <w16cid:commentId w16cid:paraId="1F9397F8" w16cid:durableId="183548D7"/>
  <w16cid:commentId w16cid:paraId="2F4DAD4A" w16cid:durableId="7618CB97"/>
  <w16cid:commentId w16cid:paraId="079CF19C" w16cid:durableId="4307CE49"/>
  <w16cid:commentId w16cid:paraId="0C77EC76" w16cid:durableId="5798E1DD"/>
  <w16cid:commentId w16cid:paraId="67202EC9" w16cid:durableId="275EF438"/>
  <w16cid:commentId w16cid:paraId="74BCDDAF" w16cid:durableId="7514DC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5E2E7" w14:textId="77777777" w:rsidR="003A5C93" w:rsidRDefault="003A5C93">
      <w:pPr>
        <w:spacing w:after="0" w:line="240" w:lineRule="auto"/>
      </w:pPr>
      <w:r>
        <w:separator/>
      </w:r>
    </w:p>
  </w:endnote>
  <w:endnote w:type="continuationSeparator" w:id="0">
    <w:p w14:paraId="2575AAF6" w14:textId="77777777" w:rsidR="003A5C93" w:rsidRDefault="003A5C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3D8F5" w14:textId="77777777" w:rsidR="005A55F8" w:rsidRDefault="005A55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2E6F4" w14:textId="77777777" w:rsidR="00717EA4" w:rsidRDefault="00C540C4">
    <w:pPr>
      <w:pStyle w:val="Footer"/>
      <w:jc w:val="center"/>
    </w:pPr>
    <w:r>
      <w:fldChar w:fldCharType="begin"/>
    </w:r>
    <w:r>
      <w:instrText>PAGE</w:instrText>
    </w:r>
    <w:r>
      <w:fldChar w:fldCharType="separate"/>
    </w:r>
    <w:r w:rsidR="003036DE">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9BD96" w14:textId="77777777" w:rsidR="005A55F8" w:rsidRDefault="005A55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91F68" w14:textId="77777777" w:rsidR="003A5C93" w:rsidRDefault="003A5C93">
      <w:pPr>
        <w:spacing w:after="0" w:line="240" w:lineRule="auto"/>
      </w:pPr>
      <w:r>
        <w:separator/>
      </w:r>
    </w:p>
  </w:footnote>
  <w:footnote w:type="continuationSeparator" w:id="0">
    <w:p w14:paraId="0EB8C273" w14:textId="77777777" w:rsidR="003A5C93" w:rsidRDefault="003A5C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AA967" w14:textId="293F2B81" w:rsidR="005A55F8" w:rsidRDefault="00000000">
    <w:pPr>
      <w:pStyle w:val="Header"/>
    </w:pPr>
    <w:r>
      <w:rPr>
        <w:noProof/>
      </w:rPr>
      <w:pict w14:anchorId="156044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6" o:spid="_x0000_s1026" type="#_x0000_t136" style="position:absolute;margin-left:0;margin-top:0;width:621.25pt;height: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A11FD" w14:textId="7E84125D" w:rsidR="005A55F8" w:rsidRDefault="00000000">
    <w:pPr>
      <w:pStyle w:val="Header"/>
    </w:pPr>
    <w:r>
      <w:rPr>
        <w:noProof/>
      </w:rPr>
      <w:pict w14:anchorId="5B37960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7" o:spid="_x0000_s1027" type="#_x0000_t136" style="position:absolute;margin-left:0;margin-top:0;width:621.25pt;height: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BF1B1" w14:textId="21940415" w:rsidR="005A55F8" w:rsidRDefault="00000000">
    <w:pPr>
      <w:pStyle w:val="Header"/>
    </w:pPr>
    <w:r>
      <w:rPr>
        <w:noProof/>
      </w:rPr>
      <w:pict w14:anchorId="25113E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9981625" o:spid="_x0000_s1025" type="#_x0000_t136" style="position:absolute;margin-left:0;margin-top:0;width:621.25pt;height: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2142879">
    <w:abstractNumId w:val="8"/>
  </w:num>
  <w:num w:numId="2" w16cid:durableId="647176574">
    <w:abstractNumId w:val="6"/>
  </w:num>
  <w:num w:numId="3" w16cid:durableId="1323505648">
    <w:abstractNumId w:val="5"/>
  </w:num>
  <w:num w:numId="4" w16cid:durableId="44450870">
    <w:abstractNumId w:val="4"/>
  </w:num>
  <w:num w:numId="5" w16cid:durableId="1813786610">
    <w:abstractNumId w:val="7"/>
  </w:num>
  <w:num w:numId="6" w16cid:durableId="1676688210">
    <w:abstractNumId w:val="3"/>
  </w:num>
  <w:num w:numId="7" w16cid:durableId="1172916333">
    <w:abstractNumId w:val="2"/>
  </w:num>
  <w:num w:numId="8" w16cid:durableId="1583223262">
    <w:abstractNumId w:val="1"/>
  </w:num>
  <w:num w:numId="9" w16cid:durableId="17169299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698"/>
    <w:rsid w:val="0006063C"/>
    <w:rsid w:val="000738CE"/>
    <w:rsid w:val="001422D1"/>
    <w:rsid w:val="0015074B"/>
    <w:rsid w:val="001E6367"/>
    <w:rsid w:val="001F1843"/>
    <w:rsid w:val="002538AF"/>
    <w:rsid w:val="0027729C"/>
    <w:rsid w:val="00277848"/>
    <w:rsid w:val="0029639D"/>
    <w:rsid w:val="002F0881"/>
    <w:rsid w:val="003036DE"/>
    <w:rsid w:val="00323802"/>
    <w:rsid w:val="00326F90"/>
    <w:rsid w:val="003A5C93"/>
    <w:rsid w:val="00461536"/>
    <w:rsid w:val="004E588C"/>
    <w:rsid w:val="005078B8"/>
    <w:rsid w:val="005661D4"/>
    <w:rsid w:val="00593535"/>
    <w:rsid w:val="005A55F8"/>
    <w:rsid w:val="00624032"/>
    <w:rsid w:val="00625537"/>
    <w:rsid w:val="00670611"/>
    <w:rsid w:val="00690F9C"/>
    <w:rsid w:val="006920A4"/>
    <w:rsid w:val="006C23B8"/>
    <w:rsid w:val="006D2B51"/>
    <w:rsid w:val="006E44C9"/>
    <w:rsid w:val="006E4AA5"/>
    <w:rsid w:val="007024E3"/>
    <w:rsid w:val="00717EA4"/>
    <w:rsid w:val="0072532F"/>
    <w:rsid w:val="00733AA9"/>
    <w:rsid w:val="0077660B"/>
    <w:rsid w:val="00820A34"/>
    <w:rsid w:val="008620EB"/>
    <w:rsid w:val="00865F01"/>
    <w:rsid w:val="008F282B"/>
    <w:rsid w:val="00A05E01"/>
    <w:rsid w:val="00A07325"/>
    <w:rsid w:val="00AA1D8D"/>
    <w:rsid w:val="00AC7715"/>
    <w:rsid w:val="00AD5EAE"/>
    <w:rsid w:val="00B266EB"/>
    <w:rsid w:val="00B47730"/>
    <w:rsid w:val="00B61CC2"/>
    <w:rsid w:val="00C11DFA"/>
    <w:rsid w:val="00C37406"/>
    <w:rsid w:val="00C406DC"/>
    <w:rsid w:val="00C540C4"/>
    <w:rsid w:val="00CA579D"/>
    <w:rsid w:val="00CB0664"/>
    <w:rsid w:val="00DC7907"/>
    <w:rsid w:val="00DD3F87"/>
    <w:rsid w:val="00E044BA"/>
    <w:rsid w:val="00E2005F"/>
    <w:rsid w:val="00E35CFD"/>
    <w:rsid w:val="00E55FD8"/>
    <w:rsid w:val="00E82128"/>
    <w:rsid w:val="00F40EEE"/>
    <w:rsid w:val="00F715E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A35C7F"/>
  <w14:defaultImageDpi w14:val="300"/>
  <w15:docId w15:val="{E1272EF3-5E73-4712-92A0-A2FA722F2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70611"/>
    <w:rPr>
      <w:color w:val="0000FF" w:themeColor="hyperlink"/>
      <w:u w:val="single"/>
    </w:rPr>
  </w:style>
  <w:style w:type="character" w:styleId="UnresolvedMention">
    <w:name w:val="Unresolved Mention"/>
    <w:basedOn w:val="DefaultParagraphFont"/>
    <w:uiPriority w:val="99"/>
    <w:semiHidden/>
    <w:unhideWhenUsed/>
    <w:rsid w:val="00670611"/>
    <w:rPr>
      <w:color w:val="605E5C"/>
      <w:shd w:val="clear" w:color="auto" w:fill="E1DFDD"/>
    </w:rPr>
  </w:style>
  <w:style w:type="paragraph" w:styleId="NormalWeb">
    <w:name w:val="Normal (Web)"/>
    <w:basedOn w:val="Normal"/>
    <w:uiPriority w:val="99"/>
    <w:semiHidden/>
    <w:unhideWhenUsed/>
    <w:rsid w:val="001F1843"/>
    <w:pPr>
      <w:spacing w:before="100" w:beforeAutospacing="1" w:afterAutospacing="1" w:line="240" w:lineRule="auto"/>
    </w:pPr>
    <w:rPr>
      <w:rFonts w:eastAsia="Times New Roman" w:cs="Times New Roman"/>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hAnsi="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54076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016/j.pec.2015.05.024" TargetMode="External"/><Relationship Id="rId18" Type="http://schemas.openxmlformats.org/officeDocument/2006/relationships/hyperlink" Target="https://doi.org/10.1016/j.pec.2014.01.014"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doi.org/10.1017/S004740450001037X" TargetMode="External"/><Relationship Id="rId17" Type="http://schemas.openxmlformats.org/officeDocument/2006/relationships/hyperlink" Target="https://doi.org/10.1111/j.1473-4192.1997.tb00111.x"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001/jamanetworkopen.2022.42972" TargetMode="External"/><Relationship Id="rId20" Type="http://schemas.openxmlformats.org/officeDocument/2006/relationships/hyperlink" Target="https://doi.org/10.1016/j.ajem.2025.06.01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5555/ajhb.2007.31.supp.S85" TargetMode="External"/><Relationship Id="rId23" Type="http://schemas.openxmlformats.org/officeDocument/2006/relationships/footer" Target="footer1.xml"/><Relationship Id="rId28" Type="http://schemas.openxmlformats.org/officeDocument/2006/relationships/theme" Target="theme/theme1.xml"/><Relationship Id="rId10" Type="http://schemas.microsoft.com/office/2016/09/relationships/commentsIds" Target="commentsIds.xml"/><Relationship Id="rId19" Type="http://schemas.openxmlformats.org/officeDocument/2006/relationships/hyperlink" Target="https://doi.org/10.1075/rs.25009.sta"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016/0277-9536(89)90035-X"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1443</TotalTime>
  <Pages>20</Pages>
  <Words>6485</Words>
  <Characters>35672</Characters>
  <Application>Microsoft Office Word</Application>
  <DocSecurity>0</DocSecurity>
  <Lines>1189</Lines>
  <Paragraphs>714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Editor-17</cp:lastModifiedBy>
  <cp:revision>41</cp:revision>
  <dcterms:created xsi:type="dcterms:W3CDTF">2013-12-23T23:15:00Z</dcterms:created>
  <dcterms:modified xsi:type="dcterms:W3CDTF">2026-10-29T10:45:00Z</dcterms:modified>
  <cp:category/>
</cp:coreProperties>
</file>