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5710" w14:textId="77777777" w:rsidR="00435B01" w:rsidRPr="00FE1EC1" w:rsidRDefault="00B94F3E" w:rsidP="00FE1EC1">
      <w:pPr>
        <w:pStyle w:val="Normal1"/>
        <w:widowControl w:val="0"/>
        <w:pBdr>
          <w:top w:val="nil"/>
          <w:left w:val="nil"/>
          <w:bottom w:val="nil"/>
          <w:right w:val="nil"/>
          <w:between w:val="nil"/>
        </w:pBdr>
        <w:spacing w:line="240" w:lineRule="auto"/>
        <w:ind w:left="38" w:right="30"/>
        <w:jc w:val="center"/>
        <w:rPr>
          <w:rFonts w:ascii="Times New Roman" w:hAnsi="Times New Roman" w:cs="Times New Roman"/>
          <w:b/>
          <w:bCs/>
          <w:color w:val="000000"/>
          <w:sz w:val="28"/>
          <w:szCs w:val="28"/>
        </w:rPr>
      </w:pPr>
      <w:r w:rsidRPr="00FE1EC1">
        <w:rPr>
          <w:rFonts w:ascii="Times New Roman" w:hAnsi="Times New Roman" w:cs="Times New Roman"/>
          <w:b/>
          <w:bCs/>
          <w:color w:val="000000"/>
          <w:sz w:val="28"/>
          <w:szCs w:val="28"/>
        </w:rPr>
        <w:t xml:space="preserve">Determinants of Caregiver-Reported Dental Caries Among Preschool Children in Selected Communities in </w:t>
      </w:r>
      <w:proofErr w:type="spellStart"/>
      <w:r w:rsidRPr="00FE1EC1">
        <w:rPr>
          <w:rFonts w:ascii="Times New Roman" w:hAnsi="Times New Roman" w:cs="Times New Roman"/>
          <w:b/>
          <w:bCs/>
          <w:color w:val="000000"/>
          <w:sz w:val="28"/>
          <w:szCs w:val="28"/>
        </w:rPr>
        <w:t>Okrika</w:t>
      </w:r>
      <w:proofErr w:type="spellEnd"/>
      <w:r w:rsidRPr="00FE1EC1">
        <w:rPr>
          <w:rFonts w:ascii="Times New Roman" w:hAnsi="Times New Roman" w:cs="Times New Roman"/>
          <w:b/>
          <w:bCs/>
          <w:color w:val="000000"/>
          <w:sz w:val="28"/>
          <w:szCs w:val="28"/>
        </w:rPr>
        <w:t xml:space="preserve"> Local Government Area, Rivers State, Nigeria</w:t>
      </w:r>
    </w:p>
    <w:p w14:paraId="63ECE67D" w14:textId="77777777" w:rsidR="00B94F3E" w:rsidRPr="00B94F3E" w:rsidRDefault="00B94F3E" w:rsidP="00B94F3E">
      <w:pPr>
        <w:spacing w:line="240" w:lineRule="auto"/>
        <w:jc w:val="both"/>
        <w:rPr>
          <w:rFonts w:ascii="Times New Roman" w:hAnsi="Times New Roman" w:cs="Times New Roman"/>
          <w:bCs/>
          <w:sz w:val="24"/>
          <w:szCs w:val="24"/>
        </w:rPr>
      </w:pPr>
    </w:p>
    <w:p w14:paraId="0A045FF6" w14:textId="77777777" w:rsidR="00435B01" w:rsidRPr="00B94F3E" w:rsidRDefault="00435B01" w:rsidP="00FE1EC1">
      <w:pPr>
        <w:pStyle w:val="NoSpacing"/>
        <w:jc w:val="center"/>
        <w:rPr>
          <w:color w:val="000000"/>
          <w:shd w:val="clear" w:color="auto" w:fill="FFF200"/>
        </w:rPr>
      </w:pPr>
    </w:p>
    <w:p w14:paraId="64E20382" w14:textId="77777777" w:rsidR="00435B01" w:rsidRDefault="00B94F3E" w:rsidP="00B94F3E">
      <w:pPr>
        <w:pStyle w:val="Normal1"/>
        <w:widowControl w:val="0"/>
        <w:pBdr>
          <w:top w:val="nil"/>
          <w:left w:val="nil"/>
          <w:bottom w:val="nil"/>
          <w:right w:val="nil"/>
          <w:between w:val="nil"/>
        </w:pBdr>
        <w:spacing w:before="235" w:line="240" w:lineRule="auto"/>
        <w:ind w:left="8"/>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ABSTRACT </w:t>
      </w:r>
    </w:p>
    <w:p w14:paraId="4DAD8A54" w14:textId="77777777" w:rsidR="008C71C8" w:rsidRPr="00B94F3E" w:rsidRDefault="008C71C8" w:rsidP="00B94F3E">
      <w:pPr>
        <w:pStyle w:val="Normal1"/>
        <w:widowControl w:val="0"/>
        <w:pBdr>
          <w:top w:val="nil"/>
          <w:left w:val="nil"/>
          <w:bottom w:val="nil"/>
          <w:right w:val="nil"/>
          <w:between w:val="nil"/>
        </w:pBdr>
        <w:spacing w:before="235" w:line="240" w:lineRule="auto"/>
        <w:ind w:left="8"/>
        <w:jc w:val="both"/>
        <w:rPr>
          <w:rFonts w:ascii="Times New Roman" w:hAnsi="Times New Roman" w:cs="Times New Roman"/>
          <w:b/>
          <w:bCs/>
          <w:color w:val="000000"/>
          <w:sz w:val="24"/>
          <w:szCs w:val="24"/>
        </w:rPr>
      </w:pPr>
    </w:p>
    <w:p w14:paraId="15A08997" w14:textId="225BDC5C" w:rsidR="00435B01" w:rsidRDefault="00B94F3E" w:rsidP="008C71C8">
      <w:pPr>
        <w:pStyle w:val="Normal1"/>
        <w:widowControl w:val="0"/>
        <w:pBdr>
          <w:top w:val="nil"/>
          <w:left w:val="nil"/>
          <w:bottom w:val="nil"/>
          <w:right w:val="nil"/>
          <w:between w:val="nil"/>
        </w:pBdr>
        <w:spacing w:before="151" w:line="240" w:lineRule="auto"/>
        <w:ind w:left="8" w:right="16" w:firstLine="4"/>
        <w:jc w:val="both"/>
        <w:rPr>
          <w:rFonts w:ascii="Times New Roman" w:hAnsi="Times New Roman" w:cs="Times New Roman"/>
          <w:color w:val="000000"/>
          <w:sz w:val="24"/>
          <w:szCs w:val="24"/>
        </w:rPr>
      </w:pPr>
      <w:r w:rsidRPr="00B94F3E">
        <w:rPr>
          <w:rFonts w:ascii="Times New Roman" w:hAnsi="Times New Roman" w:cs="Times New Roman"/>
          <w:b/>
          <w:bCs/>
          <w:color w:val="000000"/>
          <w:sz w:val="24"/>
          <w:szCs w:val="24"/>
        </w:rPr>
        <w:t xml:space="preserve">Introduction: </w:t>
      </w:r>
      <w:r w:rsidRPr="00B94F3E">
        <w:rPr>
          <w:rFonts w:ascii="Times New Roman" w:hAnsi="Times New Roman" w:cs="Times New Roman"/>
          <w:color w:val="000000"/>
          <w:sz w:val="24"/>
          <w:szCs w:val="24"/>
        </w:rPr>
        <w:t>Dental caries remains a public health concern among preschool children, particularly in underserved communities where access to prevent</w:t>
      </w:r>
      <w:r w:rsidR="008C71C8">
        <w:rPr>
          <w:rFonts w:ascii="Times New Roman" w:hAnsi="Times New Roman" w:cs="Times New Roman"/>
          <w:color w:val="000000"/>
          <w:sz w:val="24"/>
          <w:szCs w:val="24"/>
        </w:rPr>
        <w:t>ive oral healthcare is limited.</w:t>
      </w:r>
      <w:r w:rsidR="00723E2B">
        <w:rPr>
          <w:rFonts w:ascii="Times New Roman" w:hAnsi="Times New Roman" w:cs="Times New Roman"/>
          <w:color w:val="000000"/>
          <w:sz w:val="24"/>
          <w:szCs w:val="24"/>
        </w:rPr>
        <w:t xml:space="preserve"> </w:t>
      </w:r>
      <w:r w:rsidRPr="00B94F3E">
        <w:rPr>
          <w:rFonts w:ascii="Times New Roman" w:hAnsi="Times New Roman" w:cs="Times New Roman"/>
          <w:b/>
          <w:bCs/>
          <w:color w:val="000000"/>
          <w:sz w:val="24"/>
          <w:szCs w:val="24"/>
        </w:rPr>
        <w:t xml:space="preserve">Aim: </w:t>
      </w:r>
      <w:r w:rsidRPr="00B94F3E">
        <w:rPr>
          <w:rFonts w:ascii="Times New Roman" w:hAnsi="Times New Roman" w:cs="Times New Roman"/>
          <w:color w:val="000000"/>
          <w:sz w:val="24"/>
          <w:szCs w:val="24"/>
        </w:rPr>
        <w:t xml:space="preserve">This study assessed the determinants of caregiver-reported dental caries, together with clinically confirmed dental caries and the agreement between both measures, among preschool children in selected communities in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Local Government Area, Rivers State, Nigeria. </w:t>
      </w:r>
      <w:r w:rsidRPr="00B94F3E">
        <w:rPr>
          <w:rFonts w:ascii="Times New Roman" w:hAnsi="Times New Roman" w:cs="Times New Roman"/>
          <w:b/>
          <w:bCs/>
          <w:color w:val="000000"/>
          <w:sz w:val="24"/>
          <w:szCs w:val="24"/>
        </w:rPr>
        <w:t xml:space="preserve">Methods: </w:t>
      </w:r>
      <w:r w:rsidRPr="00B94F3E">
        <w:rPr>
          <w:rFonts w:ascii="Times New Roman" w:hAnsi="Times New Roman" w:cs="Times New Roman"/>
          <w:color w:val="000000"/>
          <w:sz w:val="24"/>
          <w:szCs w:val="24"/>
        </w:rPr>
        <w:t>A community-based analytical cross-sectional study was conducted among 389 caregiver– child pairs selected through multistage sampling. Caregivers completed a structured questionnaire on observable dental problems, while children aged 3–5 years underwent clinical oral examinations using the decayed, missing, and filled primary teeth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index. Data were analyzed using descriptive statistics, Chi-square tests, binary logistic regression, and Cohen’s kappa, with statistical significance set at p &lt; 0.05. </w:t>
      </w:r>
      <w:r w:rsidRPr="00B94F3E">
        <w:rPr>
          <w:rFonts w:ascii="Times New Roman" w:hAnsi="Times New Roman" w:cs="Times New Roman"/>
          <w:b/>
          <w:bCs/>
          <w:color w:val="000000"/>
          <w:sz w:val="24"/>
          <w:szCs w:val="24"/>
        </w:rPr>
        <w:t xml:space="preserve">Results: </w:t>
      </w:r>
      <w:r w:rsidRPr="00B94F3E">
        <w:rPr>
          <w:rFonts w:ascii="Times New Roman" w:eastAsia="Arial Unicode MS" w:hAnsi="Times New Roman" w:cs="Times New Roman"/>
          <w:color w:val="000000"/>
          <w:sz w:val="24"/>
          <w:szCs w:val="24"/>
        </w:rPr>
        <w:t xml:space="preserve">Caregiver-reported indicators were common: black or brown tooth spots were reported in 48.6% of children, previous professional diagnosis of caries in 47.8%, toothache in 44.7%, and difficulty eating because of tooth pain in 42.2%. Overall, 69.2% of children were classified as having positive caregiver-reported caries status based on the composite questionnaire measure. In contrast, clinical examination identified dental caries in only 5.1% of children, with a mean </w:t>
      </w:r>
      <w:proofErr w:type="spellStart"/>
      <w:r w:rsidRPr="00B94F3E">
        <w:rPr>
          <w:rFonts w:ascii="Times New Roman" w:eastAsia="Arial Unicode MS" w:hAnsi="Times New Roman" w:cs="Times New Roman"/>
          <w:color w:val="000000"/>
          <w:sz w:val="24"/>
          <w:szCs w:val="24"/>
        </w:rPr>
        <w:t>dmft</w:t>
      </w:r>
      <w:proofErr w:type="spellEnd"/>
      <w:r w:rsidRPr="00B94F3E">
        <w:rPr>
          <w:rFonts w:ascii="Times New Roman" w:eastAsia="Arial Unicode MS" w:hAnsi="Times New Roman" w:cs="Times New Roman"/>
          <w:color w:val="000000"/>
          <w:sz w:val="24"/>
          <w:szCs w:val="24"/>
        </w:rPr>
        <w:t xml:space="preserve"> score of 0.06. Agreement between caregiver-reported and clinically assessed caries was virtually absent (κ = −0.006), and their association was not statistically significant (χ² = 0.170; p = 0.680). These findings demonstrate a substantial discrepancy between reported dental problems and clinically confirmed caries. Caregiver reports may capture perceived symptoms and concerns that do not correspond to clinical caries diagnoses. This distinction is especially important when estimating disease burden and planning community oral-health programs. Among the factors examined, an unfavorable environment was significantly associated with caregiver-reported caries (AOR = 2.81; 95% CI: 1.64–4.81), whereas poor caregiver knowledge was of borderline significance (AOR = 1.85; p = 0.051); no factor was significantly associated with clinically assessed caries. </w:t>
      </w:r>
      <w:r w:rsidRPr="00B94F3E">
        <w:rPr>
          <w:rFonts w:ascii="Times New Roman" w:hAnsi="Times New Roman" w:cs="Times New Roman"/>
          <w:b/>
          <w:bCs/>
          <w:color w:val="000000"/>
          <w:sz w:val="24"/>
          <w:szCs w:val="24"/>
        </w:rPr>
        <w:t xml:space="preserve">Conclusion: </w:t>
      </w:r>
      <w:r w:rsidRPr="00B94F3E">
        <w:rPr>
          <w:rFonts w:ascii="Times New Roman" w:hAnsi="Times New Roman" w:cs="Times New Roman"/>
          <w:color w:val="000000"/>
          <w:sz w:val="24"/>
          <w:szCs w:val="24"/>
        </w:rPr>
        <w:t xml:space="preserve">The study concludes that caregiver-reported indicators should complement, rather than replace, clinical oral examinations. </w:t>
      </w:r>
      <w:r w:rsidRPr="00B94F3E">
        <w:rPr>
          <w:rFonts w:ascii="Times New Roman" w:hAnsi="Times New Roman" w:cs="Times New Roman"/>
          <w:b/>
          <w:bCs/>
          <w:color w:val="000000"/>
          <w:sz w:val="24"/>
          <w:szCs w:val="24"/>
        </w:rPr>
        <w:t xml:space="preserve">Recommendation: </w:t>
      </w:r>
      <w:r w:rsidRPr="00B94F3E">
        <w:rPr>
          <w:rFonts w:ascii="Times New Roman" w:hAnsi="Times New Roman" w:cs="Times New Roman"/>
          <w:color w:val="000000"/>
          <w:sz w:val="24"/>
          <w:szCs w:val="24"/>
        </w:rPr>
        <w:t xml:space="preserve">Routine preschool dental screening, alongside caregiver education on recognizing dental problems and seeking timely professional assessment, is recommended to improve accurate identification and early management of childhood oral health conditions in underserved communities. </w:t>
      </w:r>
    </w:p>
    <w:p w14:paraId="4ACB2DDC" w14:textId="77777777" w:rsidR="008C71C8" w:rsidRPr="00B94F3E" w:rsidRDefault="008C71C8" w:rsidP="008C71C8">
      <w:pPr>
        <w:pStyle w:val="Normal1"/>
        <w:widowControl w:val="0"/>
        <w:pBdr>
          <w:top w:val="nil"/>
          <w:left w:val="nil"/>
          <w:bottom w:val="nil"/>
          <w:right w:val="nil"/>
          <w:between w:val="nil"/>
        </w:pBdr>
        <w:spacing w:before="151" w:line="240" w:lineRule="auto"/>
        <w:ind w:left="8" w:right="16" w:firstLine="4"/>
        <w:jc w:val="both"/>
        <w:rPr>
          <w:rFonts w:ascii="Times New Roman" w:hAnsi="Times New Roman" w:cs="Times New Roman"/>
          <w:color w:val="000000"/>
          <w:sz w:val="24"/>
          <w:szCs w:val="24"/>
        </w:rPr>
      </w:pPr>
    </w:p>
    <w:p w14:paraId="6FAB401D" w14:textId="77777777" w:rsidR="00435B01" w:rsidRPr="00B94F3E" w:rsidRDefault="00B94F3E" w:rsidP="00B94F3E">
      <w:pPr>
        <w:pStyle w:val="Normal1"/>
        <w:widowControl w:val="0"/>
        <w:pBdr>
          <w:top w:val="nil"/>
          <w:left w:val="nil"/>
          <w:bottom w:val="nil"/>
          <w:right w:val="nil"/>
          <w:between w:val="nil"/>
        </w:pBdr>
        <w:spacing w:before="98" w:line="240" w:lineRule="auto"/>
        <w:ind w:left="14" w:right="163" w:hanging="4"/>
        <w:jc w:val="both"/>
        <w:rPr>
          <w:rFonts w:ascii="Times New Roman" w:hAnsi="Times New Roman" w:cs="Times New Roman"/>
          <w:color w:val="000000"/>
          <w:sz w:val="24"/>
          <w:szCs w:val="24"/>
        </w:rPr>
      </w:pPr>
      <w:r w:rsidRPr="00B94F3E">
        <w:rPr>
          <w:rFonts w:ascii="Times New Roman" w:hAnsi="Times New Roman" w:cs="Times New Roman"/>
          <w:b/>
          <w:bCs/>
          <w:color w:val="000000"/>
          <w:sz w:val="24"/>
          <w:szCs w:val="24"/>
        </w:rPr>
        <w:t xml:space="preserve">Keywords: </w:t>
      </w:r>
      <w:r w:rsidRPr="00B94F3E">
        <w:rPr>
          <w:rFonts w:ascii="Times New Roman" w:hAnsi="Times New Roman" w:cs="Times New Roman"/>
          <w:color w:val="000000"/>
          <w:sz w:val="24"/>
          <w:szCs w:val="24"/>
        </w:rPr>
        <w:t xml:space="preserve">Determinants; Dental caries; Preschool children; Caregiver-reported indicators; </w:t>
      </w:r>
      <w:proofErr w:type="gramStart"/>
      <w:r w:rsidRPr="00B94F3E">
        <w:rPr>
          <w:rFonts w:ascii="Times New Roman" w:hAnsi="Times New Roman" w:cs="Times New Roman"/>
          <w:color w:val="000000"/>
          <w:sz w:val="24"/>
          <w:szCs w:val="24"/>
        </w:rPr>
        <w:t>Clinical  oral</w:t>
      </w:r>
      <w:proofErr w:type="gramEnd"/>
      <w:r w:rsidRPr="00B94F3E">
        <w:rPr>
          <w:rFonts w:ascii="Times New Roman" w:hAnsi="Times New Roman" w:cs="Times New Roman"/>
          <w:color w:val="000000"/>
          <w:sz w:val="24"/>
          <w:szCs w:val="24"/>
        </w:rPr>
        <w:t xml:space="preserve"> examination;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index;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Rivers State; Nigeria. </w:t>
      </w:r>
    </w:p>
    <w:p w14:paraId="17C787A8" w14:textId="77777777" w:rsidR="00B94F3E" w:rsidRDefault="00B94F3E" w:rsidP="00B94F3E">
      <w:pPr>
        <w:pStyle w:val="Normal1"/>
        <w:widowControl w:val="0"/>
        <w:pBdr>
          <w:top w:val="nil"/>
          <w:left w:val="nil"/>
          <w:bottom w:val="nil"/>
          <w:right w:val="nil"/>
          <w:between w:val="nil"/>
        </w:pBdr>
        <w:spacing w:before="283" w:line="240" w:lineRule="auto"/>
        <w:ind w:left="14"/>
        <w:jc w:val="both"/>
        <w:rPr>
          <w:rFonts w:ascii="Times New Roman" w:hAnsi="Times New Roman" w:cs="Times New Roman"/>
          <w:b/>
          <w:bCs/>
          <w:color w:val="000000"/>
          <w:sz w:val="24"/>
          <w:szCs w:val="24"/>
        </w:rPr>
      </w:pPr>
    </w:p>
    <w:p w14:paraId="5CABF9E4" w14:textId="77777777" w:rsidR="00B94F3E" w:rsidRDefault="00B94F3E" w:rsidP="00B94F3E">
      <w:pPr>
        <w:pStyle w:val="Normal1"/>
        <w:widowControl w:val="0"/>
        <w:pBdr>
          <w:top w:val="nil"/>
          <w:left w:val="nil"/>
          <w:bottom w:val="nil"/>
          <w:right w:val="nil"/>
          <w:between w:val="nil"/>
        </w:pBdr>
        <w:spacing w:before="283" w:line="240" w:lineRule="auto"/>
        <w:ind w:left="14"/>
        <w:jc w:val="both"/>
        <w:rPr>
          <w:rFonts w:ascii="Times New Roman" w:hAnsi="Times New Roman" w:cs="Times New Roman"/>
          <w:b/>
          <w:bCs/>
          <w:color w:val="000000"/>
          <w:sz w:val="24"/>
          <w:szCs w:val="24"/>
        </w:rPr>
      </w:pPr>
    </w:p>
    <w:p w14:paraId="4C9E9311" w14:textId="77777777" w:rsidR="008C71C8" w:rsidRDefault="008C71C8" w:rsidP="00B94F3E">
      <w:pPr>
        <w:pStyle w:val="Normal1"/>
        <w:widowControl w:val="0"/>
        <w:pBdr>
          <w:top w:val="nil"/>
          <w:left w:val="nil"/>
          <w:bottom w:val="nil"/>
          <w:right w:val="nil"/>
          <w:between w:val="nil"/>
        </w:pBdr>
        <w:spacing w:before="283" w:line="240" w:lineRule="auto"/>
        <w:ind w:left="14"/>
        <w:jc w:val="both"/>
        <w:rPr>
          <w:rFonts w:ascii="Times New Roman" w:hAnsi="Times New Roman" w:cs="Times New Roman"/>
          <w:b/>
          <w:bCs/>
          <w:color w:val="000000"/>
          <w:sz w:val="24"/>
          <w:szCs w:val="24"/>
        </w:rPr>
        <w:sectPr w:rsidR="008C71C8" w:rsidSect="00B94F3E">
          <w:headerReference w:type="even" r:id="rId7"/>
          <w:headerReference w:type="default" r:id="rId8"/>
          <w:footerReference w:type="even" r:id="rId9"/>
          <w:footerReference w:type="default" r:id="rId10"/>
          <w:headerReference w:type="first" r:id="rId11"/>
          <w:footerReference w:type="first" r:id="rId12"/>
          <w:pgSz w:w="11900" w:h="16820"/>
          <w:pgMar w:top="990" w:right="1425" w:bottom="759" w:left="1436" w:header="0" w:footer="720" w:gutter="0"/>
          <w:pgNumType w:start="1"/>
          <w:cols w:space="720"/>
        </w:sectPr>
      </w:pPr>
    </w:p>
    <w:p w14:paraId="7A7CDAF3" w14:textId="77777777" w:rsidR="00435B01" w:rsidRPr="00B94F3E" w:rsidRDefault="00B94F3E" w:rsidP="00B94F3E">
      <w:pPr>
        <w:pStyle w:val="Normal1"/>
        <w:widowControl w:val="0"/>
        <w:pBdr>
          <w:top w:val="nil"/>
          <w:left w:val="nil"/>
          <w:bottom w:val="nil"/>
          <w:right w:val="nil"/>
          <w:between w:val="nil"/>
        </w:pBdr>
        <w:spacing w:before="283" w:line="240" w:lineRule="auto"/>
        <w:ind w:left="14"/>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Introduction </w:t>
      </w:r>
    </w:p>
    <w:p w14:paraId="22E88C13" w14:textId="77777777" w:rsidR="00435B01" w:rsidRPr="00B94F3E" w:rsidRDefault="00B94F3E" w:rsidP="00B94F3E">
      <w:pPr>
        <w:pStyle w:val="Normal1"/>
        <w:widowControl w:val="0"/>
        <w:pBdr>
          <w:top w:val="nil"/>
          <w:left w:val="nil"/>
          <w:bottom w:val="nil"/>
          <w:right w:val="nil"/>
          <w:between w:val="nil"/>
        </w:pBdr>
        <w:spacing w:before="220" w:line="240" w:lineRule="auto"/>
        <w:ind w:left="6" w:right="-3" w:firstLine="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Dental caries is one of the most prevalent non-communicable diseases among </w:t>
      </w:r>
      <w:r w:rsidRPr="00B94F3E">
        <w:rPr>
          <w:rFonts w:ascii="Times New Roman" w:hAnsi="Times New Roman" w:cs="Times New Roman"/>
          <w:color w:val="000000"/>
          <w:sz w:val="24"/>
          <w:szCs w:val="24"/>
        </w:rPr>
        <w:t xml:space="preserve">children worldwide, and early childhood caries (ECC), defined as the presence of one or more decayed, missing (due to caries) or filled tooth surfaces in any primary tooth of a child aged 71 months or </w:t>
      </w:r>
      <w:r w:rsidRPr="00B94F3E">
        <w:rPr>
          <w:rFonts w:ascii="Times New Roman" w:hAnsi="Times New Roman" w:cs="Times New Roman"/>
          <w:color w:val="000000"/>
          <w:sz w:val="24"/>
          <w:szCs w:val="24"/>
        </w:rPr>
        <w:lastRenderedPageBreak/>
        <w:t xml:space="preserve">younger, is a growing public health concern (National Institutes of Health, 2025). Globally, nearly half of preschool-age children are affected, and untreated disease is frequently linked to pain, infection, impaired feeding and nutrition, and poorer growth and quality of life (Uribe et al., 2021; </w:t>
      </w:r>
      <w:proofErr w:type="spellStart"/>
      <w:r w:rsidRPr="00B94F3E">
        <w:rPr>
          <w:rFonts w:ascii="Times New Roman" w:hAnsi="Times New Roman" w:cs="Times New Roman"/>
          <w:color w:val="000000"/>
          <w:sz w:val="24"/>
          <w:szCs w:val="24"/>
        </w:rPr>
        <w:t>Maklennan</w:t>
      </w:r>
      <w:proofErr w:type="spellEnd"/>
      <w:r w:rsidRPr="00B94F3E">
        <w:rPr>
          <w:rFonts w:ascii="Times New Roman" w:hAnsi="Times New Roman" w:cs="Times New Roman"/>
          <w:color w:val="000000"/>
          <w:sz w:val="24"/>
          <w:szCs w:val="24"/>
        </w:rPr>
        <w:t xml:space="preserve"> et al., 2024). Although largely preventable through early oral-health practices and education, ECC persists as a social-health problem, which points to structural barriers in the delivery of oral-health </w:t>
      </w:r>
      <w:proofErr w:type="spellStart"/>
      <w:r w:rsidRPr="00B94F3E">
        <w:rPr>
          <w:rFonts w:ascii="Times New Roman" w:hAnsi="Times New Roman" w:cs="Times New Roman"/>
          <w:color w:val="000000"/>
          <w:sz w:val="24"/>
          <w:szCs w:val="24"/>
        </w:rPr>
        <w:t>programmes</w:t>
      </w:r>
      <w:proofErr w:type="spell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Ndekero</w:t>
      </w:r>
      <w:proofErr w:type="spellEnd"/>
      <w:r w:rsidRPr="00B94F3E">
        <w:rPr>
          <w:rFonts w:ascii="Times New Roman" w:hAnsi="Times New Roman" w:cs="Times New Roman"/>
          <w:color w:val="000000"/>
          <w:sz w:val="24"/>
          <w:szCs w:val="24"/>
        </w:rPr>
        <w:t xml:space="preserve"> et al., 2021). </w:t>
      </w:r>
    </w:p>
    <w:p w14:paraId="4E5268AD" w14:textId="77777777" w:rsidR="00435B01" w:rsidRPr="00B94F3E" w:rsidRDefault="00B94F3E" w:rsidP="00B94F3E">
      <w:pPr>
        <w:pStyle w:val="Normal1"/>
        <w:widowControl w:val="0"/>
        <w:pBdr>
          <w:top w:val="nil"/>
          <w:left w:val="nil"/>
          <w:bottom w:val="nil"/>
          <w:right w:val="nil"/>
          <w:between w:val="nil"/>
        </w:pBdr>
        <w:spacing w:before="180" w:line="240" w:lineRule="auto"/>
        <w:ind w:left="5" w:right="3" w:firstLine="8"/>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In sub-Saharan Africa (SSA), the burden of ECC is substantial but unevenly documented. A systematic review of African studies reported a pooled prevalence of about 38%, with wide variation across countries and settings and with diagnostic criteria and study methods that differ considerably (Kimmie-</w:t>
      </w:r>
      <w:proofErr w:type="spellStart"/>
      <w:r w:rsidRPr="00B94F3E">
        <w:rPr>
          <w:rFonts w:ascii="Times New Roman" w:hAnsi="Times New Roman" w:cs="Times New Roman"/>
          <w:color w:val="000000"/>
          <w:sz w:val="24"/>
          <w:szCs w:val="24"/>
        </w:rPr>
        <w:t>Dhansay</w:t>
      </w:r>
      <w:proofErr w:type="spellEnd"/>
      <w:r w:rsidRPr="00B94F3E">
        <w:rPr>
          <w:rFonts w:ascii="Times New Roman" w:hAnsi="Times New Roman" w:cs="Times New Roman"/>
          <w:color w:val="000000"/>
          <w:sz w:val="24"/>
          <w:szCs w:val="24"/>
        </w:rPr>
        <w:t xml:space="preserve"> et al., 2026). Evidence from Southern Africa points to even higher estimates and to limited access to dental services as a contributing factor (Ogunlade et al., 2026). Children in densely populated, low-resource communities are of particular concern, because low parental education, cariogenic diets and limited use of dental services have been identified as risk contributors in African slum settings (</w:t>
      </w:r>
      <w:proofErr w:type="spellStart"/>
      <w:r w:rsidRPr="00B94F3E">
        <w:rPr>
          <w:rFonts w:ascii="Times New Roman" w:hAnsi="Times New Roman" w:cs="Times New Roman"/>
          <w:color w:val="000000"/>
          <w:sz w:val="24"/>
          <w:szCs w:val="24"/>
        </w:rPr>
        <w:t>Osadolor</w:t>
      </w:r>
      <w:proofErr w:type="spellEnd"/>
      <w:r w:rsidRPr="00B94F3E">
        <w:rPr>
          <w:rFonts w:ascii="Times New Roman" w:hAnsi="Times New Roman" w:cs="Times New Roman"/>
          <w:color w:val="000000"/>
          <w:sz w:val="24"/>
          <w:szCs w:val="24"/>
        </w:rPr>
        <w:t xml:space="preserve"> et al., 2025). </w:t>
      </w:r>
    </w:p>
    <w:p w14:paraId="4A86A264" w14:textId="77777777" w:rsidR="00435B01" w:rsidRPr="00B94F3E" w:rsidRDefault="00B94F3E" w:rsidP="00B94F3E">
      <w:pPr>
        <w:pStyle w:val="Normal1"/>
        <w:widowControl w:val="0"/>
        <w:pBdr>
          <w:top w:val="nil"/>
          <w:left w:val="nil"/>
          <w:bottom w:val="nil"/>
          <w:right w:val="nil"/>
          <w:between w:val="nil"/>
        </w:pBdr>
        <w:spacing w:before="180" w:line="240" w:lineRule="auto"/>
        <w:ind w:left="6" w:right="3" w:firstLine="8"/>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In Nigeria, ECC research has increased over the last decade but remains fragmented and concentrated in the south-west. A meta-analysis of Nigerian studies reported a pooled ECC prevalence of 17% among children under six years, with marked heterogeneity (Okolo et al., 2024), and a more recent review reported 22% (Orhorhoro et al., 2026). Individual community studies have reported much lower clinical estimates, for example 4.7% in a sub-rural population in Ile-Ife and 4.3% in a related mother–child dataset (Folayan et al., 2021; Alade et al., 2021). Many Nigerian studies have focused on prevalence or on single risk factors such as feeding and hygiene habits, with less attention to environmental conditions, access to dental care and the way </w:t>
      </w:r>
      <w:r w:rsidRPr="00B94F3E">
        <w:rPr>
          <w:rFonts w:ascii="Times New Roman" w:hAnsi="Times New Roman" w:cs="Times New Roman"/>
          <w:color w:val="000000"/>
          <w:sz w:val="24"/>
          <w:szCs w:val="24"/>
        </w:rPr>
        <w:t>caregivers perceive and report children’s oral problems (</w:t>
      </w:r>
      <w:proofErr w:type="spellStart"/>
      <w:r w:rsidRPr="00B94F3E">
        <w:rPr>
          <w:rFonts w:ascii="Times New Roman" w:hAnsi="Times New Roman" w:cs="Times New Roman"/>
          <w:color w:val="000000"/>
          <w:sz w:val="24"/>
          <w:szCs w:val="24"/>
        </w:rPr>
        <w:t>Ehizele</w:t>
      </w:r>
      <w:proofErr w:type="spellEnd"/>
      <w:r w:rsidRPr="00B94F3E">
        <w:rPr>
          <w:rFonts w:ascii="Times New Roman" w:hAnsi="Times New Roman" w:cs="Times New Roman"/>
          <w:color w:val="000000"/>
          <w:sz w:val="24"/>
          <w:szCs w:val="24"/>
        </w:rPr>
        <w:t xml:space="preserve"> et al., 2023). </w:t>
      </w:r>
    </w:p>
    <w:p w14:paraId="2A10C599" w14:textId="77777777" w:rsidR="00435B01" w:rsidRPr="00B94F3E" w:rsidRDefault="00B94F3E" w:rsidP="00B94F3E">
      <w:pPr>
        <w:pStyle w:val="Normal1"/>
        <w:widowControl w:val="0"/>
        <w:pBdr>
          <w:top w:val="nil"/>
          <w:left w:val="nil"/>
          <w:bottom w:val="nil"/>
          <w:right w:val="nil"/>
          <w:between w:val="nil"/>
        </w:pBdr>
        <w:spacing w:before="180" w:line="240" w:lineRule="auto"/>
        <w:ind w:left="9" w:right="8"/>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The way caries is measured matters for planning. Clinical examination remains the reference standard, but it is resource-intensive, and caregiver reports are often proposed as a cheaper proxy for identifying children in need. Evidence on the validity of such reports is mixed. In Ile Ife, maternal report of ECC had high specificity but a sensitivity of only 9.4% against clinical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examination (Folayan et al., 2020), whereas in the United States guardian ratings of poor oral health were strongly associated with clinically determined ECC and toothache (Imes et al., 2021). Whether caregivers in underserved Nigerian communities can </w:t>
      </w:r>
      <w:proofErr w:type="spellStart"/>
      <w:r w:rsidRPr="00B94F3E">
        <w:rPr>
          <w:rFonts w:ascii="Times New Roman" w:hAnsi="Times New Roman" w:cs="Times New Roman"/>
          <w:color w:val="000000"/>
          <w:sz w:val="24"/>
          <w:szCs w:val="24"/>
        </w:rPr>
        <w:t>recognise</w:t>
      </w:r>
      <w:proofErr w:type="spellEnd"/>
      <w:r w:rsidRPr="00B94F3E">
        <w:rPr>
          <w:rFonts w:ascii="Times New Roman" w:hAnsi="Times New Roman" w:cs="Times New Roman"/>
          <w:color w:val="000000"/>
          <w:sz w:val="24"/>
          <w:szCs w:val="24"/>
        </w:rPr>
        <w:t xml:space="preserve"> caries-related problems in a way that matches clinical findings is largely unknown. </w:t>
      </w:r>
    </w:p>
    <w:p w14:paraId="60794E4E" w14:textId="77777777" w:rsidR="00435B01" w:rsidRPr="00B94F3E" w:rsidRDefault="00B94F3E" w:rsidP="00B94F3E">
      <w:pPr>
        <w:pStyle w:val="Normal1"/>
        <w:widowControl w:val="0"/>
        <w:pBdr>
          <w:top w:val="nil"/>
          <w:left w:val="nil"/>
          <w:bottom w:val="nil"/>
          <w:right w:val="nil"/>
          <w:between w:val="nil"/>
        </w:pBdr>
        <w:spacing w:before="180" w:line="240" w:lineRule="auto"/>
        <w:ind w:left="9" w:right="19" w:firstLine="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In Rivers State, oral-health research among children has concentrated on school-age pupils (</w:t>
      </w:r>
      <w:proofErr w:type="spellStart"/>
      <w:r w:rsidRPr="00B94F3E">
        <w:rPr>
          <w:rFonts w:ascii="Times New Roman" w:hAnsi="Times New Roman" w:cs="Times New Roman"/>
          <w:color w:val="000000"/>
          <w:sz w:val="24"/>
          <w:szCs w:val="24"/>
        </w:rPr>
        <w:t>Arigbede</w:t>
      </w:r>
      <w:proofErr w:type="spellEnd"/>
      <w:r w:rsidRPr="00B94F3E">
        <w:rPr>
          <w:rFonts w:ascii="Times New Roman" w:hAnsi="Times New Roman" w:cs="Times New Roman"/>
          <w:color w:val="000000"/>
          <w:sz w:val="24"/>
          <w:szCs w:val="24"/>
        </w:rPr>
        <w:t xml:space="preserve"> &amp; </w:t>
      </w:r>
      <w:proofErr w:type="spellStart"/>
      <w:r w:rsidRPr="00B94F3E">
        <w:rPr>
          <w:rFonts w:ascii="Times New Roman" w:hAnsi="Times New Roman" w:cs="Times New Roman"/>
          <w:color w:val="000000"/>
          <w:sz w:val="24"/>
          <w:szCs w:val="24"/>
        </w:rPr>
        <w:t>Iruobe</w:t>
      </w:r>
      <w:proofErr w:type="spellEnd"/>
      <w:r w:rsidRPr="00B94F3E">
        <w:rPr>
          <w:rFonts w:ascii="Times New Roman" w:hAnsi="Times New Roman" w:cs="Times New Roman"/>
          <w:color w:val="000000"/>
          <w:sz w:val="24"/>
          <w:szCs w:val="24"/>
        </w:rPr>
        <w:t xml:space="preserve">, 2023; </w:t>
      </w:r>
      <w:proofErr w:type="spellStart"/>
      <w:r w:rsidRPr="00B94F3E">
        <w:rPr>
          <w:rFonts w:ascii="Times New Roman" w:hAnsi="Times New Roman" w:cs="Times New Roman"/>
          <w:color w:val="000000"/>
          <w:sz w:val="24"/>
          <w:szCs w:val="24"/>
        </w:rPr>
        <w:t>Eigbobo</w:t>
      </w:r>
      <w:proofErr w:type="spellEnd"/>
      <w:r w:rsidRPr="00B94F3E">
        <w:rPr>
          <w:rFonts w:ascii="Times New Roman" w:hAnsi="Times New Roman" w:cs="Times New Roman"/>
          <w:color w:val="000000"/>
          <w:sz w:val="24"/>
          <w:szCs w:val="24"/>
        </w:rPr>
        <w:t xml:space="preserve">, 2015), and no community-based study of ECC among preschool children in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Local Government Area (LGA) has been documented. Okrika’s densely populated communities combine limited sanitation, a lack of </w:t>
      </w:r>
      <w:proofErr w:type="spellStart"/>
      <w:r w:rsidRPr="00B94F3E">
        <w:rPr>
          <w:rFonts w:ascii="Times New Roman" w:hAnsi="Times New Roman" w:cs="Times New Roman"/>
          <w:color w:val="000000"/>
          <w:sz w:val="24"/>
          <w:szCs w:val="24"/>
        </w:rPr>
        <w:t>specialised</w:t>
      </w:r>
      <w:proofErr w:type="spellEnd"/>
      <w:r w:rsidRPr="00B94F3E">
        <w:rPr>
          <w:rFonts w:ascii="Times New Roman" w:hAnsi="Times New Roman" w:cs="Times New Roman"/>
          <w:color w:val="000000"/>
          <w:sz w:val="24"/>
          <w:szCs w:val="24"/>
        </w:rPr>
        <w:t xml:space="preserve"> dental facilities and cultural feeding practices that may raise caries risk. The study was guided by the social ecological model (Golden &amp; Earp, 2016) and the WHO framework on the social determinants of health (World Health Organization, 2016), which view children’s oral health as shaped by caregiver, household, community and health-system factors. This study therefore assessed the determinants of caregiver-reported dental caries among preschool children in selected communities in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LGA, Rivers State, Nigeria, and compared caregiver-reported with clinically assessed caries. </w:t>
      </w:r>
    </w:p>
    <w:p w14:paraId="28BDEA5E" w14:textId="77777777" w:rsidR="00435B01" w:rsidRPr="00B94F3E" w:rsidRDefault="00B94F3E" w:rsidP="00B94F3E">
      <w:pPr>
        <w:pStyle w:val="Normal1"/>
        <w:widowControl w:val="0"/>
        <w:pBdr>
          <w:top w:val="nil"/>
          <w:left w:val="nil"/>
          <w:bottom w:val="nil"/>
          <w:right w:val="nil"/>
          <w:between w:val="nil"/>
        </w:pBdr>
        <w:spacing w:before="180" w:line="240" w:lineRule="auto"/>
        <w:ind w:left="9" w:right="9" w:firstLine="1"/>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The specific objectives were to: (</w:t>
      </w:r>
      <w:proofErr w:type="spellStart"/>
      <w:r w:rsidRPr="00B94F3E">
        <w:rPr>
          <w:rFonts w:ascii="Times New Roman" w:hAnsi="Times New Roman" w:cs="Times New Roman"/>
          <w:color w:val="000000"/>
          <w:sz w:val="24"/>
          <w:szCs w:val="24"/>
        </w:rPr>
        <w:t>i</w:t>
      </w:r>
      <w:proofErr w:type="spellEnd"/>
      <w:r w:rsidRPr="00B94F3E">
        <w:rPr>
          <w:rFonts w:ascii="Times New Roman" w:hAnsi="Times New Roman" w:cs="Times New Roman"/>
          <w:color w:val="000000"/>
          <w:sz w:val="24"/>
          <w:szCs w:val="24"/>
        </w:rPr>
        <w:t xml:space="preserve">) determine the prevalence of clinically assessed dental caries using the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index; (ii) assess caregiver-reported dental caries indicators; (iii) assess caregivers’ </w:t>
      </w:r>
      <w:r w:rsidRPr="00B94F3E">
        <w:rPr>
          <w:rFonts w:ascii="Times New Roman" w:hAnsi="Times New Roman" w:cs="Times New Roman"/>
          <w:color w:val="000000"/>
          <w:sz w:val="24"/>
          <w:szCs w:val="24"/>
        </w:rPr>
        <w:lastRenderedPageBreak/>
        <w:t xml:space="preserve">knowledge of dental caries and oral-health practices; and (iv) examine the sociodemographic, </w:t>
      </w:r>
      <w:proofErr w:type="spellStart"/>
      <w:r w:rsidRPr="00B94F3E">
        <w:rPr>
          <w:rFonts w:ascii="Times New Roman" w:hAnsi="Times New Roman" w:cs="Times New Roman"/>
          <w:color w:val="000000"/>
          <w:sz w:val="24"/>
          <w:szCs w:val="24"/>
        </w:rPr>
        <w:t>behavioural</w:t>
      </w:r>
      <w:proofErr w:type="spellEnd"/>
      <w:r w:rsidRPr="00B94F3E">
        <w:rPr>
          <w:rFonts w:ascii="Times New Roman" w:hAnsi="Times New Roman" w:cs="Times New Roman"/>
          <w:color w:val="000000"/>
          <w:sz w:val="24"/>
          <w:szCs w:val="24"/>
        </w:rPr>
        <w:t xml:space="preserve">, environmental and health-service factors associated with caregiver-reported and clinically assessed caries, and the agreement between the two measures. </w:t>
      </w:r>
    </w:p>
    <w:p w14:paraId="18D4DE6F" w14:textId="77777777" w:rsidR="00435B01" w:rsidRPr="00B94F3E" w:rsidRDefault="00B94F3E" w:rsidP="00B94F3E">
      <w:pPr>
        <w:pStyle w:val="Normal1"/>
        <w:widowControl w:val="0"/>
        <w:pBdr>
          <w:top w:val="nil"/>
          <w:left w:val="nil"/>
          <w:bottom w:val="nil"/>
          <w:right w:val="nil"/>
          <w:between w:val="nil"/>
        </w:pBdr>
        <w:spacing w:before="235"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Materials and Methods </w:t>
      </w:r>
    </w:p>
    <w:p w14:paraId="39660A56" w14:textId="77777777" w:rsidR="00435B01" w:rsidRPr="00B94F3E" w:rsidRDefault="00B94F3E" w:rsidP="00B94F3E">
      <w:pPr>
        <w:pStyle w:val="Normal1"/>
        <w:widowControl w:val="0"/>
        <w:pBdr>
          <w:top w:val="nil"/>
          <w:left w:val="nil"/>
          <w:bottom w:val="nil"/>
          <w:right w:val="nil"/>
          <w:between w:val="nil"/>
        </w:pBdr>
        <w:spacing w:before="196" w:line="240" w:lineRule="auto"/>
        <w:ind w:left="18"/>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Study Area </w:t>
      </w:r>
    </w:p>
    <w:p w14:paraId="1AA7600F" w14:textId="77777777" w:rsidR="00435B01" w:rsidRPr="00B94F3E" w:rsidRDefault="00B94F3E" w:rsidP="00B94F3E">
      <w:pPr>
        <w:pStyle w:val="Normal1"/>
        <w:widowControl w:val="0"/>
        <w:pBdr>
          <w:top w:val="nil"/>
          <w:left w:val="nil"/>
          <w:bottom w:val="nil"/>
          <w:right w:val="nil"/>
          <w:between w:val="nil"/>
        </w:pBdr>
        <w:spacing w:before="179" w:line="240" w:lineRule="auto"/>
        <w:ind w:left="9" w:right="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The study was conducted in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LGA, a coastal LGA in Rivers State, Nigeria, located south of Port Harcourt and surrounded by the Bonny River and the creeks of the Atlantic Ocean. The area is mainly riverine, with some communities reachable only by waterways and others connected to Port Harcourt by road.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had a population of 222,026 at the 2006 national census (National Population Commission [NPC], 2006); more recent official figures are not available, although substantial growth is expected. The LGA comprises upland and riverine communities with high population density and informal housing, and its inhabitants are predominantly Ijaw, engaged mainly in fishing, petty trade and artisan work. </w:t>
      </w:r>
    </w:p>
    <w:p w14:paraId="221CD89F" w14:textId="77777777" w:rsidR="00435B01" w:rsidRPr="00B94F3E" w:rsidRDefault="00B94F3E" w:rsidP="00B94F3E">
      <w:pPr>
        <w:pStyle w:val="Normal1"/>
        <w:widowControl w:val="0"/>
        <w:pBdr>
          <w:top w:val="nil"/>
          <w:left w:val="nil"/>
          <w:bottom w:val="nil"/>
          <w:right w:val="nil"/>
          <w:between w:val="nil"/>
        </w:pBdr>
        <w:spacing w:before="180" w:line="240" w:lineRule="auto"/>
        <w:ind w:left="10" w:right="-2" w:firstLine="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Five communities, Ibaka, </w:t>
      </w:r>
      <w:proofErr w:type="spellStart"/>
      <w:r w:rsidRPr="00B94F3E">
        <w:rPr>
          <w:rFonts w:ascii="Times New Roman" w:hAnsi="Times New Roman" w:cs="Times New Roman"/>
          <w:color w:val="000000"/>
          <w:sz w:val="24"/>
          <w:szCs w:val="24"/>
        </w:rPr>
        <w:t>Ogbogbo</w:t>
      </w:r>
      <w:proofErr w:type="spell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Ogoloma</w:t>
      </w:r>
      <w:proofErr w:type="spellEnd"/>
      <w:r w:rsidRPr="00B94F3E">
        <w:rPr>
          <w:rFonts w:ascii="Times New Roman" w:hAnsi="Times New Roman" w:cs="Times New Roman"/>
          <w:color w:val="000000"/>
          <w:sz w:val="24"/>
          <w:szCs w:val="24"/>
        </w:rPr>
        <w:t xml:space="preserve">, Kalio and </w:t>
      </w:r>
      <w:proofErr w:type="spellStart"/>
      <w:r w:rsidRPr="00B94F3E">
        <w:rPr>
          <w:rFonts w:ascii="Times New Roman" w:hAnsi="Times New Roman" w:cs="Times New Roman"/>
          <w:color w:val="000000"/>
          <w:sz w:val="24"/>
          <w:szCs w:val="24"/>
        </w:rPr>
        <w:t>Okochiri</w:t>
      </w:r>
      <w:proofErr w:type="spellEnd"/>
      <w:r w:rsidRPr="00B94F3E">
        <w:rPr>
          <w:rFonts w:ascii="Times New Roman" w:hAnsi="Times New Roman" w:cs="Times New Roman"/>
          <w:color w:val="000000"/>
          <w:sz w:val="24"/>
          <w:szCs w:val="24"/>
        </w:rPr>
        <w:t xml:space="preserve">, were studied. They are among the most compact and densely populated in the LGA and show informal housing, inadequate waste management and limited access to health facilities.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has primary health </w:t>
      </w:r>
      <w:proofErr w:type="spellStart"/>
      <w:r w:rsidRPr="00B94F3E">
        <w:rPr>
          <w:rFonts w:ascii="Times New Roman" w:hAnsi="Times New Roman" w:cs="Times New Roman"/>
          <w:color w:val="000000"/>
          <w:sz w:val="24"/>
          <w:szCs w:val="24"/>
        </w:rPr>
        <w:t>centres</w:t>
      </w:r>
      <w:proofErr w:type="spellEnd"/>
      <w:r w:rsidRPr="00B94F3E">
        <w:rPr>
          <w:rFonts w:ascii="Times New Roman" w:hAnsi="Times New Roman" w:cs="Times New Roman"/>
          <w:color w:val="000000"/>
          <w:sz w:val="24"/>
          <w:szCs w:val="24"/>
        </w:rPr>
        <w:t xml:space="preserve"> and private clinics but no </w:t>
      </w:r>
      <w:proofErr w:type="spellStart"/>
      <w:r w:rsidRPr="00B94F3E">
        <w:rPr>
          <w:rFonts w:ascii="Times New Roman" w:hAnsi="Times New Roman" w:cs="Times New Roman"/>
          <w:color w:val="000000"/>
          <w:sz w:val="24"/>
          <w:szCs w:val="24"/>
        </w:rPr>
        <w:t>specialised</w:t>
      </w:r>
      <w:proofErr w:type="spellEnd"/>
      <w:r w:rsidRPr="00B94F3E">
        <w:rPr>
          <w:rFonts w:ascii="Times New Roman" w:hAnsi="Times New Roman" w:cs="Times New Roman"/>
          <w:color w:val="000000"/>
          <w:sz w:val="24"/>
          <w:szCs w:val="24"/>
        </w:rPr>
        <w:t xml:space="preserve"> dental facility, so residents travel to Port Harcourt for dental care, and no community oral-health promotion </w:t>
      </w:r>
      <w:proofErr w:type="spellStart"/>
      <w:r w:rsidRPr="00B94F3E">
        <w:rPr>
          <w:rFonts w:ascii="Times New Roman" w:hAnsi="Times New Roman" w:cs="Times New Roman"/>
          <w:color w:val="000000"/>
          <w:sz w:val="24"/>
          <w:szCs w:val="24"/>
        </w:rPr>
        <w:t>programme</w:t>
      </w:r>
      <w:proofErr w:type="spellEnd"/>
      <w:r w:rsidRPr="00B94F3E">
        <w:rPr>
          <w:rFonts w:ascii="Times New Roman" w:hAnsi="Times New Roman" w:cs="Times New Roman"/>
          <w:color w:val="000000"/>
          <w:sz w:val="24"/>
          <w:szCs w:val="24"/>
        </w:rPr>
        <w:t xml:space="preserve"> was found in the selected communities. Prolonged breastfeeding, carbohydrate-rich complementary feeding, early introduction of sweetened drinks and the belief that primary teeth are not worth caring for are reported in comparable Niger Delta communities (Folayan et al., 2021; Hlongwane et al., 2019). </w:t>
      </w:r>
    </w:p>
    <w:p w14:paraId="47AF15F1" w14:textId="77777777" w:rsidR="00B94F3E" w:rsidRPr="00B94F3E" w:rsidRDefault="00B94F3E" w:rsidP="00B94F3E">
      <w:pPr>
        <w:pStyle w:val="Normal1"/>
        <w:widowControl w:val="0"/>
        <w:pBdr>
          <w:top w:val="nil"/>
          <w:left w:val="nil"/>
          <w:bottom w:val="nil"/>
          <w:right w:val="nil"/>
          <w:between w:val="nil"/>
        </w:pBdr>
        <w:spacing w:before="180" w:line="240" w:lineRule="auto"/>
        <w:ind w:left="5" w:firstLine="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Figure 1: </w:t>
      </w:r>
      <w:proofErr w:type="spellStart"/>
      <w:r w:rsidRPr="00B94F3E">
        <w:rPr>
          <w:rFonts w:ascii="Times New Roman" w:hAnsi="Times New Roman" w:cs="Times New Roman"/>
          <w:color w:val="000000"/>
          <w:sz w:val="24"/>
          <w:szCs w:val="24"/>
        </w:rPr>
        <w:t>Googel</w:t>
      </w:r>
      <w:proofErr w:type="spellEnd"/>
      <w:r w:rsidRPr="00B94F3E">
        <w:rPr>
          <w:rFonts w:ascii="Times New Roman" w:hAnsi="Times New Roman" w:cs="Times New Roman"/>
          <w:color w:val="000000"/>
          <w:sz w:val="24"/>
          <w:szCs w:val="24"/>
        </w:rPr>
        <w:t xml:space="preserve"> map of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w:t>
      </w:r>
      <w:proofErr w:type="gramStart"/>
      <w:r w:rsidRPr="00B94F3E">
        <w:rPr>
          <w:rFonts w:ascii="Times New Roman" w:hAnsi="Times New Roman" w:cs="Times New Roman"/>
          <w:color w:val="000000"/>
          <w:sz w:val="24"/>
          <w:szCs w:val="24"/>
        </w:rPr>
        <w:t>LGA  the</w:t>
      </w:r>
      <w:proofErr w:type="gramEnd"/>
      <w:r w:rsidRPr="00B94F3E">
        <w:rPr>
          <w:rFonts w:ascii="Times New Roman" w:hAnsi="Times New Roman" w:cs="Times New Roman"/>
          <w:color w:val="000000"/>
          <w:sz w:val="24"/>
          <w:szCs w:val="24"/>
        </w:rPr>
        <w:t xml:space="preserve"> five study communities (Ibaka Ogbogbo, </w:t>
      </w:r>
      <w:proofErr w:type="spellStart"/>
      <w:r w:rsidRPr="00B94F3E">
        <w:rPr>
          <w:rFonts w:ascii="Times New Roman" w:hAnsi="Times New Roman" w:cs="Times New Roman"/>
          <w:color w:val="000000"/>
          <w:sz w:val="24"/>
          <w:szCs w:val="24"/>
        </w:rPr>
        <w:t>Ogoloma</w:t>
      </w:r>
      <w:proofErr w:type="spellEnd"/>
      <w:r w:rsidRPr="00B94F3E">
        <w:rPr>
          <w:rFonts w:ascii="Times New Roman" w:hAnsi="Times New Roman" w:cs="Times New Roman"/>
          <w:color w:val="000000"/>
          <w:sz w:val="24"/>
          <w:szCs w:val="24"/>
        </w:rPr>
        <w:t xml:space="preserve">, Kalio, </w:t>
      </w:r>
      <w:proofErr w:type="spellStart"/>
      <w:r w:rsidRPr="00B94F3E">
        <w:rPr>
          <w:rFonts w:ascii="Times New Roman" w:hAnsi="Times New Roman" w:cs="Times New Roman"/>
          <w:color w:val="000000"/>
          <w:sz w:val="24"/>
          <w:szCs w:val="24"/>
        </w:rPr>
        <w:t>Okochiri</w:t>
      </w:r>
      <w:proofErr w:type="spellEnd"/>
      <w:r w:rsidRPr="00B94F3E">
        <w:rPr>
          <w:rFonts w:ascii="Times New Roman" w:hAnsi="Times New Roman" w:cs="Times New Roman"/>
          <w:color w:val="000000"/>
          <w:sz w:val="24"/>
          <w:szCs w:val="24"/>
        </w:rPr>
        <w:t>)</w:t>
      </w:r>
    </w:p>
    <w:p w14:paraId="22E991A6" w14:textId="77777777" w:rsidR="00B94F3E" w:rsidRPr="00B94F3E" w:rsidRDefault="00B94F3E" w:rsidP="00B94F3E">
      <w:pPr>
        <w:pStyle w:val="Normal1"/>
        <w:widowControl w:val="0"/>
        <w:pBdr>
          <w:top w:val="nil"/>
          <w:left w:val="nil"/>
          <w:bottom w:val="nil"/>
          <w:right w:val="nil"/>
          <w:between w:val="nil"/>
        </w:pBdr>
        <w:spacing w:line="240" w:lineRule="auto"/>
        <w:ind w:left="18"/>
        <w:jc w:val="both"/>
        <w:rPr>
          <w:rFonts w:ascii="Times New Roman" w:hAnsi="Times New Roman" w:cs="Times New Roman"/>
          <w:b/>
          <w:bCs/>
          <w:color w:val="000000"/>
          <w:sz w:val="24"/>
          <w:szCs w:val="24"/>
        </w:rPr>
      </w:pPr>
    </w:p>
    <w:p w14:paraId="758551A3" w14:textId="77777777" w:rsidR="00B94F3E" w:rsidRPr="00B94F3E" w:rsidRDefault="00B94F3E" w:rsidP="00B94F3E">
      <w:pPr>
        <w:pStyle w:val="Normal1"/>
        <w:widowControl w:val="0"/>
        <w:pBdr>
          <w:top w:val="nil"/>
          <w:left w:val="nil"/>
          <w:bottom w:val="nil"/>
          <w:right w:val="nil"/>
          <w:between w:val="nil"/>
        </w:pBdr>
        <w:spacing w:line="240" w:lineRule="auto"/>
        <w:ind w:left="18"/>
        <w:jc w:val="both"/>
        <w:rPr>
          <w:rFonts w:ascii="Times New Roman" w:hAnsi="Times New Roman" w:cs="Times New Roman"/>
          <w:b/>
          <w:bCs/>
          <w:color w:val="000000"/>
          <w:sz w:val="24"/>
          <w:szCs w:val="24"/>
        </w:rPr>
      </w:pPr>
      <w:r w:rsidRPr="00B94F3E">
        <w:rPr>
          <w:rFonts w:ascii="Times New Roman" w:hAnsi="Times New Roman" w:cs="Times New Roman"/>
          <w:b/>
          <w:bCs/>
          <w:noProof/>
          <w:color w:val="000000"/>
          <w:sz w:val="24"/>
          <w:szCs w:val="24"/>
        </w:rPr>
        <w:drawing>
          <wp:inline distT="0" distB="0" distL="0" distR="0" wp14:anchorId="3D9DAC3D" wp14:editId="64E57E6B">
            <wp:extent cx="3051175" cy="24828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051175" cy="2482850"/>
                    </a:xfrm>
                    <a:prstGeom prst="rect">
                      <a:avLst/>
                    </a:prstGeom>
                    <a:noFill/>
                    <a:ln w="9525">
                      <a:noFill/>
                      <a:miter lim="800000"/>
                      <a:headEnd/>
                      <a:tailEnd/>
                    </a:ln>
                  </pic:spPr>
                </pic:pic>
              </a:graphicData>
            </a:graphic>
          </wp:inline>
        </w:drawing>
      </w:r>
    </w:p>
    <w:p w14:paraId="1699CD3C" w14:textId="77777777" w:rsidR="00B94F3E" w:rsidRPr="00B94F3E" w:rsidRDefault="00B94F3E" w:rsidP="00B94F3E">
      <w:pPr>
        <w:pStyle w:val="Normal1"/>
        <w:widowControl w:val="0"/>
        <w:pBdr>
          <w:top w:val="nil"/>
          <w:left w:val="nil"/>
          <w:bottom w:val="nil"/>
          <w:right w:val="nil"/>
          <w:between w:val="nil"/>
        </w:pBdr>
        <w:spacing w:line="240" w:lineRule="auto"/>
        <w:ind w:left="18"/>
        <w:jc w:val="both"/>
        <w:rPr>
          <w:rFonts w:ascii="Times New Roman" w:hAnsi="Times New Roman" w:cs="Times New Roman"/>
          <w:b/>
          <w:bCs/>
          <w:color w:val="000000"/>
          <w:sz w:val="24"/>
          <w:szCs w:val="24"/>
        </w:rPr>
      </w:pPr>
    </w:p>
    <w:p w14:paraId="25632362" w14:textId="77777777" w:rsidR="00B94F3E" w:rsidRPr="00B94F3E" w:rsidRDefault="00B94F3E" w:rsidP="00B94F3E">
      <w:pPr>
        <w:pStyle w:val="Normal1"/>
        <w:widowControl w:val="0"/>
        <w:pBdr>
          <w:top w:val="nil"/>
          <w:left w:val="nil"/>
          <w:bottom w:val="nil"/>
          <w:right w:val="nil"/>
          <w:between w:val="nil"/>
        </w:pBdr>
        <w:spacing w:line="240" w:lineRule="auto"/>
        <w:ind w:left="18"/>
        <w:jc w:val="both"/>
        <w:rPr>
          <w:rFonts w:ascii="Times New Roman" w:hAnsi="Times New Roman" w:cs="Times New Roman"/>
          <w:b/>
          <w:bCs/>
          <w:color w:val="000000"/>
          <w:sz w:val="24"/>
          <w:szCs w:val="24"/>
        </w:rPr>
      </w:pPr>
    </w:p>
    <w:p w14:paraId="67511CFF" w14:textId="77777777" w:rsidR="00435B01" w:rsidRPr="00B94F3E" w:rsidRDefault="00B94F3E" w:rsidP="00B94F3E">
      <w:pPr>
        <w:pStyle w:val="Normal1"/>
        <w:widowControl w:val="0"/>
        <w:pBdr>
          <w:top w:val="nil"/>
          <w:left w:val="nil"/>
          <w:bottom w:val="nil"/>
          <w:right w:val="nil"/>
          <w:between w:val="nil"/>
        </w:pBdr>
        <w:spacing w:line="240" w:lineRule="auto"/>
        <w:ind w:left="18"/>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Study Design </w:t>
      </w:r>
    </w:p>
    <w:p w14:paraId="2DD25DE5" w14:textId="77777777" w:rsidR="00435B01" w:rsidRPr="00B94F3E" w:rsidRDefault="00B94F3E" w:rsidP="00B94F3E">
      <w:pPr>
        <w:pStyle w:val="Normal1"/>
        <w:widowControl w:val="0"/>
        <w:pBdr>
          <w:top w:val="nil"/>
          <w:left w:val="nil"/>
          <w:bottom w:val="nil"/>
          <w:right w:val="nil"/>
          <w:between w:val="nil"/>
        </w:pBdr>
        <w:spacing w:before="179" w:line="240" w:lineRule="auto"/>
        <w:ind w:left="8" w:right="20" w:hanging="1"/>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A community-based analytical cross-sectional survey was used. This design allows the prevalence of an outcome and its associated factors to be described in a defined population at one point in time (Setia, 2016), and it permitted caregiver-reported indicators to be compared directly with clinical findings for the same children. </w:t>
      </w:r>
    </w:p>
    <w:p w14:paraId="7A68EC4F" w14:textId="77777777" w:rsidR="00435B01" w:rsidRPr="00B94F3E" w:rsidRDefault="00B94F3E" w:rsidP="00B94F3E">
      <w:pPr>
        <w:pStyle w:val="Normal1"/>
        <w:widowControl w:val="0"/>
        <w:pBdr>
          <w:top w:val="nil"/>
          <w:left w:val="nil"/>
          <w:bottom w:val="nil"/>
          <w:right w:val="nil"/>
          <w:between w:val="nil"/>
        </w:pBdr>
        <w:spacing w:before="156" w:line="240" w:lineRule="auto"/>
        <w:ind w:left="18"/>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Study Population </w:t>
      </w:r>
    </w:p>
    <w:p w14:paraId="263E95E7" w14:textId="77777777" w:rsidR="00435B01" w:rsidRPr="00B94F3E" w:rsidRDefault="00B94F3E" w:rsidP="00B94F3E">
      <w:pPr>
        <w:pStyle w:val="Normal1"/>
        <w:widowControl w:val="0"/>
        <w:pBdr>
          <w:top w:val="nil"/>
          <w:left w:val="nil"/>
          <w:bottom w:val="nil"/>
          <w:right w:val="nil"/>
          <w:between w:val="nil"/>
        </w:pBdr>
        <w:spacing w:before="179" w:line="240" w:lineRule="auto"/>
        <w:ind w:left="14" w:right="9" w:hanging="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The study population was preschool children aged 3 to 5 years resident in the selected communities of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LGA, together with their primary caregivers. This age group is highly susceptible to ECC because of limited toothbrushing dexterity, frequent sugar intake and dependence on caregivers for hygiene (Pitts et al., 2017; </w:t>
      </w:r>
      <w:proofErr w:type="spellStart"/>
      <w:r w:rsidRPr="00B94F3E">
        <w:rPr>
          <w:rFonts w:ascii="Times New Roman" w:hAnsi="Times New Roman" w:cs="Times New Roman"/>
          <w:color w:val="000000"/>
          <w:sz w:val="24"/>
          <w:szCs w:val="24"/>
        </w:rPr>
        <w:t>Tinanoff</w:t>
      </w:r>
      <w:proofErr w:type="spellEnd"/>
      <w:r w:rsidRPr="00B94F3E">
        <w:rPr>
          <w:rFonts w:ascii="Times New Roman" w:hAnsi="Times New Roman" w:cs="Times New Roman"/>
          <w:color w:val="000000"/>
          <w:sz w:val="24"/>
          <w:szCs w:val="24"/>
        </w:rPr>
        <w:t xml:space="preserve"> et al., 2019). Because young children cannot reliably report on their own health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the primary caregiver, defined as the person directly responsible for the child’s feeding, hygiene and healthcare decisions, supplied the questionnaire information. </w:t>
      </w:r>
    </w:p>
    <w:p w14:paraId="4A09747E" w14:textId="77777777" w:rsidR="00435B01" w:rsidRPr="00B94F3E" w:rsidRDefault="00B94F3E" w:rsidP="00B94F3E">
      <w:pPr>
        <w:pStyle w:val="Normal1"/>
        <w:widowControl w:val="0"/>
        <w:pBdr>
          <w:top w:val="nil"/>
          <w:left w:val="nil"/>
          <w:bottom w:val="nil"/>
          <w:right w:val="nil"/>
          <w:between w:val="nil"/>
        </w:pBdr>
        <w:spacing w:before="156" w:line="240" w:lineRule="auto"/>
        <w:ind w:left="18"/>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Sampling Techniques </w:t>
      </w:r>
    </w:p>
    <w:p w14:paraId="67C6DABD" w14:textId="77777777" w:rsidR="00435B01" w:rsidRPr="00B94F3E" w:rsidRDefault="00B94F3E" w:rsidP="00B94F3E">
      <w:pPr>
        <w:pStyle w:val="Normal1"/>
        <w:widowControl w:val="0"/>
        <w:pBdr>
          <w:top w:val="nil"/>
          <w:left w:val="nil"/>
          <w:bottom w:val="nil"/>
          <w:right w:val="nil"/>
          <w:between w:val="nil"/>
        </w:pBdr>
        <w:spacing w:before="179" w:line="240" w:lineRule="auto"/>
        <w:ind w:left="6" w:right="1" w:firstLine="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A multistage sampling technique was used. In the first stage, five of the 12 wards of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LGA were selected by simple random sampling (ballot), based on population density, accessibility and the presence of densely populated settlements with limited health-care access. In the </w:t>
      </w:r>
      <w:r w:rsidRPr="00B94F3E">
        <w:rPr>
          <w:rFonts w:ascii="Times New Roman" w:hAnsi="Times New Roman" w:cs="Times New Roman"/>
          <w:color w:val="000000"/>
          <w:sz w:val="24"/>
          <w:szCs w:val="24"/>
        </w:rPr>
        <w:lastRenderedPageBreak/>
        <w:t xml:space="preserve">second stage, one community was randomly selected in each ward, giving Ibaka, </w:t>
      </w:r>
      <w:proofErr w:type="spellStart"/>
      <w:r w:rsidRPr="00B94F3E">
        <w:rPr>
          <w:rFonts w:ascii="Times New Roman" w:hAnsi="Times New Roman" w:cs="Times New Roman"/>
          <w:color w:val="000000"/>
          <w:sz w:val="24"/>
          <w:szCs w:val="24"/>
        </w:rPr>
        <w:t>Ogbogbo</w:t>
      </w:r>
      <w:proofErr w:type="spell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Ogoloma</w:t>
      </w:r>
      <w:proofErr w:type="spellEnd"/>
      <w:r w:rsidRPr="00B94F3E">
        <w:rPr>
          <w:rFonts w:ascii="Times New Roman" w:hAnsi="Times New Roman" w:cs="Times New Roman"/>
          <w:color w:val="000000"/>
          <w:sz w:val="24"/>
          <w:szCs w:val="24"/>
        </w:rPr>
        <w:t xml:space="preserve">, Kalio and </w:t>
      </w:r>
      <w:proofErr w:type="spellStart"/>
      <w:r w:rsidRPr="00B94F3E">
        <w:rPr>
          <w:rFonts w:ascii="Times New Roman" w:hAnsi="Times New Roman" w:cs="Times New Roman"/>
          <w:color w:val="000000"/>
          <w:sz w:val="24"/>
          <w:szCs w:val="24"/>
        </w:rPr>
        <w:t>Okochiri</w:t>
      </w:r>
      <w:proofErr w:type="spellEnd"/>
      <w:r w:rsidRPr="00B94F3E">
        <w:rPr>
          <w:rFonts w:ascii="Times New Roman" w:hAnsi="Times New Roman" w:cs="Times New Roman"/>
          <w:color w:val="000000"/>
          <w:sz w:val="24"/>
          <w:szCs w:val="24"/>
        </w:rPr>
        <w:t xml:space="preserve">. In the third stage, households were selected by systematic random sampling. The required sample was shared equally among the five communities (389/5, approximately 78 households per community), and the sampling interval was computed for each community as K = N/n, where N is the estimated number of households (obtained from community leaders, health workers and local records) and n is the allocated sample size. A random starting household between 1 and K was chosen by ballot, and every Kth household was visited thereafter until the allocation was reached. Non-residential buildings were excluded. In the fourth stage, one eligible child and the primary caregiver were selected from each household, and where more than one child was eligible, one was chosen at random. When a household was ineligible or consent was declined, the next household in the sequence was used. </w:t>
      </w:r>
    </w:p>
    <w:p w14:paraId="52C2841D" w14:textId="77777777" w:rsidR="00435B01" w:rsidRPr="00B94F3E" w:rsidRDefault="00B94F3E" w:rsidP="00B94F3E">
      <w:pPr>
        <w:pStyle w:val="Normal1"/>
        <w:widowControl w:val="0"/>
        <w:pBdr>
          <w:top w:val="nil"/>
          <w:left w:val="nil"/>
          <w:bottom w:val="nil"/>
          <w:right w:val="nil"/>
          <w:between w:val="nil"/>
        </w:pBdr>
        <w:spacing w:before="156" w:line="240" w:lineRule="auto"/>
        <w:ind w:left="18"/>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Sample Size Determination </w:t>
      </w:r>
    </w:p>
    <w:p w14:paraId="0B532541" w14:textId="77777777" w:rsidR="00435B01" w:rsidRPr="00B94F3E" w:rsidRDefault="00B94F3E" w:rsidP="00B94F3E">
      <w:pPr>
        <w:pStyle w:val="Normal1"/>
        <w:widowControl w:val="0"/>
        <w:pBdr>
          <w:top w:val="nil"/>
          <w:left w:val="nil"/>
          <w:bottom w:val="nil"/>
          <w:right w:val="nil"/>
          <w:between w:val="nil"/>
        </w:pBdr>
        <w:spacing w:before="179" w:line="240" w:lineRule="auto"/>
        <w:ind w:left="5" w:right="20" w:firstLine="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The minimum sample size was calculated with Cochran’s formula for a categorical outcome, because the number of preschool children in the study communities is not precisely known (Cochran, 1977): </w:t>
      </w:r>
    </w:p>
    <w:p w14:paraId="0FC8E47D" w14:textId="77777777" w:rsidR="00435B01" w:rsidRPr="00B94F3E" w:rsidRDefault="00B94F3E" w:rsidP="00B94F3E">
      <w:pPr>
        <w:pStyle w:val="Normal1"/>
        <w:widowControl w:val="0"/>
        <w:pBdr>
          <w:top w:val="nil"/>
          <w:left w:val="nil"/>
          <w:bottom w:val="nil"/>
          <w:right w:val="nil"/>
          <w:between w:val="nil"/>
        </w:pBdr>
        <w:spacing w:before="82" w:line="240" w:lineRule="auto"/>
        <w:jc w:val="both"/>
        <w:rPr>
          <w:rFonts w:ascii="Times New Roman" w:hAnsi="Times New Roman" w:cs="Times New Roman"/>
          <w:color w:val="000000"/>
          <w:sz w:val="24"/>
          <w:szCs w:val="24"/>
        </w:rPr>
      </w:pPr>
      <w:r w:rsidRPr="00B94F3E">
        <w:rPr>
          <w:rFonts w:ascii="Times New Roman" w:hAnsi="Times New Roman" w:cs="Times New Roman"/>
          <w:b/>
          <w:bCs/>
          <w:color w:val="000000"/>
          <w:sz w:val="24"/>
          <w:szCs w:val="24"/>
        </w:rPr>
        <w:t>n</w:t>
      </w:r>
      <w:r w:rsidRPr="00B94F3E">
        <w:rPr>
          <w:rFonts w:ascii="Times New Roman" w:hAnsi="Times New Roman" w:cs="Times New Roman"/>
          <w:color w:val="000000"/>
          <w:sz w:val="24"/>
          <w:szCs w:val="24"/>
          <w:vertAlign w:val="superscript"/>
        </w:rPr>
        <w:t>0</w:t>
      </w:r>
      <w:r w:rsidRPr="00B94F3E">
        <w:rPr>
          <w:rFonts w:ascii="Times New Roman" w:hAnsi="Times New Roman" w:cs="Times New Roman"/>
          <w:color w:val="000000"/>
          <w:sz w:val="24"/>
          <w:szCs w:val="24"/>
        </w:rPr>
        <w:t xml:space="preserve"> = Z</w:t>
      </w:r>
      <w:r w:rsidRPr="00B94F3E">
        <w:rPr>
          <w:rFonts w:ascii="Times New Roman" w:hAnsi="Times New Roman" w:cs="Times New Roman"/>
          <w:color w:val="000000"/>
          <w:sz w:val="24"/>
          <w:szCs w:val="24"/>
          <w:vertAlign w:val="superscript"/>
        </w:rPr>
        <w:t>2</w:t>
      </w:r>
      <w:r w:rsidRPr="00B94F3E">
        <w:rPr>
          <w:rFonts w:ascii="Times New Roman" w:hAnsi="Times New Roman" w:cs="Times New Roman"/>
          <w:color w:val="000000"/>
          <w:sz w:val="24"/>
          <w:szCs w:val="24"/>
        </w:rPr>
        <w:t xml:space="preserve"> </w:t>
      </w:r>
      <w:r w:rsidRPr="00B94F3E">
        <w:rPr>
          <w:rFonts w:ascii="Times New Roman" w:eastAsia="Arial Unicode MS" w:hAnsi="Times New Roman" w:cs="Times New Roman"/>
          <w:color w:val="000000"/>
          <w:sz w:val="24"/>
          <w:szCs w:val="24"/>
        </w:rPr>
        <w:t>× p × (1 − p) / e</w:t>
      </w:r>
      <w:r w:rsidRPr="00B94F3E">
        <w:rPr>
          <w:rFonts w:ascii="Times New Roman" w:hAnsi="Times New Roman" w:cs="Times New Roman"/>
          <w:color w:val="000000"/>
          <w:sz w:val="24"/>
          <w:szCs w:val="24"/>
          <w:vertAlign w:val="superscript"/>
        </w:rPr>
        <w:t>2</w:t>
      </w:r>
      <w:r w:rsidRPr="00B94F3E">
        <w:rPr>
          <w:rFonts w:ascii="Times New Roman" w:hAnsi="Times New Roman" w:cs="Times New Roman"/>
          <w:color w:val="000000"/>
          <w:sz w:val="24"/>
          <w:szCs w:val="24"/>
        </w:rPr>
        <w:t xml:space="preserve"> </w:t>
      </w:r>
    </w:p>
    <w:p w14:paraId="28F259E4" w14:textId="77777777" w:rsidR="00435B01" w:rsidRPr="00B94F3E" w:rsidRDefault="00B94F3E" w:rsidP="00B94F3E">
      <w:pPr>
        <w:pStyle w:val="Normal1"/>
        <w:widowControl w:val="0"/>
        <w:pBdr>
          <w:top w:val="nil"/>
          <w:left w:val="nil"/>
          <w:bottom w:val="nil"/>
          <w:right w:val="nil"/>
          <w:between w:val="nil"/>
        </w:pBdr>
        <w:spacing w:before="174" w:line="240" w:lineRule="auto"/>
        <w:ind w:left="10" w:right="8" w:hanging="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where n</w:t>
      </w:r>
      <w:r w:rsidRPr="00B94F3E">
        <w:rPr>
          <w:rFonts w:ascii="Times New Roman" w:hAnsi="Times New Roman" w:cs="Times New Roman"/>
          <w:color w:val="000000"/>
          <w:sz w:val="24"/>
          <w:szCs w:val="24"/>
          <w:vertAlign w:val="superscript"/>
        </w:rPr>
        <w:t>0</w:t>
      </w:r>
      <w:r w:rsidRPr="00B94F3E">
        <w:rPr>
          <w:rFonts w:ascii="Times New Roman" w:hAnsi="Times New Roman" w:cs="Times New Roman"/>
          <w:color w:val="000000"/>
          <w:sz w:val="24"/>
          <w:szCs w:val="24"/>
        </w:rPr>
        <w:t xml:space="preserve"> is the minimum sample size, Z is the standard normal deviate at the 95% confidence level (1.96), p is the estimated prevalence of dental caries among preschool children and e is the margin of error (0.05). A prevalence of 35% reported among children in Port Harcourt, the nearest setting to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with published data, was used (</w:t>
      </w:r>
      <w:proofErr w:type="spellStart"/>
      <w:r w:rsidRPr="00B94F3E">
        <w:rPr>
          <w:rFonts w:ascii="Times New Roman" w:hAnsi="Times New Roman" w:cs="Times New Roman"/>
          <w:color w:val="000000"/>
          <w:sz w:val="24"/>
          <w:szCs w:val="24"/>
        </w:rPr>
        <w:t>Eigbobo</w:t>
      </w:r>
      <w:proofErr w:type="spellEnd"/>
      <w:r w:rsidRPr="00B94F3E">
        <w:rPr>
          <w:rFonts w:ascii="Times New Roman" w:hAnsi="Times New Roman" w:cs="Times New Roman"/>
          <w:color w:val="000000"/>
          <w:sz w:val="24"/>
          <w:szCs w:val="24"/>
        </w:rPr>
        <w:t xml:space="preserve">, 2015), so that p = 0.35. </w:t>
      </w:r>
    </w:p>
    <w:p w14:paraId="746F486E" w14:textId="77777777" w:rsidR="00435B01" w:rsidRPr="00B94F3E" w:rsidRDefault="00B94F3E" w:rsidP="00B94F3E">
      <w:pPr>
        <w:pStyle w:val="Normal1"/>
        <w:widowControl w:val="0"/>
        <w:pBdr>
          <w:top w:val="nil"/>
          <w:left w:val="nil"/>
          <w:bottom w:val="nil"/>
          <w:right w:val="nil"/>
          <w:between w:val="nil"/>
        </w:pBdr>
        <w:spacing w:before="116" w:line="240" w:lineRule="auto"/>
        <w:ind w:left="218" w:right="21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n</w:t>
      </w:r>
      <w:r w:rsidRPr="00B94F3E">
        <w:rPr>
          <w:rFonts w:ascii="Times New Roman" w:hAnsi="Times New Roman" w:cs="Times New Roman"/>
          <w:color w:val="000000"/>
          <w:sz w:val="24"/>
          <w:szCs w:val="24"/>
          <w:vertAlign w:val="superscript"/>
        </w:rPr>
        <w:t>0</w:t>
      </w:r>
      <w:r w:rsidRPr="00B94F3E">
        <w:rPr>
          <w:rFonts w:ascii="Times New Roman" w:hAnsi="Times New Roman" w:cs="Times New Roman"/>
          <w:color w:val="000000"/>
          <w:sz w:val="24"/>
          <w:szCs w:val="24"/>
        </w:rPr>
        <w:t xml:space="preserve"> = (1.96)</w:t>
      </w:r>
      <w:r w:rsidRPr="00B94F3E">
        <w:rPr>
          <w:rFonts w:ascii="Times New Roman" w:hAnsi="Times New Roman" w:cs="Times New Roman"/>
          <w:color w:val="000000"/>
          <w:sz w:val="24"/>
          <w:szCs w:val="24"/>
          <w:vertAlign w:val="superscript"/>
        </w:rPr>
        <w:t>2</w:t>
      </w:r>
      <w:r w:rsidRPr="00B94F3E">
        <w:rPr>
          <w:rFonts w:ascii="Times New Roman" w:hAnsi="Times New Roman" w:cs="Times New Roman"/>
          <w:color w:val="000000"/>
          <w:sz w:val="24"/>
          <w:szCs w:val="24"/>
        </w:rPr>
        <w:t xml:space="preserve"> </w:t>
      </w:r>
      <w:r w:rsidRPr="00B94F3E">
        <w:rPr>
          <w:rFonts w:ascii="Times New Roman" w:eastAsia="Arial Unicode MS" w:hAnsi="Times New Roman" w:cs="Times New Roman"/>
          <w:color w:val="000000"/>
          <w:sz w:val="24"/>
          <w:szCs w:val="24"/>
        </w:rPr>
        <w:t>× 0.35 × (1 − 0.35) / (0.05)</w:t>
      </w:r>
      <w:r w:rsidRPr="00B94F3E">
        <w:rPr>
          <w:rFonts w:ascii="Times New Roman" w:hAnsi="Times New Roman" w:cs="Times New Roman"/>
          <w:color w:val="000000"/>
          <w:sz w:val="24"/>
          <w:szCs w:val="24"/>
          <w:vertAlign w:val="superscript"/>
        </w:rPr>
        <w:t>2</w:t>
      </w:r>
      <w:r w:rsidRPr="00B94F3E">
        <w:rPr>
          <w:rFonts w:ascii="Times New Roman" w:hAnsi="Times New Roman" w:cs="Times New Roman"/>
          <w:color w:val="000000"/>
          <w:sz w:val="24"/>
          <w:szCs w:val="24"/>
        </w:rPr>
        <w:t xml:space="preserve"> </w:t>
      </w:r>
      <w:r w:rsidRPr="00B94F3E">
        <w:rPr>
          <w:rFonts w:ascii="Times New Roman" w:eastAsia="Arial Unicode MS" w:hAnsi="Times New Roman" w:cs="Times New Roman"/>
          <w:color w:val="000000"/>
          <w:sz w:val="24"/>
          <w:szCs w:val="24"/>
        </w:rPr>
        <w:t xml:space="preserve">= (3.8416 × 0.2275) / 0.0025 = 0.8737 / 0.0025 = 349.48 ≈ 350 </w:t>
      </w:r>
    </w:p>
    <w:p w14:paraId="6C3AA489" w14:textId="77777777" w:rsidR="00435B01" w:rsidRPr="00B94F3E" w:rsidRDefault="00B94F3E" w:rsidP="00B94F3E">
      <w:pPr>
        <w:pStyle w:val="Normal1"/>
        <w:widowControl w:val="0"/>
        <w:pBdr>
          <w:top w:val="nil"/>
          <w:left w:val="nil"/>
          <w:bottom w:val="nil"/>
          <w:right w:val="nil"/>
          <w:between w:val="nil"/>
        </w:pBdr>
        <w:spacing w:before="190" w:line="240" w:lineRule="auto"/>
        <w:ind w:left="10" w:right="5"/>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To allow for an anticipated non-response rate (r) of 10%, the sample was adjusted as n = n</w:t>
      </w:r>
      <w:r w:rsidRPr="00B94F3E">
        <w:rPr>
          <w:rFonts w:ascii="Times New Roman" w:hAnsi="Times New Roman" w:cs="Times New Roman"/>
          <w:color w:val="000000"/>
          <w:sz w:val="24"/>
          <w:szCs w:val="24"/>
          <w:vertAlign w:val="superscript"/>
        </w:rPr>
        <w:t>0</w:t>
      </w:r>
      <w:proofErr w:type="gramStart"/>
      <w:r w:rsidRPr="00B94F3E">
        <w:rPr>
          <w:rFonts w:ascii="Times New Roman" w:eastAsia="Arial Unicode MS" w:hAnsi="Times New Roman" w:cs="Times New Roman"/>
          <w:color w:val="000000"/>
          <w:sz w:val="24"/>
          <w:szCs w:val="24"/>
        </w:rPr>
        <w:t>/(</w:t>
      </w:r>
      <w:proofErr w:type="gramEnd"/>
      <w:r w:rsidRPr="00B94F3E">
        <w:rPr>
          <w:rFonts w:ascii="Times New Roman" w:eastAsia="Arial Unicode MS" w:hAnsi="Times New Roman" w:cs="Times New Roman"/>
          <w:color w:val="000000"/>
          <w:sz w:val="24"/>
          <w:szCs w:val="24"/>
        </w:rPr>
        <w:t xml:space="preserve">1 − r): </w:t>
      </w:r>
    </w:p>
    <w:p w14:paraId="20C71049" w14:textId="77777777" w:rsidR="00435B01" w:rsidRPr="00B94F3E" w:rsidRDefault="00B94F3E" w:rsidP="00B94F3E">
      <w:pPr>
        <w:pStyle w:val="Normal1"/>
        <w:widowControl w:val="0"/>
        <w:pBdr>
          <w:top w:val="nil"/>
          <w:left w:val="nil"/>
          <w:bottom w:val="nil"/>
          <w:right w:val="nil"/>
          <w:between w:val="nil"/>
        </w:pBdr>
        <w:spacing w:before="116" w:line="240" w:lineRule="auto"/>
        <w:jc w:val="both"/>
        <w:rPr>
          <w:rFonts w:ascii="Times New Roman" w:hAnsi="Times New Roman" w:cs="Times New Roman"/>
          <w:color w:val="000000"/>
          <w:sz w:val="24"/>
          <w:szCs w:val="24"/>
        </w:rPr>
      </w:pPr>
      <w:r w:rsidRPr="00B94F3E">
        <w:rPr>
          <w:rFonts w:ascii="Times New Roman" w:eastAsia="Arial Unicode MS" w:hAnsi="Times New Roman" w:cs="Times New Roman"/>
          <w:color w:val="000000"/>
          <w:sz w:val="24"/>
          <w:szCs w:val="24"/>
        </w:rPr>
        <w:t xml:space="preserve">n = 350 / (1 − 0.10) = 350 / 0.90 = 388.88 </w:t>
      </w:r>
      <w:r w:rsidRPr="00B94F3E">
        <w:rPr>
          <w:rFonts w:ascii="Times New Roman" w:eastAsia="Arial Unicode MS" w:hAnsi="Times New Roman" w:cs="Times New Roman"/>
          <w:color w:val="000000"/>
          <w:sz w:val="24"/>
          <w:szCs w:val="24"/>
        </w:rPr>
        <w:t xml:space="preserve">≈ 389 </w:t>
      </w:r>
    </w:p>
    <w:p w14:paraId="0FC88562" w14:textId="77777777" w:rsidR="00435B01" w:rsidRPr="00B94F3E" w:rsidRDefault="00B94F3E" w:rsidP="00B94F3E">
      <w:pPr>
        <w:pStyle w:val="Normal1"/>
        <w:widowControl w:val="0"/>
        <w:pBdr>
          <w:top w:val="nil"/>
          <w:left w:val="nil"/>
          <w:bottom w:val="nil"/>
          <w:right w:val="nil"/>
          <w:between w:val="nil"/>
        </w:pBdr>
        <w:spacing w:before="179" w:line="240" w:lineRule="auto"/>
        <w:ind w:left="14" w:right="103" w:hanging="3"/>
        <w:jc w:val="both"/>
        <w:rPr>
          <w:rFonts w:ascii="Times New Roman" w:hAnsi="Times New Roman" w:cs="Times New Roman"/>
          <w:b/>
          <w:bCs/>
          <w:color w:val="000000"/>
          <w:sz w:val="24"/>
          <w:szCs w:val="24"/>
        </w:rPr>
      </w:pPr>
      <w:r w:rsidRPr="00B94F3E">
        <w:rPr>
          <w:rFonts w:ascii="Times New Roman" w:hAnsi="Times New Roman" w:cs="Times New Roman"/>
          <w:color w:val="000000"/>
          <w:sz w:val="24"/>
          <w:szCs w:val="24"/>
        </w:rPr>
        <w:t xml:space="preserve">The final sample was therefore 389 preschool </w:t>
      </w:r>
      <w:proofErr w:type="gramStart"/>
      <w:r w:rsidRPr="00B94F3E">
        <w:rPr>
          <w:rFonts w:ascii="Times New Roman" w:hAnsi="Times New Roman" w:cs="Times New Roman"/>
          <w:color w:val="000000"/>
          <w:sz w:val="24"/>
          <w:szCs w:val="24"/>
        </w:rPr>
        <w:t>children,</w:t>
      </w:r>
      <w:proofErr w:type="gramEnd"/>
      <w:r w:rsidRPr="00B94F3E">
        <w:rPr>
          <w:rFonts w:ascii="Times New Roman" w:hAnsi="Times New Roman" w:cs="Times New Roman"/>
          <w:color w:val="000000"/>
          <w:sz w:val="24"/>
          <w:szCs w:val="24"/>
        </w:rPr>
        <w:t xml:space="preserve"> each paired with a primary caregiver. </w:t>
      </w:r>
      <w:r w:rsidRPr="00B94F3E">
        <w:rPr>
          <w:rFonts w:ascii="Times New Roman" w:hAnsi="Times New Roman" w:cs="Times New Roman"/>
          <w:b/>
          <w:bCs/>
          <w:color w:val="000000"/>
          <w:sz w:val="24"/>
          <w:szCs w:val="24"/>
        </w:rPr>
        <w:t xml:space="preserve">Inclusion Criteria </w:t>
      </w:r>
    </w:p>
    <w:p w14:paraId="1AB1B14F" w14:textId="77777777" w:rsidR="00435B01" w:rsidRPr="00B94F3E" w:rsidRDefault="00B94F3E" w:rsidP="00B94F3E">
      <w:pPr>
        <w:pStyle w:val="Normal1"/>
        <w:widowControl w:val="0"/>
        <w:pBdr>
          <w:top w:val="nil"/>
          <w:left w:val="nil"/>
          <w:bottom w:val="nil"/>
          <w:right w:val="nil"/>
          <w:between w:val="nil"/>
        </w:pBdr>
        <w:spacing w:before="6" w:line="240" w:lineRule="auto"/>
        <w:ind w:left="11" w:right="10" w:firstLine="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Children were included if they: (</w:t>
      </w:r>
      <w:proofErr w:type="spellStart"/>
      <w:r w:rsidRPr="00B94F3E">
        <w:rPr>
          <w:rFonts w:ascii="Times New Roman" w:hAnsi="Times New Roman" w:cs="Times New Roman"/>
          <w:color w:val="000000"/>
          <w:sz w:val="24"/>
          <w:szCs w:val="24"/>
        </w:rPr>
        <w:t>i</w:t>
      </w:r>
      <w:proofErr w:type="spellEnd"/>
      <w:r w:rsidRPr="00B94F3E">
        <w:rPr>
          <w:rFonts w:ascii="Times New Roman" w:hAnsi="Times New Roman" w:cs="Times New Roman"/>
          <w:color w:val="000000"/>
          <w:sz w:val="24"/>
          <w:szCs w:val="24"/>
        </w:rPr>
        <w:t xml:space="preserve">) were aged 3–5 years; (ii) had lived in one of the five selected communities for at least six months; (iii) had a primary caregiver who was available and gave informed consent; and (iv) had no medical condition preventing oral examination. </w:t>
      </w:r>
    </w:p>
    <w:p w14:paraId="2DEBD9B9" w14:textId="77777777" w:rsidR="00435B01" w:rsidRPr="00B94F3E" w:rsidRDefault="00B94F3E" w:rsidP="00B94F3E">
      <w:pPr>
        <w:pStyle w:val="Normal1"/>
        <w:widowControl w:val="0"/>
        <w:pBdr>
          <w:top w:val="nil"/>
          <w:left w:val="nil"/>
          <w:bottom w:val="nil"/>
          <w:right w:val="nil"/>
          <w:between w:val="nil"/>
        </w:pBdr>
        <w:spacing w:before="156"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Exclusion Criteria </w:t>
      </w:r>
    </w:p>
    <w:p w14:paraId="4C0C669F" w14:textId="77777777" w:rsidR="00435B01" w:rsidRPr="00B94F3E" w:rsidRDefault="00B94F3E" w:rsidP="00B94F3E">
      <w:pPr>
        <w:pStyle w:val="Normal1"/>
        <w:widowControl w:val="0"/>
        <w:pBdr>
          <w:top w:val="nil"/>
          <w:left w:val="nil"/>
          <w:bottom w:val="nil"/>
          <w:right w:val="nil"/>
          <w:between w:val="nil"/>
        </w:pBdr>
        <w:spacing w:before="179" w:line="240" w:lineRule="auto"/>
        <w:ind w:left="8" w:right="6" w:firstLine="7"/>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Children were excluded if their primary caregiver was unable or unwilling to give consent, or if they had a systemic illness or condition (for example severe systemic illness or craniofacial malformation) that interfered with dental examination. </w:t>
      </w:r>
    </w:p>
    <w:p w14:paraId="12C9C87E" w14:textId="77777777" w:rsidR="00435B01" w:rsidRPr="00B94F3E" w:rsidRDefault="00B94F3E" w:rsidP="00B94F3E">
      <w:pPr>
        <w:pStyle w:val="Normal1"/>
        <w:widowControl w:val="0"/>
        <w:pBdr>
          <w:top w:val="nil"/>
          <w:left w:val="nil"/>
          <w:bottom w:val="nil"/>
          <w:right w:val="nil"/>
          <w:between w:val="nil"/>
        </w:pBdr>
        <w:spacing w:before="156"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Research Instrument </w:t>
      </w:r>
    </w:p>
    <w:p w14:paraId="621D3E5F" w14:textId="77777777" w:rsidR="00435B01" w:rsidRPr="00B94F3E" w:rsidRDefault="00B94F3E" w:rsidP="00B94F3E">
      <w:pPr>
        <w:pStyle w:val="Normal1"/>
        <w:widowControl w:val="0"/>
        <w:pBdr>
          <w:top w:val="nil"/>
          <w:left w:val="nil"/>
          <w:bottom w:val="nil"/>
          <w:right w:val="nil"/>
          <w:between w:val="nil"/>
        </w:pBdr>
        <w:spacing w:before="179" w:line="240" w:lineRule="auto"/>
        <w:ind w:left="8" w:firstLine="1"/>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Two instruments were used: a structured caregiver questionnaire and a clinical oral examination record sheet, linked through a unique participant identification number. The 60- item questionnaire, titled “Questionnaire on Determinants of Caregiver-Reported Dental Caries among Preschool Children”, was adapted from the WHO Oral Health Surveys: Basic Methods (World Health Organization, 2013), WHO recommendations on oral hygiene, fluoride and diet, and household and environmental indicators used in population health surveys. It had five sections: A (12 items) on sociodemographic characteristics of caregivers and children; B (10 items) on caregiver-reported caries indicators (diagnosis by a health worker, visible hole or cavity, black or brown spots, toothache, gum swelling, difficulty eating, broken teeth, health facility visit, food trapping and perceived current decay), answered Yes, No or Do not know; C (15 true/false items, positively and negatively worded) on knowledge of dental caries and oral health; D (10 items) on oral-health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and E (6 environmental and 7 health-service items). </w:t>
      </w:r>
      <w:proofErr w:type="spellStart"/>
      <w:r w:rsidRPr="00B94F3E">
        <w:rPr>
          <w:rFonts w:ascii="Times New Roman" w:hAnsi="Times New Roman" w:cs="Times New Roman"/>
          <w:color w:val="000000"/>
          <w:sz w:val="24"/>
          <w:szCs w:val="24"/>
        </w:rPr>
        <w:t>Behaviour</w:t>
      </w:r>
      <w:proofErr w:type="spellEnd"/>
      <w:r w:rsidRPr="00B94F3E">
        <w:rPr>
          <w:rFonts w:ascii="Times New Roman" w:hAnsi="Times New Roman" w:cs="Times New Roman"/>
          <w:color w:val="000000"/>
          <w:sz w:val="24"/>
          <w:szCs w:val="24"/>
        </w:rPr>
        <w:t xml:space="preserve"> and environmental items were recorded on a five-point frequency scale and health-</w:t>
      </w:r>
      <w:r w:rsidRPr="00B94F3E">
        <w:rPr>
          <w:rFonts w:ascii="Times New Roman" w:hAnsi="Times New Roman" w:cs="Times New Roman"/>
          <w:color w:val="000000"/>
          <w:sz w:val="24"/>
          <w:szCs w:val="24"/>
        </w:rPr>
        <w:lastRenderedPageBreak/>
        <w:t xml:space="preserve">service items on a five-point agreement scale, and all were </w:t>
      </w:r>
      <w:proofErr w:type="spellStart"/>
      <w:r w:rsidRPr="00B94F3E">
        <w:rPr>
          <w:rFonts w:ascii="Times New Roman" w:hAnsi="Times New Roman" w:cs="Times New Roman"/>
          <w:color w:val="000000"/>
          <w:sz w:val="24"/>
          <w:szCs w:val="24"/>
        </w:rPr>
        <w:t>dichotomised</w:t>
      </w:r>
      <w:proofErr w:type="spellEnd"/>
      <w:r w:rsidRPr="00B94F3E">
        <w:rPr>
          <w:rFonts w:ascii="Times New Roman" w:hAnsi="Times New Roman" w:cs="Times New Roman"/>
          <w:color w:val="000000"/>
          <w:sz w:val="24"/>
          <w:szCs w:val="24"/>
        </w:rPr>
        <w:t xml:space="preserve"> for analysis. </w:t>
      </w:r>
    </w:p>
    <w:p w14:paraId="16EEAFFC" w14:textId="77777777" w:rsidR="00B94F3E" w:rsidRPr="00B94F3E" w:rsidRDefault="00B94F3E" w:rsidP="00B94F3E">
      <w:pPr>
        <w:pStyle w:val="Normal1"/>
        <w:spacing w:before="280" w:after="280" w:line="240" w:lineRule="auto"/>
        <w:jc w:val="both"/>
        <w:rPr>
          <w:rFonts w:ascii="Times New Roman" w:eastAsia="Times New Roman" w:hAnsi="Times New Roman" w:cs="Times New Roman"/>
          <w:sz w:val="24"/>
          <w:szCs w:val="24"/>
        </w:rPr>
      </w:pPr>
      <w:r w:rsidRPr="00B94F3E">
        <w:rPr>
          <w:rFonts w:ascii="Times New Roman" w:hAnsi="Times New Roman" w:cs="Times New Roman"/>
          <w:color w:val="000000"/>
          <w:sz w:val="24"/>
          <w:szCs w:val="24"/>
        </w:rPr>
        <w:t xml:space="preserve">Content validity was supported by adapting items from established survey tools and by review by experts in public-health dentistry and epidemiology; the wording was simplified and research assistants could explain items in the local language without changing their meaning. Reliability of the questionnaire was inferred from the established use of its source items in earlier studies (Shirzad et al., 2016; Wilson et al., 2016 </w:t>
      </w:r>
      <w:r w:rsidRPr="00B94F3E">
        <w:rPr>
          <w:rFonts w:ascii="Times New Roman" w:eastAsia="Times New Roman" w:hAnsi="Times New Roman" w:cs="Times New Roman"/>
          <w:sz w:val="24"/>
          <w:szCs w:val="24"/>
        </w:rPr>
        <w:t>The Cochran formula for categorical outcomes is:</w:t>
      </w:r>
    </w:p>
    <w:p w14:paraId="5DE2187B" w14:textId="77777777" w:rsidR="00B94F3E" w:rsidRPr="00B94F3E" w:rsidRDefault="00000000" w:rsidP="00B94F3E">
      <w:pPr>
        <w:pStyle w:val="Normal1"/>
        <w:spacing w:line="240" w:lineRule="auto"/>
        <w:jc w:val="both"/>
        <w:rPr>
          <w:rFonts w:ascii="Times New Roman" w:eastAsia="Cambria Math" w:hAnsi="Times New Roman" w:cs="Times New Roman"/>
          <w:sz w:val="24"/>
          <w:szCs w:val="24"/>
        </w:rPr>
      </w:pPr>
      <m:oMathPara>
        <m:oMath>
          <m:sSub>
            <m:sSubPr>
              <m:ctrlPr>
                <w:rPr>
                  <w:rFonts w:ascii="Cambria Math" w:eastAsia="Cambria Math" w:hAnsi="Times New Roman" w:cs="Times New Roman"/>
                  <w:sz w:val="24"/>
                  <w:szCs w:val="24"/>
                </w:rPr>
              </m:ctrlPr>
            </m:sSubPr>
            <m:e>
              <m:r>
                <w:rPr>
                  <w:rFonts w:ascii="Cambria Math" w:eastAsia="Cambria Math" w:hAnsi="Cambria Math" w:cs="Times New Roman"/>
                  <w:sz w:val="24"/>
                  <w:szCs w:val="24"/>
                </w:rPr>
                <m:t>n</m:t>
              </m:r>
            </m:e>
            <m:sub>
              <m:r>
                <w:rPr>
                  <w:rFonts w:ascii="Cambria Math" w:eastAsia="Cambria Math" w:hAnsi="Times New Roman" w:cs="Times New Roman"/>
                  <w:sz w:val="24"/>
                  <w:szCs w:val="24"/>
                </w:rPr>
                <m:t>0</m:t>
              </m:r>
            </m:sub>
          </m:sSub>
          <m:r>
            <w:rPr>
              <w:rFonts w:ascii="Cambria Math" w:eastAsia="Cambria Math" w:hAnsi="Times New Roman" w:cs="Times New Roman"/>
              <w:sz w:val="24"/>
              <w:szCs w:val="24"/>
            </w:rPr>
            <m:t>=</m:t>
          </m:r>
          <m:f>
            <m:fPr>
              <m:ctrlPr>
                <w:rPr>
                  <w:rFonts w:ascii="Cambria Math" w:eastAsia="Cambria Math" w:hAnsi="Times New Roman" w:cs="Times New Roman"/>
                  <w:sz w:val="24"/>
                  <w:szCs w:val="24"/>
                </w:rPr>
              </m:ctrlPr>
            </m:fPr>
            <m:num>
              <m:sSup>
                <m:sSupPr>
                  <m:ctrlPr>
                    <w:rPr>
                      <w:rFonts w:ascii="Cambria Math" w:eastAsia="Cambria Math" w:hAnsi="Times New Roman" w:cs="Times New Roman"/>
                      <w:sz w:val="24"/>
                      <w:szCs w:val="24"/>
                    </w:rPr>
                  </m:ctrlPr>
                </m:sSupPr>
                <m:e>
                  <m:r>
                    <w:rPr>
                      <w:rFonts w:ascii="Cambria Math" w:eastAsia="Cambria Math" w:hAnsi="Cambria Math" w:cs="Times New Roman"/>
                      <w:sz w:val="24"/>
                      <w:szCs w:val="24"/>
                    </w:rPr>
                    <m:t>Z</m:t>
                  </m:r>
                </m:e>
                <m:sup>
                  <m:r>
                    <w:rPr>
                      <w:rFonts w:ascii="Cambria Math" w:eastAsia="Cambria Math" w:hAnsi="Times New Roman" w:cs="Times New Roman"/>
                      <w:sz w:val="24"/>
                      <w:szCs w:val="24"/>
                    </w:rPr>
                    <m:t>2</m:t>
                  </m:r>
                </m:sup>
              </m:sSup>
              <m:r>
                <w:rPr>
                  <w:rFonts w:ascii="Times New Roman" w:eastAsia="Cambria Math" w:hAnsi="Cambria Math" w:cs="Times New Roman"/>
                  <w:sz w:val="24"/>
                  <w:szCs w:val="24"/>
                </w:rPr>
                <m:t>⋅</m:t>
              </m:r>
              <m:r>
                <w:rPr>
                  <w:rFonts w:ascii="Cambria Math" w:eastAsia="Cambria Math" w:hAnsi="Cambria Math" w:cs="Times New Roman"/>
                  <w:sz w:val="24"/>
                  <w:szCs w:val="24"/>
                </w:rPr>
                <m:t>p</m:t>
              </m:r>
              <m:r>
                <w:rPr>
                  <w:rFonts w:ascii="Times New Roman" w:eastAsia="Cambria Math" w:hAnsi="Cambria Math" w:cs="Times New Roman"/>
                  <w:sz w:val="24"/>
                  <w:szCs w:val="24"/>
                </w:rPr>
                <m:t>⋅</m:t>
              </m:r>
              <m:r>
                <w:rPr>
                  <w:rFonts w:ascii="Cambria Math" w:eastAsia="Cambria Math" w:hAnsi="Times New Roman" w:cs="Times New Roman"/>
                  <w:sz w:val="24"/>
                  <w:szCs w:val="24"/>
                </w:rPr>
                <m:t>(1</m:t>
              </m:r>
              <m:r>
                <w:rPr>
                  <w:rFonts w:ascii="Times New Roman" w:eastAsia="Cambria Math" w:hAnsi="Times New Roman" w:cs="Times New Roman"/>
                  <w:sz w:val="24"/>
                  <w:szCs w:val="24"/>
                </w:rPr>
                <m:t>-</m:t>
              </m:r>
              <m:r>
                <w:rPr>
                  <w:rFonts w:ascii="Cambria Math" w:eastAsia="Cambria Math" w:hAnsi="Cambria Math" w:cs="Times New Roman"/>
                  <w:sz w:val="24"/>
                  <w:szCs w:val="24"/>
                </w:rPr>
                <m:t>p</m:t>
              </m:r>
              <m:r>
                <w:rPr>
                  <w:rFonts w:ascii="Cambria Math" w:eastAsia="Cambria Math" w:hAnsi="Times New Roman" w:cs="Times New Roman"/>
                  <w:sz w:val="24"/>
                  <w:szCs w:val="24"/>
                </w:rPr>
                <m:t>)</m:t>
              </m:r>
            </m:num>
            <m:den>
              <m:sSup>
                <m:sSupPr>
                  <m:ctrlPr>
                    <w:rPr>
                      <w:rFonts w:ascii="Cambria Math" w:eastAsia="Cambria Math" w:hAnsi="Times New Roman" w:cs="Times New Roman"/>
                      <w:sz w:val="24"/>
                      <w:szCs w:val="24"/>
                    </w:rPr>
                  </m:ctrlPr>
                </m:sSupPr>
                <m:e>
                  <m:r>
                    <w:rPr>
                      <w:rFonts w:ascii="Cambria Math" w:eastAsia="Cambria Math" w:hAnsi="Cambria Math" w:cs="Times New Roman"/>
                      <w:sz w:val="24"/>
                      <w:szCs w:val="24"/>
                    </w:rPr>
                    <m:t>e</m:t>
                  </m:r>
                </m:e>
                <m:sup>
                  <m:r>
                    <w:rPr>
                      <w:rFonts w:ascii="Cambria Math" w:eastAsia="Cambria Math" w:hAnsi="Times New Roman" w:cs="Times New Roman"/>
                      <w:sz w:val="24"/>
                      <w:szCs w:val="24"/>
                    </w:rPr>
                    <m:t>2</m:t>
                  </m:r>
                </m:sup>
              </m:sSup>
            </m:den>
          </m:f>
        </m:oMath>
      </m:oMathPara>
    </w:p>
    <w:p w14:paraId="45D220E4" w14:textId="77777777" w:rsidR="00B94F3E" w:rsidRPr="00B94F3E" w:rsidRDefault="00B94F3E" w:rsidP="00B94F3E">
      <w:pPr>
        <w:pStyle w:val="Normal1"/>
        <w:spacing w:line="240" w:lineRule="auto"/>
        <w:jc w:val="both"/>
        <w:rPr>
          <w:rFonts w:ascii="Times New Roman" w:eastAsia="Times New Roman" w:hAnsi="Times New Roman" w:cs="Times New Roman"/>
          <w:sz w:val="24"/>
          <w:szCs w:val="24"/>
        </w:rPr>
      </w:pPr>
      <w:r w:rsidRPr="00B94F3E">
        <w:rPr>
          <w:rFonts w:ascii="Times New Roman" w:eastAsia="Times New Roman" w:hAnsi="Times New Roman" w:cs="Times New Roman"/>
          <w:sz w:val="24"/>
          <w:szCs w:val="24"/>
        </w:rPr>
        <w:t>Where:</w:t>
      </w:r>
    </w:p>
    <w:p w14:paraId="2944AE7C" w14:textId="77777777" w:rsidR="00B94F3E" w:rsidRPr="00B94F3E" w:rsidRDefault="00000000" w:rsidP="00B94F3E">
      <w:pPr>
        <w:pStyle w:val="Normal1"/>
        <w:numPr>
          <w:ilvl w:val="0"/>
          <w:numId w:val="1"/>
        </w:numPr>
        <w:spacing w:before="280" w:line="240" w:lineRule="auto"/>
        <w:jc w:val="both"/>
        <w:rPr>
          <w:rFonts w:ascii="Times New Roman" w:hAnsi="Times New Roman" w:cs="Times New Roman"/>
          <w:sz w:val="24"/>
          <w:szCs w:val="24"/>
        </w:rPr>
      </w:pPr>
      <m:oMath>
        <m:sSub>
          <m:sSubPr>
            <m:ctrlPr>
              <w:rPr>
                <w:rFonts w:ascii="Cambria Math" w:eastAsia="Cambria Math" w:hAnsi="Times New Roman" w:cs="Times New Roman"/>
                <w:sz w:val="24"/>
                <w:szCs w:val="24"/>
              </w:rPr>
            </m:ctrlPr>
          </m:sSubPr>
          <m:e>
            <m:r>
              <w:rPr>
                <w:rFonts w:ascii="Cambria Math" w:eastAsia="Cambria Math" w:hAnsi="Cambria Math" w:cs="Times New Roman"/>
                <w:sz w:val="24"/>
                <w:szCs w:val="24"/>
              </w:rPr>
              <m:t>n</m:t>
            </m:r>
          </m:e>
          <m:sub>
            <m:r>
              <w:rPr>
                <w:rFonts w:ascii="Cambria Math" w:eastAsia="Cambria Math" w:hAnsi="Times New Roman" w:cs="Times New Roman"/>
                <w:sz w:val="24"/>
                <w:szCs w:val="24"/>
              </w:rPr>
              <m:t>0</m:t>
            </m:r>
          </m:sub>
        </m:sSub>
      </m:oMath>
      <w:r w:rsidR="00B94F3E" w:rsidRPr="00B94F3E">
        <w:rPr>
          <w:rFonts w:ascii="Times New Roman" w:eastAsia="Times New Roman" w:hAnsi="Times New Roman" w:cs="Times New Roman"/>
          <w:sz w:val="24"/>
          <w:szCs w:val="24"/>
        </w:rPr>
        <w:t>= minimum sample size required</w:t>
      </w:r>
    </w:p>
    <w:p w14:paraId="4AE694DA" w14:textId="77777777" w:rsidR="00B94F3E" w:rsidRPr="00B94F3E" w:rsidRDefault="00B94F3E" w:rsidP="00B94F3E">
      <w:pPr>
        <w:pStyle w:val="Normal1"/>
        <w:numPr>
          <w:ilvl w:val="0"/>
          <w:numId w:val="1"/>
        </w:numPr>
        <w:spacing w:line="240" w:lineRule="auto"/>
        <w:jc w:val="both"/>
        <w:rPr>
          <w:rFonts w:ascii="Times New Roman" w:hAnsi="Times New Roman" w:cs="Times New Roman"/>
          <w:sz w:val="24"/>
          <w:szCs w:val="24"/>
        </w:rPr>
      </w:pPr>
      <m:oMath>
        <m:r>
          <w:rPr>
            <w:rFonts w:ascii="Cambria Math" w:eastAsia="Cambria Math" w:hAnsi="Cambria Math" w:cs="Times New Roman"/>
            <w:sz w:val="24"/>
            <w:szCs w:val="24"/>
          </w:rPr>
          <m:t>Z</m:t>
        </m:r>
      </m:oMath>
      <w:r w:rsidRPr="00B94F3E">
        <w:rPr>
          <w:rFonts w:ascii="Times New Roman" w:eastAsia="Times New Roman" w:hAnsi="Times New Roman" w:cs="Times New Roman"/>
          <w:sz w:val="24"/>
          <w:szCs w:val="24"/>
        </w:rPr>
        <w:t>= standard normal deviate at 95% confidence interval (1.96)</w:t>
      </w:r>
    </w:p>
    <w:p w14:paraId="0AE945D1" w14:textId="77777777" w:rsidR="00B94F3E" w:rsidRPr="00B94F3E" w:rsidRDefault="00B94F3E" w:rsidP="00B94F3E">
      <w:pPr>
        <w:pStyle w:val="Normal1"/>
        <w:numPr>
          <w:ilvl w:val="0"/>
          <w:numId w:val="1"/>
        </w:numPr>
        <w:spacing w:line="240" w:lineRule="auto"/>
        <w:jc w:val="both"/>
        <w:rPr>
          <w:rFonts w:ascii="Times New Roman" w:hAnsi="Times New Roman" w:cs="Times New Roman"/>
          <w:sz w:val="24"/>
          <w:szCs w:val="24"/>
        </w:rPr>
      </w:pPr>
      <m:oMath>
        <m:r>
          <w:rPr>
            <w:rFonts w:ascii="Cambria Math" w:eastAsia="Cambria Math" w:hAnsi="Cambria Math" w:cs="Times New Roman"/>
            <w:sz w:val="24"/>
            <w:szCs w:val="24"/>
          </w:rPr>
          <m:t>p</m:t>
        </m:r>
      </m:oMath>
      <w:r w:rsidRPr="00B94F3E">
        <w:rPr>
          <w:rFonts w:ascii="Times New Roman" w:eastAsia="Times New Roman" w:hAnsi="Times New Roman" w:cs="Times New Roman"/>
          <w:sz w:val="24"/>
          <w:szCs w:val="24"/>
        </w:rPr>
        <w:t>= estimated prevalence (35%) of dental caries among preschool children (Eigbobo, 2015)</w:t>
      </w:r>
    </w:p>
    <w:p w14:paraId="32281581" w14:textId="77777777" w:rsidR="00B94F3E" w:rsidRPr="00B94F3E" w:rsidRDefault="00B94F3E" w:rsidP="00B94F3E">
      <w:pPr>
        <w:pStyle w:val="Normal1"/>
        <w:numPr>
          <w:ilvl w:val="0"/>
          <w:numId w:val="1"/>
        </w:numPr>
        <w:spacing w:after="280" w:line="240" w:lineRule="auto"/>
        <w:jc w:val="both"/>
        <w:rPr>
          <w:rFonts w:ascii="Times New Roman" w:hAnsi="Times New Roman" w:cs="Times New Roman"/>
          <w:sz w:val="24"/>
          <w:szCs w:val="24"/>
        </w:rPr>
      </w:pPr>
      <m:oMath>
        <m:r>
          <w:rPr>
            <w:rFonts w:ascii="Cambria Math" w:eastAsia="Cambria Math" w:hAnsi="Cambria Math" w:cs="Times New Roman"/>
            <w:sz w:val="24"/>
            <w:szCs w:val="24"/>
          </w:rPr>
          <m:t>e</m:t>
        </m:r>
      </m:oMath>
      <w:r w:rsidRPr="00B94F3E">
        <w:rPr>
          <w:rFonts w:ascii="Times New Roman" w:eastAsia="Times New Roman" w:hAnsi="Times New Roman" w:cs="Times New Roman"/>
          <w:sz w:val="24"/>
          <w:szCs w:val="24"/>
        </w:rPr>
        <w:t>= margin of error (set at 5%, i.e., 0.05)</w:t>
      </w:r>
    </w:p>
    <w:p w14:paraId="46CDC0A4" w14:textId="77777777" w:rsidR="00435B01" w:rsidRPr="00B94F3E" w:rsidRDefault="00B94F3E" w:rsidP="00B94F3E">
      <w:pPr>
        <w:pStyle w:val="Normal1"/>
        <w:widowControl w:val="0"/>
        <w:pBdr>
          <w:top w:val="nil"/>
          <w:left w:val="nil"/>
          <w:bottom w:val="nil"/>
          <w:right w:val="nil"/>
          <w:between w:val="nil"/>
        </w:pBdr>
        <w:spacing w:before="180" w:line="240" w:lineRule="auto"/>
        <w:ind w:left="5" w:right="5" w:firstLine="9"/>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Clinical caries was recorded with the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index, which counts decayed, missing (due to caries) and filled primary teeth (World Health Organization, 2013). </w:t>
      </w:r>
    </w:p>
    <w:p w14:paraId="5E64380E" w14:textId="77777777" w:rsidR="00435B01" w:rsidRPr="00B94F3E" w:rsidRDefault="00B94F3E" w:rsidP="00B94F3E">
      <w:pPr>
        <w:pStyle w:val="Normal1"/>
        <w:widowControl w:val="0"/>
        <w:pBdr>
          <w:top w:val="nil"/>
          <w:left w:val="nil"/>
          <w:bottom w:val="nil"/>
          <w:right w:val="nil"/>
          <w:between w:val="nil"/>
        </w:pBdr>
        <w:spacing w:before="156"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Methods of Data Collection </w:t>
      </w:r>
    </w:p>
    <w:p w14:paraId="45C7612E" w14:textId="77777777" w:rsidR="00435B01" w:rsidRPr="00B94F3E" w:rsidRDefault="00B94F3E" w:rsidP="00B94F3E">
      <w:pPr>
        <w:pStyle w:val="Normal1"/>
        <w:widowControl w:val="0"/>
        <w:pBdr>
          <w:top w:val="nil"/>
          <w:left w:val="nil"/>
          <w:bottom w:val="nil"/>
          <w:right w:val="nil"/>
          <w:between w:val="nil"/>
        </w:pBdr>
        <w:spacing w:before="179" w:line="240" w:lineRule="auto"/>
        <w:ind w:left="9" w:right="8" w:firstLine="3"/>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Data were collected between after permission from the LGA and community leaders and written consent from caregivers, the questionnaire was administered face to face to the primary caregiver, with the item content explained in the local language where needed. Each child then received a clinical oral examination for decayed, missing and filled primary teeth, and the findings were entered on the record sheet bearing the same identification number as the questionnaire Children with caries and caregivers were given oral-health education during data collection. </w:t>
      </w:r>
    </w:p>
    <w:p w14:paraId="0CE7F15D" w14:textId="77777777" w:rsidR="00435B01" w:rsidRPr="00B94F3E" w:rsidRDefault="00B94F3E" w:rsidP="00B94F3E">
      <w:pPr>
        <w:pStyle w:val="Normal1"/>
        <w:widowControl w:val="0"/>
        <w:pBdr>
          <w:top w:val="nil"/>
          <w:left w:val="nil"/>
          <w:bottom w:val="nil"/>
          <w:right w:val="nil"/>
          <w:between w:val="nil"/>
        </w:pBdr>
        <w:spacing w:before="156"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Methods of Data Analysis </w:t>
      </w:r>
    </w:p>
    <w:p w14:paraId="3923337C" w14:textId="77777777" w:rsidR="00435B01" w:rsidRPr="00B94F3E" w:rsidRDefault="00B94F3E" w:rsidP="00B94F3E">
      <w:pPr>
        <w:pStyle w:val="Normal1"/>
        <w:widowControl w:val="0"/>
        <w:pBdr>
          <w:top w:val="nil"/>
          <w:left w:val="nil"/>
          <w:bottom w:val="nil"/>
          <w:right w:val="nil"/>
          <w:between w:val="nil"/>
        </w:pBdr>
        <w:spacing w:before="179" w:line="240" w:lineRule="auto"/>
        <w:ind w:left="5" w:firstLine="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Data were </w:t>
      </w:r>
      <w:proofErr w:type="spellStart"/>
      <w:r w:rsidRPr="00B94F3E">
        <w:rPr>
          <w:rFonts w:ascii="Times New Roman" w:hAnsi="Times New Roman" w:cs="Times New Roman"/>
          <w:color w:val="000000"/>
          <w:sz w:val="24"/>
          <w:szCs w:val="24"/>
        </w:rPr>
        <w:t>analysed</w:t>
      </w:r>
      <w:proofErr w:type="spellEnd"/>
      <w:r w:rsidRPr="00B94F3E">
        <w:rPr>
          <w:rFonts w:ascii="Times New Roman" w:hAnsi="Times New Roman" w:cs="Times New Roman"/>
          <w:color w:val="000000"/>
          <w:sz w:val="24"/>
          <w:szCs w:val="24"/>
        </w:rPr>
        <w:t xml:space="preserve"> with </w:t>
      </w:r>
      <w:r w:rsidRPr="00B94F3E">
        <w:rPr>
          <w:rFonts w:ascii="Times New Roman" w:eastAsia="Arial Unicode MS" w:hAnsi="Times New Roman" w:cs="Times New Roman"/>
          <w:color w:val="000000"/>
          <w:sz w:val="24"/>
          <w:szCs w:val="24"/>
        </w:rPr>
        <w:t xml:space="preserve">Categorical variables are presented as frequencies and percentages and continuous variables as means and standard deviations. For the caregiver-reported measure, the ten Section B items were scored Yes = 1 and No = 0, summed and divided by 10; a mean score of 0.5 or more was classified as positive caregiver-reported caries and below 0.5 as negative. The proportion of affirmative item responses was reported separately and is not the same as the composite prevalence. Clinical prevalence was the percentage of children with </w:t>
      </w:r>
      <w:proofErr w:type="spellStart"/>
      <w:r w:rsidRPr="00B94F3E">
        <w:rPr>
          <w:rFonts w:ascii="Times New Roman" w:eastAsia="Arial Unicode MS" w:hAnsi="Times New Roman" w:cs="Times New Roman"/>
          <w:color w:val="000000"/>
          <w:sz w:val="24"/>
          <w:szCs w:val="24"/>
        </w:rPr>
        <w:t>dmft</w:t>
      </w:r>
      <w:proofErr w:type="spellEnd"/>
      <w:r w:rsidRPr="00B94F3E">
        <w:rPr>
          <w:rFonts w:ascii="Times New Roman" w:eastAsia="Arial Unicode MS" w:hAnsi="Times New Roman" w:cs="Times New Roman"/>
          <w:color w:val="000000"/>
          <w:sz w:val="24"/>
          <w:szCs w:val="24"/>
        </w:rPr>
        <w:t xml:space="preserve"> ≥ 1. Knowledge items were scored correct (1) or incorrect (0), with reverse scoring for negatively worded items, converted to percentage scores and </w:t>
      </w:r>
      <w:proofErr w:type="spellStart"/>
      <w:r w:rsidRPr="00B94F3E">
        <w:rPr>
          <w:rFonts w:ascii="Times New Roman" w:eastAsia="Arial Unicode MS" w:hAnsi="Times New Roman" w:cs="Times New Roman"/>
          <w:color w:val="000000"/>
          <w:sz w:val="24"/>
          <w:szCs w:val="24"/>
        </w:rPr>
        <w:t>categorised</w:t>
      </w:r>
      <w:proofErr w:type="spellEnd"/>
      <w:r w:rsidRPr="00B94F3E">
        <w:rPr>
          <w:rFonts w:ascii="Times New Roman" w:eastAsia="Arial Unicode MS" w:hAnsi="Times New Roman" w:cs="Times New Roman"/>
          <w:color w:val="000000"/>
          <w:sz w:val="24"/>
          <w:szCs w:val="24"/>
        </w:rPr>
        <w:t xml:space="preserve"> as poor (≤49%), fair (50–69%) or good (≥70%). </w:t>
      </w:r>
      <w:proofErr w:type="spellStart"/>
      <w:r w:rsidRPr="00B94F3E">
        <w:rPr>
          <w:rFonts w:ascii="Times New Roman" w:eastAsia="Arial Unicode MS" w:hAnsi="Times New Roman" w:cs="Times New Roman"/>
          <w:color w:val="000000"/>
          <w:sz w:val="24"/>
          <w:szCs w:val="24"/>
        </w:rPr>
        <w:t>Behaviour</w:t>
      </w:r>
      <w:proofErr w:type="spellEnd"/>
      <w:r w:rsidRPr="00B94F3E">
        <w:rPr>
          <w:rFonts w:ascii="Times New Roman" w:eastAsia="Arial Unicode MS" w:hAnsi="Times New Roman" w:cs="Times New Roman"/>
          <w:color w:val="000000"/>
          <w:sz w:val="24"/>
          <w:szCs w:val="24"/>
        </w:rPr>
        <w:t xml:space="preserve">, environmental and health-service items were </w:t>
      </w:r>
      <w:proofErr w:type="spellStart"/>
      <w:r w:rsidRPr="00B94F3E">
        <w:rPr>
          <w:rFonts w:ascii="Times New Roman" w:eastAsia="Arial Unicode MS" w:hAnsi="Times New Roman" w:cs="Times New Roman"/>
          <w:color w:val="000000"/>
          <w:sz w:val="24"/>
          <w:szCs w:val="24"/>
        </w:rPr>
        <w:t>dichotomised</w:t>
      </w:r>
      <w:proofErr w:type="spellEnd"/>
      <w:r w:rsidRPr="00B94F3E">
        <w:rPr>
          <w:rFonts w:ascii="Times New Roman" w:eastAsia="Arial Unicode MS" w:hAnsi="Times New Roman" w:cs="Times New Roman"/>
          <w:color w:val="000000"/>
          <w:sz w:val="24"/>
          <w:szCs w:val="24"/>
        </w:rPr>
        <w:t xml:space="preserve">, risk-oriented items were reverse coded, and respondents were classified as </w:t>
      </w:r>
      <w:proofErr w:type="spellStart"/>
      <w:r w:rsidRPr="00B94F3E">
        <w:rPr>
          <w:rFonts w:ascii="Times New Roman" w:eastAsia="Arial Unicode MS" w:hAnsi="Times New Roman" w:cs="Times New Roman"/>
          <w:color w:val="000000"/>
          <w:sz w:val="24"/>
          <w:szCs w:val="24"/>
        </w:rPr>
        <w:t>favourable</w:t>
      </w:r>
      <w:proofErr w:type="spellEnd"/>
      <w:r w:rsidRPr="00B94F3E">
        <w:rPr>
          <w:rFonts w:ascii="Times New Roman" w:eastAsia="Arial Unicode MS" w:hAnsi="Times New Roman" w:cs="Times New Roman"/>
          <w:color w:val="000000"/>
          <w:sz w:val="24"/>
          <w:szCs w:val="24"/>
        </w:rPr>
        <w:t xml:space="preserve"> or </w:t>
      </w:r>
      <w:proofErr w:type="spellStart"/>
      <w:r w:rsidRPr="00B94F3E">
        <w:rPr>
          <w:rFonts w:ascii="Times New Roman" w:eastAsia="Arial Unicode MS" w:hAnsi="Times New Roman" w:cs="Times New Roman"/>
          <w:color w:val="000000"/>
          <w:sz w:val="24"/>
          <w:szCs w:val="24"/>
        </w:rPr>
        <w:t>unfavourable</w:t>
      </w:r>
      <w:proofErr w:type="spellEnd"/>
      <w:r w:rsidRPr="00B94F3E">
        <w:rPr>
          <w:rFonts w:ascii="Times New Roman" w:eastAsia="Arial Unicode MS" w:hAnsi="Times New Roman" w:cs="Times New Roman"/>
          <w:color w:val="000000"/>
          <w:sz w:val="24"/>
          <w:szCs w:val="24"/>
        </w:rPr>
        <w:t xml:space="preserve">. Agreement between the composite caregiver-reported status and clinical status was examined with the chi-square test, Fisher’s exact test, odds ratio with 95% confidence interval and Cohen’s kappa. Binary logistic regression, with caries absent as the reference category and good knowledge and </w:t>
      </w:r>
      <w:proofErr w:type="spellStart"/>
      <w:r w:rsidRPr="00B94F3E">
        <w:rPr>
          <w:rFonts w:ascii="Times New Roman" w:eastAsia="Arial Unicode MS" w:hAnsi="Times New Roman" w:cs="Times New Roman"/>
          <w:color w:val="000000"/>
          <w:sz w:val="24"/>
          <w:szCs w:val="24"/>
        </w:rPr>
        <w:t>favourable</w:t>
      </w:r>
      <w:proofErr w:type="spellEnd"/>
      <w:r w:rsidRPr="00B94F3E">
        <w:rPr>
          <w:rFonts w:ascii="Times New Roman" w:eastAsia="Arial Unicode MS" w:hAnsi="Times New Roman" w:cs="Times New Roman"/>
          <w:color w:val="000000"/>
          <w:sz w:val="24"/>
          <w:szCs w:val="24"/>
        </w:rPr>
        <w:t xml:space="preserve"> categories as references, was used to estimate adjusted odds ratios (AOR) for knowledge, </w:t>
      </w:r>
      <w:proofErr w:type="spellStart"/>
      <w:r w:rsidRPr="00B94F3E">
        <w:rPr>
          <w:rFonts w:ascii="Times New Roman" w:eastAsia="Arial Unicode MS" w:hAnsi="Times New Roman" w:cs="Times New Roman"/>
          <w:color w:val="000000"/>
          <w:sz w:val="24"/>
          <w:szCs w:val="24"/>
        </w:rPr>
        <w:t>behaviour</w:t>
      </w:r>
      <w:proofErr w:type="spellEnd"/>
      <w:r w:rsidRPr="00B94F3E">
        <w:rPr>
          <w:rFonts w:ascii="Times New Roman" w:eastAsia="Arial Unicode MS" w:hAnsi="Times New Roman" w:cs="Times New Roman"/>
          <w:color w:val="000000"/>
          <w:sz w:val="24"/>
          <w:szCs w:val="24"/>
        </w:rPr>
        <w:t xml:space="preserve">, environment and health-service factors in relation to caregiver-reported and clinically assessed caries. A two-sided p &lt; 0.05 was considered significant. Because the design was cross-sectional, associations are not interpreted as causal. </w:t>
      </w:r>
    </w:p>
    <w:p w14:paraId="167AE674" w14:textId="77777777" w:rsidR="00435B01" w:rsidRPr="00B94F3E" w:rsidRDefault="00B94F3E" w:rsidP="00B94F3E">
      <w:pPr>
        <w:pStyle w:val="Normal1"/>
        <w:widowControl w:val="0"/>
        <w:pBdr>
          <w:top w:val="nil"/>
          <w:left w:val="nil"/>
          <w:bottom w:val="nil"/>
          <w:right w:val="nil"/>
          <w:between w:val="nil"/>
        </w:pBdr>
        <w:spacing w:before="156"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Ethical Considerations </w:t>
      </w:r>
    </w:p>
    <w:p w14:paraId="03E7B1C8" w14:textId="77777777" w:rsidR="00435B01" w:rsidRPr="00B94F3E" w:rsidRDefault="00B94F3E" w:rsidP="00B94F3E">
      <w:pPr>
        <w:pStyle w:val="Normal1"/>
        <w:widowControl w:val="0"/>
        <w:pBdr>
          <w:top w:val="nil"/>
          <w:left w:val="nil"/>
          <w:bottom w:val="nil"/>
          <w:right w:val="nil"/>
          <w:between w:val="nil"/>
        </w:pBdr>
        <w:spacing w:before="179" w:line="240" w:lineRule="auto"/>
        <w:ind w:left="12" w:right="25" w:hanging="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The study followed the Declaration of Helsinki (World Medical Association, 2013) and the Nigerian National Health Research Ethics guidelines (National Health Research Ethics Committee of Nigeria [NHREC], 2018). Et</w:t>
      </w:r>
      <w:r>
        <w:rPr>
          <w:rFonts w:ascii="Times New Roman" w:hAnsi="Times New Roman" w:cs="Times New Roman"/>
          <w:color w:val="000000"/>
          <w:sz w:val="24"/>
          <w:szCs w:val="24"/>
        </w:rPr>
        <w:t xml:space="preserve">hical approval was </w:t>
      </w:r>
      <w:proofErr w:type="gramStart"/>
      <w:r>
        <w:rPr>
          <w:rFonts w:ascii="Times New Roman" w:hAnsi="Times New Roman" w:cs="Times New Roman"/>
          <w:color w:val="000000"/>
          <w:sz w:val="24"/>
          <w:szCs w:val="24"/>
        </w:rPr>
        <w:t xml:space="preserve">obtained </w:t>
      </w:r>
      <w:r w:rsidRPr="00B94F3E">
        <w:rPr>
          <w:rFonts w:ascii="Times New Roman" w:hAnsi="Times New Roman" w:cs="Times New Roman"/>
          <w:color w:val="000000"/>
          <w:sz w:val="24"/>
          <w:szCs w:val="24"/>
        </w:rPr>
        <w:t xml:space="preserve"> and</w:t>
      </w:r>
      <w:proofErr w:type="gramEnd"/>
      <w:r w:rsidRPr="00B94F3E">
        <w:rPr>
          <w:rFonts w:ascii="Times New Roman" w:hAnsi="Times New Roman" w:cs="Times New Roman"/>
          <w:color w:val="000000"/>
          <w:sz w:val="24"/>
          <w:szCs w:val="24"/>
        </w:rPr>
        <w:t xml:space="preserve"> permission was obtained from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LGA authorities and community leaders. Written informed consent was obtained from each primary caregiver, using a thumbprint after the form was read aloud </w:t>
      </w:r>
      <w:r w:rsidRPr="00B94F3E">
        <w:rPr>
          <w:rFonts w:ascii="Times New Roman" w:hAnsi="Times New Roman" w:cs="Times New Roman"/>
          <w:color w:val="000000"/>
          <w:sz w:val="24"/>
          <w:szCs w:val="24"/>
        </w:rPr>
        <w:lastRenderedPageBreak/>
        <w:t xml:space="preserve">where the caregiver could not read or write. Verbal assent was sought from children, and no child who was distressed or who refused was examined. Questionnaires were coded rather than named, data were accessible only to the research team, and results are reported in aggregate. </w:t>
      </w:r>
    </w:p>
    <w:p w14:paraId="6A9BFDA0" w14:textId="77777777" w:rsidR="00435B01" w:rsidRPr="00B94F3E" w:rsidRDefault="00B94F3E" w:rsidP="00B94F3E">
      <w:pPr>
        <w:pStyle w:val="Normal1"/>
        <w:widowControl w:val="0"/>
        <w:pBdr>
          <w:top w:val="nil"/>
          <w:left w:val="nil"/>
          <w:bottom w:val="nil"/>
          <w:right w:val="nil"/>
          <w:between w:val="nil"/>
        </w:pBdr>
        <w:spacing w:before="235"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Results </w:t>
      </w:r>
    </w:p>
    <w:p w14:paraId="7D5DD743" w14:textId="77777777" w:rsidR="00435B01" w:rsidRPr="00B94F3E" w:rsidRDefault="00B94F3E" w:rsidP="00B94F3E">
      <w:pPr>
        <w:pStyle w:val="Normal1"/>
        <w:widowControl w:val="0"/>
        <w:pBdr>
          <w:top w:val="nil"/>
          <w:left w:val="nil"/>
          <w:bottom w:val="nil"/>
          <w:right w:val="nil"/>
          <w:between w:val="nil"/>
        </w:pBdr>
        <w:spacing w:before="220" w:line="240" w:lineRule="auto"/>
        <w:ind w:left="8" w:right="-6" w:hanging="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A total of 389 caregiver–child pai</w:t>
      </w:r>
      <w:r>
        <w:rPr>
          <w:rFonts w:ascii="Times New Roman" w:hAnsi="Times New Roman" w:cs="Times New Roman"/>
          <w:color w:val="000000"/>
          <w:sz w:val="24"/>
          <w:szCs w:val="24"/>
        </w:rPr>
        <w:t xml:space="preserve">rs completed the study. Table </w:t>
      </w:r>
      <w:r w:rsidRPr="00B94F3E">
        <w:rPr>
          <w:rFonts w:ascii="Times New Roman" w:hAnsi="Times New Roman" w:cs="Times New Roman"/>
          <w:color w:val="000000"/>
          <w:sz w:val="24"/>
          <w:szCs w:val="24"/>
        </w:rPr>
        <w:t xml:space="preserve">1 shows the sociodemographic distribution. Caregivers had a mean age of 31.45 ± 9.30 years (95% CI: 30.52–32.38), and 39.6% were aged 25–34 years. Most were female </w:t>
      </w:r>
      <w:r w:rsidRPr="00B94F3E">
        <w:rPr>
          <w:rFonts w:ascii="Times New Roman" w:hAnsi="Times New Roman" w:cs="Times New Roman"/>
          <w:color w:val="000000"/>
          <w:sz w:val="24"/>
          <w:szCs w:val="24"/>
        </w:rPr>
        <w:t xml:space="preserve">(59.6%), and 48.3% were single. Secondary education was the most common level (29.0%), followed by tertiary (27.5%), no formal education (24.7%) and primary (18.8%). Trading was the most frequent occupation (35.2%) and 28.5% were unemployed. Nearly half of the households (45.0%) earned less than ₦50,000 per month, and only 10.3% earned ₦150,000 or more. Family size was 4–6 persons in 40.1% of households. Among the index children, 37.3% were aged 3 years, 29.3% 4 years and 33.4% 5 years, and 59.1% were female. Most caregivers were Christian (77.1%). </w:t>
      </w:r>
    </w:p>
    <w:p w14:paraId="14181403" w14:textId="77777777" w:rsid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num="2" w:space="720"/>
        </w:sectPr>
      </w:pPr>
    </w:p>
    <w:p w14:paraId="7AC47580" w14:textId="77777777" w:rsidR="00435B01" w:rsidRP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Table </w:t>
      </w:r>
      <w:r w:rsidRPr="00B94F3E">
        <w:rPr>
          <w:rFonts w:ascii="Times New Roman" w:hAnsi="Times New Roman" w:cs="Times New Roman"/>
          <w:b/>
          <w:bCs/>
          <w:color w:val="000000"/>
          <w:sz w:val="24"/>
          <w:szCs w:val="24"/>
        </w:rPr>
        <w:t xml:space="preserve">1: Sociodemographic distribution of caregivers and index children (N = 389) </w:t>
      </w:r>
    </w:p>
    <w:tbl>
      <w:tblPr>
        <w:tblStyle w:val="a"/>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01"/>
        <w:gridCol w:w="2599"/>
        <w:gridCol w:w="1700"/>
        <w:gridCol w:w="1825"/>
      </w:tblGrid>
      <w:tr w:rsidR="00435B01" w:rsidRPr="00B94F3E" w14:paraId="4D5B0153" w14:textId="77777777">
        <w:trPr>
          <w:cantSplit/>
          <w:trHeight w:val="297"/>
          <w:tblHeader/>
        </w:trPr>
        <w:tc>
          <w:tcPr>
            <w:tcW w:w="2900" w:type="dxa"/>
            <w:tcMar>
              <w:top w:w="100" w:type="dxa"/>
              <w:left w:w="100" w:type="dxa"/>
              <w:bottom w:w="100" w:type="dxa"/>
              <w:right w:w="100" w:type="dxa"/>
            </w:tcMar>
          </w:tcPr>
          <w:p w14:paraId="5DDCBB77" w14:textId="77777777" w:rsidR="00435B01" w:rsidRPr="00B94F3E" w:rsidRDefault="00B94F3E" w:rsidP="00B94F3E">
            <w:pPr>
              <w:pStyle w:val="Normal1"/>
              <w:widowControl w:val="0"/>
              <w:pBdr>
                <w:top w:val="nil"/>
                <w:left w:val="nil"/>
                <w:bottom w:val="nil"/>
                <w:right w:val="nil"/>
                <w:between w:val="nil"/>
              </w:pBdr>
              <w:spacing w:line="240" w:lineRule="auto"/>
              <w:ind w:left="92"/>
              <w:jc w:val="both"/>
              <w:rPr>
                <w:rFonts w:ascii="Times New Roman" w:hAnsi="Times New Roman" w:cs="Times New Roman"/>
                <w:b/>
                <w:bCs/>
                <w:color w:val="000000"/>
              </w:rPr>
            </w:pPr>
            <w:r w:rsidRPr="00B94F3E">
              <w:rPr>
                <w:rFonts w:ascii="Times New Roman" w:hAnsi="Times New Roman" w:cs="Times New Roman"/>
                <w:b/>
                <w:bCs/>
                <w:color w:val="000000"/>
              </w:rPr>
              <w:t xml:space="preserve">Variable </w:t>
            </w:r>
          </w:p>
        </w:tc>
        <w:tc>
          <w:tcPr>
            <w:tcW w:w="2599" w:type="dxa"/>
            <w:tcMar>
              <w:top w:w="100" w:type="dxa"/>
              <w:left w:w="100" w:type="dxa"/>
              <w:bottom w:w="100" w:type="dxa"/>
              <w:right w:w="100" w:type="dxa"/>
            </w:tcMar>
          </w:tcPr>
          <w:p w14:paraId="7810A9C1" w14:textId="77777777" w:rsidR="00435B01" w:rsidRPr="00B94F3E" w:rsidRDefault="00B94F3E" w:rsidP="00B94F3E">
            <w:pPr>
              <w:pStyle w:val="Normal1"/>
              <w:widowControl w:val="0"/>
              <w:pBdr>
                <w:top w:val="nil"/>
                <w:left w:val="nil"/>
                <w:bottom w:val="nil"/>
                <w:right w:val="nil"/>
                <w:between w:val="nil"/>
              </w:pBdr>
              <w:spacing w:line="240" w:lineRule="auto"/>
              <w:ind w:left="99"/>
              <w:jc w:val="both"/>
              <w:rPr>
                <w:rFonts w:ascii="Times New Roman" w:hAnsi="Times New Roman" w:cs="Times New Roman"/>
                <w:b/>
                <w:bCs/>
                <w:color w:val="000000"/>
              </w:rPr>
            </w:pPr>
            <w:r w:rsidRPr="00B94F3E">
              <w:rPr>
                <w:rFonts w:ascii="Times New Roman" w:hAnsi="Times New Roman" w:cs="Times New Roman"/>
                <w:b/>
                <w:bCs/>
                <w:color w:val="000000"/>
              </w:rPr>
              <w:t xml:space="preserve">Category </w:t>
            </w:r>
          </w:p>
        </w:tc>
        <w:tc>
          <w:tcPr>
            <w:tcW w:w="1700" w:type="dxa"/>
            <w:tcMar>
              <w:top w:w="100" w:type="dxa"/>
              <w:left w:w="100" w:type="dxa"/>
              <w:bottom w:w="100" w:type="dxa"/>
              <w:right w:w="100" w:type="dxa"/>
            </w:tcMar>
          </w:tcPr>
          <w:p w14:paraId="324D560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Frequency </w:t>
            </w:r>
          </w:p>
        </w:tc>
        <w:tc>
          <w:tcPr>
            <w:tcW w:w="1825" w:type="dxa"/>
            <w:tcMar>
              <w:top w:w="100" w:type="dxa"/>
              <w:left w:w="100" w:type="dxa"/>
              <w:bottom w:w="100" w:type="dxa"/>
              <w:right w:w="100" w:type="dxa"/>
            </w:tcMar>
          </w:tcPr>
          <w:p w14:paraId="5BEA7A1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Percentage (%)</w:t>
            </w:r>
          </w:p>
        </w:tc>
      </w:tr>
      <w:tr w:rsidR="00435B01" w:rsidRPr="00B94F3E" w14:paraId="66E4E6AA" w14:textId="77777777">
        <w:trPr>
          <w:cantSplit/>
          <w:trHeight w:val="504"/>
          <w:tblHeader/>
        </w:trPr>
        <w:tc>
          <w:tcPr>
            <w:tcW w:w="2900" w:type="dxa"/>
            <w:tcMar>
              <w:top w:w="100" w:type="dxa"/>
              <w:left w:w="100" w:type="dxa"/>
              <w:bottom w:w="100" w:type="dxa"/>
              <w:right w:w="100" w:type="dxa"/>
            </w:tcMar>
          </w:tcPr>
          <w:p w14:paraId="374EAABD" w14:textId="77777777" w:rsidR="00435B01" w:rsidRPr="00B94F3E" w:rsidRDefault="00B94F3E" w:rsidP="00B94F3E">
            <w:pPr>
              <w:pStyle w:val="Normal1"/>
              <w:widowControl w:val="0"/>
              <w:pBdr>
                <w:top w:val="nil"/>
                <w:left w:val="nil"/>
                <w:bottom w:val="nil"/>
                <w:right w:val="nil"/>
                <w:between w:val="nil"/>
              </w:pBdr>
              <w:spacing w:line="240" w:lineRule="auto"/>
              <w:ind w:left="96" w:right="378" w:hanging="3"/>
              <w:jc w:val="both"/>
              <w:rPr>
                <w:rFonts w:ascii="Times New Roman" w:hAnsi="Times New Roman" w:cs="Times New Roman"/>
                <w:color w:val="000000"/>
              </w:rPr>
            </w:pPr>
            <w:r w:rsidRPr="00B94F3E">
              <w:rPr>
                <w:rFonts w:ascii="Times New Roman" w:hAnsi="Times New Roman" w:cs="Times New Roman"/>
                <w:color w:val="000000"/>
              </w:rPr>
              <w:t xml:space="preserve">Age (years), mean ± SD: 31.45 </w:t>
            </w:r>
            <w:proofErr w:type="gramStart"/>
            <w:r w:rsidRPr="00B94F3E">
              <w:rPr>
                <w:rFonts w:ascii="Times New Roman" w:hAnsi="Times New Roman" w:cs="Times New Roman"/>
                <w:color w:val="000000"/>
              </w:rPr>
              <w:t>±  9</w:t>
            </w:r>
            <w:proofErr w:type="gramEnd"/>
            <w:r w:rsidRPr="00B94F3E">
              <w:rPr>
                <w:rFonts w:ascii="Times New Roman" w:hAnsi="Times New Roman" w:cs="Times New Roman"/>
                <w:color w:val="000000"/>
              </w:rPr>
              <w:t>.30</w:t>
            </w:r>
          </w:p>
        </w:tc>
        <w:tc>
          <w:tcPr>
            <w:tcW w:w="2599" w:type="dxa"/>
            <w:tcMar>
              <w:top w:w="100" w:type="dxa"/>
              <w:left w:w="100" w:type="dxa"/>
              <w:bottom w:w="100" w:type="dxa"/>
              <w:right w:w="100" w:type="dxa"/>
            </w:tcMar>
          </w:tcPr>
          <w:p w14:paraId="5FF8E97A"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≤24 </w:t>
            </w:r>
          </w:p>
        </w:tc>
        <w:tc>
          <w:tcPr>
            <w:tcW w:w="1700" w:type="dxa"/>
            <w:tcMar>
              <w:top w:w="100" w:type="dxa"/>
              <w:left w:w="100" w:type="dxa"/>
              <w:bottom w:w="100" w:type="dxa"/>
              <w:right w:w="100" w:type="dxa"/>
            </w:tcMar>
          </w:tcPr>
          <w:p w14:paraId="6B21DED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96 </w:t>
            </w:r>
          </w:p>
        </w:tc>
        <w:tc>
          <w:tcPr>
            <w:tcW w:w="1825" w:type="dxa"/>
            <w:tcMar>
              <w:top w:w="100" w:type="dxa"/>
              <w:left w:w="100" w:type="dxa"/>
              <w:bottom w:w="100" w:type="dxa"/>
              <w:right w:w="100" w:type="dxa"/>
            </w:tcMar>
          </w:tcPr>
          <w:p w14:paraId="0D6E98B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24.7</w:t>
            </w:r>
          </w:p>
        </w:tc>
      </w:tr>
      <w:tr w:rsidR="00435B01" w:rsidRPr="00B94F3E" w14:paraId="5C178E2C" w14:textId="77777777">
        <w:trPr>
          <w:cantSplit/>
          <w:trHeight w:val="365"/>
          <w:tblHeader/>
        </w:trPr>
        <w:tc>
          <w:tcPr>
            <w:tcW w:w="2900" w:type="dxa"/>
            <w:tcMar>
              <w:top w:w="100" w:type="dxa"/>
              <w:left w:w="100" w:type="dxa"/>
              <w:bottom w:w="100" w:type="dxa"/>
              <w:right w:w="100" w:type="dxa"/>
            </w:tcMar>
          </w:tcPr>
          <w:p w14:paraId="7671E737"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0AC0128F"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25–34 </w:t>
            </w:r>
          </w:p>
        </w:tc>
        <w:tc>
          <w:tcPr>
            <w:tcW w:w="1700" w:type="dxa"/>
            <w:tcMar>
              <w:top w:w="100" w:type="dxa"/>
              <w:left w:w="100" w:type="dxa"/>
              <w:bottom w:w="100" w:type="dxa"/>
              <w:right w:w="100" w:type="dxa"/>
            </w:tcMar>
          </w:tcPr>
          <w:p w14:paraId="0594A8E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154 </w:t>
            </w:r>
          </w:p>
        </w:tc>
        <w:tc>
          <w:tcPr>
            <w:tcW w:w="1825" w:type="dxa"/>
            <w:tcMar>
              <w:top w:w="100" w:type="dxa"/>
              <w:left w:w="100" w:type="dxa"/>
              <w:bottom w:w="100" w:type="dxa"/>
              <w:right w:w="100" w:type="dxa"/>
            </w:tcMar>
          </w:tcPr>
          <w:p w14:paraId="331F8AA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39.6</w:t>
            </w:r>
          </w:p>
        </w:tc>
      </w:tr>
      <w:tr w:rsidR="00435B01" w:rsidRPr="00B94F3E" w14:paraId="6373E8F6" w14:textId="77777777">
        <w:trPr>
          <w:cantSplit/>
          <w:trHeight w:val="366"/>
          <w:tblHeader/>
        </w:trPr>
        <w:tc>
          <w:tcPr>
            <w:tcW w:w="2900" w:type="dxa"/>
            <w:tcMar>
              <w:top w:w="100" w:type="dxa"/>
              <w:left w:w="100" w:type="dxa"/>
              <w:bottom w:w="100" w:type="dxa"/>
              <w:right w:w="100" w:type="dxa"/>
            </w:tcMar>
          </w:tcPr>
          <w:p w14:paraId="0EB615D7"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7A708323" w14:textId="77777777" w:rsidR="00435B01" w:rsidRPr="00B94F3E" w:rsidRDefault="00B94F3E" w:rsidP="00B94F3E">
            <w:pPr>
              <w:pStyle w:val="Normal1"/>
              <w:widowControl w:val="0"/>
              <w:pBdr>
                <w:top w:val="nil"/>
                <w:left w:val="nil"/>
                <w:bottom w:val="nil"/>
                <w:right w:val="nil"/>
                <w:between w:val="nil"/>
              </w:pBdr>
              <w:spacing w:line="240" w:lineRule="auto"/>
              <w:ind w:left="99"/>
              <w:jc w:val="both"/>
              <w:rPr>
                <w:rFonts w:ascii="Times New Roman" w:hAnsi="Times New Roman" w:cs="Times New Roman"/>
                <w:color w:val="000000"/>
              </w:rPr>
            </w:pPr>
            <w:r w:rsidRPr="00B94F3E">
              <w:rPr>
                <w:rFonts w:ascii="Times New Roman" w:hAnsi="Times New Roman" w:cs="Times New Roman"/>
                <w:color w:val="000000"/>
              </w:rPr>
              <w:t xml:space="preserve">35–44 </w:t>
            </w:r>
          </w:p>
        </w:tc>
        <w:tc>
          <w:tcPr>
            <w:tcW w:w="1700" w:type="dxa"/>
            <w:tcMar>
              <w:top w:w="100" w:type="dxa"/>
              <w:left w:w="100" w:type="dxa"/>
              <w:bottom w:w="100" w:type="dxa"/>
              <w:right w:w="100" w:type="dxa"/>
            </w:tcMar>
          </w:tcPr>
          <w:p w14:paraId="4963D21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107 </w:t>
            </w:r>
          </w:p>
        </w:tc>
        <w:tc>
          <w:tcPr>
            <w:tcW w:w="1825" w:type="dxa"/>
            <w:tcMar>
              <w:top w:w="100" w:type="dxa"/>
              <w:left w:w="100" w:type="dxa"/>
              <w:bottom w:w="100" w:type="dxa"/>
              <w:right w:w="100" w:type="dxa"/>
            </w:tcMar>
          </w:tcPr>
          <w:p w14:paraId="157FD0A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27.5</w:t>
            </w:r>
          </w:p>
        </w:tc>
      </w:tr>
      <w:tr w:rsidR="00435B01" w:rsidRPr="00B94F3E" w14:paraId="5284CB9B" w14:textId="77777777">
        <w:trPr>
          <w:cantSplit/>
          <w:trHeight w:val="365"/>
          <w:tblHeader/>
        </w:trPr>
        <w:tc>
          <w:tcPr>
            <w:tcW w:w="2900" w:type="dxa"/>
            <w:tcMar>
              <w:top w:w="100" w:type="dxa"/>
              <w:left w:w="100" w:type="dxa"/>
              <w:bottom w:w="100" w:type="dxa"/>
              <w:right w:w="100" w:type="dxa"/>
            </w:tcMar>
          </w:tcPr>
          <w:p w14:paraId="70BD06D9"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1EBC98BD"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≥45 </w:t>
            </w:r>
          </w:p>
        </w:tc>
        <w:tc>
          <w:tcPr>
            <w:tcW w:w="1700" w:type="dxa"/>
            <w:tcMar>
              <w:top w:w="100" w:type="dxa"/>
              <w:left w:w="100" w:type="dxa"/>
              <w:bottom w:w="100" w:type="dxa"/>
              <w:right w:w="100" w:type="dxa"/>
            </w:tcMar>
          </w:tcPr>
          <w:p w14:paraId="443C3F5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32 </w:t>
            </w:r>
          </w:p>
        </w:tc>
        <w:tc>
          <w:tcPr>
            <w:tcW w:w="1825" w:type="dxa"/>
            <w:tcMar>
              <w:top w:w="100" w:type="dxa"/>
              <w:left w:w="100" w:type="dxa"/>
              <w:bottom w:w="100" w:type="dxa"/>
              <w:right w:w="100" w:type="dxa"/>
            </w:tcMar>
          </w:tcPr>
          <w:p w14:paraId="5656945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8.2</w:t>
            </w:r>
          </w:p>
        </w:tc>
      </w:tr>
      <w:tr w:rsidR="00435B01" w:rsidRPr="00B94F3E" w14:paraId="6788E21F" w14:textId="77777777">
        <w:trPr>
          <w:cantSplit/>
          <w:trHeight w:val="295"/>
          <w:tblHeader/>
        </w:trPr>
        <w:tc>
          <w:tcPr>
            <w:tcW w:w="2900" w:type="dxa"/>
            <w:tcMar>
              <w:top w:w="100" w:type="dxa"/>
              <w:left w:w="100" w:type="dxa"/>
              <w:bottom w:w="100" w:type="dxa"/>
              <w:right w:w="100" w:type="dxa"/>
            </w:tcMar>
          </w:tcPr>
          <w:p w14:paraId="4B83CD87" w14:textId="77777777" w:rsidR="00435B01" w:rsidRPr="00B94F3E" w:rsidRDefault="00B94F3E" w:rsidP="00B94F3E">
            <w:pPr>
              <w:pStyle w:val="Normal1"/>
              <w:widowControl w:val="0"/>
              <w:pBdr>
                <w:top w:val="nil"/>
                <w:left w:val="nil"/>
                <w:bottom w:val="nil"/>
                <w:right w:val="nil"/>
                <w:between w:val="nil"/>
              </w:pBdr>
              <w:spacing w:line="240" w:lineRule="auto"/>
              <w:ind w:left="103"/>
              <w:jc w:val="both"/>
              <w:rPr>
                <w:rFonts w:ascii="Times New Roman" w:hAnsi="Times New Roman" w:cs="Times New Roman"/>
                <w:color w:val="000000"/>
              </w:rPr>
            </w:pPr>
            <w:r w:rsidRPr="00B94F3E">
              <w:rPr>
                <w:rFonts w:ascii="Times New Roman" w:hAnsi="Times New Roman" w:cs="Times New Roman"/>
                <w:color w:val="000000"/>
              </w:rPr>
              <w:t xml:space="preserve">Sex </w:t>
            </w:r>
          </w:p>
        </w:tc>
        <w:tc>
          <w:tcPr>
            <w:tcW w:w="2599" w:type="dxa"/>
            <w:tcMar>
              <w:top w:w="100" w:type="dxa"/>
              <w:left w:w="100" w:type="dxa"/>
              <w:bottom w:w="100" w:type="dxa"/>
              <w:right w:w="100" w:type="dxa"/>
            </w:tcMar>
          </w:tcPr>
          <w:p w14:paraId="1A70942E"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Male </w:t>
            </w:r>
          </w:p>
        </w:tc>
        <w:tc>
          <w:tcPr>
            <w:tcW w:w="1700" w:type="dxa"/>
            <w:tcMar>
              <w:top w:w="100" w:type="dxa"/>
              <w:left w:w="100" w:type="dxa"/>
              <w:bottom w:w="100" w:type="dxa"/>
              <w:right w:w="100" w:type="dxa"/>
            </w:tcMar>
          </w:tcPr>
          <w:p w14:paraId="6BF15DE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157 </w:t>
            </w:r>
          </w:p>
        </w:tc>
        <w:tc>
          <w:tcPr>
            <w:tcW w:w="1825" w:type="dxa"/>
            <w:tcMar>
              <w:top w:w="100" w:type="dxa"/>
              <w:left w:w="100" w:type="dxa"/>
              <w:bottom w:w="100" w:type="dxa"/>
              <w:right w:w="100" w:type="dxa"/>
            </w:tcMar>
          </w:tcPr>
          <w:p w14:paraId="25AC8C2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40.4</w:t>
            </w:r>
          </w:p>
        </w:tc>
      </w:tr>
      <w:tr w:rsidR="00435B01" w:rsidRPr="00B94F3E" w14:paraId="7EFE64F1" w14:textId="77777777">
        <w:trPr>
          <w:cantSplit/>
          <w:trHeight w:val="366"/>
          <w:tblHeader/>
        </w:trPr>
        <w:tc>
          <w:tcPr>
            <w:tcW w:w="2900" w:type="dxa"/>
            <w:tcMar>
              <w:top w:w="100" w:type="dxa"/>
              <w:left w:w="100" w:type="dxa"/>
              <w:bottom w:w="100" w:type="dxa"/>
              <w:right w:w="100" w:type="dxa"/>
            </w:tcMar>
          </w:tcPr>
          <w:p w14:paraId="09579D13"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0131A544"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Female </w:t>
            </w:r>
          </w:p>
        </w:tc>
        <w:tc>
          <w:tcPr>
            <w:tcW w:w="1700" w:type="dxa"/>
            <w:tcMar>
              <w:top w:w="100" w:type="dxa"/>
              <w:left w:w="100" w:type="dxa"/>
              <w:bottom w:w="100" w:type="dxa"/>
              <w:right w:w="100" w:type="dxa"/>
            </w:tcMar>
          </w:tcPr>
          <w:p w14:paraId="689DE07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232 </w:t>
            </w:r>
          </w:p>
        </w:tc>
        <w:tc>
          <w:tcPr>
            <w:tcW w:w="1825" w:type="dxa"/>
            <w:tcMar>
              <w:top w:w="100" w:type="dxa"/>
              <w:left w:w="100" w:type="dxa"/>
              <w:bottom w:w="100" w:type="dxa"/>
              <w:right w:w="100" w:type="dxa"/>
            </w:tcMar>
          </w:tcPr>
          <w:p w14:paraId="0BBA23D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59.6</w:t>
            </w:r>
          </w:p>
        </w:tc>
      </w:tr>
      <w:tr w:rsidR="00435B01" w:rsidRPr="00B94F3E" w14:paraId="25C0A478" w14:textId="77777777">
        <w:trPr>
          <w:cantSplit/>
          <w:trHeight w:val="297"/>
          <w:tblHeader/>
        </w:trPr>
        <w:tc>
          <w:tcPr>
            <w:tcW w:w="2900" w:type="dxa"/>
            <w:tcMar>
              <w:top w:w="100" w:type="dxa"/>
              <w:left w:w="100" w:type="dxa"/>
              <w:bottom w:w="100" w:type="dxa"/>
              <w:right w:w="100" w:type="dxa"/>
            </w:tcMar>
          </w:tcPr>
          <w:p w14:paraId="00737055"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Marital status </w:t>
            </w:r>
          </w:p>
        </w:tc>
        <w:tc>
          <w:tcPr>
            <w:tcW w:w="2599" w:type="dxa"/>
            <w:tcMar>
              <w:top w:w="100" w:type="dxa"/>
              <w:left w:w="100" w:type="dxa"/>
              <w:bottom w:w="100" w:type="dxa"/>
              <w:right w:w="100" w:type="dxa"/>
            </w:tcMar>
          </w:tcPr>
          <w:p w14:paraId="67A92D3D" w14:textId="77777777" w:rsidR="00435B01" w:rsidRPr="00B94F3E" w:rsidRDefault="00B94F3E" w:rsidP="00B94F3E">
            <w:pPr>
              <w:pStyle w:val="Normal1"/>
              <w:widowControl w:val="0"/>
              <w:pBdr>
                <w:top w:val="nil"/>
                <w:left w:val="nil"/>
                <w:bottom w:val="nil"/>
                <w:right w:val="nil"/>
                <w:between w:val="nil"/>
              </w:pBdr>
              <w:spacing w:line="240" w:lineRule="auto"/>
              <w:ind w:left="103"/>
              <w:jc w:val="both"/>
              <w:rPr>
                <w:rFonts w:ascii="Times New Roman" w:hAnsi="Times New Roman" w:cs="Times New Roman"/>
                <w:color w:val="000000"/>
              </w:rPr>
            </w:pPr>
            <w:r w:rsidRPr="00B94F3E">
              <w:rPr>
                <w:rFonts w:ascii="Times New Roman" w:hAnsi="Times New Roman" w:cs="Times New Roman"/>
                <w:color w:val="000000"/>
              </w:rPr>
              <w:t xml:space="preserve">Single </w:t>
            </w:r>
          </w:p>
        </w:tc>
        <w:tc>
          <w:tcPr>
            <w:tcW w:w="1700" w:type="dxa"/>
            <w:tcMar>
              <w:top w:w="100" w:type="dxa"/>
              <w:left w:w="100" w:type="dxa"/>
              <w:bottom w:w="100" w:type="dxa"/>
              <w:right w:w="100" w:type="dxa"/>
            </w:tcMar>
          </w:tcPr>
          <w:p w14:paraId="60397E7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188 </w:t>
            </w:r>
          </w:p>
        </w:tc>
        <w:tc>
          <w:tcPr>
            <w:tcW w:w="1825" w:type="dxa"/>
            <w:tcMar>
              <w:top w:w="100" w:type="dxa"/>
              <w:left w:w="100" w:type="dxa"/>
              <w:bottom w:w="100" w:type="dxa"/>
              <w:right w:w="100" w:type="dxa"/>
            </w:tcMar>
          </w:tcPr>
          <w:p w14:paraId="18B653F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48.3</w:t>
            </w:r>
          </w:p>
        </w:tc>
      </w:tr>
      <w:tr w:rsidR="00435B01" w:rsidRPr="00B94F3E" w14:paraId="05292284" w14:textId="77777777">
        <w:trPr>
          <w:cantSplit/>
          <w:trHeight w:val="366"/>
          <w:tblHeader/>
        </w:trPr>
        <w:tc>
          <w:tcPr>
            <w:tcW w:w="2900" w:type="dxa"/>
            <w:tcMar>
              <w:top w:w="100" w:type="dxa"/>
              <w:left w:w="100" w:type="dxa"/>
              <w:bottom w:w="100" w:type="dxa"/>
              <w:right w:w="100" w:type="dxa"/>
            </w:tcMar>
          </w:tcPr>
          <w:p w14:paraId="6A7252BA"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3EDCA02F"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Currently married </w:t>
            </w:r>
          </w:p>
        </w:tc>
        <w:tc>
          <w:tcPr>
            <w:tcW w:w="1700" w:type="dxa"/>
            <w:tcMar>
              <w:top w:w="100" w:type="dxa"/>
              <w:left w:w="100" w:type="dxa"/>
              <w:bottom w:w="100" w:type="dxa"/>
              <w:right w:w="100" w:type="dxa"/>
            </w:tcMar>
          </w:tcPr>
          <w:p w14:paraId="30F9F32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124 </w:t>
            </w:r>
          </w:p>
        </w:tc>
        <w:tc>
          <w:tcPr>
            <w:tcW w:w="1825" w:type="dxa"/>
            <w:tcMar>
              <w:top w:w="100" w:type="dxa"/>
              <w:left w:w="100" w:type="dxa"/>
              <w:bottom w:w="100" w:type="dxa"/>
              <w:right w:w="100" w:type="dxa"/>
            </w:tcMar>
          </w:tcPr>
          <w:p w14:paraId="7FF2155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31.9</w:t>
            </w:r>
          </w:p>
        </w:tc>
      </w:tr>
      <w:tr w:rsidR="00435B01" w:rsidRPr="00B94F3E" w14:paraId="7773B3D3" w14:textId="77777777">
        <w:trPr>
          <w:cantSplit/>
          <w:trHeight w:val="366"/>
          <w:tblHeader/>
        </w:trPr>
        <w:tc>
          <w:tcPr>
            <w:tcW w:w="2900" w:type="dxa"/>
            <w:tcMar>
              <w:top w:w="100" w:type="dxa"/>
              <w:left w:w="100" w:type="dxa"/>
              <w:bottom w:w="100" w:type="dxa"/>
              <w:right w:w="100" w:type="dxa"/>
            </w:tcMar>
          </w:tcPr>
          <w:p w14:paraId="161DE41E"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13C5154A"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Previously married </w:t>
            </w:r>
          </w:p>
        </w:tc>
        <w:tc>
          <w:tcPr>
            <w:tcW w:w="1700" w:type="dxa"/>
            <w:tcMar>
              <w:top w:w="100" w:type="dxa"/>
              <w:left w:w="100" w:type="dxa"/>
              <w:bottom w:w="100" w:type="dxa"/>
              <w:right w:w="100" w:type="dxa"/>
            </w:tcMar>
          </w:tcPr>
          <w:p w14:paraId="0ACE68D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77 </w:t>
            </w:r>
          </w:p>
        </w:tc>
        <w:tc>
          <w:tcPr>
            <w:tcW w:w="1825" w:type="dxa"/>
            <w:tcMar>
              <w:top w:w="100" w:type="dxa"/>
              <w:left w:w="100" w:type="dxa"/>
              <w:bottom w:w="100" w:type="dxa"/>
              <w:right w:w="100" w:type="dxa"/>
            </w:tcMar>
          </w:tcPr>
          <w:p w14:paraId="2B97BE7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19.8</w:t>
            </w:r>
          </w:p>
        </w:tc>
      </w:tr>
      <w:tr w:rsidR="00435B01" w:rsidRPr="00B94F3E" w14:paraId="688408F8" w14:textId="77777777">
        <w:trPr>
          <w:cantSplit/>
          <w:trHeight w:val="295"/>
          <w:tblHeader/>
        </w:trPr>
        <w:tc>
          <w:tcPr>
            <w:tcW w:w="2900" w:type="dxa"/>
            <w:tcMar>
              <w:top w:w="100" w:type="dxa"/>
              <w:left w:w="100" w:type="dxa"/>
              <w:bottom w:w="100" w:type="dxa"/>
              <w:right w:w="100" w:type="dxa"/>
            </w:tcMar>
          </w:tcPr>
          <w:p w14:paraId="2CC68D81"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Educational level </w:t>
            </w:r>
          </w:p>
        </w:tc>
        <w:tc>
          <w:tcPr>
            <w:tcW w:w="2599" w:type="dxa"/>
            <w:tcMar>
              <w:top w:w="100" w:type="dxa"/>
              <w:left w:w="100" w:type="dxa"/>
              <w:bottom w:w="100" w:type="dxa"/>
              <w:right w:w="100" w:type="dxa"/>
            </w:tcMar>
          </w:tcPr>
          <w:p w14:paraId="582F5E69"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No education </w:t>
            </w:r>
          </w:p>
        </w:tc>
        <w:tc>
          <w:tcPr>
            <w:tcW w:w="1700" w:type="dxa"/>
            <w:tcMar>
              <w:top w:w="100" w:type="dxa"/>
              <w:left w:w="100" w:type="dxa"/>
              <w:bottom w:w="100" w:type="dxa"/>
              <w:right w:w="100" w:type="dxa"/>
            </w:tcMar>
          </w:tcPr>
          <w:p w14:paraId="2C45C61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96 </w:t>
            </w:r>
          </w:p>
        </w:tc>
        <w:tc>
          <w:tcPr>
            <w:tcW w:w="1825" w:type="dxa"/>
            <w:tcMar>
              <w:top w:w="100" w:type="dxa"/>
              <w:left w:w="100" w:type="dxa"/>
              <w:bottom w:w="100" w:type="dxa"/>
              <w:right w:w="100" w:type="dxa"/>
            </w:tcMar>
          </w:tcPr>
          <w:p w14:paraId="0BCD92C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24.7</w:t>
            </w:r>
          </w:p>
        </w:tc>
      </w:tr>
      <w:tr w:rsidR="00435B01" w:rsidRPr="00B94F3E" w14:paraId="6FF26DA4" w14:textId="77777777">
        <w:trPr>
          <w:cantSplit/>
          <w:trHeight w:val="366"/>
          <w:tblHeader/>
        </w:trPr>
        <w:tc>
          <w:tcPr>
            <w:tcW w:w="2900" w:type="dxa"/>
            <w:tcMar>
              <w:top w:w="100" w:type="dxa"/>
              <w:left w:w="100" w:type="dxa"/>
              <w:bottom w:w="100" w:type="dxa"/>
              <w:right w:w="100" w:type="dxa"/>
            </w:tcMar>
          </w:tcPr>
          <w:p w14:paraId="2C5912E6"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7036BE3E"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Primary </w:t>
            </w:r>
          </w:p>
        </w:tc>
        <w:tc>
          <w:tcPr>
            <w:tcW w:w="1700" w:type="dxa"/>
            <w:tcMar>
              <w:top w:w="100" w:type="dxa"/>
              <w:left w:w="100" w:type="dxa"/>
              <w:bottom w:w="100" w:type="dxa"/>
              <w:right w:w="100" w:type="dxa"/>
            </w:tcMar>
          </w:tcPr>
          <w:p w14:paraId="7F2D55A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73 </w:t>
            </w:r>
          </w:p>
        </w:tc>
        <w:tc>
          <w:tcPr>
            <w:tcW w:w="1825" w:type="dxa"/>
            <w:tcMar>
              <w:top w:w="100" w:type="dxa"/>
              <w:left w:w="100" w:type="dxa"/>
              <w:bottom w:w="100" w:type="dxa"/>
              <w:right w:w="100" w:type="dxa"/>
            </w:tcMar>
          </w:tcPr>
          <w:p w14:paraId="093C78C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18.8</w:t>
            </w:r>
          </w:p>
        </w:tc>
      </w:tr>
      <w:tr w:rsidR="00435B01" w:rsidRPr="00B94F3E" w14:paraId="0916CAA7" w14:textId="77777777">
        <w:trPr>
          <w:cantSplit/>
          <w:trHeight w:val="366"/>
          <w:tblHeader/>
        </w:trPr>
        <w:tc>
          <w:tcPr>
            <w:tcW w:w="2900" w:type="dxa"/>
            <w:tcMar>
              <w:top w:w="100" w:type="dxa"/>
              <w:left w:w="100" w:type="dxa"/>
              <w:bottom w:w="100" w:type="dxa"/>
              <w:right w:w="100" w:type="dxa"/>
            </w:tcMar>
          </w:tcPr>
          <w:p w14:paraId="42651661"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3B184CFF" w14:textId="77777777" w:rsidR="00435B01" w:rsidRPr="00B94F3E" w:rsidRDefault="00B94F3E" w:rsidP="00B94F3E">
            <w:pPr>
              <w:pStyle w:val="Normal1"/>
              <w:widowControl w:val="0"/>
              <w:pBdr>
                <w:top w:val="nil"/>
                <w:left w:val="nil"/>
                <w:bottom w:val="nil"/>
                <w:right w:val="nil"/>
                <w:between w:val="nil"/>
              </w:pBdr>
              <w:spacing w:line="240" w:lineRule="auto"/>
              <w:ind w:left="103"/>
              <w:jc w:val="both"/>
              <w:rPr>
                <w:rFonts w:ascii="Times New Roman" w:hAnsi="Times New Roman" w:cs="Times New Roman"/>
                <w:color w:val="000000"/>
              </w:rPr>
            </w:pPr>
            <w:r w:rsidRPr="00B94F3E">
              <w:rPr>
                <w:rFonts w:ascii="Times New Roman" w:hAnsi="Times New Roman" w:cs="Times New Roman"/>
                <w:color w:val="000000"/>
              </w:rPr>
              <w:t xml:space="preserve">Secondary </w:t>
            </w:r>
          </w:p>
        </w:tc>
        <w:tc>
          <w:tcPr>
            <w:tcW w:w="1700" w:type="dxa"/>
            <w:tcMar>
              <w:top w:w="100" w:type="dxa"/>
              <w:left w:w="100" w:type="dxa"/>
              <w:bottom w:w="100" w:type="dxa"/>
              <w:right w:w="100" w:type="dxa"/>
            </w:tcMar>
          </w:tcPr>
          <w:p w14:paraId="2E4EB09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113 </w:t>
            </w:r>
          </w:p>
        </w:tc>
        <w:tc>
          <w:tcPr>
            <w:tcW w:w="1825" w:type="dxa"/>
            <w:tcMar>
              <w:top w:w="100" w:type="dxa"/>
              <w:left w:w="100" w:type="dxa"/>
              <w:bottom w:w="100" w:type="dxa"/>
              <w:right w:w="100" w:type="dxa"/>
            </w:tcMar>
          </w:tcPr>
          <w:p w14:paraId="1BD9AEE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29.0</w:t>
            </w:r>
          </w:p>
        </w:tc>
      </w:tr>
      <w:tr w:rsidR="00435B01" w:rsidRPr="00B94F3E" w14:paraId="54FC202F" w14:textId="77777777">
        <w:trPr>
          <w:cantSplit/>
          <w:trHeight w:val="366"/>
          <w:tblHeader/>
        </w:trPr>
        <w:tc>
          <w:tcPr>
            <w:tcW w:w="2900" w:type="dxa"/>
            <w:tcMar>
              <w:top w:w="100" w:type="dxa"/>
              <w:left w:w="100" w:type="dxa"/>
              <w:bottom w:w="100" w:type="dxa"/>
              <w:right w:w="100" w:type="dxa"/>
            </w:tcMar>
          </w:tcPr>
          <w:p w14:paraId="4A692523"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3EC27998"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Tertiary </w:t>
            </w:r>
          </w:p>
        </w:tc>
        <w:tc>
          <w:tcPr>
            <w:tcW w:w="1700" w:type="dxa"/>
            <w:tcMar>
              <w:top w:w="100" w:type="dxa"/>
              <w:left w:w="100" w:type="dxa"/>
              <w:bottom w:w="100" w:type="dxa"/>
              <w:right w:w="100" w:type="dxa"/>
            </w:tcMar>
          </w:tcPr>
          <w:p w14:paraId="45BF99C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107 </w:t>
            </w:r>
          </w:p>
        </w:tc>
        <w:tc>
          <w:tcPr>
            <w:tcW w:w="1825" w:type="dxa"/>
            <w:tcMar>
              <w:top w:w="100" w:type="dxa"/>
              <w:left w:w="100" w:type="dxa"/>
              <w:bottom w:w="100" w:type="dxa"/>
              <w:right w:w="100" w:type="dxa"/>
            </w:tcMar>
          </w:tcPr>
          <w:p w14:paraId="627C48A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27.5</w:t>
            </w:r>
          </w:p>
        </w:tc>
      </w:tr>
      <w:tr w:rsidR="00435B01" w:rsidRPr="00B94F3E" w14:paraId="4985E3CB" w14:textId="77777777">
        <w:trPr>
          <w:cantSplit/>
          <w:trHeight w:val="297"/>
          <w:tblHeader/>
        </w:trPr>
        <w:tc>
          <w:tcPr>
            <w:tcW w:w="2900" w:type="dxa"/>
            <w:tcMar>
              <w:top w:w="100" w:type="dxa"/>
              <w:left w:w="100" w:type="dxa"/>
              <w:bottom w:w="100" w:type="dxa"/>
              <w:right w:w="100" w:type="dxa"/>
            </w:tcMar>
          </w:tcPr>
          <w:p w14:paraId="676B8C08"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Occupation </w:t>
            </w:r>
          </w:p>
        </w:tc>
        <w:tc>
          <w:tcPr>
            <w:tcW w:w="2599" w:type="dxa"/>
            <w:tcMar>
              <w:top w:w="100" w:type="dxa"/>
              <w:left w:w="100" w:type="dxa"/>
              <w:bottom w:w="100" w:type="dxa"/>
              <w:right w:w="100" w:type="dxa"/>
            </w:tcMar>
          </w:tcPr>
          <w:p w14:paraId="23E7EA65"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Unemployed </w:t>
            </w:r>
          </w:p>
        </w:tc>
        <w:tc>
          <w:tcPr>
            <w:tcW w:w="1700" w:type="dxa"/>
            <w:tcMar>
              <w:top w:w="100" w:type="dxa"/>
              <w:left w:w="100" w:type="dxa"/>
              <w:bottom w:w="100" w:type="dxa"/>
              <w:right w:w="100" w:type="dxa"/>
            </w:tcMar>
          </w:tcPr>
          <w:p w14:paraId="1317F63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111 </w:t>
            </w:r>
          </w:p>
        </w:tc>
        <w:tc>
          <w:tcPr>
            <w:tcW w:w="1825" w:type="dxa"/>
            <w:tcMar>
              <w:top w:w="100" w:type="dxa"/>
              <w:left w:w="100" w:type="dxa"/>
              <w:bottom w:w="100" w:type="dxa"/>
              <w:right w:w="100" w:type="dxa"/>
            </w:tcMar>
          </w:tcPr>
          <w:p w14:paraId="194D677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28.5</w:t>
            </w:r>
          </w:p>
        </w:tc>
      </w:tr>
      <w:tr w:rsidR="00435B01" w:rsidRPr="00B94F3E" w14:paraId="52A80C19" w14:textId="77777777">
        <w:trPr>
          <w:cantSplit/>
          <w:trHeight w:val="366"/>
          <w:tblHeader/>
        </w:trPr>
        <w:tc>
          <w:tcPr>
            <w:tcW w:w="2900" w:type="dxa"/>
            <w:tcMar>
              <w:top w:w="100" w:type="dxa"/>
              <w:left w:w="100" w:type="dxa"/>
              <w:bottom w:w="100" w:type="dxa"/>
              <w:right w:w="100" w:type="dxa"/>
            </w:tcMar>
          </w:tcPr>
          <w:p w14:paraId="3080ADC0"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539671C5"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Trader/market vendor </w:t>
            </w:r>
          </w:p>
        </w:tc>
        <w:tc>
          <w:tcPr>
            <w:tcW w:w="1700" w:type="dxa"/>
            <w:tcMar>
              <w:top w:w="100" w:type="dxa"/>
              <w:left w:w="100" w:type="dxa"/>
              <w:bottom w:w="100" w:type="dxa"/>
              <w:right w:w="100" w:type="dxa"/>
            </w:tcMar>
          </w:tcPr>
          <w:p w14:paraId="4D97764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137 </w:t>
            </w:r>
          </w:p>
        </w:tc>
        <w:tc>
          <w:tcPr>
            <w:tcW w:w="1825" w:type="dxa"/>
            <w:tcMar>
              <w:top w:w="100" w:type="dxa"/>
              <w:left w:w="100" w:type="dxa"/>
              <w:bottom w:w="100" w:type="dxa"/>
              <w:right w:w="100" w:type="dxa"/>
            </w:tcMar>
          </w:tcPr>
          <w:p w14:paraId="46A2126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35.2</w:t>
            </w:r>
          </w:p>
        </w:tc>
      </w:tr>
      <w:tr w:rsidR="00435B01" w:rsidRPr="00B94F3E" w14:paraId="01E553CA" w14:textId="77777777">
        <w:trPr>
          <w:cantSplit/>
          <w:trHeight w:val="366"/>
          <w:tblHeader/>
        </w:trPr>
        <w:tc>
          <w:tcPr>
            <w:tcW w:w="2900" w:type="dxa"/>
            <w:tcMar>
              <w:top w:w="100" w:type="dxa"/>
              <w:left w:w="100" w:type="dxa"/>
              <w:bottom w:w="100" w:type="dxa"/>
              <w:right w:w="100" w:type="dxa"/>
            </w:tcMar>
          </w:tcPr>
          <w:p w14:paraId="13E4F466"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5180B450"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Civil servant </w:t>
            </w:r>
          </w:p>
        </w:tc>
        <w:tc>
          <w:tcPr>
            <w:tcW w:w="1700" w:type="dxa"/>
            <w:tcMar>
              <w:top w:w="100" w:type="dxa"/>
              <w:left w:w="100" w:type="dxa"/>
              <w:bottom w:w="100" w:type="dxa"/>
              <w:right w:w="100" w:type="dxa"/>
            </w:tcMar>
          </w:tcPr>
          <w:p w14:paraId="519230E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55 </w:t>
            </w:r>
          </w:p>
        </w:tc>
        <w:tc>
          <w:tcPr>
            <w:tcW w:w="1825" w:type="dxa"/>
            <w:tcMar>
              <w:top w:w="100" w:type="dxa"/>
              <w:left w:w="100" w:type="dxa"/>
              <w:bottom w:w="100" w:type="dxa"/>
              <w:right w:w="100" w:type="dxa"/>
            </w:tcMar>
          </w:tcPr>
          <w:p w14:paraId="706C32C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14.1</w:t>
            </w:r>
          </w:p>
        </w:tc>
      </w:tr>
      <w:tr w:rsidR="00435B01" w:rsidRPr="00B94F3E" w14:paraId="5CE87104" w14:textId="77777777">
        <w:trPr>
          <w:cantSplit/>
          <w:trHeight w:val="365"/>
          <w:tblHeader/>
        </w:trPr>
        <w:tc>
          <w:tcPr>
            <w:tcW w:w="2900" w:type="dxa"/>
            <w:tcMar>
              <w:top w:w="100" w:type="dxa"/>
              <w:left w:w="100" w:type="dxa"/>
              <w:bottom w:w="100" w:type="dxa"/>
              <w:right w:w="100" w:type="dxa"/>
            </w:tcMar>
          </w:tcPr>
          <w:p w14:paraId="55CC2F25"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15397237" w14:textId="77777777" w:rsidR="00435B01" w:rsidRPr="00B94F3E" w:rsidRDefault="00B94F3E" w:rsidP="00B94F3E">
            <w:pPr>
              <w:pStyle w:val="Normal1"/>
              <w:widowControl w:val="0"/>
              <w:pBdr>
                <w:top w:val="nil"/>
                <w:left w:val="nil"/>
                <w:bottom w:val="nil"/>
                <w:right w:val="nil"/>
                <w:between w:val="nil"/>
              </w:pBdr>
              <w:spacing w:line="240" w:lineRule="auto"/>
              <w:ind w:left="92"/>
              <w:jc w:val="both"/>
              <w:rPr>
                <w:rFonts w:ascii="Times New Roman" w:hAnsi="Times New Roman" w:cs="Times New Roman"/>
                <w:color w:val="000000"/>
              </w:rPr>
            </w:pPr>
            <w:r w:rsidRPr="00B94F3E">
              <w:rPr>
                <w:rFonts w:ascii="Times New Roman" w:hAnsi="Times New Roman" w:cs="Times New Roman"/>
                <w:color w:val="000000"/>
              </w:rPr>
              <w:t xml:space="preserve">Artisan/manual worker </w:t>
            </w:r>
          </w:p>
        </w:tc>
        <w:tc>
          <w:tcPr>
            <w:tcW w:w="1700" w:type="dxa"/>
            <w:tcMar>
              <w:top w:w="100" w:type="dxa"/>
              <w:left w:w="100" w:type="dxa"/>
              <w:bottom w:w="100" w:type="dxa"/>
              <w:right w:w="100" w:type="dxa"/>
            </w:tcMar>
          </w:tcPr>
          <w:p w14:paraId="57DF754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30 </w:t>
            </w:r>
          </w:p>
        </w:tc>
        <w:tc>
          <w:tcPr>
            <w:tcW w:w="1825" w:type="dxa"/>
            <w:tcMar>
              <w:top w:w="100" w:type="dxa"/>
              <w:left w:w="100" w:type="dxa"/>
              <w:bottom w:w="100" w:type="dxa"/>
              <w:right w:w="100" w:type="dxa"/>
            </w:tcMar>
          </w:tcPr>
          <w:p w14:paraId="32A41C8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7.7</w:t>
            </w:r>
          </w:p>
        </w:tc>
      </w:tr>
    </w:tbl>
    <w:p w14:paraId="5C4482D7"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tbl>
      <w:tblPr>
        <w:tblStyle w:val="a0"/>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01"/>
        <w:gridCol w:w="2599"/>
        <w:gridCol w:w="1700"/>
        <w:gridCol w:w="1825"/>
      </w:tblGrid>
      <w:tr w:rsidR="00435B01" w:rsidRPr="00B94F3E" w14:paraId="728CB141" w14:textId="77777777">
        <w:trPr>
          <w:cantSplit/>
          <w:trHeight w:val="297"/>
          <w:tblHeader/>
        </w:trPr>
        <w:tc>
          <w:tcPr>
            <w:tcW w:w="2900" w:type="dxa"/>
            <w:tcMar>
              <w:top w:w="100" w:type="dxa"/>
              <w:left w:w="100" w:type="dxa"/>
              <w:bottom w:w="100" w:type="dxa"/>
              <w:right w:w="100" w:type="dxa"/>
            </w:tcMar>
          </w:tcPr>
          <w:p w14:paraId="4B5C4A85" w14:textId="77777777" w:rsidR="00435B01" w:rsidRPr="00B94F3E" w:rsidRDefault="00B94F3E" w:rsidP="00B94F3E">
            <w:pPr>
              <w:pStyle w:val="Normal1"/>
              <w:widowControl w:val="0"/>
              <w:pBdr>
                <w:top w:val="nil"/>
                <w:left w:val="nil"/>
                <w:bottom w:val="nil"/>
                <w:right w:val="nil"/>
                <w:between w:val="nil"/>
              </w:pBdr>
              <w:spacing w:line="240" w:lineRule="auto"/>
              <w:ind w:left="92"/>
              <w:jc w:val="both"/>
              <w:rPr>
                <w:rFonts w:ascii="Times New Roman" w:hAnsi="Times New Roman" w:cs="Times New Roman"/>
                <w:b/>
                <w:bCs/>
                <w:color w:val="000000"/>
              </w:rPr>
            </w:pPr>
            <w:r w:rsidRPr="00B94F3E">
              <w:rPr>
                <w:rFonts w:ascii="Times New Roman" w:hAnsi="Times New Roman" w:cs="Times New Roman"/>
                <w:b/>
                <w:bCs/>
                <w:color w:val="000000"/>
              </w:rPr>
              <w:t xml:space="preserve">Variable </w:t>
            </w:r>
          </w:p>
        </w:tc>
        <w:tc>
          <w:tcPr>
            <w:tcW w:w="2599" w:type="dxa"/>
            <w:tcMar>
              <w:top w:w="100" w:type="dxa"/>
              <w:left w:w="100" w:type="dxa"/>
              <w:bottom w:w="100" w:type="dxa"/>
              <w:right w:w="100" w:type="dxa"/>
            </w:tcMar>
          </w:tcPr>
          <w:p w14:paraId="2EA3B70B" w14:textId="77777777" w:rsidR="00435B01" w:rsidRPr="00B94F3E" w:rsidRDefault="00B94F3E" w:rsidP="00B94F3E">
            <w:pPr>
              <w:pStyle w:val="Normal1"/>
              <w:widowControl w:val="0"/>
              <w:pBdr>
                <w:top w:val="nil"/>
                <w:left w:val="nil"/>
                <w:bottom w:val="nil"/>
                <w:right w:val="nil"/>
                <w:between w:val="nil"/>
              </w:pBdr>
              <w:spacing w:line="240" w:lineRule="auto"/>
              <w:ind w:left="99"/>
              <w:jc w:val="both"/>
              <w:rPr>
                <w:rFonts w:ascii="Times New Roman" w:hAnsi="Times New Roman" w:cs="Times New Roman"/>
                <w:b/>
                <w:bCs/>
                <w:color w:val="000000"/>
              </w:rPr>
            </w:pPr>
            <w:r w:rsidRPr="00B94F3E">
              <w:rPr>
                <w:rFonts w:ascii="Times New Roman" w:hAnsi="Times New Roman" w:cs="Times New Roman"/>
                <w:b/>
                <w:bCs/>
                <w:color w:val="000000"/>
              </w:rPr>
              <w:t xml:space="preserve">Category </w:t>
            </w:r>
          </w:p>
        </w:tc>
        <w:tc>
          <w:tcPr>
            <w:tcW w:w="1700" w:type="dxa"/>
            <w:tcMar>
              <w:top w:w="100" w:type="dxa"/>
              <w:left w:w="100" w:type="dxa"/>
              <w:bottom w:w="100" w:type="dxa"/>
              <w:right w:w="100" w:type="dxa"/>
            </w:tcMar>
          </w:tcPr>
          <w:p w14:paraId="59B1FBF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Frequency </w:t>
            </w:r>
          </w:p>
        </w:tc>
        <w:tc>
          <w:tcPr>
            <w:tcW w:w="1825" w:type="dxa"/>
            <w:tcMar>
              <w:top w:w="100" w:type="dxa"/>
              <w:left w:w="100" w:type="dxa"/>
              <w:bottom w:w="100" w:type="dxa"/>
              <w:right w:w="100" w:type="dxa"/>
            </w:tcMar>
          </w:tcPr>
          <w:p w14:paraId="1C1BD37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Percentage (%)</w:t>
            </w:r>
          </w:p>
        </w:tc>
      </w:tr>
      <w:tr w:rsidR="00435B01" w:rsidRPr="00B94F3E" w14:paraId="3C293D03" w14:textId="77777777">
        <w:trPr>
          <w:cantSplit/>
          <w:trHeight w:val="365"/>
          <w:tblHeader/>
        </w:trPr>
        <w:tc>
          <w:tcPr>
            <w:tcW w:w="2900" w:type="dxa"/>
            <w:tcMar>
              <w:top w:w="100" w:type="dxa"/>
              <w:left w:w="100" w:type="dxa"/>
              <w:bottom w:w="100" w:type="dxa"/>
              <w:right w:w="100" w:type="dxa"/>
            </w:tcMar>
          </w:tcPr>
          <w:p w14:paraId="1A7904D3"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p>
        </w:tc>
        <w:tc>
          <w:tcPr>
            <w:tcW w:w="2599" w:type="dxa"/>
            <w:tcMar>
              <w:top w:w="100" w:type="dxa"/>
              <w:left w:w="100" w:type="dxa"/>
              <w:bottom w:w="100" w:type="dxa"/>
              <w:right w:w="100" w:type="dxa"/>
            </w:tcMar>
          </w:tcPr>
          <w:p w14:paraId="2FBAD005"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Other </w:t>
            </w:r>
          </w:p>
        </w:tc>
        <w:tc>
          <w:tcPr>
            <w:tcW w:w="1700" w:type="dxa"/>
            <w:tcMar>
              <w:top w:w="100" w:type="dxa"/>
              <w:left w:w="100" w:type="dxa"/>
              <w:bottom w:w="100" w:type="dxa"/>
              <w:right w:w="100" w:type="dxa"/>
            </w:tcMar>
          </w:tcPr>
          <w:p w14:paraId="2CCB209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56 </w:t>
            </w:r>
          </w:p>
        </w:tc>
        <w:tc>
          <w:tcPr>
            <w:tcW w:w="1825" w:type="dxa"/>
            <w:tcMar>
              <w:top w:w="100" w:type="dxa"/>
              <w:left w:w="100" w:type="dxa"/>
              <w:bottom w:w="100" w:type="dxa"/>
              <w:right w:w="100" w:type="dxa"/>
            </w:tcMar>
          </w:tcPr>
          <w:p w14:paraId="07AE135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14.4</w:t>
            </w:r>
          </w:p>
        </w:tc>
      </w:tr>
      <w:tr w:rsidR="00435B01" w:rsidRPr="00B94F3E" w14:paraId="7A0CB47D" w14:textId="77777777">
        <w:trPr>
          <w:cantSplit/>
          <w:trHeight w:val="296"/>
          <w:tblHeader/>
        </w:trPr>
        <w:tc>
          <w:tcPr>
            <w:tcW w:w="2900" w:type="dxa"/>
            <w:tcMar>
              <w:top w:w="100" w:type="dxa"/>
              <w:left w:w="100" w:type="dxa"/>
              <w:bottom w:w="100" w:type="dxa"/>
              <w:right w:w="100" w:type="dxa"/>
            </w:tcMar>
          </w:tcPr>
          <w:p w14:paraId="15166359"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Household monthly income (₦) </w:t>
            </w:r>
          </w:p>
        </w:tc>
        <w:tc>
          <w:tcPr>
            <w:tcW w:w="2599" w:type="dxa"/>
            <w:tcMar>
              <w:top w:w="100" w:type="dxa"/>
              <w:left w:w="100" w:type="dxa"/>
              <w:bottom w:w="100" w:type="dxa"/>
              <w:right w:w="100" w:type="dxa"/>
            </w:tcMar>
          </w:tcPr>
          <w:p w14:paraId="16EE1D35"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color w:val="000000"/>
              </w:rPr>
            </w:pPr>
            <w:r w:rsidRPr="00B94F3E">
              <w:rPr>
                <w:rFonts w:ascii="Times New Roman" w:hAnsi="Times New Roman" w:cs="Times New Roman"/>
                <w:color w:val="000000"/>
              </w:rPr>
              <w:t xml:space="preserve">&lt;50,000 </w:t>
            </w:r>
          </w:p>
        </w:tc>
        <w:tc>
          <w:tcPr>
            <w:tcW w:w="1700" w:type="dxa"/>
            <w:tcMar>
              <w:top w:w="100" w:type="dxa"/>
              <w:left w:w="100" w:type="dxa"/>
              <w:bottom w:w="100" w:type="dxa"/>
              <w:right w:w="100" w:type="dxa"/>
            </w:tcMar>
          </w:tcPr>
          <w:p w14:paraId="47E345D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175 </w:t>
            </w:r>
          </w:p>
        </w:tc>
        <w:tc>
          <w:tcPr>
            <w:tcW w:w="1825" w:type="dxa"/>
            <w:tcMar>
              <w:top w:w="100" w:type="dxa"/>
              <w:left w:w="100" w:type="dxa"/>
              <w:bottom w:w="100" w:type="dxa"/>
              <w:right w:w="100" w:type="dxa"/>
            </w:tcMar>
          </w:tcPr>
          <w:p w14:paraId="74FBC6F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45.0</w:t>
            </w:r>
          </w:p>
        </w:tc>
      </w:tr>
      <w:tr w:rsidR="00435B01" w:rsidRPr="00B94F3E" w14:paraId="1ED44B8F" w14:textId="77777777">
        <w:trPr>
          <w:cantSplit/>
          <w:trHeight w:val="365"/>
          <w:tblHeader/>
        </w:trPr>
        <w:tc>
          <w:tcPr>
            <w:tcW w:w="2900" w:type="dxa"/>
            <w:tcMar>
              <w:top w:w="100" w:type="dxa"/>
              <w:left w:w="100" w:type="dxa"/>
              <w:bottom w:w="100" w:type="dxa"/>
              <w:right w:w="100" w:type="dxa"/>
            </w:tcMar>
          </w:tcPr>
          <w:p w14:paraId="5475199E"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2B64A621" w14:textId="77777777" w:rsidR="00435B01" w:rsidRPr="00B94F3E" w:rsidRDefault="00B94F3E" w:rsidP="00B94F3E">
            <w:pPr>
              <w:pStyle w:val="Normal1"/>
              <w:widowControl w:val="0"/>
              <w:pBdr>
                <w:top w:val="nil"/>
                <w:left w:val="nil"/>
                <w:bottom w:val="nil"/>
                <w:right w:val="nil"/>
                <w:between w:val="nil"/>
              </w:pBdr>
              <w:spacing w:line="240" w:lineRule="auto"/>
              <w:ind w:left="101"/>
              <w:jc w:val="both"/>
              <w:rPr>
                <w:rFonts w:ascii="Times New Roman" w:hAnsi="Times New Roman" w:cs="Times New Roman"/>
                <w:color w:val="000000"/>
              </w:rPr>
            </w:pPr>
            <w:r w:rsidRPr="00B94F3E">
              <w:rPr>
                <w:rFonts w:ascii="Times New Roman" w:hAnsi="Times New Roman" w:cs="Times New Roman"/>
                <w:color w:val="000000"/>
              </w:rPr>
              <w:t xml:space="preserve">50,000–99,999 </w:t>
            </w:r>
          </w:p>
        </w:tc>
        <w:tc>
          <w:tcPr>
            <w:tcW w:w="1700" w:type="dxa"/>
            <w:tcMar>
              <w:top w:w="100" w:type="dxa"/>
              <w:left w:w="100" w:type="dxa"/>
              <w:bottom w:w="100" w:type="dxa"/>
              <w:right w:w="100" w:type="dxa"/>
            </w:tcMar>
          </w:tcPr>
          <w:p w14:paraId="4F4610C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105 </w:t>
            </w:r>
          </w:p>
        </w:tc>
        <w:tc>
          <w:tcPr>
            <w:tcW w:w="1825" w:type="dxa"/>
            <w:tcMar>
              <w:top w:w="100" w:type="dxa"/>
              <w:left w:w="100" w:type="dxa"/>
              <w:bottom w:w="100" w:type="dxa"/>
              <w:right w:w="100" w:type="dxa"/>
            </w:tcMar>
          </w:tcPr>
          <w:p w14:paraId="4DFDDB5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27.0</w:t>
            </w:r>
          </w:p>
        </w:tc>
      </w:tr>
      <w:tr w:rsidR="00435B01" w:rsidRPr="00B94F3E" w14:paraId="6042DBF8" w14:textId="77777777">
        <w:trPr>
          <w:cantSplit/>
          <w:trHeight w:val="365"/>
          <w:tblHeader/>
        </w:trPr>
        <w:tc>
          <w:tcPr>
            <w:tcW w:w="2900" w:type="dxa"/>
            <w:tcMar>
              <w:top w:w="100" w:type="dxa"/>
              <w:left w:w="100" w:type="dxa"/>
              <w:bottom w:w="100" w:type="dxa"/>
              <w:right w:w="100" w:type="dxa"/>
            </w:tcMar>
          </w:tcPr>
          <w:p w14:paraId="51637435"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6F6DE520" w14:textId="77777777" w:rsidR="00435B01" w:rsidRPr="00B94F3E" w:rsidRDefault="00B94F3E" w:rsidP="00B94F3E">
            <w:pPr>
              <w:pStyle w:val="Normal1"/>
              <w:widowControl w:val="0"/>
              <w:pBdr>
                <w:top w:val="nil"/>
                <w:left w:val="nil"/>
                <w:bottom w:val="nil"/>
                <w:right w:val="nil"/>
                <w:between w:val="nil"/>
              </w:pBdr>
              <w:spacing w:line="240" w:lineRule="auto"/>
              <w:ind w:left="106"/>
              <w:jc w:val="both"/>
              <w:rPr>
                <w:rFonts w:ascii="Times New Roman" w:hAnsi="Times New Roman" w:cs="Times New Roman"/>
                <w:color w:val="000000"/>
              </w:rPr>
            </w:pPr>
            <w:r w:rsidRPr="00B94F3E">
              <w:rPr>
                <w:rFonts w:ascii="Times New Roman" w:hAnsi="Times New Roman" w:cs="Times New Roman"/>
                <w:color w:val="000000"/>
              </w:rPr>
              <w:t xml:space="preserve">100,000–149,999 </w:t>
            </w:r>
          </w:p>
        </w:tc>
        <w:tc>
          <w:tcPr>
            <w:tcW w:w="1700" w:type="dxa"/>
            <w:tcMar>
              <w:top w:w="100" w:type="dxa"/>
              <w:left w:w="100" w:type="dxa"/>
              <w:bottom w:w="100" w:type="dxa"/>
              <w:right w:w="100" w:type="dxa"/>
            </w:tcMar>
          </w:tcPr>
          <w:p w14:paraId="65FBEE9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69 </w:t>
            </w:r>
          </w:p>
        </w:tc>
        <w:tc>
          <w:tcPr>
            <w:tcW w:w="1825" w:type="dxa"/>
            <w:tcMar>
              <w:top w:w="100" w:type="dxa"/>
              <w:left w:w="100" w:type="dxa"/>
              <w:bottom w:w="100" w:type="dxa"/>
              <w:right w:w="100" w:type="dxa"/>
            </w:tcMar>
          </w:tcPr>
          <w:p w14:paraId="0CFCFB5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17.7</w:t>
            </w:r>
          </w:p>
        </w:tc>
      </w:tr>
      <w:tr w:rsidR="00435B01" w:rsidRPr="00B94F3E" w14:paraId="7AA09357" w14:textId="77777777">
        <w:trPr>
          <w:cantSplit/>
          <w:trHeight w:val="365"/>
          <w:tblHeader/>
        </w:trPr>
        <w:tc>
          <w:tcPr>
            <w:tcW w:w="2900" w:type="dxa"/>
            <w:tcMar>
              <w:top w:w="100" w:type="dxa"/>
              <w:left w:w="100" w:type="dxa"/>
              <w:bottom w:w="100" w:type="dxa"/>
              <w:right w:w="100" w:type="dxa"/>
            </w:tcMar>
          </w:tcPr>
          <w:p w14:paraId="7FFDAF1A"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42337BDF"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≥150,000 </w:t>
            </w:r>
          </w:p>
        </w:tc>
        <w:tc>
          <w:tcPr>
            <w:tcW w:w="1700" w:type="dxa"/>
            <w:tcMar>
              <w:top w:w="100" w:type="dxa"/>
              <w:left w:w="100" w:type="dxa"/>
              <w:bottom w:w="100" w:type="dxa"/>
              <w:right w:w="100" w:type="dxa"/>
            </w:tcMar>
          </w:tcPr>
          <w:p w14:paraId="4C23E49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40 </w:t>
            </w:r>
          </w:p>
        </w:tc>
        <w:tc>
          <w:tcPr>
            <w:tcW w:w="1825" w:type="dxa"/>
            <w:tcMar>
              <w:top w:w="100" w:type="dxa"/>
              <w:left w:w="100" w:type="dxa"/>
              <w:bottom w:w="100" w:type="dxa"/>
              <w:right w:w="100" w:type="dxa"/>
            </w:tcMar>
          </w:tcPr>
          <w:p w14:paraId="18045E4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10.3</w:t>
            </w:r>
          </w:p>
        </w:tc>
      </w:tr>
      <w:tr w:rsidR="00435B01" w:rsidRPr="00B94F3E" w14:paraId="25EC11DE" w14:textId="77777777">
        <w:trPr>
          <w:cantSplit/>
          <w:trHeight w:val="298"/>
          <w:tblHeader/>
        </w:trPr>
        <w:tc>
          <w:tcPr>
            <w:tcW w:w="2900" w:type="dxa"/>
            <w:tcMar>
              <w:top w:w="100" w:type="dxa"/>
              <w:left w:w="100" w:type="dxa"/>
              <w:bottom w:w="100" w:type="dxa"/>
              <w:right w:w="100" w:type="dxa"/>
            </w:tcMar>
          </w:tcPr>
          <w:p w14:paraId="7D41657D"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Family size </w:t>
            </w:r>
          </w:p>
        </w:tc>
        <w:tc>
          <w:tcPr>
            <w:tcW w:w="2599" w:type="dxa"/>
            <w:tcMar>
              <w:top w:w="100" w:type="dxa"/>
              <w:left w:w="100" w:type="dxa"/>
              <w:bottom w:w="100" w:type="dxa"/>
              <w:right w:w="100" w:type="dxa"/>
            </w:tcMar>
          </w:tcPr>
          <w:p w14:paraId="50DF7A66" w14:textId="77777777" w:rsidR="00435B01" w:rsidRPr="00B94F3E" w:rsidRDefault="00B94F3E" w:rsidP="00B94F3E">
            <w:pPr>
              <w:pStyle w:val="Normal1"/>
              <w:widowControl w:val="0"/>
              <w:pBdr>
                <w:top w:val="nil"/>
                <w:left w:val="nil"/>
                <w:bottom w:val="nil"/>
                <w:right w:val="nil"/>
                <w:between w:val="nil"/>
              </w:pBdr>
              <w:spacing w:line="240" w:lineRule="auto"/>
              <w:ind w:left="106"/>
              <w:jc w:val="both"/>
              <w:rPr>
                <w:rFonts w:ascii="Times New Roman" w:hAnsi="Times New Roman" w:cs="Times New Roman"/>
                <w:color w:val="000000"/>
              </w:rPr>
            </w:pPr>
            <w:r w:rsidRPr="00B94F3E">
              <w:rPr>
                <w:rFonts w:ascii="Times New Roman" w:hAnsi="Times New Roman" w:cs="Times New Roman"/>
                <w:color w:val="000000"/>
              </w:rPr>
              <w:t xml:space="preserve">1–3 </w:t>
            </w:r>
          </w:p>
        </w:tc>
        <w:tc>
          <w:tcPr>
            <w:tcW w:w="1700" w:type="dxa"/>
            <w:tcMar>
              <w:top w:w="100" w:type="dxa"/>
              <w:left w:w="100" w:type="dxa"/>
              <w:bottom w:w="100" w:type="dxa"/>
              <w:right w:w="100" w:type="dxa"/>
            </w:tcMar>
          </w:tcPr>
          <w:p w14:paraId="28677CF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148 </w:t>
            </w:r>
          </w:p>
        </w:tc>
        <w:tc>
          <w:tcPr>
            <w:tcW w:w="1825" w:type="dxa"/>
            <w:tcMar>
              <w:top w:w="100" w:type="dxa"/>
              <w:left w:w="100" w:type="dxa"/>
              <w:bottom w:w="100" w:type="dxa"/>
              <w:right w:w="100" w:type="dxa"/>
            </w:tcMar>
          </w:tcPr>
          <w:p w14:paraId="2532B8E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38.0</w:t>
            </w:r>
          </w:p>
        </w:tc>
      </w:tr>
      <w:tr w:rsidR="00435B01" w:rsidRPr="00B94F3E" w14:paraId="4FE2CCC7" w14:textId="77777777">
        <w:trPr>
          <w:cantSplit/>
          <w:trHeight w:val="365"/>
          <w:tblHeader/>
        </w:trPr>
        <w:tc>
          <w:tcPr>
            <w:tcW w:w="2900" w:type="dxa"/>
            <w:tcMar>
              <w:top w:w="100" w:type="dxa"/>
              <w:left w:w="100" w:type="dxa"/>
              <w:bottom w:w="100" w:type="dxa"/>
              <w:right w:w="100" w:type="dxa"/>
            </w:tcMar>
          </w:tcPr>
          <w:p w14:paraId="6C7641F8"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0FCDBC82"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4–6 </w:t>
            </w:r>
          </w:p>
        </w:tc>
        <w:tc>
          <w:tcPr>
            <w:tcW w:w="1700" w:type="dxa"/>
            <w:tcMar>
              <w:top w:w="100" w:type="dxa"/>
              <w:left w:w="100" w:type="dxa"/>
              <w:bottom w:w="100" w:type="dxa"/>
              <w:right w:w="100" w:type="dxa"/>
            </w:tcMar>
          </w:tcPr>
          <w:p w14:paraId="62C592F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156 </w:t>
            </w:r>
          </w:p>
        </w:tc>
        <w:tc>
          <w:tcPr>
            <w:tcW w:w="1825" w:type="dxa"/>
            <w:tcMar>
              <w:top w:w="100" w:type="dxa"/>
              <w:left w:w="100" w:type="dxa"/>
              <w:bottom w:w="100" w:type="dxa"/>
              <w:right w:w="100" w:type="dxa"/>
            </w:tcMar>
          </w:tcPr>
          <w:p w14:paraId="50A4732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40.1</w:t>
            </w:r>
          </w:p>
        </w:tc>
      </w:tr>
      <w:tr w:rsidR="00435B01" w:rsidRPr="00B94F3E" w14:paraId="12D7A543" w14:textId="77777777">
        <w:trPr>
          <w:cantSplit/>
          <w:trHeight w:val="365"/>
          <w:tblHeader/>
        </w:trPr>
        <w:tc>
          <w:tcPr>
            <w:tcW w:w="2900" w:type="dxa"/>
            <w:tcMar>
              <w:top w:w="100" w:type="dxa"/>
              <w:left w:w="100" w:type="dxa"/>
              <w:bottom w:w="100" w:type="dxa"/>
              <w:right w:w="100" w:type="dxa"/>
            </w:tcMar>
          </w:tcPr>
          <w:p w14:paraId="4AD6C2D0"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2BFC7B35" w14:textId="77777777" w:rsidR="00435B01" w:rsidRPr="00B94F3E" w:rsidRDefault="00B94F3E" w:rsidP="00B94F3E">
            <w:pPr>
              <w:pStyle w:val="Normal1"/>
              <w:widowControl w:val="0"/>
              <w:pBdr>
                <w:top w:val="nil"/>
                <w:left w:val="nil"/>
                <w:bottom w:val="nil"/>
                <w:right w:val="nil"/>
                <w:between w:val="nil"/>
              </w:pBdr>
              <w:spacing w:line="240" w:lineRule="auto"/>
              <w:ind w:left="102"/>
              <w:jc w:val="both"/>
              <w:rPr>
                <w:rFonts w:ascii="Times New Roman" w:hAnsi="Times New Roman" w:cs="Times New Roman"/>
                <w:color w:val="000000"/>
              </w:rPr>
            </w:pPr>
            <w:r w:rsidRPr="00B94F3E">
              <w:rPr>
                <w:rFonts w:ascii="Times New Roman" w:hAnsi="Times New Roman" w:cs="Times New Roman"/>
                <w:color w:val="000000"/>
              </w:rPr>
              <w:t xml:space="preserve">7–9 </w:t>
            </w:r>
          </w:p>
        </w:tc>
        <w:tc>
          <w:tcPr>
            <w:tcW w:w="1700" w:type="dxa"/>
            <w:tcMar>
              <w:top w:w="100" w:type="dxa"/>
              <w:left w:w="100" w:type="dxa"/>
              <w:bottom w:w="100" w:type="dxa"/>
              <w:right w:w="100" w:type="dxa"/>
            </w:tcMar>
          </w:tcPr>
          <w:p w14:paraId="100F6B5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66 </w:t>
            </w:r>
          </w:p>
        </w:tc>
        <w:tc>
          <w:tcPr>
            <w:tcW w:w="1825" w:type="dxa"/>
            <w:tcMar>
              <w:top w:w="100" w:type="dxa"/>
              <w:left w:w="100" w:type="dxa"/>
              <w:bottom w:w="100" w:type="dxa"/>
              <w:right w:w="100" w:type="dxa"/>
            </w:tcMar>
          </w:tcPr>
          <w:p w14:paraId="3A9575D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17.0</w:t>
            </w:r>
          </w:p>
        </w:tc>
      </w:tr>
      <w:tr w:rsidR="00435B01" w:rsidRPr="00B94F3E" w14:paraId="6F623B3F" w14:textId="77777777">
        <w:trPr>
          <w:cantSplit/>
          <w:trHeight w:val="365"/>
          <w:tblHeader/>
        </w:trPr>
        <w:tc>
          <w:tcPr>
            <w:tcW w:w="2900" w:type="dxa"/>
            <w:tcMar>
              <w:top w:w="100" w:type="dxa"/>
              <w:left w:w="100" w:type="dxa"/>
              <w:bottom w:w="100" w:type="dxa"/>
              <w:right w:w="100" w:type="dxa"/>
            </w:tcMar>
          </w:tcPr>
          <w:p w14:paraId="75EBA61F"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6C50E899"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≥10 </w:t>
            </w:r>
          </w:p>
        </w:tc>
        <w:tc>
          <w:tcPr>
            <w:tcW w:w="1700" w:type="dxa"/>
            <w:tcMar>
              <w:top w:w="100" w:type="dxa"/>
              <w:left w:w="100" w:type="dxa"/>
              <w:bottom w:w="100" w:type="dxa"/>
              <w:right w:w="100" w:type="dxa"/>
            </w:tcMar>
          </w:tcPr>
          <w:p w14:paraId="76F820C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19 </w:t>
            </w:r>
          </w:p>
        </w:tc>
        <w:tc>
          <w:tcPr>
            <w:tcW w:w="1825" w:type="dxa"/>
            <w:tcMar>
              <w:top w:w="100" w:type="dxa"/>
              <w:left w:w="100" w:type="dxa"/>
              <w:bottom w:w="100" w:type="dxa"/>
              <w:right w:w="100" w:type="dxa"/>
            </w:tcMar>
          </w:tcPr>
          <w:p w14:paraId="280F55F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4.9</w:t>
            </w:r>
          </w:p>
        </w:tc>
      </w:tr>
      <w:tr w:rsidR="00435B01" w:rsidRPr="00B94F3E" w14:paraId="7B541EE3" w14:textId="77777777">
        <w:trPr>
          <w:cantSplit/>
          <w:trHeight w:val="296"/>
          <w:tblHeader/>
        </w:trPr>
        <w:tc>
          <w:tcPr>
            <w:tcW w:w="2900" w:type="dxa"/>
            <w:tcMar>
              <w:top w:w="100" w:type="dxa"/>
              <w:left w:w="100" w:type="dxa"/>
              <w:bottom w:w="100" w:type="dxa"/>
              <w:right w:w="100" w:type="dxa"/>
            </w:tcMar>
          </w:tcPr>
          <w:p w14:paraId="2687E184" w14:textId="77777777" w:rsidR="00435B01" w:rsidRPr="00B94F3E" w:rsidRDefault="00B94F3E" w:rsidP="00B94F3E">
            <w:pPr>
              <w:pStyle w:val="Normal1"/>
              <w:widowControl w:val="0"/>
              <w:pBdr>
                <w:top w:val="nil"/>
                <w:left w:val="nil"/>
                <w:bottom w:val="nil"/>
                <w:right w:val="nil"/>
                <w:between w:val="nil"/>
              </w:pBdr>
              <w:spacing w:line="240" w:lineRule="auto"/>
              <w:ind w:left="97"/>
              <w:jc w:val="both"/>
              <w:rPr>
                <w:rFonts w:ascii="Times New Roman" w:hAnsi="Times New Roman" w:cs="Times New Roman"/>
                <w:color w:val="000000"/>
              </w:rPr>
            </w:pPr>
            <w:r w:rsidRPr="00B94F3E">
              <w:rPr>
                <w:rFonts w:ascii="Times New Roman" w:hAnsi="Times New Roman" w:cs="Times New Roman"/>
                <w:color w:val="000000"/>
              </w:rPr>
              <w:t xml:space="preserve">Index child’s age (years) </w:t>
            </w:r>
          </w:p>
        </w:tc>
        <w:tc>
          <w:tcPr>
            <w:tcW w:w="2599" w:type="dxa"/>
            <w:tcMar>
              <w:top w:w="100" w:type="dxa"/>
              <w:left w:w="100" w:type="dxa"/>
              <w:bottom w:w="100" w:type="dxa"/>
              <w:right w:w="100" w:type="dxa"/>
            </w:tcMar>
          </w:tcPr>
          <w:p w14:paraId="45E341B8" w14:textId="77777777" w:rsidR="00435B01" w:rsidRPr="00B94F3E" w:rsidRDefault="00B94F3E" w:rsidP="00B94F3E">
            <w:pPr>
              <w:pStyle w:val="Normal1"/>
              <w:widowControl w:val="0"/>
              <w:pBdr>
                <w:top w:val="nil"/>
                <w:left w:val="nil"/>
                <w:bottom w:val="nil"/>
                <w:right w:val="nil"/>
                <w:between w:val="nil"/>
              </w:pBdr>
              <w:spacing w:line="240" w:lineRule="auto"/>
              <w:ind w:left="99"/>
              <w:jc w:val="both"/>
              <w:rPr>
                <w:rFonts w:ascii="Times New Roman" w:hAnsi="Times New Roman" w:cs="Times New Roman"/>
                <w:color w:val="000000"/>
              </w:rPr>
            </w:pPr>
            <w:r w:rsidRPr="00B94F3E">
              <w:rPr>
                <w:rFonts w:ascii="Times New Roman" w:hAnsi="Times New Roman" w:cs="Times New Roman"/>
                <w:color w:val="000000"/>
              </w:rPr>
              <w:t xml:space="preserve">3 </w:t>
            </w:r>
          </w:p>
        </w:tc>
        <w:tc>
          <w:tcPr>
            <w:tcW w:w="1700" w:type="dxa"/>
            <w:tcMar>
              <w:top w:w="100" w:type="dxa"/>
              <w:left w:w="100" w:type="dxa"/>
              <w:bottom w:w="100" w:type="dxa"/>
              <w:right w:w="100" w:type="dxa"/>
            </w:tcMar>
          </w:tcPr>
          <w:p w14:paraId="3A5D159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145 </w:t>
            </w:r>
          </w:p>
        </w:tc>
        <w:tc>
          <w:tcPr>
            <w:tcW w:w="1825" w:type="dxa"/>
            <w:tcMar>
              <w:top w:w="100" w:type="dxa"/>
              <w:left w:w="100" w:type="dxa"/>
              <w:bottom w:w="100" w:type="dxa"/>
              <w:right w:w="100" w:type="dxa"/>
            </w:tcMar>
          </w:tcPr>
          <w:p w14:paraId="20125BA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37.3</w:t>
            </w:r>
          </w:p>
        </w:tc>
      </w:tr>
      <w:tr w:rsidR="00435B01" w:rsidRPr="00B94F3E" w14:paraId="5A17B0BC" w14:textId="77777777">
        <w:trPr>
          <w:cantSplit/>
          <w:trHeight w:val="365"/>
          <w:tblHeader/>
        </w:trPr>
        <w:tc>
          <w:tcPr>
            <w:tcW w:w="2900" w:type="dxa"/>
            <w:tcMar>
              <w:top w:w="100" w:type="dxa"/>
              <w:left w:w="100" w:type="dxa"/>
              <w:bottom w:w="100" w:type="dxa"/>
              <w:right w:w="100" w:type="dxa"/>
            </w:tcMar>
          </w:tcPr>
          <w:p w14:paraId="6531F442"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48746350"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4 </w:t>
            </w:r>
          </w:p>
        </w:tc>
        <w:tc>
          <w:tcPr>
            <w:tcW w:w="1700" w:type="dxa"/>
            <w:tcMar>
              <w:top w:w="100" w:type="dxa"/>
              <w:left w:w="100" w:type="dxa"/>
              <w:bottom w:w="100" w:type="dxa"/>
              <w:right w:w="100" w:type="dxa"/>
            </w:tcMar>
          </w:tcPr>
          <w:p w14:paraId="3412DE0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114 </w:t>
            </w:r>
          </w:p>
        </w:tc>
        <w:tc>
          <w:tcPr>
            <w:tcW w:w="1825" w:type="dxa"/>
            <w:tcMar>
              <w:top w:w="100" w:type="dxa"/>
              <w:left w:w="100" w:type="dxa"/>
              <w:bottom w:w="100" w:type="dxa"/>
              <w:right w:w="100" w:type="dxa"/>
            </w:tcMar>
          </w:tcPr>
          <w:p w14:paraId="52DBECC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29.3</w:t>
            </w:r>
          </w:p>
        </w:tc>
      </w:tr>
      <w:tr w:rsidR="00435B01" w:rsidRPr="00B94F3E" w14:paraId="69AF94D2" w14:textId="77777777">
        <w:trPr>
          <w:cantSplit/>
          <w:trHeight w:val="365"/>
          <w:tblHeader/>
        </w:trPr>
        <w:tc>
          <w:tcPr>
            <w:tcW w:w="2900" w:type="dxa"/>
            <w:tcMar>
              <w:top w:w="100" w:type="dxa"/>
              <w:left w:w="100" w:type="dxa"/>
              <w:bottom w:w="100" w:type="dxa"/>
              <w:right w:w="100" w:type="dxa"/>
            </w:tcMar>
          </w:tcPr>
          <w:p w14:paraId="59E414B5"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1DFB39A0" w14:textId="77777777" w:rsidR="00435B01" w:rsidRPr="00B94F3E" w:rsidRDefault="00B94F3E" w:rsidP="00B94F3E">
            <w:pPr>
              <w:pStyle w:val="Normal1"/>
              <w:widowControl w:val="0"/>
              <w:pBdr>
                <w:top w:val="nil"/>
                <w:left w:val="nil"/>
                <w:bottom w:val="nil"/>
                <w:right w:val="nil"/>
                <w:between w:val="nil"/>
              </w:pBdr>
              <w:spacing w:line="240" w:lineRule="auto"/>
              <w:ind w:left="101"/>
              <w:jc w:val="both"/>
              <w:rPr>
                <w:rFonts w:ascii="Times New Roman" w:hAnsi="Times New Roman" w:cs="Times New Roman"/>
                <w:color w:val="000000"/>
              </w:rPr>
            </w:pPr>
            <w:r w:rsidRPr="00B94F3E">
              <w:rPr>
                <w:rFonts w:ascii="Times New Roman" w:hAnsi="Times New Roman" w:cs="Times New Roman"/>
                <w:color w:val="000000"/>
              </w:rPr>
              <w:t xml:space="preserve">5 </w:t>
            </w:r>
          </w:p>
        </w:tc>
        <w:tc>
          <w:tcPr>
            <w:tcW w:w="1700" w:type="dxa"/>
            <w:tcMar>
              <w:top w:w="100" w:type="dxa"/>
              <w:left w:w="100" w:type="dxa"/>
              <w:bottom w:w="100" w:type="dxa"/>
              <w:right w:w="100" w:type="dxa"/>
            </w:tcMar>
          </w:tcPr>
          <w:p w14:paraId="49DE68B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130 </w:t>
            </w:r>
          </w:p>
        </w:tc>
        <w:tc>
          <w:tcPr>
            <w:tcW w:w="1825" w:type="dxa"/>
            <w:tcMar>
              <w:top w:w="100" w:type="dxa"/>
              <w:left w:w="100" w:type="dxa"/>
              <w:bottom w:w="100" w:type="dxa"/>
              <w:right w:w="100" w:type="dxa"/>
            </w:tcMar>
          </w:tcPr>
          <w:p w14:paraId="7465350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33.4</w:t>
            </w:r>
          </w:p>
        </w:tc>
      </w:tr>
      <w:tr w:rsidR="00435B01" w:rsidRPr="00B94F3E" w14:paraId="1242051B" w14:textId="77777777">
        <w:trPr>
          <w:cantSplit/>
          <w:trHeight w:val="298"/>
          <w:tblHeader/>
        </w:trPr>
        <w:tc>
          <w:tcPr>
            <w:tcW w:w="2900" w:type="dxa"/>
            <w:tcMar>
              <w:top w:w="100" w:type="dxa"/>
              <w:left w:w="100" w:type="dxa"/>
              <w:bottom w:w="100" w:type="dxa"/>
              <w:right w:w="100" w:type="dxa"/>
            </w:tcMar>
          </w:tcPr>
          <w:p w14:paraId="0FED2950" w14:textId="77777777" w:rsidR="00435B01" w:rsidRPr="00B94F3E" w:rsidRDefault="00B94F3E" w:rsidP="00B94F3E">
            <w:pPr>
              <w:pStyle w:val="Normal1"/>
              <w:widowControl w:val="0"/>
              <w:pBdr>
                <w:top w:val="nil"/>
                <w:left w:val="nil"/>
                <w:bottom w:val="nil"/>
                <w:right w:val="nil"/>
                <w:between w:val="nil"/>
              </w:pBdr>
              <w:spacing w:line="240" w:lineRule="auto"/>
              <w:ind w:left="97"/>
              <w:jc w:val="both"/>
              <w:rPr>
                <w:rFonts w:ascii="Times New Roman" w:hAnsi="Times New Roman" w:cs="Times New Roman"/>
                <w:color w:val="000000"/>
              </w:rPr>
            </w:pPr>
            <w:r w:rsidRPr="00B94F3E">
              <w:rPr>
                <w:rFonts w:ascii="Times New Roman" w:hAnsi="Times New Roman" w:cs="Times New Roman"/>
                <w:color w:val="000000"/>
              </w:rPr>
              <w:t xml:space="preserve">Index child’s sex </w:t>
            </w:r>
          </w:p>
        </w:tc>
        <w:tc>
          <w:tcPr>
            <w:tcW w:w="2599" w:type="dxa"/>
            <w:tcMar>
              <w:top w:w="100" w:type="dxa"/>
              <w:left w:w="100" w:type="dxa"/>
              <w:bottom w:w="100" w:type="dxa"/>
              <w:right w:w="100" w:type="dxa"/>
            </w:tcMar>
          </w:tcPr>
          <w:p w14:paraId="1856A08E"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Male </w:t>
            </w:r>
          </w:p>
        </w:tc>
        <w:tc>
          <w:tcPr>
            <w:tcW w:w="1700" w:type="dxa"/>
            <w:tcMar>
              <w:top w:w="100" w:type="dxa"/>
              <w:left w:w="100" w:type="dxa"/>
              <w:bottom w:w="100" w:type="dxa"/>
              <w:right w:w="100" w:type="dxa"/>
            </w:tcMar>
          </w:tcPr>
          <w:p w14:paraId="4E5A2DC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159 </w:t>
            </w:r>
          </w:p>
        </w:tc>
        <w:tc>
          <w:tcPr>
            <w:tcW w:w="1825" w:type="dxa"/>
            <w:tcMar>
              <w:top w:w="100" w:type="dxa"/>
              <w:left w:w="100" w:type="dxa"/>
              <w:bottom w:w="100" w:type="dxa"/>
              <w:right w:w="100" w:type="dxa"/>
            </w:tcMar>
          </w:tcPr>
          <w:p w14:paraId="749BA62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40.9</w:t>
            </w:r>
          </w:p>
        </w:tc>
      </w:tr>
      <w:tr w:rsidR="00435B01" w:rsidRPr="00B94F3E" w14:paraId="019E0BDE" w14:textId="77777777">
        <w:trPr>
          <w:cantSplit/>
          <w:trHeight w:val="365"/>
          <w:tblHeader/>
        </w:trPr>
        <w:tc>
          <w:tcPr>
            <w:tcW w:w="2900" w:type="dxa"/>
            <w:tcMar>
              <w:top w:w="100" w:type="dxa"/>
              <w:left w:w="100" w:type="dxa"/>
              <w:bottom w:w="100" w:type="dxa"/>
              <w:right w:w="100" w:type="dxa"/>
            </w:tcMar>
          </w:tcPr>
          <w:p w14:paraId="09CA95AF"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3BDD08E1"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Female </w:t>
            </w:r>
          </w:p>
        </w:tc>
        <w:tc>
          <w:tcPr>
            <w:tcW w:w="1700" w:type="dxa"/>
            <w:tcMar>
              <w:top w:w="100" w:type="dxa"/>
              <w:left w:w="100" w:type="dxa"/>
              <w:bottom w:w="100" w:type="dxa"/>
              <w:right w:w="100" w:type="dxa"/>
            </w:tcMar>
          </w:tcPr>
          <w:p w14:paraId="29AA835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230 </w:t>
            </w:r>
          </w:p>
        </w:tc>
        <w:tc>
          <w:tcPr>
            <w:tcW w:w="1825" w:type="dxa"/>
            <w:tcMar>
              <w:top w:w="100" w:type="dxa"/>
              <w:left w:w="100" w:type="dxa"/>
              <w:bottom w:w="100" w:type="dxa"/>
              <w:right w:w="100" w:type="dxa"/>
            </w:tcMar>
          </w:tcPr>
          <w:p w14:paraId="0D7CA3A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59.1</w:t>
            </w:r>
          </w:p>
        </w:tc>
      </w:tr>
      <w:tr w:rsidR="00435B01" w:rsidRPr="00B94F3E" w14:paraId="1BA090B4" w14:textId="77777777">
        <w:trPr>
          <w:cantSplit/>
          <w:trHeight w:val="295"/>
          <w:tblHeader/>
        </w:trPr>
        <w:tc>
          <w:tcPr>
            <w:tcW w:w="2900" w:type="dxa"/>
            <w:tcMar>
              <w:top w:w="100" w:type="dxa"/>
              <w:left w:w="100" w:type="dxa"/>
              <w:bottom w:w="100" w:type="dxa"/>
              <w:right w:w="100" w:type="dxa"/>
            </w:tcMar>
          </w:tcPr>
          <w:p w14:paraId="2739F5DA"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Birth order of index child </w:t>
            </w:r>
          </w:p>
        </w:tc>
        <w:tc>
          <w:tcPr>
            <w:tcW w:w="2599" w:type="dxa"/>
            <w:tcMar>
              <w:top w:w="100" w:type="dxa"/>
              <w:left w:w="100" w:type="dxa"/>
              <w:bottom w:w="100" w:type="dxa"/>
              <w:right w:w="100" w:type="dxa"/>
            </w:tcMar>
          </w:tcPr>
          <w:p w14:paraId="75997A7E"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First </w:t>
            </w:r>
          </w:p>
        </w:tc>
        <w:tc>
          <w:tcPr>
            <w:tcW w:w="1700" w:type="dxa"/>
            <w:tcMar>
              <w:top w:w="100" w:type="dxa"/>
              <w:left w:w="100" w:type="dxa"/>
              <w:bottom w:w="100" w:type="dxa"/>
              <w:right w:w="100" w:type="dxa"/>
            </w:tcMar>
          </w:tcPr>
          <w:p w14:paraId="1BFD385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91 </w:t>
            </w:r>
          </w:p>
        </w:tc>
        <w:tc>
          <w:tcPr>
            <w:tcW w:w="1825" w:type="dxa"/>
            <w:tcMar>
              <w:top w:w="100" w:type="dxa"/>
              <w:left w:w="100" w:type="dxa"/>
              <w:bottom w:w="100" w:type="dxa"/>
              <w:right w:w="100" w:type="dxa"/>
            </w:tcMar>
          </w:tcPr>
          <w:p w14:paraId="5C67F7F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23.4</w:t>
            </w:r>
          </w:p>
        </w:tc>
      </w:tr>
      <w:tr w:rsidR="00435B01" w:rsidRPr="00B94F3E" w14:paraId="745EFAFD" w14:textId="77777777">
        <w:trPr>
          <w:cantSplit/>
          <w:trHeight w:val="365"/>
          <w:tblHeader/>
        </w:trPr>
        <w:tc>
          <w:tcPr>
            <w:tcW w:w="2900" w:type="dxa"/>
            <w:tcMar>
              <w:top w:w="100" w:type="dxa"/>
              <w:left w:w="100" w:type="dxa"/>
              <w:bottom w:w="100" w:type="dxa"/>
              <w:right w:w="100" w:type="dxa"/>
            </w:tcMar>
          </w:tcPr>
          <w:p w14:paraId="79DC1849"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0B9CB2FE" w14:textId="77777777" w:rsidR="00435B01" w:rsidRPr="00B94F3E" w:rsidRDefault="00B94F3E" w:rsidP="00B94F3E">
            <w:pPr>
              <w:pStyle w:val="Normal1"/>
              <w:widowControl w:val="0"/>
              <w:pBdr>
                <w:top w:val="nil"/>
                <w:left w:val="nil"/>
                <w:bottom w:val="nil"/>
                <w:right w:val="nil"/>
                <w:between w:val="nil"/>
              </w:pBdr>
              <w:spacing w:line="240" w:lineRule="auto"/>
              <w:ind w:left="103"/>
              <w:jc w:val="both"/>
              <w:rPr>
                <w:rFonts w:ascii="Times New Roman" w:hAnsi="Times New Roman" w:cs="Times New Roman"/>
                <w:color w:val="000000"/>
              </w:rPr>
            </w:pPr>
            <w:r w:rsidRPr="00B94F3E">
              <w:rPr>
                <w:rFonts w:ascii="Times New Roman" w:hAnsi="Times New Roman" w:cs="Times New Roman"/>
                <w:color w:val="000000"/>
              </w:rPr>
              <w:t xml:space="preserve">Second </w:t>
            </w:r>
          </w:p>
        </w:tc>
        <w:tc>
          <w:tcPr>
            <w:tcW w:w="1700" w:type="dxa"/>
            <w:tcMar>
              <w:top w:w="100" w:type="dxa"/>
              <w:left w:w="100" w:type="dxa"/>
              <w:bottom w:w="100" w:type="dxa"/>
              <w:right w:w="100" w:type="dxa"/>
            </w:tcMar>
          </w:tcPr>
          <w:p w14:paraId="158B612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114 </w:t>
            </w:r>
          </w:p>
        </w:tc>
        <w:tc>
          <w:tcPr>
            <w:tcW w:w="1825" w:type="dxa"/>
            <w:tcMar>
              <w:top w:w="100" w:type="dxa"/>
              <w:left w:w="100" w:type="dxa"/>
              <w:bottom w:w="100" w:type="dxa"/>
              <w:right w:w="100" w:type="dxa"/>
            </w:tcMar>
          </w:tcPr>
          <w:p w14:paraId="1F1B462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29.3</w:t>
            </w:r>
          </w:p>
        </w:tc>
      </w:tr>
      <w:tr w:rsidR="00435B01" w:rsidRPr="00B94F3E" w14:paraId="713B5CF6" w14:textId="77777777">
        <w:trPr>
          <w:cantSplit/>
          <w:trHeight w:val="366"/>
          <w:tblHeader/>
        </w:trPr>
        <w:tc>
          <w:tcPr>
            <w:tcW w:w="2900" w:type="dxa"/>
            <w:tcMar>
              <w:top w:w="100" w:type="dxa"/>
              <w:left w:w="100" w:type="dxa"/>
              <w:bottom w:w="100" w:type="dxa"/>
              <w:right w:w="100" w:type="dxa"/>
            </w:tcMar>
          </w:tcPr>
          <w:p w14:paraId="7ACFBE48"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0EC3D276"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Third </w:t>
            </w:r>
          </w:p>
        </w:tc>
        <w:tc>
          <w:tcPr>
            <w:tcW w:w="1700" w:type="dxa"/>
            <w:tcMar>
              <w:top w:w="100" w:type="dxa"/>
              <w:left w:w="100" w:type="dxa"/>
              <w:bottom w:w="100" w:type="dxa"/>
              <w:right w:w="100" w:type="dxa"/>
            </w:tcMar>
          </w:tcPr>
          <w:p w14:paraId="096DA78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89 </w:t>
            </w:r>
          </w:p>
        </w:tc>
        <w:tc>
          <w:tcPr>
            <w:tcW w:w="1825" w:type="dxa"/>
            <w:tcMar>
              <w:top w:w="100" w:type="dxa"/>
              <w:left w:w="100" w:type="dxa"/>
              <w:bottom w:w="100" w:type="dxa"/>
              <w:right w:w="100" w:type="dxa"/>
            </w:tcMar>
          </w:tcPr>
          <w:p w14:paraId="4EC185E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22.9</w:t>
            </w:r>
          </w:p>
        </w:tc>
      </w:tr>
      <w:tr w:rsidR="00435B01" w:rsidRPr="00B94F3E" w14:paraId="78333D8B" w14:textId="77777777">
        <w:trPr>
          <w:cantSplit/>
          <w:trHeight w:val="365"/>
          <w:tblHeader/>
        </w:trPr>
        <w:tc>
          <w:tcPr>
            <w:tcW w:w="2900" w:type="dxa"/>
            <w:tcMar>
              <w:top w:w="100" w:type="dxa"/>
              <w:left w:w="100" w:type="dxa"/>
              <w:bottom w:w="100" w:type="dxa"/>
              <w:right w:w="100" w:type="dxa"/>
            </w:tcMar>
          </w:tcPr>
          <w:p w14:paraId="0D6A4C58"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41FF92ED"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Fourth and above </w:t>
            </w:r>
          </w:p>
        </w:tc>
        <w:tc>
          <w:tcPr>
            <w:tcW w:w="1700" w:type="dxa"/>
            <w:tcMar>
              <w:top w:w="100" w:type="dxa"/>
              <w:left w:w="100" w:type="dxa"/>
              <w:bottom w:w="100" w:type="dxa"/>
              <w:right w:w="100" w:type="dxa"/>
            </w:tcMar>
          </w:tcPr>
          <w:p w14:paraId="04B4687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95 </w:t>
            </w:r>
          </w:p>
        </w:tc>
        <w:tc>
          <w:tcPr>
            <w:tcW w:w="1825" w:type="dxa"/>
            <w:tcMar>
              <w:top w:w="100" w:type="dxa"/>
              <w:left w:w="100" w:type="dxa"/>
              <w:bottom w:w="100" w:type="dxa"/>
              <w:right w:w="100" w:type="dxa"/>
            </w:tcMar>
          </w:tcPr>
          <w:p w14:paraId="181852F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24.4</w:t>
            </w:r>
          </w:p>
        </w:tc>
      </w:tr>
      <w:tr w:rsidR="00435B01" w:rsidRPr="00B94F3E" w14:paraId="6189CEC2" w14:textId="77777777">
        <w:trPr>
          <w:cantSplit/>
          <w:trHeight w:val="297"/>
          <w:tblHeader/>
        </w:trPr>
        <w:tc>
          <w:tcPr>
            <w:tcW w:w="2900" w:type="dxa"/>
            <w:tcMar>
              <w:top w:w="100" w:type="dxa"/>
              <w:left w:w="100" w:type="dxa"/>
              <w:bottom w:w="100" w:type="dxa"/>
              <w:right w:w="100" w:type="dxa"/>
            </w:tcMar>
          </w:tcPr>
          <w:p w14:paraId="60CCF4B5"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Religion </w:t>
            </w:r>
          </w:p>
        </w:tc>
        <w:tc>
          <w:tcPr>
            <w:tcW w:w="2599" w:type="dxa"/>
            <w:tcMar>
              <w:top w:w="100" w:type="dxa"/>
              <w:left w:w="100" w:type="dxa"/>
              <w:bottom w:w="100" w:type="dxa"/>
              <w:right w:w="100" w:type="dxa"/>
            </w:tcMar>
          </w:tcPr>
          <w:p w14:paraId="31D49D4B"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Christianity </w:t>
            </w:r>
          </w:p>
        </w:tc>
        <w:tc>
          <w:tcPr>
            <w:tcW w:w="1700" w:type="dxa"/>
            <w:tcMar>
              <w:top w:w="100" w:type="dxa"/>
              <w:left w:w="100" w:type="dxa"/>
              <w:bottom w:w="100" w:type="dxa"/>
              <w:right w:w="100" w:type="dxa"/>
            </w:tcMar>
          </w:tcPr>
          <w:p w14:paraId="44A3226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300 </w:t>
            </w:r>
          </w:p>
        </w:tc>
        <w:tc>
          <w:tcPr>
            <w:tcW w:w="1825" w:type="dxa"/>
            <w:tcMar>
              <w:top w:w="100" w:type="dxa"/>
              <w:left w:w="100" w:type="dxa"/>
              <w:bottom w:w="100" w:type="dxa"/>
              <w:right w:w="100" w:type="dxa"/>
            </w:tcMar>
          </w:tcPr>
          <w:p w14:paraId="416BD9A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77.1</w:t>
            </w:r>
          </w:p>
        </w:tc>
      </w:tr>
      <w:tr w:rsidR="00435B01" w:rsidRPr="00B94F3E" w14:paraId="56AB5D9B" w14:textId="77777777">
        <w:trPr>
          <w:cantSplit/>
          <w:trHeight w:val="366"/>
          <w:tblHeader/>
        </w:trPr>
        <w:tc>
          <w:tcPr>
            <w:tcW w:w="2900" w:type="dxa"/>
            <w:tcMar>
              <w:top w:w="100" w:type="dxa"/>
              <w:left w:w="100" w:type="dxa"/>
              <w:bottom w:w="100" w:type="dxa"/>
              <w:right w:w="100" w:type="dxa"/>
            </w:tcMar>
          </w:tcPr>
          <w:p w14:paraId="7ECDC250"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36A46F19" w14:textId="77777777" w:rsidR="00435B01" w:rsidRPr="00B94F3E" w:rsidRDefault="00B94F3E" w:rsidP="00B94F3E">
            <w:pPr>
              <w:pStyle w:val="Normal1"/>
              <w:widowControl w:val="0"/>
              <w:pBdr>
                <w:top w:val="nil"/>
                <w:left w:val="nil"/>
                <w:bottom w:val="nil"/>
                <w:right w:val="nil"/>
                <w:between w:val="nil"/>
              </w:pBdr>
              <w:spacing w:line="240" w:lineRule="auto"/>
              <w:ind w:left="97"/>
              <w:jc w:val="both"/>
              <w:rPr>
                <w:rFonts w:ascii="Times New Roman" w:hAnsi="Times New Roman" w:cs="Times New Roman"/>
                <w:color w:val="000000"/>
              </w:rPr>
            </w:pPr>
            <w:r w:rsidRPr="00B94F3E">
              <w:rPr>
                <w:rFonts w:ascii="Times New Roman" w:hAnsi="Times New Roman" w:cs="Times New Roman"/>
                <w:color w:val="000000"/>
              </w:rPr>
              <w:t xml:space="preserve">Islam </w:t>
            </w:r>
          </w:p>
        </w:tc>
        <w:tc>
          <w:tcPr>
            <w:tcW w:w="1700" w:type="dxa"/>
            <w:tcMar>
              <w:top w:w="100" w:type="dxa"/>
              <w:left w:w="100" w:type="dxa"/>
              <w:bottom w:w="100" w:type="dxa"/>
              <w:right w:w="100" w:type="dxa"/>
            </w:tcMar>
          </w:tcPr>
          <w:p w14:paraId="5D46EB9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38 </w:t>
            </w:r>
          </w:p>
        </w:tc>
        <w:tc>
          <w:tcPr>
            <w:tcW w:w="1825" w:type="dxa"/>
            <w:tcMar>
              <w:top w:w="100" w:type="dxa"/>
              <w:left w:w="100" w:type="dxa"/>
              <w:bottom w:w="100" w:type="dxa"/>
              <w:right w:w="100" w:type="dxa"/>
            </w:tcMar>
          </w:tcPr>
          <w:p w14:paraId="04CA0EE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9.8</w:t>
            </w:r>
          </w:p>
        </w:tc>
      </w:tr>
      <w:tr w:rsidR="00435B01" w:rsidRPr="00B94F3E" w14:paraId="7950A825" w14:textId="77777777">
        <w:trPr>
          <w:cantSplit/>
          <w:trHeight w:val="365"/>
          <w:tblHeader/>
        </w:trPr>
        <w:tc>
          <w:tcPr>
            <w:tcW w:w="2900" w:type="dxa"/>
            <w:tcMar>
              <w:top w:w="100" w:type="dxa"/>
              <w:left w:w="100" w:type="dxa"/>
              <w:bottom w:w="100" w:type="dxa"/>
              <w:right w:w="100" w:type="dxa"/>
            </w:tcMar>
          </w:tcPr>
          <w:p w14:paraId="0732F667"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492380E5"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Traditional </w:t>
            </w:r>
          </w:p>
        </w:tc>
        <w:tc>
          <w:tcPr>
            <w:tcW w:w="1700" w:type="dxa"/>
            <w:tcMar>
              <w:top w:w="100" w:type="dxa"/>
              <w:left w:w="100" w:type="dxa"/>
              <w:bottom w:w="100" w:type="dxa"/>
              <w:right w:w="100" w:type="dxa"/>
            </w:tcMar>
          </w:tcPr>
          <w:p w14:paraId="7214A2D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33 </w:t>
            </w:r>
          </w:p>
        </w:tc>
        <w:tc>
          <w:tcPr>
            <w:tcW w:w="1825" w:type="dxa"/>
            <w:tcMar>
              <w:top w:w="100" w:type="dxa"/>
              <w:left w:w="100" w:type="dxa"/>
              <w:bottom w:w="100" w:type="dxa"/>
              <w:right w:w="100" w:type="dxa"/>
            </w:tcMar>
          </w:tcPr>
          <w:p w14:paraId="1CB8D1A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8.5</w:t>
            </w:r>
          </w:p>
        </w:tc>
      </w:tr>
      <w:tr w:rsidR="00435B01" w:rsidRPr="00B94F3E" w14:paraId="35234F5A" w14:textId="77777777">
        <w:trPr>
          <w:cantSplit/>
          <w:trHeight w:val="366"/>
          <w:tblHeader/>
        </w:trPr>
        <w:tc>
          <w:tcPr>
            <w:tcW w:w="2900" w:type="dxa"/>
            <w:tcMar>
              <w:top w:w="100" w:type="dxa"/>
              <w:left w:w="100" w:type="dxa"/>
              <w:bottom w:w="100" w:type="dxa"/>
              <w:right w:w="100" w:type="dxa"/>
            </w:tcMar>
          </w:tcPr>
          <w:p w14:paraId="264F8C87"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p>
        </w:tc>
        <w:tc>
          <w:tcPr>
            <w:tcW w:w="2599" w:type="dxa"/>
            <w:tcMar>
              <w:top w:w="100" w:type="dxa"/>
              <w:left w:w="100" w:type="dxa"/>
              <w:bottom w:w="100" w:type="dxa"/>
              <w:right w:w="100" w:type="dxa"/>
            </w:tcMar>
          </w:tcPr>
          <w:p w14:paraId="54CEDEE6"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Others </w:t>
            </w:r>
          </w:p>
        </w:tc>
        <w:tc>
          <w:tcPr>
            <w:tcW w:w="1700" w:type="dxa"/>
            <w:tcMar>
              <w:top w:w="100" w:type="dxa"/>
              <w:left w:w="100" w:type="dxa"/>
              <w:bottom w:w="100" w:type="dxa"/>
              <w:right w:w="100" w:type="dxa"/>
            </w:tcMar>
          </w:tcPr>
          <w:p w14:paraId="1F49FED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18 </w:t>
            </w:r>
          </w:p>
        </w:tc>
        <w:tc>
          <w:tcPr>
            <w:tcW w:w="1825" w:type="dxa"/>
            <w:tcMar>
              <w:top w:w="100" w:type="dxa"/>
              <w:left w:w="100" w:type="dxa"/>
              <w:bottom w:w="100" w:type="dxa"/>
              <w:right w:w="100" w:type="dxa"/>
            </w:tcMar>
          </w:tcPr>
          <w:p w14:paraId="74C1428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4.6</w:t>
            </w:r>
          </w:p>
        </w:tc>
      </w:tr>
    </w:tbl>
    <w:p w14:paraId="26A7FCA6"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159434B0" w14:textId="77777777" w:rsidR="00435B01" w:rsidRPr="00B94F3E" w:rsidRDefault="00B94F3E" w:rsidP="00B94F3E">
      <w:pPr>
        <w:pStyle w:val="Normal1"/>
        <w:widowControl w:val="0"/>
        <w:pBdr>
          <w:top w:val="nil"/>
          <w:left w:val="nil"/>
          <w:bottom w:val="nil"/>
          <w:right w:val="nil"/>
          <w:between w:val="nil"/>
        </w:pBdr>
        <w:spacing w:line="240" w:lineRule="auto"/>
        <w:ind w:left="18"/>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SD = standard deviation. </w:t>
      </w:r>
    </w:p>
    <w:p w14:paraId="71B6093E" w14:textId="77777777" w:rsidR="00B94F3E" w:rsidRDefault="00B94F3E" w:rsidP="00B94F3E">
      <w:pPr>
        <w:pStyle w:val="Normal1"/>
        <w:widowControl w:val="0"/>
        <w:pBdr>
          <w:top w:val="nil"/>
          <w:left w:val="nil"/>
          <w:bottom w:val="nil"/>
          <w:right w:val="nil"/>
          <w:between w:val="nil"/>
        </w:pBdr>
        <w:spacing w:before="192" w:line="240" w:lineRule="auto"/>
        <w:ind w:left="17"/>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space="720"/>
        </w:sectPr>
      </w:pPr>
    </w:p>
    <w:p w14:paraId="6F8D9066" w14:textId="77777777" w:rsidR="00435B01" w:rsidRPr="00B94F3E" w:rsidRDefault="00B94F3E" w:rsidP="00B94F3E">
      <w:pPr>
        <w:pStyle w:val="Normal1"/>
        <w:widowControl w:val="0"/>
        <w:pBdr>
          <w:top w:val="nil"/>
          <w:left w:val="nil"/>
          <w:bottom w:val="nil"/>
          <w:right w:val="nil"/>
          <w:between w:val="nil"/>
        </w:pBdr>
        <w:spacing w:before="192" w:line="240" w:lineRule="auto"/>
        <w:ind w:left="17"/>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lastRenderedPageBreak/>
        <w:t xml:space="preserve">Clinically assessed dental caries </w:t>
      </w:r>
    </w:p>
    <w:p w14:paraId="24E98315" w14:textId="77777777" w:rsidR="00435B01" w:rsidRPr="00B94F3E" w:rsidRDefault="00B94F3E" w:rsidP="00B94F3E">
      <w:pPr>
        <w:pStyle w:val="Normal1"/>
        <w:widowControl w:val="0"/>
        <w:pBdr>
          <w:top w:val="nil"/>
          <w:left w:val="nil"/>
          <w:bottom w:val="nil"/>
          <w:right w:val="nil"/>
          <w:between w:val="nil"/>
        </w:pBdr>
        <w:spacing w:before="179" w:line="240" w:lineRule="auto"/>
        <w:ind w:left="14" w:right="17" w:hanging="4"/>
        <w:jc w:val="both"/>
        <w:rPr>
          <w:rFonts w:ascii="Times New Roman" w:hAnsi="Times New Roman" w:cs="Times New Roman"/>
          <w:color w:val="000000"/>
          <w:sz w:val="24"/>
          <w:szCs w:val="24"/>
        </w:rPr>
      </w:pPr>
      <w:r>
        <w:rPr>
          <w:rFonts w:ascii="Times New Roman" w:eastAsia="Arial Unicode MS" w:hAnsi="Times New Roman" w:cs="Times New Roman"/>
          <w:color w:val="000000"/>
          <w:sz w:val="24"/>
          <w:szCs w:val="24"/>
        </w:rPr>
        <w:t xml:space="preserve">Table </w:t>
      </w:r>
      <w:r w:rsidRPr="00B94F3E">
        <w:rPr>
          <w:rFonts w:ascii="Times New Roman" w:eastAsia="Arial Unicode MS" w:hAnsi="Times New Roman" w:cs="Times New Roman"/>
          <w:color w:val="000000"/>
          <w:sz w:val="24"/>
          <w:szCs w:val="24"/>
        </w:rPr>
        <w:t xml:space="preserve">2 presents the </w:t>
      </w:r>
      <w:proofErr w:type="spellStart"/>
      <w:r w:rsidRPr="00B94F3E">
        <w:rPr>
          <w:rFonts w:ascii="Times New Roman" w:eastAsia="Arial Unicode MS" w:hAnsi="Times New Roman" w:cs="Times New Roman"/>
          <w:color w:val="000000"/>
          <w:sz w:val="24"/>
          <w:szCs w:val="24"/>
        </w:rPr>
        <w:t>dmft</w:t>
      </w:r>
      <w:proofErr w:type="spellEnd"/>
      <w:r w:rsidRPr="00B94F3E">
        <w:rPr>
          <w:rFonts w:ascii="Times New Roman" w:eastAsia="Arial Unicode MS" w:hAnsi="Times New Roman" w:cs="Times New Roman"/>
          <w:color w:val="000000"/>
          <w:sz w:val="24"/>
          <w:szCs w:val="24"/>
        </w:rPr>
        <w:t xml:space="preserve"> findings. Twenty of the 389 children (5.1%) had clinically diagnosed caries (</w:t>
      </w:r>
      <w:proofErr w:type="spellStart"/>
      <w:r w:rsidRPr="00B94F3E">
        <w:rPr>
          <w:rFonts w:ascii="Times New Roman" w:eastAsia="Arial Unicode MS" w:hAnsi="Times New Roman" w:cs="Times New Roman"/>
          <w:color w:val="000000"/>
          <w:sz w:val="24"/>
          <w:szCs w:val="24"/>
        </w:rPr>
        <w:t>dmft</w:t>
      </w:r>
      <w:proofErr w:type="spellEnd"/>
      <w:r w:rsidRPr="00B94F3E">
        <w:rPr>
          <w:rFonts w:ascii="Times New Roman" w:eastAsia="Arial Unicode MS" w:hAnsi="Times New Roman" w:cs="Times New Roman"/>
          <w:color w:val="000000"/>
          <w:sz w:val="24"/>
          <w:szCs w:val="24"/>
        </w:rPr>
        <w:t xml:space="preserve"> ≥ 1), and </w:t>
      </w:r>
      <w:r w:rsidRPr="00B94F3E">
        <w:rPr>
          <w:rFonts w:ascii="Times New Roman" w:eastAsia="Arial Unicode MS" w:hAnsi="Times New Roman" w:cs="Times New Roman"/>
          <w:color w:val="000000"/>
          <w:sz w:val="24"/>
          <w:szCs w:val="24"/>
        </w:rPr>
        <w:t xml:space="preserve">369 (94.9%) were caries-free. Decayed teeth were found in 8 children (2.1%), missing teeth in 9 (2.3%) and filled teeth in 6 (1.5%). The mean </w:t>
      </w:r>
      <w:proofErr w:type="spellStart"/>
      <w:r w:rsidRPr="00B94F3E">
        <w:rPr>
          <w:rFonts w:ascii="Times New Roman" w:eastAsia="Arial Unicode MS" w:hAnsi="Times New Roman" w:cs="Times New Roman"/>
          <w:color w:val="000000"/>
          <w:sz w:val="24"/>
          <w:szCs w:val="24"/>
        </w:rPr>
        <w:t>dmft</w:t>
      </w:r>
      <w:proofErr w:type="spellEnd"/>
      <w:r w:rsidRPr="00B94F3E">
        <w:rPr>
          <w:rFonts w:ascii="Times New Roman" w:eastAsia="Arial Unicode MS" w:hAnsi="Times New Roman" w:cs="Times New Roman"/>
          <w:color w:val="000000"/>
          <w:sz w:val="24"/>
          <w:szCs w:val="24"/>
        </w:rPr>
        <w:t xml:space="preserve"> was approximately 0.06. </w:t>
      </w:r>
    </w:p>
    <w:p w14:paraId="2D567101" w14:textId="77777777" w:rsid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num="2" w:space="720"/>
        </w:sectPr>
      </w:pPr>
    </w:p>
    <w:p w14:paraId="683A0BED" w14:textId="77777777" w:rsidR="00435B01" w:rsidRP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Table </w:t>
      </w:r>
      <w:r w:rsidRPr="00B94F3E">
        <w:rPr>
          <w:rFonts w:ascii="Times New Roman" w:hAnsi="Times New Roman" w:cs="Times New Roman"/>
          <w:b/>
          <w:bCs/>
          <w:color w:val="000000"/>
          <w:sz w:val="24"/>
          <w:szCs w:val="24"/>
        </w:rPr>
        <w:t xml:space="preserve">2: Clinically assessed dental caries among the children (N = 389), n (%) </w:t>
      </w:r>
    </w:p>
    <w:tbl>
      <w:tblPr>
        <w:tblStyle w:val="a1"/>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24"/>
        <w:gridCol w:w="1563"/>
        <w:gridCol w:w="1560"/>
        <w:gridCol w:w="1557"/>
        <w:gridCol w:w="1562"/>
        <w:gridCol w:w="1559"/>
      </w:tblGrid>
      <w:tr w:rsidR="00435B01" w:rsidRPr="00B94F3E" w14:paraId="42BBD2FB" w14:textId="77777777">
        <w:trPr>
          <w:cantSplit/>
          <w:trHeight w:val="366"/>
          <w:tblHeader/>
        </w:trPr>
        <w:tc>
          <w:tcPr>
            <w:tcW w:w="1223" w:type="dxa"/>
            <w:tcMar>
              <w:top w:w="100" w:type="dxa"/>
              <w:left w:w="100" w:type="dxa"/>
              <w:bottom w:w="100" w:type="dxa"/>
              <w:right w:w="100" w:type="dxa"/>
            </w:tcMar>
          </w:tcPr>
          <w:p w14:paraId="15E877C4"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sz w:val="24"/>
                <w:szCs w:val="24"/>
              </w:rPr>
            </w:pPr>
          </w:p>
        </w:tc>
        <w:tc>
          <w:tcPr>
            <w:tcW w:w="1562" w:type="dxa"/>
            <w:tcMar>
              <w:top w:w="100" w:type="dxa"/>
              <w:left w:w="100" w:type="dxa"/>
              <w:bottom w:w="100" w:type="dxa"/>
              <w:right w:w="100" w:type="dxa"/>
            </w:tcMar>
          </w:tcPr>
          <w:p w14:paraId="1247469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Decayed (d) </w:t>
            </w:r>
          </w:p>
        </w:tc>
        <w:tc>
          <w:tcPr>
            <w:tcW w:w="1560" w:type="dxa"/>
            <w:tcMar>
              <w:top w:w="100" w:type="dxa"/>
              <w:left w:w="100" w:type="dxa"/>
              <w:bottom w:w="100" w:type="dxa"/>
              <w:right w:w="100" w:type="dxa"/>
            </w:tcMar>
          </w:tcPr>
          <w:p w14:paraId="536ACA2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Missing (m) </w:t>
            </w:r>
          </w:p>
        </w:tc>
        <w:tc>
          <w:tcPr>
            <w:tcW w:w="1557" w:type="dxa"/>
            <w:tcMar>
              <w:top w:w="100" w:type="dxa"/>
              <w:left w:w="100" w:type="dxa"/>
              <w:bottom w:w="100" w:type="dxa"/>
              <w:right w:w="100" w:type="dxa"/>
            </w:tcMar>
          </w:tcPr>
          <w:p w14:paraId="42DAB4E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Filled (f) </w:t>
            </w:r>
          </w:p>
        </w:tc>
        <w:tc>
          <w:tcPr>
            <w:tcW w:w="1562" w:type="dxa"/>
            <w:tcMar>
              <w:top w:w="100" w:type="dxa"/>
              <w:left w:w="100" w:type="dxa"/>
              <w:bottom w:w="100" w:type="dxa"/>
              <w:right w:w="100" w:type="dxa"/>
            </w:tcMar>
          </w:tcPr>
          <w:p w14:paraId="5B59ECB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Total (</w:t>
            </w:r>
            <w:proofErr w:type="spellStart"/>
            <w:r w:rsidRPr="00B94F3E">
              <w:rPr>
                <w:rFonts w:ascii="Times New Roman" w:hAnsi="Times New Roman" w:cs="Times New Roman"/>
                <w:b/>
                <w:bCs/>
                <w:color w:val="000000"/>
                <w:sz w:val="24"/>
                <w:szCs w:val="24"/>
              </w:rPr>
              <w:t>dmft</w:t>
            </w:r>
            <w:proofErr w:type="spellEnd"/>
            <w:r w:rsidRPr="00B94F3E">
              <w:rPr>
                <w:rFonts w:ascii="Times New Roman" w:hAnsi="Times New Roman" w:cs="Times New Roman"/>
                <w:b/>
                <w:bCs/>
                <w:color w:val="000000"/>
                <w:sz w:val="24"/>
                <w:szCs w:val="24"/>
              </w:rPr>
              <w:t xml:space="preserve">) </w:t>
            </w:r>
          </w:p>
        </w:tc>
        <w:tc>
          <w:tcPr>
            <w:tcW w:w="1559" w:type="dxa"/>
            <w:tcMar>
              <w:top w:w="100" w:type="dxa"/>
              <w:left w:w="100" w:type="dxa"/>
              <w:bottom w:w="100" w:type="dxa"/>
              <w:right w:w="100" w:type="dxa"/>
            </w:tcMar>
          </w:tcPr>
          <w:p w14:paraId="23DBCFB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sz w:val="24"/>
                <w:szCs w:val="24"/>
              </w:rPr>
            </w:pPr>
            <w:r w:rsidRPr="00B94F3E">
              <w:rPr>
                <w:rFonts w:ascii="Times New Roman" w:eastAsia="Arial Unicode MS" w:hAnsi="Times New Roman" w:cs="Times New Roman"/>
                <w:b/>
                <w:bCs/>
                <w:color w:val="000000"/>
                <w:sz w:val="24"/>
                <w:szCs w:val="24"/>
              </w:rPr>
              <w:t>Caries (</w:t>
            </w:r>
            <w:proofErr w:type="spellStart"/>
            <w:r w:rsidRPr="00B94F3E">
              <w:rPr>
                <w:rFonts w:ascii="Times New Roman" w:eastAsia="Arial Unicode MS" w:hAnsi="Times New Roman" w:cs="Times New Roman"/>
                <w:b/>
                <w:bCs/>
                <w:color w:val="000000"/>
                <w:sz w:val="24"/>
                <w:szCs w:val="24"/>
              </w:rPr>
              <w:t>dmft</w:t>
            </w:r>
            <w:proofErr w:type="spellEnd"/>
            <w:r w:rsidRPr="00B94F3E">
              <w:rPr>
                <w:rFonts w:ascii="Times New Roman" w:eastAsia="Arial Unicode MS" w:hAnsi="Times New Roman" w:cs="Times New Roman"/>
                <w:b/>
                <w:bCs/>
                <w:color w:val="000000"/>
                <w:sz w:val="24"/>
                <w:szCs w:val="24"/>
              </w:rPr>
              <w:t xml:space="preserve"> ≥ 1)</w:t>
            </w:r>
          </w:p>
        </w:tc>
      </w:tr>
      <w:tr w:rsidR="00435B01" w:rsidRPr="00B94F3E" w14:paraId="5BEC9DA8" w14:textId="77777777">
        <w:trPr>
          <w:cantSplit/>
          <w:trHeight w:val="296"/>
          <w:tblHeader/>
        </w:trPr>
        <w:tc>
          <w:tcPr>
            <w:tcW w:w="1223" w:type="dxa"/>
            <w:tcMar>
              <w:top w:w="100" w:type="dxa"/>
              <w:left w:w="100" w:type="dxa"/>
              <w:bottom w:w="100" w:type="dxa"/>
              <w:right w:w="100" w:type="dxa"/>
            </w:tcMar>
          </w:tcPr>
          <w:p w14:paraId="3A99AF91" w14:textId="77777777" w:rsidR="00435B01" w:rsidRPr="00B94F3E" w:rsidRDefault="00B94F3E" w:rsidP="00B94F3E">
            <w:pPr>
              <w:pStyle w:val="Normal1"/>
              <w:widowControl w:val="0"/>
              <w:pBdr>
                <w:top w:val="nil"/>
                <w:left w:val="nil"/>
                <w:bottom w:val="nil"/>
                <w:right w:val="nil"/>
                <w:between w:val="nil"/>
              </w:pBdr>
              <w:spacing w:line="240" w:lineRule="auto"/>
              <w:ind w:left="9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Yes </w:t>
            </w:r>
          </w:p>
        </w:tc>
        <w:tc>
          <w:tcPr>
            <w:tcW w:w="1562" w:type="dxa"/>
            <w:tcMar>
              <w:top w:w="100" w:type="dxa"/>
              <w:left w:w="100" w:type="dxa"/>
              <w:bottom w:w="100" w:type="dxa"/>
              <w:right w:w="100" w:type="dxa"/>
            </w:tcMar>
          </w:tcPr>
          <w:p w14:paraId="34F112F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8 (2.06) </w:t>
            </w:r>
          </w:p>
        </w:tc>
        <w:tc>
          <w:tcPr>
            <w:tcW w:w="1560" w:type="dxa"/>
            <w:tcMar>
              <w:top w:w="100" w:type="dxa"/>
              <w:left w:w="100" w:type="dxa"/>
              <w:bottom w:w="100" w:type="dxa"/>
              <w:right w:w="100" w:type="dxa"/>
            </w:tcMar>
          </w:tcPr>
          <w:p w14:paraId="1F72281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9 (2.31) </w:t>
            </w:r>
          </w:p>
        </w:tc>
        <w:tc>
          <w:tcPr>
            <w:tcW w:w="1557" w:type="dxa"/>
            <w:tcMar>
              <w:top w:w="100" w:type="dxa"/>
              <w:left w:w="100" w:type="dxa"/>
              <w:bottom w:w="100" w:type="dxa"/>
              <w:right w:w="100" w:type="dxa"/>
            </w:tcMar>
          </w:tcPr>
          <w:p w14:paraId="7977B17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6 (1.54) </w:t>
            </w:r>
          </w:p>
        </w:tc>
        <w:tc>
          <w:tcPr>
            <w:tcW w:w="1562" w:type="dxa"/>
            <w:tcMar>
              <w:top w:w="100" w:type="dxa"/>
              <w:left w:w="100" w:type="dxa"/>
              <w:bottom w:w="100" w:type="dxa"/>
              <w:right w:w="100" w:type="dxa"/>
            </w:tcMar>
          </w:tcPr>
          <w:p w14:paraId="7FE0499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23 (5.91) </w:t>
            </w:r>
          </w:p>
        </w:tc>
        <w:tc>
          <w:tcPr>
            <w:tcW w:w="1559" w:type="dxa"/>
            <w:tcMar>
              <w:top w:w="100" w:type="dxa"/>
              <w:left w:w="100" w:type="dxa"/>
              <w:bottom w:w="100" w:type="dxa"/>
              <w:right w:w="100" w:type="dxa"/>
            </w:tcMar>
          </w:tcPr>
          <w:p w14:paraId="5A752A8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20 (5.14)</w:t>
            </w:r>
          </w:p>
        </w:tc>
      </w:tr>
      <w:tr w:rsidR="00435B01" w:rsidRPr="00B94F3E" w14:paraId="75DA4208" w14:textId="77777777">
        <w:trPr>
          <w:cantSplit/>
          <w:trHeight w:val="297"/>
          <w:tblHeader/>
        </w:trPr>
        <w:tc>
          <w:tcPr>
            <w:tcW w:w="1223" w:type="dxa"/>
            <w:tcMar>
              <w:top w:w="100" w:type="dxa"/>
              <w:left w:w="100" w:type="dxa"/>
              <w:bottom w:w="100" w:type="dxa"/>
              <w:right w:w="100" w:type="dxa"/>
            </w:tcMar>
          </w:tcPr>
          <w:p w14:paraId="1F692D78"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No </w:t>
            </w:r>
          </w:p>
        </w:tc>
        <w:tc>
          <w:tcPr>
            <w:tcW w:w="1562" w:type="dxa"/>
            <w:tcMar>
              <w:top w:w="100" w:type="dxa"/>
              <w:left w:w="100" w:type="dxa"/>
              <w:bottom w:w="100" w:type="dxa"/>
              <w:right w:w="100" w:type="dxa"/>
            </w:tcMar>
          </w:tcPr>
          <w:p w14:paraId="21021C9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381 (97.94) </w:t>
            </w:r>
          </w:p>
        </w:tc>
        <w:tc>
          <w:tcPr>
            <w:tcW w:w="1560" w:type="dxa"/>
            <w:tcMar>
              <w:top w:w="100" w:type="dxa"/>
              <w:left w:w="100" w:type="dxa"/>
              <w:bottom w:w="100" w:type="dxa"/>
              <w:right w:w="100" w:type="dxa"/>
            </w:tcMar>
          </w:tcPr>
          <w:p w14:paraId="691008C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380 (97.69) </w:t>
            </w:r>
          </w:p>
        </w:tc>
        <w:tc>
          <w:tcPr>
            <w:tcW w:w="1557" w:type="dxa"/>
            <w:tcMar>
              <w:top w:w="100" w:type="dxa"/>
              <w:left w:w="100" w:type="dxa"/>
              <w:bottom w:w="100" w:type="dxa"/>
              <w:right w:w="100" w:type="dxa"/>
            </w:tcMar>
          </w:tcPr>
          <w:p w14:paraId="272D830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383 (98.46) </w:t>
            </w:r>
          </w:p>
        </w:tc>
        <w:tc>
          <w:tcPr>
            <w:tcW w:w="1562" w:type="dxa"/>
            <w:tcMar>
              <w:top w:w="100" w:type="dxa"/>
              <w:left w:w="100" w:type="dxa"/>
              <w:bottom w:w="100" w:type="dxa"/>
              <w:right w:w="100" w:type="dxa"/>
            </w:tcMar>
          </w:tcPr>
          <w:p w14:paraId="18094B8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366 (94.09) </w:t>
            </w:r>
          </w:p>
        </w:tc>
        <w:tc>
          <w:tcPr>
            <w:tcW w:w="1559" w:type="dxa"/>
            <w:tcMar>
              <w:top w:w="100" w:type="dxa"/>
              <w:left w:w="100" w:type="dxa"/>
              <w:bottom w:w="100" w:type="dxa"/>
              <w:right w:w="100" w:type="dxa"/>
            </w:tcMar>
          </w:tcPr>
          <w:p w14:paraId="37A2A68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369 (94.86)</w:t>
            </w:r>
          </w:p>
        </w:tc>
      </w:tr>
    </w:tbl>
    <w:p w14:paraId="51241C53"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715F79E3"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76D3DC38" w14:textId="77777777" w:rsidR="00B94F3E" w:rsidRDefault="00B94F3E" w:rsidP="00B94F3E">
      <w:pPr>
        <w:pStyle w:val="Normal1"/>
        <w:widowControl w:val="0"/>
        <w:pBdr>
          <w:top w:val="nil"/>
          <w:left w:val="nil"/>
          <w:bottom w:val="nil"/>
          <w:right w:val="nil"/>
          <w:between w:val="nil"/>
        </w:pBdr>
        <w:spacing w:line="240" w:lineRule="auto"/>
        <w:ind w:left="13" w:right="23" w:hanging="1"/>
        <w:jc w:val="both"/>
        <w:rPr>
          <w:rFonts w:ascii="Times New Roman" w:hAnsi="Times New Roman" w:cs="Times New Roman"/>
          <w:color w:val="000000"/>
          <w:sz w:val="24"/>
          <w:szCs w:val="24"/>
        </w:rPr>
        <w:sectPr w:rsidR="00B94F3E" w:rsidSect="00B94F3E">
          <w:type w:val="continuous"/>
          <w:pgSz w:w="11900" w:h="16820"/>
          <w:pgMar w:top="990" w:right="1425" w:bottom="759" w:left="1436" w:header="0" w:footer="720" w:gutter="0"/>
          <w:pgNumType w:start="1"/>
          <w:cols w:space="720"/>
        </w:sectPr>
      </w:pPr>
    </w:p>
    <w:p w14:paraId="38B439C5" w14:textId="77777777" w:rsidR="00435B01" w:rsidRPr="00B94F3E" w:rsidRDefault="00B94F3E" w:rsidP="00B94F3E">
      <w:pPr>
        <w:pStyle w:val="Normal1"/>
        <w:widowControl w:val="0"/>
        <w:pBdr>
          <w:top w:val="nil"/>
          <w:left w:val="nil"/>
          <w:bottom w:val="nil"/>
          <w:right w:val="nil"/>
          <w:between w:val="nil"/>
        </w:pBdr>
        <w:spacing w:line="240" w:lineRule="auto"/>
        <w:ind w:left="13" w:right="23" w:hanging="1"/>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Percentages are of 389 children. The ‘Total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column is reproduced as reported in the source data; the study prevalence estimate is the ‘Caries’ column. </w:t>
      </w:r>
    </w:p>
    <w:p w14:paraId="751903EB" w14:textId="77777777" w:rsidR="00435B01" w:rsidRPr="00B94F3E" w:rsidRDefault="00B94F3E" w:rsidP="00B94F3E">
      <w:pPr>
        <w:pStyle w:val="Normal1"/>
        <w:widowControl w:val="0"/>
        <w:pBdr>
          <w:top w:val="nil"/>
          <w:left w:val="nil"/>
          <w:bottom w:val="nil"/>
          <w:right w:val="nil"/>
          <w:between w:val="nil"/>
        </w:pBdr>
        <w:spacing w:before="200" w:line="240" w:lineRule="auto"/>
        <w:ind w:left="17"/>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Caregiver-reported dental caries indicators </w:t>
      </w:r>
    </w:p>
    <w:p w14:paraId="5BB847E7" w14:textId="77777777" w:rsidR="00B94F3E" w:rsidRDefault="00B94F3E" w:rsidP="00B94F3E">
      <w:pPr>
        <w:pStyle w:val="Normal1"/>
        <w:widowControl w:val="0"/>
        <w:pBdr>
          <w:top w:val="nil"/>
          <w:left w:val="nil"/>
          <w:bottom w:val="nil"/>
          <w:right w:val="nil"/>
          <w:between w:val="nil"/>
        </w:pBdr>
        <w:spacing w:before="179" w:line="240" w:lineRule="auto"/>
        <w:ind w:left="6" w:right="22" w:firstLine="4"/>
        <w:jc w:val="both"/>
        <w:rPr>
          <w:rFonts w:ascii="Times New Roman" w:hAnsi="Times New Roman" w:cs="Times New Roman"/>
          <w:color w:val="000000"/>
          <w:sz w:val="24"/>
          <w:szCs w:val="24"/>
        </w:rPr>
        <w:sectPr w:rsidR="00B94F3E" w:rsidSect="00B94F3E">
          <w:type w:val="continuous"/>
          <w:pgSz w:w="11900" w:h="16820"/>
          <w:pgMar w:top="990" w:right="1425" w:bottom="759" w:left="1436" w:header="0" w:footer="720" w:gutter="0"/>
          <w:pgNumType w:start="1"/>
          <w:cols w:num="2" w:space="720"/>
        </w:sectPr>
      </w:pPr>
      <w:r w:rsidRPr="00B94F3E">
        <w:rPr>
          <w:rFonts w:ascii="Times New Roman" w:hAnsi="Times New Roman" w:cs="Times New Roman"/>
          <w:color w:val="000000"/>
          <w:sz w:val="24"/>
          <w:szCs w:val="24"/>
        </w:rPr>
        <w:t xml:space="preserve">Table 3 shows the ten caregiver-reported indicators. Overall, 39.2% of all item responses were affirmative. The most frequently reported indicators were black or brown spots on the teeth (48.6%), a previous diagnosis of tooth decay by a </w:t>
      </w:r>
      <w:r w:rsidRPr="00B94F3E">
        <w:rPr>
          <w:rFonts w:ascii="Times New Roman" w:hAnsi="Times New Roman" w:cs="Times New Roman"/>
          <w:color w:val="000000"/>
          <w:sz w:val="24"/>
          <w:szCs w:val="24"/>
        </w:rPr>
        <w:t>health worker or dentist (47.8%), toothache (44.7%) and difficulty eating because of tooth pain (42.2%). A visible hole or cavity was reported by 38.8%, gum swelling by 38.0%, perceived current tooth decay by 35.7% and food trapping by 34.2%. Fewer caregivers reported broken or crumbling teeth (29.6%) or a visit to a health facility for a dental problem (31.9%). Using the composite score, 269 children (69.2%) were classified as positive for caregiver-reported caries</w:t>
      </w:r>
    </w:p>
    <w:p w14:paraId="47AB5ABC" w14:textId="77777777" w:rsidR="00435B01" w:rsidRPr="00B94F3E" w:rsidRDefault="00B94F3E" w:rsidP="00B94F3E">
      <w:pPr>
        <w:pStyle w:val="Normal1"/>
        <w:widowControl w:val="0"/>
        <w:pBdr>
          <w:top w:val="nil"/>
          <w:left w:val="nil"/>
          <w:bottom w:val="nil"/>
          <w:right w:val="nil"/>
          <w:between w:val="nil"/>
        </w:pBdr>
        <w:spacing w:before="179" w:line="240" w:lineRule="auto"/>
        <w:ind w:left="6" w:right="22" w:firstLine="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 </w:t>
      </w:r>
    </w:p>
    <w:p w14:paraId="13C4B4C4" w14:textId="77777777" w:rsidR="00435B01" w:rsidRP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Table </w:t>
      </w:r>
      <w:r w:rsidRPr="00B94F3E">
        <w:rPr>
          <w:rFonts w:ascii="Times New Roman" w:hAnsi="Times New Roman" w:cs="Times New Roman"/>
          <w:b/>
          <w:bCs/>
          <w:color w:val="000000"/>
          <w:sz w:val="24"/>
          <w:szCs w:val="24"/>
        </w:rPr>
        <w:t xml:space="preserve">3: Caregiver-reported dental caries indicators among preschool children (N = 389) </w:t>
      </w:r>
    </w:p>
    <w:tbl>
      <w:tblPr>
        <w:tblStyle w:val="a2"/>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6"/>
        <w:gridCol w:w="1900"/>
        <w:gridCol w:w="1899"/>
      </w:tblGrid>
      <w:tr w:rsidR="00435B01" w:rsidRPr="00B94F3E" w14:paraId="1D9EDCAB" w14:textId="77777777">
        <w:trPr>
          <w:cantSplit/>
          <w:trHeight w:val="296"/>
          <w:tblHeader/>
        </w:trPr>
        <w:tc>
          <w:tcPr>
            <w:tcW w:w="5226" w:type="dxa"/>
            <w:tcMar>
              <w:top w:w="100" w:type="dxa"/>
              <w:left w:w="100" w:type="dxa"/>
              <w:bottom w:w="100" w:type="dxa"/>
              <w:right w:w="100" w:type="dxa"/>
            </w:tcMar>
          </w:tcPr>
          <w:p w14:paraId="7C578E34"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b/>
                <w:bCs/>
                <w:color w:val="000000"/>
              </w:rPr>
            </w:pPr>
            <w:r w:rsidRPr="00B94F3E">
              <w:rPr>
                <w:rFonts w:ascii="Times New Roman" w:hAnsi="Times New Roman" w:cs="Times New Roman"/>
                <w:b/>
                <w:bCs/>
                <w:color w:val="000000"/>
              </w:rPr>
              <w:t xml:space="preserve">Statement </w:t>
            </w:r>
          </w:p>
        </w:tc>
        <w:tc>
          <w:tcPr>
            <w:tcW w:w="1900" w:type="dxa"/>
            <w:tcMar>
              <w:top w:w="100" w:type="dxa"/>
              <w:left w:w="100" w:type="dxa"/>
              <w:bottom w:w="100" w:type="dxa"/>
              <w:right w:w="100" w:type="dxa"/>
            </w:tcMar>
          </w:tcPr>
          <w:p w14:paraId="45F75A4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No, n (%) </w:t>
            </w:r>
          </w:p>
        </w:tc>
        <w:tc>
          <w:tcPr>
            <w:tcW w:w="1899" w:type="dxa"/>
            <w:tcMar>
              <w:top w:w="100" w:type="dxa"/>
              <w:left w:w="100" w:type="dxa"/>
              <w:bottom w:w="100" w:type="dxa"/>
              <w:right w:w="100" w:type="dxa"/>
            </w:tcMar>
          </w:tcPr>
          <w:p w14:paraId="3D4F132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Yes, n (%)</w:t>
            </w:r>
          </w:p>
        </w:tc>
      </w:tr>
      <w:tr w:rsidR="00435B01" w:rsidRPr="00B94F3E" w14:paraId="50F6B588" w14:textId="77777777">
        <w:trPr>
          <w:cantSplit/>
          <w:trHeight w:val="503"/>
          <w:tblHeader/>
        </w:trPr>
        <w:tc>
          <w:tcPr>
            <w:tcW w:w="5226" w:type="dxa"/>
            <w:tcMar>
              <w:top w:w="100" w:type="dxa"/>
              <w:left w:w="100" w:type="dxa"/>
              <w:bottom w:w="100" w:type="dxa"/>
              <w:right w:w="100" w:type="dxa"/>
            </w:tcMar>
          </w:tcPr>
          <w:p w14:paraId="72845E9D" w14:textId="77777777" w:rsidR="00435B01" w:rsidRPr="00B94F3E" w:rsidRDefault="00B94F3E" w:rsidP="00B94F3E">
            <w:pPr>
              <w:pStyle w:val="Normal1"/>
              <w:widowControl w:val="0"/>
              <w:pBdr>
                <w:top w:val="nil"/>
                <w:left w:val="nil"/>
                <w:bottom w:val="nil"/>
                <w:right w:val="nil"/>
                <w:between w:val="nil"/>
              </w:pBdr>
              <w:spacing w:line="240" w:lineRule="auto"/>
              <w:ind w:left="97" w:right="190"/>
              <w:jc w:val="both"/>
              <w:rPr>
                <w:rFonts w:ascii="Times New Roman" w:hAnsi="Times New Roman" w:cs="Times New Roman"/>
                <w:color w:val="000000"/>
              </w:rPr>
            </w:pPr>
            <w:r w:rsidRPr="00B94F3E">
              <w:rPr>
                <w:rFonts w:ascii="Times New Roman" w:hAnsi="Times New Roman" w:cs="Times New Roman"/>
                <w:color w:val="000000"/>
              </w:rPr>
              <w:t xml:space="preserve">Child ever had tooth decay (cavity) diagnosed by a health worker </w:t>
            </w:r>
            <w:proofErr w:type="gramStart"/>
            <w:r w:rsidRPr="00B94F3E">
              <w:rPr>
                <w:rFonts w:ascii="Times New Roman" w:hAnsi="Times New Roman" w:cs="Times New Roman"/>
                <w:color w:val="000000"/>
              </w:rPr>
              <w:t>or  dentist</w:t>
            </w:r>
            <w:proofErr w:type="gramEnd"/>
          </w:p>
        </w:tc>
        <w:tc>
          <w:tcPr>
            <w:tcW w:w="1900" w:type="dxa"/>
            <w:tcMar>
              <w:top w:w="100" w:type="dxa"/>
              <w:left w:w="100" w:type="dxa"/>
              <w:bottom w:w="100" w:type="dxa"/>
              <w:right w:w="100" w:type="dxa"/>
            </w:tcMar>
          </w:tcPr>
          <w:p w14:paraId="5B2EACB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203 (52.2) </w:t>
            </w:r>
          </w:p>
        </w:tc>
        <w:tc>
          <w:tcPr>
            <w:tcW w:w="1899" w:type="dxa"/>
            <w:tcMar>
              <w:top w:w="100" w:type="dxa"/>
              <w:left w:w="100" w:type="dxa"/>
              <w:bottom w:w="100" w:type="dxa"/>
              <w:right w:w="100" w:type="dxa"/>
            </w:tcMar>
          </w:tcPr>
          <w:p w14:paraId="28A4AFB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186 (47.8)</w:t>
            </w:r>
          </w:p>
        </w:tc>
      </w:tr>
      <w:tr w:rsidR="00435B01" w:rsidRPr="00B94F3E" w14:paraId="3F43421F" w14:textId="77777777">
        <w:trPr>
          <w:cantSplit/>
          <w:trHeight w:val="298"/>
          <w:tblHeader/>
        </w:trPr>
        <w:tc>
          <w:tcPr>
            <w:tcW w:w="5226" w:type="dxa"/>
            <w:tcMar>
              <w:top w:w="100" w:type="dxa"/>
              <w:left w:w="100" w:type="dxa"/>
              <w:bottom w:w="100" w:type="dxa"/>
              <w:right w:w="100" w:type="dxa"/>
            </w:tcMar>
          </w:tcPr>
          <w:p w14:paraId="239F1460"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Ever noticed a hole or cavity in any of the child’s teeth </w:t>
            </w:r>
          </w:p>
        </w:tc>
        <w:tc>
          <w:tcPr>
            <w:tcW w:w="1900" w:type="dxa"/>
            <w:tcMar>
              <w:top w:w="100" w:type="dxa"/>
              <w:left w:w="100" w:type="dxa"/>
              <w:bottom w:w="100" w:type="dxa"/>
              <w:right w:w="100" w:type="dxa"/>
            </w:tcMar>
          </w:tcPr>
          <w:p w14:paraId="28DD64E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238 (61.2) </w:t>
            </w:r>
          </w:p>
        </w:tc>
        <w:tc>
          <w:tcPr>
            <w:tcW w:w="1899" w:type="dxa"/>
            <w:tcMar>
              <w:top w:w="100" w:type="dxa"/>
              <w:left w:w="100" w:type="dxa"/>
              <w:bottom w:w="100" w:type="dxa"/>
              <w:right w:w="100" w:type="dxa"/>
            </w:tcMar>
          </w:tcPr>
          <w:p w14:paraId="50754E2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151 (38.8)</w:t>
            </w:r>
          </w:p>
        </w:tc>
      </w:tr>
      <w:tr w:rsidR="00435B01" w:rsidRPr="00B94F3E" w14:paraId="7609D0CF" w14:textId="77777777">
        <w:trPr>
          <w:cantSplit/>
          <w:trHeight w:val="295"/>
          <w:tblHeader/>
        </w:trPr>
        <w:tc>
          <w:tcPr>
            <w:tcW w:w="5226" w:type="dxa"/>
            <w:tcMar>
              <w:top w:w="100" w:type="dxa"/>
              <w:left w:w="100" w:type="dxa"/>
              <w:bottom w:w="100" w:type="dxa"/>
              <w:right w:w="100" w:type="dxa"/>
            </w:tcMar>
          </w:tcPr>
          <w:p w14:paraId="124C7BF3"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Noticed black or brown spots on any of the child’s teeth </w:t>
            </w:r>
          </w:p>
        </w:tc>
        <w:tc>
          <w:tcPr>
            <w:tcW w:w="1900" w:type="dxa"/>
            <w:tcMar>
              <w:top w:w="100" w:type="dxa"/>
              <w:left w:w="100" w:type="dxa"/>
              <w:bottom w:w="100" w:type="dxa"/>
              <w:right w:w="100" w:type="dxa"/>
            </w:tcMar>
          </w:tcPr>
          <w:p w14:paraId="1B3BE73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200 (51.4) </w:t>
            </w:r>
          </w:p>
        </w:tc>
        <w:tc>
          <w:tcPr>
            <w:tcW w:w="1899" w:type="dxa"/>
            <w:tcMar>
              <w:top w:w="100" w:type="dxa"/>
              <w:left w:w="100" w:type="dxa"/>
              <w:bottom w:w="100" w:type="dxa"/>
              <w:right w:w="100" w:type="dxa"/>
            </w:tcMar>
          </w:tcPr>
          <w:p w14:paraId="64218C2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189 (48.6)</w:t>
            </w:r>
          </w:p>
        </w:tc>
      </w:tr>
      <w:tr w:rsidR="00435B01" w:rsidRPr="00B94F3E" w14:paraId="3D321761" w14:textId="77777777">
        <w:trPr>
          <w:cantSplit/>
          <w:trHeight w:val="298"/>
          <w:tblHeader/>
        </w:trPr>
        <w:tc>
          <w:tcPr>
            <w:tcW w:w="5226" w:type="dxa"/>
            <w:tcMar>
              <w:top w:w="100" w:type="dxa"/>
              <w:left w:w="100" w:type="dxa"/>
              <w:bottom w:w="100" w:type="dxa"/>
              <w:right w:w="100" w:type="dxa"/>
            </w:tcMar>
          </w:tcPr>
          <w:p w14:paraId="719C9AF2"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ever complained of tooth pain or toothache </w:t>
            </w:r>
          </w:p>
        </w:tc>
        <w:tc>
          <w:tcPr>
            <w:tcW w:w="1900" w:type="dxa"/>
            <w:tcMar>
              <w:top w:w="100" w:type="dxa"/>
              <w:left w:w="100" w:type="dxa"/>
              <w:bottom w:w="100" w:type="dxa"/>
              <w:right w:w="100" w:type="dxa"/>
            </w:tcMar>
          </w:tcPr>
          <w:p w14:paraId="1FF1189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215 (55.3) </w:t>
            </w:r>
          </w:p>
        </w:tc>
        <w:tc>
          <w:tcPr>
            <w:tcW w:w="1899" w:type="dxa"/>
            <w:tcMar>
              <w:top w:w="100" w:type="dxa"/>
              <w:left w:w="100" w:type="dxa"/>
              <w:bottom w:w="100" w:type="dxa"/>
              <w:right w:w="100" w:type="dxa"/>
            </w:tcMar>
          </w:tcPr>
          <w:p w14:paraId="7F49619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174 (44.7)</w:t>
            </w:r>
          </w:p>
        </w:tc>
      </w:tr>
      <w:tr w:rsidR="00435B01" w:rsidRPr="00B94F3E" w14:paraId="2666373A" w14:textId="77777777">
        <w:trPr>
          <w:cantSplit/>
          <w:trHeight w:val="295"/>
          <w:tblHeader/>
        </w:trPr>
        <w:tc>
          <w:tcPr>
            <w:tcW w:w="5226" w:type="dxa"/>
            <w:tcMar>
              <w:top w:w="100" w:type="dxa"/>
              <w:left w:w="100" w:type="dxa"/>
              <w:bottom w:w="100" w:type="dxa"/>
              <w:right w:w="100" w:type="dxa"/>
            </w:tcMar>
          </w:tcPr>
          <w:p w14:paraId="45B7B430"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ever had swelling of the gums or around a tooth </w:t>
            </w:r>
          </w:p>
        </w:tc>
        <w:tc>
          <w:tcPr>
            <w:tcW w:w="1900" w:type="dxa"/>
            <w:tcMar>
              <w:top w:w="100" w:type="dxa"/>
              <w:left w:w="100" w:type="dxa"/>
              <w:bottom w:w="100" w:type="dxa"/>
              <w:right w:w="100" w:type="dxa"/>
            </w:tcMar>
          </w:tcPr>
          <w:p w14:paraId="3388680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241 (62.0) </w:t>
            </w:r>
          </w:p>
        </w:tc>
        <w:tc>
          <w:tcPr>
            <w:tcW w:w="1899" w:type="dxa"/>
            <w:tcMar>
              <w:top w:w="100" w:type="dxa"/>
              <w:left w:w="100" w:type="dxa"/>
              <w:bottom w:w="100" w:type="dxa"/>
              <w:right w:w="100" w:type="dxa"/>
            </w:tcMar>
          </w:tcPr>
          <w:p w14:paraId="130AF50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148 (38.0)</w:t>
            </w:r>
          </w:p>
        </w:tc>
      </w:tr>
      <w:tr w:rsidR="00435B01" w:rsidRPr="00B94F3E" w14:paraId="4F95C732" w14:textId="77777777">
        <w:trPr>
          <w:cantSplit/>
          <w:trHeight w:val="298"/>
          <w:tblHeader/>
        </w:trPr>
        <w:tc>
          <w:tcPr>
            <w:tcW w:w="5226" w:type="dxa"/>
            <w:tcMar>
              <w:top w:w="100" w:type="dxa"/>
              <w:left w:w="100" w:type="dxa"/>
              <w:bottom w:w="100" w:type="dxa"/>
              <w:right w:w="100" w:type="dxa"/>
            </w:tcMar>
          </w:tcPr>
          <w:p w14:paraId="3A617C52"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ever had difficulty eating because of tooth pain </w:t>
            </w:r>
          </w:p>
        </w:tc>
        <w:tc>
          <w:tcPr>
            <w:tcW w:w="1900" w:type="dxa"/>
            <w:tcMar>
              <w:top w:w="100" w:type="dxa"/>
              <w:left w:w="100" w:type="dxa"/>
              <w:bottom w:w="100" w:type="dxa"/>
              <w:right w:w="100" w:type="dxa"/>
            </w:tcMar>
          </w:tcPr>
          <w:p w14:paraId="48EB1DD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225 (57.8) </w:t>
            </w:r>
          </w:p>
        </w:tc>
        <w:tc>
          <w:tcPr>
            <w:tcW w:w="1899" w:type="dxa"/>
            <w:tcMar>
              <w:top w:w="100" w:type="dxa"/>
              <w:left w:w="100" w:type="dxa"/>
              <w:bottom w:w="100" w:type="dxa"/>
              <w:right w:w="100" w:type="dxa"/>
            </w:tcMar>
          </w:tcPr>
          <w:p w14:paraId="7EE5C3C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164 (42.2)</w:t>
            </w:r>
          </w:p>
        </w:tc>
      </w:tr>
      <w:tr w:rsidR="00435B01" w:rsidRPr="00B94F3E" w14:paraId="79EC9A5C" w14:textId="77777777">
        <w:trPr>
          <w:cantSplit/>
          <w:trHeight w:val="295"/>
          <w:tblHeader/>
        </w:trPr>
        <w:tc>
          <w:tcPr>
            <w:tcW w:w="5226" w:type="dxa"/>
            <w:tcMar>
              <w:top w:w="100" w:type="dxa"/>
              <w:left w:w="100" w:type="dxa"/>
              <w:bottom w:w="100" w:type="dxa"/>
              <w:right w:w="100" w:type="dxa"/>
            </w:tcMar>
          </w:tcPr>
          <w:p w14:paraId="4007B1B0" w14:textId="77777777" w:rsidR="00435B01" w:rsidRPr="00B94F3E" w:rsidRDefault="00B94F3E" w:rsidP="00B94F3E">
            <w:pPr>
              <w:pStyle w:val="Normal1"/>
              <w:widowControl w:val="0"/>
              <w:pBdr>
                <w:top w:val="nil"/>
                <w:left w:val="nil"/>
                <w:bottom w:val="nil"/>
                <w:right w:val="nil"/>
                <w:between w:val="nil"/>
              </w:pBdr>
              <w:spacing w:line="240" w:lineRule="auto"/>
              <w:ind w:left="92"/>
              <w:jc w:val="both"/>
              <w:rPr>
                <w:rFonts w:ascii="Times New Roman" w:hAnsi="Times New Roman" w:cs="Times New Roman"/>
                <w:color w:val="000000"/>
              </w:rPr>
            </w:pPr>
            <w:r w:rsidRPr="00B94F3E">
              <w:rPr>
                <w:rFonts w:ascii="Times New Roman" w:hAnsi="Times New Roman" w:cs="Times New Roman"/>
                <w:color w:val="000000"/>
              </w:rPr>
              <w:t xml:space="preserve">Any of the child’s teeth ever broken or crumbled due to decay </w:t>
            </w:r>
          </w:p>
        </w:tc>
        <w:tc>
          <w:tcPr>
            <w:tcW w:w="1900" w:type="dxa"/>
            <w:tcMar>
              <w:top w:w="100" w:type="dxa"/>
              <w:left w:w="100" w:type="dxa"/>
              <w:bottom w:w="100" w:type="dxa"/>
              <w:right w:w="100" w:type="dxa"/>
            </w:tcMar>
          </w:tcPr>
          <w:p w14:paraId="023895B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274 (70.4) </w:t>
            </w:r>
          </w:p>
        </w:tc>
        <w:tc>
          <w:tcPr>
            <w:tcW w:w="1899" w:type="dxa"/>
            <w:tcMar>
              <w:top w:w="100" w:type="dxa"/>
              <w:left w:w="100" w:type="dxa"/>
              <w:bottom w:w="100" w:type="dxa"/>
              <w:right w:w="100" w:type="dxa"/>
            </w:tcMar>
          </w:tcPr>
          <w:p w14:paraId="4FD3583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115 (29.6)</w:t>
            </w:r>
          </w:p>
        </w:tc>
      </w:tr>
      <w:tr w:rsidR="00435B01" w:rsidRPr="00B94F3E" w14:paraId="686F4272" w14:textId="77777777">
        <w:trPr>
          <w:cantSplit/>
          <w:trHeight w:val="297"/>
          <w:tblHeader/>
        </w:trPr>
        <w:tc>
          <w:tcPr>
            <w:tcW w:w="5226" w:type="dxa"/>
            <w:tcMar>
              <w:top w:w="100" w:type="dxa"/>
              <w:left w:w="100" w:type="dxa"/>
              <w:bottom w:w="100" w:type="dxa"/>
              <w:right w:w="100" w:type="dxa"/>
            </w:tcMar>
          </w:tcPr>
          <w:p w14:paraId="04EAC4D8"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lastRenderedPageBreak/>
              <w:t xml:space="preserve">Child ever visited a health facility because of a dental problem </w:t>
            </w:r>
          </w:p>
        </w:tc>
        <w:tc>
          <w:tcPr>
            <w:tcW w:w="1900" w:type="dxa"/>
            <w:tcMar>
              <w:top w:w="100" w:type="dxa"/>
              <w:left w:w="100" w:type="dxa"/>
              <w:bottom w:w="100" w:type="dxa"/>
              <w:right w:w="100" w:type="dxa"/>
            </w:tcMar>
          </w:tcPr>
          <w:p w14:paraId="3D8E4B0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265 (68.1) </w:t>
            </w:r>
          </w:p>
        </w:tc>
        <w:tc>
          <w:tcPr>
            <w:tcW w:w="1899" w:type="dxa"/>
            <w:tcMar>
              <w:top w:w="100" w:type="dxa"/>
              <w:left w:w="100" w:type="dxa"/>
              <w:bottom w:w="100" w:type="dxa"/>
              <w:right w:w="100" w:type="dxa"/>
            </w:tcMar>
          </w:tcPr>
          <w:p w14:paraId="16E19DC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124 (31.9)</w:t>
            </w:r>
          </w:p>
        </w:tc>
      </w:tr>
      <w:tr w:rsidR="00435B01" w:rsidRPr="00B94F3E" w14:paraId="27C98762" w14:textId="77777777">
        <w:trPr>
          <w:cantSplit/>
          <w:trHeight w:val="295"/>
          <w:tblHeader/>
        </w:trPr>
        <w:tc>
          <w:tcPr>
            <w:tcW w:w="5226" w:type="dxa"/>
            <w:tcMar>
              <w:top w:w="100" w:type="dxa"/>
              <w:left w:w="100" w:type="dxa"/>
              <w:bottom w:w="100" w:type="dxa"/>
              <w:right w:w="100" w:type="dxa"/>
            </w:tcMar>
          </w:tcPr>
          <w:p w14:paraId="0F54F71E"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Ever noticed food getting stuck in holes in the child’s teeth </w:t>
            </w:r>
          </w:p>
        </w:tc>
        <w:tc>
          <w:tcPr>
            <w:tcW w:w="1900" w:type="dxa"/>
            <w:tcMar>
              <w:top w:w="100" w:type="dxa"/>
              <w:left w:w="100" w:type="dxa"/>
              <w:bottom w:w="100" w:type="dxa"/>
              <w:right w:w="100" w:type="dxa"/>
            </w:tcMar>
          </w:tcPr>
          <w:p w14:paraId="4998FC5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256 (65.8) </w:t>
            </w:r>
          </w:p>
        </w:tc>
        <w:tc>
          <w:tcPr>
            <w:tcW w:w="1899" w:type="dxa"/>
            <w:tcMar>
              <w:top w:w="100" w:type="dxa"/>
              <w:left w:w="100" w:type="dxa"/>
              <w:bottom w:w="100" w:type="dxa"/>
              <w:right w:w="100" w:type="dxa"/>
            </w:tcMar>
          </w:tcPr>
          <w:p w14:paraId="0D1633A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133 (34.2)</w:t>
            </w:r>
          </w:p>
        </w:tc>
      </w:tr>
      <w:tr w:rsidR="00435B01" w:rsidRPr="00B94F3E" w14:paraId="17B93563" w14:textId="77777777">
        <w:trPr>
          <w:cantSplit/>
          <w:trHeight w:val="297"/>
          <w:tblHeader/>
        </w:trPr>
        <w:tc>
          <w:tcPr>
            <w:tcW w:w="5226" w:type="dxa"/>
            <w:tcMar>
              <w:top w:w="100" w:type="dxa"/>
              <w:left w:w="100" w:type="dxa"/>
              <w:bottom w:w="100" w:type="dxa"/>
              <w:right w:w="100" w:type="dxa"/>
            </w:tcMar>
          </w:tcPr>
          <w:p w14:paraId="795B8706"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Caregiver thinks the child currently has tooth decay </w:t>
            </w:r>
          </w:p>
        </w:tc>
        <w:tc>
          <w:tcPr>
            <w:tcW w:w="1900" w:type="dxa"/>
            <w:tcMar>
              <w:top w:w="100" w:type="dxa"/>
              <w:left w:w="100" w:type="dxa"/>
              <w:bottom w:w="100" w:type="dxa"/>
              <w:right w:w="100" w:type="dxa"/>
            </w:tcMar>
          </w:tcPr>
          <w:p w14:paraId="4757FBD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250 (64.3) </w:t>
            </w:r>
          </w:p>
        </w:tc>
        <w:tc>
          <w:tcPr>
            <w:tcW w:w="1899" w:type="dxa"/>
            <w:tcMar>
              <w:top w:w="100" w:type="dxa"/>
              <w:left w:w="100" w:type="dxa"/>
              <w:bottom w:w="100" w:type="dxa"/>
              <w:right w:w="100" w:type="dxa"/>
            </w:tcMar>
          </w:tcPr>
          <w:p w14:paraId="15667C3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139 (35.7)</w:t>
            </w:r>
          </w:p>
        </w:tc>
      </w:tr>
      <w:tr w:rsidR="00435B01" w:rsidRPr="00B94F3E" w14:paraId="2F32936C" w14:textId="77777777">
        <w:trPr>
          <w:cantSplit/>
          <w:trHeight w:val="296"/>
          <w:tblHeader/>
        </w:trPr>
        <w:tc>
          <w:tcPr>
            <w:tcW w:w="5226" w:type="dxa"/>
            <w:tcMar>
              <w:top w:w="100" w:type="dxa"/>
              <w:left w:w="100" w:type="dxa"/>
              <w:bottom w:w="100" w:type="dxa"/>
              <w:right w:w="100" w:type="dxa"/>
            </w:tcMar>
          </w:tcPr>
          <w:p w14:paraId="3741C8CB" w14:textId="77777777" w:rsidR="00435B01" w:rsidRPr="00B94F3E" w:rsidRDefault="00B94F3E" w:rsidP="00B94F3E">
            <w:pPr>
              <w:pStyle w:val="Normal1"/>
              <w:widowControl w:val="0"/>
              <w:pBdr>
                <w:top w:val="nil"/>
                <w:left w:val="nil"/>
                <w:bottom w:val="nil"/>
                <w:right w:val="nil"/>
                <w:between w:val="nil"/>
              </w:pBdr>
              <w:spacing w:line="240" w:lineRule="auto"/>
              <w:ind w:left="93"/>
              <w:jc w:val="both"/>
              <w:rPr>
                <w:rFonts w:ascii="Times New Roman" w:hAnsi="Times New Roman" w:cs="Times New Roman"/>
                <w:b/>
                <w:bCs/>
                <w:color w:val="000000"/>
              </w:rPr>
            </w:pPr>
            <w:r w:rsidRPr="00B94F3E">
              <w:rPr>
                <w:rFonts w:ascii="Times New Roman" w:hAnsi="Times New Roman" w:cs="Times New Roman"/>
                <w:b/>
                <w:bCs/>
                <w:color w:val="000000"/>
              </w:rPr>
              <w:t xml:space="preserve">Total (item responses) </w:t>
            </w:r>
          </w:p>
        </w:tc>
        <w:tc>
          <w:tcPr>
            <w:tcW w:w="1900" w:type="dxa"/>
            <w:tcMar>
              <w:top w:w="100" w:type="dxa"/>
              <w:left w:w="100" w:type="dxa"/>
              <w:bottom w:w="100" w:type="dxa"/>
              <w:right w:w="100" w:type="dxa"/>
            </w:tcMar>
          </w:tcPr>
          <w:p w14:paraId="71C0E59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2367 (60.8) </w:t>
            </w:r>
          </w:p>
        </w:tc>
        <w:tc>
          <w:tcPr>
            <w:tcW w:w="1899" w:type="dxa"/>
            <w:tcMar>
              <w:top w:w="100" w:type="dxa"/>
              <w:left w:w="100" w:type="dxa"/>
              <w:bottom w:w="100" w:type="dxa"/>
              <w:right w:w="100" w:type="dxa"/>
            </w:tcMar>
          </w:tcPr>
          <w:p w14:paraId="1033D30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1523 (39.2)</w:t>
            </w:r>
          </w:p>
        </w:tc>
      </w:tr>
    </w:tbl>
    <w:p w14:paraId="424E69B4"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553A0591"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2DF46A16" w14:textId="77777777" w:rsidR="00B94F3E" w:rsidRDefault="00B94F3E" w:rsidP="00B94F3E">
      <w:pPr>
        <w:pStyle w:val="Normal1"/>
        <w:widowControl w:val="0"/>
        <w:pBdr>
          <w:top w:val="nil"/>
          <w:left w:val="nil"/>
          <w:bottom w:val="nil"/>
          <w:right w:val="nil"/>
          <w:between w:val="nil"/>
        </w:pBdr>
        <w:spacing w:line="240" w:lineRule="auto"/>
        <w:ind w:left="17"/>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space="720"/>
        </w:sectPr>
      </w:pPr>
    </w:p>
    <w:p w14:paraId="1496A2BD" w14:textId="77777777" w:rsidR="00435B01" w:rsidRPr="00B94F3E" w:rsidRDefault="00B94F3E" w:rsidP="00B94F3E">
      <w:pPr>
        <w:pStyle w:val="Normal1"/>
        <w:widowControl w:val="0"/>
        <w:pBdr>
          <w:top w:val="nil"/>
          <w:left w:val="nil"/>
          <w:bottom w:val="nil"/>
          <w:right w:val="nil"/>
          <w:between w:val="nil"/>
        </w:pBdr>
        <w:spacing w:line="240" w:lineRule="auto"/>
        <w:ind w:left="17"/>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Caregivers’ knowledge of dental caries and oral-health practices </w:t>
      </w:r>
    </w:p>
    <w:p w14:paraId="71EDF0D8" w14:textId="77777777" w:rsidR="00435B01" w:rsidRPr="00B94F3E" w:rsidRDefault="00B94F3E" w:rsidP="00B94F3E">
      <w:pPr>
        <w:pStyle w:val="Normal1"/>
        <w:widowControl w:val="0"/>
        <w:pBdr>
          <w:top w:val="nil"/>
          <w:left w:val="nil"/>
          <w:bottom w:val="nil"/>
          <w:right w:val="nil"/>
          <w:between w:val="nil"/>
        </w:pBdr>
        <w:spacing w:before="179" w:line="240" w:lineRule="auto"/>
        <w:ind w:left="5" w:right="4" w:firstLine="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Table 4 lists responses to the 15 knowledge statements. Most caregivers knew that bacteria cause tooth decay (80.7%), that frequent sugary snacks increase risk (78.1%), that poor brushing raises risk (75.3%) and that decay causes pain and eating difficulty (72.8%). Misconceptions were common, however: 59.9% believed that cavities in baby teeth </w:t>
      </w:r>
      <w:r w:rsidRPr="00B94F3E">
        <w:rPr>
          <w:rFonts w:ascii="Times New Roman" w:hAnsi="Times New Roman" w:cs="Times New Roman"/>
          <w:color w:val="000000"/>
          <w:sz w:val="24"/>
          <w:szCs w:val="24"/>
        </w:rPr>
        <w:t xml:space="preserve">need no treatment because the teeth fall out, 55.3% believed that sharing utensils cannot spread decay causing bacteria, 52.2% believed that brushing once a week is enough and 51.2% believed that decay affects only adults. After correct/incorrect scoring (Figure </w:t>
      </w:r>
      <w:r>
        <w:rPr>
          <w:rFonts w:ascii="Times New Roman" w:hAnsi="Times New Roman" w:cs="Times New Roman"/>
          <w:color w:val="000000"/>
          <w:sz w:val="24"/>
          <w:szCs w:val="24"/>
        </w:rPr>
        <w:t>2</w:t>
      </w:r>
      <w:r w:rsidRPr="00B94F3E">
        <w:rPr>
          <w:rFonts w:ascii="Times New Roman" w:hAnsi="Times New Roman" w:cs="Times New Roman"/>
          <w:color w:val="000000"/>
          <w:sz w:val="24"/>
          <w:szCs w:val="24"/>
        </w:rPr>
        <w:t xml:space="preserve">), 40.1% of caregivers (n = 156) had fair knowledge, 33.7% (n = 131) poor knowledge and 26.2% (n = 102) good knowledge. </w:t>
      </w:r>
    </w:p>
    <w:p w14:paraId="503D738C" w14:textId="77777777" w:rsid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num="2" w:space="720"/>
        </w:sectPr>
      </w:pPr>
    </w:p>
    <w:p w14:paraId="60869D0C" w14:textId="77777777" w:rsidR="00435B01" w:rsidRP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Table </w:t>
      </w:r>
      <w:r w:rsidRPr="00B94F3E">
        <w:rPr>
          <w:rFonts w:ascii="Times New Roman" w:hAnsi="Times New Roman" w:cs="Times New Roman"/>
          <w:b/>
          <w:bCs/>
          <w:color w:val="000000"/>
          <w:sz w:val="24"/>
          <w:szCs w:val="24"/>
        </w:rPr>
        <w:t xml:space="preserve">4: Caregivers’ knowledge regarding dental caries and oral-health practices (N = 389) </w:t>
      </w:r>
    </w:p>
    <w:tbl>
      <w:tblPr>
        <w:tblStyle w:val="a3"/>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6"/>
        <w:gridCol w:w="1900"/>
        <w:gridCol w:w="1899"/>
      </w:tblGrid>
      <w:tr w:rsidR="00435B01" w:rsidRPr="00B94F3E" w14:paraId="260D95A1" w14:textId="77777777">
        <w:trPr>
          <w:cantSplit/>
          <w:trHeight w:val="295"/>
          <w:tblHeader/>
        </w:trPr>
        <w:tc>
          <w:tcPr>
            <w:tcW w:w="5226" w:type="dxa"/>
            <w:tcMar>
              <w:top w:w="100" w:type="dxa"/>
              <w:left w:w="100" w:type="dxa"/>
              <w:bottom w:w="100" w:type="dxa"/>
              <w:right w:w="100" w:type="dxa"/>
            </w:tcMar>
          </w:tcPr>
          <w:p w14:paraId="2743B160"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b/>
                <w:bCs/>
                <w:color w:val="000000"/>
              </w:rPr>
            </w:pPr>
            <w:r w:rsidRPr="00B94F3E">
              <w:rPr>
                <w:rFonts w:ascii="Times New Roman" w:hAnsi="Times New Roman" w:cs="Times New Roman"/>
                <w:b/>
                <w:bCs/>
                <w:color w:val="000000"/>
              </w:rPr>
              <w:t xml:space="preserve">Statement </w:t>
            </w:r>
          </w:p>
        </w:tc>
        <w:tc>
          <w:tcPr>
            <w:tcW w:w="1900" w:type="dxa"/>
            <w:tcMar>
              <w:top w:w="100" w:type="dxa"/>
              <w:left w:w="100" w:type="dxa"/>
              <w:bottom w:w="100" w:type="dxa"/>
              <w:right w:w="100" w:type="dxa"/>
            </w:tcMar>
          </w:tcPr>
          <w:p w14:paraId="6AF8657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No, n (%) </w:t>
            </w:r>
          </w:p>
        </w:tc>
        <w:tc>
          <w:tcPr>
            <w:tcW w:w="1899" w:type="dxa"/>
            <w:tcMar>
              <w:top w:w="100" w:type="dxa"/>
              <w:left w:w="100" w:type="dxa"/>
              <w:bottom w:w="100" w:type="dxa"/>
              <w:right w:w="100" w:type="dxa"/>
            </w:tcMar>
          </w:tcPr>
          <w:p w14:paraId="5658C1B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Yes, n (%)</w:t>
            </w:r>
          </w:p>
        </w:tc>
      </w:tr>
      <w:tr w:rsidR="00435B01" w:rsidRPr="00B94F3E" w14:paraId="48196EF8" w14:textId="77777777">
        <w:trPr>
          <w:cantSplit/>
          <w:trHeight w:val="298"/>
          <w:tblHeader/>
        </w:trPr>
        <w:tc>
          <w:tcPr>
            <w:tcW w:w="5226" w:type="dxa"/>
            <w:tcMar>
              <w:top w:w="100" w:type="dxa"/>
              <w:left w:w="100" w:type="dxa"/>
              <w:bottom w:w="100" w:type="dxa"/>
              <w:right w:w="100" w:type="dxa"/>
            </w:tcMar>
          </w:tcPr>
          <w:p w14:paraId="723201C6"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Tooth decay occurs when bacteria in the mouth damage the teeth. </w:t>
            </w:r>
          </w:p>
        </w:tc>
        <w:tc>
          <w:tcPr>
            <w:tcW w:w="1900" w:type="dxa"/>
            <w:tcMar>
              <w:top w:w="100" w:type="dxa"/>
              <w:left w:w="100" w:type="dxa"/>
              <w:bottom w:w="100" w:type="dxa"/>
              <w:right w:w="100" w:type="dxa"/>
            </w:tcMar>
          </w:tcPr>
          <w:p w14:paraId="037B034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75 (19.3) </w:t>
            </w:r>
          </w:p>
        </w:tc>
        <w:tc>
          <w:tcPr>
            <w:tcW w:w="1899" w:type="dxa"/>
            <w:tcMar>
              <w:top w:w="100" w:type="dxa"/>
              <w:left w:w="100" w:type="dxa"/>
              <w:bottom w:w="100" w:type="dxa"/>
              <w:right w:w="100" w:type="dxa"/>
            </w:tcMar>
          </w:tcPr>
          <w:p w14:paraId="2139F93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314 (80.7)</w:t>
            </w:r>
          </w:p>
        </w:tc>
      </w:tr>
      <w:tr w:rsidR="00435B01" w:rsidRPr="00B94F3E" w14:paraId="1900436D" w14:textId="77777777">
        <w:trPr>
          <w:cantSplit/>
          <w:trHeight w:val="503"/>
          <w:tblHeader/>
        </w:trPr>
        <w:tc>
          <w:tcPr>
            <w:tcW w:w="5226" w:type="dxa"/>
            <w:tcMar>
              <w:top w:w="100" w:type="dxa"/>
              <w:left w:w="100" w:type="dxa"/>
              <w:bottom w:w="100" w:type="dxa"/>
              <w:right w:w="100" w:type="dxa"/>
            </w:tcMar>
          </w:tcPr>
          <w:p w14:paraId="12C2F358" w14:textId="77777777" w:rsidR="00435B01" w:rsidRPr="00B94F3E" w:rsidRDefault="00B94F3E" w:rsidP="00B94F3E">
            <w:pPr>
              <w:pStyle w:val="Normal1"/>
              <w:widowControl w:val="0"/>
              <w:pBdr>
                <w:top w:val="nil"/>
                <w:left w:val="nil"/>
                <w:bottom w:val="nil"/>
                <w:right w:val="nil"/>
                <w:between w:val="nil"/>
              </w:pBdr>
              <w:spacing w:line="240" w:lineRule="auto"/>
              <w:ind w:left="97" w:right="570" w:hanging="1"/>
              <w:jc w:val="both"/>
              <w:rPr>
                <w:rFonts w:ascii="Times New Roman" w:hAnsi="Times New Roman" w:cs="Times New Roman"/>
                <w:color w:val="000000"/>
              </w:rPr>
            </w:pPr>
            <w:r w:rsidRPr="00B94F3E">
              <w:rPr>
                <w:rFonts w:ascii="Times New Roman" w:hAnsi="Times New Roman" w:cs="Times New Roman"/>
                <w:color w:val="000000"/>
              </w:rPr>
              <w:t xml:space="preserve">Baby (primary) teeth do not need treatment when they </w:t>
            </w:r>
            <w:proofErr w:type="gramStart"/>
            <w:r w:rsidRPr="00B94F3E">
              <w:rPr>
                <w:rFonts w:ascii="Times New Roman" w:hAnsi="Times New Roman" w:cs="Times New Roman"/>
                <w:color w:val="000000"/>
              </w:rPr>
              <w:t>develop  cavities</w:t>
            </w:r>
            <w:proofErr w:type="gramEnd"/>
            <w:r w:rsidRPr="00B94F3E">
              <w:rPr>
                <w:rFonts w:ascii="Times New Roman" w:hAnsi="Times New Roman" w:cs="Times New Roman"/>
                <w:color w:val="000000"/>
              </w:rPr>
              <w:t xml:space="preserve"> because they eventually fall </w:t>
            </w:r>
            <w:proofErr w:type="gramStart"/>
            <w:r w:rsidRPr="00B94F3E">
              <w:rPr>
                <w:rFonts w:ascii="Times New Roman" w:hAnsi="Times New Roman" w:cs="Times New Roman"/>
                <w:color w:val="000000"/>
              </w:rPr>
              <w:t>out.*</w:t>
            </w:r>
            <w:proofErr w:type="gramEnd"/>
          </w:p>
        </w:tc>
        <w:tc>
          <w:tcPr>
            <w:tcW w:w="1900" w:type="dxa"/>
            <w:tcMar>
              <w:top w:w="100" w:type="dxa"/>
              <w:left w:w="100" w:type="dxa"/>
              <w:bottom w:w="100" w:type="dxa"/>
              <w:right w:w="100" w:type="dxa"/>
            </w:tcMar>
          </w:tcPr>
          <w:p w14:paraId="5BFE22E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156 (40.1) </w:t>
            </w:r>
          </w:p>
        </w:tc>
        <w:tc>
          <w:tcPr>
            <w:tcW w:w="1899" w:type="dxa"/>
            <w:tcMar>
              <w:top w:w="100" w:type="dxa"/>
              <w:left w:w="100" w:type="dxa"/>
              <w:bottom w:w="100" w:type="dxa"/>
              <w:right w:w="100" w:type="dxa"/>
            </w:tcMar>
          </w:tcPr>
          <w:p w14:paraId="3F8CD62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233 (59.9)</w:t>
            </w:r>
          </w:p>
        </w:tc>
      </w:tr>
      <w:tr w:rsidR="00435B01" w:rsidRPr="00B94F3E" w14:paraId="002BFDC8" w14:textId="77777777">
        <w:trPr>
          <w:cantSplit/>
          <w:trHeight w:val="503"/>
          <w:tblHeader/>
        </w:trPr>
        <w:tc>
          <w:tcPr>
            <w:tcW w:w="5226" w:type="dxa"/>
            <w:tcMar>
              <w:top w:w="100" w:type="dxa"/>
              <w:left w:w="100" w:type="dxa"/>
              <w:bottom w:w="100" w:type="dxa"/>
              <w:right w:w="100" w:type="dxa"/>
            </w:tcMar>
          </w:tcPr>
          <w:p w14:paraId="3A277B59" w14:textId="77777777" w:rsidR="00435B01" w:rsidRPr="00B94F3E" w:rsidRDefault="00B94F3E" w:rsidP="00B94F3E">
            <w:pPr>
              <w:pStyle w:val="Normal1"/>
              <w:widowControl w:val="0"/>
              <w:pBdr>
                <w:top w:val="nil"/>
                <w:left w:val="nil"/>
                <w:bottom w:val="nil"/>
                <w:right w:val="nil"/>
                <w:between w:val="nil"/>
              </w:pBdr>
              <w:spacing w:line="240" w:lineRule="auto"/>
              <w:ind w:left="97" w:right="146" w:hanging="1"/>
              <w:jc w:val="both"/>
              <w:rPr>
                <w:rFonts w:ascii="Times New Roman" w:hAnsi="Times New Roman" w:cs="Times New Roman"/>
                <w:color w:val="000000"/>
              </w:rPr>
            </w:pPr>
            <w:r w:rsidRPr="00B94F3E">
              <w:rPr>
                <w:rFonts w:ascii="Times New Roman" w:hAnsi="Times New Roman" w:cs="Times New Roman"/>
                <w:color w:val="000000"/>
              </w:rPr>
              <w:t xml:space="preserve">Eating sugary snacks many times a day can increase the risk of </w:t>
            </w:r>
            <w:proofErr w:type="gramStart"/>
            <w:r w:rsidRPr="00B94F3E">
              <w:rPr>
                <w:rFonts w:ascii="Times New Roman" w:hAnsi="Times New Roman" w:cs="Times New Roman"/>
                <w:color w:val="000000"/>
              </w:rPr>
              <w:t>tooth  decay</w:t>
            </w:r>
            <w:proofErr w:type="gramEnd"/>
            <w:r w:rsidRPr="00B94F3E">
              <w:rPr>
                <w:rFonts w:ascii="Times New Roman" w:hAnsi="Times New Roman" w:cs="Times New Roman"/>
                <w:color w:val="000000"/>
              </w:rPr>
              <w:t xml:space="preserve"> in children.</w:t>
            </w:r>
          </w:p>
        </w:tc>
        <w:tc>
          <w:tcPr>
            <w:tcW w:w="1900" w:type="dxa"/>
            <w:tcMar>
              <w:top w:w="100" w:type="dxa"/>
              <w:left w:w="100" w:type="dxa"/>
              <w:bottom w:w="100" w:type="dxa"/>
              <w:right w:w="100" w:type="dxa"/>
            </w:tcMar>
          </w:tcPr>
          <w:p w14:paraId="17B3DB8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85 (21.9) </w:t>
            </w:r>
          </w:p>
        </w:tc>
        <w:tc>
          <w:tcPr>
            <w:tcW w:w="1899" w:type="dxa"/>
            <w:tcMar>
              <w:top w:w="100" w:type="dxa"/>
              <w:left w:w="100" w:type="dxa"/>
              <w:bottom w:w="100" w:type="dxa"/>
              <w:right w:w="100" w:type="dxa"/>
            </w:tcMar>
          </w:tcPr>
          <w:p w14:paraId="69F892F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304 (78.1)</w:t>
            </w:r>
          </w:p>
        </w:tc>
      </w:tr>
      <w:tr w:rsidR="00435B01" w:rsidRPr="00B94F3E" w14:paraId="16C2B325" w14:textId="77777777">
        <w:trPr>
          <w:cantSplit/>
          <w:trHeight w:val="503"/>
          <w:tblHeader/>
        </w:trPr>
        <w:tc>
          <w:tcPr>
            <w:tcW w:w="5226" w:type="dxa"/>
            <w:tcMar>
              <w:top w:w="100" w:type="dxa"/>
              <w:left w:w="100" w:type="dxa"/>
              <w:bottom w:w="100" w:type="dxa"/>
              <w:right w:w="100" w:type="dxa"/>
            </w:tcMar>
          </w:tcPr>
          <w:p w14:paraId="32B39D86" w14:textId="77777777" w:rsidR="00435B01" w:rsidRPr="00B94F3E" w:rsidRDefault="00B94F3E" w:rsidP="00B94F3E">
            <w:pPr>
              <w:pStyle w:val="Normal1"/>
              <w:widowControl w:val="0"/>
              <w:pBdr>
                <w:top w:val="nil"/>
                <w:left w:val="nil"/>
                <w:bottom w:val="nil"/>
                <w:right w:val="nil"/>
                <w:between w:val="nil"/>
              </w:pBdr>
              <w:spacing w:line="240" w:lineRule="auto"/>
              <w:ind w:left="97" w:right="519" w:hanging="1"/>
              <w:jc w:val="both"/>
              <w:rPr>
                <w:rFonts w:ascii="Times New Roman" w:hAnsi="Times New Roman" w:cs="Times New Roman"/>
                <w:color w:val="000000"/>
              </w:rPr>
            </w:pPr>
            <w:r w:rsidRPr="00B94F3E">
              <w:rPr>
                <w:rFonts w:ascii="Times New Roman" w:hAnsi="Times New Roman" w:cs="Times New Roman"/>
                <w:color w:val="000000"/>
              </w:rPr>
              <w:t xml:space="preserve">Brushing a child’s teeth once a week is enough to prevent </w:t>
            </w:r>
            <w:proofErr w:type="gramStart"/>
            <w:r w:rsidRPr="00B94F3E">
              <w:rPr>
                <w:rFonts w:ascii="Times New Roman" w:hAnsi="Times New Roman" w:cs="Times New Roman"/>
                <w:color w:val="000000"/>
              </w:rPr>
              <w:t>tooth  decay</w:t>
            </w:r>
            <w:proofErr w:type="gramEnd"/>
            <w:r w:rsidRPr="00B94F3E">
              <w:rPr>
                <w:rFonts w:ascii="Times New Roman" w:hAnsi="Times New Roman" w:cs="Times New Roman"/>
                <w:color w:val="000000"/>
              </w:rPr>
              <w:t>.*</w:t>
            </w:r>
          </w:p>
        </w:tc>
        <w:tc>
          <w:tcPr>
            <w:tcW w:w="1900" w:type="dxa"/>
            <w:tcMar>
              <w:top w:w="100" w:type="dxa"/>
              <w:left w:w="100" w:type="dxa"/>
              <w:bottom w:w="100" w:type="dxa"/>
              <w:right w:w="100" w:type="dxa"/>
            </w:tcMar>
          </w:tcPr>
          <w:p w14:paraId="2FAEFC8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186 (47.8) </w:t>
            </w:r>
          </w:p>
        </w:tc>
        <w:tc>
          <w:tcPr>
            <w:tcW w:w="1899" w:type="dxa"/>
            <w:tcMar>
              <w:top w:w="100" w:type="dxa"/>
              <w:left w:w="100" w:type="dxa"/>
              <w:bottom w:w="100" w:type="dxa"/>
              <w:right w:w="100" w:type="dxa"/>
            </w:tcMar>
          </w:tcPr>
          <w:p w14:paraId="671B20B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203 (52.2)</w:t>
            </w:r>
          </w:p>
        </w:tc>
      </w:tr>
      <w:tr w:rsidR="00435B01" w:rsidRPr="00B94F3E" w14:paraId="143EBC9F" w14:textId="77777777">
        <w:trPr>
          <w:cantSplit/>
          <w:trHeight w:val="296"/>
          <w:tblHeader/>
        </w:trPr>
        <w:tc>
          <w:tcPr>
            <w:tcW w:w="5226" w:type="dxa"/>
            <w:tcMar>
              <w:top w:w="100" w:type="dxa"/>
              <w:left w:w="100" w:type="dxa"/>
              <w:bottom w:w="100" w:type="dxa"/>
              <w:right w:w="100" w:type="dxa"/>
            </w:tcMar>
          </w:tcPr>
          <w:p w14:paraId="465F61CA"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Tooth decay can cause pain and difficulty eating in children. </w:t>
            </w:r>
          </w:p>
        </w:tc>
        <w:tc>
          <w:tcPr>
            <w:tcW w:w="1900" w:type="dxa"/>
            <w:tcMar>
              <w:top w:w="100" w:type="dxa"/>
              <w:left w:w="100" w:type="dxa"/>
              <w:bottom w:w="100" w:type="dxa"/>
              <w:right w:w="100" w:type="dxa"/>
            </w:tcMar>
          </w:tcPr>
          <w:p w14:paraId="543769E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106 (27.2) </w:t>
            </w:r>
          </w:p>
        </w:tc>
        <w:tc>
          <w:tcPr>
            <w:tcW w:w="1899" w:type="dxa"/>
            <w:tcMar>
              <w:top w:w="100" w:type="dxa"/>
              <w:left w:w="100" w:type="dxa"/>
              <w:bottom w:w="100" w:type="dxa"/>
              <w:right w:w="100" w:type="dxa"/>
            </w:tcMar>
          </w:tcPr>
          <w:p w14:paraId="6CE7D0B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283 (72.8)</w:t>
            </w:r>
          </w:p>
        </w:tc>
      </w:tr>
      <w:tr w:rsidR="00435B01" w:rsidRPr="00B94F3E" w14:paraId="319BB614" w14:textId="77777777">
        <w:trPr>
          <w:cantSplit/>
          <w:trHeight w:val="297"/>
          <w:tblHeader/>
        </w:trPr>
        <w:tc>
          <w:tcPr>
            <w:tcW w:w="5226" w:type="dxa"/>
            <w:tcMar>
              <w:top w:w="100" w:type="dxa"/>
              <w:left w:w="100" w:type="dxa"/>
              <w:bottom w:w="100" w:type="dxa"/>
              <w:right w:w="100" w:type="dxa"/>
            </w:tcMar>
          </w:tcPr>
          <w:p w14:paraId="45D6E5D2"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Using fluoride toothpaste can help prevent dental caries. </w:t>
            </w:r>
          </w:p>
        </w:tc>
        <w:tc>
          <w:tcPr>
            <w:tcW w:w="1900" w:type="dxa"/>
            <w:tcMar>
              <w:top w:w="100" w:type="dxa"/>
              <w:left w:w="100" w:type="dxa"/>
              <w:bottom w:w="100" w:type="dxa"/>
              <w:right w:w="100" w:type="dxa"/>
            </w:tcMar>
          </w:tcPr>
          <w:p w14:paraId="603B7CC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139 (35.7) </w:t>
            </w:r>
          </w:p>
        </w:tc>
        <w:tc>
          <w:tcPr>
            <w:tcW w:w="1899" w:type="dxa"/>
            <w:tcMar>
              <w:top w:w="100" w:type="dxa"/>
              <w:left w:w="100" w:type="dxa"/>
              <w:bottom w:w="100" w:type="dxa"/>
              <w:right w:w="100" w:type="dxa"/>
            </w:tcMar>
          </w:tcPr>
          <w:p w14:paraId="652E05A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250 (64.3)</w:t>
            </w:r>
          </w:p>
        </w:tc>
      </w:tr>
      <w:tr w:rsidR="00435B01" w:rsidRPr="00B94F3E" w14:paraId="7A6ED969" w14:textId="77777777">
        <w:trPr>
          <w:cantSplit/>
          <w:trHeight w:val="296"/>
          <w:tblHeader/>
        </w:trPr>
        <w:tc>
          <w:tcPr>
            <w:tcW w:w="5226" w:type="dxa"/>
            <w:tcMar>
              <w:top w:w="100" w:type="dxa"/>
              <w:left w:w="100" w:type="dxa"/>
              <w:bottom w:w="100" w:type="dxa"/>
              <w:right w:w="100" w:type="dxa"/>
            </w:tcMar>
          </w:tcPr>
          <w:p w14:paraId="3DA4F203"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Tooth decay only affects adults and not young </w:t>
            </w:r>
            <w:proofErr w:type="gramStart"/>
            <w:r w:rsidRPr="00B94F3E">
              <w:rPr>
                <w:rFonts w:ascii="Times New Roman" w:hAnsi="Times New Roman" w:cs="Times New Roman"/>
                <w:color w:val="000000"/>
              </w:rPr>
              <w:t>children.*</w:t>
            </w:r>
            <w:proofErr w:type="gramEnd"/>
            <w:r w:rsidRPr="00B94F3E">
              <w:rPr>
                <w:rFonts w:ascii="Times New Roman" w:hAnsi="Times New Roman" w:cs="Times New Roman"/>
                <w:color w:val="000000"/>
              </w:rPr>
              <w:t xml:space="preserve"> </w:t>
            </w:r>
          </w:p>
        </w:tc>
        <w:tc>
          <w:tcPr>
            <w:tcW w:w="1900" w:type="dxa"/>
            <w:tcMar>
              <w:top w:w="100" w:type="dxa"/>
              <w:left w:w="100" w:type="dxa"/>
              <w:bottom w:w="100" w:type="dxa"/>
              <w:right w:w="100" w:type="dxa"/>
            </w:tcMar>
          </w:tcPr>
          <w:p w14:paraId="7BE5214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190 (48.8) </w:t>
            </w:r>
          </w:p>
        </w:tc>
        <w:tc>
          <w:tcPr>
            <w:tcW w:w="1899" w:type="dxa"/>
            <w:tcMar>
              <w:top w:w="100" w:type="dxa"/>
              <w:left w:w="100" w:type="dxa"/>
              <w:bottom w:w="100" w:type="dxa"/>
              <w:right w:w="100" w:type="dxa"/>
            </w:tcMar>
          </w:tcPr>
          <w:p w14:paraId="203A5F8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199 (51.2)</w:t>
            </w:r>
          </w:p>
        </w:tc>
      </w:tr>
    </w:tbl>
    <w:p w14:paraId="09979386"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tbl>
      <w:tblPr>
        <w:tblStyle w:val="a4"/>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6"/>
        <w:gridCol w:w="1900"/>
        <w:gridCol w:w="1899"/>
      </w:tblGrid>
      <w:tr w:rsidR="00435B01" w:rsidRPr="00B94F3E" w14:paraId="60652D22" w14:textId="77777777">
        <w:trPr>
          <w:cantSplit/>
          <w:trHeight w:val="297"/>
          <w:tblHeader/>
        </w:trPr>
        <w:tc>
          <w:tcPr>
            <w:tcW w:w="5226" w:type="dxa"/>
            <w:tcMar>
              <w:top w:w="100" w:type="dxa"/>
              <w:left w:w="100" w:type="dxa"/>
              <w:bottom w:w="100" w:type="dxa"/>
              <w:right w:w="100" w:type="dxa"/>
            </w:tcMar>
          </w:tcPr>
          <w:p w14:paraId="17033142"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b/>
                <w:bCs/>
                <w:color w:val="000000"/>
              </w:rPr>
            </w:pPr>
            <w:r w:rsidRPr="00B94F3E">
              <w:rPr>
                <w:rFonts w:ascii="Times New Roman" w:hAnsi="Times New Roman" w:cs="Times New Roman"/>
                <w:b/>
                <w:bCs/>
                <w:color w:val="000000"/>
              </w:rPr>
              <w:t xml:space="preserve">Statement </w:t>
            </w:r>
          </w:p>
        </w:tc>
        <w:tc>
          <w:tcPr>
            <w:tcW w:w="1900" w:type="dxa"/>
            <w:tcMar>
              <w:top w:w="100" w:type="dxa"/>
              <w:left w:w="100" w:type="dxa"/>
              <w:bottom w:w="100" w:type="dxa"/>
              <w:right w:w="100" w:type="dxa"/>
            </w:tcMar>
          </w:tcPr>
          <w:p w14:paraId="70855F9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No, n (%) </w:t>
            </w:r>
          </w:p>
        </w:tc>
        <w:tc>
          <w:tcPr>
            <w:tcW w:w="1899" w:type="dxa"/>
            <w:tcMar>
              <w:top w:w="100" w:type="dxa"/>
              <w:left w:w="100" w:type="dxa"/>
              <w:bottom w:w="100" w:type="dxa"/>
              <w:right w:w="100" w:type="dxa"/>
            </w:tcMar>
          </w:tcPr>
          <w:p w14:paraId="47B0B03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Yes, n (%)</w:t>
            </w:r>
          </w:p>
        </w:tc>
      </w:tr>
      <w:tr w:rsidR="00435B01" w:rsidRPr="00B94F3E" w14:paraId="711824E6" w14:textId="77777777">
        <w:trPr>
          <w:cantSplit/>
          <w:trHeight w:val="504"/>
          <w:tblHeader/>
        </w:trPr>
        <w:tc>
          <w:tcPr>
            <w:tcW w:w="5226" w:type="dxa"/>
            <w:tcMar>
              <w:top w:w="100" w:type="dxa"/>
              <w:left w:w="100" w:type="dxa"/>
              <w:bottom w:w="100" w:type="dxa"/>
              <w:right w:w="100" w:type="dxa"/>
            </w:tcMar>
          </w:tcPr>
          <w:p w14:paraId="2481548F" w14:textId="77777777" w:rsidR="00435B01" w:rsidRPr="00B94F3E" w:rsidRDefault="00B94F3E" w:rsidP="00B94F3E">
            <w:pPr>
              <w:pStyle w:val="Normal1"/>
              <w:widowControl w:val="0"/>
              <w:pBdr>
                <w:top w:val="nil"/>
                <w:left w:val="nil"/>
                <w:bottom w:val="nil"/>
                <w:right w:val="nil"/>
                <w:between w:val="nil"/>
              </w:pBdr>
              <w:spacing w:line="240" w:lineRule="auto"/>
              <w:ind w:left="97" w:right="280" w:firstLine="1"/>
              <w:jc w:val="both"/>
              <w:rPr>
                <w:rFonts w:ascii="Times New Roman" w:hAnsi="Times New Roman" w:cs="Times New Roman"/>
                <w:color w:val="000000"/>
              </w:rPr>
            </w:pPr>
            <w:r w:rsidRPr="00B94F3E">
              <w:rPr>
                <w:rFonts w:ascii="Times New Roman" w:hAnsi="Times New Roman" w:cs="Times New Roman"/>
                <w:color w:val="000000"/>
              </w:rPr>
              <w:t xml:space="preserve">Children should begin cleaning their teeth as soon as the first </w:t>
            </w:r>
            <w:proofErr w:type="gramStart"/>
            <w:r w:rsidRPr="00B94F3E">
              <w:rPr>
                <w:rFonts w:ascii="Times New Roman" w:hAnsi="Times New Roman" w:cs="Times New Roman"/>
                <w:color w:val="000000"/>
              </w:rPr>
              <w:t>tooth  appears</w:t>
            </w:r>
            <w:proofErr w:type="gramEnd"/>
            <w:r w:rsidRPr="00B94F3E">
              <w:rPr>
                <w:rFonts w:ascii="Times New Roman" w:hAnsi="Times New Roman" w:cs="Times New Roman"/>
                <w:color w:val="000000"/>
              </w:rPr>
              <w:t>.</w:t>
            </w:r>
          </w:p>
        </w:tc>
        <w:tc>
          <w:tcPr>
            <w:tcW w:w="1900" w:type="dxa"/>
            <w:tcMar>
              <w:top w:w="100" w:type="dxa"/>
              <w:left w:w="100" w:type="dxa"/>
              <w:bottom w:w="100" w:type="dxa"/>
              <w:right w:w="100" w:type="dxa"/>
            </w:tcMar>
          </w:tcPr>
          <w:p w14:paraId="1095B84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153 (39.3) </w:t>
            </w:r>
          </w:p>
        </w:tc>
        <w:tc>
          <w:tcPr>
            <w:tcW w:w="1899" w:type="dxa"/>
            <w:tcMar>
              <w:top w:w="100" w:type="dxa"/>
              <w:left w:w="100" w:type="dxa"/>
              <w:bottom w:w="100" w:type="dxa"/>
              <w:right w:w="100" w:type="dxa"/>
            </w:tcMar>
          </w:tcPr>
          <w:p w14:paraId="5ACC77A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236 (60.7)</w:t>
            </w:r>
          </w:p>
        </w:tc>
      </w:tr>
      <w:tr w:rsidR="00435B01" w:rsidRPr="00B94F3E" w14:paraId="56E6E6D1" w14:textId="77777777">
        <w:trPr>
          <w:cantSplit/>
          <w:trHeight w:val="504"/>
          <w:tblHeader/>
        </w:trPr>
        <w:tc>
          <w:tcPr>
            <w:tcW w:w="5226" w:type="dxa"/>
            <w:tcMar>
              <w:top w:w="100" w:type="dxa"/>
              <w:left w:w="100" w:type="dxa"/>
              <w:bottom w:w="100" w:type="dxa"/>
              <w:right w:w="100" w:type="dxa"/>
            </w:tcMar>
          </w:tcPr>
          <w:p w14:paraId="464C91D3" w14:textId="77777777" w:rsidR="00435B01" w:rsidRPr="00B94F3E" w:rsidRDefault="00B94F3E" w:rsidP="00B94F3E">
            <w:pPr>
              <w:pStyle w:val="Normal1"/>
              <w:widowControl w:val="0"/>
              <w:pBdr>
                <w:top w:val="nil"/>
                <w:left w:val="nil"/>
                <w:bottom w:val="nil"/>
                <w:right w:val="nil"/>
                <w:between w:val="nil"/>
              </w:pBdr>
              <w:spacing w:line="240" w:lineRule="auto"/>
              <w:ind w:left="97" w:right="519" w:hanging="1"/>
              <w:jc w:val="both"/>
              <w:rPr>
                <w:rFonts w:ascii="Times New Roman" w:hAnsi="Times New Roman" w:cs="Times New Roman"/>
                <w:color w:val="000000"/>
              </w:rPr>
            </w:pPr>
            <w:r w:rsidRPr="00B94F3E">
              <w:rPr>
                <w:rFonts w:ascii="Times New Roman" w:hAnsi="Times New Roman" w:cs="Times New Roman"/>
                <w:color w:val="000000"/>
              </w:rPr>
              <w:lastRenderedPageBreak/>
              <w:t xml:space="preserve">Drinking sugary drinks frequently can increase the risk of </w:t>
            </w:r>
            <w:proofErr w:type="gramStart"/>
            <w:r w:rsidRPr="00B94F3E">
              <w:rPr>
                <w:rFonts w:ascii="Times New Roman" w:hAnsi="Times New Roman" w:cs="Times New Roman"/>
                <w:color w:val="000000"/>
              </w:rPr>
              <w:t>tooth  decay</w:t>
            </w:r>
            <w:proofErr w:type="gramEnd"/>
            <w:r w:rsidRPr="00B94F3E">
              <w:rPr>
                <w:rFonts w:ascii="Times New Roman" w:hAnsi="Times New Roman" w:cs="Times New Roman"/>
                <w:color w:val="000000"/>
              </w:rPr>
              <w:t>.</w:t>
            </w:r>
          </w:p>
        </w:tc>
        <w:tc>
          <w:tcPr>
            <w:tcW w:w="1900" w:type="dxa"/>
            <w:tcMar>
              <w:top w:w="100" w:type="dxa"/>
              <w:left w:w="100" w:type="dxa"/>
              <w:bottom w:w="100" w:type="dxa"/>
              <w:right w:w="100" w:type="dxa"/>
            </w:tcMar>
          </w:tcPr>
          <w:p w14:paraId="028338A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119 (30.6) </w:t>
            </w:r>
          </w:p>
        </w:tc>
        <w:tc>
          <w:tcPr>
            <w:tcW w:w="1899" w:type="dxa"/>
            <w:tcMar>
              <w:top w:w="100" w:type="dxa"/>
              <w:left w:w="100" w:type="dxa"/>
              <w:bottom w:w="100" w:type="dxa"/>
              <w:right w:w="100" w:type="dxa"/>
            </w:tcMar>
          </w:tcPr>
          <w:p w14:paraId="7F22035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270 (69.4)</w:t>
            </w:r>
          </w:p>
        </w:tc>
      </w:tr>
      <w:tr w:rsidR="00435B01" w:rsidRPr="00B94F3E" w14:paraId="64D82714" w14:textId="77777777">
        <w:trPr>
          <w:cantSplit/>
          <w:trHeight w:val="295"/>
          <w:tblHeader/>
        </w:trPr>
        <w:tc>
          <w:tcPr>
            <w:tcW w:w="5226" w:type="dxa"/>
            <w:tcMar>
              <w:top w:w="100" w:type="dxa"/>
              <w:left w:w="100" w:type="dxa"/>
              <w:bottom w:w="100" w:type="dxa"/>
              <w:right w:w="100" w:type="dxa"/>
            </w:tcMar>
          </w:tcPr>
          <w:p w14:paraId="7331B1F8" w14:textId="77777777" w:rsidR="00435B01" w:rsidRPr="00B94F3E" w:rsidRDefault="00B94F3E" w:rsidP="00B94F3E">
            <w:pPr>
              <w:pStyle w:val="Normal1"/>
              <w:widowControl w:val="0"/>
              <w:pBdr>
                <w:top w:val="nil"/>
                <w:left w:val="nil"/>
                <w:bottom w:val="nil"/>
                <w:right w:val="nil"/>
                <w:between w:val="nil"/>
              </w:pBdr>
              <w:spacing w:line="240" w:lineRule="auto"/>
              <w:ind w:left="92"/>
              <w:jc w:val="both"/>
              <w:rPr>
                <w:rFonts w:ascii="Times New Roman" w:hAnsi="Times New Roman" w:cs="Times New Roman"/>
                <w:color w:val="000000"/>
              </w:rPr>
            </w:pPr>
            <w:r w:rsidRPr="00B94F3E">
              <w:rPr>
                <w:rFonts w:ascii="Times New Roman" w:hAnsi="Times New Roman" w:cs="Times New Roman"/>
                <w:color w:val="000000"/>
              </w:rPr>
              <w:t xml:space="preserve">Visiting a dentist regularly can help detect dental problems early. </w:t>
            </w:r>
          </w:p>
        </w:tc>
        <w:tc>
          <w:tcPr>
            <w:tcW w:w="1900" w:type="dxa"/>
            <w:tcMar>
              <w:top w:w="100" w:type="dxa"/>
              <w:left w:w="100" w:type="dxa"/>
              <w:bottom w:w="100" w:type="dxa"/>
              <w:right w:w="100" w:type="dxa"/>
            </w:tcMar>
          </w:tcPr>
          <w:p w14:paraId="5485735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112 (28.8) </w:t>
            </w:r>
          </w:p>
        </w:tc>
        <w:tc>
          <w:tcPr>
            <w:tcW w:w="1899" w:type="dxa"/>
            <w:tcMar>
              <w:top w:w="100" w:type="dxa"/>
              <w:left w:w="100" w:type="dxa"/>
              <w:bottom w:w="100" w:type="dxa"/>
              <w:right w:w="100" w:type="dxa"/>
            </w:tcMar>
          </w:tcPr>
          <w:p w14:paraId="1EA6174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277 (71.2)</w:t>
            </w:r>
          </w:p>
        </w:tc>
      </w:tr>
      <w:tr w:rsidR="00435B01" w:rsidRPr="00B94F3E" w14:paraId="7DC62C4A" w14:textId="77777777">
        <w:trPr>
          <w:cantSplit/>
          <w:trHeight w:val="504"/>
          <w:tblHeader/>
        </w:trPr>
        <w:tc>
          <w:tcPr>
            <w:tcW w:w="5226" w:type="dxa"/>
            <w:tcMar>
              <w:top w:w="100" w:type="dxa"/>
              <w:left w:w="100" w:type="dxa"/>
              <w:bottom w:w="100" w:type="dxa"/>
              <w:right w:w="100" w:type="dxa"/>
            </w:tcMar>
          </w:tcPr>
          <w:p w14:paraId="5360291E" w14:textId="77777777" w:rsidR="00435B01" w:rsidRPr="00B94F3E" w:rsidRDefault="00B94F3E" w:rsidP="00B94F3E">
            <w:pPr>
              <w:pStyle w:val="Normal1"/>
              <w:widowControl w:val="0"/>
              <w:pBdr>
                <w:top w:val="nil"/>
                <w:left w:val="nil"/>
                <w:bottom w:val="nil"/>
                <w:right w:val="nil"/>
                <w:between w:val="nil"/>
              </w:pBdr>
              <w:spacing w:line="240" w:lineRule="auto"/>
              <w:ind w:left="92" w:right="110" w:firstLine="10"/>
              <w:jc w:val="both"/>
              <w:rPr>
                <w:rFonts w:ascii="Times New Roman" w:hAnsi="Times New Roman" w:cs="Times New Roman"/>
                <w:color w:val="000000"/>
              </w:rPr>
            </w:pPr>
            <w:r w:rsidRPr="00B94F3E">
              <w:rPr>
                <w:rFonts w:ascii="Times New Roman" w:hAnsi="Times New Roman" w:cs="Times New Roman"/>
                <w:color w:val="000000"/>
              </w:rPr>
              <w:t xml:space="preserve">Sharing spoons or feeding utensils with a child cannot spread bacteria that cause tooth </w:t>
            </w:r>
            <w:proofErr w:type="gramStart"/>
            <w:r w:rsidRPr="00B94F3E">
              <w:rPr>
                <w:rFonts w:ascii="Times New Roman" w:hAnsi="Times New Roman" w:cs="Times New Roman"/>
                <w:color w:val="000000"/>
              </w:rPr>
              <w:t>decay.*</w:t>
            </w:r>
            <w:proofErr w:type="gramEnd"/>
          </w:p>
        </w:tc>
        <w:tc>
          <w:tcPr>
            <w:tcW w:w="1900" w:type="dxa"/>
            <w:tcMar>
              <w:top w:w="100" w:type="dxa"/>
              <w:left w:w="100" w:type="dxa"/>
              <w:bottom w:w="100" w:type="dxa"/>
              <w:right w:w="100" w:type="dxa"/>
            </w:tcMar>
          </w:tcPr>
          <w:p w14:paraId="2B16519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174 (44.7) </w:t>
            </w:r>
          </w:p>
        </w:tc>
        <w:tc>
          <w:tcPr>
            <w:tcW w:w="1899" w:type="dxa"/>
            <w:tcMar>
              <w:top w:w="100" w:type="dxa"/>
              <w:left w:w="100" w:type="dxa"/>
              <w:bottom w:w="100" w:type="dxa"/>
              <w:right w:w="100" w:type="dxa"/>
            </w:tcMar>
          </w:tcPr>
          <w:p w14:paraId="12450B1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215 (55.3)</w:t>
            </w:r>
          </w:p>
        </w:tc>
      </w:tr>
      <w:tr w:rsidR="00435B01" w:rsidRPr="00B94F3E" w14:paraId="791AF285" w14:textId="77777777">
        <w:trPr>
          <w:cantSplit/>
          <w:trHeight w:val="504"/>
          <w:tblHeader/>
        </w:trPr>
        <w:tc>
          <w:tcPr>
            <w:tcW w:w="5226" w:type="dxa"/>
            <w:tcMar>
              <w:top w:w="100" w:type="dxa"/>
              <w:left w:w="100" w:type="dxa"/>
              <w:bottom w:w="100" w:type="dxa"/>
              <w:right w:w="100" w:type="dxa"/>
            </w:tcMar>
          </w:tcPr>
          <w:p w14:paraId="369E1E07" w14:textId="77777777" w:rsidR="00435B01" w:rsidRPr="00B94F3E" w:rsidRDefault="00B94F3E" w:rsidP="00B94F3E">
            <w:pPr>
              <w:pStyle w:val="Normal1"/>
              <w:widowControl w:val="0"/>
              <w:pBdr>
                <w:top w:val="nil"/>
                <w:left w:val="nil"/>
                <w:bottom w:val="nil"/>
                <w:right w:val="nil"/>
                <w:between w:val="nil"/>
              </w:pBdr>
              <w:spacing w:line="240" w:lineRule="auto"/>
              <w:ind w:left="97" w:right="305" w:hanging="1"/>
              <w:jc w:val="both"/>
              <w:rPr>
                <w:rFonts w:ascii="Times New Roman" w:hAnsi="Times New Roman" w:cs="Times New Roman"/>
                <w:color w:val="000000"/>
              </w:rPr>
            </w:pPr>
            <w:r w:rsidRPr="00B94F3E">
              <w:rPr>
                <w:rFonts w:ascii="Times New Roman" w:hAnsi="Times New Roman" w:cs="Times New Roman"/>
                <w:color w:val="000000"/>
              </w:rPr>
              <w:t xml:space="preserve">Poor brushing habits can increase the likelihood of dental caries </w:t>
            </w:r>
            <w:proofErr w:type="gramStart"/>
            <w:r w:rsidRPr="00B94F3E">
              <w:rPr>
                <w:rFonts w:ascii="Times New Roman" w:hAnsi="Times New Roman" w:cs="Times New Roman"/>
                <w:color w:val="000000"/>
              </w:rPr>
              <w:t>in  children</w:t>
            </w:r>
            <w:proofErr w:type="gramEnd"/>
            <w:r w:rsidRPr="00B94F3E">
              <w:rPr>
                <w:rFonts w:ascii="Times New Roman" w:hAnsi="Times New Roman" w:cs="Times New Roman"/>
                <w:color w:val="000000"/>
              </w:rPr>
              <w:t>.</w:t>
            </w:r>
          </w:p>
        </w:tc>
        <w:tc>
          <w:tcPr>
            <w:tcW w:w="1900" w:type="dxa"/>
            <w:tcMar>
              <w:top w:w="100" w:type="dxa"/>
              <w:left w:w="100" w:type="dxa"/>
              <w:bottom w:w="100" w:type="dxa"/>
              <w:right w:w="100" w:type="dxa"/>
            </w:tcMar>
          </w:tcPr>
          <w:p w14:paraId="6AF2B1D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96 (24.7) </w:t>
            </w:r>
          </w:p>
        </w:tc>
        <w:tc>
          <w:tcPr>
            <w:tcW w:w="1899" w:type="dxa"/>
            <w:tcMar>
              <w:top w:w="100" w:type="dxa"/>
              <w:left w:w="100" w:type="dxa"/>
              <w:bottom w:w="100" w:type="dxa"/>
              <w:right w:w="100" w:type="dxa"/>
            </w:tcMar>
          </w:tcPr>
          <w:p w14:paraId="7B9E0B0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293 (75.3)</w:t>
            </w:r>
          </w:p>
        </w:tc>
      </w:tr>
      <w:tr w:rsidR="00435B01" w:rsidRPr="00B94F3E" w14:paraId="6963A13B" w14:textId="77777777">
        <w:trPr>
          <w:cantSplit/>
          <w:trHeight w:val="503"/>
          <w:tblHeader/>
        </w:trPr>
        <w:tc>
          <w:tcPr>
            <w:tcW w:w="5226" w:type="dxa"/>
            <w:tcMar>
              <w:top w:w="100" w:type="dxa"/>
              <w:left w:w="100" w:type="dxa"/>
              <w:bottom w:w="100" w:type="dxa"/>
              <w:right w:w="100" w:type="dxa"/>
            </w:tcMar>
          </w:tcPr>
          <w:p w14:paraId="19D6E1D0" w14:textId="77777777" w:rsidR="00435B01" w:rsidRPr="00B94F3E" w:rsidRDefault="00B94F3E" w:rsidP="00B94F3E">
            <w:pPr>
              <w:pStyle w:val="Normal1"/>
              <w:widowControl w:val="0"/>
              <w:pBdr>
                <w:top w:val="nil"/>
                <w:left w:val="nil"/>
                <w:bottom w:val="nil"/>
                <w:right w:val="nil"/>
                <w:between w:val="nil"/>
              </w:pBdr>
              <w:spacing w:line="240" w:lineRule="auto"/>
              <w:ind w:left="97" w:right="555"/>
              <w:jc w:val="both"/>
              <w:rPr>
                <w:rFonts w:ascii="Times New Roman" w:hAnsi="Times New Roman" w:cs="Times New Roman"/>
                <w:color w:val="000000"/>
              </w:rPr>
            </w:pPr>
            <w:r w:rsidRPr="00B94F3E">
              <w:rPr>
                <w:rFonts w:ascii="Times New Roman" w:hAnsi="Times New Roman" w:cs="Times New Roman"/>
                <w:color w:val="000000"/>
              </w:rPr>
              <w:t xml:space="preserve">Giving a child sweet drinks or milk in a bottle during sleep </w:t>
            </w:r>
            <w:proofErr w:type="gramStart"/>
            <w:r w:rsidRPr="00B94F3E">
              <w:rPr>
                <w:rFonts w:ascii="Times New Roman" w:hAnsi="Times New Roman" w:cs="Times New Roman"/>
                <w:color w:val="000000"/>
              </w:rPr>
              <w:t>can  contribute</w:t>
            </w:r>
            <w:proofErr w:type="gramEnd"/>
            <w:r w:rsidRPr="00B94F3E">
              <w:rPr>
                <w:rFonts w:ascii="Times New Roman" w:hAnsi="Times New Roman" w:cs="Times New Roman"/>
                <w:color w:val="000000"/>
              </w:rPr>
              <w:t xml:space="preserve"> to tooth decay.</w:t>
            </w:r>
          </w:p>
        </w:tc>
        <w:tc>
          <w:tcPr>
            <w:tcW w:w="1900" w:type="dxa"/>
            <w:tcMar>
              <w:top w:w="100" w:type="dxa"/>
              <w:left w:w="100" w:type="dxa"/>
              <w:bottom w:w="100" w:type="dxa"/>
              <w:right w:w="100" w:type="dxa"/>
            </w:tcMar>
          </w:tcPr>
          <w:p w14:paraId="63A1A80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168 (43.2) </w:t>
            </w:r>
          </w:p>
        </w:tc>
        <w:tc>
          <w:tcPr>
            <w:tcW w:w="1899" w:type="dxa"/>
            <w:tcMar>
              <w:top w:w="100" w:type="dxa"/>
              <w:left w:w="100" w:type="dxa"/>
              <w:bottom w:w="100" w:type="dxa"/>
              <w:right w:w="100" w:type="dxa"/>
            </w:tcMar>
          </w:tcPr>
          <w:p w14:paraId="4BB7E89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221 (56.8)</w:t>
            </w:r>
          </w:p>
        </w:tc>
      </w:tr>
      <w:tr w:rsidR="00435B01" w:rsidRPr="00B94F3E" w14:paraId="2B8D7DF0" w14:textId="77777777">
        <w:trPr>
          <w:cantSplit/>
          <w:trHeight w:val="504"/>
          <w:tblHeader/>
        </w:trPr>
        <w:tc>
          <w:tcPr>
            <w:tcW w:w="5226" w:type="dxa"/>
            <w:tcMar>
              <w:top w:w="100" w:type="dxa"/>
              <w:left w:w="100" w:type="dxa"/>
              <w:bottom w:w="100" w:type="dxa"/>
              <w:right w:w="100" w:type="dxa"/>
            </w:tcMar>
          </w:tcPr>
          <w:p w14:paraId="2E2D383D" w14:textId="77777777" w:rsidR="00435B01" w:rsidRPr="00B94F3E" w:rsidRDefault="00B94F3E" w:rsidP="00B94F3E">
            <w:pPr>
              <w:pStyle w:val="Normal1"/>
              <w:widowControl w:val="0"/>
              <w:pBdr>
                <w:top w:val="nil"/>
                <w:left w:val="nil"/>
                <w:bottom w:val="nil"/>
                <w:right w:val="nil"/>
                <w:between w:val="nil"/>
              </w:pBdr>
              <w:spacing w:line="240" w:lineRule="auto"/>
              <w:ind w:left="93" w:right="626"/>
              <w:jc w:val="both"/>
              <w:rPr>
                <w:rFonts w:ascii="Times New Roman" w:hAnsi="Times New Roman" w:cs="Times New Roman"/>
                <w:color w:val="000000"/>
              </w:rPr>
            </w:pPr>
            <w:r w:rsidRPr="00B94F3E">
              <w:rPr>
                <w:rFonts w:ascii="Times New Roman" w:hAnsi="Times New Roman" w:cs="Times New Roman"/>
                <w:color w:val="000000"/>
              </w:rPr>
              <w:t xml:space="preserve">Tooth decay can affect a child’s ability to eat, speak and </w:t>
            </w:r>
            <w:proofErr w:type="gramStart"/>
            <w:r w:rsidRPr="00B94F3E">
              <w:rPr>
                <w:rFonts w:ascii="Times New Roman" w:hAnsi="Times New Roman" w:cs="Times New Roman"/>
                <w:color w:val="000000"/>
              </w:rPr>
              <w:t>grow  properly</w:t>
            </w:r>
            <w:proofErr w:type="gramEnd"/>
            <w:r w:rsidRPr="00B94F3E">
              <w:rPr>
                <w:rFonts w:ascii="Times New Roman" w:hAnsi="Times New Roman" w:cs="Times New Roman"/>
                <w:color w:val="000000"/>
              </w:rPr>
              <w:t>.</w:t>
            </w:r>
          </w:p>
        </w:tc>
        <w:tc>
          <w:tcPr>
            <w:tcW w:w="1900" w:type="dxa"/>
            <w:tcMar>
              <w:top w:w="100" w:type="dxa"/>
              <w:left w:w="100" w:type="dxa"/>
              <w:bottom w:w="100" w:type="dxa"/>
              <w:right w:w="100" w:type="dxa"/>
            </w:tcMar>
          </w:tcPr>
          <w:p w14:paraId="17D353E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127 (32.6) </w:t>
            </w:r>
          </w:p>
        </w:tc>
        <w:tc>
          <w:tcPr>
            <w:tcW w:w="1899" w:type="dxa"/>
            <w:tcMar>
              <w:top w:w="100" w:type="dxa"/>
              <w:left w:w="100" w:type="dxa"/>
              <w:bottom w:w="100" w:type="dxa"/>
              <w:right w:w="100" w:type="dxa"/>
            </w:tcMar>
          </w:tcPr>
          <w:p w14:paraId="2146934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262 (67.4)</w:t>
            </w:r>
          </w:p>
        </w:tc>
      </w:tr>
      <w:tr w:rsidR="00435B01" w:rsidRPr="00B94F3E" w14:paraId="6D1449CA" w14:textId="77777777">
        <w:trPr>
          <w:cantSplit/>
          <w:trHeight w:val="504"/>
          <w:tblHeader/>
        </w:trPr>
        <w:tc>
          <w:tcPr>
            <w:tcW w:w="5226" w:type="dxa"/>
            <w:tcMar>
              <w:top w:w="100" w:type="dxa"/>
              <w:left w:w="100" w:type="dxa"/>
              <w:bottom w:w="100" w:type="dxa"/>
              <w:right w:w="100" w:type="dxa"/>
            </w:tcMar>
          </w:tcPr>
          <w:p w14:paraId="6E2523EC" w14:textId="77777777" w:rsidR="00435B01" w:rsidRPr="00B94F3E" w:rsidRDefault="00B94F3E" w:rsidP="00B94F3E">
            <w:pPr>
              <w:pStyle w:val="Normal1"/>
              <w:widowControl w:val="0"/>
              <w:pBdr>
                <w:top w:val="nil"/>
                <w:left w:val="nil"/>
                <w:bottom w:val="nil"/>
                <w:right w:val="nil"/>
                <w:between w:val="nil"/>
              </w:pBdr>
              <w:spacing w:line="240" w:lineRule="auto"/>
              <w:ind w:left="93" w:right="180" w:firstLine="2"/>
              <w:jc w:val="both"/>
              <w:rPr>
                <w:rFonts w:ascii="Times New Roman" w:hAnsi="Times New Roman" w:cs="Times New Roman"/>
                <w:color w:val="000000"/>
              </w:rPr>
            </w:pPr>
            <w:r w:rsidRPr="00B94F3E">
              <w:rPr>
                <w:rFonts w:ascii="Times New Roman" w:hAnsi="Times New Roman" w:cs="Times New Roman"/>
                <w:color w:val="000000"/>
              </w:rPr>
              <w:t xml:space="preserve">Limiting sugary snacks and encouraging good oral hygiene can </w:t>
            </w:r>
            <w:proofErr w:type="gramStart"/>
            <w:r w:rsidRPr="00B94F3E">
              <w:rPr>
                <w:rFonts w:ascii="Times New Roman" w:hAnsi="Times New Roman" w:cs="Times New Roman"/>
                <w:color w:val="000000"/>
              </w:rPr>
              <w:t>help  prevent</w:t>
            </w:r>
            <w:proofErr w:type="gramEnd"/>
            <w:r w:rsidRPr="00B94F3E">
              <w:rPr>
                <w:rFonts w:ascii="Times New Roman" w:hAnsi="Times New Roman" w:cs="Times New Roman"/>
                <w:color w:val="000000"/>
              </w:rPr>
              <w:t xml:space="preserve"> tooth decay in children.</w:t>
            </w:r>
          </w:p>
        </w:tc>
        <w:tc>
          <w:tcPr>
            <w:tcW w:w="1900" w:type="dxa"/>
            <w:tcMar>
              <w:top w:w="100" w:type="dxa"/>
              <w:left w:w="100" w:type="dxa"/>
              <w:bottom w:w="100" w:type="dxa"/>
              <w:right w:w="100" w:type="dxa"/>
            </w:tcMar>
          </w:tcPr>
          <w:p w14:paraId="21DFF65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131 (33.7) </w:t>
            </w:r>
          </w:p>
        </w:tc>
        <w:tc>
          <w:tcPr>
            <w:tcW w:w="1899" w:type="dxa"/>
            <w:tcMar>
              <w:top w:w="100" w:type="dxa"/>
              <w:left w:w="100" w:type="dxa"/>
              <w:bottom w:w="100" w:type="dxa"/>
              <w:right w:w="100" w:type="dxa"/>
            </w:tcMar>
          </w:tcPr>
          <w:p w14:paraId="27FB41B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258 (66.3)</w:t>
            </w:r>
          </w:p>
        </w:tc>
      </w:tr>
      <w:tr w:rsidR="00435B01" w:rsidRPr="00B94F3E" w14:paraId="3A028176" w14:textId="77777777">
        <w:trPr>
          <w:cantSplit/>
          <w:trHeight w:val="298"/>
          <w:tblHeader/>
        </w:trPr>
        <w:tc>
          <w:tcPr>
            <w:tcW w:w="5226" w:type="dxa"/>
            <w:tcMar>
              <w:top w:w="100" w:type="dxa"/>
              <w:left w:w="100" w:type="dxa"/>
              <w:bottom w:w="100" w:type="dxa"/>
              <w:right w:w="100" w:type="dxa"/>
            </w:tcMar>
          </w:tcPr>
          <w:p w14:paraId="3E5FBB73" w14:textId="77777777" w:rsidR="00435B01" w:rsidRPr="00B94F3E" w:rsidRDefault="00B94F3E" w:rsidP="00B94F3E">
            <w:pPr>
              <w:pStyle w:val="Normal1"/>
              <w:widowControl w:val="0"/>
              <w:pBdr>
                <w:top w:val="nil"/>
                <w:left w:val="nil"/>
                <w:bottom w:val="nil"/>
                <w:right w:val="nil"/>
                <w:between w:val="nil"/>
              </w:pBdr>
              <w:spacing w:line="240" w:lineRule="auto"/>
              <w:ind w:left="93"/>
              <w:jc w:val="both"/>
              <w:rPr>
                <w:rFonts w:ascii="Times New Roman" w:hAnsi="Times New Roman" w:cs="Times New Roman"/>
                <w:b/>
                <w:bCs/>
                <w:color w:val="000000"/>
              </w:rPr>
            </w:pPr>
            <w:r w:rsidRPr="00B94F3E">
              <w:rPr>
                <w:rFonts w:ascii="Times New Roman" w:hAnsi="Times New Roman" w:cs="Times New Roman"/>
                <w:b/>
                <w:bCs/>
                <w:color w:val="000000"/>
              </w:rPr>
              <w:t xml:space="preserve">Total (item responses) </w:t>
            </w:r>
          </w:p>
        </w:tc>
        <w:tc>
          <w:tcPr>
            <w:tcW w:w="1900" w:type="dxa"/>
            <w:tcMar>
              <w:top w:w="100" w:type="dxa"/>
              <w:left w:w="100" w:type="dxa"/>
              <w:bottom w:w="100" w:type="dxa"/>
              <w:right w:w="100" w:type="dxa"/>
            </w:tcMar>
          </w:tcPr>
          <w:p w14:paraId="79A7085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2017 (34.6) </w:t>
            </w:r>
          </w:p>
        </w:tc>
        <w:tc>
          <w:tcPr>
            <w:tcW w:w="1899" w:type="dxa"/>
            <w:tcMar>
              <w:top w:w="100" w:type="dxa"/>
              <w:left w:w="100" w:type="dxa"/>
              <w:bottom w:w="100" w:type="dxa"/>
              <w:right w:w="100" w:type="dxa"/>
            </w:tcMar>
          </w:tcPr>
          <w:p w14:paraId="17F8AC9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3818 (65.4)</w:t>
            </w:r>
          </w:p>
        </w:tc>
      </w:tr>
    </w:tbl>
    <w:p w14:paraId="0D2D6CD4"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22B4B624"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09BC549B" w14:textId="77777777" w:rsidR="00435B01" w:rsidRPr="00B94F3E" w:rsidRDefault="00B94F3E" w:rsidP="00B94F3E">
      <w:pPr>
        <w:pStyle w:val="Normal1"/>
        <w:widowControl w:val="0"/>
        <w:pBdr>
          <w:top w:val="nil"/>
          <w:left w:val="nil"/>
          <w:bottom w:val="nil"/>
          <w:right w:val="nil"/>
          <w:between w:val="nil"/>
        </w:pBdr>
        <w:spacing w:line="240" w:lineRule="auto"/>
        <w:ind w:left="9" w:right="283" w:firstLine="5"/>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*Negatively worded (misconception) item, for which a ‘Yes’ response is incorrect. The total therefore counts </w:t>
      </w:r>
      <w:proofErr w:type="gramStart"/>
      <w:r w:rsidRPr="00B94F3E">
        <w:rPr>
          <w:rFonts w:ascii="Times New Roman" w:hAnsi="Times New Roman" w:cs="Times New Roman"/>
          <w:color w:val="000000"/>
          <w:sz w:val="24"/>
          <w:szCs w:val="24"/>
        </w:rPr>
        <w:t>affirmative  responses</w:t>
      </w:r>
      <w:proofErr w:type="gramEnd"/>
      <w:r w:rsidRPr="00B94F3E">
        <w:rPr>
          <w:rFonts w:ascii="Times New Roman" w:hAnsi="Times New Roman" w:cs="Times New Roman"/>
          <w:color w:val="000000"/>
          <w:sz w:val="24"/>
          <w:szCs w:val="24"/>
        </w:rPr>
        <w:t xml:space="preserve"> and is not a measure of correct knowledge. </w:t>
      </w:r>
    </w:p>
    <w:p w14:paraId="19066367" w14:textId="77777777" w:rsidR="00435B01" w:rsidRPr="00B94F3E" w:rsidRDefault="00B94F3E" w:rsidP="00B94F3E">
      <w:pPr>
        <w:pStyle w:val="Normal1"/>
        <w:widowControl w:val="0"/>
        <w:pBdr>
          <w:top w:val="nil"/>
          <w:left w:val="nil"/>
          <w:bottom w:val="nil"/>
          <w:right w:val="nil"/>
          <w:between w:val="nil"/>
        </w:pBdr>
        <w:spacing w:before="215" w:line="240" w:lineRule="auto"/>
        <w:jc w:val="both"/>
        <w:rPr>
          <w:rFonts w:ascii="Times New Roman" w:hAnsi="Times New Roman" w:cs="Times New Roman"/>
          <w:color w:val="000000"/>
          <w:sz w:val="24"/>
          <w:szCs w:val="24"/>
        </w:rPr>
      </w:pPr>
      <w:r w:rsidRPr="00B94F3E">
        <w:rPr>
          <w:rFonts w:ascii="Times New Roman" w:hAnsi="Times New Roman" w:cs="Times New Roman"/>
          <w:noProof/>
          <w:color w:val="000000"/>
          <w:sz w:val="24"/>
          <w:szCs w:val="24"/>
        </w:rPr>
        <w:drawing>
          <wp:inline distT="19050" distB="19050" distL="19050" distR="19050" wp14:anchorId="532FBC0A" wp14:editId="694DBE6C">
            <wp:extent cx="4000500" cy="24479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4000500" cy="2447925"/>
                    </a:xfrm>
                    <a:prstGeom prst="rect">
                      <a:avLst/>
                    </a:prstGeom>
                    <a:ln/>
                  </pic:spPr>
                </pic:pic>
              </a:graphicData>
            </a:graphic>
          </wp:inline>
        </w:drawing>
      </w:r>
    </w:p>
    <w:p w14:paraId="25201686" w14:textId="77777777" w:rsidR="00435B01" w:rsidRPr="00B94F3E" w:rsidRDefault="00B94F3E" w:rsidP="00B94F3E">
      <w:pPr>
        <w:pStyle w:val="Normal1"/>
        <w:widowControl w:val="0"/>
        <w:pBdr>
          <w:top w:val="nil"/>
          <w:left w:val="nil"/>
          <w:bottom w:val="nil"/>
          <w:right w:val="nil"/>
          <w:between w:val="nil"/>
        </w:pBdr>
        <w:spacing w:line="240" w:lineRule="auto"/>
        <w:ind w:left="215" w:right="218"/>
        <w:jc w:val="both"/>
        <w:rPr>
          <w:rFonts w:ascii="Times New Roman" w:hAnsi="Times New Roman" w:cs="Times New Roman"/>
          <w:color w:val="000000"/>
          <w:sz w:val="24"/>
          <w:szCs w:val="24"/>
        </w:rPr>
      </w:pPr>
      <w:r>
        <w:rPr>
          <w:rFonts w:ascii="Times New Roman" w:hAnsi="Times New Roman" w:cs="Times New Roman"/>
          <w:b/>
          <w:bCs/>
          <w:color w:val="000000"/>
          <w:sz w:val="24"/>
          <w:szCs w:val="24"/>
        </w:rPr>
        <w:t>Figure 2</w:t>
      </w:r>
      <w:r w:rsidRPr="00B94F3E">
        <w:rPr>
          <w:rFonts w:ascii="Times New Roman" w:hAnsi="Times New Roman" w:cs="Times New Roman"/>
          <w:b/>
          <w:bCs/>
          <w:color w:val="000000"/>
          <w:sz w:val="24"/>
          <w:szCs w:val="24"/>
        </w:rPr>
        <w:t xml:space="preserve">: </w:t>
      </w:r>
      <w:r w:rsidRPr="00B94F3E">
        <w:rPr>
          <w:rFonts w:ascii="Times New Roman" w:hAnsi="Times New Roman" w:cs="Times New Roman"/>
          <w:color w:val="000000"/>
          <w:sz w:val="24"/>
          <w:szCs w:val="24"/>
        </w:rPr>
        <w:t xml:space="preserve">Level of caregivers’ knowledge regarding dental caries and oral-health practices (N = 389) </w:t>
      </w:r>
    </w:p>
    <w:p w14:paraId="5B0CDDAE" w14:textId="77777777" w:rsidR="00B94F3E" w:rsidRDefault="00B94F3E" w:rsidP="00B94F3E">
      <w:pPr>
        <w:pStyle w:val="Normal1"/>
        <w:widowControl w:val="0"/>
        <w:pBdr>
          <w:top w:val="nil"/>
          <w:left w:val="nil"/>
          <w:bottom w:val="nil"/>
          <w:right w:val="nil"/>
          <w:between w:val="nil"/>
        </w:pBdr>
        <w:spacing w:before="204" w:line="240" w:lineRule="auto"/>
        <w:ind w:left="10"/>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space="720"/>
        </w:sectPr>
      </w:pPr>
    </w:p>
    <w:p w14:paraId="17A15599" w14:textId="77777777" w:rsidR="00435B01" w:rsidRPr="00B94F3E" w:rsidRDefault="00B94F3E" w:rsidP="00B94F3E">
      <w:pPr>
        <w:pStyle w:val="Normal1"/>
        <w:widowControl w:val="0"/>
        <w:pBdr>
          <w:top w:val="nil"/>
          <w:left w:val="nil"/>
          <w:bottom w:val="nil"/>
          <w:right w:val="nil"/>
          <w:between w:val="nil"/>
        </w:pBdr>
        <w:spacing w:before="204" w:line="240" w:lineRule="auto"/>
        <w:ind w:left="10"/>
        <w:jc w:val="both"/>
        <w:rPr>
          <w:rFonts w:ascii="Times New Roman" w:hAnsi="Times New Roman" w:cs="Times New Roman"/>
          <w:b/>
          <w:bCs/>
          <w:color w:val="000000"/>
          <w:sz w:val="24"/>
          <w:szCs w:val="24"/>
        </w:rPr>
      </w:pPr>
      <w:proofErr w:type="spellStart"/>
      <w:r w:rsidRPr="00B94F3E">
        <w:rPr>
          <w:rFonts w:ascii="Times New Roman" w:hAnsi="Times New Roman" w:cs="Times New Roman"/>
          <w:b/>
          <w:bCs/>
          <w:color w:val="000000"/>
          <w:sz w:val="24"/>
          <w:szCs w:val="24"/>
        </w:rPr>
        <w:t>Behavioural</w:t>
      </w:r>
      <w:proofErr w:type="spellEnd"/>
      <w:r w:rsidRPr="00B94F3E">
        <w:rPr>
          <w:rFonts w:ascii="Times New Roman" w:hAnsi="Times New Roman" w:cs="Times New Roman"/>
          <w:b/>
          <w:bCs/>
          <w:color w:val="000000"/>
          <w:sz w:val="24"/>
          <w:szCs w:val="24"/>
        </w:rPr>
        <w:t xml:space="preserve">, environmental and health-service factors </w:t>
      </w:r>
    </w:p>
    <w:p w14:paraId="235D8BF3" w14:textId="77777777" w:rsidR="00435B01" w:rsidRPr="00B94F3E" w:rsidRDefault="00B94F3E" w:rsidP="00B94F3E">
      <w:pPr>
        <w:pStyle w:val="Normal1"/>
        <w:widowControl w:val="0"/>
        <w:pBdr>
          <w:top w:val="nil"/>
          <w:left w:val="nil"/>
          <w:bottom w:val="nil"/>
          <w:right w:val="nil"/>
          <w:between w:val="nil"/>
        </w:pBdr>
        <w:spacing w:before="179" w:line="240" w:lineRule="auto"/>
        <w:ind w:left="8" w:right="2" w:firstLine="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Table </w:t>
      </w:r>
      <w:r w:rsidRPr="00B94F3E">
        <w:rPr>
          <w:rFonts w:ascii="Times New Roman" w:hAnsi="Times New Roman" w:cs="Times New Roman"/>
          <w:color w:val="000000"/>
          <w:sz w:val="24"/>
          <w:szCs w:val="24"/>
        </w:rPr>
        <w:t xml:space="preserve">5 shows that protective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were uncommon: 30.3% of children brushed at least twice daily, 35.7% used fluoridated toothpaste, 33.2% were supervised during brushing and 31.1% rinsed or brushed after sugary foods. Risk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were frequent: 41.9% </w:t>
      </w:r>
      <w:r w:rsidRPr="00B94F3E">
        <w:rPr>
          <w:rFonts w:ascii="Times New Roman" w:hAnsi="Times New Roman" w:cs="Times New Roman"/>
          <w:color w:val="000000"/>
          <w:sz w:val="24"/>
          <w:szCs w:val="24"/>
        </w:rPr>
        <w:t xml:space="preserve">consumed sweetened drinks or milk from a bottle at bedtime, 43.4% shared utensils, 36.8% had sweetened drinks more than once daily, 36.8% had frequent between-meal snacks and 34.2% had sugary snacks more than once daily. Using the composite classification, 337 children (86.6%) had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and 52 (13.4%) </w:t>
      </w:r>
      <w:proofErr w:type="spellStart"/>
      <w:r w:rsidRPr="00B94F3E">
        <w:rPr>
          <w:rFonts w:ascii="Times New Roman" w:hAnsi="Times New Roman" w:cs="Times New Roman"/>
          <w:color w:val="000000"/>
          <w:sz w:val="24"/>
          <w:szCs w:val="24"/>
        </w:rPr>
        <w:t>favourable</w:t>
      </w:r>
      <w:proofErr w:type="spell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w:t>
      </w:r>
    </w:p>
    <w:p w14:paraId="56CEBA0D" w14:textId="77777777" w:rsid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num="2" w:space="720"/>
        </w:sectPr>
      </w:pPr>
    </w:p>
    <w:p w14:paraId="53C45738" w14:textId="52FD8CE5" w:rsidR="00435B01" w:rsidRP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Table 5: </w:t>
      </w:r>
      <w:proofErr w:type="spellStart"/>
      <w:r w:rsidRPr="00B94F3E">
        <w:rPr>
          <w:rFonts w:ascii="Times New Roman" w:hAnsi="Times New Roman" w:cs="Times New Roman"/>
          <w:b/>
          <w:bCs/>
          <w:color w:val="000000"/>
          <w:sz w:val="24"/>
          <w:szCs w:val="24"/>
        </w:rPr>
        <w:t>Behavioural</w:t>
      </w:r>
      <w:proofErr w:type="spellEnd"/>
      <w:r w:rsidRPr="00B94F3E">
        <w:rPr>
          <w:rFonts w:ascii="Times New Roman" w:hAnsi="Times New Roman" w:cs="Times New Roman"/>
          <w:b/>
          <w:bCs/>
          <w:color w:val="000000"/>
          <w:sz w:val="24"/>
          <w:szCs w:val="24"/>
        </w:rPr>
        <w:t xml:space="preserve"> factors associated with caregiver-reported dental caries (N = 389) </w:t>
      </w:r>
    </w:p>
    <w:tbl>
      <w:tblPr>
        <w:tblStyle w:val="a5"/>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6"/>
        <w:gridCol w:w="1900"/>
        <w:gridCol w:w="1899"/>
      </w:tblGrid>
      <w:tr w:rsidR="00435B01" w:rsidRPr="00B94F3E" w14:paraId="161F001A" w14:textId="77777777">
        <w:trPr>
          <w:cantSplit/>
          <w:trHeight w:val="296"/>
          <w:tblHeader/>
        </w:trPr>
        <w:tc>
          <w:tcPr>
            <w:tcW w:w="5226" w:type="dxa"/>
            <w:tcMar>
              <w:top w:w="100" w:type="dxa"/>
              <w:left w:w="100" w:type="dxa"/>
              <w:bottom w:w="100" w:type="dxa"/>
              <w:right w:w="100" w:type="dxa"/>
            </w:tcMar>
          </w:tcPr>
          <w:p w14:paraId="2E52D8A9"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b/>
                <w:bCs/>
                <w:color w:val="000000"/>
              </w:rPr>
            </w:pPr>
            <w:r w:rsidRPr="00B94F3E">
              <w:rPr>
                <w:rFonts w:ascii="Times New Roman" w:hAnsi="Times New Roman" w:cs="Times New Roman"/>
                <w:b/>
                <w:bCs/>
                <w:color w:val="000000"/>
              </w:rPr>
              <w:lastRenderedPageBreak/>
              <w:t xml:space="preserve">Statement </w:t>
            </w:r>
          </w:p>
        </w:tc>
        <w:tc>
          <w:tcPr>
            <w:tcW w:w="1900" w:type="dxa"/>
            <w:tcMar>
              <w:top w:w="100" w:type="dxa"/>
              <w:left w:w="100" w:type="dxa"/>
              <w:bottom w:w="100" w:type="dxa"/>
              <w:right w:w="100" w:type="dxa"/>
            </w:tcMar>
          </w:tcPr>
          <w:p w14:paraId="3B4E92A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No, n (%) </w:t>
            </w:r>
          </w:p>
        </w:tc>
        <w:tc>
          <w:tcPr>
            <w:tcW w:w="1899" w:type="dxa"/>
            <w:tcMar>
              <w:top w:w="100" w:type="dxa"/>
              <w:left w:w="100" w:type="dxa"/>
              <w:bottom w:w="100" w:type="dxa"/>
              <w:right w:w="100" w:type="dxa"/>
            </w:tcMar>
          </w:tcPr>
          <w:p w14:paraId="505CE08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Yes, n (%)</w:t>
            </w:r>
          </w:p>
        </w:tc>
      </w:tr>
      <w:tr w:rsidR="00435B01" w:rsidRPr="00B94F3E" w14:paraId="48D3C4CD" w14:textId="77777777">
        <w:trPr>
          <w:cantSplit/>
          <w:trHeight w:val="298"/>
          <w:tblHeader/>
        </w:trPr>
        <w:tc>
          <w:tcPr>
            <w:tcW w:w="5226" w:type="dxa"/>
            <w:tcMar>
              <w:top w:w="100" w:type="dxa"/>
              <w:left w:w="100" w:type="dxa"/>
              <w:bottom w:w="100" w:type="dxa"/>
              <w:right w:w="100" w:type="dxa"/>
            </w:tcMar>
          </w:tcPr>
          <w:p w14:paraId="3E53A37D"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brushes teeth at least twice daily </w:t>
            </w:r>
          </w:p>
        </w:tc>
        <w:tc>
          <w:tcPr>
            <w:tcW w:w="1900" w:type="dxa"/>
            <w:tcMar>
              <w:top w:w="100" w:type="dxa"/>
              <w:left w:w="100" w:type="dxa"/>
              <w:bottom w:w="100" w:type="dxa"/>
              <w:right w:w="100" w:type="dxa"/>
            </w:tcMar>
          </w:tcPr>
          <w:p w14:paraId="29B3B52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271 (69.7) </w:t>
            </w:r>
          </w:p>
        </w:tc>
        <w:tc>
          <w:tcPr>
            <w:tcW w:w="1899" w:type="dxa"/>
            <w:tcMar>
              <w:top w:w="100" w:type="dxa"/>
              <w:left w:w="100" w:type="dxa"/>
              <w:bottom w:w="100" w:type="dxa"/>
              <w:right w:w="100" w:type="dxa"/>
            </w:tcMar>
          </w:tcPr>
          <w:p w14:paraId="6E3A2CC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118 (30.3)</w:t>
            </w:r>
          </w:p>
        </w:tc>
      </w:tr>
    </w:tbl>
    <w:p w14:paraId="7F31BA78"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tbl>
      <w:tblPr>
        <w:tblStyle w:val="a6"/>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6"/>
        <w:gridCol w:w="1900"/>
        <w:gridCol w:w="1899"/>
      </w:tblGrid>
      <w:tr w:rsidR="00435B01" w:rsidRPr="00B94F3E" w14:paraId="597C79B5" w14:textId="77777777">
        <w:trPr>
          <w:cantSplit/>
          <w:trHeight w:val="297"/>
          <w:tblHeader/>
        </w:trPr>
        <w:tc>
          <w:tcPr>
            <w:tcW w:w="5226" w:type="dxa"/>
            <w:tcMar>
              <w:top w:w="100" w:type="dxa"/>
              <w:left w:w="100" w:type="dxa"/>
              <w:bottom w:w="100" w:type="dxa"/>
              <w:right w:w="100" w:type="dxa"/>
            </w:tcMar>
          </w:tcPr>
          <w:p w14:paraId="31CB912B"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b/>
                <w:bCs/>
                <w:color w:val="000000"/>
              </w:rPr>
            </w:pPr>
            <w:r w:rsidRPr="00B94F3E">
              <w:rPr>
                <w:rFonts w:ascii="Times New Roman" w:hAnsi="Times New Roman" w:cs="Times New Roman"/>
                <w:b/>
                <w:bCs/>
                <w:color w:val="000000"/>
              </w:rPr>
              <w:t xml:space="preserve">Statement </w:t>
            </w:r>
          </w:p>
        </w:tc>
        <w:tc>
          <w:tcPr>
            <w:tcW w:w="1900" w:type="dxa"/>
            <w:tcMar>
              <w:top w:w="100" w:type="dxa"/>
              <w:left w:w="100" w:type="dxa"/>
              <w:bottom w:w="100" w:type="dxa"/>
              <w:right w:w="100" w:type="dxa"/>
            </w:tcMar>
          </w:tcPr>
          <w:p w14:paraId="698CF6F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No, n (%) </w:t>
            </w:r>
          </w:p>
        </w:tc>
        <w:tc>
          <w:tcPr>
            <w:tcW w:w="1899" w:type="dxa"/>
            <w:tcMar>
              <w:top w:w="100" w:type="dxa"/>
              <w:left w:w="100" w:type="dxa"/>
              <w:bottom w:w="100" w:type="dxa"/>
              <w:right w:w="100" w:type="dxa"/>
            </w:tcMar>
          </w:tcPr>
          <w:p w14:paraId="5FEB1B2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Yes, n (%)</w:t>
            </w:r>
          </w:p>
        </w:tc>
      </w:tr>
      <w:tr w:rsidR="00435B01" w:rsidRPr="00B94F3E" w14:paraId="042628AF" w14:textId="77777777">
        <w:trPr>
          <w:cantSplit/>
          <w:trHeight w:val="295"/>
          <w:tblHeader/>
        </w:trPr>
        <w:tc>
          <w:tcPr>
            <w:tcW w:w="5226" w:type="dxa"/>
            <w:tcMar>
              <w:top w:w="100" w:type="dxa"/>
              <w:left w:w="100" w:type="dxa"/>
              <w:bottom w:w="100" w:type="dxa"/>
              <w:right w:w="100" w:type="dxa"/>
            </w:tcMar>
          </w:tcPr>
          <w:p w14:paraId="175601DA"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uses fluoridated toothpaste when brushing </w:t>
            </w:r>
          </w:p>
        </w:tc>
        <w:tc>
          <w:tcPr>
            <w:tcW w:w="1900" w:type="dxa"/>
            <w:tcMar>
              <w:top w:w="100" w:type="dxa"/>
              <w:left w:w="100" w:type="dxa"/>
              <w:bottom w:w="100" w:type="dxa"/>
              <w:right w:w="100" w:type="dxa"/>
            </w:tcMar>
          </w:tcPr>
          <w:p w14:paraId="5991CDA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250 (64.3) </w:t>
            </w:r>
          </w:p>
        </w:tc>
        <w:tc>
          <w:tcPr>
            <w:tcW w:w="1899" w:type="dxa"/>
            <w:tcMar>
              <w:top w:w="100" w:type="dxa"/>
              <w:left w:w="100" w:type="dxa"/>
              <w:bottom w:w="100" w:type="dxa"/>
              <w:right w:w="100" w:type="dxa"/>
            </w:tcMar>
          </w:tcPr>
          <w:p w14:paraId="498B681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139 (35.7)</w:t>
            </w:r>
          </w:p>
        </w:tc>
      </w:tr>
      <w:tr w:rsidR="00435B01" w:rsidRPr="00B94F3E" w14:paraId="475A411D" w14:textId="77777777">
        <w:trPr>
          <w:cantSplit/>
          <w:trHeight w:val="298"/>
          <w:tblHeader/>
        </w:trPr>
        <w:tc>
          <w:tcPr>
            <w:tcW w:w="5226" w:type="dxa"/>
            <w:tcMar>
              <w:top w:w="100" w:type="dxa"/>
              <w:left w:w="100" w:type="dxa"/>
              <w:bottom w:w="100" w:type="dxa"/>
              <w:right w:w="100" w:type="dxa"/>
            </w:tcMar>
          </w:tcPr>
          <w:p w14:paraId="46F376A0"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Caregiver supervises or helps the child when brushing </w:t>
            </w:r>
          </w:p>
        </w:tc>
        <w:tc>
          <w:tcPr>
            <w:tcW w:w="1900" w:type="dxa"/>
            <w:tcMar>
              <w:top w:w="100" w:type="dxa"/>
              <w:left w:w="100" w:type="dxa"/>
              <w:bottom w:w="100" w:type="dxa"/>
              <w:right w:w="100" w:type="dxa"/>
            </w:tcMar>
          </w:tcPr>
          <w:p w14:paraId="051AA2A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260 (66.8) </w:t>
            </w:r>
          </w:p>
        </w:tc>
        <w:tc>
          <w:tcPr>
            <w:tcW w:w="1899" w:type="dxa"/>
            <w:tcMar>
              <w:top w:w="100" w:type="dxa"/>
              <w:left w:w="100" w:type="dxa"/>
              <w:bottom w:w="100" w:type="dxa"/>
              <w:right w:w="100" w:type="dxa"/>
            </w:tcMar>
          </w:tcPr>
          <w:p w14:paraId="69DFBCC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129 (33.2)</w:t>
            </w:r>
          </w:p>
        </w:tc>
      </w:tr>
      <w:tr w:rsidR="00435B01" w:rsidRPr="00B94F3E" w14:paraId="10D3D9BB" w14:textId="77777777">
        <w:trPr>
          <w:cantSplit/>
          <w:trHeight w:val="295"/>
          <w:tblHeader/>
        </w:trPr>
        <w:tc>
          <w:tcPr>
            <w:tcW w:w="5226" w:type="dxa"/>
            <w:tcMar>
              <w:top w:w="100" w:type="dxa"/>
              <w:left w:w="100" w:type="dxa"/>
              <w:bottom w:w="100" w:type="dxa"/>
              <w:right w:w="100" w:type="dxa"/>
            </w:tcMar>
          </w:tcPr>
          <w:p w14:paraId="6C80C40F"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consumes sugary snacks more than once a day </w:t>
            </w:r>
          </w:p>
        </w:tc>
        <w:tc>
          <w:tcPr>
            <w:tcW w:w="1900" w:type="dxa"/>
            <w:tcMar>
              <w:top w:w="100" w:type="dxa"/>
              <w:left w:w="100" w:type="dxa"/>
              <w:bottom w:w="100" w:type="dxa"/>
              <w:right w:w="100" w:type="dxa"/>
            </w:tcMar>
          </w:tcPr>
          <w:p w14:paraId="22EE5B1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256 (65.8) </w:t>
            </w:r>
          </w:p>
        </w:tc>
        <w:tc>
          <w:tcPr>
            <w:tcW w:w="1899" w:type="dxa"/>
            <w:tcMar>
              <w:top w:w="100" w:type="dxa"/>
              <w:left w:w="100" w:type="dxa"/>
              <w:bottom w:w="100" w:type="dxa"/>
              <w:right w:w="100" w:type="dxa"/>
            </w:tcMar>
          </w:tcPr>
          <w:p w14:paraId="2D28C9D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133 (34.2)</w:t>
            </w:r>
          </w:p>
        </w:tc>
      </w:tr>
      <w:tr w:rsidR="00435B01" w:rsidRPr="00B94F3E" w14:paraId="12A713CD" w14:textId="77777777">
        <w:trPr>
          <w:cantSplit/>
          <w:trHeight w:val="298"/>
          <w:tblHeader/>
        </w:trPr>
        <w:tc>
          <w:tcPr>
            <w:tcW w:w="5226" w:type="dxa"/>
            <w:tcMar>
              <w:top w:w="100" w:type="dxa"/>
              <w:left w:w="100" w:type="dxa"/>
              <w:bottom w:w="100" w:type="dxa"/>
              <w:right w:w="100" w:type="dxa"/>
            </w:tcMar>
          </w:tcPr>
          <w:p w14:paraId="2A549D3F"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drinks sweetened drinks more than once a day </w:t>
            </w:r>
          </w:p>
        </w:tc>
        <w:tc>
          <w:tcPr>
            <w:tcW w:w="1900" w:type="dxa"/>
            <w:tcMar>
              <w:top w:w="100" w:type="dxa"/>
              <w:left w:w="100" w:type="dxa"/>
              <w:bottom w:w="100" w:type="dxa"/>
              <w:right w:w="100" w:type="dxa"/>
            </w:tcMar>
          </w:tcPr>
          <w:p w14:paraId="0B214A3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246 (63.2) </w:t>
            </w:r>
          </w:p>
        </w:tc>
        <w:tc>
          <w:tcPr>
            <w:tcW w:w="1899" w:type="dxa"/>
            <w:tcMar>
              <w:top w:w="100" w:type="dxa"/>
              <w:left w:w="100" w:type="dxa"/>
              <w:bottom w:w="100" w:type="dxa"/>
              <w:right w:w="100" w:type="dxa"/>
            </w:tcMar>
          </w:tcPr>
          <w:p w14:paraId="1728C8A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143 (36.8)</w:t>
            </w:r>
          </w:p>
        </w:tc>
      </w:tr>
      <w:tr w:rsidR="00435B01" w:rsidRPr="00B94F3E" w14:paraId="7E7201CA" w14:textId="77777777">
        <w:trPr>
          <w:cantSplit/>
          <w:trHeight w:val="504"/>
          <w:tblHeader/>
        </w:trPr>
        <w:tc>
          <w:tcPr>
            <w:tcW w:w="5226" w:type="dxa"/>
            <w:tcMar>
              <w:top w:w="100" w:type="dxa"/>
              <w:left w:w="100" w:type="dxa"/>
              <w:bottom w:w="100" w:type="dxa"/>
              <w:right w:w="100" w:type="dxa"/>
            </w:tcMar>
          </w:tcPr>
          <w:p w14:paraId="2EAF647C" w14:textId="77777777" w:rsidR="00435B01" w:rsidRPr="00B94F3E" w:rsidRDefault="00B94F3E" w:rsidP="00B94F3E">
            <w:pPr>
              <w:pStyle w:val="Normal1"/>
              <w:widowControl w:val="0"/>
              <w:pBdr>
                <w:top w:val="nil"/>
                <w:left w:val="nil"/>
                <w:bottom w:val="nil"/>
                <w:right w:val="nil"/>
                <w:between w:val="nil"/>
              </w:pBdr>
              <w:spacing w:line="240" w:lineRule="auto"/>
              <w:ind w:left="90" w:right="335" w:firstLine="7"/>
              <w:jc w:val="both"/>
              <w:rPr>
                <w:rFonts w:ascii="Times New Roman" w:hAnsi="Times New Roman" w:cs="Times New Roman"/>
                <w:color w:val="000000"/>
              </w:rPr>
            </w:pPr>
            <w:r w:rsidRPr="00B94F3E">
              <w:rPr>
                <w:rFonts w:ascii="Times New Roman" w:hAnsi="Times New Roman" w:cs="Times New Roman"/>
                <w:color w:val="000000"/>
              </w:rPr>
              <w:t xml:space="preserve">Child drinks milk, juice or other sweetened drinks from a bottle </w:t>
            </w:r>
            <w:proofErr w:type="gramStart"/>
            <w:r w:rsidRPr="00B94F3E">
              <w:rPr>
                <w:rFonts w:ascii="Times New Roman" w:hAnsi="Times New Roman" w:cs="Times New Roman"/>
                <w:color w:val="000000"/>
              </w:rPr>
              <w:t>at  bedtime</w:t>
            </w:r>
            <w:proofErr w:type="gramEnd"/>
            <w:r w:rsidRPr="00B94F3E">
              <w:rPr>
                <w:rFonts w:ascii="Times New Roman" w:hAnsi="Times New Roman" w:cs="Times New Roman"/>
                <w:color w:val="000000"/>
              </w:rPr>
              <w:t xml:space="preserve"> or during sleep</w:t>
            </w:r>
          </w:p>
        </w:tc>
        <w:tc>
          <w:tcPr>
            <w:tcW w:w="1900" w:type="dxa"/>
            <w:tcMar>
              <w:top w:w="100" w:type="dxa"/>
              <w:left w:w="100" w:type="dxa"/>
              <w:bottom w:w="100" w:type="dxa"/>
              <w:right w:w="100" w:type="dxa"/>
            </w:tcMar>
          </w:tcPr>
          <w:p w14:paraId="19AEA7B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226 (58.1) </w:t>
            </w:r>
          </w:p>
        </w:tc>
        <w:tc>
          <w:tcPr>
            <w:tcW w:w="1899" w:type="dxa"/>
            <w:tcMar>
              <w:top w:w="100" w:type="dxa"/>
              <w:left w:w="100" w:type="dxa"/>
              <w:bottom w:w="100" w:type="dxa"/>
              <w:right w:w="100" w:type="dxa"/>
            </w:tcMar>
          </w:tcPr>
          <w:p w14:paraId="5C63DF1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163 (41.9)</w:t>
            </w:r>
          </w:p>
        </w:tc>
      </w:tr>
      <w:tr w:rsidR="00435B01" w:rsidRPr="00B94F3E" w14:paraId="3808521C" w14:textId="77777777">
        <w:trPr>
          <w:cantSplit/>
          <w:trHeight w:val="503"/>
          <w:tblHeader/>
        </w:trPr>
        <w:tc>
          <w:tcPr>
            <w:tcW w:w="5226" w:type="dxa"/>
            <w:tcMar>
              <w:top w:w="100" w:type="dxa"/>
              <w:left w:w="100" w:type="dxa"/>
              <w:bottom w:w="100" w:type="dxa"/>
              <w:right w:w="100" w:type="dxa"/>
            </w:tcMar>
          </w:tcPr>
          <w:p w14:paraId="76BBA86D" w14:textId="77777777" w:rsidR="00435B01" w:rsidRPr="00B94F3E" w:rsidRDefault="00B94F3E" w:rsidP="00B94F3E">
            <w:pPr>
              <w:pStyle w:val="Normal1"/>
              <w:widowControl w:val="0"/>
              <w:pBdr>
                <w:top w:val="nil"/>
                <w:left w:val="nil"/>
                <w:bottom w:val="nil"/>
                <w:right w:val="nil"/>
                <w:between w:val="nil"/>
              </w:pBdr>
              <w:spacing w:line="240" w:lineRule="auto"/>
              <w:ind w:left="97" w:right="369"/>
              <w:jc w:val="both"/>
              <w:rPr>
                <w:rFonts w:ascii="Times New Roman" w:hAnsi="Times New Roman" w:cs="Times New Roman"/>
                <w:color w:val="000000"/>
              </w:rPr>
            </w:pPr>
            <w:r w:rsidRPr="00B94F3E">
              <w:rPr>
                <w:rFonts w:ascii="Times New Roman" w:hAnsi="Times New Roman" w:cs="Times New Roman"/>
                <w:color w:val="000000"/>
              </w:rPr>
              <w:t xml:space="preserve">Child rinses mouth or brushes immediately after sugary snacks </w:t>
            </w:r>
            <w:proofErr w:type="gramStart"/>
            <w:r w:rsidRPr="00B94F3E">
              <w:rPr>
                <w:rFonts w:ascii="Times New Roman" w:hAnsi="Times New Roman" w:cs="Times New Roman"/>
                <w:color w:val="000000"/>
              </w:rPr>
              <w:t>or  drinks</w:t>
            </w:r>
            <w:proofErr w:type="gramEnd"/>
          </w:p>
        </w:tc>
        <w:tc>
          <w:tcPr>
            <w:tcW w:w="1900" w:type="dxa"/>
            <w:tcMar>
              <w:top w:w="100" w:type="dxa"/>
              <w:left w:w="100" w:type="dxa"/>
              <w:bottom w:w="100" w:type="dxa"/>
              <w:right w:w="100" w:type="dxa"/>
            </w:tcMar>
          </w:tcPr>
          <w:p w14:paraId="18395C2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268 (68.9) </w:t>
            </w:r>
          </w:p>
        </w:tc>
        <w:tc>
          <w:tcPr>
            <w:tcW w:w="1899" w:type="dxa"/>
            <w:tcMar>
              <w:top w:w="100" w:type="dxa"/>
              <w:left w:w="100" w:type="dxa"/>
              <w:bottom w:w="100" w:type="dxa"/>
              <w:right w:w="100" w:type="dxa"/>
            </w:tcMar>
          </w:tcPr>
          <w:p w14:paraId="6B91161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121 (31.1)</w:t>
            </w:r>
          </w:p>
        </w:tc>
      </w:tr>
      <w:tr w:rsidR="00435B01" w:rsidRPr="00B94F3E" w14:paraId="71C280C5" w14:textId="77777777">
        <w:trPr>
          <w:cantSplit/>
          <w:trHeight w:val="296"/>
          <w:tblHeader/>
        </w:trPr>
        <w:tc>
          <w:tcPr>
            <w:tcW w:w="5226" w:type="dxa"/>
            <w:tcMar>
              <w:top w:w="100" w:type="dxa"/>
              <w:left w:w="100" w:type="dxa"/>
              <w:bottom w:w="100" w:type="dxa"/>
              <w:right w:w="100" w:type="dxa"/>
            </w:tcMar>
          </w:tcPr>
          <w:p w14:paraId="3242BE09"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shares utensils, spoons or cups with others </w:t>
            </w:r>
          </w:p>
        </w:tc>
        <w:tc>
          <w:tcPr>
            <w:tcW w:w="1900" w:type="dxa"/>
            <w:tcMar>
              <w:top w:w="100" w:type="dxa"/>
              <w:left w:w="100" w:type="dxa"/>
              <w:bottom w:w="100" w:type="dxa"/>
              <w:right w:w="100" w:type="dxa"/>
            </w:tcMar>
          </w:tcPr>
          <w:p w14:paraId="45812C2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220 (56.6) </w:t>
            </w:r>
          </w:p>
        </w:tc>
        <w:tc>
          <w:tcPr>
            <w:tcW w:w="1899" w:type="dxa"/>
            <w:tcMar>
              <w:top w:w="100" w:type="dxa"/>
              <w:left w:w="100" w:type="dxa"/>
              <w:bottom w:w="100" w:type="dxa"/>
              <w:right w:w="100" w:type="dxa"/>
            </w:tcMar>
          </w:tcPr>
          <w:p w14:paraId="07876F3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169 (43.4)</w:t>
            </w:r>
          </w:p>
        </w:tc>
      </w:tr>
      <w:tr w:rsidR="00435B01" w:rsidRPr="00B94F3E" w14:paraId="30A4EB27" w14:textId="77777777" w:rsidTr="00B94F3E">
        <w:trPr>
          <w:cantSplit/>
          <w:trHeight w:val="330"/>
          <w:tblHeader/>
        </w:trPr>
        <w:tc>
          <w:tcPr>
            <w:tcW w:w="5226" w:type="dxa"/>
            <w:tcMar>
              <w:top w:w="100" w:type="dxa"/>
              <w:left w:w="100" w:type="dxa"/>
              <w:bottom w:w="100" w:type="dxa"/>
              <w:right w:w="100" w:type="dxa"/>
            </w:tcMar>
          </w:tcPr>
          <w:p w14:paraId="4DD30611"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has frequent snacks between meals </w:t>
            </w:r>
          </w:p>
        </w:tc>
        <w:tc>
          <w:tcPr>
            <w:tcW w:w="1900" w:type="dxa"/>
            <w:tcMar>
              <w:top w:w="100" w:type="dxa"/>
              <w:left w:w="100" w:type="dxa"/>
              <w:bottom w:w="100" w:type="dxa"/>
              <w:right w:w="100" w:type="dxa"/>
            </w:tcMar>
          </w:tcPr>
          <w:p w14:paraId="339CA7C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246 (63.2) </w:t>
            </w:r>
          </w:p>
        </w:tc>
        <w:tc>
          <w:tcPr>
            <w:tcW w:w="1899" w:type="dxa"/>
            <w:tcMar>
              <w:top w:w="100" w:type="dxa"/>
              <w:left w:w="100" w:type="dxa"/>
              <w:bottom w:w="100" w:type="dxa"/>
              <w:right w:w="100" w:type="dxa"/>
            </w:tcMar>
          </w:tcPr>
          <w:p w14:paraId="1BDE0CF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143 (36.8)</w:t>
            </w:r>
          </w:p>
        </w:tc>
      </w:tr>
      <w:tr w:rsidR="00435B01" w:rsidRPr="00B94F3E" w14:paraId="71DAE58F" w14:textId="77777777">
        <w:trPr>
          <w:cantSplit/>
          <w:trHeight w:val="295"/>
          <w:tblHeader/>
        </w:trPr>
        <w:tc>
          <w:tcPr>
            <w:tcW w:w="5226" w:type="dxa"/>
            <w:tcMar>
              <w:top w:w="100" w:type="dxa"/>
              <w:left w:w="100" w:type="dxa"/>
              <w:bottom w:w="100" w:type="dxa"/>
              <w:right w:w="100" w:type="dxa"/>
            </w:tcMar>
          </w:tcPr>
          <w:p w14:paraId="41DDF535"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Child consumes fresh fruits and vegetables daily </w:t>
            </w:r>
          </w:p>
        </w:tc>
        <w:tc>
          <w:tcPr>
            <w:tcW w:w="1900" w:type="dxa"/>
            <w:tcMar>
              <w:top w:w="100" w:type="dxa"/>
              <w:left w:w="100" w:type="dxa"/>
              <w:bottom w:w="100" w:type="dxa"/>
              <w:right w:w="100" w:type="dxa"/>
            </w:tcMar>
          </w:tcPr>
          <w:p w14:paraId="7B14DB6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220 (56.6) </w:t>
            </w:r>
          </w:p>
        </w:tc>
        <w:tc>
          <w:tcPr>
            <w:tcW w:w="1899" w:type="dxa"/>
            <w:tcMar>
              <w:top w:w="100" w:type="dxa"/>
              <w:left w:w="100" w:type="dxa"/>
              <w:bottom w:w="100" w:type="dxa"/>
              <w:right w:w="100" w:type="dxa"/>
            </w:tcMar>
          </w:tcPr>
          <w:p w14:paraId="6A30EC0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169 (43.4)</w:t>
            </w:r>
          </w:p>
        </w:tc>
      </w:tr>
      <w:tr w:rsidR="00435B01" w:rsidRPr="00B94F3E" w14:paraId="3D80F890" w14:textId="77777777">
        <w:trPr>
          <w:cantSplit/>
          <w:trHeight w:val="298"/>
          <w:tblHeader/>
        </w:trPr>
        <w:tc>
          <w:tcPr>
            <w:tcW w:w="5226" w:type="dxa"/>
            <w:tcMar>
              <w:top w:w="100" w:type="dxa"/>
              <w:left w:w="100" w:type="dxa"/>
              <w:bottom w:w="100" w:type="dxa"/>
              <w:right w:w="100" w:type="dxa"/>
            </w:tcMar>
          </w:tcPr>
          <w:p w14:paraId="75A5A12C" w14:textId="77777777" w:rsidR="00435B01" w:rsidRPr="00B94F3E" w:rsidRDefault="00B94F3E" w:rsidP="00B94F3E">
            <w:pPr>
              <w:pStyle w:val="Normal1"/>
              <w:widowControl w:val="0"/>
              <w:pBdr>
                <w:top w:val="nil"/>
                <w:left w:val="nil"/>
                <w:bottom w:val="nil"/>
                <w:right w:val="nil"/>
                <w:between w:val="nil"/>
              </w:pBdr>
              <w:spacing w:line="240" w:lineRule="auto"/>
              <w:ind w:left="93"/>
              <w:jc w:val="both"/>
              <w:rPr>
                <w:rFonts w:ascii="Times New Roman" w:hAnsi="Times New Roman" w:cs="Times New Roman"/>
                <w:b/>
                <w:bCs/>
                <w:color w:val="000000"/>
              </w:rPr>
            </w:pPr>
            <w:r w:rsidRPr="00B94F3E">
              <w:rPr>
                <w:rFonts w:ascii="Times New Roman" w:hAnsi="Times New Roman" w:cs="Times New Roman"/>
                <w:b/>
                <w:bCs/>
                <w:color w:val="000000"/>
              </w:rPr>
              <w:t xml:space="preserve">Total (item responses) </w:t>
            </w:r>
          </w:p>
        </w:tc>
        <w:tc>
          <w:tcPr>
            <w:tcW w:w="1900" w:type="dxa"/>
            <w:tcMar>
              <w:top w:w="100" w:type="dxa"/>
              <w:left w:w="100" w:type="dxa"/>
              <w:bottom w:w="100" w:type="dxa"/>
              <w:right w:w="100" w:type="dxa"/>
            </w:tcMar>
          </w:tcPr>
          <w:p w14:paraId="6E25097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2463 (63.3) </w:t>
            </w:r>
          </w:p>
        </w:tc>
        <w:tc>
          <w:tcPr>
            <w:tcW w:w="1899" w:type="dxa"/>
            <w:tcMar>
              <w:top w:w="100" w:type="dxa"/>
              <w:left w:w="100" w:type="dxa"/>
              <w:bottom w:w="100" w:type="dxa"/>
              <w:right w:w="100" w:type="dxa"/>
            </w:tcMar>
          </w:tcPr>
          <w:p w14:paraId="1DEA385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1427 (36.7)</w:t>
            </w:r>
          </w:p>
        </w:tc>
      </w:tr>
    </w:tbl>
    <w:p w14:paraId="17CC8FAC"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1DB0676B"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137C349D" w14:textId="77777777" w:rsidR="00B94F3E" w:rsidRDefault="00B94F3E" w:rsidP="00B94F3E">
      <w:pPr>
        <w:pStyle w:val="Normal1"/>
        <w:widowControl w:val="0"/>
        <w:pBdr>
          <w:top w:val="nil"/>
          <w:left w:val="nil"/>
          <w:bottom w:val="nil"/>
          <w:right w:val="nil"/>
          <w:between w:val="nil"/>
        </w:pBdr>
        <w:spacing w:line="240" w:lineRule="auto"/>
        <w:ind w:left="8" w:right="3" w:firstLine="1"/>
        <w:jc w:val="both"/>
        <w:rPr>
          <w:rFonts w:ascii="Times New Roman" w:hAnsi="Times New Roman" w:cs="Times New Roman"/>
          <w:color w:val="000000"/>
          <w:sz w:val="24"/>
          <w:szCs w:val="24"/>
        </w:rPr>
        <w:sectPr w:rsidR="00B94F3E" w:rsidSect="00B94F3E">
          <w:type w:val="continuous"/>
          <w:pgSz w:w="11900" w:h="16820"/>
          <w:pgMar w:top="990" w:right="1425" w:bottom="759" w:left="1436" w:header="0" w:footer="720" w:gutter="0"/>
          <w:pgNumType w:start="1"/>
          <w:cols w:space="720"/>
        </w:sectPr>
      </w:pPr>
    </w:p>
    <w:p w14:paraId="1EFB1C1E" w14:textId="77777777" w:rsidR="00B94F3E" w:rsidRDefault="00B94F3E" w:rsidP="00B94F3E">
      <w:pPr>
        <w:pStyle w:val="Normal1"/>
        <w:widowControl w:val="0"/>
        <w:pBdr>
          <w:top w:val="nil"/>
          <w:left w:val="nil"/>
          <w:bottom w:val="nil"/>
          <w:right w:val="nil"/>
          <w:between w:val="nil"/>
        </w:pBdr>
        <w:spacing w:line="240" w:lineRule="auto"/>
        <w:ind w:left="8" w:right="3" w:firstLine="1"/>
        <w:jc w:val="both"/>
        <w:rPr>
          <w:rFonts w:ascii="Times New Roman" w:hAnsi="Times New Roman" w:cs="Times New Roman"/>
          <w:color w:val="000000"/>
          <w:sz w:val="24"/>
          <w:szCs w:val="24"/>
        </w:rPr>
        <w:sectPr w:rsidR="00B94F3E" w:rsidSect="00B94F3E">
          <w:type w:val="continuous"/>
          <w:pgSz w:w="11900" w:h="16820"/>
          <w:pgMar w:top="990" w:right="1425" w:bottom="759" w:left="1436" w:header="0" w:footer="720" w:gutter="0"/>
          <w:pgNumType w:start="1"/>
          <w:cols w:num="2" w:space="720"/>
        </w:sectPr>
      </w:pPr>
      <w:r>
        <w:rPr>
          <w:rFonts w:ascii="Times New Roman" w:hAnsi="Times New Roman" w:cs="Times New Roman"/>
          <w:color w:val="000000"/>
          <w:sz w:val="24"/>
          <w:szCs w:val="24"/>
        </w:rPr>
        <w:t xml:space="preserve">Table </w:t>
      </w:r>
      <w:r w:rsidRPr="00B94F3E">
        <w:rPr>
          <w:rFonts w:ascii="Times New Roman" w:hAnsi="Times New Roman" w:cs="Times New Roman"/>
          <w:color w:val="000000"/>
          <w:sz w:val="24"/>
          <w:szCs w:val="24"/>
        </w:rPr>
        <w:t xml:space="preserve">6 shows that all 389 caregivers reported no household overcrowding and no environmental pollution. Among the remaining environmental items, 41.4% reported reliable access to safe drinking water, 47.8% improved sanitation, 42.7% proper waste disposal and 43.2% clean, supportive housing. Health-service indicators were similarly limited: 34.7% reported easily accessible dental services, </w:t>
      </w:r>
      <w:r w:rsidRPr="00B94F3E">
        <w:rPr>
          <w:rFonts w:ascii="Times New Roman" w:hAnsi="Times New Roman" w:cs="Times New Roman"/>
          <w:color w:val="000000"/>
          <w:sz w:val="24"/>
          <w:szCs w:val="24"/>
        </w:rPr>
        <w:t xml:space="preserve">30.3% a nearby clinic, 29.6% affordable treatment, 31.9% available preventive services, 36.0% oral-health education from health workers, 31.6% routine check-ups and 38.0% a previous dental visit. By composite classification, 77.1% of households had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environmental conditions and 73.0%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health-service conditions</w:t>
      </w:r>
    </w:p>
    <w:p w14:paraId="22725D67" w14:textId="77777777" w:rsidR="00435B01" w:rsidRPr="00B94F3E" w:rsidRDefault="00B94F3E" w:rsidP="00B94F3E">
      <w:pPr>
        <w:pStyle w:val="Normal1"/>
        <w:widowControl w:val="0"/>
        <w:pBdr>
          <w:top w:val="nil"/>
          <w:left w:val="nil"/>
          <w:bottom w:val="nil"/>
          <w:right w:val="nil"/>
          <w:between w:val="nil"/>
        </w:pBdr>
        <w:spacing w:line="240" w:lineRule="auto"/>
        <w:ind w:left="8" w:right="3" w:firstLine="1"/>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 </w:t>
      </w:r>
    </w:p>
    <w:p w14:paraId="1875FC3B" w14:textId="77777777" w:rsidR="00435B01" w:rsidRPr="00B94F3E" w:rsidRDefault="00B94F3E" w:rsidP="00B94F3E">
      <w:pPr>
        <w:pStyle w:val="Normal1"/>
        <w:widowControl w:val="0"/>
        <w:pBdr>
          <w:top w:val="nil"/>
          <w:left w:val="nil"/>
          <w:bottom w:val="nil"/>
          <w:right w:val="nil"/>
          <w:between w:val="nil"/>
        </w:pBdr>
        <w:spacing w:before="157" w:line="240" w:lineRule="auto"/>
        <w:ind w:left="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Table </w:t>
      </w:r>
      <w:r w:rsidRPr="00B94F3E">
        <w:rPr>
          <w:rFonts w:ascii="Times New Roman" w:hAnsi="Times New Roman" w:cs="Times New Roman"/>
          <w:b/>
          <w:bCs/>
          <w:color w:val="000000"/>
          <w:sz w:val="24"/>
          <w:szCs w:val="24"/>
        </w:rPr>
        <w:t xml:space="preserve">6: Environmental and health-service-related factors (N = 389) </w:t>
      </w:r>
    </w:p>
    <w:tbl>
      <w:tblPr>
        <w:tblStyle w:val="a7"/>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6"/>
        <w:gridCol w:w="1900"/>
        <w:gridCol w:w="1899"/>
      </w:tblGrid>
      <w:tr w:rsidR="00435B01" w:rsidRPr="00B94F3E" w14:paraId="169A79A3" w14:textId="77777777">
        <w:trPr>
          <w:cantSplit/>
          <w:trHeight w:val="297"/>
          <w:tblHeader/>
        </w:trPr>
        <w:tc>
          <w:tcPr>
            <w:tcW w:w="5226" w:type="dxa"/>
            <w:tcMar>
              <w:top w:w="100" w:type="dxa"/>
              <w:left w:w="100" w:type="dxa"/>
              <w:bottom w:w="100" w:type="dxa"/>
              <w:right w:w="100" w:type="dxa"/>
            </w:tcMar>
          </w:tcPr>
          <w:p w14:paraId="015A25AD"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b/>
                <w:bCs/>
                <w:color w:val="000000"/>
              </w:rPr>
            </w:pPr>
            <w:r w:rsidRPr="00B94F3E">
              <w:rPr>
                <w:rFonts w:ascii="Times New Roman" w:hAnsi="Times New Roman" w:cs="Times New Roman"/>
                <w:b/>
                <w:bCs/>
                <w:color w:val="000000"/>
              </w:rPr>
              <w:t xml:space="preserve">Statement </w:t>
            </w:r>
          </w:p>
        </w:tc>
        <w:tc>
          <w:tcPr>
            <w:tcW w:w="1900" w:type="dxa"/>
            <w:tcMar>
              <w:top w:w="100" w:type="dxa"/>
              <w:left w:w="100" w:type="dxa"/>
              <w:bottom w:w="100" w:type="dxa"/>
              <w:right w:w="100" w:type="dxa"/>
            </w:tcMar>
          </w:tcPr>
          <w:p w14:paraId="7A6400D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No, n (%) </w:t>
            </w:r>
          </w:p>
        </w:tc>
        <w:tc>
          <w:tcPr>
            <w:tcW w:w="1899" w:type="dxa"/>
            <w:tcMar>
              <w:top w:w="100" w:type="dxa"/>
              <w:left w:w="100" w:type="dxa"/>
              <w:bottom w:w="100" w:type="dxa"/>
              <w:right w:w="100" w:type="dxa"/>
            </w:tcMar>
          </w:tcPr>
          <w:p w14:paraId="69810B4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Yes, n (%)</w:t>
            </w:r>
          </w:p>
        </w:tc>
      </w:tr>
      <w:tr w:rsidR="00435B01" w:rsidRPr="00B94F3E" w14:paraId="48B79632" w14:textId="77777777">
        <w:trPr>
          <w:cantSplit/>
          <w:trHeight w:val="365"/>
          <w:tblHeader/>
        </w:trPr>
        <w:tc>
          <w:tcPr>
            <w:tcW w:w="5226" w:type="dxa"/>
            <w:tcMar>
              <w:top w:w="100" w:type="dxa"/>
              <w:left w:w="100" w:type="dxa"/>
              <w:bottom w:w="100" w:type="dxa"/>
              <w:right w:w="100" w:type="dxa"/>
            </w:tcMar>
          </w:tcPr>
          <w:p w14:paraId="3F3929B2"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b/>
                <w:bCs/>
                <w:color w:val="000000"/>
              </w:rPr>
            </w:pPr>
            <w:r w:rsidRPr="00B94F3E">
              <w:rPr>
                <w:rFonts w:ascii="Times New Roman" w:hAnsi="Times New Roman" w:cs="Times New Roman"/>
                <w:b/>
                <w:bCs/>
                <w:color w:val="000000"/>
              </w:rPr>
              <w:t>Environmental factors</w:t>
            </w:r>
          </w:p>
        </w:tc>
        <w:tc>
          <w:tcPr>
            <w:tcW w:w="1900" w:type="dxa"/>
            <w:tcMar>
              <w:top w:w="100" w:type="dxa"/>
              <w:left w:w="100" w:type="dxa"/>
              <w:bottom w:w="100" w:type="dxa"/>
              <w:right w:w="100" w:type="dxa"/>
            </w:tcMar>
          </w:tcPr>
          <w:p w14:paraId="0F017672"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p>
        </w:tc>
        <w:tc>
          <w:tcPr>
            <w:tcW w:w="1899" w:type="dxa"/>
            <w:tcMar>
              <w:top w:w="100" w:type="dxa"/>
              <w:left w:w="100" w:type="dxa"/>
              <w:bottom w:w="100" w:type="dxa"/>
              <w:right w:w="100" w:type="dxa"/>
            </w:tcMar>
          </w:tcPr>
          <w:p w14:paraId="4629B2A7"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p>
        </w:tc>
      </w:tr>
      <w:tr w:rsidR="00435B01" w:rsidRPr="00B94F3E" w14:paraId="2229EE66" w14:textId="77777777">
        <w:trPr>
          <w:cantSplit/>
          <w:trHeight w:val="296"/>
          <w:tblHeader/>
        </w:trPr>
        <w:tc>
          <w:tcPr>
            <w:tcW w:w="5226" w:type="dxa"/>
            <w:tcMar>
              <w:top w:w="100" w:type="dxa"/>
              <w:left w:w="100" w:type="dxa"/>
              <w:bottom w:w="100" w:type="dxa"/>
              <w:right w:w="100" w:type="dxa"/>
            </w:tcMar>
          </w:tcPr>
          <w:p w14:paraId="4609DAB9"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Household experiences overcrowding† </w:t>
            </w:r>
          </w:p>
        </w:tc>
        <w:tc>
          <w:tcPr>
            <w:tcW w:w="1900" w:type="dxa"/>
            <w:tcMar>
              <w:top w:w="100" w:type="dxa"/>
              <w:left w:w="100" w:type="dxa"/>
              <w:bottom w:w="100" w:type="dxa"/>
              <w:right w:w="100" w:type="dxa"/>
            </w:tcMar>
          </w:tcPr>
          <w:p w14:paraId="0318CDE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389 (100) </w:t>
            </w:r>
          </w:p>
        </w:tc>
        <w:tc>
          <w:tcPr>
            <w:tcW w:w="1899" w:type="dxa"/>
            <w:tcMar>
              <w:top w:w="100" w:type="dxa"/>
              <w:left w:w="100" w:type="dxa"/>
              <w:bottom w:w="100" w:type="dxa"/>
              <w:right w:w="100" w:type="dxa"/>
            </w:tcMar>
          </w:tcPr>
          <w:p w14:paraId="699F5FC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0 (0)</w:t>
            </w:r>
          </w:p>
        </w:tc>
      </w:tr>
      <w:tr w:rsidR="00435B01" w:rsidRPr="00B94F3E" w14:paraId="38A8C6F8" w14:textId="77777777">
        <w:trPr>
          <w:cantSplit/>
          <w:trHeight w:val="297"/>
          <w:tblHeader/>
        </w:trPr>
        <w:tc>
          <w:tcPr>
            <w:tcW w:w="5226" w:type="dxa"/>
            <w:tcMar>
              <w:top w:w="100" w:type="dxa"/>
              <w:left w:w="100" w:type="dxa"/>
              <w:bottom w:w="100" w:type="dxa"/>
              <w:right w:w="100" w:type="dxa"/>
            </w:tcMar>
          </w:tcPr>
          <w:p w14:paraId="3DAB83C4"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Household has reliable access to safe and clean drinking water </w:t>
            </w:r>
          </w:p>
        </w:tc>
        <w:tc>
          <w:tcPr>
            <w:tcW w:w="1900" w:type="dxa"/>
            <w:tcMar>
              <w:top w:w="100" w:type="dxa"/>
              <w:left w:w="100" w:type="dxa"/>
              <w:bottom w:w="100" w:type="dxa"/>
              <w:right w:w="100" w:type="dxa"/>
            </w:tcMar>
          </w:tcPr>
          <w:p w14:paraId="77EABF5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228 (58.6) </w:t>
            </w:r>
          </w:p>
        </w:tc>
        <w:tc>
          <w:tcPr>
            <w:tcW w:w="1899" w:type="dxa"/>
            <w:tcMar>
              <w:top w:w="100" w:type="dxa"/>
              <w:left w:w="100" w:type="dxa"/>
              <w:bottom w:w="100" w:type="dxa"/>
              <w:right w:w="100" w:type="dxa"/>
            </w:tcMar>
          </w:tcPr>
          <w:p w14:paraId="03BB048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161 (41.4)</w:t>
            </w:r>
          </w:p>
        </w:tc>
      </w:tr>
      <w:tr w:rsidR="00435B01" w:rsidRPr="00B94F3E" w14:paraId="540EBE3E" w14:textId="77777777">
        <w:trPr>
          <w:cantSplit/>
          <w:trHeight w:val="295"/>
          <w:tblHeader/>
        </w:trPr>
        <w:tc>
          <w:tcPr>
            <w:tcW w:w="5226" w:type="dxa"/>
            <w:tcMar>
              <w:top w:w="100" w:type="dxa"/>
              <w:left w:w="100" w:type="dxa"/>
              <w:bottom w:w="100" w:type="dxa"/>
              <w:right w:w="100" w:type="dxa"/>
            </w:tcMar>
          </w:tcPr>
          <w:p w14:paraId="3DE5E678"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Household has access to improved sanitation facilities </w:t>
            </w:r>
          </w:p>
        </w:tc>
        <w:tc>
          <w:tcPr>
            <w:tcW w:w="1900" w:type="dxa"/>
            <w:tcMar>
              <w:top w:w="100" w:type="dxa"/>
              <w:left w:w="100" w:type="dxa"/>
              <w:bottom w:w="100" w:type="dxa"/>
              <w:right w:w="100" w:type="dxa"/>
            </w:tcMar>
          </w:tcPr>
          <w:p w14:paraId="37C7634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203 (52.2) </w:t>
            </w:r>
          </w:p>
        </w:tc>
        <w:tc>
          <w:tcPr>
            <w:tcW w:w="1899" w:type="dxa"/>
            <w:tcMar>
              <w:top w:w="100" w:type="dxa"/>
              <w:left w:w="100" w:type="dxa"/>
              <w:bottom w:w="100" w:type="dxa"/>
              <w:right w:w="100" w:type="dxa"/>
            </w:tcMar>
          </w:tcPr>
          <w:p w14:paraId="7738AB4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186 (47.8)</w:t>
            </w:r>
          </w:p>
        </w:tc>
      </w:tr>
      <w:tr w:rsidR="00435B01" w:rsidRPr="00B94F3E" w14:paraId="48E3BDFB" w14:textId="77777777">
        <w:trPr>
          <w:cantSplit/>
          <w:trHeight w:val="504"/>
          <w:tblHeader/>
        </w:trPr>
        <w:tc>
          <w:tcPr>
            <w:tcW w:w="5226" w:type="dxa"/>
            <w:tcMar>
              <w:top w:w="100" w:type="dxa"/>
              <w:left w:w="100" w:type="dxa"/>
              <w:bottom w:w="100" w:type="dxa"/>
              <w:right w:w="100" w:type="dxa"/>
            </w:tcMar>
          </w:tcPr>
          <w:p w14:paraId="54A54470" w14:textId="77777777" w:rsidR="00435B01" w:rsidRPr="00B94F3E" w:rsidRDefault="00B94F3E" w:rsidP="00B94F3E">
            <w:pPr>
              <w:pStyle w:val="Normal1"/>
              <w:widowControl w:val="0"/>
              <w:pBdr>
                <w:top w:val="nil"/>
                <w:left w:val="nil"/>
                <w:bottom w:val="nil"/>
                <w:right w:val="nil"/>
                <w:between w:val="nil"/>
              </w:pBdr>
              <w:spacing w:line="240" w:lineRule="auto"/>
              <w:ind w:left="92" w:right="96" w:firstLine="3"/>
              <w:jc w:val="both"/>
              <w:rPr>
                <w:rFonts w:ascii="Times New Roman" w:hAnsi="Times New Roman" w:cs="Times New Roman"/>
                <w:color w:val="000000"/>
              </w:rPr>
            </w:pPr>
            <w:r w:rsidRPr="00B94F3E">
              <w:rPr>
                <w:rFonts w:ascii="Times New Roman" w:hAnsi="Times New Roman" w:cs="Times New Roman"/>
                <w:color w:val="000000"/>
              </w:rPr>
              <w:lastRenderedPageBreak/>
              <w:t xml:space="preserve">Proper waste disposal and environmental sanitation are maintained </w:t>
            </w:r>
            <w:proofErr w:type="gramStart"/>
            <w:r w:rsidRPr="00B94F3E">
              <w:rPr>
                <w:rFonts w:ascii="Times New Roman" w:hAnsi="Times New Roman" w:cs="Times New Roman"/>
                <w:color w:val="000000"/>
              </w:rPr>
              <w:t>in  the</w:t>
            </w:r>
            <w:proofErr w:type="gramEnd"/>
            <w:r w:rsidRPr="00B94F3E">
              <w:rPr>
                <w:rFonts w:ascii="Times New Roman" w:hAnsi="Times New Roman" w:cs="Times New Roman"/>
                <w:color w:val="000000"/>
              </w:rPr>
              <w:t xml:space="preserve"> </w:t>
            </w:r>
            <w:proofErr w:type="spellStart"/>
            <w:r w:rsidRPr="00B94F3E">
              <w:rPr>
                <w:rFonts w:ascii="Times New Roman" w:hAnsi="Times New Roman" w:cs="Times New Roman"/>
                <w:color w:val="000000"/>
              </w:rPr>
              <w:t>neighbourhood</w:t>
            </w:r>
            <w:proofErr w:type="spellEnd"/>
          </w:p>
        </w:tc>
        <w:tc>
          <w:tcPr>
            <w:tcW w:w="1900" w:type="dxa"/>
            <w:tcMar>
              <w:top w:w="100" w:type="dxa"/>
              <w:left w:w="100" w:type="dxa"/>
              <w:bottom w:w="100" w:type="dxa"/>
              <w:right w:w="100" w:type="dxa"/>
            </w:tcMar>
          </w:tcPr>
          <w:p w14:paraId="633F567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223 (57.3) </w:t>
            </w:r>
          </w:p>
        </w:tc>
        <w:tc>
          <w:tcPr>
            <w:tcW w:w="1899" w:type="dxa"/>
            <w:tcMar>
              <w:top w:w="100" w:type="dxa"/>
              <w:left w:w="100" w:type="dxa"/>
              <w:bottom w:w="100" w:type="dxa"/>
              <w:right w:w="100" w:type="dxa"/>
            </w:tcMar>
          </w:tcPr>
          <w:p w14:paraId="0FE46AD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166 (42.7)</w:t>
            </w:r>
          </w:p>
        </w:tc>
      </w:tr>
      <w:tr w:rsidR="00435B01" w:rsidRPr="00B94F3E" w14:paraId="605E6B46" w14:textId="77777777">
        <w:trPr>
          <w:cantSplit/>
          <w:trHeight w:val="297"/>
          <w:tblHeader/>
        </w:trPr>
        <w:tc>
          <w:tcPr>
            <w:tcW w:w="5226" w:type="dxa"/>
            <w:tcMar>
              <w:top w:w="100" w:type="dxa"/>
              <w:left w:w="100" w:type="dxa"/>
              <w:bottom w:w="100" w:type="dxa"/>
              <w:right w:w="100" w:type="dxa"/>
            </w:tcMar>
          </w:tcPr>
          <w:p w14:paraId="63FC1408"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Community experiences environmental pollution† </w:t>
            </w:r>
          </w:p>
        </w:tc>
        <w:tc>
          <w:tcPr>
            <w:tcW w:w="1900" w:type="dxa"/>
            <w:tcMar>
              <w:top w:w="100" w:type="dxa"/>
              <w:left w:w="100" w:type="dxa"/>
              <w:bottom w:w="100" w:type="dxa"/>
              <w:right w:w="100" w:type="dxa"/>
            </w:tcMar>
          </w:tcPr>
          <w:p w14:paraId="58996C8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389 (100) </w:t>
            </w:r>
          </w:p>
        </w:tc>
        <w:tc>
          <w:tcPr>
            <w:tcW w:w="1899" w:type="dxa"/>
            <w:tcMar>
              <w:top w:w="100" w:type="dxa"/>
              <w:left w:w="100" w:type="dxa"/>
              <w:bottom w:w="100" w:type="dxa"/>
              <w:right w:w="100" w:type="dxa"/>
            </w:tcMar>
          </w:tcPr>
          <w:p w14:paraId="10E5F11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0 (0)</w:t>
            </w:r>
          </w:p>
        </w:tc>
      </w:tr>
      <w:tr w:rsidR="00435B01" w:rsidRPr="00B94F3E" w14:paraId="6AB49433" w14:textId="77777777">
        <w:trPr>
          <w:cantSplit/>
          <w:trHeight w:val="504"/>
          <w:tblHeader/>
        </w:trPr>
        <w:tc>
          <w:tcPr>
            <w:tcW w:w="5226" w:type="dxa"/>
            <w:tcMar>
              <w:top w:w="100" w:type="dxa"/>
              <w:left w:w="100" w:type="dxa"/>
              <w:bottom w:w="100" w:type="dxa"/>
              <w:right w:w="100" w:type="dxa"/>
            </w:tcMar>
          </w:tcPr>
          <w:p w14:paraId="2146428F" w14:textId="77777777" w:rsidR="00435B01" w:rsidRPr="00B94F3E" w:rsidRDefault="00B94F3E" w:rsidP="00B94F3E">
            <w:pPr>
              <w:pStyle w:val="Normal1"/>
              <w:widowControl w:val="0"/>
              <w:pBdr>
                <w:top w:val="nil"/>
                <w:left w:val="nil"/>
                <w:bottom w:val="nil"/>
                <w:right w:val="nil"/>
                <w:between w:val="nil"/>
              </w:pBdr>
              <w:spacing w:line="240" w:lineRule="auto"/>
              <w:ind w:left="94" w:right="405" w:firstLine="1"/>
              <w:jc w:val="both"/>
              <w:rPr>
                <w:rFonts w:ascii="Times New Roman" w:hAnsi="Times New Roman" w:cs="Times New Roman"/>
                <w:color w:val="000000"/>
              </w:rPr>
            </w:pPr>
            <w:r w:rsidRPr="00B94F3E">
              <w:rPr>
                <w:rFonts w:ascii="Times New Roman" w:hAnsi="Times New Roman" w:cs="Times New Roman"/>
                <w:color w:val="000000"/>
              </w:rPr>
              <w:t xml:space="preserve">Housing conditions are generally clean and supportive of </w:t>
            </w:r>
            <w:proofErr w:type="gramStart"/>
            <w:r w:rsidRPr="00B94F3E">
              <w:rPr>
                <w:rFonts w:ascii="Times New Roman" w:hAnsi="Times New Roman" w:cs="Times New Roman"/>
                <w:color w:val="000000"/>
              </w:rPr>
              <w:t>healthy  living</w:t>
            </w:r>
            <w:proofErr w:type="gramEnd"/>
          </w:p>
        </w:tc>
        <w:tc>
          <w:tcPr>
            <w:tcW w:w="1900" w:type="dxa"/>
            <w:tcMar>
              <w:top w:w="100" w:type="dxa"/>
              <w:left w:w="100" w:type="dxa"/>
              <w:bottom w:w="100" w:type="dxa"/>
              <w:right w:w="100" w:type="dxa"/>
            </w:tcMar>
          </w:tcPr>
          <w:p w14:paraId="1F74318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221 (56.8) </w:t>
            </w:r>
          </w:p>
        </w:tc>
        <w:tc>
          <w:tcPr>
            <w:tcW w:w="1899" w:type="dxa"/>
            <w:tcMar>
              <w:top w:w="100" w:type="dxa"/>
              <w:left w:w="100" w:type="dxa"/>
              <w:bottom w:w="100" w:type="dxa"/>
              <w:right w:w="100" w:type="dxa"/>
            </w:tcMar>
          </w:tcPr>
          <w:p w14:paraId="479CF01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168 (43.2)</w:t>
            </w:r>
          </w:p>
        </w:tc>
      </w:tr>
      <w:tr w:rsidR="00435B01" w:rsidRPr="00B94F3E" w14:paraId="04FCB375" w14:textId="77777777">
        <w:trPr>
          <w:cantSplit/>
          <w:trHeight w:val="295"/>
          <w:tblHeader/>
        </w:trPr>
        <w:tc>
          <w:tcPr>
            <w:tcW w:w="5226" w:type="dxa"/>
            <w:tcMar>
              <w:top w:w="100" w:type="dxa"/>
              <w:left w:w="100" w:type="dxa"/>
              <w:bottom w:w="100" w:type="dxa"/>
              <w:right w:w="100" w:type="dxa"/>
            </w:tcMar>
          </w:tcPr>
          <w:p w14:paraId="2CA6588C"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b/>
                <w:bCs/>
                <w:color w:val="000000"/>
              </w:rPr>
            </w:pPr>
            <w:r w:rsidRPr="00B94F3E">
              <w:rPr>
                <w:rFonts w:ascii="Times New Roman" w:hAnsi="Times New Roman" w:cs="Times New Roman"/>
                <w:b/>
                <w:bCs/>
                <w:color w:val="000000"/>
              </w:rPr>
              <w:t xml:space="preserve">Sub-total </w:t>
            </w:r>
          </w:p>
        </w:tc>
        <w:tc>
          <w:tcPr>
            <w:tcW w:w="1900" w:type="dxa"/>
            <w:tcMar>
              <w:top w:w="100" w:type="dxa"/>
              <w:left w:w="100" w:type="dxa"/>
              <w:bottom w:w="100" w:type="dxa"/>
              <w:right w:w="100" w:type="dxa"/>
            </w:tcMar>
          </w:tcPr>
          <w:p w14:paraId="049FBB8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1653 (70.8) </w:t>
            </w:r>
          </w:p>
        </w:tc>
        <w:tc>
          <w:tcPr>
            <w:tcW w:w="1899" w:type="dxa"/>
            <w:tcMar>
              <w:top w:w="100" w:type="dxa"/>
              <w:left w:w="100" w:type="dxa"/>
              <w:bottom w:w="100" w:type="dxa"/>
              <w:right w:w="100" w:type="dxa"/>
            </w:tcMar>
          </w:tcPr>
          <w:p w14:paraId="7EEA7E5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681 (29.2)</w:t>
            </w:r>
          </w:p>
        </w:tc>
      </w:tr>
      <w:tr w:rsidR="00435B01" w:rsidRPr="00B94F3E" w14:paraId="5934522C" w14:textId="77777777">
        <w:trPr>
          <w:cantSplit/>
          <w:trHeight w:val="366"/>
          <w:tblHeader/>
        </w:trPr>
        <w:tc>
          <w:tcPr>
            <w:tcW w:w="5226" w:type="dxa"/>
            <w:tcMar>
              <w:top w:w="100" w:type="dxa"/>
              <w:left w:w="100" w:type="dxa"/>
              <w:bottom w:w="100" w:type="dxa"/>
              <w:right w:w="100" w:type="dxa"/>
            </w:tcMar>
          </w:tcPr>
          <w:p w14:paraId="6D7D54A9"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b/>
                <w:bCs/>
                <w:color w:val="000000"/>
              </w:rPr>
            </w:pPr>
            <w:r w:rsidRPr="00B94F3E">
              <w:rPr>
                <w:rFonts w:ascii="Times New Roman" w:hAnsi="Times New Roman" w:cs="Times New Roman"/>
                <w:b/>
                <w:bCs/>
                <w:color w:val="000000"/>
              </w:rPr>
              <w:t>Health-service-related factors</w:t>
            </w:r>
          </w:p>
        </w:tc>
        <w:tc>
          <w:tcPr>
            <w:tcW w:w="1900" w:type="dxa"/>
            <w:tcMar>
              <w:top w:w="100" w:type="dxa"/>
              <w:left w:w="100" w:type="dxa"/>
              <w:bottom w:w="100" w:type="dxa"/>
              <w:right w:w="100" w:type="dxa"/>
            </w:tcMar>
          </w:tcPr>
          <w:p w14:paraId="7C25CA55"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p>
        </w:tc>
        <w:tc>
          <w:tcPr>
            <w:tcW w:w="1899" w:type="dxa"/>
            <w:tcMar>
              <w:top w:w="100" w:type="dxa"/>
              <w:left w:w="100" w:type="dxa"/>
              <w:bottom w:w="100" w:type="dxa"/>
              <w:right w:w="100" w:type="dxa"/>
            </w:tcMar>
          </w:tcPr>
          <w:p w14:paraId="50D0114B"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p>
        </w:tc>
      </w:tr>
      <w:tr w:rsidR="00435B01" w:rsidRPr="00B94F3E" w14:paraId="7742E807" w14:textId="77777777">
        <w:trPr>
          <w:cantSplit/>
          <w:trHeight w:val="298"/>
          <w:tblHeader/>
        </w:trPr>
        <w:tc>
          <w:tcPr>
            <w:tcW w:w="5226" w:type="dxa"/>
            <w:tcMar>
              <w:top w:w="100" w:type="dxa"/>
              <w:left w:w="100" w:type="dxa"/>
              <w:bottom w:w="100" w:type="dxa"/>
              <w:right w:w="100" w:type="dxa"/>
            </w:tcMar>
          </w:tcPr>
          <w:p w14:paraId="4741395A"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Dental health services are easily accessible in the community </w:t>
            </w:r>
          </w:p>
        </w:tc>
        <w:tc>
          <w:tcPr>
            <w:tcW w:w="1900" w:type="dxa"/>
            <w:tcMar>
              <w:top w:w="100" w:type="dxa"/>
              <w:left w:w="100" w:type="dxa"/>
              <w:bottom w:w="100" w:type="dxa"/>
              <w:right w:w="100" w:type="dxa"/>
            </w:tcMar>
          </w:tcPr>
          <w:p w14:paraId="2C42039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254 (65.3) </w:t>
            </w:r>
          </w:p>
        </w:tc>
        <w:tc>
          <w:tcPr>
            <w:tcW w:w="1899" w:type="dxa"/>
            <w:tcMar>
              <w:top w:w="100" w:type="dxa"/>
              <w:left w:w="100" w:type="dxa"/>
              <w:bottom w:w="100" w:type="dxa"/>
              <w:right w:w="100" w:type="dxa"/>
            </w:tcMar>
          </w:tcPr>
          <w:p w14:paraId="7B90A62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135 (34.7)</w:t>
            </w:r>
          </w:p>
        </w:tc>
      </w:tr>
      <w:tr w:rsidR="00435B01" w:rsidRPr="00B94F3E" w14:paraId="4CCDA258" w14:textId="77777777">
        <w:trPr>
          <w:cantSplit/>
          <w:trHeight w:val="503"/>
          <w:tblHeader/>
        </w:trPr>
        <w:tc>
          <w:tcPr>
            <w:tcW w:w="5226" w:type="dxa"/>
            <w:tcMar>
              <w:top w:w="100" w:type="dxa"/>
              <w:left w:w="100" w:type="dxa"/>
              <w:bottom w:w="100" w:type="dxa"/>
              <w:right w:w="100" w:type="dxa"/>
            </w:tcMar>
          </w:tcPr>
          <w:p w14:paraId="5CCC47DB" w14:textId="77777777" w:rsidR="00435B01" w:rsidRPr="00B94F3E" w:rsidRDefault="00B94F3E" w:rsidP="00B94F3E">
            <w:pPr>
              <w:pStyle w:val="Normal1"/>
              <w:widowControl w:val="0"/>
              <w:pBdr>
                <w:top w:val="nil"/>
                <w:left w:val="nil"/>
                <w:bottom w:val="nil"/>
                <w:right w:val="nil"/>
                <w:between w:val="nil"/>
              </w:pBdr>
              <w:spacing w:line="240" w:lineRule="auto"/>
              <w:ind w:left="95" w:right="271"/>
              <w:jc w:val="both"/>
              <w:rPr>
                <w:rFonts w:ascii="Times New Roman" w:hAnsi="Times New Roman" w:cs="Times New Roman"/>
                <w:color w:val="000000"/>
              </w:rPr>
            </w:pPr>
            <w:r w:rsidRPr="00B94F3E">
              <w:rPr>
                <w:rFonts w:ascii="Times New Roman" w:hAnsi="Times New Roman" w:cs="Times New Roman"/>
                <w:color w:val="000000"/>
              </w:rPr>
              <w:t xml:space="preserve">The nearest dental clinic is close enough to be reached easily </w:t>
            </w:r>
            <w:proofErr w:type="gramStart"/>
            <w:r w:rsidRPr="00B94F3E">
              <w:rPr>
                <w:rFonts w:ascii="Times New Roman" w:hAnsi="Times New Roman" w:cs="Times New Roman"/>
                <w:color w:val="000000"/>
              </w:rPr>
              <w:t>when  needed</w:t>
            </w:r>
            <w:proofErr w:type="gramEnd"/>
          </w:p>
        </w:tc>
        <w:tc>
          <w:tcPr>
            <w:tcW w:w="1900" w:type="dxa"/>
            <w:tcMar>
              <w:top w:w="100" w:type="dxa"/>
              <w:left w:w="100" w:type="dxa"/>
              <w:bottom w:w="100" w:type="dxa"/>
              <w:right w:w="100" w:type="dxa"/>
            </w:tcMar>
          </w:tcPr>
          <w:p w14:paraId="23ED8B6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271 (69.7) </w:t>
            </w:r>
          </w:p>
        </w:tc>
        <w:tc>
          <w:tcPr>
            <w:tcW w:w="1899" w:type="dxa"/>
            <w:tcMar>
              <w:top w:w="100" w:type="dxa"/>
              <w:left w:w="100" w:type="dxa"/>
              <w:bottom w:w="100" w:type="dxa"/>
              <w:right w:w="100" w:type="dxa"/>
            </w:tcMar>
          </w:tcPr>
          <w:p w14:paraId="6B08D48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118 (30.3)</w:t>
            </w:r>
          </w:p>
        </w:tc>
      </w:tr>
      <w:tr w:rsidR="00435B01" w:rsidRPr="00B94F3E" w14:paraId="0B32F3A9" w14:textId="77777777">
        <w:trPr>
          <w:cantSplit/>
          <w:trHeight w:val="296"/>
          <w:tblHeader/>
        </w:trPr>
        <w:tc>
          <w:tcPr>
            <w:tcW w:w="5226" w:type="dxa"/>
            <w:tcMar>
              <w:top w:w="100" w:type="dxa"/>
              <w:left w:w="100" w:type="dxa"/>
              <w:bottom w:w="100" w:type="dxa"/>
              <w:right w:w="100" w:type="dxa"/>
            </w:tcMar>
          </w:tcPr>
          <w:p w14:paraId="07D9F472"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r w:rsidRPr="00B94F3E">
              <w:rPr>
                <w:rFonts w:ascii="Times New Roman" w:hAnsi="Times New Roman" w:cs="Times New Roman"/>
                <w:color w:val="000000"/>
              </w:rPr>
              <w:t xml:space="preserve">The cost of dental treatment for children is affordable </w:t>
            </w:r>
          </w:p>
        </w:tc>
        <w:tc>
          <w:tcPr>
            <w:tcW w:w="1900" w:type="dxa"/>
            <w:tcMar>
              <w:top w:w="100" w:type="dxa"/>
              <w:left w:w="100" w:type="dxa"/>
              <w:bottom w:w="100" w:type="dxa"/>
              <w:right w:w="100" w:type="dxa"/>
            </w:tcMar>
          </w:tcPr>
          <w:p w14:paraId="4F83712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274 (70.4) </w:t>
            </w:r>
          </w:p>
        </w:tc>
        <w:tc>
          <w:tcPr>
            <w:tcW w:w="1899" w:type="dxa"/>
            <w:tcMar>
              <w:top w:w="100" w:type="dxa"/>
              <w:left w:w="100" w:type="dxa"/>
              <w:bottom w:w="100" w:type="dxa"/>
              <w:right w:w="100" w:type="dxa"/>
            </w:tcMar>
          </w:tcPr>
          <w:p w14:paraId="0099112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115 (29.6)</w:t>
            </w:r>
          </w:p>
        </w:tc>
      </w:tr>
      <w:tr w:rsidR="00435B01" w:rsidRPr="00B94F3E" w14:paraId="016BC19A" w14:textId="77777777">
        <w:trPr>
          <w:cantSplit/>
          <w:trHeight w:val="503"/>
          <w:tblHeader/>
        </w:trPr>
        <w:tc>
          <w:tcPr>
            <w:tcW w:w="5226" w:type="dxa"/>
            <w:tcMar>
              <w:top w:w="100" w:type="dxa"/>
              <w:left w:w="100" w:type="dxa"/>
              <w:bottom w:w="100" w:type="dxa"/>
              <w:right w:w="100" w:type="dxa"/>
            </w:tcMar>
          </w:tcPr>
          <w:p w14:paraId="3CBA579D" w14:textId="77777777" w:rsidR="00435B01" w:rsidRPr="00B94F3E" w:rsidRDefault="00B94F3E" w:rsidP="00B94F3E">
            <w:pPr>
              <w:pStyle w:val="Normal1"/>
              <w:widowControl w:val="0"/>
              <w:pBdr>
                <w:top w:val="nil"/>
                <w:left w:val="nil"/>
                <w:bottom w:val="nil"/>
                <w:right w:val="nil"/>
                <w:between w:val="nil"/>
              </w:pBdr>
              <w:spacing w:line="240" w:lineRule="auto"/>
              <w:ind w:left="97" w:right="166" w:hanging="1"/>
              <w:jc w:val="both"/>
              <w:rPr>
                <w:rFonts w:ascii="Times New Roman" w:hAnsi="Times New Roman" w:cs="Times New Roman"/>
                <w:color w:val="000000"/>
              </w:rPr>
            </w:pPr>
            <w:r w:rsidRPr="00B94F3E">
              <w:rPr>
                <w:rFonts w:ascii="Times New Roman" w:hAnsi="Times New Roman" w:cs="Times New Roman"/>
                <w:color w:val="000000"/>
              </w:rPr>
              <w:t xml:space="preserve">Health workers provide oral-health education to caregivers of </w:t>
            </w:r>
            <w:proofErr w:type="gramStart"/>
            <w:r w:rsidRPr="00B94F3E">
              <w:rPr>
                <w:rFonts w:ascii="Times New Roman" w:hAnsi="Times New Roman" w:cs="Times New Roman"/>
                <w:color w:val="000000"/>
              </w:rPr>
              <w:t>young  children</w:t>
            </w:r>
            <w:proofErr w:type="gramEnd"/>
          </w:p>
        </w:tc>
        <w:tc>
          <w:tcPr>
            <w:tcW w:w="1900" w:type="dxa"/>
            <w:tcMar>
              <w:top w:w="100" w:type="dxa"/>
              <w:left w:w="100" w:type="dxa"/>
              <w:bottom w:w="100" w:type="dxa"/>
              <w:right w:w="100" w:type="dxa"/>
            </w:tcMar>
          </w:tcPr>
          <w:p w14:paraId="53BFF05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249 (64.0) </w:t>
            </w:r>
          </w:p>
        </w:tc>
        <w:tc>
          <w:tcPr>
            <w:tcW w:w="1899" w:type="dxa"/>
            <w:tcMar>
              <w:top w:w="100" w:type="dxa"/>
              <w:left w:w="100" w:type="dxa"/>
              <w:bottom w:w="100" w:type="dxa"/>
              <w:right w:w="100" w:type="dxa"/>
            </w:tcMar>
          </w:tcPr>
          <w:p w14:paraId="057555D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140 (36.0)</w:t>
            </w:r>
          </w:p>
        </w:tc>
      </w:tr>
      <w:tr w:rsidR="00435B01" w:rsidRPr="00B94F3E" w14:paraId="422D8425" w14:textId="77777777">
        <w:trPr>
          <w:cantSplit/>
          <w:trHeight w:val="298"/>
          <w:tblHeader/>
        </w:trPr>
        <w:tc>
          <w:tcPr>
            <w:tcW w:w="5226" w:type="dxa"/>
            <w:tcMar>
              <w:top w:w="100" w:type="dxa"/>
              <w:left w:w="100" w:type="dxa"/>
              <w:bottom w:w="100" w:type="dxa"/>
              <w:right w:w="100" w:type="dxa"/>
            </w:tcMar>
          </w:tcPr>
          <w:p w14:paraId="1DEEDAE8"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Preventive dental services are available for children in my area </w:t>
            </w:r>
          </w:p>
        </w:tc>
        <w:tc>
          <w:tcPr>
            <w:tcW w:w="1900" w:type="dxa"/>
            <w:tcMar>
              <w:top w:w="100" w:type="dxa"/>
              <w:left w:w="100" w:type="dxa"/>
              <w:bottom w:w="100" w:type="dxa"/>
              <w:right w:w="100" w:type="dxa"/>
            </w:tcMar>
          </w:tcPr>
          <w:p w14:paraId="6F50C55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265 (68.1) </w:t>
            </w:r>
          </w:p>
        </w:tc>
        <w:tc>
          <w:tcPr>
            <w:tcW w:w="1899" w:type="dxa"/>
            <w:tcMar>
              <w:top w:w="100" w:type="dxa"/>
              <w:left w:w="100" w:type="dxa"/>
              <w:bottom w:w="100" w:type="dxa"/>
              <w:right w:w="100" w:type="dxa"/>
            </w:tcMar>
          </w:tcPr>
          <w:p w14:paraId="08AF251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124 (31.9)</w:t>
            </w:r>
          </w:p>
        </w:tc>
      </w:tr>
      <w:tr w:rsidR="00435B01" w:rsidRPr="00B94F3E" w14:paraId="38E0FEDB" w14:textId="77777777">
        <w:trPr>
          <w:cantSplit/>
          <w:trHeight w:val="295"/>
          <w:tblHeader/>
        </w:trPr>
        <w:tc>
          <w:tcPr>
            <w:tcW w:w="5226" w:type="dxa"/>
            <w:tcMar>
              <w:top w:w="100" w:type="dxa"/>
              <w:left w:w="100" w:type="dxa"/>
              <w:bottom w:w="100" w:type="dxa"/>
              <w:right w:w="100" w:type="dxa"/>
            </w:tcMar>
          </w:tcPr>
          <w:p w14:paraId="67335528" w14:textId="77777777" w:rsidR="00435B01" w:rsidRPr="00B94F3E" w:rsidRDefault="00B94F3E" w:rsidP="00B94F3E">
            <w:pPr>
              <w:pStyle w:val="Normal1"/>
              <w:widowControl w:val="0"/>
              <w:pBdr>
                <w:top w:val="nil"/>
                <w:left w:val="nil"/>
                <w:bottom w:val="nil"/>
                <w:right w:val="nil"/>
                <w:between w:val="nil"/>
              </w:pBdr>
              <w:spacing w:line="240" w:lineRule="auto"/>
              <w:ind w:left="97"/>
              <w:jc w:val="both"/>
              <w:rPr>
                <w:rFonts w:ascii="Times New Roman" w:hAnsi="Times New Roman" w:cs="Times New Roman"/>
                <w:color w:val="000000"/>
              </w:rPr>
            </w:pPr>
            <w:r w:rsidRPr="00B94F3E">
              <w:rPr>
                <w:rFonts w:ascii="Times New Roman" w:hAnsi="Times New Roman" w:cs="Times New Roman"/>
                <w:color w:val="000000"/>
              </w:rPr>
              <w:t xml:space="preserve">I take my child for routine dental check-ups even without a problem </w:t>
            </w:r>
          </w:p>
        </w:tc>
        <w:tc>
          <w:tcPr>
            <w:tcW w:w="1900" w:type="dxa"/>
            <w:tcMar>
              <w:top w:w="100" w:type="dxa"/>
              <w:left w:w="100" w:type="dxa"/>
              <w:bottom w:w="100" w:type="dxa"/>
              <w:right w:w="100" w:type="dxa"/>
            </w:tcMar>
          </w:tcPr>
          <w:p w14:paraId="3756D7F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266 (68.4) </w:t>
            </w:r>
          </w:p>
        </w:tc>
        <w:tc>
          <w:tcPr>
            <w:tcW w:w="1899" w:type="dxa"/>
            <w:tcMar>
              <w:top w:w="100" w:type="dxa"/>
              <w:left w:w="100" w:type="dxa"/>
              <w:bottom w:w="100" w:type="dxa"/>
              <w:right w:w="100" w:type="dxa"/>
            </w:tcMar>
          </w:tcPr>
          <w:p w14:paraId="19A70E6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123 (31.6)</w:t>
            </w:r>
          </w:p>
        </w:tc>
      </w:tr>
      <w:tr w:rsidR="00435B01" w:rsidRPr="00B94F3E" w14:paraId="3555918B" w14:textId="77777777">
        <w:trPr>
          <w:cantSplit/>
          <w:trHeight w:val="298"/>
          <w:tblHeader/>
        </w:trPr>
        <w:tc>
          <w:tcPr>
            <w:tcW w:w="5226" w:type="dxa"/>
            <w:tcMar>
              <w:top w:w="100" w:type="dxa"/>
              <w:left w:w="100" w:type="dxa"/>
              <w:bottom w:w="100" w:type="dxa"/>
              <w:right w:w="100" w:type="dxa"/>
            </w:tcMar>
          </w:tcPr>
          <w:p w14:paraId="2A9DE530"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My child has previously visited a dental clinic </w:t>
            </w:r>
          </w:p>
        </w:tc>
        <w:tc>
          <w:tcPr>
            <w:tcW w:w="1900" w:type="dxa"/>
            <w:tcMar>
              <w:top w:w="100" w:type="dxa"/>
              <w:left w:w="100" w:type="dxa"/>
              <w:bottom w:w="100" w:type="dxa"/>
              <w:right w:w="100" w:type="dxa"/>
            </w:tcMar>
          </w:tcPr>
          <w:p w14:paraId="066E1CC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241 (62.0) </w:t>
            </w:r>
          </w:p>
        </w:tc>
        <w:tc>
          <w:tcPr>
            <w:tcW w:w="1899" w:type="dxa"/>
            <w:tcMar>
              <w:top w:w="100" w:type="dxa"/>
              <w:left w:w="100" w:type="dxa"/>
              <w:bottom w:w="100" w:type="dxa"/>
              <w:right w:w="100" w:type="dxa"/>
            </w:tcMar>
          </w:tcPr>
          <w:p w14:paraId="4953F7C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148 (38.0)</w:t>
            </w:r>
          </w:p>
        </w:tc>
      </w:tr>
      <w:tr w:rsidR="00435B01" w:rsidRPr="00B94F3E" w14:paraId="54685A4E" w14:textId="77777777">
        <w:trPr>
          <w:cantSplit/>
          <w:trHeight w:val="296"/>
          <w:tblHeader/>
        </w:trPr>
        <w:tc>
          <w:tcPr>
            <w:tcW w:w="5226" w:type="dxa"/>
            <w:tcMar>
              <w:top w:w="100" w:type="dxa"/>
              <w:left w:w="100" w:type="dxa"/>
              <w:bottom w:w="100" w:type="dxa"/>
              <w:right w:w="100" w:type="dxa"/>
            </w:tcMar>
          </w:tcPr>
          <w:p w14:paraId="2EBD4BD4" w14:textId="77777777" w:rsidR="00435B01" w:rsidRPr="00B94F3E" w:rsidRDefault="00B94F3E" w:rsidP="00B94F3E">
            <w:pPr>
              <w:pStyle w:val="Normal1"/>
              <w:widowControl w:val="0"/>
              <w:pBdr>
                <w:top w:val="nil"/>
                <w:left w:val="nil"/>
                <w:bottom w:val="nil"/>
                <w:right w:val="nil"/>
                <w:between w:val="nil"/>
              </w:pBdr>
              <w:spacing w:line="240" w:lineRule="auto"/>
              <w:ind w:left="100"/>
              <w:jc w:val="both"/>
              <w:rPr>
                <w:rFonts w:ascii="Times New Roman" w:hAnsi="Times New Roman" w:cs="Times New Roman"/>
                <w:b/>
                <w:bCs/>
                <w:color w:val="000000"/>
              </w:rPr>
            </w:pPr>
            <w:r w:rsidRPr="00B94F3E">
              <w:rPr>
                <w:rFonts w:ascii="Times New Roman" w:hAnsi="Times New Roman" w:cs="Times New Roman"/>
                <w:b/>
                <w:bCs/>
                <w:color w:val="000000"/>
              </w:rPr>
              <w:t xml:space="preserve">Sub-total </w:t>
            </w:r>
          </w:p>
        </w:tc>
        <w:tc>
          <w:tcPr>
            <w:tcW w:w="1900" w:type="dxa"/>
            <w:tcMar>
              <w:top w:w="100" w:type="dxa"/>
              <w:left w:w="100" w:type="dxa"/>
              <w:bottom w:w="100" w:type="dxa"/>
              <w:right w:w="100" w:type="dxa"/>
            </w:tcMar>
          </w:tcPr>
          <w:p w14:paraId="2F12BEB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1820 (66.8) </w:t>
            </w:r>
          </w:p>
        </w:tc>
        <w:tc>
          <w:tcPr>
            <w:tcW w:w="1899" w:type="dxa"/>
            <w:tcMar>
              <w:top w:w="100" w:type="dxa"/>
              <w:left w:w="100" w:type="dxa"/>
              <w:bottom w:w="100" w:type="dxa"/>
              <w:right w:w="100" w:type="dxa"/>
            </w:tcMar>
          </w:tcPr>
          <w:p w14:paraId="7D2A220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903 (33.2)</w:t>
            </w:r>
          </w:p>
        </w:tc>
      </w:tr>
    </w:tbl>
    <w:p w14:paraId="425D549A"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118371DD" w14:textId="77777777" w:rsid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sectPr w:rsidR="00B94F3E" w:rsidSect="00B94F3E">
          <w:type w:val="continuous"/>
          <w:pgSz w:w="11900" w:h="16820"/>
          <w:pgMar w:top="990" w:right="1425" w:bottom="759" w:left="1436" w:header="0" w:footer="720" w:gutter="0"/>
          <w:pgNumType w:start="1"/>
          <w:cols w:space="720"/>
        </w:sectPr>
      </w:pPr>
    </w:p>
    <w:p w14:paraId="7AB3DD8F"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6147B294" w14:textId="77777777" w:rsidR="00435B01" w:rsidRPr="00B94F3E" w:rsidRDefault="00B94F3E" w:rsidP="00B94F3E">
      <w:pPr>
        <w:pStyle w:val="Normal1"/>
        <w:widowControl w:val="0"/>
        <w:pBdr>
          <w:top w:val="nil"/>
          <w:left w:val="nil"/>
          <w:bottom w:val="nil"/>
          <w:right w:val="nil"/>
          <w:between w:val="nil"/>
        </w:pBdr>
        <w:spacing w:line="240" w:lineRule="auto"/>
        <w:ind w:left="9" w:right="315"/>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Adverse conditions, for which ‘No’ is the </w:t>
      </w:r>
      <w:proofErr w:type="spellStart"/>
      <w:r w:rsidRPr="00B94F3E">
        <w:rPr>
          <w:rFonts w:ascii="Times New Roman" w:hAnsi="Times New Roman" w:cs="Times New Roman"/>
          <w:color w:val="000000"/>
          <w:sz w:val="24"/>
          <w:szCs w:val="24"/>
        </w:rPr>
        <w:t>favourable</w:t>
      </w:r>
      <w:proofErr w:type="spellEnd"/>
      <w:r w:rsidRPr="00B94F3E">
        <w:rPr>
          <w:rFonts w:ascii="Times New Roman" w:hAnsi="Times New Roman" w:cs="Times New Roman"/>
          <w:color w:val="000000"/>
          <w:sz w:val="24"/>
          <w:szCs w:val="24"/>
        </w:rPr>
        <w:t xml:space="preserve"> response. Sub-totals are the proportions of ‘Yes’ responses </w:t>
      </w:r>
      <w:proofErr w:type="gramStart"/>
      <w:r w:rsidRPr="00B94F3E">
        <w:rPr>
          <w:rFonts w:ascii="Times New Roman" w:hAnsi="Times New Roman" w:cs="Times New Roman"/>
          <w:color w:val="000000"/>
          <w:sz w:val="24"/>
          <w:szCs w:val="24"/>
        </w:rPr>
        <w:t>across  items</w:t>
      </w:r>
      <w:proofErr w:type="gramEnd"/>
      <w:r w:rsidRPr="00B94F3E">
        <w:rPr>
          <w:rFonts w:ascii="Times New Roman" w:hAnsi="Times New Roman" w:cs="Times New Roman"/>
          <w:color w:val="000000"/>
          <w:sz w:val="24"/>
          <w:szCs w:val="24"/>
        </w:rPr>
        <w:t xml:space="preserve"> and do not account for this direction of scoring. </w:t>
      </w:r>
    </w:p>
    <w:p w14:paraId="169ACCE2" w14:textId="77777777" w:rsidR="00435B01" w:rsidRPr="00B94F3E" w:rsidRDefault="00B94F3E" w:rsidP="00B94F3E">
      <w:pPr>
        <w:pStyle w:val="Normal1"/>
        <w:widowControl w:val="0"/>
        <w:pBdr>
          <w:top w:val="nil"/>
          <w:left w:val="nil"/>
          <w:bottom w:val="nil"/>
          <w:right w:val="nil"/>
          <w:between w:val="nil"/>
        </w:pBdr>
        <w:spacing w:before="200"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Factors associated with caregiver-reported and clinically assessed caries </w:t>
      </w:r>
    </w:p>
    <w:p w14:paraId="4BB2A9E8" w14:textId="77777777" w:rsidR="00435B01" w:rsidRPr="00B94F3E" w:rsidRDefault="00B94F3E" w:rsidP="00B94F3E">
      <w:pPr>
        <w:pStyle w:val="Normal1"/>
        <w:widowControl w:val="0"/>
        <w:pBdr>
          <w:top w:val="nil"/>
          <w:left w:val="nil"/>
          <w:bottom w:val="nil"/>
          <w:right w:val="nil"/>
          <w:between w:val="nil"/>
        </w:pBdr>
        <w:spacing w:before="179" w:line="240" w:lineRule="auto"/>
        <w:ind w:left="5" w:right="3" w:firstLine="4"/>
        <w:jc w:val="both"/>
        <w:rPr>
          <w:rFonts w:ascii="Times New Roman" w:hAnsi="Times New Roman" w:cs="Times New Roman"/>
          <w:color w:val="000000"/>
          <w:sz w:val="24"/>
          <w:szCs w:val="24"/>
        </w:rPr>
      </w:pPr>
      <w:r>
        <w:rPr>
          <w:rFonts w:ascii="Times New Roman" w:hAnsi="Times New Roman" w:cs="Times New Roman"/>
          <w:color w:val="000000"/>
          <w:sz w:val="24"/>
          <w:szCs w:val="24"/>
        </w:rPr>
        <w:t>Table 7</w:t>
      </w:r>
      <w:r w:rsidRPr="00B94F3E">
        <w:rPr>
          <w:rFonts w:ascii="Times New Roman" w:hAnsi="Times New Roman" w:cs="Times New Roman"/>
          <w:color w:val="000000"/>
          <w:sz w:val="24"/>
          <w:szCs w:val="24"/>
        </w:rPr>
        <w:t xml:space="preserve"> gives the binary logistic regression results. In the clinical model, no factor was significantly associated with caries: poor knowledge (AOR = 1.05; 95% CI: 0.30–3.74), fair knowledge (AOR = 1.17; 95% CI: 0.37–3.68),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behaviour</w:t>
      </w:r>
      <w:proofErr w:type="spellEnd"/>
      <w:r w:rsidRPr="00B94F3E">
        <w:rPr>
          <w:rFonts w:ascii="Times New Roman" w:hAnsi="Times New Roman" w:cs="Times New Roman"/>
          <w:color w:val="000000"/>
          <w:sz w:val="24"/>
          <w:szCs w:val="24"/>
        </w:rPr>
        <w:t xml:space="preserve"> (AOR = 0.68; 95% CI: 0.20–2.29),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environment (AOR = 0.79; </w:t>
      </w:r>
      <w:r w:rsidRPr="00B94F3E">
        <w:rPr>
          <w:rFonts w:ascii="Times New Roman" w:hAnsi="Times New Roman" w:cs="Times New Roman"/>
          <w:color w:val="000000"/>
          <w:sz w:val="24"/>
          <w:szCs w:val="24"/>
        </w:rPr>
        <w:t xml:space="preserve">95% CI: 0.26–2.38) and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health-service factors (AOR = 0.71; 95% CI: 0.27–1.86) all had wide confidence intervals including 1, reflecting the small number of clinically positive children. In the caregiver reported model, an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environment was strongly associated with positive caregiver reported caries (AOR = 2.81; 95% CI: 1.64–4.81; p &lt; 0.001). Poor knowledge (AOR = 1.85; 95% CI: 1.00–3.44; p = 0.051) and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health-service factors (AOR = 0.59; 95% CI: 0.34–1.00; p = 0.051) were borderline, and fair knowledge (AOR = 0.995) and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behaviour</w:t>
      </w:r>
      <w:proofErr w:type="spellEnd"/>
      <w:r w:rsidRPr="00B94F3E">
        <w:rPr>
          <w:rFonts w:ascii="Times New Roman" w:hAnsi="Times New Roman" w:cs="Times New Roman"/>
          <w:color w:val="000000"/>
          <w:sz w:val="24"/>
          <w:szCs w:val="24"/>
        </w:rPr>
        <w:t xml:space="preserve"> (AOR = 1.22; 95% CI: 0.64–2.33) were not associated. </w:t>
      </w:r>
    </w:p>
    <w:p w14:paraId="202CFEC7" w14:textId="77777777" w:rsidR="00B94F3E" w:rsidRDefault="00B94F3E" w:rsidP="00B94F3E">
      <w:pPr>
        <w:pStyle w:val="Normal1"/>
        <w:widowControl w:val="0"/>
        <w:pBdr>
          <w:top w:val="nil"/>
          <w:left w:val="nil"/>
          <w:bottom w:val="nil"/>
          <w:right w:val="nil"/>
          <w:between w:val="nil"/>
        </w:pBdr>
        <w:spacing w:before="157" w:line="240" w:lineRule="auto"/>
        <w:ind w:left="13" w:right="51" w:hanging="3"/>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num="2" w:space="720"/>
        </w:sectPr>
      </w:pPr>
    </w:p>
    <w:p w14:paraId="7936D56E" w14:textId="77777777" w:rsidR="00435B01" w:rsidRPr="00B94F3E" w:rsidRDefault="00B94F3E" w:rsidP="00B94F3E">
      <w:pPr>
        <w:pStyle w:val="Normal1"/>
        <w:widowControl w:val="0"/>
        <w:pBdr>
          <w:top w:val="nil"/>
          <w:left w:val="nil"/>
          <w:bottom w:val="nil"/>
          <w:right w:val="nil"/>
          <w:between w:val="nil"/>
        </w:pBdr>
        <w:spacing w:before="157" w:line="240" w:lineRule="auto"/>
        <w:ind w:left="13" w:right="51" w:hanging="3"/>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Table </w:t>
      </w:r>
      <w:r>
        <w:rPr>
          <w:rFonts w:ascii="Times New Roman" w:hAnsi="Times New Roman" w:cs="Times New Roman"/>
          <w:b/>
          <w:bCs/>
          <w:color w:val="000000"/>
          <w:sz w:val="24"/>
          <w:szCs w:val="24"/>
        </w:rPr>
        <w:t>7</w:t>
      </w:r>
      <w:r w:rsidRPr="00B94F3E">
        <w:rPr>
          <w:rFonts w:ascii="Times New Roman" w:hAnsi="Times New Roman" w:cs="Times New Roman"/>
          <w:b/>
          <w:bCs/>
          <w:color w:val="000000"/>
          <w:sz w:val="24"/>
          <w:szCs w:val="24"/>
        </w:rPr>
        <w:t xml:space="preserve">: Binary logistic regression of factors associated with caregiver-reported and </w:t>
      </w:r>
      <w:proofErr w:type="gramStart"/>
      <w:r w:rsidRPr="00B94F3E">
        <w:rPr>
          <w:rFonts w:ascii="Times New Roman" w:hAnsi="Times New Roman" w:cs="Times New Roman"/>
          <w:b/>
          <w:bCs/>
          <w:color w:val="000000"/>
          <w:sz w:val="24"/>
          <w:szCs w:val="24"/>
        </w:rPr>
        <w:t>clinically  assessed</w:t>
      </w:r>
      <w:proofErr w:type="gramEnd"/>
      <w:r w:rsidRPr="00B94F3E">
        <w:rPr>
          <w:rFonts w:ascii="Times New Roman" w:hAnsi="Times New Roman" w:cs="Times New Roman"/>
          <w:b/>
          <w:bCs/>
          <w:color w:val="000000"/>
          <w:sz w:val="24"/>
          <w:szCs w:val="24"/>
        </w:rPr>
        <w:t xml:space="preserve"> dental caries </w:t>
      </w:r>
    </w:p>
    <w:tbl>
      <w:tblPr>
        <w:tblStyle w:val="a8"/>
        <w:tblW w:w="839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2"/>
        <w:gridCol w:w="897"/>
        <w:gridCol w:w="750"/>
        <w:gridCol w:w="1501"/>
        <w:gridCol w:w="898"/>
        <w:gridCol w:w="750"/>
        <w:gridCol w:w="1501"/>
      </w:tblGrid>
      <w:tr w:rsidR="00435B01" w:rsidRPr="00B94F3E" w14:paraId="35EB41DC" w14:textId="77777777">
        <w:trPr>
          <w:cantSplit/>
          <w:trHeight w:val="503"/>
          <w:tblHeader/>
        </w:trPr>
        <w:tc>
          <w:tcPr>
            <w:tcW w:w="2100" w:type="dxa"/>
            <w:tcMar>
              <w:top w:w="100" w:type="dxa"/>
              <w:left w:w="100" w:type="dxa"/>
              <w:bottom w:w="100" w:type="dxa"/>
              <w:right w:w="100" w:type="dxa"/>
            </w:tcMar>
          </w:tcPr>
          <w:p w14:paraId="47A6E58E" w14:textId="77777777" w:rsidR="00435B01" w:rsidRPr="00B94F3E" w:rsidRDefault="00B94F3E" w:rsidP="00B94F3E">
            <w:pPr>
              <w:pStyle w:val="Normal1"/>
              <w:widowControl w:val="0"/>
              <w:pBdr>
                <w:top w:val="nil"/>
                <w:left w:val="nil"/>
                <w:bottom w:val="nil"/>
                <w:right w:val="nil"/>
                <w:between w:val="nil"/>
              </w:pBdr>
              <w:spacing w:line="240" w:lineRule="auto"/>
              <w:ind w:left="92"/>
              <w:jc w:val="both"/>
              <w:rPr>
                <w:rFonts w:ascii="Times New Roman" w:hAnsi="Times New Roman" w:cs="Times New Roman"/>
                <w:b/>
                <w:bCs/>
                <w:color w:val="000000"/>
              </w:rPr>
            </w:pPr>
            <w:r w:rsidRPr="00B94F3E">
              <w:rPr>
                <w:rFonts w:ascii="Times New Roman" w:hAnsi="Times New Roman" w:cs="Times New Roman"/>
                <w:b/>
                <w:bCs/>
                <w:color w:val="000000"/>
              </w:rPr>
              <w:lastRenderedPageBreak/>
              <w:t xml:space="preserve">Variable </w:t>
            </w:r>
          </w:p>
        </w:tc>
        <w:tc>
          <w:tcPr>
            <w:tcW w:w="897" w:type="dxa"/>
            <w:tcMar>
              <w:top w:w="100" w:type="dxa"/>
              <w:left w:w="100" w:type="dxa"/>
              <w:bottom w:w="100" w:type="dxa"/>
              <w:right w:w="100" w:type="dxa"/>
            </w:tcMar>
          </w:tcPr>
          <w:p w14:paraId="68C1578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Clinical: </w:t>
            </w:r>
          </w:p>
          <w:p w14:paraId="5C47687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B</w:t>
            </w:r>
          </w:p>
        </w:tc>
        <w:tc>
          <w:tcPr>
            <w:tcW w:w="750" w:type="dxa"/>
            <w:tcMar>
              <w:top w:w="100" w:type="dxa"/>
              <w:left w:w="100" w:type="dxa"/>
              <w:bottom w:w="100" w:type="dxa"/>
              <w:right w:w="100" w:type="dxa"/>
            </w:tcMar>
          </w:tcPr>
          <w:p w14:paraId="3A7FDE0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p </w:t>
            </w:r>
          </w:p>
        </w:tc>
        <w:tc>
          <w:tcPr>
            <w:tcW w:w="1501" w:type="dxa"/>
            <w:tcMar>
              <w:top w:w="100" w:type="dxa"/>
              <w:left w:w="100" w:type="dxa"/>
              <w:bottom w:w="100" w:type="dxa"/>
              <w:right w:w="100" w:type="dxa"/>
            </w:tcMar>
          </w:tcPr>
          <w:p w14:paraId="56754D8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AOR (95% CI) </w:t>
            </w:r>
          </w:p>
        </w:tc>
        <w:tc>
          <w:tcPr>
            <w:tcW w:w="898" w:type="dxa"/>
            <w:tcMar>
              <w:top w:w="100" w:type="dxa"/>
              <w:left w:w="100" w:type="dxa"/>
              <w:bottom w:w="100" w:type="dxa"/>
              <w:right w:w="100" w:type="dxa"/>
            </w:tcMar>
          </w:tcPr>
          <w:p w14:paraId="6D2BA9C6" w14:textId="77777777" w:rsidR="00435B01" w:rsidRPr="00B94F3E" w:rsidRDefault="00B94F3E" w:rsidP="00B94F3E">
            <w:pPr>
              <w:pStyle w:val="Normal1"/>
              <w:widowControl w:val="0"/>
              <w:pBdr>
                <w:top w:val="nil"/>
                <w:left w:val="nil"/>
                <w:bottom w:val="nil"/>
                <w:right w:val="nil"/>
                <w:between w:val="nil"/>
              </w:pBdr>
              <w:spacing w:line="240" w:lineRule="auto"/>
              <w:ind w:left="104" w:right="77"/>
              <w:jc w:val="both"/>
              <w:rPr>
                <w:rFonts w:ascii="Times New Roman" w:hAnsi="Times New Roman" w:cs="Times New Roman"/>
                <w:b/>
                <w:bCs/>
                <w:color w:val="000000"/>
              </w:rPr>
            </w:pPr>
            <w:proofErr w:type="gramStart"/>
            <w:r w:rsidRPr="00B94F3E">
              <w:rPr>
                <w:rFonts w:ascii="Times New Roman" w:hAnsi="Times New Roman" w:cs="Times New Roman"/>
                <w:b/>
                <w:bCs/>
                <w:color w:val="000000"/>
              </w:rPr>
              <w:t>Reported :</w:t>
            </w:r>
            <w:proofErr w:type="gramEnd"/>
            <w:r w:rsidRPr="00B94F3E">
              <w:rPr>
                <w:rFonts w:ascii="Times New Roman" w:hAnsi="Times New Roman" w:cs="Times New Roman"/>
                <w:b/>
                <w:bCs/>
                <w:color w:val="000000"/>
              </w:rPr>
              <w:t xml:space="preserve"> B</w:t>
            </w:r>
          </w:p>
        </w:tc>
        <w:tc>
          <w:tcPr>
            <w:tcW w:w="750" w:type="dxa"/>
            <w:tcMar>
              <w:top w:w="100" w:type="dxa"/>
              <w:left w:w="100" w:type="dxa"/>
              <w:bottom w:w="100" w:type="dxa"/>
              <w:right w:w="100" w:type="dxa"/>
            </w:tcMar>
          </w:tcPr>
          <w:p w14:paraId="3F1D158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p </w:t>
            </w:r>
          </w:p>
        </w:tc>
        <w:tc>
          <w:tcPr>
            <w:tcW w:w="1501" w:type="dxa"/>
            <w:tcMar>
              <w:top w:w="100" w:type="dxa"/>
              <w:left w:w="100" w:type="dxa"/>
              <w:bottom w:w="100" w:type="dxa"/>
              <w:right w:w="100" w:type="dxa"/>
            </w:tcMar>
          </w:tcPr>
          <w:p w14:paraId="59D0AF8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AOR (95% CI)</w:t>
            </w:r>
          </w:p>
        </w:tc>
      </w:tr>
      <w:tr w:rsidR="00435B01" w:rsidRPr="00B94F3E" w14:paraId="0EE3920C" w14:textId="77777777">
        <w:trPr>
          <w:cantSplit/>
          <w:trHeight w:val="504"/>
          <w:tblHeader/>
        </w:trPr>
        <w:tc>
          <w:tcPr>
            <w:tcW w:w="2100" w:type="dxa"/>
            <w:tcMar>
              <w:top w:w="100" w:type="dxa"/>
              <w:left w:w="100" w:type="dxa"/>
              <w:bottom w:w="100" w:type="dxa"/>
              <w:right w:w="100" w:type="dxa"/>
            </w:tcMar>
          </w:tcPr>
          <w:p w14:paraId="1D4A7103"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Knowledge: Poor </w:t>
            </w:r>
          </w:p>
        </w:tc>
        <w:tc>
          <w:tcPr>
            <w:tcW w:w="897" w:type="dxa"/>
            <w:tcMar>
              <w:top w:w="100" w:type="dxa"/>
              <w:left w:w="100" w:type="dxa"/>
              <w:bottom w:w="100" w:type="dxa"/>
              <w:right w:w="100" w:type="dxa"/>
            </w:tcMar>
          </w:tcPr>
          <w:p w14:paraId="4BDE3CA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0.049 </w:t>
            </w:r>
          </w:p>
        </w:tc>
        <w:tc>
          <w:tcPr>
            <w:tcW w:w="750" w:type="dxa"/>
            <w:tcMar>
              <w:top w:w="100" w:type="dxa"/>
              <w:left w:w="100" w:type="dxa"/>
              <w:bottom w:w="100" w:type="dxa"/>
              <w:right w:w="100" w:type="dxa"/>
            </w:tcMar>
          </w:tcPr>
          <w:p w14:paraId="27C8E3B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0.940 </w:t>
            </w:r>
          </w:p>
        </w:tc>
        <w:tc>
          <w:tcPr>
            <w:tcW w:w="1501" w:type="dxa"/>
            <w:tcMar>
              <w:top w:w="100" w:type="dxa"/>
              <w:left w:w="100" w:type="dxa"/>
              <w:bottom w:w="100" w:type="dxa"/>
              <w:right w:w="100" w:type="dxa"/>
            </w:tcMar>
          </w:tcPr>
          <w:p w14:paraId="60D4237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1.050 (0.295– </w:t>
            </w:r>
          </w:p>
          <w:p w14:paraId="45626DF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3.742)</w:t>
            </w:r>
          </w:p>
        </w:tc>
        <w:tc>
          <w:tcPr>
            <w:tcW w:w="898" w:type="dxa"/>
            <w:tcMar>
              <w:top w:w="100" w:type="dxa"/>
              <w:left w:w="100" w:type="dxa"/>
              <w:bottom w:w="100" w:type="dxa"/>
              <w:right w:w="100" w:type="dxa"/>
            </w:tcMar>
          </w:tcPr>
          <w:p w14:paraId="6C218AB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0.616 </w:t>
            </w:r>
          </w:p>
        </w:tc>
        <w:tc>
          <w:tcPr>
            <w:tcW w:w="750" w:type="dxa"/>
            <w:tcMar>
              <w:top w:w="100" w:type="dxa"/>
              <w:left w:w="100" w:type="dxa"/>
              <w:bottom w:w="100" w:type="dxa"/>
              <w:right w:w="100" w:type="dxa"/>
            </w:tcMar>
          </w:tcPr>
          <w:p w14:paraId="5DD3CDE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0.051 </w:t>
            </w:r>
          </w:p>
        </w:tc>
        <w:tc>
          <w:tcPr>
            <w:tcW w:w="1501" w:type="dxa"/>
            <w:tcMar>
              <w:top w:w="100" w:type="dxa"/>
              <w:left w:w="100" w:type="dxa"/>
              <w:bottom w:w="100" w:type="dxa"/>
              <w:right w:w="100" w:type="dxa"/>
            </w:tcMar>
          </w:tcPr>
          <w:p w14:paraId="218FB42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1.852 (0.997– </w:t>
            </w:r>
          </w:p>
          <w:p w14:paraId="20FFC2D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3.441)</w:t>
            </w:r>
          </w:p>
        </w:tc>
      </w:tr>
      <w:tr w:rsidR="00435B01" w:rsidRPr="00B94F3E" w14:paraId="3BB39694" w14:textId="77777777">
        <w:trPr>
          <w:cantSplit/>
          <w:trHeight w:val="503"/>
          <w:tblHeader/>
        </w:trPr>
        <w:tc>
          <w:tcPr>
            <w:tcW w:w="2100" w:type="dxa"/>
            <w:tcMar>
              <w:top w:w="100" w:type="dxa"/>
              <w:left w:w="100" w:type="dxa"/>
              <w:bottom w:w="100" w:type="dxa"/>
              <w:right w:w="100" w:type="dxa"/>
            </w:tcMar>
          </w:tcPr>
          <w:p w14:paraId="4B669034"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Knowledge: Fair </w:t>
            </w:r>
          </w:p>
        </w:tc>
        <w:tc>
          <w:tcPr>
            <w:tcW w:w="897" w:type="dxa"/>
            <w:tcMar>
              <w:top w:w="100" w:type="dxa"/>
              <w:left w:w="100" w:type="dxa"/>
              <w:bottom w:w="100" w:type="dxa"/>
              <w:right w:w="100" w:type="dxa"/>
            </w:tcMar>
          </w:tcPr>
          <w:p w14:paraId="38B6FD6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0.158 </w:t>
            </w:r>
          </w:p>
        </w:tc>
        <w:tc>
          <w:tcPr>
            <w:tcW w:w="750" w:type="dxa"/>
            <w:tcMar>
              <w:top w:w="100" w:type="dxa"/>
              <w:left w:w="100" w:type="dxa"/>
              <w:bottom w:w="100" w:type="dxa"/>
              <w:right w:w="100" w:type="dxa"/>
            </w:tcMar>
          </w:tcPr>
          <w:p w14:paraId="5F24EC9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0.787 </w:t>
            </w:r>
          </w:p>
        </w:tc>
        <w:tc>
          <w:tcPr>
            <w:tcW w:w="1501" w:type="dxa"/>
            <w:tcMar>
              <w:top w:w="100" w:type="dxa"/>
              <w:left w:w="100" w:type="dxa"/>
              <w:bottom w:w="100" w:type="dxa"/>
              <w:right w:w="100" w:type="dxa"/>
            </w:tcMar>
          </w:tcPr>
          <w:p w14:paraId="2695BE0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1.171 (0.372– </w:t>
            </w:r>
          </w:p>
          <w:p w14:paraId="59A772C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3.681)</w:t>
            </w:r>
          </w:p>
        </w:tc>
        <w:tc>
          <w:tcPr>
            <w:tcW w:w="898" w:type="dxa"/>
            <w:tcMar>
              <w:top w:w="100" w:type="dxa"/>
              <w:left w:w="100" w:type="dxa"/>
              <w:bottom w:w="100" w:type="dxa"/>
              <w:right w:w="100" w:type="dxa"/>
            </w:tcMar>
          </w:tcPr>
          <w:p w14:paraId="07EAEF2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−0.005 </w:t>
            </w:r>
          </w:p>
        </w:tc>
        <w:tc>
          <w:tcPr>
            <w:tcW w:w="750" w:type="dxa"/>
            <w:tcMar>
              <w:top w:w="100" w:type="dxa"/>
              <w:left w:w="100" w:type="dxa"/>
              <w:bottom w:w="100" w:type="dxa"/>
              <w:right w:w="100" w:type="dxa"/>
            </w:tcMar>
          </w:tcPr>
          <w:p w14:paraId="5AE62B4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0.984 </w:t>
            </w:r>
          </w:p>
        </w:tc>
        <w:tc>
          <w:tcPr>
            <w:tcW w:w="1501" w:type="dxa"/>
            <w:tcMar>
              <w:top w:w="100" w:type="dxa"/>
              <w:left w:w="100" w:type="dxa"/>
              <w:bottom w:w="100" w:type="dxa"/>
              <w:right w:w="100" w:type="dxa"/>
            </w:tcMar>
          </w:tcPr>
          <w:p w14:paraId="4B16F06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0.995 (0.578– </w:t>
            </w:r>
          </w:p>
          <w:p w14:paraId="4A1250D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1.711)</w:t>
            </w:r>
          </w:p>
        </w:tc>
      </w:tr>
      <w:tr w:rsidR="00435B01" w:rsidRPr="00B94F3E" w14:paraId="578AF090" w14:textId="77777777">
        <w:trPr>
          <w:cantSplit/>
          <w:trHeight w:val="298"/>
          <w:tblHeader/>
        </w:trPr>
        <w:tc>
          <w:tcPr>
            <w:tcW w:w="2100" w:type="dxa"/>
            <w:tcMar>
              <w:top w:w="100" w:type="dxa"/>
              <w:left w:w="100" w:type="dxa"/>
              <w:bottom w:w="100" w:type="dxa"/>
              <w:right w:w="100" w:type="dxa"/>
            </w:tcMar>
          </w:tcPr>
          <w:p w14:paraId="73A48321"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Knowledge: Good (ref.) </w:t>
            </w:r>
          </w:p>
        </w:tc>
        <w:tc>
          <w:tcPr>
            <w:tcW w:w="897" w:type="dxa"/>
            <w:tcMar>
              <w:top w:w="100" w:type="dxa"/>
              <w:left w:w="100" w:type="dxa"/>
              <w:bottom w:w="100" w:type="dxa"/>
              <w:right w:w="100" w:type="dxa"/>
            </w:tcMar>
          </w:tcPr>
          <w:p w14:paraId="0947814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 </w:t>
            </w:r>
          </w:p>
        </w:tc>
        <w:tc>
          <w:tcPr>
            <w:tcW w:w="750" w:type="dxa"/>
            <w:tcMar>
              <w:top w:w="100" w:type="dxa"/>
              <w:left w:w="100" w:type="dxa"/>
              <w:bottom w:w="100" w:type="dxa"/>
              <w:right w:w="100" w:type="dxa"/>
            </w:tcMar>
          </w:tcPr>
          <w:p w14:paraId="17363C4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 </w:t>
            </w:r>
          </w:p>
        </w:tc>
        <w:tc>
          <w:tcPr>
            <w:tcW w:w="1501" w:type="dxa"/>
            <w:tcMar>
              <w:top w:w="100" w:type="dxa"/>
              <w:left w:w="100" w:type="dxa"/>
              <w:bottom w:w="100" w:type="dxa"/>
              <w:right w:w="100" w:type="dxa"/>
            </w:tcMar>
          </w:tcPr>
          <w:p w14:paraId="16B278C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 </w:t>
            </w:r>
          </w:p>
        </w:tc>
        <w:tc>
          <w:tcPr>
            <w:tcW w:w="898" w:type="dxa"/>
            <w:tcMar>
              <w:top w:w="100" w:type="dxa"/>
              <w:left w:w="100" w:type="dxa"/>
              <w:bottom w:w="100" w:type="dxa"/>
              <w:right w:w="100" w:type="dxa"/>
            </w:tcMar>
          </w:tcPr>
          <w:p w14:paraId="57D165F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 </w:t>
            </w:r>
          </w:p>
        </w:tc>
        <w:tc>
          <w:tcPr>
            <w:tcW w:w="750" w:type="dxa"/>
            <w:tcMar>
              <w:top w:w="100" w:type="dxa"/>
              <w:left w:w="100" w:type="dxa"/>
              <w:bottom w:w="100" w:type="dxa"/>
              <w:right w:w="100" w:type="dxa"/>
            </w:tcMar>
          </w:tcPr>
          <w:p w14:paraId="174129C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 </w:t>
            </w:r>
          </w:p>
        </w:tc>
        <w:tc>
          <w:tcPr>
            <w:tcW w:w="1501" w:type="dxa"/>
            <w:tcMar>
              <w:top w:w="100" w:type="dxa"/>
              <w:left w:w="100" w:type="dxa"/>
              <w:bottom w:w="100" w:type="dxa"/>
              <w:right w:w="100" w:type="dxa"/>
            </w:tcMar>
          </w:tcPr>
          <w:p w14:paraId="39ED16A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w:t>
            </w:r>
          </w:p>
        </w:tc>
      </w:tr>
      <w:tr w:rsidR="00435B01" w:rsidRPr="00B94F3E" w14:paraId="03697ECC" w14:textId="77777777">
        <w:trPr>
          <w:cantSplit/>
          <w:trHeight w:val="503"/>
          <w:tblHeader/>
        </w:trPr>
        <w:tc>
          <w:tcPr>
            <w:tcW w:w="2100" w:type="dxa"/>
            <w:tcMar>
              <w:top w:w="100" w:type="dxa"/>
              <w:left w:w="100" w:type="dxa"/>
              <w:bottom w:w="100" w:type="dxa"/>
              <w:right w:w="100" w:type="dxa"/>
            </w:tcMar>
          </w:tcPr>
          <w:p w14:paraId="083BB3BC"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proofErr w:type="spellStart"/>
            <w:r w:rsidRPr="00B94F3E">
              <w:rPr>
                <w:rFonts w:ascii="Times New Roman" w:hAnsi="Times New Roman" w:cs="Times New Roman"/>
                <w:color w:val="000000"/>
              </w:rPr>
              <w:t>Behaviour</w:t>
            </w:r>
            <w:proofErr w:type="spellEnd"/>
            <w:r w:rsidRPr="00B94F3E">
              <w:rPr>
                <w:rFonts w:ascii="Times New Roman" w:hAnsi="Times New Roman" w:cs="Times New Roman"/>
                <w:color w:val="000000"/>
              </w:rPr>
              <w:t xml:space="preserve">: </w:t>
            </w:r>
            <w:proofErr w:type="spellStart"/>
            <w:r w:rsidRPr="00B94F3E">
              <w:rPr>
                <w:rFonts w:ascii="Times New Roman" w:hAnsi="Times New Roman" w:cs="Times New Roman"/>
                <w:color w:val="000000"/>
              </w:rPr>
              <w:t>Unfavourable</w:t>
            </w:r>
            <w:proofErr w:type="spellEnd"/>
            <w:r w:rsidRPr="00B94F3E">
              <w:rPr>
                <w:rFonts w:ascii="Times New Roman" w:hAnsi="Times New Roman" w:cs="Times New Roman"/>
                <w:color w:val="000000"/>
              </w:rPr>
              <w:t xml:space="preserve"> </w:t>
            </w:r>
          </w:p>
        </w:tc>
        <w:tc>
          <w:tcPr>
            <w:tcW w:w="897" w:type="dxa"/>
            <w:tcMar>
              <w:top w:w="100" w:type="dxa"/>
              <w:left w:w="100" w:type="dxa"/>
              <w:bottom w:w="100" w:type="dxa"/>
              <w:right w:w="100" w:type="dxa"/>
            </w:tcMar>
          </w:tcPr>
          <w:p w14:paraId="756AEA9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−0.388 </w:t>
            </w:r>
          </w:p>
        </w:tc>
        <w:tc>
          <w:tcPr>
            <w:tcW w:w="750" w:type="dxa"/>
            <w:tcMar>
              <w:top w:w="100" w:type="dxa"/>
              <w:left w:w="100" w:type="dxa"/>
              <w:bottom w:w="100" w:type="dxa"/>
              <w:right w:w="100" w:type="dxa"/>
            </w:tcMar>
          </w:tcPr>
          <w:p w14:paraId="21B6A50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0.532 </w:t>
            </w:r>
          </w:p>
        </w:tc>
        <w:tc>
          <w:tcPr>
            <w:tcW w:w="1501" w:type="dxa"/>
            <w:tcMar>
              <w:top w:w="100" w:type="dxa"/>
              <w:left w:w="100" w:type="dxa"/>
              <w:bottom w:w="100" w:type="dxa"/>
              <w:right w:w="100" w:type="dxa"/>
            </w:tcMar>
          </w:tcPr>
          <w:p w14:paraId="76E504D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0.678 (0.201– </w:t>
            </w:r>
          </w:p>
          <w:p w14:paraId="4AF747A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2.292)</w:t>
            </w:r>
          </w:p>
        </w:tc>
        <w:tc>
          <w:tcPr>
            <w:tcW w:w="898" w:type="dxa"/>
            <w:tcMar>
              <w:top w:w="100" w:type="dxa"/>
              <w:left w:w="100" w:type="dxa"/>
              <w:bottom w:w="100" w:type="dxa"/>
              <w:right w:w="100" w:type="dxa"/>
            </w:tcMar>
          </w:tcPr>
          <w:p w14:paraId="0B85B20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0.196 </w:t>
            </w:r>
          </w:p>
        </w:tc>
        <w:tc>
          <w:tcPr>
            <w:tcW w:w="750" w:type="dxa"/>
            <w:tcMar>
              <w:top w:w="100" w:type="dxa"/>
              <w:left w:w="100" w:type="dxa"/>
              <w:bottom w:w="100" w:type="dxa"/>
              <w:right w:w="100" w:type="dxa"/>
            </w:tcMar>
          </w:tcPr>
          <w:p w14:paraId="230CA6B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0.555 </w:t>
            </w:r>
          </w:p>
        </w:tc>
        <w:tc>
          <w:tcPr>
            <w:tcW w:w="1501" w:type="dxa"/>
            <w:tcMar>
              <w:top w:w="100" w:type="dxa"/>
              <w:left w:w="100" w:type="dxa"/>
              <w:bottom w:w="100" w:type="dxa"/>
              <w:right w:w="100" w:type="dxa"/>
            </w:tcMar>
          </w:tcPr>
          <w:p w14:paraId="376590D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1.217 (0.635– </w:t>
            </w:r>
          </w:p>
          <w:p w14:paraId="4E71EBA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2.331)</w:t>
            </w:r>
          </w:p>
        </w:tc>
      </w:tr>
      <w:tr w:rsidR="00435B01" w:rsidRPr="00B94F3E" w14:paraId="431133FE" w14:textId="77777777">
        <w:trPr>
          <w:cantSplit/>
          <w:trHeight w:val="504"/>
          <w:tblHeader/>
        </w:trPr>
        <w:tc>
          <w:tcPr>
            <w:tcW w:w="2100" w:type="dxa"/>
            <w:tcMar>
              <w:top w:w="100" w:type="dxa"/>
              <w:left w:w="100" w:type="dxa"/>
              <w:bottom w:w="100" w:type="dxa"/>
              <w:right w:w="100" w:type="dxa"/>
            </w:tcMar>
          </w:tcPr>
          <w:p w14:paraId="0131FC87" w14:textId="77777777" w:rsidR="00435B01" w:rsidRPr="00B94F3E" w:rsidRDefault="00B94F3E" w:rsidP="00B94F3E">
            <w:pPr>
              <w:pStyle w:val="Normal1"/>
              <w:widowControl w:val="0"/>
              <w:pBdr>
                <w:top w:val="nil"/>
                <w:left w:val="nil"/>
                <w:bottom w:val="nil"/>
                <w:right w:val="nil"/>
                <w:between w:val="nil"/>
              </w:pBdr>
              <w:spacing w:line="240" w:lineRule="auto"/>
              <w:ind w:left="98" w:right="311" w:hanging="2"/>
              <w:jc w:val="both"/>
              <w:rPr>
                <w:rFonts w:ascii="Times New Roman" w:hAnsi="Times New Roman" w:cs="Times New Roman"/>
                <w:color w:val="000000"/>
              </w:rPr>
            </w:pPr>
            <w:proofErr w:type="spellStart"/>
            <w:r w:rsidRPr="00B94F3E">
              <w:rPr>
                <w:rFonts w:ascii="Times New Roman" w:hAnsi="Times New Roman" w:cs="Times New Roman"/>
                <w:color w:val="000000"/>
              </w:rPr>
              <w:t>Behaviour</w:t>
            </w:r>
            <w:proofErr w:type="spellEnd"/>
            <w:r w:rsidRPr="00B94F3E">
              <w:rPr>
                <w:rFonts w:ascii="Times New Roman" w:hAnsi="Times New Roman" w:cs="Times New Roman"/>
                <w:color w:val="000000"/>
              </w:rPr>
              <w:t xml:space="preserve">: </w:t>
            </w:r>
            <w:proofErr w:type="spellStart"/>
            <w:proofErr w:type="gramStart"/>
            <w:r w:rsidRPr="00B94F3E">
              <w:rPr>
                <w:rFonts w:ascii="Times New Roman" w:hAnsi="Times New Roman" w:cs="Times New Roman"/>
                <w:color w:val="000000"/>
              </w:rPr>
              <w:t>Favourable</w:t>
            </w:r>
            <w:proofErr w:type="spellEnd"/>
            <w:r w:rsidRPr="00B94F3E">
              <w:rPr>
                <w:rFonts w:ascii="Times New Roman" w:hAnsi="Times New Roman" w:cs="Times New Roman"/>
                <w:color w:val="000000"/>
              </w:rPr>
              <w:t xml:space="preserve">  (</w:t>
            </w:r>
            <w:proofErr w:type="gramEnd"/>
            <w:r w:rsidRPr="00B94F3E">
              <w:rPr>
                <w:rFonts w:ascii="Times New Roman" w:hAnsi="Times New Roman" w:cs="Times New Roman"/>
                <w:color w:val="000000"/>
              </w:rPr>
              <w:t>ref.)</w:t>
            </w:r>
          </w:p>
        </w:tc>
        <w:tc>
          <w:tcPr>
            <w:tcW w:w="897" w:type="dxa"/>
            <w:tcMar>
              <w:top w:w="100" w:type="dxa"/>
              <w:left w:w="100" w:type="dxa"/>
              <w:bottom w:w="100" w:type="dxa"/>
              <w:right w:w="100" w:type="dxa"/>
            </w:tcMar>
          </w:tcPr>
          <w:p w14:paraId="75B1852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 </w:t>
            </w:r>
          </w:p>
        </w:tc>
        <w:tc>
          <w:tcPr>
            <w:tcW w:w="750" w:type="dxa"/>
            <w:tcMar>
              <w:top w:w="100" w:type="dxa"/>
              <w:left w:w="100" w:type="dxa"/>
              <w:bottom w:w="100" w:type="dxa"/>
              <w:right w:w="100" w:type="dxa"/>
            </w:tcMar>
          </w:tcPr>
          <w:p w14:paraId="364E3FA0"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 </w:t>
            </w:r>
          </w:p>
        </w:tc>
        <w:tc>
          <w:tcPr>
            <w:tcW w:w="1501" w:type="dxa"/>
            <w:tcMar>
              <w:top w:w="100" w:type="dxa"/>
              <w:left w:w="100" w:type="dxa"/>
              <w:bottom w:w="100" w:type="dxa"/>
              <w:right w:w="100" w:type="dxa"/>
            </w:tcMar>
          </w:tcPr>
          <w:p w14:paraId="72EBB84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 </w:t>
            </w:r>
          </w:p>
        </w:tc>
        <w:tc>
          <w:tcPr>
            <w:tcW w:w="898" w:type="dxa"/>
            <w:tcMar>
              <w:top w:w="100" w:type="dxa"/>
              <w:left w:w="100" w:type="dxa"/>
              <w:bottom w:w="100" w:type="dxa"/>
              <w:right w:w="100" w:type="dxa"/>
            </w:tcMar>
          </w:tcPr>
          <w:p w14:paraId="580AB11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 </w:t>
            </w:r>
          </w:p>
        </w:tc>
        <w:tc>
          <w:tcPr>
            <w:tcW w:w="750" w:type="dxa"/>
            <w:tcMar>
              <w:top w:w="100" w:type="dxa"/>
              <w:left w:w="100" w:type="dxa"/>
              <w:bottom w:w="100" w:type="dxa"/>
              <w:right w:w="100" w:type="dxa"/>
            </w:tcMar>
          </w:tcPr>
          <w:p w14:paraId="2D3801D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 </w:t>
            </w:r>
          </w:p>
        </w:tc>
        <w:tc>
          <w:tcPr>
            <w:tcW w:w="1501" w:type="dxa"/>
            <w:tcMar>
              <w:top w:w="100" w:type="dxa"/>
              <w:left w:w="100" w:type="dxa"/>
              <w:bottom w:w="100" w:type="dxa"/>
              <w:right w:w="100" w:type="dxa"/>
            </w:tcMar>
          </w:tcPr>
          <w:p w14:paraId="58AB6A13"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w:t>
            </w:r>
          </w:p>
        </w:tc>
      </w:tr>
      <w:tr w:rsidR="00435B01" w:rsidRPr="00B94F3E" w14:paraId="3A295990" w14:textId="77777777">
        <w:trPr>
          <w:cantSplit/>
          <w:trHeight w:val="503"/>
          <w:tblHeader/>
        </w:trPr>
        <w:tc>
          <w:tcPr>
            <w:tcW w:w="2100" w:type="dxa"/>
            <w:tcMar>
              <w:top w:w="100" w:type="dxa"/>
              <w:left w:w="100" w:type="dxa"/>
              <w:bottom w:w="100" w:type="dxa"/>
              <w:right w:w="100" w:type="dxa"/>
            </w:tcMar>
          </w:tcPr>
          <w:p w14:paraId="06046FFE"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Environment:  </w:t>
            </w:r>
          </w:p>
          <w:p w14:paraId="73491925"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proofErr w:type="spellStart"/>
            <w:r w:rsidRPr="00B94F3E">
              <w:rPr>
                <w:rFonts w:ascii="Times New Roman" w:hAnsi="Times New Roman" w:cs="Times New Roman"/>
                <w:color w:val="000000"/>
              </w:rPr>
              <w:t>Unfavourable</w:t>
            </w:r>
            <w:proofErr w:type="spellEnd"/>
          </w:p>
        </w:tc>
        <w:tc>
          <w:tcPr>
            <w:tcW w:w="897" w:type="dxa"/>
            <w:tcMar>
              <w:top w:w="100" w:type="dxa"/>
              <w:left w:w="100" w:type="dxa"/>
              <w:bottom w:w="100" w:type="dxa"/>
              <w:right w:w="100" w:type="dxa"/>
            </w:tcMar>
          </w:tcPr>
          <w:p w14:paraId="5656914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−0.232 </w:t>
            </w:r>
          </w:p>
        </w:tc>
        <w:tc>
          <w:tcPr>
            <w:tcW w:w="750" w:type="dxa"/>
            <w:tcMar>
              <w:top w:w="100" w:type="dxa"/>
              <w:left w:w="100" w:type="dxa"/>
              <w:bottom w:w="100" w:type="dxa"/>
              <w:right w:w="100" w:type="dxa"/>
            </w:tcMar>
          </w:tcPr>
          <w:p w14:paraId="52106646"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0.678 </w:t>
            </w:r>
          </w:p>
        </w:tc>
        <w:tc>
          <w:tcPr>
            <w:tcW w:w="1501" w:type="dxa"/>
            <w:tcMar>
              <w:top w:w="100" w:type="dxa"/>
              <w:left w:w="100" w:type="dxa"/>
              <w:bottom w:w="100" w:type="dxa"/>
              <w:right w:w="100" w:type="dxa"/>
            </w:tcMar>
          </w:tcPr>
          <w:p w14:paraId="5A30739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0.793 (0.264– </w:t>
            </w:r>
          </w:p>
          <w:p w14:paraId="0FCEE10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2.377)</w:t>
            </w:r>
          </w:p>
        </w:tc>
        <w:tc>
          <w:tcPr>
            <w:tcW w:w="898" w:type="dxa"/>
            <w:tcMar>
              <w:top w:w="100" w:type="dxa"/>
              <w:left w:w="100" w:type="dxa"/>
              <w:bottom w:w="100" w:type="dxa"/>
              <w:right w:w="100" w:type="dxa"/>
            </w:tcMar>
          </w:tcPr>
          <w:p w14:paraId="0E9C022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1.032 </w:t>
            </w:r>
          </w:p>
        </w:tc>
        <w:tc>
          <w:tcPr>
            <w:tcW w:w="750" w:type="dxa"/>
            <w:tcMar>
              <w:top w:w="100" w:type="dxa"/>
              <w:left w:w="100" w:type="dxa"/>
              <w:bottom w:w="100" w:type="dxa"/>
              <w:right w:w="100" w:type="dxa"/>
            </w:tcMar>
          </w:tcPr>
          <w:p w14:paraId="120BF4A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&lt;0.001 </w:t>
            </w:r>
          </w:p>
        </w:tc>
        <w:tc>
          <w:tcPr>
            <w:tcW w:w="1501" w:type="dxa"/>
            <w:tcMar>
              <w:top w:w="100" w:type="dxa"/>
              <w:left w:w="100" w:type="dxa"/>
              <w:bottom w:w="100" w:type="dxa"/>
              <w:right w:w="100" w:type="dxa"/>
            </w:tcMar>
          </w:tcPr>
          <w:p w14:paraId="6FB66E8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2.806 (1.636– </w:t>
            </w:r>
          </w:p>
          <w:p w14:paraId="44BA4D0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4.813)</w:t>
            </w:r>
          </w:p>
        </w:tc>
      </w:tr>
      <w:tr w:rsidR="00435B01" w:rsidRPr="00B94F3E" w14:paraId="65D1BE22" w14:textId="77777777">
        <w:trPr>
          <w:cantSplit/>
          <w:trHeight w:val="504"/>
          <w:tblHeader/>
        </w:trPr>
        <w:tc>
          <w:tcPr>
            <w:tcW w:w="2100" w:type="dxa"/>
            <w:tcMar>
              <w:top w:w="100" w:type="dxa"/>
              <w:left w:w="100" w:type="dxa"/>
              <w:bottom w:w="100" w:type="dxa"/>
              <w:right w:w="100" w:type="dxa"/>
            </w:tcMar>
          </w:tcPr>
          <w:p w14:paraId="5F5DAB3F" w14:textId="77777777" w:rsidR="00435B01" w:rsidRPr="00B94F3E" w:rsidRDefault="00B94F3E" w:rsidP="00B94F3E">
            <w:pPr>
              <w:pStyle w:val="Normal1"/>
              <w:widowControl w:val="0"/>
              <w:pBdr>
                <w:top w:val="nil"/>
                <w:left w:val="nil"/>
                <w:bottom w:val="nil"/>
                <w:right w:val="nil"/>
                <w:between w:val="nil"/>
              </w:pBdr>
              <w:spacing w:line="240" w:lineRule="auto"/>
              <w:ind w:left="98" w:right="121" w:hanging="2"/>
              <w:jc w:val="both"/>
              <w:rPr>
                <w:rFonts w:ascii="Times New Roman" w:hAnsi="Times New Roman" w:cs="Times New Roman"/>
                <w:color w:val="000000"/>
              </w:rPr>
            </w:pPr>
            <w:r w:rsidRPr="00B94F3E">
              <w:rPr>
                <w:rFonts w:ascii="Times New Roman" w:hAnsi="Times New Roman" w:cs="Times New Roman"/>
                <w:color w:val="000000"/>
              </w:rPr>
              <w:t xml:space="preserve">Environment: </w:t>
            </w:r>
            <w:proofErr w:type="spellStart"/>
            <w:proofErr w:type="gramStart"/>
            <w:r w:rsidRPr="00B94F3E">
              <w:rPr>
                <w:rFonts w:ascii="Times New Roman" w:hAnsi="Times New Roman" w:cs="Times New Roman"/>
                <w:color w:val="000000"/>
              </w:rPr>
              <w:t>Favourable</w:t>
            </w:r>
            <w:proofErr w:type="spellEnd"/>
            <w:r w:rsidRPr="00B94F3E">
              <w:rPr>
                <w:rFonts w:ascii="Times New Roman" w:hAnsi="Times New Roman" w:cs="Times New Roman"/>
                <w:color w:val="000000"/>
              </w:rPr>
              <w:t xml:space="preserve">  (</w:t>
            </w:r>
            <w:proofErr w:type="gramEnd"/>
            <w:r w:rsidRPr="00B94F3E">
              <w:rPr>
                <w:rFonts w:ascii="Times New Roman" w:hAnsi="Times New Roman" w:cs="Times New Roman"/>
                <w:color w:val="000000"/>
              </w:rPr>
              <w:t>ref.)</w:t>
            </w:r>
          </w:p>
        </w:tc>
        <w:tc>
          <w:tcPr>
            <w:tcW w:w="897" w:type="dxa"/>
            <w:tcMar>
              <w:top w:w="100" w:type="dxa"/>
              <w:left w:w="100" w:type="dxa"/>
              <w:bottom w:w="100" w:type="dxa"/>
              <w:right w:w="100" w:type="dxa"/>
            </w:tcMar>
          </w:tcPr>
          <w:p w14:paraId="277F8A1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 </w:t>
            </w:r>
          </w:p>
        </w:tc>
        <w:tc>
          <w:tcPr>
            <w:tcW w:w="750" w:type="dxa"/>
            <w:tcMar>
              <w:top w:w="100" w:type="dxa"/>
              <w:left w:w="100" w:type="dxa"/>
              <w:bottom w:w="100" w:type="dxa"/>
              <w:right w:w="100" w:type="dxa"/>
            </w:tcMar>
          </w:tcPr>
          <w:p w14:paraId="62E19E5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 </w:t>
            </w:r>
          </w:p>
        </w:tc>
        <w:tc>
          <w:tcPr>
            <w:tcW w:w="1501" w:type="dxa"/>
            <w:tcMar>
              <w:top w:w="100" w:type="dxa"/>
              <w:left w:w="100" w:type="dxa"/>
              <w:bottom w:w="100" w:type="dxa"/>
              <w:right w:w="100" w:type="dxa"/>
            </w:tcMar>
          </w:tcPr>
          <w:p w14:paraId="048592A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 </w:t>
            </w:r>
          </w:p>
        </w:tc>
        <w:tc>
          <w:tcPr>
            <w:tcW w:w="898" w:type="dxa"/>
            <w:tcMar>
              <w:top w:w="100" w:type="dxa"/>
              <w:left w:w="100" w:type="dxa"/>
              <w:bottom w:w="100" w:type="dxa"/>
              <w:right w:w="100" w:type="dxa"/>
            </w:tcMar>
          </w:tcPr>
          <w:p w14:paraId="1358F3D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 </w:t>
            </w:r>
          </w:p>
        </w:tc>
        <w:tc>
          <w:tcPr>
            <w:tcW w:w="750" w:type="dxa"/>
            <w:tcMar>
              <w:top w:w="100" w:type="dxa"/>
              <w:left w:w="100" w:type="dxa"/>
              <w:bottom w:w="100" w:type="dxa"/>
              <w:right w:w="100" w:type="dxa"/>
            </w:tcMar>
          </w:tcPr>
          <w:p w14:paraId="568EE4F4"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 </w:t>
            </w:r>
          </w:p>
        </w:tc>
        <w:tc>
          <w:tcPr>
            <w:tcW w:w="1501" w:type="dxa"/>
            <w:tcMar>
              <w:top w:w="100" w:type="dxa"/>
              <w:left w:w="100" w:type="dxa"/>
              <w:bottom w:w="100" w:type="dxa"/>
              <w:right w:w="100" w:type="dxa"/>
            </w:tcMar>
          </w:tcPr>
          <w:p w14:paraId="42F255C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w:t>
            </w:r>
          </w:p>
        </w:tc>
      </w:tr>
      <w:tr w:rsidR="00435B01" w:rsidRPr="00B94F3E" w14:paraId="1718DCC3" w14:textId="77777777">
        <w:trPr>
          <w:cantSplit/>
          <w:trHeight w:val="504"/>
          <w:tblHeader/>
        </w:trPr>
        <w:tc>
          <w:tcPr>
            <w:tcW w:w="2100" w:type="dxa"/>
            <w:tcMar>
              <w:top w:w="100" w:type="dxa"/>
              <w:left w:w="100" w:type="dxa"/>
              <w:bottom w:w="100" w:type="dxa"/>
              <w:right w:w="100" w:type="dxa"/>
            </w:tcMar>
          </w:tcPr>
          <w:p w14:paraId="3A780E72" w14:textId="77777777" w:rsidR="00435B01" w:rsidRPr="00B94F3E" w:rsidRDefault="00B94F3E" w:rsidP="00B94F3E">
            <w:pPr>
              <w:pStyle w:val="Normal1"/>
              <w:widowControl w:val="0"/>
              <w:pBdr>
                <w:top w:val="nil"/>
                <w:left w:val="nil"/>
                <w:bottom w:val="nil"/>
                <w:right w:val="nil"/>
                <w:between w:val="nil"/>
              </w:pBdr>
              <w:spacing w:line="240" w:lineRule="auto"/>
              <w:ind w:left="96"/>
              <w:jc w:val="both"/>
              <w:rPr>
                <w:rFonts w:ascii="Times New Roman" w:hAnsi="Times New Roman" w:cs="Times New Roman"/>
                <w:color w:val="000000"/>
              </w:rPr>
            </w:pPr>
            <w:r w:rsidRPr="00B94F3E">
              <w:rPr>
                <w:rFonts w:ascii="Times New Roman" w:hAnsi="Times New Roman" w:cs="Times New Roman"/>
                <w:color w:val="000000"/>
              </w:rPr>
              <w:t xml:space="preserve">Health service:  </w:t>
            </w:r>
          </w:p>
          <w:p w14:paraId="2ACEFB11" w14:textId="77777777" w:rsidR="00435B01" w:rsidRPr="00B94F3E" w:rsidRDefault="00B94F3E" w:rsidP="00B94F3E">
            <w:pPr>
              <w:pStyle w:val="Normal1"/>
              <w:widowControl w:val="0"/>
              <w:pBdr>
                <w:top w:val="nil"/>
                <w:left w:val="nil"/>
                <w:bottom w:val="nil"/>
                <w:right w:val="nil"/>
                <w:between w:val="nil"/>
              </w:pBdr>
              <w:spacing w:line="240" w:lineRule="auto"/>
              <w:ind w:left="94"/>
              <w:jc w:val="both"/>
              <w:rPr>
                <w:rFonts w:ascii="Times New Roman" w:hAnsi="Times New Roman" w:cs="Times New Roman"/>
                <w:color w:val="000000"/>
              </w:rPr>
            </w:pPr>
            <w:proofErr w:type="spellStart"/>
            <w:r w:rsidRPr="00B94F3E">
              <w:rPr>
                <w:rFonts w:ascii="Times New Roman" w:hAnsi="Times New Roman" w:cs="Times New Roman"/>
                <w:color w:val="000000"/>
              </w:rPr>
              <w:t>Unfavourable</w:t>
            </w:r>
            <w:proofErr w:type="spellEnd"/>
          </w:p>
        </w:tc>
        <w:tc>
          <w:tcPr>
            <w:tcW w:w="897" w:type="dxa"/>
            <w:tcMar>
              <w:top w:w="100" w:type="dxa"/>
              <w:left w:w="100" w:type="dxa"/>
              <w:bottom w:w="100" w:type="dxa"/>
              <w:right w:w="100" w:type="dxa"/>
            </w:tcMar>
          </w:tcPr>
          <w:p w14:paraId="618271DF"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−0.346 </w:t>
            </w:r>
          </w:p>
        </w:tc>
        <w:tc>
          <w:tcPr>
            <w:tcW w:w="750" w:type="dxa"/>
            <w:tcMar>
              <w:top w:w="100" w:type="dxa"/>
              <w:left w:w="100" w:type="dxa"/>
              <w:bottom w:w="100" w:type="dxa"/>
              <w:right w:w="100" w:type="dxa"/>
            </w:tcMar>
          </w:tcPr>
          <w:p w14:paraId="645768C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0.483 </w:t>
            </w:r>
          </w:p>
        </w:tc>
        <w:tc>
          <w:tcPr>
            <w:tcW w:w="1501" w:type="dxa"/>
            <w:tcMar>
              <w:top w:w="100" w:type="dxa"/>
              <w:left w:w="100" w:type="dxa"/>
              <w:bottom w:w="100" w:type="dxa"/>
              <w:right w:w="100" w:type="dxa"/>
            </w:tcMar>
          </w:tcPr>
          <w:p w14:paraId="085B824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0.708 (0.269– </w:t>
            </w:r>
          </w:p>
          <w:p w14:paraId="39A25595"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1.861)</w:t>
            </w:r>
          </w:p>
        </w:tc>
        <w:tc>
          <w:tcPr>
            <w:tcW w:w="898" w:type="dxa"/>
            <w:tcMar>
              <w:top w:w="100" w:type="dxa"/>
              <w:left w:w="100" w:type="dxa"/>
              <w:bottom w:w="100" w:type="dxa"/>
              <w:right w:w="100" w:type="dxa"/>
            </w:tcMar>
          </w:tcPr>
          <w:p w14:paraId="23BA02E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eastAsia="Arial Unicode MS" w:hAnsi="Times New Roman" w:cs="Times New Roman"/>
                <w:color w:val="000000"/>
              </w:rPr>
              <w:t xml:space="preserve">−0.535 </w:t>
            </w:r>
          </w:p>
        </w:tc>
        <w:tc>
          <w:tcPr>
            <w:tcW w:w="750" w:type="dxa"/>
            <w:tcMar>
              <w:top w:w="100" w:type="dxa"/>
              <w:left w:w="100" w:type="dxa"/>
              <w:bottom w:w="100" w:type="dxa"/>
              <w:right w:w="100" w:type="dxa"/>
            </w:tcMar>
          </w:tcPr>
          <w:p w14:paraId="320E4697"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0.051 </w:t>
            </w:r>
          </w:p>
        </w:tc>
        <w:tc>
          <w:tcPr>
            <w:tcW w:w="1501" w:type="dxa"/>
            <w:tcMar>
              <w:top w:w="100" w:type="dxa"/>
              <w:left w:w="100" w:type="dxa"/>
              <w:bottom w:w="100" w:type="dxa"/>
              <w:right w:w="100" w:type="dxa"/>
            </w:tcMar>
          </w:tcPr>
          <w:p w14:paraId="68B6CD3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0.585 (0.342– </w:t>
            </w:r>
          </w:p>
          <w:p w14:paraId="47EAD5C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1.001)</w:t>
            </w:r>
          </w:p>
        </w:tc>
      </w:tr>
      <w:tr w:rsidR="00435B01" w:rsidRPr="00B94F3E" w14:paraId="239D1898" w14:textId="77777777">
        <w:trPr>
          <w:cantSplit/>
          <w:trHeight w:val="503"/>
          <w:tblHeader/>
        </w:trPr>
        <w:tc>
          <w:tcPr>
            <w:tcW w:w="2100" w:type="dxa"/>
            <w:tcMar>
              <w:top w:w="100" w:type="dxa"/>
              <w:left w:w="100" w:type="dxa"/>
              <w:bottom w:w="100" w:type="dxa"/>
              <w:right w:w="100" w:type="dxa"/>
            </w:tcMar>
          </w:tcPr>
          <w:p w14:paraId="2FD9DCAA" w14:textId="77777777" w:rsidR="00435B01" w:rsidRPr="00B94F3E" w:rsidRDefault="00B94F3E" w:rsidP="00B94F3E">
            <w:pPr>
              <w:pStyle w:val="Normal1"/>
              <w:widowControl w:val="0"/>
              <w:pBdr>
                <w:top w:val="nil"/>
                <w:left w:val="nil"/>
                <w:bottom w:val="nil"/>
                <w:right w:val="nil"/>
                <w:between w:val="nil"/>
              </w:pBdr>
              <w:spacing w:line="240" w:lineRule="auto"/>
              <w:ind w:left="98" w:right="71" w:hanging="2"/>
              <w:jc w:val="both"/>
              <w:rPr>
                <w:rFonts w:ascii="Times New Roman" w:hAnsi="Times New Roman" w:cs="Times New Roman"/>
                <w:color w:val="000000"/>
              </w:rPr>
            </w:pPr>
            <w:r w:rsidRPr="00B94F3E">
              <w:rPr>
                <w:rFonts w:ascii="Times New Roman" w:hAnsi="Times New Roman" w:cs="Times New Roman"/>
                <w:color w:val="000000"/>
              </w:rPr>
              <w:t xml:space="preserve">Health service: </w:t>
            </w:r>
            <w:proofErr w:type="spellStart"/>
            <w:r w:rsidRPr="00B94F3E">
              <w:rPr>
                <w:rFonts w:ascii="Times New Roman" w:hAnsi="Times New Roman" w:cs="Times New Roman"/>
                <w:color w:val="000000"/>
              </w:rPr>
              <w:t>Favourable</w:t>
            </w:r>
            <w:proofErr w:type="spellEnd"/>
            <w:r w:rsidRPr="00B94F3E">
              <w:rPr>
                <w:rFonts w:ascii="Times New Roman" w:hAnsi="Times New Roman" w:cs="Times New Roman"/>
                <w:color w:val="000000"/>
              </w:rPr>
              <w:t xml:space="preserve"> (ref.)</w:t>
            </w:r>
          </w:p>
        </w:tc>
        <w:tc>
          <w:tcPr>
            <w:tcW w:w="897" w:type="dxa"/>
            <w:tcMar>
              <w:top w:w="100" w:type="dxa"/>
              <w:left w:w="100" w:type="dxa"/>
              <w:bottom w:w="100" w:type="dxa"/>
              <w:right w:w="100" w:type="dxa"/>
            </w:tcMar>
          </w:tcPr>
          <w:p w14:paraId="53F32599"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 </w:t>
            </w:r>
          </w:p>
        </w:tc>
        <w:tc>
          <w:tcPr>
            <w:tcW w:w="750" w:type="dxa"/>
            <w:tcMar>
              <w:top w:w="100" w:type="dxa"/>
              <w:left w:w="100" w:type="dxa"/>
              <w:bottom w:w="100" w:type="dxa"/>
              <w:right w:w="100" w:type="dxa"/>
            </w:tcMar>
          </w:tcPr>
          <w:p w14:paraId="31F62F2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 </w:t>
            </w:r>
          </w:p>
        </w:tc>
        <w:tc>
          <w:tcPr>
            <w:tcW w:w="1501" w:type="dxa"/>
            <w:tcMar>
              <w:top w:w="100" w:type="dxa"/>
              <w:left w:w="100" w:type="dxa"/>
              <w:bottom w:w="100" w:type="dxa"/>
              <w:right w:w="100" w:type="dxa"/>
            </w:tcMar>
          </w:tcPr>
          <w:p w14:paraId="4C7AE8F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 </w:t>
            </w:r>
          </w:p>
        </w:tc>
        <w:tc>
          <w:tcPr>
            <w:tcW w:w="898" w:type="dxa"/>
            <w:tcMar>
              <w:top w:w="100" w:type="dxa"/>
              <w:left w:w="100" w:type="dxa"/>
              <w:bottom w:w="100" w:type="dxa"/>
              <w:right w:w="100" w:type="dxa"/>
            </w:tcMar>
          </w:tcPr>
          <w:p w14:paraId="22474B3B"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0 </w:t>
            </w:r>
          </w:p>
        </w:tc>
        <w:tc>
          <w:tcPr>
            <w:tcW w:w="750" w:type="dxa"/>
            <w:tcMar>
              <w:top w:w="100" w:type="dxa"/>
              <w:left w:w="100" w:type="dxa"/>
              <w:bottom w:w="100" w:type="dxa"/>
              <w:right w:w="100" w:type="dxa"/>
            </w:tcMar>
          </w:tcPr>
          <w:p w14:paraId="241DDC9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 </w:t>
            </w:r>
          </w:p>
        </w:tc>
        <w:tc>
          <w:tcPr>
            <w:tcW w:w="1501" w:type="dxa"/>
            <w:tcMar>
              <w:top w:w="100" w:type="dxa"/>
              <w:left w:w="100" w:type="dxa"/>
              <w:bottom w:w="100" w:type="dxa"/>
              <w:right w:w="100" w:type="dxa"/>
            </w:tcMar>
          </w:tcPr>
          <w:p w14:paraId="28A3811E"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w:t>
            </w:r>
          </w:p>
        </w:tc>
      </w:tr>
    </w:tbl>
    <w:p w14:paraId="5CC537A3"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14F45FCE"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7E0C1169" w14:textId="77777777" w:rsidR="00B94F3E" w:rsidRDefault="00B94F3E" w:rsidP="00B94F3E">
      <w:pPr>
        <w:pStyle w:val="Normal1"/>
        <w:widowControl w:val="0"/>
        <w:pBdr>
          <w:top w:val="nil"/>
          <w:left w:val="nil"/>
          <w:bottom w:val="nil"/>
          <w:right w:val="nil"/>
          <w:between w:val="nil"/>
        </w:pBdr>
        <w:spacing w:line="240" w:lineRule="auto"/>
        <w:ind w:left="8" w:right="545" w:hanging="1"/>
        <w:jc w:val="both"/>
        <w:rPr>
          <w:rFonts w:ascii="Times New Roman" w:hAnsi="Times New Roman" w:cs="Times New Roman"/>
          <w:color w:val="000000"/>
          <w:sz w:val="24"/>
          <w:szCs w:val="24"/>
        </w:rPr>
        <w:sectPr w:rsidR="00B94F3E" w:rsidSect="00B94F3E">
          <w:type w:val="continuous"/>
          <w:pgSz w:w="11900" w:h="16820"/>
          <w:pgMar w:top="990" w:right="1425" w:bottom="759" w:left="1436" w:header="0" w:footer="720" w:gutter="0"/>
          <w:pgNumType w:start="1"/>
          <w:cols w:space="720"/>
        </w:sectPr>
      </w:pPr>
    </w:p>
    <w:p w14:paraId="3004F676" w14:textId="77777777" w:rsidR="00435B01" w:rsidRPr="00B94F3E" w:rsidRDefault="00B94F3E" w:rsidP="00B94F3E">
      <w:pPr>
        <w:pStyle w:val="Normal1"/>
        <w:widowControl w:val="0"/>
        <w:pBdr>
          <w:top w:val="nil"/>
          <w:left w:val="nil"/>
          <w:bottom w:val="nil"/>
          <w:right w:val="nil"/>
          <w:between w:val="nil"/>
        </w:pBdr>
        <w:spacing w:line="240" w:lineRule="auto"/>
        <w:ind w:left="8" w:right="545" w:hanging="1"/>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AOR = adjusted odds ratio; CI = confidence interval; ref. = reference category. Outcome reference: caries absent. </w:t>
      </w:r>
      <w:proofErr w:type="gramStart"/>
      <w:r w:rsidRPr="00B94F3E">
        <w:rPr>
          <w:rFonts w:ascii="Times New Roman" w:hAnsi="Times New Roman" w:cs="Times New Roman"/>
          <w:color w:val="000000"/>
          <w:sz w:val="24"/>
          <w:szCs w:val="24"/>
        </w:rPr>
        <w:t>All  predictors</w:t>
      </w:r>
      <w:proofErr w:type="gramEnd"/>
      <w:r w:rsidRPr="00B94F3E">
        <w:rPr>
          <w:rFonts w:ascii="Times New Roman" w:hAnsi="Times New Roman" w:cs="Times New Roman"/>
          <w:color w:val="000000"/>
          <w:sz w:val="24"/>
          <w:szCs w:val="24"/>
        </w:rPr>
        <w:t xml:space="preserve"> were entered simultaneously. </w:t>
      </w:r>
    </w:p>
    <w:p w14:paraId="496FD685" w14:textId="77777777" w:rsidR="00435B01" w:rsidRPr="00B94F3E" w:rsidRDefault="00B94F3E" w:rsidP="00B94F3E">
      <w:pPr>
        <w:pStyle w:val="Normal1"/>
        <w:widowControl w:val="0"/>
        <w:pBdr>
          <w:top w:val="nil"/>
          <w:left w:val="nil"/>
          <w:bottom w:val="nil"/>
          <w:right w:val="nil"/>
          <w:between w:val="nil"/>
        </w:pBdr>
        <w:spacing w:before="200" w:line="240" w:lineRule="auto"/>
        <w:ind w:left="8"/>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Association between caregiver-reported and clinically assessed caries </w:t>
      </w:r>
    </w:p>
    <w:p w14:paraId="62859B5C" w14:textId="77777777" w:rsidR="00435B01" w:rsidRPr="00B94F3E" w:rsidRDefault="00B94F3E" w:rsidP="00B94F3E">
      <w:pPr>
        <w:pStyle w:val="Normal1"/>
        <w:widowControl w:val="0"/>
        <w:pBdr>
          <w:top w:val="nil"/>
          <w:left w:val="nil"/>
          <w:bottom w:val="nil"/>
          <w:right w:val="nil"/>
          <w:between w:val="nil"/>
        </w:pBdr>
        <w:spacing w:before="179" w:line="240" w:lineRule="auto"/>
        <w:ind w:left="6" w:right="2" w:firstLine="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Table </w:t>
      </w:r>
      <w:r>
        <w:rPr>
          <w:rFonts w:ascii="Times New Roman" w:hAnsi="Times New Roman" w:cs="Times New Roman"/>
          <w:color w:val="000000"/>
          <w:sz w:val="24"/>
          <w:szCs w:val="24"/>
        </w:rPr>
        <w:t>8</w:t>
      </w:r>
      <w:r w:rsidRPr="00B94F3E">
        <w:rPr>
          <w:rFonts w:ascii="Times New Roman" w:hAnsi="Times New Roman" w:cs="Times New Roman"/>
          <w:color w:val="000000"/>
          <w:sz w:val="24"/>
          <w:szCs w:val="24"/>
        </w:rPr>
        <w:t xml:space="preserve"> cross-tabulates the two measures. Among the 369 clinically caries-free children, 256 (65.8% of all children) were classified as positive by caregiver report </w:t>
      </w:r>
      <w:r w:rsidRPr="00B94F3E">
        <w:rPr>
          <w:rFonts w:ascii="Times New Roman" w:hAnsi="Times New Roman" w:cs="Times New Roman"/>
          <w:color w:val="000000"/>
          <w:sz w:val="24"/>
          <w:szCs w:val="24"/>
        </w:rPr>
        <w:t xml:space="preserve">and only 113 (29.0%) were classified as negative. Among the 20 children with clinical caries, 13 (3.3%) were reported as positive and 7 (1.8%) as negative. There was no significant association (χ² = 0.170, p = 0.680; Fisher’s exact p = 0.804), the odds of positive caregiver report were not higher in </w:t>
      </w:r>
      <w:r w:rsidRPr="00B94F3E">
        <w:rPr>
          <w:rFonts w:ascii="Times New Roman" w:eastAsia="Arial Unicode MS" w:hAnsi="Times New Roman" w:cs="Times New Roman"/>
          <w:color w:val="000000"/>
          <w:sz w:val="24"/>
          <w:szCs w:val="24"/>
        </w:rPr>
        <w:t xml:space="preserve">clinically affected children (OR = 0.82; 95% CI: 0.32–2.11), and agreement was no better than chance (κ = −0.006). </w:t>
      </w:r>
    </w:p>
    <w:p w14:paraId="3AA5F99B" w14:textId="77777777" w:rsidR="00B94F3E" w:rsidRDefault="00B94F3E" w:rsidP="00B94F3E">
      <w:pPr>
        <w:pStyle w:val="Normal1"/>
        <w:widowControl w:val="0"/>
        <w:pBdr>
          <w:top w:val="nil"/>
          <w:left w:val="nil"/>
          <w:bottom w:val="nil"/>
          <w:right w:val="nil"/>
          <w:between w:val="nil"/>
        </w:pBdr>
        <w:spacing w:before="157" w:line="240" w:lineRule="auto"/>
        <w:ind w:left="14" w:right="414" w:hanging="4"/>
        <w:jc w:val="both"/>
        <w:rPr>
          <w:rFonts w:ascii="Times New Roman" w:hAnsi="Times New Roman" w:cs="Times New Roman"/>
          <w:b/>
          <w:bCs/>
          <w:color w:val="000000"/>
          <w:sz w:val="24"/>
          <w:szCs w:val="24"/>
        </w:rPr>
        <w:sectPr w:rsidR="00B94F3E" w:rsidSect="00B94F3E">
          <w:type w:val="continuous"/>
          <w:pgSz w:w="11900" w:h="16820"/>
          <w:pgMar w:top="990" w:right="1425" w:bottom="759" w:left="1436" w:header="0" w:footer="720" w:gutter="0"/>
          <w:pgNumType w:start="1"/>
          <w:cols w:num="2" w:space="720"/>
        </w:sectPr>
      </w:pPr>
    </w:p>
    <w:p w14:paraId="0C657957" w14:textId="77777777" w:rsidR="00435B01" w:rsidRPr="00B94F3E" w:rsidRDefault="00B94F3E" w:rsidP="00B94F3E">
      <w:pPr>
        <w:pStyle w:val="Normal1"/>
        <w:widowControl w:val="0"/>
        <w:pBdr>
          <w:top w:val="nil"/>
          <w:left w:val="nil"/>
          <w:bottom w:val="nil"/>
          <w:right w:val="nil"/>
          <w:between w:val="nil"/>
        </w:pBdr>
        <w:spacing w:before="157" w:line="240" w:lineRule="auto"/>
        <w:ind w:left="14" w:right="414" w:hanging="4"/>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Table </w:t>
      </w:r>
      <w:r>
        <w:rPr>
          <w:rFonts w:ascii="Times New Roman" w:hAnsi="Times New Roman" w:cs="Times New Roman"/>
          <w:b/>
          <w:bCs/>
          <w:color w:val="000000"/>
          <w:sz w:val="24"/>
          <w:szCs w:val="24"/>
        </w:rPr>
        <w:t>8</w:t>
      </w:r>
      <w:r w:rsidRPr="00B94F3E">
        <w:rPr>
          <w:rFonts w:ascii="Times New Roman" w:hAnsi="Times New Roman" w:cs="Times New Roman"/>
          <w:b/>
          <w:bCs/>
          <w:color w:val="000000"/>
          <w:sz w:val="24"/>
          <w:szCs w:val="24"/>
        </w:rPr>
        <w:t xml:space="preserve">: Association between caregiver-reported and clinically assessed dental caries (N </w:t>
      </w:r>
      <w:proofErr w:type="gramStart"/>
      <w:r w:rsidRPr="00B94F3E">
        <w:rPr>
          <w:rFonts w:ascii="Times New Roman" w:hAnsi="Times New Roman" w:cs="Times New Roman"/>
          <w:b/>
          <w:bCs/>
          <w:color w:val="000000"/>
          <w:sz w:val="24"/>
          <w:szCs w:val="24"/>
        </w:rPr>
        <w:t>=  389</w:t>
      </w:r>
      <w:proofErr w:type="gramEnd"/>
      <w:r w:rsidRPr="00B94F3E">
        <w:rPr>
          <w:rFonts w:ascii="Times New Roman" w:hAnsi="Times New Roman" w:cs="Times New Roman"/>
          <w:b/>
          <w:bCs/>
          <w:color w:val="000000"/>
          <w:sz w:val="24"/>
          <w:szCs w:val="24"/>
        </w:rPr>
        <w:t xml:space="preserve">) </w:t>
      </w:r>
    </w:p>
    <w:tbl>
      <w:tblPr>
        <w:tblStyle w:val="a9"/>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98"/>
        <w:gridCol w:w="2400"/>
        <w:gridCol w:w="2400"/>
        <w:gridCol w:w="2027"/>
      </w:tblGrid>
      <w:tr w:rsidR="00435B01" w:rsidRPr="00B94F3E" w14:paraId="199EAFEE" w14:textId="77777777">
        <w:trPr>
          <w:cantSplit/>
          <w:trHeight w:val="504"/>
          <w:tblHeader/>
        </w:trPr>
        <w:tc>
          <w:tcPr>
            <w:tcW w:w="2197" w:type="dxa"/>
            <w:tcMar>
              <w:top w:w="100" w:type="dxa"/>
              <w:left w:w="100" w:type="dxa"/>
              <w:bottom w:w="100" w:type="dxa"/>
              <w:right w:w="100" w:type="dxa"/>
            </w:tcMar>
          </w:tcPr>
          <w:p w14:paraId="2BECC3C4" w14:textId="77777777" w:rsidR="00435B01" w:rsidRPr="00B94F3E" w:rsidRDefault="00B94F3E" w:rsidP="00B94F3E">
            <w:pPr>
              <w:pStyle w:val="Normal1"/>
              <w:widowControl w:val="0"/>
              <w:pBdr>
                <w:top w:val="nil"/>
                <w:left w:val="nil"/>
                <w:bottom w:val="nil"/>
                <w:right w:val="nil"/>
                <w:between w:val="nil"/>
              </w:pBdr>
              <w:spacing w:line="240" w:lineRule="auto"/>
              <w:ind w:left="99"/>
              <w:jc w:val="both"/>
              <w:rPr>
                <w:rFonts w:ascii="Times New Roman" w:hAnsi="Times New Roman" w:cs="Times New Roman"/>
                <w:b/>
                <w:bCs/>
                <w:color w:val="000000"/>
              </w:rPr>
            </w:pPr>
            <w:r w:rsidRPr="00B94F3E">
              <w:rPr>
                <w:rFonts w:ascii="Times New Roman" w:hAnsi="Times New Roman" w:cs="Times New Roman"/>
                <w:b/>
                <w:bCs/>
                <w:color w:val="000000"/>
              </w:rPr>
              <w:t xml:space="preserve">Caregiver report </w:t>
            </w:r>
          </w:p>
        </w:tc>
        <w:tc>
          <w:tcPr>
            <w:tcW w:w="2400" w:type="dxa"/>
            <w:tcMar>
              <w:top w:w="100" w:type="dxa"/>
              <w:left w:w="100" w:type="dxa"/>
              <w:bottom w:w="100" w:type="dxa"/>
              <w:right w:w="100" w:type="dxa"/>
            </w:tcMar>
          </w:tcPr>
          <w:p w14:paraId="351F02C8" w14:textId="77777777" w:rsidR="00435B01" w:rsidRPr="00B94F3E" w:rsidRDefault="00B94F3E" w:rsidP="00B94F3E">
            <w:pPr>
              <w:pStyle w:val="Normal1"/>
              <w:widowControl w:val="0"/>
              <w:pBdr>
                <w:top w:val="nil"/>
                <w:left w:val="nil"/>
                <w:bottom w:val="nil"/>
                <w:right w:val="nil"/>
                <w:between w:val="nil"/>
              </w:pBdr>
              <w:spacing w:line="240" w:lineRule="auto"/>
              <w:ind w:left="163" w:right="132"/>
              <w:jc w:val="both"/>
              <w:rPr>
                <w:rFonts w:ascii="Times New Roman" w:hAnsi="Times New Roman" w:cs="Times New Roman"/>
                <w:b/>
                <w:bCs/>
                <w:color w:val="000000"/>
              </w:rPr>
            </w:pPr>
            <w:r w:rsidRPr="00B94F3E">
              <w:rPr>
                <w:rFonts w:ascii="Times New Roman" w:hAnsi="Times New Roman" w:cs="Times New Roman"/>
                <w:b/>
                <w:bCs/>
                <w:color w:val="000000"/>
              </w:rPr>
              <w:t>Clinical caries absent (</w:t>
            </w:r>
            <w:proofErr w:type="spellStart"/>
            <w:r w:rsidRPr="00B94F3E">
              <w:rPr>
                <w:rFonts w:ascii="Times New Roman" w:hAnsi="Times New Roman" w:cs="Times New Roman"/>
                <w:b/>
                <w:bCs/>
                <w:color w:val="000000"/>
              </w:rPr>
              <w:t>dmft</w:t>
            </w:r>
            <w:proofErr w:type="spellEnd"/>
            <w:r w:rsidRPr="00B94F3E">
              <w:rPr>
                <w:rFonts w:ascii="Times New Roman" w:hAnsi="Times New Roman" w:cs="Times New Roman"/>
                <w:b/>
                <w:bCs/>
                <w:color w:val="000000"/>
              </w:rPr>
              <w:t xml:space="preserve"> = 0), n (%)</w:t>
            </w:r>
          </w:p>
        </w:tc>
        <w:tc>
          <w:tcPr>
            <w:tcW w:w="2400" w:type="dxa"/>
            <w:tcMar>
              <w:top w:w="100" w:type="dxa"/>
              <w:left w:w="100" w:type="dxa"/>
              <w:bottom w:w="100" w:type="dxa"/>
              <w:right w:w="100" w:type="dxa"/>
            </w:tcMar>
          </w:tcPr>
          <w:p w14:paraId="01BA7E90" w14:textId="77777777" w:rsidR="00435B01" w:rsidRPr="00723E2B" w:rsidRDefault="00B94F3E" w:rsidP="00B94F3E">
            <w:pPr>
              <w:pStyle w:val="Normal1"/>
              <w:widowControl w:val="0"/>
              <w:pBdr>
                <w:top w:val="nil"/>
                <w:left w:val="nil"/>
                <w:bottom w:val="nil"/>
                <w:right w:val="nil"/>
                <w:between w:val="nil"/>
              </w:pBdr>
              <w:spacing w:line="240" w:lineRule="auto"/>
              <w:ind w:left="128" w:right="97"/>
              <w:jc w:val="both"/>
              <w:rPr>
                <w:rFonts w:ascii="Times New Roman" w:hAnsi="Times New Roman" w:cs="Times New Roman"/>
                <w:b/>
                <w:bCs/>
                <w:color w:val="000000"/>
                <w:lang w:val="pt-PT"/>
              </w:rPr>
            </w:pPr>
            <w:r w:rsidRPr="00723E2B">
              <w:rPr>
                <w:rFonts w:ascii="Times New Roman" w:eastAsia="Arial Unicode MS" w:hAnsi="Times New Roman" w:cs="Times New Roman"/>
                <w:b/>
                <w:bCs/>
                <w:color w:val="000000"/>
                <w:lang w:val="pt-PT"/>
              </w:rPr>
              <w:t>Clinical caries present (dmft ≥ 1), n (%)</w:t>
            </w:r>
          </w:p>
        </w:tc>
        <w:tc>
          <w:tcPr>
            <w:tcW w:w="2027" w:type="dxa"/>
            <w:tcMar>
              <w:top w:w="100" w:type="dxa"/>
              <w:left w:w="100" w:type="dxa"/>
              <w:bottom w:w="100" w:type="dxa"/>
              <w:right w:w="100" w:type="dxa"/>
            </w:tcMar>
          </w:tcPr>
          <w:p w14:paraId="6A960DD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Total, n (%)</w:t>
            </w:r>
          </w:p>
        </w:tc>
      </w:tr>
      <w:tr w:rsidR="00435B01" w:rsidRPr="00B94F3E" w14:paraId="0F979E6A" w14:textId="77777777">
        <w:trPr>
          <w:cantSplit/>
          <w:trHeight w:val="297"/>
          <w:tblHeader/>
        </w:trPr>
        <w:tc>
          <w:tcPr>
            <w:tcW w:w="2197" w:type="dxa"/>
            <w:tcMar>
              <w:top w:w="100" w:type="dxa"/>
              <w:left w:w="100" w:type="dxa"/>
              <w:bottom w:w="100" w:type="dxa"/>
              <w:right w:w="100" w:type="dxa"/>
            </w:tcMar>
          </w:tcPr>
          <w:p w14:paraId="77D0035E"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Caries absent </w:t>
            </w:r>
          </w:p>
        </w:tc>
        <w:tc>
          <w:tcPr>
            <w:tcW w:w="2400" w:type="dxa"/>
            <w:tcMar>
              <w:top w:w="100" w:type="dxa"/>
              <w:left w:w="100" w:type="dxa"/>
              <w:bottom w:w="100" w:type="dxa"/>
              <w:right w:w="100" w:type="dxa"/>
            </w:tcMar>
          </w:tcPr>
          <w:p w14:paraId="021E190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113 (29.0) </w:t>
            </w:r>
          </w:p>
        </w:tc>
        <w:tc>
          <w:tcPr>
            <w:tcW w:w="2400" w:type="dxa"/>
            <w:tcMar>
              <w:top w:w="100" w:type="dxa"/>
              <w:left w:w="100" w:type="dxa"/>
              <w:bottom w:w="100" w:type="dxa"/>
              <w:right w:w="100" w:type="dxa"/>
            </w:tcMar>
          </w:tcPr>
          <w:p w14:paraId="57B3AA6A"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7 (1.8) </w:t>
            </w:r>
          </w:p>
        </w:tc>
        <w:tc>
          <w:tcPr>
            <w:tcW w:w="2027" w:type="dxa"/>
            <w:tcMar>
              <w:top w:w="100" w:type="dxa"/>
              <w:left w:w="100" w:type="dxa"/>
              <w:bottom w:w="100" w:type="dxa"/>
              <w:right w:w="100" w:type="dxa"/>
            </w:tcMar>
          </w:tcPr>
          <w:p w14:paraId="229D822C"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120 (30.8)</w:t>
            </w:r>
          </w:p>
        </w:tc>
      </w:tr>
      <w:tr w:rsidR="00435B01" w:rsidRPr="00B94F3E" w14:paraId="6BDE3317" w14:textId="77777777">
        <w:trPr>
          <w:cantSplit/>
          <w:trHeight w:val="295"/>
          <w:tblHeader/>
        </w:trPr>
        <w:tc>
          <w:tcPr>
            <w:tcW w:w="2197" w:type="dxa"/>
            <w:tcMar>
              <w:top w:w="100" w:type="dxa"/>
              <w:left w:w="100" w:type="dxa"/>
              <w:bottom w:w="100" w:type="dxa"/>
              <w:right w:w="100" w:type="dxa"/>
            </w:tcMar>
          </w:tcPr>
          <w:p w14:paraId="46A50679" w14:textId="77777777" w:rsidR="00435B01" w:rsidRPr="00B94F3E" w:rsidRDefault="00B94F3E" w:rsidP="00B94F3E">
            <w:pPr>
              <w:pStyle w:val="Normal1"/>
              <w:widowControl w:val="0"/>
              <w:pBdr>
                <w:top w:val="nil"/>
                <w:left w:val="nil"/>
                <w:bottom w:val="nil"/>
                <w:right w:val="nil"/>
                <w:between w:val="nil"/>
              </w:pBdr>
              <w:spacing w:line="240" w:lineRule="auto"/>
              <w:ind w:left="98"/>
              <w:jc w:val="both"/>
              <w:rPr>
                <w:rFonts w:ascii="Times New Roman" w:hAnsi="Times New Roman" w:cs="Times New Roman"/>
                <w:color w:val="000000"/>
              </w:rPr>
            </w:pPr>
            <w:r w:rsidRPr="00B94F3E">
              <w:rPr>
                <w:rFonts w:ascii="Times New Roman" w:hAnsi="Times New Roman" w:cs="Times New Roman"/>
                <w:color w:val="000000"/>
              </w:rPr>
              <w:t xml:space="preserve">Caries present </w:t>
            </w:r>
          </w:p>
        </w:tc>
        <w:tc>
          <w:tcPr>
            <w:tcW w:w="2400" w:type="dxa"/>
            <w:tcMar>
              <w:top w:w="100" w:type="dxa"/>
              <w:left w:w="100" w:type="dxa"/>
              <w:bottom w:w="100" w:type="dxa"/>
              <w:right w:w="100" w:type="dxa"/>
            </w:tcMar>
          </w:tcPr>
          <w:p w14:paraId="43F6321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256 (65.8) </w:t>
            </w:r>
          </w:p>
        </w:tc>
        <w:tc>
          <w:tcPr>
            <w:tcW w:w="2400" w:type="dxa"/>
            <w:tcMar>
              <w:top w:w="100" w:type="dxa"/>
              <w:left w:w="100" w:type="dxa"/>
              <w:bottom w:w="100" w:type="dxa"/>
              <w:right w:w="100" w:type="dxa"/>
            </w:tcMar>
          </w:tcPr>
          <w:p w14:paraId="56ED5A6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 xml:space="preserve">13 (3.3) </w:t>
            </w:r>
          </w:p>
        </w:tc>
        <w:tc>
          <w:tcPr>
            <w:tcW w:w="2027" w:type="dxa"/>
            <w:tcMar>
              <w:top w:w="100" w:type="dxa"/>
              <w:left w:w="100" w:type="dxa"/>
              <w:bottom w:w="100" w:type="dxa"/>
              <w:right w:w="100" w:type="dxa"/>
            </w:tcMar>
          </w:tcPr>
          <w:p w14:paraId="6AB2E3E8"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rPr>
            </w:pPr>
            <w:r w:rsidRPr="00B94F3E">
              <w:rPr>
                <w:rFonts w:ascii="Times New Roman" w:hAnsi="Times New Roman" w:cs="Times New Roman"/>
                <w:color w:val="000000"/>
              </w:rPr>
              <w:t>269 (69.2)</w:t>
            </w:r>
          </w:p>
        </w:tc>
      </w:tr>
      <w:tr w:rsidR="00435B01" w:rsidRPr="00B94F3E" w14:paraId="31EB71C3" w14:textId="77777777">
        <w:trPr>
          <w:cantSplit/>
          <w:trHeight w:val="298"/>
          <w:tblHeader/>
        </w:trPr>
        <w:tc>
          <w:tcPr>
            <w:tcW w:w="2197" w:type="dxa"/>
            <w:tcMar>
              <w:top w:w="100" w:type="dxa"/>
              <w:left w:w="100" w:type="dxa"/>
              <w:bottom w:w="100" w:type="dxa"/>
              <w:right w:w="100" w:type="dxa"/>
            </w:tcMar>
          </w:tcPr>
          <w:p w14:paraId="465AE434" w14:textId="77777777" w:rsidR="00435B01" w:rsidRPr="00B94F3E" w:rsidRDefault="00B94F3E" w:rsidP="00B94F3E">
            <w:pPr>
              <w:pStyle w:val="Normal1"/>
              <w:widowControl w:val="0"/>
              <w:pBdr>
                <w:top w:val="nil"/>
                <w:left w:val="nil"/>
                <w:bottom w:val="nil"/>
                <w:right w:val="nil"/>
                <w:between w:val="nil"/>
              </w:pBdr>
              <w:spacing w:line="240" w:lineRule="auto"/>
              <w:ind w:left="93"/>
              <w:jc w:val="both"/>
              <w:rPr>
                <w:rFonts w:ascii="Times New Roman" w:hAnsi="Times New Roman" w:cs="Times New Roman"/>
                <w:b/>
                <w:bCs/>
                <w:color w:val="000000"/>
              </w:rPr>
            </w:pPr>
            <w:r w:rsidRPr="00B94F3E">
              <w:rPr>
                <w:rFonts w:ascii="Times New Roman" w:hAnsi="Times New Roman" w:cs="Times New Roman"/>
                <w:b/>
                <w:bCs/>
                <w:color w:val="000000"/>
              </w:rPr>
              <w:lastRenderedPageBreak/>
              <w:t xml:space="preserve">Total </w:t>
            </w:r>
          </w:p>
        </w:tc>
        <w:tc>
          <w:tcPr>
            <w:tcW w:w="2400" w:type="dxa"/>
            <w:tcMar>
              <w:top w:w="100" w:type="dxa"/>
              <w:left w:w="100" w:type="dxa"/>
              <w:bottom w:w="100" w:type="dxa"/>
              <w:right w:w="100" w:type="dxa"/>
            </w:tcMar>
          </w:tcPr>
          <w:p w14:paraId="27F179A1"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369 (94.9) </w:t>
            </w:r>
          </w:p>
        </w:tc>
        <w:tc>
          <w:tcPr>
            <w:tcW w:w="2400" w:type="dxa"/>
            <w:tcMar>
              <w:top w:w="100" w:type="dxa"/>
              <w:left w:w="100" w:type="dxa"/>
              <w:bottom w:w="100" w:type="dxa"/>
              <w:right w:w="100" w:type="dxa"/>
            </w:tcMar>
          </w:tcPr>
          <w:p w14:paraId="75D3EE0D"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 xml:space="preserve">20 (5.1) </w:t>
            </w:r>
          </w:p>
        </w:tc>
        <w:tc>
          <w:tcPr>
            <w:tcW w:w="2027" w:type="dxa"/>
            <w:tcMar>
              <w:top w:w="100" w:type="dxa"/>
              <w:left w:w="100" w:type="dxa"/>
              <w:bottom w:w="100" w:type="dxa"/>
              <w:right w:w="100" w:type="dxa"/>
            </w:tcMar>
          </w:tcPr>
          <w:p w14:paraId="5E605D62" w14:textId="77777777" w:rsidR="00435B01" w:rsidRPr="00B94F3E" w:rsidRDefault="00B94F3E" w:rsidP="00B94F3E">
            <w:pPr>
              <w:pStyle w:val="Normal1"/>
              <w:widowControl w:val="0"/>
              <w:pBdr>
                <w:top w:val="nil"/>
                <w:left w:val="nil"/>
                <w:bottom w:val="nil"/>
                <w:right w:val="nil"/>
                <w:between w:val="nil"/>
              </w:pBdr>
              <w:spacing w:line="240" w:lineRule="auto"/>
              <w:jc w:val="both"/>
              <w:rPr>
                <w:rFonts w:ascii="Times New Roman" w:hAnsi="Times New Roman" w:cs="Times New Roman"/>
                <w:b/>
                <w:bCs/>
                <w:color w:val="000000"/>
              </w:rPr>
            </w:pPr>
            <w:r w:rsidRPr="00B94F3E">
              <w:rPr>
                <w:rFonts w:ascii="Times New Roman" w:hAnsi="Times New Roman" w:cs="Times New Roman"/>
                <w:b/>
                <w:bCs/>
                <w:color w:val="000000"/>
              </w:rPr>
              <w:t>389 (100)</w:t>
            </w:r>
          </w:p>
        </w:tc>
      </w:tr>
    </w:tbl>
    <w:p w14:paraId="307814AA"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09BD9AE6" w14:textId="77777777" w:rsidR="00435B01" w:rsidRPr="00B94F3E" w:rsidRDefault="00435B01" w:rsidP="00B94F3E">
      <w:pPr>
        <w:pStyle w:val="Normal1"/>
        <w:widowControl w:val="0"/>
        <w:pBdr>
          <w:top w:val="nil"/>
          <w:left w:val="nil"/>
          <w:bottom w:val="nil"/>
          <w:right w:val="nil"/>
          <w:between w:val="nil"/>
        </w:pBdr>
        <w:spacing w:line="240" w:lineRule="auto"/>
        <w:jc w:val="both"/>
        <w:rPr>
          <w:rFonts w:ascii="Times New Roman" w:hAnsi="Times New Roman" w:cs="Times New Roman"/>
          <w:color w:val="000000"/>
          <w:sz w:val="24"/>
          <w:szCs w:val="24"/>
        </w:rPr>
      </w:pPr>
    </w:p>
    <w:p w14:paraId="49EC1490" w14:textId="77777777" w:rsidR="00B94F3E" w:rsidRDefault="00B94F3E" w:rsidP="00B94F3E">
      <w:pPr>
        <w:pStyle w:val="Normal1"/>
        <w:widowControl w:val="0"/>
        <w:pBdr>
          <w:top w:val="nil"/>
          <w:left w:val="nil"/>
          <w:bottom w:val="nil"/>
          <w:right w:val="nil"/>
          <w:between w:val="nil"/>
        </w:pBdr>
        <w:spacing w:line="240" w:lineRule="auto"/>
        <w:ind w:left="10" w:right="229" w:hanging="4"/>
        <w:jc w:val="both"/>
        <w:rPr>
          <w:rFonts w:ascii="Times New Roman" w:eastAsia="Arial Unicode MS" w:hAnsi="Times New Roman" w:cs="Times New Roman"/>
          <w:color w:val="000000"/>
          <w:sz w:val="24"/>
          <w:szCs w:val="24"/>
        </w:rPr>
        <w:sectPr w:rsidR="00B94F3E" w:rsidSect="00B94F3E">
          <w:type w:val="continuous"/>
          <w:pgSz w:w="11900" w:h="16820"/>
          <w:pgMar w:top="990" w:right="1425" w:bottom="759" w:left="1436" w:header="0" w:footer="720" w:gutter="0"/>
          <w:pgNumType w:start="1"/>
          <w:cols w:space="720"/>
        </w:sectPr>
      </w:pPr>
    </w:p>
    <w:p w14:paraId="00DDBC32" w14:textId="77777777" w:rsidR="00435B01" w:rsidRPr="00B94F3E" w:rsidRDefault="00B94F3E" w:rsidP="00B94F3E">
      <w:pPr>
        <w:pStyle w:val="Normal1"/>
        <w:widowControl w:val="0"/>
        <w:pBdr>
          <w:top w:val="nil"/>
          <w:left w:val="nil"/>
          <w:bottom w:val="nil"/>
          <w:right w:val="nil"/>
          <w:between w:val="nil"/>
        </w:pBdr>
        <w:spacing w:line="240" w:lineRule="auto"/>
        <w:ind w:left="10" w:right="229" w:hanging="4"/>
        <w:jc w:val="both"/>
        <w:rPr>
          <w:rFonts w:ascii="Times New Roman" w:hAnsi="Times New Roman" w:cs="Times New Roman"/>
          <w:b/>
          <w:bCs/>
          <w:color w:val="000000"/>
          <w:sz w:val="24"/>
          <w:szCs w:val="24"/>
        </w:rPr>
      </w:pPr>
      <w:r w:rsidRPr="00B94F3E">
        <w:rPr>
          <w:rFonts w:ascii="Times New Roman" w:eastAsia="Arial Unicode MS" w:hAnsi="Times New Roman" w:cs="Times New Roman"/>
          <w:color w:val="000000"/>
          <w:sz w:val="24"/>
          <w:szCs w:val="24"/>
        </w:rPr>
        <w:t xml:space="preserve">χ² = 0.170 (p = 0.680); Fisher’s exact p = 0.804; Cohen’s kappa = −0.006 (SE 0.016); OR = 0.820 (95% CI: 0.319–2.109). </w:t>
      </w:r>
      <w:r w:rsidRPr="00B94F3E">
        <w:rPr>
          <w:rFonts w:ascii="Times New Roman" w:hAnsi="Times New Roman" w:cs="Times New Roman"/>
          <w:b/>
          <w:bCs/>
          <w:color w:val="000000"/>
          <w:sz w:val="24"/>
          <w:szCs w:val="24"/>
        </w:rPr>
        <w:t xml:space="preserve">Discussion </w:t>
      </w:r>
    </w:p>
    <w:p w14:paraId="55898282" w14:textId="77777777" w:rsidR="00435B01" w:rsidRPr="00B94F3E" w:rsidRDefault="00B94F3E" w:rsidP="00B94F3E">
      <w:pPr>
        <w:pStyle w:val="Normal1"/>
        <w:widowControl w:val="0"/>
        <w:pBdr>
          <w:top w:val="nil"/>
          <w:left w:val="nil"/>
          <w:bottom w:val="nil"/>
          <w:right w:val="nil"/>
          <w:between w:val="nil"/>
        </w:pBdr>
        <w:spacing w:before="12" w:line="240" w:lineRule="auto"/>
        <w:ind w:left="10" w:right="21"/>
        <w:jc w:val="both"/>
        <w:rPr>
          <w:rFonts w:ascii="Times New Roman" w:hAnsi="Times New Roman" w:cs="Times New Roman"/>
          <w:color w:val="000000"/>
          <w:sz w:val="24"/>
          <w:szCs w:val="24"/>
        </w:rPr>
      </w:pPr>
      <w:r w:rsidRPr="00B94F3E">
        <w:rPr>
          <w:rFonts w:ascii="Times New Roman" w:eastAsia="Arial Unicode MS" w:hAnsi="Times New Roman" w:cs="Times New Roman"/>
          <w:color w:val="000000"/>
          <w:sz w:val="24"/>
          <w:szCs w:val="24"/>
        </w:rPr>
        <w:t xml:space="preserve">This study examined clinically assessed caries, caregiver-reported caries indicators and the agreement between them among preschool children in selected communities of </w:t>
      </w:r>
      <w:proofErr w:type="spellStart"/>
      <w:r w:rsidRPr="00B94F3E">
        <w:rPr>
          <w:rFonts w:ascii="Times New Roman" w:eastAsia="Arial Unicode MS" w:hAnsi="Times New Roman" w:cs="Times New Roman"/>
          <w:color w:val="000000"/>
          <w:sz w:val="24"/>
          <w:szCs w:val="24"/>
        </w:rPr>
        <w:t>Okrika</w:t>
      </w:r>
      <w:proofErr w:type="spellEnd"/>
      <w:r w:rsidRPr="00B94F3E">
        <w:rPr>
          <w:rFonts w:ascii="Times New Roman" w:eastAsia="Arial Unicode MS" w:hAnsi="Times New Roman" w:cs="Times New Roman"/>
          <w:color w:val="000000"/>
          <w:sz w:val="24"/>
          <w:szCs w:val="24"/>
        </w:rPr>
        <w:t xml:space="preserve"> LGA, and examined the factors associated with caregiver-reported caries. The central finding is a large gap between what caregivers reported and what was found on examination: 69.2% of children were classified as positive by caregiver report, whereas 5.1% had </w:t>
      </w:r>
      <w:proofErr w:type="spellStart"/>
      <w:r w:rsidRPr="00B94F3E">
        <w:rPr>
          <w:rFonts w:ascii="Times New Roman" w:eastAsia="Arial Unicode MS" w:hAnsi="Times New Roman" w:cs="Times New Roman"/>
          <w:color w:val="000000"/>
          <w:sz w:val="24"/>
          <w:szCs w:val="24"/>
        </w:rPr>
        <w:t>dmft</w:t>
      </w:r>
      <w:proofErr w:type="spellEnd"/>
      <w:r w:rsidRPr="00B94F3E">
        <w:rPr>
          <w:rFonts w:ascii="Times New Roman" w:eastAsia="Arial Unicode MS" w:hAnsi="Times New Roman" w:cs="Times New Roman"/>
          <w:color w:val="000000"/>
          <w:sz w:val="24"/>
          <w:szCs w:val="24"/>
        </w:rPr>
        <w:t xml:space="preserve"> ≥ 1, and agreement between the two measures was no better than chance. </w:t>
      </w:r>
    </w:p>
    <w:p w14:paraId="1760A5D9" w14:textId="77777777" w:rsidR="00435B01" w:rsidRPr="00B94F3E" w:rsidRDefault="00B94F3E" w:rsidP="00B94F3E">
      <w:pPr>
        <w:pStyle w:val="Normal1"/>
        <w:widowControl w:val="0"/>
        <w:pBdr>
          <w:top w:val="nil"/>
          <w:left w:val="nil"/>
          <w:bottom w:val="nil"/>
          <w:right w:val="nil"/>
          <w:between w:val="nil"/>
        </w:pBdr>
        <w:spacing w:before="116" w:line="240" w:lineRule="auto"/>
        <w:ind w:left="14"/>
        <w:jc w:val="both"/>
        <w:rPr>
          <w:rFonts w:ascii="Times New Roman" w:hAnsi="Times New Roman" w:cs="Times New Roman"/>
          <w:b/>
          <w:bCs/>
          <w:i/>
          <w:iCs/>
          <w:color w:val="000000"/>
          <w:sz w:val="24"/>
          <w:szCs w:val="24"/>
        </w:rPr>
      </w:pPr>
      <w:r w:rsidRPr="00B94F3E">
        <w:rPr>
          <w:rFonts w:ascii="Times New Roman" w:hAnsi="Times New Roman" w:cs="Times New Roman"/>
          <w:b/>
          <w:bCs/>
          <w:i/>
          <w:iCs/>
          <w:color w:val="000000"/>
          <w:sz w:val="24"/>
          <w:szCs w:val="24"/>
        </w:rPr>
        <w:t xml:space="preserve">Caregiver-reported indicators </w:t>
      </w:r>
    </w:p>
    <w:p w14:paraId="71C734FE" w14:textId="77777777" w:rsidR="00435B01" w:rsidRPr="00B94F3E" w:rsidRDefault="00B94F3E" w:rsidP="00B94F3E">
      <w:pPr>
        <w:pStyle w:val="Normal1"/>
        <w:widowControl w:val="0"/>
        <w:pBdr>
          <w:top w:val="nil"/>
          <w:left w:val="nil"/>
          <w:bottom w:val="nil"/>
          <w:right w:val="nil"/>
          <w:between w:val="nil"/>
        </w:pBdr>
        <w:spacing w:before="159" w:line="240" w:lineRule="auto"/>
        <w:ind w:left="8" w:right="4" w:firstLine="7"/>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Caregivers frequently reported caries-related signs and experiences, led by black or brown spots (48.6%), a previous diagnosis (47.8%), toothache (44.7%) and difficulty eating (42.2%). These indicators differ in specificity: a cavity or professional diagnosis is relatively specific to caries, while pain, swelling, </w:t>
      </w:r>
      <w:proofErr w:type="spellStart"/>
      <w:r w:rsidRPr="00B94F3E">
        <w:rPr>
          <w:rFonts w:ascii="Times New Roman" w:hAnsi="Times New Roman" w:cs="Times New Roman"/>
          <w:color w:val="000000"/>
          <w:sz w:val="24"/>
          <w:szCs w:val="24"/>
        </w:rPr>
        <w:t>discolouration</w:t>
      </w:r>
      <w:proofErr w:type="spellEnd"/>
      <w:r w:rsidRPr="00B94F3E">
        <w:rPr>
          <w:rFonts w:ascii="Times New Roman" w:hAnsi="Times New Roman" w:cs="Times New Roman"/>
          <w:color w:val="000000"/>
          <w:sz w:val="24"/>
          <w:szCs w:val="24"/>
        </w:rPr>
        <w:t xml:space="preserve"> and food trapping can also arise from other oral conditions, and young children cannot describe symptoms precisely. Similar findings were described among Nigerian schoolchildren, in whom dental pain was associated with clinical caries but was not equivalent to it (Adeniyi &amp; Odusanya, 2017). Studies in other settings support the usefulness of caregiver perception: in a large North Carolina sample, guardian reports of suboptimal oral health were strongly associated with clinically determined ECC, untreated lesions and toothache (Imes et al., 2021). By contrast, parent-reported caries was very uncommon in the German KUNO-Kids cohort, at 4.4% by age five (Lennon et al., 2026), but that study asked about caries directly rather than a broader set of symptoms, so the figures are not directly comparable. </w:t>
      </w:r>
    </w:p>
    <w:p w14:paraId="0248F933" w14:textId="77777777" w:rsidR="00435B01" w:rsidRPr="00B94F3E" w:rsidRDefault="00B94F3E" w:rsidP="00B94F3E">
      <w:pPr>
        <w:pStyle w:val="Normal1"/>
        <w:widowControl w:val="0"/>
        <w:pBdr>
          <w:top w:val="nil"/>
          <w:left w:val="nil"/>
          <w:bottom w:val="nil"/>
          <w:right w:val="nil"/>
          <w:between w:val="nil"/>
        </w:pBdr>
        <w:spacing w:before="180" w:line="240" w:lineRule="auto"/>
        <w:ind w:left="9" w:right="-1" w:firstLine="5"/>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Only 31.9% of caregivers reported that the child had ever visited a health facility for a dental problem, despite the frequent reporting of symptoms. This suggests that </w:t>
      </w:r>
      <w:proofErr w:type="spellStart"/>
      <w:r w:rsidRPr="00B94F3E">
        <w:rPr>
          <w:rFonts w:ascii="Times New Roman" w:hAnsi="Times New Roman" w:cs="Times New Roman"/>
          <w:color w:val="000000"/>
          <w:sz w:val="24"/>
          <w:szCs w:val="24"/>
        </w:rPr>
        <w:t>recognising</w:t>
      </w:r>
      <w:proofErr w:type="spellEnd"/>
      <w:r w:rsidRPr="00B94F3E">
        <w:rPr>
          <w:rFonts w:ascii="Times New Roman" w:hAnsi="Times New Roman" w:cs="Times New Roman"/>
          <w:color w:val="000000"/>
          <w:sz w:val="24"/>
          <w:szCs w:val="24"/>
        </w:rPr>
        <w:t xml:space="preserve"> a problem does not necessarily lead to professional care, a gap that is especially important where children depend wholly on caregivers for access to services and where no dental facility exists in the LGA. </w:t>
      </w:r>
    </w:p>
    <w:p w14:paraId="448CD5FF" w14:textId="77777777" w:rsidR="00435B01" w:rsidRPr="00B94F3E" w:rsidRDefault="00435B01" w:rsidP="00B94F3E">
      <w:pPr>
        <w:pStyle w:val="Normal1"/>
        <w:widowControl w:val="0"/>
        <w:pBdr>
          <w:top w:val="nil"/>
          <w:left w:val="nil"/>
          <w:bottom w:val="nil"/>
          <w:right w:val="nil"/>
          <w:between w:val="nil"/>
        </w:pBdr>
        <w:spacing w:before="1177" w:line="240" w:lineRule="auto"/>
        <w:jc w:val="both"/>
        <w:rPr>
          <w:rFonts w:ascii="Times New Roman" w:hAnsi="Times New Roman" w:cs="Times New Roman"/>
          <w:color w:val="000000"/>
          <w:sz w:val="24"/>
          <w:szCs w:val="24"/>
        </w:rPr>
      </w:pPr>
    </w:p>
    <w:p w14:paraId="69FA6184" w14:textId="77777777" w:rsidR="00435B01" w:rsidRPr="00B94F3E" w:rsidRDefault="00B94F3E" w:rsidP="00B94F3E">
      <w:pPr>
        <w:pStyle w:val="Normal1"/>
        <w:widowControl w:val="0"/>
        <w:pBdr>
          <w:top w:val="nil"/>
          <w:left w:val="nil"/>
          <w:bottom w:val="nil"/>
          <w:right w:val="nil"/>
          <w:between w:val="nil"/>
        </w:pBdr>
        <w:spacing w:line="240" w:lineRule="auto"/>
        <w:ind w:left="14"/>
        <w:jc w:val="both"/>
        <w:rPr>
          <w:rFonts w:ascii="Times New Roman" w:hAnsi="Times New Roman" w:cs="Times New Roman"/>
          <w:b/>
          <w:bCs/>
          <w:i/>
          <w:iCs/>
          <w:color w:val="000000"/>
          <w:sz w:val="24"/>
          <w:szCs w:val="24"/>
        </w:rPr>
      </w:pPr>
      <w:r w:rsidRPr="00B94F3E">
        <w:rPr>
          <w:rFonts w:ascii="Times New Roman" w:hAnsi="Times New Roman" w:cs="Times New Roman"/>
          <w:b/>
          <w:bCs/>
          <w:i/>
          <w:iCs/>
          <w:color w:val="000000"/>
          <w:sz w:val="24"/>
          <w:szCs w:val="24"/>
        </w:rPr>
        <w:t xml:space="preserve">Clinical prevalence and agreement with caregiver report </w:t>
      </w:r>
    </w:p>
    <w:p w14:paraId="457BF98B" w14:textId="77777777" w:rsidR="00435B01" w:rsidRPr="00B94F3E" w:rsidRDefault="00B94F3E" w:rsidP="00B94F3E">
      <w:pPr>
        <w:pStyle w:val="Normal1"/>
        <w:widowControl w:val="0"/>
        <w:pBdr>
          <w:top w:val="nil"/>
          <w:left w:val="nil"/>
          <w:bottom w:val="nil"/>
          <w:right w:val="nil"/>
          <w:between w:val="nil"/>
        </w:pBdr>
        <w:spacing w:before="159" w:line="240" w:lineRule="auto"/>
        <w:ind w:left="12" w:hanging="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The clinical prevalence of 5.1% and mean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of 0.06 are much lower than global and African estimates (Uribe et al., 2021; Kimmie-</w:t>
      </w:r>
      <w:proofErr w:type="spellStart"/>
      <w:r w:rsidRPr="00B94F3E">
        <w:rPr>
          <w:rFonts w:ascii="Times New Roman" w:hAnsi="Times New Roman" w:cs="Times New Roman"/>
          <w:color w:val="000000"/>
          <w:sz w:val="24"/>
          <w:szCs w:val="24"/>
        </w:rPr>
        <w:t>Dhansay</w:t>
      </w:r>
      <w:proofErr w:type="spellEnd"/>
      <w:r w:rsidRPr="00B94F3E">
        <w:rPr>
          <w:rFonts w:ascii="Times New Roman" w:hAnsi="Times New Roman" w:cs="Times New Roman"/>
          <w:color w:val="000000"/>
          <w:sz w:val="24"/>
          <w:szCs w:val="24"/>
        </w:rPr>
        <w:t xml:space="preserve"> et al., 2026) and lower than pooled Nigerian estimates of 17–22% (Okolo et al., 2024; Orhorhoro et al., 2026). They are, however, close to community-based Nigerian findings of 4.7% and 4.3% (Folayan et al., 2021; Alade et al., 2021), which illustrates the heterogeneity of ECC across Nigerian settings and study methods. Because the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index records cavitated and treated lesions, early non-cavitated lesions are not captured, and a low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should not be read as an absence of risk. </w:t>
      </w:r>
    </w:p>
    <w:p w14:paraId="40211540" w14:textId="77777777" w:rsidR="00435B01" w:rsidRPr="00B94F3E" w:rsidRDefault="00B94F3E" w:rsidP="00B94F3E">
      <w:pPr>
        <w:pStyle w:val="Normal1"/>
        <w:widowControl w:val="0"/>
        <w:pBdr>
          <w:top w:val="nil"/>
          <w:left w:val="nil"/>
          <w:bottom w:val="nil"/>
          <w:right w:val="nil"/>
          <w:between w:val="nil"/>
        </w:pBdr>
        <w:spacing w:before="180" w:line="240" w:lineRule="auto"/>
        <w:ind w:left="8" w:right="8" w:firstLine="1"/>
        <w:jc w:val="both"/>
        <w:rPr>
          <w:rFonts w:ascii="Times New Roman" w:hAnsi="Times New Roman" w:cs="Times New Roman"/>
          <w:color w:val="000000"/>
          <w:sz w:val="24"/>
          <w:szCs w:val="24"/>
        </w:rPr>
      </w:pPr>
      <w:r w:rsidRPr="00B94F3E">
        <w:rPr>
          <w:rFonts w:ascii="Times New Roman" w:eastAsia="Arial Unicode MS" w:hAnsi="Times New Roman" w:cs="Times New Roman"/>
          <w:color w:val="000000"/>
          <w:sz w:val="24"/>
          <w:szCs w:val="24"/>
        </w:rPr>
        <w:t xml:space="preserve">The lack of agreement between the two measures (κ = −0.006) differs in direction from the Ile Ife validation study, where maternal report under-identified clinical ECC (sensitivity 9.4%, specificity 96.9%; Folayan et al., 2020). In </w:t>
      </w:r>
      <w:proofErr w:type="spellStart"/>
      <w:r w:rsidRPr="00B94F3E">
        <w:rPr>
          <w:rFonts w:ascii="Times New Roman" w:eastAsia="Arial Unicode MS" w:hAnsi="Times New Roman" w:cs="Times New Roman"/>
          <w:color w:val="000000"/>
          <w:sz w:val="24"/>
          <w:szCs w:val="24"/>
        </w:rPr>
        <w:t>Okrika</w:t>
      </w:r>
      <w:proofErr w:type="spellEnd"/>
      <w:r w:rsidRPr="00B94F3E">
        <w:rPr>
          <w:rFonts w:ascii="Times New Roman" w:eastAsia="Arial Unicode MS" w:hAnsi="Times New Roman" w:cs="Times New Roman"/>
          <w:color w:val="000000"/>
          <w:sz w:val="24"/>
          <w:szCs w:val="24"/>
        </w:rPr>
        <w:t xml:space="preserve"> the composite measure over-identified caries: 256 of 369 caries-free children were classified as positive. This is likely because the composite combined ten items, several of which were symptoms or past experiences (pain, swelling, food trapping, facility visits) rather than a direct judgment that the child has caries. Both </w:t>
      </w:r>
      <w:r w:rsidRPr="00B94F3E">
        <w:rPr>
          <w:rFonts w:ascii="Times New Roman" w:eastAsia="Arial Unicode MS" w:hAnsi="Times New Roman" w:cs="Times New Roman"/>
          <w:color w:val="000000"/>
          <w:sz w:val="24"/>
          <w:szCs w:val="24"/>
        </w:rPr>
        <w:lastRenderedPageBreak/>
        <w:t xml:space="preserve">studies lead to the same practical conclusion, that caregiver report and clinical examination are not interchangeable for estimating disease burden. Because the composite threshold (≥ 0.5) was set a priori, a different threshold or a subset of more specific items might perform differently, which was not tested here. </w:t>
      </w:r>
    </w:p>
    <w:p w14:paraId="5039043A" w14:textId="77777777" w:rsidR="00435B01" w:rsidRPr="00B94F3E" w:rsidRDefault="00B94F3E" w:rsidP="00B94F3E">
      <w:pPr>
        <w:pStyle w:val="Normal1"/>
        <w:widowControl w:val="0"/>
        <w:pBdr>
          <w:top w:val="nil"/>
          <w:left w:val="nil"/>
          <w:bottom w:val="nil"/>
          <w:right w:val="nil"/>
          <w:between w:val="nil"/>
        </w:pBdr>
        <w:spacing w:before="116" w:line="240" w:lineRule="auto"/>
        <w:ind w:left="14"/>
        <w:jc w:val="both"/>
        <w:rPr>
          <w:rFonts w:ascii="Times New Roman" w:hAnsi="Times New Roman" w:cs="Times New Roman"/>
          <w:b/>
          <w:bCs/>
          <w:i/>
          <w:iCs/>
          <w:color w:val="000000"/>
          <w:sz w:val="24"/>
          <w:szCs w:val="24"/>
        </w:rPr>
      </w:pPr>
      <w:r w:rsidRPr="00B94F3E">
        <w:rPr>
          <w:rFonts w:ascii="Times New Roman" w:hAnsi="Times New Roman" w:cs="Times New Roman"/>
          <w:b/>
          <w:bCs/>
          <w:i/>
          <w:iCs/>
          <w:color w:val="000000"/>
          <w:sz w:val="24"/>
          <w:szCs w:val="24"/>
        </w:rPr>
        <w:t xml:space="preserve">Caregivers’ knowledge </w:t>
      </w:r>
    </w:p>
    <w:p w14:paraId="366405F4" w14:textId="77777777" w:rsidR="00435B01" w:rsidRPr="00B94F3E" w:rsidRDefault="00B94F3E" w:rsidP="00B94F3E">
      <w:pPr>
        <w:pStyle w:val="Normal1"/>
        <w:widowControl w:val="0"/>
        <w:pBdr>
          <w:top w:val="nil"/>
          <w:left w:val="nil"/>
          <w:bottom w:val="nil"/>
          <w:right w:val="nil"/>
          <w:between w:val="nil"/>
        </w:pBdr>
        <w:spacing w:before="159" w:line="240" w:lineRule="auto"/>
        <w:ind w:left="5" w:right="-1" w:firstLine="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Knowledge was mixed: only 26.2% of caregivers had good knowledge, while 33.7% had poor knowledge. Caregivers were aware of the role of bacteria, sugar and poor brushing, but misconceptions about the need to treat baby teeth, brushing frequency, susceptibility of young children and the sharing of utensils persisted. Comparable gaps have been reported among parents in Saudi Arabia, where most </w:t>
      </w:r>
      <w:proofErr w:type="spellStart"/>
      <w:r w:rsidRPr="00B94F3E">
        <w:rPr>
          <w:rFonts w:ascii="Times New Roman" w:hAnsi="Times New Roman" w:cs="Times New Roman"/>
          <w:color w:val="000000"/>
          <w:sz w:val="24"/>
          <w:szCs w:val="24"/>
        </w:rPr>
        <w:t>recognised</w:t>
      </w:r>
      <w:proofErr w:type="spellEnd"/>
      <w:r w:rsidRPr="00B94F3E">
        <w:rPr>
          <w:rFonts w:ascii="Times New Roman" w:hAnsi="Times New Roman" w:cs="Times New Roman"/>
          <w:color w:val="000000"/>
          <w:sz w:val="24"/>
          <w:szCs w:val="24"/>
        </w:rPr>
        <w:t xml:space="preserve"> the importance of brushing but about half were unaware of early signs of decay (Nassar et al., 2022), and where knowledge of early dental visits and early signs was moderate (</w:t>
      </w:r>
      <w:proofErr w:type="spellStart"/>
      <w:r w:rsidRPr="00B94F3E">
        <w:rPr>
          <w:rFonts w:ascii="Times New Roman" w:hAnsi="Times New Roman" w:cs="Times New Roman"/>
          <w:color w:val="000000"/>
          <w:sz w:val="24"/>
          <w:szCs w:val="24"/>
        </w:rPr>
        <w:t>Alshamrani</w:t>
      </w:r>
      <w:proofErr w:type="spellEnd"/>
      <w:r w:rsidRPr="00B94F3E">
        <w:rPr>
          <w:rFonts w:ascii="Times New Roman" w:hAnsi="Times New Roman" w:cs="Times New Roman"/>
          <w:color w:val="000000"/>
          <w:sz w:val="24"/>
          <w:szCs w:val="24"/>
        </w:rPr>
        <w:t xml:space="preserve"> et al., 2026). A study in north-west Ethiopia reported that more than two-thirds of parents had adequate knowledge but fewer than half had good practices (Mitiku </w:t>
      </w:r>
      <w:proofErr w:type="spellStart"/>
      <w:r w:rsidRPr="00B94F3E">
        <w:rPr>
          <w:rFonts w:ascii="Times New Roman" w:hAnsi="Times New Roman" w:cs="Times New Roman"/>
          <w:color w:val="000000"/>
          <w:sz w:val="24"/>
          <w:szCs w:val="24"/>
        </w:rPr>
        <w:t>Kidie</w:t>
      </w:r>
      <w:proofErr w:type="spellEnd"/>
      <w:r w:rsidRPr="00B94F3E">
        <w:rPr>
          <w:rFonts w:ascii="Times New Roman" w:hAnsi="Times New Roman" w:cs="Times New Roman"/>
          <w:color w:val="000000"/>
          <w:sz w:val="24"/>
          <w:szCs w:val="24"/>
        </w:rPr>
        <w:t xml:space="preserve"> et al., 2026), a more </w:t>
      </w:r>
      <w:proofErr w:type="spellStart"/>
      <w:r w:rsidRPr="00B94F3E">
        <w:rPr>
          <w:rFonts w:ascii="Times New Roman" w:hAnsi="Times New Roman" w:cs="Times New Roman"/>
          <w:color w:val="000000"/>
          <w:sz w:val="24"/>
          <w:szCs w:val="24"/>
        </w:rPr>
        <w:t>favourable</w:t>
      </w:r>
      <w:proofErr w:type="spellEnd"/>
      <w:r w:rsidRPr="00B94F3E">
        <w:rPr>
          <w:rFonts w:ascii="Times New Roman" w:hAnsi="Times New Roman" w:cs="Times New Roman"/>
          <w:color w:val="000000"/>
          <w:sz w:val="24"/>
          <w:szCs w:val="24"/>
        </w:rPr>
        <w:t xml:space="preserve"> picture than ours that may reflect different instruments, thresholds and educational levels. In an unadjusted cross-tabulation (data not shown), positive caregiver-reported caries was more frequent among caregivers with poor knowledge (80.2%) than among those with fair (64.1%) or good knowledge (62.7%), but knowledge was not associated with clinical caries, and the regression showed only a borderline association with the reported outcome (AOR = 1.85, p = 0.051). Knowledge therefore appears to relate to how caregivers perceive and report dental problems more than to clinically detected disease, consistent with the knowledge–practice gap described above and with the multifactorial nature of caries (Folayan et al., 2024). </w:t>
      </w:r>
    </w:p>
    <w:p w14:paraId="36453629" w14:textId="77777777" w:rsidR="00B94F3E" w:rsidRDefault="00B94F3E" w:rsidP="00B94F3E">
      <w:pPr>
        <w:pStyle w:val="Normal1"/>
        <w:widowControl w:val="0"/>
        <w:pBdr>
          <w:top w:val="nil"/>
          <w:left w:val="nil"/>
          <w:bottom w:val="nil"/>
          <w:right w:val="nil"/>
          <w:between w:val="nil"/>
        </w:pBdr>
        <w:spacing w:line="240" w:lineRule="auto"/>
        <w:ind w:left="14"/>
        <w:jc w:val="both"/>
        <w:rPr>
          <w:rFonts w:ascii="Times New Roman" w:hAnsi="Times New Roman" w:cs="Times New Roman"/>
          <w:b/>
          <w:bCs/>
          <w:i/>
          <w:iCs/>
          <w:color w:val="000000"/>
          <w:sz w:val="24"/>
          <w:szCs w:val="24"/>
        </w:rPr>
      </w:pPr>
    </w:p>
    <w:p w14:paraId="183B988A" w14:textId="77777777" w:rsidR="00435B01" w:rsidRPr="00B94F3E" w:rsidRDefault="00B94F3E" w:rsidP="00B94F3E">
      <w:pPr>
        <w:pStyle w:val="Normal1"/>
        <w:widowControl w:val="0"/>
        <w:pBdr>
          <w:top w:val="nil"/>
          <w:left w:val="nil"/>
          <w:bottom w:val="nil"/>
          <w:right w:val="nil"/>
          <w:between w:val="nil"/>
        </w:pBdr>
        <w:spacing w:line="240" w:lineRule="auto"/>
        <w:ind w:left="14"/>
        <w:jc w:val="both"/>
        <w:rPr>
          <w:rFonts w:ascii="Times New Roman" w:hAnsi="Times New Roman" w:cs="Times New Roman"/>
          <w:b/>
          <w:bCs/>
          <w:i/>
          <w:iCs/>
          <w:color w:val="000000"/>
          <w:sz w:val="24"/>
          <w:szCs w:val="24"/>
        </w:rPr>
      </w:pPr>
      <w:r w:rsidRPr="00B94F3E">
        <w:rPr>
          <w:rFonts w:ascii="Times New Roman" w:hAnsi="Times New Roman" w:cs="Times New Roman"/>
          <w:b/>
          <w:bCs/>
          <w:i/>
          <w:iCs/>
          <w:color w:val="000000"/>
          <w:sz w:val="24"/>
          <w:szCs w:val="24"/>
        </w:rPr>
        <w:t xml:space="preserve">Oral-health </w:t>
      </w:r>
      <w:proofErr w:type="spellStart"/>
      <w:r w:rsidRPr="00B94F3E">
        <w:rPr>
          <w:rFonts w:ascii="Times New Roman" w:hAnsi="Times New Roman" w:cs="Times New Roman"/>
          <w:b/>
          <w:bCs/>
          <w:i/>
          <w:iCs/>
          <w:color w:val="000000"/>
          <w:sz w:val="24"/>
          <w:szCs w:val="24"/>
        </w:rPr>
        <w:t>behaviours</w:t>
      </w:r>
      <w:proofErr w:type="spellEnd"/>
      <w:r w:rsidRPr="00B94F3E">
        <w:rPr>
          <w:rFonts w:ascii="Times New Roman" w:hAnsi="Times New Roman" w:cs="Times New Roman"/>
          <w:b/>
          <w:bCs/>
          <w:i/>
          <w:iCs/>
          <w:color w:val="000000"/>
          <w:sz w:val="24"/>
          <w:szCs w:val="24"/>
        </w:rPr>
        <w:t xml:space="preserve"> </w:t>
      </w:r>
    </w:p>
    <w:p w14:paraId="4157B136" w14:textId="77777777" w:rsidR="00435B01" w:rsidRPr="00B94F3E" w:rsidRDefault="00B94F3E" w:rsidP="00B94F3E">
      <w:pPr>
        <w:pStyle w:val="Normal1"/>
        <w:widowControl w:val="0"/>
        <w:pBdr>
          <w:top w:val="nil"/>
          <w:left w:val="nil"/>
          <w:bottom w:val="nil"/>
          <w:right w:val="nil"/>
          <w:between w:val="nil"/>
        </w:pBdr>
        <w:spacing w:before="159" w:line="240" w:lineRule="auto"/>
        <w:ind w:left="5" w:firstLine="5"/>
        <w:jc w:val="both"/>
        <w:rPr>
          <w:rFonts w:ascii="Times New Roman" w:hAnsi="Times New Roman" w:cs="Times New Roman"/>
          <w:color w:val="000000"/>
          <w:sz w:val="24"/>
          <w:szCs w:val="24"/>
        </w:rPr>
      </w:pP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were widespread </w:t>
      </w:r>
      <w:r w:rsidRPr="00B94F3E">
        <w:rPr>
          <w:rFonts w:ascii="Times New Roman" w:hAnsi="Times New Roman" w:cs="Times New Roman"/>
          <w:color w:val="000000"/>
          <w:sz w:val="24"/>
          <w:szCs w:val="24"/>
        </w:rPr>
        <w:t xml:space="preserve">(86.6%): fewer than one-third of children brushed twice daily or were supervised, and more than 40% had bedtime exposure to sweetened drinks or milk. These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match the pathways repeatedly identified in African ECC studies, including frequent sugar intake, nocturnal feeding, infrequent brushing and limited supervision (Farouk et al., 2026), and Nigerian studies link free-sugar intake and less frequent brushing with caries (Folayan et al., 2021; Folayan et al., 2025). In Khartoum, 83.4% of preschool children brushed at least once daily (</w:t>
      </w:r>
      <w:proofErr w:type="spellStart"/>
      <w:r w:rsidRPr="00B94F3E">
        <w:rPr>
          <w:rFonts w:ascii="Times New Roman" w:hAnsi="Times New Roman" w:cs="Times New Roman"/>
          <w:color w:val="000000"/>
          <w:sz w:val="24"/>
          <w:szCs w:val="24"/>
        </w:rPr>
        <w:t>Eldrissi</w:t>
      </w:r>
      <w:proofErr w:type="spellEnd"/>
      <w:r w:rsidRPr="00B94F3E">
        <w:rPr>
          <w:rFonts w:ascii="Times New Roman" w:hAnsi="Times New Roman" w:cs="Times New Roman"/>
          <w:color w:val="000000"/>
          <w:sz w:val="24"/>
          <w:szCs w:val="24"/>
        </w:rPr>
        <w:t xml:space="preserve"> &amp; Naidoo, 2016); the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figure for twice-daily brushing is not directly comparable, but it indicates considerably weaker practice. The composite </w:t>
      </w:r>
      <w:proofErr w:type="spellStart"/>
      <w:r w:rsidRPr="00B94F3E">
        <w:rPr>
          <w:rFonts w:ascii="Times New Roman" w:hAnsi="Times New Roman" w:cs="Times New Roman"/>
          <w:color w:val="000000"/>
          <w:sz w:val="24"/>
          <w:szCs w:val="24"/>
        </w:rPr>
        <w:t>behaviour</w:t>
      </w:r>
      <w:proofErr w:type="spellEnd"/>
      <w:r w:rsidRPr="00B94F3E">
        <w:rPr>
          <w:rFonts w:ascii="Times New Roman" w:hAnsi="Times New Roman" w:cs="Times New Roman"/>
          <w:color w:val="000000"/>
          <w:sz w:val="24"/>
          <w:szCs w:val="24"/>
        </w:rPr>
        <w:t xml:space="preserve"> classification was not significantly associated with either outcome in the regression, which agrees with Nigerian reviews in which sugar intake was associated with caries in some studies and not in others (</w:t>
      </w:r>
      <w:proofErr w:type="spellStart"/>
      <w:r w:rsidRPr="00B94F3E">
        <w:rPr>
          <w:rFonts w:ascii="Times New Roman" w:hAnsi="Times New Roman" w:cs="Times New Roman"/>
          <w:color w:val="000000"/>
          <w:sz w:val="24"/>
          <w:szCs w:val="24"/>
        </w:rPr>
        <w:t>Akinsolu</w:t>
      </w:r>
      <w:proofErr w:type="spellEnd"/>
      <w:r w:rsidRPr="00B94F3E">
        <w:rPr>
          <w:rFonts w:ascii="Times New Roman" w:hAnsi="Times New Roman" w:cs="Times New Roman"/>
          <w:color w:val="000000"/>
          <w:sz w:val="24"/>
          <w:szCs w:val="24"/>
        </w:rPr>
        <w:t xml:space="preserve"> et al., 2024). Combining protective and risk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into a single classification may have masked the contribution of individual </w:t>
      </w:r>
      <w:proofErr w:type="spellStart"/>
      <w:r w:rsidRPr="00B94F3E">
        <w:rPr>
          <w:rFonts w:ascii="Times New Roman" w:hAnsi="Times New Roman" w:cs="Times New Roman"/>
          <w:color w:val="000000"/>
          <w:sz w:val="24"/>
          <w:szCs w:val="24"/>
        </w:rPr>
        <w:t>behaviours</w:t>
      </w:r>
      <w:proofErr w:type="spellEnd"/>
      <w:r w:rsidRPr="00B94F3E">
        <w:rPr>
          <w:rFonts w:ascii="Times New Roman" w:hAnsi="Times New Roman" w:cs="Times New Roman"/>
          <w:color w:val="000000"/>
          <w:sz w:val="24"/>
          <w:szCs w:val="24"/>
        </w:rPr>
        <w:t xml:space="preserve">. The combination of low clinical prevalence and high </w:t>
      </w:r>
      <w:proofErr w:type="spellStart"/>
      <w:r w:rsidRPr="00B94F3E">
        <w:rPr>
          <w:rFonts w:ascii="Times New Roman" w:hAnsi="Times New Roman" w:cs="Times New Roman"/>
          <w:color w:val="000000"/>
          <w:sz w:val="24"/>
          <w:szCs w:val="24"/>
        </w:rPr>
        <w:t>behavioural</w:t>
      </w:r>
      <w:proofErr w:type="spellEnd"/>
      <w:r w:rsidRPr="00B94F3E">
        <w:rPr>
          <w:rFonts w:ascii="Times New Roman" w:hAnsi="Times New Roman" w:cs="Times New Roman"/>
          <w:color w:val="000000"/>
          <w:sz w:val="24"/>
          <w:szCs w:val="24"/>
        </w:rPr>
        <w:t xml:space="preserve"> risk suggests an opportunity for prevention before disease develops. </w:t>
      </w:r>
    </w:p>
    <w:p w14:paraId="5C363E9B" w14:textId="77777777" w:rsidR="00435B01" w:rsidRPr="00B94F3E" w:rsidRDefault="00B94F3E" w:rsidP="00B94F3E">
      <w:pPr>
        <w:pStyle w:val="Normal1"/>
        <w:widowControl w:val="0"/>
        <w:pBdr>
          <w:top w:val="nil"/>
          <w:left w:val="nil"/>
          <w:bottom w:val="nil"/>
          <w:right w:val="nil"/>
          <w:between w:val="nil"/>
        </w:pBdr>
        <w:spacing w:before="116" w:line="240" w:lineRule="auto"/>
        <w:ind w:left="4"/>
        <w:jc w:val="both"/>
        <w:rPr>
          <w:rFonts w:ascii="Times New Roman" w:hAnsi="Times New Roman" w:cs="Times New Roman"/>
          <w:b/>
          <w:bCs/>
          <w:i/>
          <w:iCs/>
          <w:color w:val="000000"/>
          <w:sz w:val="24"/>
          <w:szCs w:val="24"/>
        </w:rPr>
      </w:pPr>
      <w:r w:rsidRPr="00B94F3E">
        <w:rPr>
          <w:rFonts w:ascii="Times New Roman" w:hAnsi="Times New Roman" w:cs="Times New Roman"/>
          <w:b/>
          <w:bCs/>
          <w:i/>
          <w:iCs/>
          <w:color w:val="000000"/>
          <w:sz w:val="24"/>
          <w:szCs w:val="24"/>
        </w:rPr>
        <w:t xml:space="preserve">Environmental and health-service factors </w:t>
      </w:r>
    </w:p>
    <w:p w14:paraId="280C9FEB" w14:textId="77777777" w:rsidR="00435B01" w:rsidRPr="00B94F3E" w:rsidRDefault="00B94F3E" w:rsidP="00B94F3E">
      <w:pPr>
        <w:pStyle w:val="Normal1"/>
        <w:widowControl w:val="0"/>
        <w:pBdr>
          <w:top w:val="nil"/>
          <w:left w:val="nil"/>
          <w:bottom w:val="nil"/>
          <w:right w:val="nil"/>
          <w:between w:val="nil"/>
        </w:pBdr>
        <w:spacing w:before="159" w:line="240" w:lineRule="auto"/>
        <w:ind w:left="5" w:right="3" w:firstLine="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Fewer than half of households reported reliable safe water (41.4%), improved sanitation (47.8%) or proper waste disposal (42.7%), and fewer than one-third considered dental treatment affordable (29.6%). An </w:t>
      </w:r>
      <w:proofErr w:type="spellStart"/>
      <w:r w:rsidRPr="00B94F3E">
        <w:rPr>
          <w:rFonts w:ascii="Times New Roman" w:hAnsi="Times New Roman" w:cs="Times New Roman"/>
          <w:color w:val="000000"/>
          <w:sz w:val="24"/>
          <w:szCs w:val="24"/>
        </w:rPr>
        <w:t>unfavourable</w:t>
      </w:r>
      <w:proofErr w:type="spellEnd"/>
      <w:r w:rsidRPr="00B94F3E">
        <w:rPr>
          <w:rFonts w:ascii="Times New Roman" w:hAnsi="Times New Roman" w:cs="Times New Roman"/>
          <w:color w:val="000000"/>
          <w:sz w:val="24"/>
          <w:szCs w:val="24"/>
        </w:rPr>
        <w:t xml:space="preserve"> environment was the strongest correlate of positive caregiver-reported caries (AOR = 2.81; 95% CI: 1.64–4.81), consistent with evidence that ECC follows social and environmental gradients, including poverty, water and sanitation conditions and community-level disadvantage (El Tantawi et al., 2024; Crystal et al., 2024; Folayan et al., 2025; </w:t>
      </w:r>
      <w:proofErr w:type="spellStart"/>
      <w:r w:rsidRPr="00B94F3E">
        <w:rPr>
          <w:rFonts w:ascii="Times New Roman" w:hAnsi="Times New Roman" w:cs="Times New Roman"/>
          <w:color w:val="000000"/>
          <w:sz w:val="24"/>
          <w:szCs w:val="24"/>
        </w:rPr>
        <w:t>Maklennan</w:t>
      </w:r>
      <w:proofErr w:type="spellEnd"/>
      <w:r w:rsidRPr="00B94F3E">
        <w:rPr>
          <w:rFonts w:ascii="Times New Roman" w:hAnsi="Times New Roman" w:cs="Times New Roman"/>
          <w:color w:val="000000"/>
          <w:sz w:val="24"/>
          <w:szCs w:val="24"/>
        </w:rPr>
        <w:t xml:space="preserve"> et al., 2024). The same association was not found for clinical caries, which may reflect the very small number of clinically positive children (n = 20) and, again, the different constructs captured by the two </w:t>
      </w:r>
      <w:r w:rsidRPr="00B94F3E">
        <w:rPr>
          <w:rFonts w:ascii="Times New Roman" w:hAnsi="Times New Roman" w:cs="Times New Roman"/>
          <w:color w:val="000000"/>
          <w:sz w:val="24"/>
          <w:szCs w:val="24"/>
        </w:rPr>
        <w:lastRenderedPageBreak/>
        <w:t xml:space="preserve">outcomes. Health-service factors showed a borderline inverse association with the reported outcome (AOR = 0.59, p = 0.051). Reverse causation or a reporting effect is a plausible explanation, because caregivers who have used dental services may be more likely to have caries identified and to </w:t>
      </w:r>
      <w:proofErr w:type="spellStart"/>
      <w:r w:rsidRPr="00B94F3E">
        <w:rPr>
          <w:rFonts w:ascii="Times New Roman" w:hAnsi="Times New Roman" w:cs="Times New Roman"/>
          <w:color w:val="000000"/>
          <w:sz w:val="24"/>
          <w:szCs w:val="24"/>
        </w:rPr>
        <w:t>recognise</w:t>
      </w:r>
      <w:proofErr w:type="spellEnd"/>
      <w:r w:rsidRPr="00B94F3E">
        <w:rPr>
          <w:rFonts w:ascii="Times New Roman" w:hAnsi="Times New Roman" w:cs="Times New Roman"/>
          <w:color w:val="000000"/>
          <w:sz w:val="24"/>
          <w:szCs w:val="24"/>
        </w:rPr>
        <w:t xml:space="preserve"> it, but the result was borderline and should be treated cautiously. Southern African and international reviews have identified limited access to services and the absence of a dental home as risk factors (Ogunlade et al., 2026; Khan et al., 2024), so the absence of a clear association here should not be taken to mean that access is unimportant. </w:t>
      </w:r>
    </w:p>
    <w:p w14:paraId="075FCB86" w14:textId="77777777" w:rsidR="00435B01" w:rsidRPr="00B94F3E" w:rsidRDefault="00B94F3E" w:rsidP="00B94F3E">
      <w:pPr>
        <w:pStyle w:val="Normal1"/>
        <w:widowControl w:val="0"/>
        <w:pBdr>
          <w:top w:val="nil"/>
          <w:left w:val="nil"/>
          <w:bottom w:val="nil"/>
          <w:right w:val="nil"/>
          <w:between w:val="nil"/>
        </w:pBdr>
        <w:spacing w:before="180" w:line="240" w:lineRule="auto"/>
        <w:ind w:left="14" w:right="20" w:firstLine="1"/>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Overall, caregiver-reported indicators in these communities identify perceived oral problems and unmet need for assessment, but they do not estimate clinical caries burden, and the clinically detected burden was low alongside considerable </w:t>
      </w:r>
      <w:proofErr w:type="spellStart"/>
      <w:r w:rsidRPr="00B94F3E">
        <w:rPr>
          <w:rFonts w:ascii="Times New Roman" w:hAnsi="Times New Roman" w:cs="Times New Roman"/>
          <w:color w:val="000000"/>
          <w:sz w:val="24"/>
          <w:szCs w:val="24"/>
        </w:rPr>
        <w:t>behavioural</w:t>
      </w:r>
      <w:proofErr w:type="spellEnd"/>
      <w:r w:rsidRPr="00B94F3E">
        <w:rPr>
          <w:rFonts w:ascii="Times New Roman" w:hAnsi="Times New Roman" w:cs="Times New Roman"/>
          <w:color w:val="000000"/>
          <w:sz w:val="24"/>
          <w:szCs w:val="24"/>
        </w:rPr>
        <w:t xml:space="preserve">, environmental and service-related risk. Caregiver-reported indicators should complement, not replace, clinical oral examination. Routine oral screening and referral should be built into maternal and child </w:t>
      </w:r>
    </w:p>
    <w:p w14:paraId="010F7C4C" w14:textId="77777777" w:rsidR="00435B01" w:rsidRPr="00B94F3E" w:rsidRDefault="00B94F3E" w:rsidP="00B94F3E">
      <w:pPr>
        <w:pStyle w:val="Normal1"/>
        <w:widowControl w:val="0"/>
        <w:pBdr>
          <w:top w:val="nil"/>
          <w:left w:val="nil"/>
          <w:bottom w:val="nil"/>
          <w:right w:val="nil"/>
          <w:between w:val="nil"/>
        </w:pBdr>
        <w:spacing w:line="240" w:lineRule="auto"/>
        <w:ind w:left="6" w:right="12" w:firstLine="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health services and preschool </w:t>
      </w:r>
      <w:proofErr w:type="spellStart"/>
      <w:r w:rsidRPr="00B94F3E">
        <w:rPr>
          <w:rFonts w:ascii="Times New Roman" w:hAnsi="Times New Roman" w:cs="Times New Roman"/>
          <w:color w:val="000000"/>
          <w:sz w:val="24"/>
          <w:szCs w:val="24"/>
        </w:rPr>
        <w:t>programmes</w:t>
      </w:r>
      <w:proofErr w:type="spellEnd"/>
      <w:r w:rsidRPr="00B94F3E">
        <w:rPr>
          <w:rFonts w:ascii="Times New Roman" w:hAnsi="Times New Roman" w:cs="Times New Roman"/>
          <w:color w:val="000000"/>
          <w:sz w:val="24"/>
          <w:szCs w:val="24"/>
        </w:rPr>
        <w:t xml:space="preserve"> in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with caregiver education that corrects misconceptions about primary teeth, brushing and sugar, and with attention to water, sanitation and access to affordable preventive dental services. Because the low prevalence offers a window for prevention, these measures should be sustained and not relaxed. </w:t>
      </w:r>
    </w:p>
    <w:p w14:paraId="4A200DF4" w14:textId="77777777" w:rsidR="00435B01" w:rsidRPr="00B94F3E" w:rsidRDefault="00B94F3E" w:rsidP="00B94F3E">
      <w:pPr>
        <w:pStyle w:val="Normal1"/>
        <w:widowControl w:val="0"/>
        <w:pBdr>
          <w:top w:val="nil"/>
          <w:left w:val="nil"/>
          <w:bottom w:val="nil"/>
          <w:right w:val="nil"/>
          <w:between w:val="nil"/>
        </w:pBdr>
        <w:spacing w:before="235"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Limitations of the Study </w:t>
      </w:r>
    </w:p>
    <w:p w14:paraId="4AC43922" w14:textId="77777777" w:rsidR="00435B01" w:rsidRPr="00B94F3E" w:rsidRDefault="00B94F3E" w:rsidP="00B94F3E">
      <w:pPr>
        <w:pStyle w:val="Normal1"/>
        <w:widowControl w:val="0"/>
        <w:pBdr>
          <w:top w:val="nil"/>
          <w:left w:val="nil"/>
          <w:bottom w:val="nil"/>
          <w:right w:val="nil"/>
          <w:between w:val="nil"/>
        </w:pBdr>
        <w:spacing w:before="204" w:line="240" w:lineRule="auto"/>
        <w:ind w:left="554" w:right="4" w:hanging="347"/>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1. The cross-sectional design measured exposures and outcomes at one point in time, so the associations observed cannot establish temporal or causal relationships. </w:t>
      </w:r>
    </w:p>
    <w:p w14:paraId="64D0BD71" w14:textId="77777777" w:rsidR="00435B01" w:rsidRPr="00B94F3E" w:rsidRDefault="00B94F3E" w:rsidP="00B94F3E">
      <w:pPr>
        <w:pStyle w:val="Normal1"/>
        <w:widowControl w:val="0"/>
        <w:pBdr>
          <w:top w:val="nil"/>
          <w:left w:val="nil"/>
          <w:bottom w:val="nil"/>
          <w:right w:val="nil"/>
          <w:between w:val="nil"/>
        </w:pBdr>
        <w:spacing w:before="116" w:line="240" w:lineRule="auto"/>
        <w:ind w:left="549" w:right="18" w:hanging="35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2. Most information was caregiver-reported and may be affected by recall bias, differing understanding of dental symptoms and social desirability bias. The caregiver-reported indicators represent perceived signs and experiences, not </w:t>
      </w:r>
      <w:r w:rsidRPr="00B94F3E">
        <w:rPr>
          <w:rFonts w:ascii="Times New Roman" w:hAnsi="Times New Roman" w:cs="Times New Roman"/>
          <w:color w:val="000000"/>
          <w:sz w:val="24"/>
          <w:szCs w:val="24"/>
        </w:rPr>
        <w:t xml:space="preserve">clinical diagnoses. </w:t>
      </w:r>
    </w:p>
    <w:p w14:paraId="37008E10" w14:textId="77777777" w:rsidR="00435B01" w:rsidRPr="00B94F3E" w:rsidRDefault="00B94F3E" w:rsidP="00B94F3E">
      <w:pPr>
        <w:pStyle w:val="Normal1"/>
        <w:widowControl w:val="0"/>
        <w:pBdr>
          <w:top w:val="nil"/>
          <w:left w:val="nil"/>
          <w:bottom w:val="nil"/>
          <w:right w:val="nil"/>
          <w:between w:val="nil"/>
        </w:pBdr>
        <w:spacing w:before="116" w:line="240" w:lineRule="auto"/>
        <w:ind w:left="554" w:right="10" w:hanging="35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3. Only 20 children (5.1%) had clinically detected caries, which limited the precision of analyses involving clinical caries, and the wide confidence intervals should be interpreted cautiously. </w:t>
      </w:r>
    </w:p>
    <w:p w14:paraId="2B56D8E0" w14:textId="77777777" w:rsidR="00435B01" w:rsidRPr="00B94F3E" w:rsidRDefault="00B94F3E" w:rsidP="00B94F3E">
      <w:pPr>
        <w:pStyle w:val="Normal1"/>
        <w:widowControl w:val="0"/>
        <w:pBdr>
          <w:top w:val="nil"/>
          <w:left w:val="nil"/>
          <w:bottom w:val="nil"/>
          <w:right w:val="nil"/>
          <w:between w:val="nil"/>
        </w:pBdr>
        <w:spacing w:before="116" w:line="240" w:lineRule="auto"/>
        <w:ind w:left="550" w:right="20" w:hanging="36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4. </w:t>
      </w:r>
      <w:proofErr w:type="spellStart"/>
      <w:r w:rsidRPr="00B94F3E">
        <w:rPr>
          <w:rFonts w:ascii="Times New Roman" w:hAnsi="Times New Roman" w:cs="Times New Roman"/>
          <w:color w:val="000000"/>
          <w:sz w:val="24"/>
          <w:szCs w:val="24"/>
        </w:rPr>
        <w:t>Behavioural</w:t>
      </w:r>
      <w:proofErr w:type="spellEnd"/>
      <w:r w:rsidRPr="00B94F3E">
        <w:rPr>
          <w:rFonts w:ascii="Times New Roman" w:hAnsi="Times New Roman" w:cs="Times New Roman"/>
          <w:color w:val="000000"/>
          <w:sz w:val="24"/>
          <w:szCs w:val="24"/>
        </w:rPr>
        <w:t xml:space="preserve">, environmental and health-service factors were assessed through caregiver responses rather than direct observation or independent assessment, and two environmental items (overcrowding and pollution) received uniform responses that may not reflect conditions in the communities. </w:t>
      </w:r>
    </w:p>
    <w:p w14:paraId="3DCAD3C7" w14:textId="77777777" w:rsidR="00435B01" w:rsidRPr="00B94F3E" w:rsidRDefault="00B94F3E" w:rsidP="00B94F3E">
      <w:pPr>
        <w:pStyle w:val="Normal1"/>
        <w:widowControl w:val="0"/>
        <w:pBdr>
          <w:top w:val="nil"/>
          <w:left w:val="nil"/>
          <w:bottom w:val="nil"/>
          <w:right w:val="nil"/>
          <w:between w:val="nil"/>
        </w:pBdr>
        <w:spacing w:before="116" w:line="240" w:lineRule="auto"/>
        <w:ind w:left="545" w:right="10" w:hanging="34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5. The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index does not capture early non-cavitated lesions, so clinical prevalence may be underestimated, and a reliability coefficient for the questionnaire in this sample is not available. </w:t>
      </w:r>
    </w:p>
    <w:p w14:paraId="292B614C" w14:textId="77777777" w:rsidR="00435B01" w:rsidRPr="00B94F3E" w:rsidRDefault="00B94F3E" w:rsidP="00B94F3E">
      <w:pPr>
        <w:pStyle w:val="Normal1"/>
        <w:widowControl w:val="0"/>
        <w:pBdr>
          <w:top w:val="nil"/>
          <w:left w:val="nil"/>
          <w:bottom w:val="nil"/>
          <w:right w:val="nil"/>
          <w:between w:val="nil"/>
        </w:pBdr>
        <w:spacing w:before="116" w:line="240" w:lineRule="auto"/>
        <w:ind w:left="551" w:right="7" w:hanging="355"/>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6. The study was confined to five selected communities in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LGA, so the findings may not </w:t>
      </w:r>
      <w:proofErr w:type="spellStart"/>
      <w:r w:rsidRPr="00B94F3E">
        <w:rPr>
          <w:rFonts w:ascii="Times New Roman" w:hAnsi="Times New Roman" w:cs="Times New Roman"/>
          <w:color w:val="000000"/>
          <w:sz w:val="24"/>
          <w:szCs w:val="24"/>
        </w:rPr>
        <w:t>generalise</w:t>
      </w:r>
      <w:proofErr w:type="spellEnd"/>
      <w:r w:rsidRPr="00B94F3E">
        <w:rPr>
          <w:rFonts w:ascii="Times New Roman" w:hAnsi="Times New Roman" w:cs="Times New Roman"/>
          <w:color w:val="000000"/>
          <w:sz w:val="24"/>
          <w:szCs w:val="24"/>
        </w:rPr>
        <w:t xml:space="preserve"> to other communities in Rivers State or Nigeria. </w:t>
      </w:r>
    </w:p>
    <w:p w14:paraId="00405896" w14:textId="77777777" w:rsidR="00435B01" w:rsidRDefault="00B94F3E" w:rsidP="00B94F3E">
      <w:pPr>
        <w:pStyle w:val="Normal1"/>
        <w:widowControl w:val="0"/>
        <w:pBdr>
          <w:top w:val="nil"/>
          <w:left w:val="nil"/>
          <w:bottom w:val="nil"/>
          <w:right w:val="nil"/>
          <w:between w:val="nil"/>
        </w:pBdr>
        <w:spacing w:before="132" w:line="240" w:lineRule="auto"/>
        <w:ind w:left="9" w:right="24" w:firstLine="3"/>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Despite these limitations, combining caregiver reports with clinical </w:t>
      </w:r>
      <w:proofErr w:type="spellStart"/>
      <w:r w:rsidRPr="00B94F3E">
        <w:rPr>
          <w:rFonts w:ascii="Times New Roman" w:hAnsi="Times New Roman" w:cs="Times New Roman"/>
          <w:color w:val="000000"/>
          <w:sz w:val="24"/>
          <w:szCs w:val="24"/>
        </w:rPr>
        <w:t>dmft</w:t>
      </w:r>
      <w:proofErr w:type="spellEnd"/>
      <w:r w:rsidRPr="00B94F3E">
        <w:rPr>
          <w:rFonts w:ascii="Times New Roman" w:hAnsi="Times New Roman" w:cs="Times New Roman"/>
          <w:color w:val="000000"/>
          <w:sz w:val="24"/>
          <w:szCs w:val="24"/>
        </w:rPr>
        <w:t xml:space="preserve"> examination in the same children gave complementary perspectives on preschool oral health, and the study provides the first community-based data of this kind for </w:t>
      </w:r>
      <w:proofErr w:type="spellStart"/>
      <w:r w:rsidRPr="00B94F3E">
        <w:rPr>
          <w:rFonts w:ascii="Times New Roman" w:hAnsi="Times New Roman" w:cs="Times New Roman"/>
          <w:color w:val="000000"/>
          <w:sz w:val="24"/>
          <w:szCs w:val="24"/>
        </w:rPr>
        <w:t>Okrika</w:t>
      </w:r>
      <w:proofErr w:type="spellEnd"/>
      <w:r w:rsidRPr="00B94F3E">
        <w:rPr>
          <w:rFonts w:ascii="Times New Roman" w:hAnsi="Times New Roman" w:cs="Times New Roman"/>
          <w:color w:val="000000"/>
          <w:sz w:val="24"/>
          <w:szCs w:val="24"/>
        </w:rPr>
        <w:t xml:space="preserve"> LGA. </w:t>
      </w:r>
    </w:p>
    <w:p w14:paraId="7F07CF08" w14:textId="77777777" w:rsidR="00F518DC" w:rsidRPr="00F518DC" w:rsidRDefault="00F518DC" w:rsidP="00F518DC">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F518DC">
        <w:rPr>
          <w:rFonts w:ascii="Times New Roman" w:eastAsia="Times New Roman" w:hAnsi="Times New Roman" w:cs="Times New Roman"/>
          <w:b/>
          <w:bCs/>
          <w:sz w:val="27"/>
          <w:szCs w:val="27"/>
          <w:lang w:val="en-GB" w:eastAsia="en-GB"/>
        </w:rPr>
        <w:t>Conclusion</w:t>
      </w:r>
    </w:p>
    <w:p w14:paraId="699E746B" w14:textId="77777777" w:rsidR="00F518DC" w:rsidRPr="00F518DC" w:rsidRDefault="00F518DC" w:rsidP="00F518DC">
      <w:pPr>
        <w:spacing w:before="100" w:beforeAutospacing="1" w:after="100" w:afterAutospacing="1" w:line="240" w:lineRule="auto"/>
        <w:rPr>
          <w:rFonts w:ascii="Times New Roman" w:eastAsia="Times New Roman" w:hAnsi="Times New Roman" w:cs="Times New Roman"/>
          <w:sz w:val="24"/>
          <w:szCs w:val="24"/>
          <w:lang w:val="en-GB" w:eastAsia="en-GB"/>
        </w:rPr>
      </w:pPr>
      <w:r w:rsidRPr="00F518DC">
        <w:rPr>
          <w:rFonts w:ascii="Times New Roman" w:eastAsia="Times New Roman" w:hAnsi="Times New Roman" w:cs="Times New Roman"/>
          <w:sz w:val="24"/>
          <w:szCs w:val="24"/>
          <w:lang w:val="en-GB" w:eastAsia="en-GB"/>
        </w:rPr>
        <w:t xml:space="preserve">The study identified a marked difference between caregiver-reported dental caries and clinically confirmed disease among preschool children in the selected communities. Although 69.2% of children were classified as having positive caregiver-reported caries, only 5.1% had clinically detected caries, and agreement between the two measures was negligible. An unfavourable environmental classification was associated with caregiver-reported caries, whereas none of the assessed factors was significantly associated with clinical caries. These </w:t>
      </w:r>
      <w:r w:rsidRPr="00F518DC">
        <w:rPr>
          <w:rFonts w:ascii="Times New Roman" w:eastAsia="Times New Roman" w:hAnsi="Times New Roman" w:cs="Times New Roman"/>
          <w:sz w:val="24"/>
          <w:szCs w:val="24"/>
          <w:lang w:val="en-GB" w:eastAsia="en-GB"/>
        </w:rPr>
        <w:lastRenderedPageBreak/>
        <w:t>findings indicate that caregiver reports largely reflect perceived dental signs, symptoms, and previous experiences and cannot be considered equivalent to clinical diagnosis. Clinical oral examination should therefore remain the principal method for determining dental caries, while caregiver reports may provide complementary information for identifying perceived oral-health problems and the need for professional assessment.</w:t>
      </w:r>
    </w:p>
    <w:p w14:paraId="60145BDD" w14:textId="77777777" w:rsidR="00F518DC" w:rsidRDefault="00F518DC" w:rsidP="00B94F3E">
      <w:pPr>
        <w:pStyle w:val="Normal1"/>
        <w:widowControl w:val="0"/>
        <w:pBdr>
          <w:top w:val="nil"/>
          <w:left w:val="nil"/>
          <w:bottom w:val="nil"/>
          <w:right w:val="nil"/>
          <w:between w:val="nil"/>
        </w:pBdr>
        <w:spacing w:before="132" w:line="240" w:lineRule="auto"/>
        <w:ind w:left="9" w:right="24" w:firstLine="3"/>
        <w:jc w:val="both"/>
        <w:rPr>
          <w:rFonts w:ascii="Times New Roman" w:hAnsi="Times New Roman" w:cs="Times New Roman"/>
          <w:color w:val="000000"/>
          <w:sz w:val="24"/>
          <w:szCs w:val="24"/>
        </w:rPr>
      </w:pPr>
    </w:p>
    <w:p w14:paraId="431D4932" w14:textId="77777777" w:rsidR="002F4166" w:rsidRPr="002F4166" w:rsidRDefault="002F4166" w:rsidP="002F4166">
      <w:pPr>
        <w:pStyle w:val="Normal1"/>
        <w:widowControl w:val="0"/>
        <w:pBdr>
          <w:top w:val="nil"/>
          <w:left w:val="nil"/>
          <w:bottom w:val="nil"/>
          <w:right w:val="nil"/>
          <w:between w:val="nil"/>
        </w:pBdr>
        <w:spacing w:before="132" w:line="240" w:lineRule="auto"/>
        <w:ind w:left="9" w:right="24" w:firstLine="3"/>
        <w:jc w:val="both"/>
        <w:rPr>
          <w:rFonts w:ascii="Times New Roman" w:hAnsi="Times New Roman" w:cs="Times New Roman"/>
          <w:color w:val="000000"/>
          <w:sz w:val="24"/>
          <w:szCs w:val="24"/>
        </w:rPr>
      </w:pPr>
      <w:r w:rsidRPr="002F4166">
        <w:rPr>
          <w:rFonts w:ascii="Times New Roman" w:hAnsi="Times New Roman" w:cs="Times New Roman"/>
          <w:color w:val="000000"/>
          <w:sz w:val="24"/>
          <w:szCs w:val="24"/>
        </w:rPr>
        <w:t>Declaration of AI Use</w:t>
      </w:r>
    </w:p>
    <w:p w14:paraId="558DD9A1" w14:textId="77777777" w:rsidR="002F4166" w:rsidRPr="002F4166" w:rsidRDefault="002F4166" w:rsidP="002F4166">
      <w:pPr>
        <w:pStyle w:val="Normal1"/>
        <w:widowControl w:val="0"/>
        <w:pBdr>
          <w:top w:val="nil"/>
          <w:left w:val="nil"/>
          <w:bottom w:val="nil"/>
          <w:right w:val="nil"/>
          <w:between w:val="nil"/>
        </w:pBdr>
        <w:spacing w:before="132" w:line="240" w:lineRule="auto"/>
        <w:ind w:left="9" w:right="24" w:firstLine="3"/>
        <w:jc w:val="both"/>
        <w:rPr>
          <w:rFonts w:ascii="Times New Roman" w:hAnsi="Times New Roman" w:cs="Times New Roman"/>
          <w:color w:val="000000"/>
          <w:sz w:val="24"/>
          <w:szCs w:val="24"/>
        </w:rPr>
      </w:pPr>
    </w:p>
    <w:p w14:paraId="3DE2E6DB" w14:textId="77777777" w:rsidR="002F4166" w:rsidRPr="002F4166" w:rsidRDefault="002F4166" w:rsidP="002F4166">
      <w:pPr>
        <w:pStyle w:val="Normal1"/>
        <w:widowControl w:val="0"/>
        <w:pBdr>
          <w:top w:val="nil"/>
          <w:left w:val="nil"/>
          <w:bottom w:val="nil"/>
          <w:right w:val="nil"/>
          <w:between w:val="nil"/>
        </w:pBdr>
        <w:spacing w:before="132" w:line="240" w:lineRule="auto"/>
        <w:ind w:left="9" w:right="24" w:firstLine="3"/>
        <w:jc w:val="both"/>
        <w:rPr>
          <w:rFonts w:ascii="Times New Roman" w:hAnsi="Times New Roman" w:cs="Times New Roman"/>
          <w:color w:val="000000"/>
          <w:sz w:val="24"/>
          <w:szCs w:val="24"/>
        </w:rPr>
      </w:pPr>
    </w:p>
    <w:p w14:paraId="44BF3294" w14:textId="77777777" w:rsidR="002F4166" w:rsidRPr="002F4166" w:rsidRDefault="002F4166" w:rsidP="002F4166">
      <w:pPr>
        <w:pStyle w:val="Normal1"/>
        <w:widowControl w:val="0"/>
        <w:pBdr>
          <w:top w:val="nil"/>
          <w:left w:val="nil"/>
          <w:bottom w:val="nil"/>
          <w:right w:val="nil"/>
          <w:between w:val="nil"/>
        </w:pBdr>
        <w:spacing w:before="132" w:line="240" w:lineRule="auto"/>
        <w:ind w:left="9" w:right="24" w:firstLine="3"/>
        <w:jc w:val="both"/>
        <w:rPr>
          <w:rFonts w:ascii="Times New Roman" w:hAnsi="Times New Roman" w:cs="Times New Roman"/>
          <w:color w:val="000000"/>
          <w:sz w:val="24"/>
          <w:szCs w:val="24"/>
        </w:rPr>
      </w:pPr>
    </w:p>
    <w:p w14:paraId="722D9627" w14:textId="76043B7E" w:rsidR="002F4166" w:rsidRPr="00B94F3E" w:rsidRDefault="002F4166" w:rsidP="002F4166">
      <w:pPr>
        <w:pStyle w:val="Normal1"/>
        <w:widowControl w:val="0"/>
        <w:pBdr>
          <w:top w:val="nil"/>
          <w:left w:val="nil"/>
          <w:bottom w:val="nil"/>
          <w:right w:val="nil"/>
          <w:between w:val="nil"/>
        </w:pBdr>
        <w:spacing w:before="132" w:line="240" w:lineRule="auto"/>
        <w:ind w:left="9" w:right="24" w:firstLine="3"/>
        <w:jc w:val="both"/>
        <w:rPr>
          <w:rFonts w:ascii="Times New Roman" w:hAnsi="Times New Roman" w:cs="Times New Roman"/>
          <w:color w:val="000000"/>
          <w:sz w:val="24"/>
          <w:szCs w:val="24"/>
        </w:rPr>
      </w:pPr>
      <w:r w:rsidRPr="002F4166">
        <w:rPr>
          <w:rFonts w:ascii="Times New Roman" w:hAnsi="Times New Roman" w:cs="Times New Roman"/>
          <w:color w:val="000000"/>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F9319E8" w14:textId="77777777" w:rsidR="00B94F3E" w:rsidRPr="00B94F3E" w:rsidRDefault="00B94F3E" w:rsidP="00B94F3E">
      <w:pPr>
        <w:pStyle w:val="Heading1"/>
        <w:spacing w:line="240" w:lineRule="auto"/>
        <w:jc w:val="both"/>
        <w:rPr>
          <w:rFonts w:ascii="Times New Roman" w:hAnsi="Times New Roman" w:cs="Times New Roman"/>
          <w:sz w:val="24"/>
          <w:szCs w:val="24"/>
        </w:rPr>
      </w:pPr>
      <w:r w:rsidRPr="00B94F3E">
        <w:rPr>
          <w:rFonts w:ascii="Times New Roman" w:hAnsi="Times New Roman" w:cs="Times New Roman"/>
          <w:sz w:val="24"/>
          <w:szCs w:val="24"/>
        </w:rPr>
        <w:t xml:space="preserve">Declaration </w:t>
      </w:r>
    </w:p>
    <w:p w14:paraId="0955A198" w14:textId="77777777" w:rsidR="00B94F3E" w:rsidRPr="00B94F3E" w:rsidRDefault="00B94F3E" w:rsidP="00B94F3E">
      <w:pPr>
        <w:pStyle w:val="Normal1"/>
        <w:spacing w:after="120" w:line="240" w:lineRule="auto"/>
        <w:jc w:val="both"/>
        <w:rPr>
          <w:rFonts w:ascii="Times New Roman" w:hAnsi="Times New Roman" w:cs="Times New Roman"/>
          <w:sz w:val="24"/>
          <w:szCs w:val="24"/>
        </w:rPr>
      </w:pPr>
      <w:r w:rsidRPr="00B94F3E">
        <w:rPr>
          <w:rFonts w:ascii="Times New Roman" w:hAnsi="Times New Roman" w:cs="Times New Roman"/>
          <w:sz w:val="24"/>
          <w:szCs w:val="24"/>
        </w:rPr>
        <w:t xml:space="preserve">The authors declare the have no conflict of interest with any author, analysis of this research </w:t>
      </w:r>
    </w:p>
    <w:p w14:paraId="40650EC4" w14:textId="77777777" w:rsidR="00435B01" w:rsidRPr="00B94F3E" w:rsidRDefault="00B94F3E" w:rsidP="00B94F3E">
      <w:pPr>
        <w:pStyle w:val="Normal1"/>
        <w:widowControl w:val="0"/>
        <w:pBdr>
          <w:top w:val="nil"/>
          <w:left w:val="nil"/>
          <w:bottom w:val="nil"/>
          <w:right w:val="nil"/>
          <w:between w:val="nil"/>
        </w:pBdr>
        <w:spacing w:before="294" w:line="240" w:lineRule="auto"/>
        <w:ind w:left="10"/>
        <w:jc w:val="both"/>
        <w:rPr>
          <w:rFonts w:ascii="Times New Roman" w:hAnsi="Times New Roman" w:cs="Times New Roman"/>
          <w:b/>
          <w:bCs/>
          <w:color w:val="000000"/>
          <w:sz w:val="24"/>
          <w:szCs w:val="24"/>
        </w:rPr>
      </w:pPr>
      <w:r w:rsidRPr="00B94F3E">
        <w:rPr>
          <w:rFonts w:ascii="Times New Roman" w:hAnsi="Times New Roman" w:cs="Times New Roman"/>
          <w:b/>
          <w:bCs/>
          <w:color w:val="000000"/>
          <w:sz w:val="24"/>
          <w:szCs w:val="24"/>
        </w:rPr>
        <w:t xml:space="preserve">References </w:t>
      </w:r>
    </w:p>
    <w:p w14:paraId="7FF44E97" w14:textId="77777777" w:rsidR="00435B01" w:rsidRPr="00B94F3E" w:rsidRDefault="00B94F3E" w:rsidP="00B94F3E">
      <w:pPr>
        <w:pStyle w:val="Normal1"/>
        <w:widowControl w:val="0"/>
        <w:pBdr>
          <w:top w:val="nil"/>
          <w:left w:val="nil"/>
          <w:bottom w:val="nil"/>
          <w:right w:val="nil"/>
          <w:between w:val="nil"/>
        </w:pBdr>
        <w:spacing w:before="157" w:line="240" w:lineRule="auto"/>
        <w:ind w:left="90" w:right="99"/>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Adeniyi, A. A., &amp; Odusanya, O. O. (2017). Self-reported dental pain and dental caries among 8–12- year-old school children: An exploratory survey in Lagos, Nigeria. </w:t>
      </w:r>
      <w:r w:rsidRPr="00B94F3E">
        <w:rPr>
          <w:rFonts w:ascii="Times New Roman" w:hAnsi="Times New Roman" w:cs="Times New Roman"/>
          <w:i/>
          <w:iCs/>
          <w:color w:val="000000"/>
          <w:sz w:val="24"/>
          <w:szCs w:val="24"/>
        </w:rPr>
        <w:t xml:space="preserve">The Nigerian </w:t>
      </w:r>
      <w:proofErr w:type="gramStart"/>
      <w:r w:rsidRPr="00B94F3E">
        <w:rPr>
          <w:rFonts w:ascii="Times New Roman" w:hAnsi="Times New Roman" w:cs="Times New Roman"/>
          <w:i/>
          <w:iCs/>
          <w:color w:val="000000"/>
          <w:sz w:val="24"/>
          <w:szCs w:val="24"/>
        </w:rPr>
        <w:t>Postgraduate  Medical</w:t>
      </w:r>
      <w:proofErr w:type="gramEnd"/>
      <w:r w:rsidRPr="00B94F3E">
        <w:rPr>
          <w:rFonts w:ascii="Times New Roman" w:hAnsi="Times New Roman" w:cs="Times New Roman"/>
          <w:i/>
          <w:iCs/>
          <w:color w:val="000000"/>
          <w:sz w:val="24"/>
          <w:szCs w:val="24"/>
        </w:rPr>
        <w:t xml:space="preserve"> Journal, 24</w:t>
      </w:r>
      <w:r w:rsidRPr="00B94F3E">
        <w:rPr>
          <w:rFonts w:ascii="Times New Roman" w:hAnsi="Times New Roman" w:cs="Times New Roman"/>
          <w:color w:val="000000"/>
          <w:sz w:val="24"/>
          <w:szCs w:val="24"/>
        </w:rPr>
        <w:t xml:space="preserve">(1), 37–43. </w:t>
      </w:r>
    </w:p>
    <w:p w14:paraId="5A77EB71" w14:textId="77777777" w:rsidR="00435B01" w:rsidRPr="00B94F3E" w:rsidRDefault="00B94F3E" w:rsidP="00B94F3E">
      <w:pPr>
        <w:pStyle w:val="Normal1"/>
        <w:widowControl w:val="0"/>
        <w:pBdr>
          <w:top w:val="nil"/>
          <w:left w:val="nil"/>
          <w:bottom w:val="nil"/>
          <w:right w:val="nil"/>
          <w:between w:val="nil"/>
        </w:pBdr>
        <w:spacing w:line="240" w:lineRule="auto"/>
        <w:ind w:left="90" w:right="61"/>
        <w:jc w:val="both"/>
        <w:rPr>
          <w:rFonts w:ascii="Times New Roman" w:hAnsi="Times New Roman" w:cs="Times New Roman"/>
          <w:color w:val="000000"/>
          <w:sz w:val="24"/>
          <w:szCs w:val="24"/>
        </w:rPr>
      </w:pPr>
      <w:proofErr w:type="spellStart"/>
      <w:r w:rsidRPr="00B94F3E">
        <w:rPr>
          <w:rFonts w:ascii="Times New Roman" w:hAnsi="Times New Roman" w:cs="Times New Roman"/>
          <w:color w:val="000000"/>
          <w:sz w:val="24"/>
          <w:szCs w:val="24"/>
        </w:rPr>
        <w:t>Akinsolu</w:t>
      </w:r>
      <w:proofErr w:type="spellEnd"/>
      <w:r w:rsidRPr="00B94F3E">
        <w:rPr>
          <w:rFonts w:ascii="Times New Roman" w:hAnsi="Times New Roman" w:cs="Times New Roman"/>
          <w:color w:val="000000"/>
          <w:sz w:val="24"/>
          <w:szCs w:val="24"/>
        </w:rPr>
        <w:t xml:space="preserve">, F. T., </w:t>
      </w:r>
      <w:proofErr w:type="spellStart"/>
      <w:r w:rsidRPr="00B94F3E">
        <w:rPr>
          <w:rFonts w:ascii="Times New Roman" w:hAnsi="Times New Roman" w:cs="Times New Roman"/>
          <w:color w:val="000000"/>
          <w:sz w:val="24"/>
          <w:szCs w:val="24"/>
        </w:rPr>
        <w:t>Gbaja-Biamila</w:t>
      </w:r>
      <w:proofErr w:type="spellEnd"/>
      <w:r w:rsidRPr="00B94F3E">
        <w:rPr>
          <w:rFonts w:ascii="Times New Roman" w:hAnsi="Times New Roman" w:cs="Times New Roman"/>
          <w:color w:val="000000"/>
          <w:sz w:val="24"/>
          <w:szCs w:val="24"/>
        </w:rPr>
        <w:t xml:space="preserve">, T. A., Salako, A. O., Adewole, I. E., Olagunju, M. T., Abodunrin, O.  R., … Folayan, M. O. (2024). A systematic review and meta-analysis of the </w:t>
      </w:r>
      <w:proofErr w:type="gramStart"/>
      <w:r w:rsidRPr="00B94F3E">
        <w:rPr>
          <w:rFonts w:ascii="Times New Roman" w:hAnsi="Times New Roman" w:cs="Times New Roman"/>
          <w:color w:val="000000"/>
          <w:sz w:val="24"/>
          <w:szCs w:val="24"/>
        </w:rPr>
        <w:t>association  between</w:t>
      </w:r>
      <w:proofErr w:type="gramEnd"/>
      <w:r w:rsidRPr="00B94F3E">
        <w:rPr>
          <w:rFonts w:ascii="Times New Roman" w:hAnsi="Times New Roman" w:cs="Times New Roman"/>
          <w:color w:val="000000"/>
          <w:sz w:val="24"/>
          <w:szCs w:val="24"/>
        </w:rPr>
        <w:t xml:space="preserve"> sugar intake and dental caries in Nigeria. </w:t>
      </w:r>
      <w:r w:rsidRPr="00B94F3E">
        <w:rPr>
          <w:rFonts w:ascii="Times New Roman" w:hAnsi="Times New Roman" w:cs="Times New Roman"/>
          <w:i/>
          <w:iCs/>
          <w:color w:val="000000"/>
          <w:sz w:val="24"/>
          <w:szCs w:val="24"/>
        </w:rPr>
        <w:t>BMC Oral Health, 24</w:t>
      </w:r>
      <w:r w:rsidRPr="00B94F3E">
        <w:rPr>
          <w:rFonts w:ascii="Times New Roman" w:hAnsi="Times New Roman" w:cs="Times New Roman"/>
          <w:color w:val="000000"/>
          <w:sz w:val="24"/>
          <w:szCs w:val="24"/>
        </w:rPr>
        <w:t xml:space="preserve">(1), 1532. </w:t>
      </w:r>
    </w:p>
    <w:p w14:paraId="4590402B"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48"/>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Alade, M., Folayan, M. O., El Tantawi, M., </w:t>
      </w:r>
      <w:proofErr w:type="spellStart"/>
      <w:r w:rsidRPr="00B94F3E">
        <w:rPr>
          <w:rFonts w:ascii="Times New Roman" w:hAnsi="Times New Roman" w:cs="Times New Roman"/>
          <w:color w:val="000000"/>
          <w:sz w:val="24"/>
          <w:szCs w:val="24"/>
        </w:rPr>
        <w:t>Oginni</w:t>
      </w:r>
      <w:proofErr w:type="spellEnd"/>
      <w:r w:rsidRPr="00B94F3E">
        <w:rPr>
          <w:rFonts w:ascii="Times New Roman" w:hAnsi="Times New Roman" w:cs="Times New Roman"/>
          <w:color w:val="000000"/>
          <w:sz w:val="24"/>
          <w:szCs w:val="24"/>
        </w:rPr>
        <w:t xml:space="preserve">, A. B., Adeniyi, A. A., &amp; Finlayson, T. L. (2021).  Early childhood caries: Are maternal psychosocial factors, decision-making ability, and </w:t>
      </w:r>
      <w:proofErr w:type="gramStart"/>
      <w:r w:rsidRPr="00B94F3E">
        <w:rPr>
          <w:rFonts w:ascii="Times New Roman" w:hAnsi="Times New Roman" w:cs="Times New Roman"/>
          <w:color w:val="000000"/>
          <w:sz w:val="24"/>
          <w:szCs w:val="24"/>
        </w:rPr>
        <w:t>caries  status</w:t>
      </w:r>
      <w:proofErr w:type="gramEnd"/>
      <w:r w:rsidRPr="00B94F3E">
        <w:rPr>
          <w:rFonts w:ascii="Times New Roman" w:hAnsi="Times New Roman" w:cs="Times New Roman"/>
          <w:color w:val="000000"/>
          <w:sz w:val="24"/>
          <w:szCs w:val="24"/>
        </w:rPr>
        <w:t xml:space="preserve"> risk indicators for children in a </w:t>
      </w:r>
      <w:proofErr w:type="spellStart"/>
      <w:r w:rsidRPr="00B94F3E">
        <w:rPr>
          <w:rFonts w:ascii="Times New Roman" w:hAnsi="Times New Roman" w:cs="Times New Roman"/>
          <w:color w:val="000000"/>
          <w:sz w:val="24"/>
          <w:szCs w:val="24"/>
        </w:rPr>
        <w:t>subrural</w:t>
      </w:r>
      <w:proofErr w:type="spellEnd"/>
      <w:r w:rsidRPr="00B94F3E">
        <w:rPr>
          <w:rFonts w:ascii="Times New Roman" w:hAnsi="Times New Roman" w:cs="Times New Roman"/>
          <w:color w:val="000000"/>
          <w:sz w:val="24"/>
          <w:szCs w:val="24"/>
        </w:rPr>
        <w:t xml:space="preserve"> Nigerian population? </w:t>
      </w:r>
      <w:r w:rsidRPr="00B94F3E">
        <w:rPr>
          <w:rFonts w:ascii="Times New Roman" w:hAnsi="Times New Roman" w:cs="Times New Roman"/>
          <w:i/>
          <w:iCs/>
          <w:color w:val="000000"/>
          <w:sz w:val="24"/>
          <w:szCs w:val="24"/>
        </w:rPr>
        <w:t>BMC Oral Health, 21</w:t>
      </w:r>
      <w:r w:rsidRPr="00B94F3E">
        <w:rPr>
          <w:rFonts w:ascii="Times New Roman" w:hAnsi="Times New Roman" w:cs="Times New Roman"/>
          <w:color w:val="000000"/>
          <w:sz w:val="24"/>
          <w:szCs w:val="24"/>
        </w:rPr>
        <w:t>(1</w:t>
      </w:r>
      <w:proofErr w:type="gramStart"/>
      <w:r w:rsidRPr="00B94F3E">
        <w:rPr>
          <w:rFonts w:ascii="Times New Roman" w:hAnsi="Times New Roman" w:cs="Times New Roman"/>
          <w:color w:val="000000"/>
          <w:sz w:val="24"/>
          <w:szCs w:val="24"/>
        </w:rPr>
        <w:t>),  73</w:t>
      </w:r>
      <w:proofErr w:type="gramEnd"/>
      <w:r w:rsidRPr="00B94F3E">
        <w:rPr>
          <w:rFonts w:ascii="Times New Roman" w:hAnsi="Times New Roman" w:cs="Times New Roman"/>
          <w:color w:val="000000"/>
          <w:sz w:val="24"/>
          <w:szCs w:val="24"/>
        </w:rPr>
        <w:t xml:space="preserve">. </w:t>
      </w:r>
    </w:p>
    <w:p w14:paraId="49FA7D99"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72"/>
        <w:jc w:val="both"/>
        <w:rPr>
          <w:rFonts w:ascii="Times New Roman" w:hAnsi="Times New Roman" w:cs="Times New Roman"/>
          <w:color w:val="000000"/>
          <w:sz w:val="24"/>
          <w:szCs w:val="24"/>
        </w:rPr>
      </w:pPr>
      <w:proofErr w:type="spellStart"/>
      <w:r w:rsidRPr="00B94F3E">
        <w:rPr>
          <w:rFonts w:ascii="Times New Roman" w:hAnsi="Times New Roman" w:cs="Times New Roman"/>
          <w:color w:val="000000"/>
          <w:sz w:val="24"/>
          <w:szCs w:val="24"/>
        </w:rPr>
        <w:t>Alshamrani</w:t>
      </w:r>
      <w:proofErr w:type="spellEnd"/>
      <w:r w:rsidRPr="00B94F3E">
        <w:rPr>
          <w:rFonts w:ascii="Times New Roman" w:hAnsi="Times New Roman" w:cs="Times New Roman"/>
          <w:color w:val="000000"/>
          <w:sz w:val="24"/>
          <w:szCs w:val="24"/>
        </w:rPr>
        <w:t xml:space="preserve">, M. H., Kharif, M. A., </w:t>
      </w:r>
      <w:proofErr w:type="spellStart"/>
      <w:r w:rsidRPr="00B94F3E">
        <w:rPr>
          <w:rFonts w:ascii="Times New Roman" w:hAnsi="Times New Roman" w:cs="Times New Roman"/>
          <w:color w:val="000000"/>
          <w:sz w:val="24"/>
          <w:szCs w:val="24"/>
        </w:rPr>
        <w:t>Alshayiqi</w:t>
      </w:r>
      <w:proofErr w:type="spellEnd"/>
      <w:r w:rsidRPr="00B94F3E">
        <w:rPr>
          <w:rFonts w:ascii="Times New Roman" w:hAnsi="Times New Roman" w:cs="Times New Roman"/>
          <w:color w:val="000000"/>
          <w:sz w:val="24"/>
          <w:szCs w:val="24"/>
        </w:rPr>
        <w:t xml:space="preserve">, N. M., Alqahtani, I. A., Diri, B., Diri, H. Y., … (2026).  Parental knowledge of early childhood caries and its association with bottle-feeding practices:  A cross-sectional analysis in the Riyadh Province, Saudi Arabia. </w:t>
      </w:r>
      <w:proofErr w:type="spellStart"/>
      <w:r w:rsidRPr="00B94F3E">
        <w:rPr>
          <w:rFonts w:ascii="Times New Roman" w:hAnsi="Times New Roman" w:cs="Times New Roman"/>
          <w:i/>
          <w:iCs/>
          <w:color w:val="000000"/>
          <w:sz w:val="24"/>
          <w:szCs w:val="24"/>
        </w:rPr>
        <w:t>PLoS</w:t>
      </w:r>
      <w:proofErr w:type="spellEnd"/>
      <w:r w:rsidRPr="00B94F3E">
        <w:rPr>
          <w:rFonts w:ascii="Times New Roman" w:hAnsi="Times New Roman" w:cs="Times New Roman"/>
          <w:i/>
          <w:iCs/>
          <w:color w:val="000000"/>
          <w:sz w:val="24"/>
          <w:szCs w:val="24"/>
        </w:rPr>
        <w:t xml:space="preserve"> ONE, 21</w:t>
      </w:r>
      <w:r w:rsidRPr="00B94F3E">
        <w:rPr>
          <w:rFonts w:ascii="Times New Roman" w:hAnsi="Times New Roman" w:cs="Times New Roman"/>
          <w:color w:val="000000"/>
          <w:sz w:val="24"/>
          <w:szCs w:val="24"/>
        </w:rPr>
        <w:t xml:space="preserve">(5), e0348946. </w:t>
      </w:r>
    </w:p>
    <w:p w14:paraId="29B13777"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20"/>
        <w:jc w:val="both"/>
        <w:rPr>
          <w:rFonts w:ascii="Times New Roman" w:hAnsi="Times New Roman" w:cs="Times New Roman"/>
          <w:color w:val="000000"/>
          <w:sz w:val="24"/>
          <w:szCs w:val="24"/>
        </w:rPr>
      </w:pPr>
      <w:proofErr w:type="spellStart"/>
      <w:r w:rsidRPr="00B94F3E">
        <w:rPr>
          <w:rFonts w:ascii="Times New Roman" w:hAnsi="Times New Roman" w:cs="Times New Roman"/>
          <w:color w:val="000000"/>
          <w:sz w:val="24"/>
          <w:szCs w:val="24"/>
        </w:rPr>
        <w:t>Arigbede</w:t>
      </w:r>
      <w:proofErr w:type="spellEnd"/>
      <w:r w:rsidRPr="00B94F3E">
        <w:rPr>
          <w:rFonts w:ascii="Times New Roman" w:hAnsi="Times New Roman" w:cs="Times New Roman"/>
          <w:color w:val="000000"/>
          <w:sz w:val="24"/>
          <w:szCs w:val="24"/>
        </w:rPr>
        <w:t xml:space="preserve">, A., &amp; </w:t>
      </w:r>
      <w:proofErr w:type="spellStart"/>
      <w:r w:rsidRPr="00B94F3E">
        <w:rPr>
          <w:rFonts w:ascii="Times New Roman" w:hAnsi="Times New Roman" w:cs="Times New Roman"/>
          <w:color w:val="000000"/>
          <w:sz w:val="24"/>
          <w:szCs w:val="24"/>
        </w:rPr>
        <w:t>Iruobe</w:t>
      </w:r>
      <w:proofErr w:type="spellEnd"/>
      <w:r w:rsidRPr="00B94F3E">
        <w:rPr>
          <w:rFonts w:ascii="Times New Roman" w:hAnsi="Times New Roman" w:cs="Times New Roman"/>
          <w:color w:val="000000"/>
          <w:sz w:val="24"/>
          <w:szCs w:val="24"/>
        </w:rPr>
        <w:t xml:space="preserve">, F. (2023). Prevalence of dental caries and predisposing factors in Obio-Akpor Local Government Area, Port Harcourt, Rivers State, Nigeria. </w:t>
      </w:r>
      <w:r w:rsidRPr="00B94F3E">
        <w:rPr>
          <w:rFonts w:ascii="Times New Roman" w:hAnsi="Times New Roman" w:cs="Times New Roman"/>
          <w:i/>
          <w:iCs/>
          <w:color w:val="000000"/>
          <w:sz w:val="24"/>
          <w:szCs w:val="24"/>
        </w:rPr>
        <w:t>Nigerian Dental Journal</w:t>
      </w:r>
      <w:r w:rsidRPr="00B94F3E">
        <w:rPr>
          <w:rFonts w:ascii="Times New Roman" w:hAnsi="Times New Roman" w:cs="Times New Roman"/>
          <w:color w:val="000000"/>
          <w:sz w:val="24"/>
          <w:szCs w:val="24"/>
        </w:rPr>
        <w:t xml:space="preserve">.  https://doi.org/10.61172/ndj.v31i2.230 </w:t>
      </w:r>
    </w:p>
    <w:p w14:paraId="0EA9A4C1" w14:textId="77777777" w:rsidR="00435B01" w:rsidRPr="00B94F3E" w:rsidRDefault="00B94F3E" w:rsidP="00B94F3E">
      <w:pPr>
        <w:pStyle w:val="Normal1"/>
        <w:widowControl w:val="0"/>
        <w:pBdr>
          <w:top w:val="nil"/>
          <w:left w:val="nil"/>
          <w:bottom w:val="nil"/>
          <w:right w:val="nil"/>
          <w:between w:val="nil"/>
        </w:pBdr>
        <w:spacing w:before="105" w:line="240" w:lineRule="auto"/>
        <w:ind w:left="9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Cochran, W. G. (1977). </w:t>
      </w:r>
      <w:r w:rsidRPr="00B94F3E">
        <w:rPr>
          <w:rFonts w:ascii="Times New Roman" w:hAnsi="Times New Roman" w:cs="Times New Roman"/>
          <w:i/>
          <w:iCs/>
          <w:color w:val="000000"/>
          <w:sz w:val="24"/>
          <w:szCs w:val="24"/>
        </w:rPr>
        <w:t xml:space="preserve">Sampling techniques </w:t>
      </w:r>
      <w:r w:rsidRPr="00B94F3E">
        <w:rPr>
          <w:rFonts w:ascii="Times New Roman" w:hAnsi="Times New Roman" w:cs="Times New Roman"/>
          <w:color w:val="000000"/>
          <w:sz w:val="24"/>
          <w:szCs w:val="24"/>
        </w:rPr>
        <w:t xml:space="preserve">(3rd ed.). John Wiley &amp; Sons. </w:t>
      </w:r>
    </w:p>
    <w:p w14:paraId="1D222F65" w14:textId="77777777" w:rsidR="00435B01" w:rsidRPr="00B94F3E" w:rsidRDefault="00B94F3E" w:rsidP="00B94F3E">
      <w:pPr>
        <w:pStyle w:val="Normal1"/>
        <w:widowControl w:val="0"/>
        <w:pBdr>
          <w:top w:val="nil"/>
          <w:left w:val="nil"/>
          <w:bottom w:val="nil"/>
          <w:right w:val="nil"/>
          <w:between w:val="nil"/>
        </w:pBdr>
        <w:spacing w:before="96" w:line="240" w:lineRule="auto"/>
        <w:ind w:left="90" w:right="28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Crystal, Y. O., Luo, Y. L., </w:t>
      </w:r>
      <w:proofErr w:type="spellStart"/>
      <w:r w:rsidRPr="00B94F3E">
        <w:rPr>
          <w:rFonts w:ascii="Times New Roman" w:hAnsi="Times New Roman" w:cs="Times New Roman"/>
          <w:color w:val="000000"/>
          <w:sz w:val="24"/>
          <w:szCs w:val="24"/>
        </w:rPr>
        <w:t>Duangthip</w:t>
      </w:r>
      <w:proofErr w:type="spellEnd"/>
      <w:r w:rsidRPr="00B94F3E">
        <w:rPr>
          <w:rFonts w:ascii="Times New Roman" w:hAnsi="Times New Roman" w:cs="Times New Roman"/>
          <w:color w:val="000000"/>
          <w:sz w:val="24"/>
          <w:szCs w:val="24"/>
        </w:rPr>
        <w:t xml:space="preserve">, D., El Tantawi, M., </w:t>
      </w:r>
      <w:proofErr w:type="spellStart"/>
      <w:r w:rsidRPr="00B94F3E">
        <w:rPr>
          <w:rFonts w:ascii="Times New Roman" w:hAnsi="Times New Roman" w:cs="Times New Roman"/>
          <w:color w:val="000000"/>
          <w:sz w:val="24"/>
          <w:szCs w:val="24"/>
        </w:rPr>
        <w:t>Benzian</w:t>
      </w:r>
      <w:proofErr w:type="spellEnd"/>
      <w:r w:rsidRPr="00B94F3E">
        <w:rPr>
          <w:rFonts w:ascii="Times New Roman" w:hAnsi="Times New Roman" w:cs="Times New Roman"/>
          <w:color w:val="000000"/>
          <w:sz w:val="24"/>
          <w:szCs w:val="24"/>
        </w:rPr>
        <w:t xml:space="preserve">, H., Schroth, R. J., … </w:t>
      </w:r>
      <w:proofErr w:type="gramStart"/>
      <w:r w:rsidRPr="00B94F3E">
        <w:rPr>
          <w:rFonts w:ascii="Times New Roman" w:hAnsi="Times New Roman" w:cs="Times New Roman"/>
          <w:color w:val="000000"/>
          <w:sz w:val="24"/>
          <w:szCs w:val="24"/>
        </w:rPr>
        <w:t>Early  Childhood</w:t>
      </w:r>
      <w:proofErr w:type="gramEnd"/>
      <w:r w:rsidRPr="00B94F3E">
        <w:rPr>
          <w:rFonts w:ascii="Times New Roman" w:hAnsi="Times New Roman" w:cs="Times New Roman"/>
          <w:color w:val="000000"/>
          <w:sz w:val="24"/>
          <w:szCs w:val="24"/>
        </w:rPr>
        <w:t xml:space="preserve"> Caries Advocacy Group. (2024). A scoping review of the links between </w:t>
      </w:r>
      <w:proofErr w:type="gramStart"/>
      <w:r w:rsidRPr="00B94F3E">
        <w:rPr>
          <w:rFonts w:ascii="Times New Roman" w:hAnsi="Times New Roman" w:cs="Times New Roman"/>
          <w:color w:val="000000"/>
          <w:sz w:val="24"/>
          <w:szCs w:val="24"/>
        </w:rPr>
        <w:t>early  childhood</w:t>
      </w:r>
      <w:proofErr w:type="gramEnd"/>
      <w:r w:rsidRPr="00B94F3E">
        <w:rPr>
          <w:rFonts w:ascii="Times New Roman" w:hAnsi="Times New Roman" w:cs="Times New Roman"/>
          <w:color w:val="000000"/>
          <w:sz w:val="24"/>
          <w:szCs w:val="24"/>
        </w:rPr>
        <w:t xml:space="preserve"> caries and clean water and sanitation: The Sustainable Development Goal 6. </w:t>
      </w:r>
      <w:proofErr w:type="gramStart"/>
      <w:r w:rsidRPr="00B94F3E">
        <w:rPr>
          <w:rFonts w:ascii="Times New Roman" w:hAnsi="Times New Roman" w:cs="Times New Roman"/>
          <w:i/>
          <w:iCs/>
          <w:color w:val="000000"/>
          <w:sz w:val="24"/>
          <w:szCs w:val="24"/>
        </w:rPr>
        <w:t>BMC  Oral</w:t>
      </w:r>
      <w:proofErr w:type="gramEnd"/>
      <w:r w:rsidRPr="00B94F3E">
        <w:rPr>
          <w:rFonts w:ascii="Times New Roman" w:hAnsi="Times New Roman" w:cs="Times New Roman"/>
          <w:i/>
          <w:iCs/>
          <w:color w:val="000000"/>
          <w:sz w:val="24"/>
          <w:szCs w:val="24"/>
        </w:rPr>
        <w:t xml:space="preserve"> Health, 24</w:t>
      </w:r>
      <w:r w:rsidRPr="00B94F3E">
        <w:rPr>
          <w:rFonts w:ascii="Times New Roman" w:hAnsi="Times New Roman" w:cs="Times New Roman"/>
          <w:color w:val="000000"/>
          <w:sz w:val="24"/>
          <w:szCs w:val="24"/>
        </w:rPr>
        <w:t xml:space="preserve">(1), 769. </w:t>
      </w:r>
    </w:p>
    <w:p w14:paraId="438100C5"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3"/>
        <w:jc w:val="both"/>
        <w:rPr>
          <w:rFonts w:ascii="Times New Roman" w:hAnsi="Times New Roman" w:cs="Times New Roman"/>
          <w:color w:val="000000"/>
          <w:sz w:val="24"/>
          <w:szCs w:val="24"/>
        </w:rPr>
      </w:pPr>
      <w:proofErr w:type="spellStart"/>
      <w:r w:rsidRPr="00B94F3E">
        <w:rPr>
          <w:rFonts w:ascii="Times New Roman" w:hAnsi="Times New Roman" w:cs="Times New Roman"/>
          <w:color w:val="000000"/>
          <w:sz w:val="24"/>
          <w:szCs w:val="24"/>
        </w:rPr>
        <w:t>Ehizele</w:t>
      </w:r>
      <w:proofErr w:type="spellEnd"/>
      <w:r w:rsidRPr="00B94F3E">
        <w:rPr>
          <w:rFonts w:ascii="Times New Roman" w:hAnsi="Times New Roman" w:cs="Times New Roman"/>
          <w:color w:val="000000"/>
          <w:sz w:val="24"/>
          <w:szCs w:val="24"/>
        </w:rPr>
        <w:t xml:space="preserve">, A. O., Afolabi, A. O., </w:t>
      </w:r>
      <w:proofErr w:type="spellStart"/>
      <w:r w:rsidRPr="00B94F3E">
        <w:rPr>
          <w:rFonts w:ascii="Times New Roman" w:hAnsi="Times New Roman" w:cs="Times New Roman"/>
          <w:color w:val="000000"/>
          <w:sz w:val="24"/>
          <w:szCs w:val="24"/>
        </w:rPr>
        <w:t>Nnawuihe</w:t>
      </w:r>
      <w:proofErr w:type="spellEnd"/>
      <w:r w:rsidRPr="00B94F3E">
        <w:rPr>
          <w:rFonts w:ascii="Times New Roman" w:hAnsi="Times New Roman" w:cs="Times New Roman"/>
          <w:color w:val="000000"/>
          <w:sz w:val="24"/>
          <w:szCs w:val="24"/>
        </w:rPr>
        <w:t xml:space="preserve">, U. C., Alade, O. T., Lusher, J., </w:t>
      </w:r>
      <w:proofErr w:type="spellStart"/>
      <w:r w:rsidRPr="00B94F3E">
        <w:rPr>
          <w:rFonts w:ascii="Times New Roman" w:hAnsi="Times New Roman" w:cs="Times New Roman"/>
          <w:color w:val="000000"/>
          <w:sz w:val="24"/>
          <w:szCs w:val="24"/>
        </w:rPr>
        <w:t>Eleje</w:t>
      </w:r>
      <w:proofErr w:type="spellEnd"/>
      <w:r w:rsidRPr="00B94F3E">
        <w:rPr>
          <w:rFonts w:ascii="Times New Roman" w:hAnsi="Times New Roman" w:cs="Times New Roman"/>
          <w:color w:val="000000"/>
          <w:sz w:val="24"/>
          <w:szCs w:val="24"/>
        </w:rPr>
        <w:t xml:space="preserve">, G. U., … </w:t>
      </w:r>
      <w:proofErr w:type="spellStart"/>
      <w:proofErr w:type="gramStart"/>
      <w:r w:rsidRPr="00B94F3E">
        <w:rPr>
          <w:rFonts w:ascii="Times New Roman" w:hAnsi="Times New Roman" w:cs="Times New Roman"/>
          <w:color w:val="000000"/>
          <w:sz w:val="24"/>
          <w:szCs w:val="24"/>
        </w:rPr>
        <w:t>Nwaokorie</w:t>
      </w:r>
      <w:proofErr w:type="spellEnd"/>
      <w:r w:rsidRPr="00B94F3E">
        <w:rPr>
          <w:rFonts w:ascii="Times New Roman" w:hAnsi="Times New Roman" w:cs="Times New Roman"/>
          <w:color w:val="000000"/>
          <w:sz w:val="24"/>
          <w:szCs w:val="24"/>
        </w:rPr>
        <w:t>,  F.</w:t>
      </w:r>
      <w:proofErr w:type="gramEnd"/>
      <w:r w:rsidRPr="00B94F3E">
        <w:rPr>
          <w:rFonts w:ascii="Times New Roman" w:hAnsi="Times New Roman" w:cs="Times New Roman"/>
          <w:color w:val="000000"/>
          <w:sz w:val="24"/>
          <w:szCs w:val="24"/>
        </w:rPr>
        <w:t xml:space="preserve"> O. (2023). A scoping review of early childhood caries experience assessment tools used </w:t>
      </w:r>
      <w:proofErr w:type="gramStart"/>
      <w:r w:rsidRPr="00B94F3E">
        <w:rPr>
          <w:rFonts w:ascii="Times New Roman" w:hAnsi="Times New Roman" w:cs="Times New Roman"/>
          <w:color w:val="000000"/>
          <w:sz w:val="24"/>
          <w:szCs w:val="24"/>
        </w:rPr>
        <w:t>for  studies</w:t>
      </w:r>
      <w:proofErr w:type="gramEnd"/>
      <w:r w:rsidRPr="00B94F3E">
        <w:rPr>
          <w:rFonts w:ascii="Times New Roman" w:hAnsi="Times New Roman" w:cs="Times New Roman"/>
          <w:color w:val="000000"/>
          <w:sz w:val="24"/>
          <w:szCs w:val="24"/>
        </w:rPr>
        <w:t xml:space="preserve"> in Nigeria. </w:t>
      </w:r>
      <w:r w:rsidRPr="00B94F3E">
        <w:rPr>
          <w:rFonts w:ascii="Times New Roman" w:hAnsi="Times New Roman" w:cs="Times New Roman"/>
          <w:i/>
          <w:iCs/>
          <w:color w:val="000000"/>
          <w:sz w:val="24"/>
          <w:szCs w:val="24"/>
        </w:rPr>
        <w:t>BioMed, 3</w:t>
      </w:r>
      <w:r w:rsidRPr="00B94F3E">
        <w:rPr>
          <w:rFonts w:ascii="Times New Roman" w:hAnsi="Times New Roman" w:cs="Times New Roman"/>
          <w:color w:val="000000"/>
          <w:sz w:val="24"/>
          <w:szCs w:val="24"/>
        </w:rPr>
        <w:t xml:space="preserve">(3), 400–419. https://doi.org/10.3390/biomed3030033 </w:t>
      </w:r>
    </w:p>
    <w:p w14:paraId="47075F8E"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454"/>
        <w:jc w:val="both"/>
        <w:rPr>
          <w:rFonts w:ascii="Times New Roman" w:hAnsi="Times New Roman" w:cs="Times New Roman"/>
          <w:color w:val="000000"/>
          <w:sz w:val="24"/>
          <w:szCs w:val="24"/>
        </w:rPr>
      </w:pPr>
      <w:proofErr w:type="spellStart"/>
      <w:r w:rsidRPr="00B94F3E">
        <w:rPr>
          <w:rFonts w:ascii="Times New Roman" w:hAnsi="Times New Roman" w:cs="Times New Roman"/>
          <w:color w:val="000000"/>
          <w:sz w:val="24"/>
          <w:szCs w:val="24"/>
        </w:rPr>
        <w:t>Eigbobo</w:t>
      </w:r>
      <w:proofErr w:type="spellEnd"/>
      <w:r w:rsidRPr="00B94F3E">
        <w:rPr>
          <w:rFonts w:ascii="Times New Roman" w:hAnsi="Times New Roman" w:cs="Times New Roman"/>
          <w:color w:val="000000"/>
          <w:sz w:val="24"/>
          <w:szCs w:val="24"/>
        </w:rPr>
        <w:t xml:space="preserve">, J. O. (2015). Pattern of dental caries in children in Port Harcourt, Rivers State, Nigeria.  </w:t>
      </w:r>
      <w:r w:rsidRPr="00B94F3E">
        <w:rPr>
          <w:rFonts w:ascii="Times New Roman" w:hAnsi="Times New Roman" w:cs="Times New Roman"/>
          <w:i/>
          <w:iCs/>
          <w:color w:val="000000"/>
          <w:sz w:val="24"/>
          <w:szCs w:val="24"/>
        </w:rPr>
        <w:t>Journal of Medicine and Biomedical Research, 14</w:t>
      </w:r>
      <w:r w:rsidRPr="00B94F3E">
        <w:rPr>
          <w:rFonts w:ascii="Times New Roman" w:hAnsi="Times New Roman" w:cs="Times New Roman"/>
          <w:color w:val="000000"/>
          <w:sz w:val="24"/>
          <w:szCs w:val="24"/>
        </w:rPr>
        <w:t xml:space="preserve">(1), 15–22. </w:t>
      </w:r>
    </w:p>
    <w:p w14:paraId="00E9AA33"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64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El Tantawi, M., Attia, D., Virtanen, J. I., Feldens, C. A., Schroth, R. J., Al-</w:t>
      </w:r>
      <w:proofErr w:type="spellStart"/>
      <w:r w:rsidRPr="00B94F3E">
        <w:rPr>
          <w:rFonts w:ascii="Times New Roman" w:hAnsi="Times New Roman" w:cs="Times New Roman"/>
          <w:color w:val="000000"/>
          <w:sz w:val="24"/>
          <w:szCs w:val="24"/>
        </w:rPr>
        <w:t>Batayneh</w:t>
      </w:r>
      <w:proofErr w:type="spellEnd"/>
      <w:r w:rsidRPr="00B94F3E">
        <w:rPr>
          <w:rFonts w:ascii="Times New Roman" w:hAnsi="Times New Roman" w:cs="Times New Roman"/>
          <w:color w:val="000000"/>
          <w:sz w:val="24"/>
          <w:szCs w:val="24"/>
        </w:rPr>
        <w:t xml:space="preserve">, O. B., …  Folayan, M. O. (2024). A scoping review of early childhood caries, poverty and </w:t>
      </w:r>
      <w:r w:rsidRPr="00B94F3E">
        <w:rPr>
          <w:rFonts w:ascii="Times New Roman" w:hAnsi="Times New Roman" w:cs="Times New Roman"/>
          <w:color w:val="000000"/>
          <w:sz w:val="24"/>
          <w:szCs w:val="24"/>
        </w:rPr>
        <w:lastRenderedPageBreak/>
        <w:t xml:space="preserve">the </w:t>
      </w:r>
      <w:proofErr w:type="gramStart"/>
      <w:r w:rsidRPr="00B94F3E">
        <w:rPr>
          <w:rFonts w:ascii="Times New Roman" w:hAnsi="Times New Roman" w:cs="Times New Roman"/>
          <w:color w:val="000000"/>
          <w:sz w:val="24"/>
          <w:szCs w:val="24"/>
        </w:rPr>
        <w:t>first  Sustainable</w:t>
      </w:r>
      <w:proofErr w:type="gramEnd"/>
      <w:r w:rsidRPr="00B94F3E">
        <w:rPr>
          <w:rFonts w:ascii="Times New Roman" w:hAnsi="Times New Roman" w:cs="Times New Roman"/>
          <w:color w:val="000000"/>
          <w:sz w:val="24"/>
          <w:szCs w:val="24"/>
        </w:rPr>
        <w:t xml:space="preserve"> Development Goal. </w:t>
      </w:r>
      <w:r w:rsidRPr="00B94F3E">
        <w:rPr>
          <w:rFonts w:ascii="Times New Roman" w:hAnsi="Times New Roman" w:cs="Times New Roman"/>
          <w:i/>
          <w:iCs/>
          <w:color w:val="000000"/>
          <w:sz w:val="24"/>
          <w:szCs w:val="24"/>
        </w:rPr>
        <w:t>BMC Oral Health, 24</w:t>
      </w:r>
      <w:r w:rsidRPr="00B94F3E">
        <w:rPr>
          <w:rFonts w:ascii="Times New Roman" w:hAnsi="Times New Roman" w:cs="Times New Roman"/>
          <w:color w:val="000000"/>
          <w:sz w:val="24"/>
          <w:szCs w:val="24"/>
        </w:rPr>
        <w:t xml:space="preserve">(1), 1029. </w:t>
      </w:r>
    </w:p>
    <w:p w14:paraId="1F331150"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347"/>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Eldrissi, S. M., &amp; Naidoo, S. (2016). Prevalence of dental caries and tooth brushing habits </w:t>
      </w:r>
      <w:proofErr w:type="gramStart"/>
      <w:r w:rsidRPr="00B94F3E">
        <w:rPr>
          <w:rFonts w:ascii="Times New Roman" w:hAnsi="Times New Roman" w:cs="Times New Roman"/>
          <w:color w:val="000000"/>
          <w:sz w:val="24"/>
          <w:szCs w:val="24"/>
        </w:rPr>
        <w:t>among  preschool</w:t>
      </w:r>
      <w:proofErr w:type="gramEnd"/>
      <w:r w:rsidRPr="00B94F3E">
        <w:rPr>
          <w:rFonts w:ascii="Times New Roman" w:hAnsi="Times New Roman" w:cs="Times New Roman"/>
          <w:color w:val="000000"/>
          <w:sz w:val="24"/>
          <w:szCs w:val="24"/>
        </w:rPr>
        <w:t xml:space="preserve"> children in Khartoum State, Sudan. </w:t>
      </w:r>
      <w:r w:rsidRPr="00B94F3E">
        <w:rPr>
          <w:rFonts w:ascii="Times New Roman" w:hAnsi="Times New Roman" w:cs="Times New Roman"/>
          <w:i/>
          <w:iCs/>
          <w:color w:val="000000"/>
          <w:sz w:val="24"/>
          <w:szCs w:val="24"/>
        </w:rPr>
        <w:t>International Dental Journal, 66</w:t>
      </w:r>
      <w:r w:rsidRPr="00B94F3E">
        <w:rPr>
          <w:rFonts w:ascii="Times New Roman" w:hAnsi="Times New Roman" w:cs="Times New Roman"/>
          <w:color w:val="000000"/>
          <w:sz w:val="24"/>
          <w:szCs w:val="24"/>
        </w:rPr>
        <w:t xml:space="preserve">(4), 215–220. </w:t>
      </w:r>
    </w:p>
    <w:p w14:paraId="052BF90B" w14:textId="77777777" w:rsidR="001E200C" w:rsidRDefault="00B94F3E" w:rsidP="001E200C">
      <w:pPr>
        <w:pStyle w:val="Normal1"/>
        <w:widowControl w:val="0"/>
        <w:pBdr>
          <w:top w:val="nil"/>
          <w:left w:val="nil"/>
          <w:bottom w:val="nil"/>
          <w:right w:val="nil"/>
          <w:between w:val="nil"/>
        </w:pBdr>
        <w:spacing w:before="105" w:line="240" w:lineRule="auto"/>
        <w:ind w:left="90" w:right="68"/>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Farouk, M., Oumayma, W. H., &amp; Bentahar, O. (2026). Early childhood caries in Africa: </w:t>
      </w:r>
      <w:proofErr w:type="gramStart"/>
      <w:r w:rsidRPr="00B94F3E">
        <w:rPr>
          <w:rFonts w:ascii="Times New Roman" w:hAnsi="Times New Roman" w:cs="Times New Roman"/>
          <w:color w:val="000000"/>
          <w:sz w:val="24"/>
          <w:szCs w:val="24"/>
        </w:rPr>
        <w:t>Prevalence,  determinants</w:t>
      </w:r>
      <w:proofErr w:type="gramEnd"/>
      <w:r w:rsidRPr="00B94F3E">
        <w:rPr>
          <w:rFonts w:ascii="Times New Roman" w:hAnsi="Times New Roman" w:cs="Times New Roman"/>
          <w:color w:val="000000"/>
          <w:sz w:val="24"/>
          <w:szCs w:val="24"/>
        </w:rPr>
        <w:t xml:space="preserve">, and implications for oral health promotion, an umbrella review. </w:t>
      </w:r>
      <w:r w:rsidRPr="00B94F3E">
        <w:rPr>
          <w:rFonts w:ascii="Times New Roman" w:hAnsi="Times New Roman" w:cs="Times New Roman"/>
          <w:i/>
          <w:iCs/>
          <w:color w:val="000000"/>
          <w:sz w:val="24"/>
          <w:szCs w:val="24"/>
        </w:rPr>
        <w:t>Frontiers in Oral Health, 7</w:t>
      </w:r>
      <w:r w:rsidRPr="00B94F3E">
        <w:rPr>
          <w:rFonts w:ascii="Times New Roman" w:hAnsi="Times New Roman" w:cs="Times New Roman"/>
          <w:color w:val="000000"/>
          <w:sz w:val="24"/>
          <w:szCs w:val="24"/>
        </w:rPr>
        <w:t xml:space="preserve">, 1901145. </w:t>
      </w:r>
      <w:hyperlink r:id="rId15" w:history="1">
        <w:r w:rsidR="001E200C" w:rsidRPr="001E200C">
          <w:rPr>
            <w:rStyle w:val="Hyperlink"/>
            <w:rFonts w:ascii="Times New Roman" w:hAnsi="Times New Roman" w:cs="Times New Roman"/>
            <w:color w:val="auto"/>
            <w:sz w:val="24"/>
            <w:szCs w:val="24"/>
            <w:u w:val="none"/>
          </w:rPr>
          <w:t>https://doi.org/10.3389/froh.2026.190114</w:t>
        </w:r>
      </w:hyperlink>
    </w:p>
    <w:p w14:paraId="02FDC4D9" w14:textId="77777777" w:rsidR="00435B01" w:rsidRPr="00B94F3E" w:rsidRDefault="00B94F3E" w:rsidP="001E200C">
      <w:pPr>
        <w:pStyle w:val="Normal1"/>
        <w:widowControl w:val="0"/>
        <w:pBdr>
          <w:top w:val="nil"/>
          <w:left w:val="nil"/>
          <w:bottom w:val="nil"/>
          <w:right w:val="nil"/>
          <w:between w:val="nil"/>
        </w:pBdr>
        <w:spacing w:before="105" w:line="240" w:lineRule="auto"/>
        <w:ind w:left="90" w:right="68"/>
        <w:jc w:val="both"/>
        <w:rPr>
          <w:rFonts w:ascii="Times New Roman" w:hAnsi="Times New Roman" w:cs="Times New Roman"/>
          <w:color w:val="000000"/>
          <w:sz w:val="24"/>
          <w:szCs w:val="24"/>
        </w:rPr>
      </w:pPr>
      <w:r w:rsidRPr="00723E2B">
        <w:rPr>
          <w:rFonts w:ascii="Times New Roman" w:hAnsi="Times New Roman" w:cs="Times New Roman"/>
          <w:color w:val="000000"/>
          <w:sz w:val="24"/>
          <w:szCs w:val="24"/>
          <w:lang w:val="pt-PT"/>
        </w:rPr>
        <w:t xml:space="preserve">olayan, M. O., Abeldaño Zuñiga, R. A., Alade, O. T., Bernard, O. T., Arowolo, O., Aliyu, T. K., …  </w:t>
      </w:r>
      <w:r w:rsidRPr="00B94F3E">
        <w:rPr>
          <w:rFonts w:ascii="Times New Roman" w:hAnsi="Times New Roman" w:cs="Times New Roman"/>
          <w:color w:val="000000"/>
          <w:sz w:val="24"/>
          <w:szCs w:val="24"/>
        </w:rPr>
        <w:t xml:space="preserve">Khami, M. R. (2025). </w:t>
      </w:r>
      <w:proofErr w:type="spellStart"/>
      <w:r w:rsidRPr="00B94F3E">
        <w:rPr>
          <w:rFonts w:ascii="Times New Roman" w:hAnsi="Times New Roman" w:cs="Times New Roman"/>
          <w:color w:val="000000"/>
          <w:sz w:val="24"/>
          <w:szCs w:val="24"/>
        </w:rPr>
        <w:t>Jẹ̀díjẹ̀dí</w:t>
      </w:r>
      <w:proofErr w:type="spellEnd"/>
      <w:r w:rsidRPr="00B94F3E">
        <w:rPr>
          <w:rFonts w:ascii="Times New Roman" w:hAnsi="Times New Roman" w:cs="Times New Roman"/>
          <w:color w:val="000000"/>
          <w:sz w:val="24"/>
          <w:szCs w:val="24"/>
        </w:rPr>
        <w:t xml:space="preserve">, free sugar consumption and early childhood caries experience </w:t>
      </w:r>
      <w:proofErr w:type="gramStart"/>
      <w:r w:rsidRPr="00B94F3E">
        <w:rPr>
          <w:rFonts w:ascii="Times New Roman" w:hAnsi="Times New Roman" w:cs="Times New Roman"/>
          <w:color w:val="000000"/>
          <w:sz w:val="24"/>
          <w:szCs w:val="24"/>
        </w:rPr>
        <w:t>in  Ile</w:t>
      </w:r>
      <w:proofErr w:type="gramEnd"/>
      <w:r w:rsidRPr="00B94F3E">
        <w:rPr>
          <w:rFonts w:ascii="Times New Roman" w:hAnsi="Times New Roman" w:cs="Times New Roman"/>
          <w:color w:val="000000"/>
          <w:sz w:val="24"/>
          <w:szCs w:val="24"/>
        </w:rPr>
        <w:t xml:space="preserve">-Ife, Nigeria: A cultural dimension to dental caries risk. </w:t>
      </w:r>
      <w:r w:rsidRPr="00B94F3E">
        <w:rPr>
          <w:rFonts w:ascii="Times New Roman" w:hAnsi="Times New Roman" w:cs="Times New Roman"/>
          <w:i/>
          <w:iCs/>
          <w:color w:val="000000"/>
          <w:sz w:val="24"/>
          <w:szCs w:val="24"/>
        </w:rPr>
        <w:t xml:space="preserve">Frontiers in Oral Health, </w:t>
      </w:r>
      <w:proofErr w:type="gramStart"/>
      <w:r w:rsidRPr="00B94F3E">
        <w:rPr>
          <w:rFonts w:ascii="Times New Roman" w:hAnsi="Times New Roman" w:cs="Times New Roman"/>
          <w:i/>
          <w:iCs/>
          <w:color w:val="000000"/>
          <w:sz w:val="24"/>
          <w:szCs w:val="24"/>
        </w:rPr>
        <w:t>6</w:t>
      </w:r>
      <w:r w:rsidRPr="00B94F3E">
        <w:rPr>
          <w:rFonts w:ascii="Times New Roman" w:hAnsi="Times New Roman" w:cs="Times New Roman"/>
          <w:color w:val="000000"/>
          <w:sz w:val="24"/>
          <w:szCs w:val="24"/>
        </w:rPr>
        <w:t>,  1608125</w:t>
      </w:r>
      <w:proofErr w:type="gramEnd"/>
      <w:r w:rsidRPr="00B94F3E">
        <w:rPr>
          <w:rFonts w:ascii="Times New Roman" w:hAnsi="Times New Roman" w:cs="Times New Roman"/>
          <w:color w:val="000000"/>
          <w:sz w:val="24"/>
          <w:szCs w:val="24"/>
        </w:rPr>
        <w:t xml:space="preserve">. </w:t>
      </w:r>
    </w:p>
    <w:p w14:paraId="5C756A3F"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7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Folayan, M. O., Alimi, P., Alade, M. O., El Tantawi, M., Adeniyi, A. A., &amp; Finlayson, T. L. (2020).  Validation of maternal report of early childhood caries status in Ile-Ife, Nigeria. </w:t>
      </w:r>
      <w:r w:rsidRPr="00B94F3E">
        <w:rPr>
          <w:rFonts w:ascii="Times New Roman" w:hAnsi="Times New Roman" w:cs="Times New Roman"/>
          <w:i/>
          <w:iCs/>
          <w:color w:val="000000"/>
          <w:sz w:val="24"/>
          <w:szCs w:val="24"/>
        </w:rPr>
        <w:t xml:space="preserve">BMC </w:t>
      </w:r>
      <w:proofErr w:type="gramStart"/>
      <w:r w:rsidRPr="00B94F3E">
        <w:rPr>
          <w:rFonts w:ascii="Times New Roman" w:hAnsi="Times New Roman" w:cs="Times New Roman"/>
          <w:i/>
          <w:iCs/>
          <w:color w:val="000000"/>
          <w:sz w:val="24"/>
          <w:szCs w:val="24"/>
        </w:rPr>
        <w:t>Oral  Health</w:t>
      </w:r>
      <w:proofErr w:type="gramEnd"/>
      <w:r w:rsidRPr="00B94F3E">
        <w:rPr>
          <w:rFonts w:ascii="Times New Roman" w:hAnsi="Times New Roman" w:cs="Times New Roman"/>
          <w:i/>
          <w:iCs/>
          <w:color w:val="000000"/>
          <w:sz w:val="24"/>
          <w:szCs w:val="24"/>
        </w:rPr>
        <w:t>, 20</w:t>
      </w:r>
      <w:r w:rsidRPr="00B94F3E">
        <w:rPr>
          <w:rFonts w:ascii="Times New Roman" w:hAnsi="Times New Roman" w:cs="Times New Roman"/>
          <w:color w:val="000000"/>
          <w:sz w:val="24"/>
          <w:szCs w:val="24"/>
        </w:rPr>
        <w:t xml:space="preserve">(1), 336. </w:t>
      </w:r>
    </w:p>
    <w:p w14:paraId="1F79D7EF"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28"/>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Folayan, M. O., Coelho, E. M. R. D. B., </w:t>
      </w:r>
      <w:proofErr w:type="spellStart"/>
      <w:r w:rsidRPr="00B94F3E">
        <w:rPr>
          <w:rFonts w:ascii="Times New Roman" w:hAnsi="Times New Roman" w:cs="Times New Roman"/>
          <w:color w:val="000000"/>
          <w:sz w:val="24"/>
          <w:szCs w:val="24"/>
        </w:rPr>
        <w:t>Ayouni</w:t>
      </w:r>
      <w:proofErr w:type="spellEnd"/>
      <w:r w:rsidRPr="00B94F3E">
        <w:rPr>
          <w:rFonts w:ascii="Times New Roman" w:hAnsi="Times New Roman" w:cs="Times New Roman"/>
          <w:color w:val="000000"/>
          <w:sz w:val="24"/>
          <w:szCs w:val="24"/>
        </w:rPr>
        <w:t xml:space="preserve">, I., </w:t>
      </w:r>
      <w:proofErr w:type="spellStart"/>
      <w:r w:rsidRPr="00B94F3E">
        <w:rPr>
          <w:rFonts w:ascii="Times New Roman" w:hAnsi="Times New Roman" w:cs="Times New Roman"/>
          <w:color w:val="000000"/>
          <w:sz w:val="24"/>
          <w:szCs w:val="24"/>
        </w:rPr>
        <w:t>Nguweneza</w:t>
      </w:r>
      <w:proofErr w:type="spellEnd"/>
      <w:r w:rsidRPr="00B94F3E">
        <w:rPr>
          <w:rFonts w:ascii="Times New Roman" w:hAnsi="Times New Roman" w:cs="Times New Roman"/>
          <w:color w:val="000000"/>
          <w:sz w:val="24"/>
          <w:szCs w:val="24"/>
        </w:rPr>
        <w:t>, A., Al-</w:t>
      </w:r>
      <w:proofErr w:type="spellStart"/>
      <w:r w:rsidRPr="00B94F3E">
        <w:rPr>
          <w:rFonts w:ascii="Times New Roman" w:hAnsi="Times New Roman" w:cs="Times New Roman"/>
          <w:color w:val="000000"/>
          <w:sz w:val="24"/>
          <w:szCs w:val="24"/>
        </w:rPr>
        <w:t>Batayneh</w:t>
      </w:r>
      <w:proofErr w:type="spellEnd"/>
      <w:r w:rsidRPr="00B94F3E">
        <w:rPr>
          <w:rFonts w:ascii="Times New Roman" w:hAnsi="Times New Roman" w:cs="Times New Roman"/>
          <w:color w:val="000000"/>
          <w:sz w:val="24"/>
          <w:szCs w:val="24"/>
        </w:rPr>
        <w:t>, O. B.</w:t>
      </w:r>
      <w:proofErr w:type="gramStart"/>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Daryanavard</w:t>
      </w:r>
      <w:proofErr w:type="spellEnd"/>
      <w:proofErr w:type="gramEnd"/>
      <w:r w:rsidRPr="00B94F3E">
        <w:rPr>
          <w:rFonts w:ascii="Times New Roman" w:hAnsi="Times New Roman" w:cs="Times New Roman"/>
          <w:color w:val="000000"/>
          <w:sz w:val="24"/>
          <w:szCs w:val="24"/>
        </w:rPr>
        <w:t xml:space="preserve">, H., … Feldens, C. A. (2024). Association between early childhood caries </w:t>
      </w:r>
      <w:proofErr w:type="gramStart"/>
      <w:r w:rsidRPr="00B94F3E">
        <w:rPr>
          <w:rFonts w:ascii="Times New Roman" w:hAnsi="Times New Roman" w:cs="Times New Roman"/>
          <w:color w:val="000000"/>
          <w:sz w:val="24"/>
          <w:szCs w:val="24"/>
        </w:rPr>
        <w:t>and  parental</w:t>
      </w:r>
      <w:proofErr w:type="gramEnd"/>
      <w:r w:rsidRPr="00B94F3E">
        <w:rPr>
          <w:rFonts w:ascii="Times New Roman" w:hAnsi="Times New Roman" w:cs="Times New Roman"/>
          <w:color w:val="000000"/>
          <w:sz w:val="24"/>
          <w:szCs w:val="24"/>
        </w:rPr>
        <w:t xml:space="preserve"> education and the link to the Sustainable Development Goal 4: A scoping review. </w:t>
      </w:r>
      <w:r w:rsidRPr="00B94F3E">
        <w:rPr>
          <w:rFonts w:ascii="Times New Roman" w:hAnsi="Times New Roman" w:cs="Times New Roman"/>
          <w:i/>
          <w:iCs/>
          <w:color w:val="000000"/>
          <w:sz w:val="24"/>
          <w:szCs w:val="24"/>
        </w:rPr>
        <w:t>BMC Oral Health, 24</w:t>
      </w:r>
      <w:r w:rsidRPr="00B94F3E">
        <w:rPr>
          <w:rFonts w:ascii="Times New Roman" w:hAnsi="Times New Roman" w:cs="Times New Roman"/>
          <w:color w:val="000000"/>
          <w:sz w:val="24"/>
          <w:szCs w:val="24"/>
        </w:rPr>
        <w:t xml:space="preserve">(1), 517. </w:t>
      </w:r>
    </w:p>
    <w:p w14:paraId="205DA0E0"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44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Folayan, M. O., </w:t>
      </w:r>
      <w:proofErr w:type="spellStart"/>
      <w:r w:rsidRPr="00B94F3E">
        <w:rPr>
          <w:rFonts w:ascii="Times New Roman" w:hAnsi="Times New Roman" w:cs="Times New Roman"/>
          <w:color w:val="000000"/>
          <w:sz w:val="24"/>
          <w:szCs w:val="24"/>
        </w:rPr>
        <w:t>Oginni</w:t>
      </w:r>
      <w:proofErr w:type="spellEnd"/>
      <w:r w:rsidRPr="00B94F3E">
        <w:rPr>
          <w:rFonts w:ascii="Times New Roman" w:hAnsi="Times New Roman" w:cs="Times New Roman"/>
          <w:color w:val="000000"/>
          <w:sz w:val="24"/>
          <w:szCs w:val="24"/>
        </w:rPr>
        <w:t xml:space="preserve">, A. B., El Tantawi, M., Finlayson, T. L., &amp; Adeniyi, A. (2021).  Epidemiological profile of early childhood caries in a </w:t>
      </w:r>
      <w:proofErr w:type="spellStart"/>
      <w:r w:rsidRPr="00B94F3E">
        <w:rPr>
          <w:rFonts w:ascii="Times New Roman" w:hAnsi="Times New Roman" w:cs="Times New Roman"/>
          <w:color w:val="000000"/>
          <w:sz w:val="24"/>
          <w:szCs w:val="24"/>
        </w:rPr>
        <w:t>subrural</w:t>
      </w:r>
      <w:proofErr w:type="spellEnd"/>
      <w:r w:rsidRPr="00B94F3E">
        <w:rPr>
          <w:rFonts w:ascii="Times New Roman" w:hAnsi="Times New Roman" w:cs="Times New Roman"/>
          <w:color w:val="000000"/>
          <w:sz w:val="24"/>
          <w:szCs w:val="24"/>
        </w:rPr>
        <w:t xml:space="preserve"> population in Nigeria. </w:t>
      </w:r>
      <w:proofErr w:type="gramStart"/>
      <w:r w:rsidRPr="00B94F3E">
        <w:rPr>
          <w:rFonts w:ascii="Times New Roman" w:hAnsi="Times New Roman" w:cs="Times New Roman"/>
          <w:i/>
          <w:iCs/>
          <w:color w:val="000000"/>
          <w:sz w:val="24"/>
          <w:szCs w:val="24"/>
        </w:rPr>
        <w:t>BMC  Oral</w:t>
      </w:r>
      <w:proofErr w:type="gramEnd"/>
      <w:r w:rsidRPr="00B94F3E">
        <w:rPr>
          <w:rFonts w:ascii="Times New Roman" w:hAnsi="Times New Roman" w:cs="Times New Roman"/>
          <w:i/>
          <w:iCs/>
          <w:color w:val="000000"/>
          <w:sz w:val="24"/>
          <w:szCs w:val="24"/>
        </w:rPr>
        <w:t xml:space="preserve"> Health, 21</w:t>
      </w:r>
      <w:r w:rsidRPr="00B94F3E">
        <w:rPr>
          <w:rFonts w:ascii="Times New Roman" w:hAnsi="Times New Roman" w:cs="Times New Roman"/>
          <w:color w:val="000000"/>
          <w:sz w:val="24"/>
          <w:szCs w:val="24"/>
        </w:rPr>
        <w:t xml:space="preserve">(1), 415. </w:t>
      </w:r>
    </w:p>
    <w:p w14:paraId="42F17BEE"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17"/>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Folayan, M. O., Schroth, R. J., Olatosi, O., &amp; El Tantawi, M. (2025). Environmental determinants </w:t>
      </w:r>
      <w:proofErr w:type="gramStart"/>
      <w:r w:rsidRPr="00B94F3E">
        <w:rPr>
          <w:rFonts w:ascii="Times New Roman" w:hAnsi="Times New Roman" w:cs="Times New Roman"/>
          <w:color w:val="000000"/>
          <w:sz w:val="24"/>
          <w:szCs w:val="24"/>
        </w:rPr>
        <w:t>of  early</w:t>
      </w:r>
      <w:proofErr w:type="gramEnd"/>
      <w:r w:rsidRPr="00B94F3E">
        <w:rPr>
          <w:rFonts w:ascii="Times New Roman" w:hAnsi="Times New Roman" w:cs="Times New Roman"/>
          <w:color w:val="000000"/>
          <w:sz w:val="24"/>
          <w:szCs w:val="24"/>
        </w:rPr>
        <w:t xml:space="preserve"> childhood caries: A narrative synthesis of observational evidence and implications </w:t>
      </w:r>
      <w:proofErr w:type="gramStart"/>
      <w:r w:rsidRPr="00B94F3E">
        <w:rPr>
          <w:rFonts w:ascii="Times New Roman" w:hAnsi="Times New Roman" w:cs="Times New Roman"/>
          <w:color w:val="000000"/>
          <w:sz w:val="24"/>
          <w:szCs w:val="24"/>
        </w:rPr>
        <w:t>for  global</w:t>
      </w:r>
      <w:proofErr w:type="gramEnd"/>
      <w:r w:rsidRPr="00B94F3E">
        <w:rPr>
          <w:rFonts w:ascii="Times New Roman" w:hAnsi="Times New Roman" w:cs="Times New Roman"/>
          <w:color w:val="000000"/>
          <w:sz w:val="24"/>
          <w:szCs w:val="24"/>
        </w:rPr>
        <w:t xml:space="preserve"> policy. </w:t>
      </w:r>
      <w:r w:rsidRPr="00B94F3E">
        <w:rPr>
          <w:rFonts w:ascii="Times New Roman" w:hAnsi="Times New Roman" w:cs="Times New Roman"/>
          <w:i/>
          <w:iCs/>
          <w:color w:val="000000"/>
          <w:sz w:val="24"/>
          <w:szCs w:val="24"/>
        </w:rPr>
        <w:t>Dentistry Journal, 13</w:t>
      </w:r>
      <w:r w:rsidRPr="00B94F3E">
        <w:rPr>
          <w:rFonts w:ascii="Times New Roman" w:hAnsi="Times New Roman" w:cs="Times New Roman"/>
          <w:color w:val="000000"/>
          <w:sz w:val="24"/>
          <w:szCs w:val="24"/>
        </w:rPr>
        <w:t xml:space="preserve">(11), 484. </w:t>
      </w:r>
    </w:p>
    <w:p w14:paraId="452C2909" w14:textId="77777777" w:rsidR="00435B01" w:rsidRPr="00B94F3E" w:rsidRDefault="00B94F3E" w:rsidP="00B94F3E">
      <w:pPr>
        <w:pStyle w:val="Normal1"/>
        <w:widowControl w:val="0"/>
        <w:pBdr>
          <w:top w:val="nil"/>
          <w:left w:val="nil"/>
          <w:bottom w:val="nil"/>
          <w:right w:val="nil"/>
          <w:between w:val="nil"/>
        </w:pBdr>
        <w:spacing w:line="240" w:lineRule="auto"/>
        <w:ind w:left="90" w:right="7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Golden, S. D., &amp; Earp, J. A. (2016). Social ecological approaches to individuals and their contexts:  Twenty years of health education &amp; behavior health promotion interventions. </w:t>
      </w:r>
      <w:r w:rsidRPr="00B94F3E">
        <w:rPr>
          <w:rFonts w:ascii="Times New Roman" w:hAnsi="Times New Roman" w:cs="Times New Roman"/>
          <w:i/>
          <w:iCs/>
          <w:color w:val="000000"/>
          <w:sz w:val="24"/>
          <w:szCs w:val="24"/>
        </w:rPr>
        <w:t>Health Education &amp; Behavior, 43</w:t>
      </w:r>
      <w:r w:rsidRPr="00B94F3E">
        <w:rPr>
          <w:rFonts w:ascii="Times New Roman" w:hAnsi="Times New Roman" w:cs="Times New Roman"/>
          <w:color w:val="000000"/>
          <w:sz w:val="24"/>
          <w:szCs w:val="24"/>
        </w:rPr>
        <w:t xml:space="preserve">(1), 6–10. https://doi.org/10.1177/1090198115594698 </w:t>
      </w:r>
    </w:p>
    <w:p w14:paraId="4A2F145D"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3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Hlongwane, T. B., Nchabeleng, M., &amp; Van Wyk, P. J. (2019). Sociocultural determinants of </w:t>
      </w:r>
      <w:proofErr w:type="gramStart"/>
      <w:r w:rsidRPr="00B94F3E">
        <w:rPr>
          <w:rFonts w:ascii="Times New Roman" w:hAnsi="Times New Roman" w:cs="Times New Roman"/>
          <w:color w:val="000000"/>
          <w:sz w:val="24"/>
          <w:szCs w:val="24"/>
        </w:rPr>
        <w:t>early  childhood</w:t>
      </w:r>
      <w:proofErr w:type="gramEnd"/>
      <w:r w:rsidRPr="00B94F3E">
        <w:rPr>
          <w:rFonts w:ascii="Times New Roman" w:hAnsi="Times New Roman" w:cs="Times New Roman"/>
          <w:color w:val="000000"/>
          <w:sz w:val="24"/>
          <w:szCs w:val="24"/>
        </w:rPr>
        <w:t xml:space="preserve"> caries among South African preschool children. </w:t>
      </w:r>
      <w:r w:rsidRPr="00B94F3E">
        <w:rPr>
          <w:rFonts w:ascii="Times New Roman" w:hAnsi="Times New Roman" w:cs="Times New Roman"/>
          <w:i/>
          <w:iCs/>
          <w:color w:val="000000"/>
          <w:sz w:val="24"/>
          <w:szCs w:val="24"/>
        </w:rPr>
        <w:t xml:space="preserve">International Journal of </w:t>
      </w:r>
      <w:proofErr w:type="spellStart"/>
      <w:proofErr w:type="gramStart"/>
      <w:r w:rsidRPr="00B94F3E">
        <w:rPr>
          <w:rFonts w:ascii="Times New Roman" w:hAnsi="Times New Roman" w:cs="Times New Roman"/>
          <w:i/>
          <w:iCs/>
          <w:color w:val="000000"/>
          <w:sz w:val="24"/>
          <w:szCs w:val="24"/>
        </w:rPr>
        <w:t>Paediatric</w:t>
      </w:r>
      <w:proofErr w:type="spellEnd"/>
      <w:r w:rsidRPr="00B94F3E">
        <w:rPr>
          <w:rFonts w:ascii="Times New Roman" w:hAnsi="Times New Roman" w:cs="Times New Roman"/>
          <w:i/>
          <w:iCs/>
          <w:color w:val="000000"/>
          <w:sz w:val="24"/>
          <w:szCs w:val="24"/>
        </w:rPr>
        <w:t xml:space="preserve">  Dentistry</w:t>
      </w:r>
      <w:proofErr w:type="gramEnd"/>
      <w:r w:rsidRPr="00B94F3E">
        <w:rPr>
          <w:rFonts w:ascii="Times New Roman" w:hAnsi="Times New Roman" w:cs="Times New Roman"/>
          <w:i/>
          <w:iCs/>
          <w:color w:val="000000"/>
          <w:sz w:val="24"/>
          <w:szCs w:val="24"/>
        </w:rPr>
        <w:t>, 29</w:t>
      </w:r>
      <w:r w:rsidRPr="00B94F3E">
        <w:rPr>
          <w:rFonts w:ascii="Times New Roman" w:hAnsi="Times New Roman" w:cs="Times New Roman"/>
          <w:color w:val="000000"/>
          <w:sz w:val="24"/>
          <w:szCs w:val="24"/>
        </w:rPr>
        <w:t xml:space="preserve">(5), 556–564. https://doi.org/10.1111/ipd.12480 </w:t>
      </w:r>
    </w:p>
    <w:p w14:paraId="0B2D0250"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25"/>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Imes, E. P., Ginnis, J., Shrestha, P., Simancas-Pallares, M. A., &amp; </w:t>
      </w:r>
      <w:proofErr w:type="spellStart"/>
      <w:r w:rsidRPr="00B94F3E">
        <w:rPr>
          <w:rFonts w:ascii="Times New Roman" w:hAnsi="Times New Roman" w:cs="Times New Roman"/>
          <w:color w:val="000000"/>
          <w:sz w:val="24"/>
          <w:szCs w:val="24"/>
        </w:rPr>
        <w:t>Divaris</w:t>
      </w:r>
      <w:proofErr w:type="spellEnd"/>
      <w:r w:rsidRPr="00B94F3E">
        <w:rPr>
          <w:rFonts w:ascii="Times New Roman" w:hAnsi="Times New Roman" w:cs="Times New Roman"/>
          <w:color w:val="000000"/>
          <w:sz w:val="24"/>
          <w:szCs w:val="24"/>
        </w:rPr>
        <w:t xml:space="preserve">, K. (2021). Guardian </w:t>
      </w:r>
      <w:proofErr w:type="gramStart"/>
      <w:r w:rsidRPr="00B94F3E">
        <w:rPr>
          <w:rFonts w:ascii="Times New Roman" w:hAnsi="Times New Roman" w:cs="Times New Roman"/>
          <w:color w:val="000000"/>
          <w:sz w:val="24"/>
          <w:szCs w:val="24"/>
        </w:rPr>
        <w:t>reports  of</w:t>
      </w:r>
      <w:proofErr w:type="gramEnd"/>
      <w:r w:rsidRPr="00B94F3E">
        <w:rPr>
          <w:rFonts w:ascii="Times New Roman" w:hAnsi="Times New Roman" w:cs="Times New Roman"/>
          <w:color w:val="000000"/>
          <w:sz w:val="24"/>
          <w:szCs w:val="24"/>
        </w:rPr>
        <w:t xml:space="preserve"> children’s sub-optimal oral health are associated with clinically determined early </w:t>
      </w:r>
      <w:proofErr w:type="gramStart"/>
      <w:r w:rsidRPr="00B94F3E">
        <w:rPr>
          <w:rFonts w:ascii="Times New Roman" w:hAnsi="Times New Roman" w:cs="Times New Roman"/>
          <w:color w:val="000000"/>
          <w:sz w:val="24"/>
          <w:szCs w:val="24"/>
        </w:rPr>
        <w:t>childhood  caries</w:t>
      </w:r>
      <w:proofErr w:type="gramEnd"/>
      <w:r w:rsidRPr="00B94F3E">
        <w:rPr>
          <w:rFonts w:ascii="Times New Roman" w:hAnsi="Times New Roman" w:cs="Times New Roman"/>
          <w:color w:val="000000"/>
          <w:sz w:val="24"/>
          <w:szCs w:val="24"/>
        </w:rPr>
        <w:t xml:space="preserve">, unrestored caries lesions, and history of toothaches. </w:t>
      </w:r>
      <w:r w:rsidRPr="00B94F3E">
        <w:rPr>
          <w:rFonts w:ascii="Times New Roman" w:hAnsi="Times New Roman" w:cs="Times New Roman"/>
          <w:i/>
          <w:iCs/>
          <w:color w:val="000000"/>
          <w:sz w:val="24"/>
          <w:szCs w:val="24"/>
        </w:rPr>
        <w:t xml:space="preserve">Frontiers in Public Health, </w:t>
      </w:r>
      <w:proofErr w:type="gramStart"/>
      <w:r w:rsidRPr="00B94F3E">
        <w:rPr>
          <w:rFonts w:ascii="Times New Roman" w:hAnsi="Times New Roman" w:cs="Times New Roman"/>
          <w:i/>
          <w:iCs/>
          <w:color w:val="000000"/>
          <w:sz w:val="24"/>
          <w:szCs w:val="24"/>
        </w:rPr>
        <w:t>9</w:t>
      </w:r>
      <w:r w:rsidRPr="00B94F3E">
        <w:rPr>
          <w:rFonts w:ascii="Times New Roman" w:hAnsi="Times New Roman" w:cs="Times New Roman"/>
          <w:color w:val="000000"/>
          <w:sz w:val="24"/>
          <w:szCs w:val="24"/>
        </w:rPr>
        <w:t>,  751733</w:t>
      </w:r>
      <w:proofErr w:type="gramEnd"/>
      <w:r w:rsidRPr="00B94F3E">
        <w:rPr>
          <w:rFonts w:ascii="Times New Roman" w:hAnsi="Times New Roman" w:cs="Times New Roman"/>
          <w:color w:val="000000"/>
          <w:sz w:val="24"/>
          <w:szCs w:val="24"/>
        </w:rPr>
        <w:t xml:space="preserve">. https://doi.org/10.3389/fpubh.2021.751733 </w:t>
      </w:r>
    </w:p>
    <w:p w14:paraId="58BE7853"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54"/>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Khan, S. Y., Schroth, R. J., Cruz de Jesus, V., Lee, V. H., </w:t>
      </w:r>
      <w:proofErr w:type="spellStart"/>
      <w:r w:rsidRPr="00B94F3E">
        <w:rPr>
          <w:rFonts w:ascii="Times New Roman" w:hAnsi="Times New Roman" w:cs="Times New Roman"/>
          <w:color w:val="000000"/>
          <w:sz w:val="24"/>
          <w:szCs w:val="24"/>
        </w:rPr>
        <w:t>Rothney</w:t>
      </w:r>
      <w:proofErr w:type="spellEnd"/>
      <w:r w:rsidRPr="00B94F3E">
        <w:rPr>
          <w:rFonts w:ascii="Times New Roman" w:hAnsi="Times New Roman" w:cs="Times New Roman"/>
          <w:color w:val="000000"/>
          <w:sz w:val="24"/>
          <w:szCs w:val="24"/>
        </w:rPr>
        <w:t xml:space="preserve">, J., Dong, C. S., … Menon, A.  (2024). A systematic review of caries risk in children &lt; 6 years of age. </w:t>
      </w:r>
      <w:r w:rsidRPr="00B94F3E">
        <w:rPr>
          <w:rFonts w:ascii="Times New Roman" w:hAnsi="Times New Roman" w:cs="Times New Roman"/>
          <w:i/>
          <w:iCs/>
          <w:color w:val="000000"/>
          <w:sz w:val="24"/>
          <w:szCs w:val="24"/>
        </w:rPr>
        <w:t xml:space="preserve">International Journal </w:t>
      </w:r>
      <w:proofErr w:type="gramStart"/>
      <w:r w:rsidRPr="00B94F3E">
        <w:rPr>
          <w:rFonts w:ascii="Times New Roman" w:hAnsi="Times New Roman" w:cs="Times New Roman"/>
          <w:i/>
          <w:iCs/>
          <w:color w:val="000000"/>
          <w:sz w:val="24"/>
          <w:szCs w:val="24"/>
        </w:rPr>
        <w:t xml:space="preserve">of  </w:t>
      </w:r>
      <w:proofErr w:type="spellStart"/>
      <w:r w:rsidRPr="00B94F3E">
        <w:rPr>
          <w:rFonts w:ascii="Times New Roman" w:hAnsi="Times New Roman" w:cs="Times New Roman"/>
          <w:i/>
          <w:iCs/>
          <w:color w:val="000000"/>
          <w:sz w:val="24"/>
          <w:szCs w:val="24"/>
        </w:rPr>
        <w:t>Paediatric</w:t>
      </w:r>
      <w:proofErr w:type="spellEnd"/>
      <w:proofErr w:type="gramEnd"/>
      <w:r w:rsidRPr="00B94F3E">
        <w:rPr>
          <w:rFonts w:ascii="Times New Roman" w:hAnsi="Times New Roman" w:cs="Times New Roman"/>
          <w:i/>
          <w:iCs/>
          <w:color w:val="000000"/>
          <w:sz w:val="24"/>
          <w:szCs w:val="24"/>
        </w:rPr>
        <w:t xml:space="preserve"> Dentistry, 34</w:t>
      </w:r>
      <w:r w:rsidRPr="00B94F3E">
        <w:rPr>
          <w:rFonts w:ascii="Times New Roman" w:hAnsi="Times New Roman" w:cs="Times New Roman"/>
          <w:color w:val="000000"/>
          <w:sz w:val="24"/>
          <w:szCs w:val="24"/>
        </w:rPr>
        <w:t xml:space="preserve">(4), 410–431. </w:t>
      </w:r>
    </w:p>
    <w:p w14:paraId="1E1AEA03"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246"/>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Kimmie-</w:t>
      </w:r>
      <w:proofErr w:type="spellStart"/>
      <w:r w:rsidRPr="00B94F3E">
        <w:rPr>
          <w:rFonts w:ascii="Times New Roman" w:hAnsi="Times New Roman" w:cs="Times New Roman"/>
          <w:color w:val="000000"/>
          <w:sz w:val="24"/>
          <w:szCs w:val="24"/>
        </w:rPr>
        <w:t>Dhansay</w:t>
      </w:r>
      <w:proofErr w:type="spellEnd"/>
      <w:r w:rsidRPr="00B94F3E">
        <w:rPr>
          <w:rFonts w:ascii="Times New Roman" w:hAnsi="Times New Roman" w:cs="Times New Roman"/>
          <w:color w:val="000000"/>
          <w:sz w:val="24"/>
          <w:szCs w:val="24"/>
        </w:rPr>
        <w:t xml:space="preserve">, F., Nkambule, N. R., </w:t>
      </w:r>
      <w:proofErr w:type="spellStart"/>
      <w:r w:rsidRPr="00B94F3E">
        <w:rPr>
          <w:rFonts w:ascii="Times New Roman" w:hAnsi="Times New Roman" w:cs="Times New Roman"/>
          <w:color w:val="000000"/>
          <w:sz w:val="24"/>
          <w:szCs w:val="24"/>
        </w:rPr>
        <w:t>Schoonraad</w:t>
      </w:r>
      <w:proofErr w:type="spellEnd"/>
      <w:r w:rsidRPr="00B94F3E">
        <w:rPr>
          <w:rFonts w:ascii="Times New Roman" w:hAnsi="Times New Roman" w:cs="Times New Roman"/>
          <w:color w:val="000000"/>
          <w:sz w:val="24"/>
          <w:szCs w:val="24"/>
        </w:rPr>
        <w:t xml:space="preserve">, N., </w:t>
      </w:r>
      <w:proofErr w:type="spellStart"/>
      <w:r w:rsidRPr="00B94F3E">
        <w:rPr>
          <w:rFonts w:ascii="Times New Roman" w:hAnsi="Times New Roman" w:cs="Times New Roman"/>
          <w:color w:val="000000"/>
          <w:sz w:val="24"/>
          <w:szCs w:val="24"/>
        </w:rPr>
        <w:t>Albougy</w:t>
      </w:r>
      <w:proofErr w:type="spellEnd"/>
      <w:r w:rsidRPr="00B94F3E">
        <w:rPr>
          <w:rFonts w:ascii="Times New Roman" w:hAnsi="Times New Roman" w:cs="Times New Roman"/>
          <w:color w:val="000000"/>
          <w:sz w:val="24"/>
          <w:szCs w:val="24"/>
        </w:rPr>
        <w:t xml:space="preserve">, H., &amp; </w:t>
      </w:r>
      <w:proofErr w:type="spellStart"/>
      <w:r w:rsidRPr="00B94F3E">
        <w:rPr>
          <w:rFonts w:ascii="Times New Roman" w:hAnsi="Times New Roman" w:cs="Times New Roman"/>
          <w:color w:val="000000"/>
          <w:sz w:val="24"/>
          <w:szCs w:val="24"/>
        </w:rPr>
        <w:t>Bhayat</w:t>
      </w:r>
      <w:proofErr w:type="spellEnd"/>
      <w:r w:rsidRPr="00B94F3E">
        <w:rPr>
          <w:rFonts w:ascii="Times New Roman" w:hAnsi="Times New Roman" w:cs="Times New Roman"/>
          <w:color w:val="000000"/>
          <w:sz w:val="24"/>
          <w:szCs w:val="24"/>
        </w:rPr>
        <w:t xml:space="preserve">, A. (2026).  Prevalence of early childhood caries in Africa: A systematic review. </w:t>
      </w:r>
      <w:r w:rsidRPr="00B94F3E">
        <w:rPr>
          <w:rFonts w:ascii="Times New Roman" w:hAnsi="Times New Roman" w:cs="Times New Roman"/>
          <w:i/>
          <w:iCs/>
          <w:color w:val="000000"/>
          <w:sz w:val="24"/>
          <w:szCs w:val="24"/>
        </w:rPr>
        <w:t xml:space="preserve">International Journal </w:t>
      </w:r>
      <w:proofErr w:type="gramStart"/>
      <w:r w:rsidRPr="00B94F3E">
        <w:rPr>
          <w:rFonts w:ascii="Times New Roman" w:hAnsi="Times New Roman" w:cs="Times New Roman"/>
          <w:i/>
          <w:iCs/>
          <w:color w:val="000000"/>
          <w:sz w:val="24"/>
          <w:szCs w:val="24"/>
        </w:rPr>
        <w:t xml:space="preserve">of  </w:t>
      </w:r>
      <w:proofErr w:type="spellStart"/>
      <w:r w:rsidRPr="00B94F3E">
        <w:rPr>
          <w:rFonts w:ascii="Times New Roman" w:hAnsi="Times New Roman" w:cs="Times New Roman"/>
          <w:i/>
          <w:iCs/>
          <w:color w:val="000000"/>
          <w:sz w:val="24"/>
          <w:szCs w:val="24"/>
        </w:rPr>
        <w:t>Paediatric</w:t>
      </w:r>
      <w:proofErr w:type="spellEnd"/>
      <w:proofErr w:type="gramEnd"/>
      <w:r w:rsidRPr="00B94F3E">
        <w:rPr>
          <w:rFonts w:ascii="Times New Roman" w:hAnsi="Times New Roman" w:cs="Times New Roman"/>
          <w:i/>
          <w:iCs/>
          <w:color w:val="000000"/>
          <w:sz w:val="24"/>
          <w:szCs w:val="24"/>
        </w:rPr>
        <w:t xml:space="preserve"> Dentistry, 36</w:t>
      </w:r>
      <w:r w:rsidRPr="00B94F3E">
        <w:rPr>
          <w:rFonts w:ascii="Times New Roman" w:hAnsi="Times New Roman" w:cs="Times New Roman"/>
          <w:color w:val="000000"/>
          <w:sz w:val="24"/>
          <w:szCs w:val="24"/>
        </w:rPr>
        <w:t xml:space="preserve">(1), 157–186. </w:t>
      </w:r>
    </w:p>
    <w:p w14:paraId="0990311C"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87"/>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Lennon, Á. M., </w:t>
      </w:r>
      <w:proofErr w:type="spellStart"/>
      <w:r w:rsidRPr="00B94F3E">
        <w:rPr>
          <w:rFonts w:ascii="Times New Roman" w:hAnsi="Times New Roman" w:cs="Times New Roman"/>
          <w:color w:val="000000"/>
          <w:sz w:val="24"/>
          <w:szCs w:val="24"/>
        </w:rPr>
        <w:t>Fluch</w:t>
      </w:r>
      <w:proofErr w:type="spellEnd"/>
      <w:r w:rsidRPr="00B94F3E">
        <w:rPr>
          <w:rFonts w:ascii="Times New Roman" w:hAnsi="Times New Roman" w:cs="Times New Roman"/>
          <w:color w:val="000000"/>
          <w:sz w:val="24"/>
          <w:szCs w:val="24"/>
        </w:rPr>
        <w:t xml:space="preserve">-Maier, K., Hiller, K. A., Schenke, I., Gade, N., Buchalla, W., … Wellmann, S.  (2026). Factors associated with parent-reported caries in preschool children from the KUNO Kids Health Study: Repeated cross-sectional analysis. </w:t>
      </w:r>
      <w:r w:rsidRPr="00B94F3E">
        <w:rPr>
          <w:rFonts w:ascii="Times New Roman" w:hAnsi="Times New Roman" w:cs="Times New Roman"/>
          <w:i/>
          <w:iCs/>
          <w:color w:val="000000"/>
          <w:sz w:val="24"/>
          <w:szCs w:val="24"/>
        </w:rPr>
        <w:t xml:space="preserve">Community Dentistry and </w:t>
      </w:r>
      <w:proofErr w:type="gramStart"/>
      <w:r w:rsidRPr="00B94F3E">
        <w:rPr>
          <w:rFonts w:ascii="Times New Roman" w:hAnsi="Times New Roman" w:cs="Times New Roman"/>
          <w:i/>
          <w:iCs/>
          <w:color w:val="000000"/>
          <w:sz w:val="24"/>
          <w:szCs w:val="24"/>
        </w:rPr>
        <w:t>Oral  Epidemiology</w:t>
      </w:r>
      <w:proofErr w:type="gramEnd"/>
      <w:r w:rsidRPr="00B94F3E">
        <w:rPr>
          <w:rFonts w:ascii="Times New Roman" w:hAnsi="Times New Roman" w:cs="Times New Roman"/>
          <w:color w:val="000000"/>
          <w:sz w:val="24"/>
          <w:szCs w:val="24"/>
        </w:rPr>
        <w:t xml:space="preserve">. </w:t>
      </w:r>
    </w:p>
    <w:p w14:paraId="7BB8C59A"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29"/>
        <w:jc w:val="both"/>
        <w:rPr>
          <w:rFonts w:ascii="Times New Roman" w:hAnsi="Times New Roman" w:cs="Times New Roman"/>
          <w:color w:val="000000"/>
          <w:sz w:val="24"/>
          <w:szCs w:val="24"/>
        </w:rPr>
      </w:pPr>
      <w:proofErr w:type="spellStart"/>
      <w:r w:rsidRPr="00B94F3E">
        <w:rPr>
          <w:rFonts w:ascii="Times New Roman" w:hAnsi="Times New Roman" w:cs="Times New Roman"/>
          <w:color w:val="000000"/>
          <w:sz w:val="24"/>
          <w:szCs w:val="24"/>
        </w:rPr>
        <w:t>Maklennan</w:t>
      </w:r>
      <w:proofErr w:type="spellEnd"/>
      <w:r w:rsidRPr="00B94F3E">
        <w:rPr>
          <w:rFonts w:ascii="Times New Roman" w:hAnsi="Times New Roman" w:cs="Times New Roman"/>
          <w:color w:val="000000"/>
          <w:sz w:val="24"/>
          <w:szCs w:val="24"/>
        </w:rPr>
        <w:t xml:space="preserve">, A., Borg-Bartolo, R., </w:t>
      </w:r>
      <w:proofErr w:type="spellStart"/>
      <w:r w:rsidRPr="00B94F3E">
        <w:rPr>
          <w:rFonts w:ascii="Times New Roman" w:hAnsi="Times New Roman" w:cs="Times New Roman"/>
          <w:color w:val="000000"/>
          <w:sz w:val="24"/>
          <w:szCs w:val="24"/>
        </w:rPr>
        <w:t>Wierichs</w:t>
      </w:r>
      <w:proofErr w:type="spellEnd"/>
      <w:r w:rsidRPr="00B94F3E">
        <w:rPr>
          <w:rFonts w:ascii="Times New Roman" w:hAnsi="Times New Roman" w:cs="Times New Roman"/>
          <w:color w:val="000000"/>
          <w:sz w:val="24"/>
          <w:szCs w:val="24"/>
        </w:rPr>
        <w:t xml:space="preserve">, R. J., Esteves-Oliveira, M., &amp; Campus, G. (2024). </w:t>
      </w:r>
      <w:proofErr w:type="gramStart"/>
      <w:r w:rsidRPr="00B94F3E">
        <w:rPr>
          <w:rFonts w:ascii="Times New Roman" w:hAnsi="Times New Roman" w:cs="Times New Roman"/>
          <w:color w:val="000000"/>
          <w:sz w:val="24"/>
          <w:szCs w:val="24"/>
        </w:rPr>
        <w:t>A  systematic</w:t>
      </w:r>
      <w:proofErr w:type="gramEnd"/>
      <w:r w:rsidRPr="00B94F3E">
        <w:rPr>
          <w:rFonts w:ascii="Times New Roman" w:hAnsi="Times New Roman" w:cs="Times New Roman"/>
          <w:color w:val="000000"/>
          <w:sz w:val="24"/>
          <w:szCs w:val="24"/>
        </w:rPr>
        <w:t xml:space="preserve"> review and meta-analysis on early-</w:t>
      </w:r>
      <w:r w:rsidRPr="00B94F3E">
        <w:rPr>
          <w:rFonts w:ascii="Times New Roman" w:hAnsi="Times New Roman" w:cs="Times New Roman"/>
          <w:color w:val="000000"/>
          <w:sz w:val="24"/>
          <w:szCs w:val="24"/>
        </w:rPr>
        <w:lastRenderedPageBreak/>
        <w:t xml:space="preserve">childhood-caries global data. </w:t>
      </w:r>
      <w:r w:rsidRPr="00B94F3E">
        <w:rPr>
          <w:rFonts w:ascii="Times New Roman" w:hAnsi="Times New Roman" w:cs="Times New Roman"/>
          <w:i/>
          <w:iCs/>
          <w:color w:val="000000"/>
          <w:sz w:val="24"/>
          <w:szCs w:val="24"/>
        </w:rPr>
        <w:t xml:space="preserve">BMC Oral </w:t>
      </w:r>
      <w:proofErr w:type="gramStart"/>
      <w:r w:rsidRPr="00B94F3E">
        <w:rPr>
          <w:rFonts w:ascii="Times New Roman" w:hAnsi="Times New Roman" w:cs="Times New Roman"/>
          <w:i/>
          <w:iCs/>
          <w:color w:val="000000"/>
          <w:sz w:val="24"/>
          <w:szCs w:val="24"/>
        </w:rPr>
        <w:t>Health,  24</w:t>
      </w:r>
      <w:proofErr w:type="gramEnd"/>
      <w:r w:rsidRPr="00B94F3E">
        <w:rPr>
          <w:rFonts w:ascii="Times New Roman" w:hAnsi="Times New Roman" w:cs="Times New Roman"/>
          <w:color w:val="000000"/>
          <w:sz w:val="24"/>
          <w:szCs w:val="24"/>
        </w:rPr>
        <w:t xml:space="preserve">(1), 835. </w:t>
      </w:r>
    </w:p>
    <w:p w14:paraId="7A819B41"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631"/>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Mitiku Kidie, D., </w:t>
      </w:r>
      <w:proofErr w:type="spellStart"/>
      <w:r w:rsidRPr="00B94F3E">
        <w:rPr>
          <w:rFonts w:ascii="Times New Roman" w:hAnsi="Times New Roman" w:cs="Times New Roman"/>
          <w:color w:val="000000"/>
          <w:sz w:val="24"/>
          <w:szCs w:val="24"/>
        </w:rPr>
        <w:t>Kelkay</w:t>
      </w:r>
      <w:proofErr w:type="spellEnd"/>
      <w:r w:rsidRPr="00B94F3E">
        <w:rPr>
          <w:rFonts w:ascii="Times New Roman" w:hAnsi="Times New Roman" w:cs="Times New Roman"/>
          <w:color w:val="000000"/>
          <w:sz w:val="24"/>
          <w:szCs w:val="24"/>
        </w:rPr>
        <w:t xml:space="preserve">, J. M., </w:t>
      </w:r>
      <w:proofErr w:type="spellStart"/>
      <w:r w:rsidRPr="00B94F3E">
        <w:rPr>
          <w:rFonts w:ascii="Times New Roman" w:hAnsi="Times New Roman" w:cs="Times New Roman"/>
          <w:color w:val="000000"/>
          <w:sz w:val="24"/>
          <w:szCs w:val="24"/>
        </w:rPr>
        <w:t>Guadie</w:t>
      </w:r>
      <w:proofErr w:type="spellEnd"/>
      <w:r w:rsidRPr="00B94F3E">
        <w:rPr>
          <w:rFonts w:ascii="Times New Roman" w:hAnsi="Times New Roman" w:cs="Times New Roman"/>
          <w:color w:val="000000"/>
          <w:sz w:val="24"/>
          <w:szCs w:val="24"/>
        </w:rPr>
        <w:t xml:space="preserve"> Kassie, D., &amp; </w:t>
      </w:r>
      <w:proofErr w:type="spellStart"/>
      <w:r w:rsidRPr="00B94F3E">
        <w:rPr>
          <w:rFonts w:ascii="Times New Roman" w:hAnsi="Times New Roman" w:cs="Times New Roman"/>
          <w:color w:val="000000"/>
          <w:sz w:val="24"/>
          <w:szCs w:val="24"/>
        </w:rPr>
        <w:t>Tezera</w:t>
      </w:r>
      <w:proofErr w:type="spell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Assimamaw</w:t>
      </w:r>
      <w:proofErr w:type="spellEnd"/>
      <w:r w:rsidRPr="00B94F3E">
        <w:rPr>
          <w:rFonts w:ascii="Times New Roman" w:hAnsi="Times New Roman" w:cs="Times New Roman"/>
          <w:color w:val="000000"/>
          <w:sz w:val="24"/>
          <w:szCs w:val="24"/>
        </w:rPr>
        <w:t xml:space="preserve">, N. (2026). </w:t>
      </w:r>
      <w:proofErr w:type="gramStart"/>
      <w:r w:rsidRPr="00B94F3E">
        <w:rPr>
          <w:rFonts w:ascii="Times New Roman" w:hAnsi="Times New Roman" w:cs="Times New Roman"/>
          <w:color w:val="000000"/>
          <w:sz w:val="24"/>
          <w:szCs w:val="24"/>
        </w:rPr>
        <w:t>Parental  knowledge</w:t>
      </w:r>
      <w:proofErr w:type="gramEnd"/>
      <w:r w:rsidRPr="00B94F3E">
        <w:rPr>
          <w:rFonts w:ascii="Times New Roman" w:hAnsi="Times New Roman" w:cs="Times New Roman"/>
          <w:color w:val="000000"/>
          <w:sz w:val="24"/>
          <w:szCs w:val="24"/>
        </w:rPr>
        <w:t xml:space="preserve"> and practices and associated factors of dental caries in school-age children </w:t>
      </w:r>
      <w:proofErr w:type="gramStart"/>
      <w:r w:rsidRPr="00B94F3E">
        <w:rPr>
          <w:rFonts w:ascii="Times New Roman" w:hAnsi="Times New Roman" w:cs="Times New Roman"/>
          <w:color w:val="000000"/>
          <w:sz w:val="24"/>
          <w:szCs w:val="24"/>
        </w:rPr>
        <w:t>in  Debark</w:t>
      </w:r>
      <w:proofErr w:type="gramEnd"/>
      <w:r w:rsidRPr="00B94F3E">
        <w:rPr>
          <w:rFonts w:ascii="Times New Roman" w:hAnsi="Times New Roman" w:cs="Times New Roman"/>
          <w:color w:val="000000"/>
          <w:sz w:val="24"/>
          <w:szCs w:val="24"/>
        </w:rPr>
        <w:t xml:space="preserve"> Town, Northwest Ethiopia. </w:t>
      </w:r>
      <w:r w:rsidRPr="00B94F3E">
        <w:rPr>
          <w:rFonts w:ascii="Times New Roman" w:hAnsi="Times New Roman" w:cs="Times New Roman"/>
          <w:i/>
          <w:iCs/>
          <w:color w:val="000000"/>
          <w:sz w:val="24"/>
          <w:szCs w:val="24"/>
        </w:rPr>
        <w:t>Scientific Reports, 16</w:t>
      </w:r>
      <w:r w:rsidRPr="00B94F3E">
        <w:rPr>
          <w:rFonts w:ascii="Times New Roman" w:hAnsi="Times New Roman" w:cs="Times New Roman"/>
          <w:color w:val="000000"/>
          <w:sz w:val="24"/>
          <w:szCs w:val="24"/>
        </w:rPr>
        <w:t xml:space="preserve">(1), 12379. </w:t>
      </w:r>
    </w:p>
    <w:p w14:paraId="592E059F"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9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Nassar, A. A., </w:t>
      </w:r>
      <w:proofErr w:type="spellStart"/>
      <w:r w:rsidRPr="00B94F3E">
        <w:rPr>
          <w:rFonts w:ascii="Times New Roman" w:hAnsi="Times New Roman" w:cs="Times New Roman"/>
          <w:color w:val="000000"/>
          <w:sz w:val="24"/>
          <w:szCs w:val="24"/>
        </w:rPr>
        <w:t>Fatani</w:t>
      </w:r>
      <w:proofErr w:type="spellEnd"/>
      <w:r w:rsidRPr="00B94F3E">
        <w:rPr>
          <w:rFonts w:ascii="Times New Roman" w:hAnsi="Times New Roman" w:cs="Times New Roman"/>
          <w:color w:val="000000"/>
          <w:sz w:val="24"/>
          <w:szCs w:val="24"/>
        </w:rPr>
        <w:t xml:space="preserve">, B. A., </w:t>
      </w:r>
      <w:proofErr w:type="spellStart"/>
      <w:r w:rsidRPr="00B94F3E">
        <w:rPr>
          <w:rFonts w:ascii="Times New Roman" w:hAnsi="Times New Roman" w:cs="Times New Roman"/>
          <w:color w:val="000000"/>
          <w:sz w:val="24"/>
          <w:szCs w:val="24"/>
        </w:rPr>
        <w:t>Almobarak</w:t>
      </w:r>
      <w:proofErr w:type="spellEnd"/>
      <w:r w:rsidRPr="00B94F3E">
        <w:rPr>
          <w:rFonts w:ascii="Times New Roman" w:hAnsi="Times New Roman" w:cs="Times New Roman"/>
          <w:color w:val="000000"/>
          <w:sz w:val="24"/>
          <w:szCs w:val="24"/>
        </w:rPr>
        <w:t xml:space="preserve">, O. T., Alotaibi, S. I., Alhazmi, R. A., &amp; </w:t>
      </w:r>
      <w:proofErr w:type="spellStart"/>
      <w:r w:rsidRPr="00B94F3E">
        <w:rPr>
          <w:rFonts w:ascii="Times New Roman" w:hAnsi="Times New Roman" w:cs="Times New Roman"/>
          <w:color w:val="000000"/>
          <w:sz w:val="24"/>
          <w:szCs w:val="24"/>
        </w:rPr>
        <w:t>Marghalani</w:t>
      </w:r>
      <w:proofErr w:type="spellEnd"/>
      <w:r w:rsidRPr="00B94F3E">
        <w:rPr>
          <w:rFonts w:ascii="Times New Roman" w:hAnsi="Times New Roman" w:cs="Times New Roman"/>
          <w:color w:val="000000"/>
          <w:sz w:val="24"/>
          <w:szCs w:val="24"/>
        </w:rPr>
        <w:t xml:space="preserve">, A. A.  (2022). Knowledge, attitude, and behavior of parents regarding early childhood </w:t>
      </w:r>
      <w:proofErr w:type="gramStart"/>
      <w:r w:rsidRPr="00B94F3E">
        <w:rPr>
          <w:rFonts w:ascii="Times New Roman" w:hAnsi="Times New Roman" w:cs="Times New Roman"/>
          <w:color w:val="000000"/>
          <w:sz w:val="24"/>
          <w:szCs w:val="24"/>
        </w:rPr>
        <w:t>caries  prevention</w:t>
      </w:r>
      <w:proofErr w:type="gramEnd"/>
      <w:r w:rsidRPr="00B94F3E">
        <w:rPr>
          <w:rFonts w:ascii="Times New Roman" w:hAnsi="Times New Roman" w:cs="Times New Roman"/>
          <w:color w:val="000000"/>
          <w:sz w:val="24"/>
          <w:szCs w:val="24"/>
        </w:rPr>
        <w:t xml:space="preserve"> of preschool children in Western Region of Saudi Arabia: A cross-sectional study.  </w:t>
      </w:r>
      <w:r w:rsidRPr="00B94F3E">
        <w:rPr>
          <w:rFonts w:ascii="Times New Roman" w:hAnsi="Times New Roman" w:cs="Times New Roman"/>
          <w:i/>
          <w:iCs/>
          <w:color w:val="000000"/>
          <w:sz w:val="24"/>
          <w:szCs w:val="24"/>
        </w:rPr>
        <w:t>Dentistry Journal, 10</w:t>
      </w:r>
      <w:r w:rsidRPr="00B94F3E">
        <w:rPr>
          <w:rFonts w:ascii="Times New Roman" w:hAnsi="Times New Roman" w:cs="Times New Roman"/>
          <w:color w:val="000000"/>
          <w:sz w:val="24"/>
          <w:szCs w:val="24"/>
        </w:rPr>
        <w:t xml:space="preserve">(12), 218. </w:t>
      </w:r>
    </w:p>
    <w:p w14:paraId="559A8C16"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4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National Health Research Ethics Committee of Nigeria. (2018). </w:t>
      </w:r>
      <w:r w:rsidRPr="00B94F3E">
        <w:rPr>
          <w:rFonts w:ascii="Times New Roman" w:hAnsi="Times New Roman" w:cs="Times New Roman"/>
          <w:i/>
          <w:iCs/>
          <w:color w:val="000000"/>
          <w:sz w:val="24"/>
          <w:szCs w:val="24"/>
        </w:rPr>
        <w:t>Ethical guidelines for health research in Nigeria</w:t>
      </w:r>
      <w:r w:rsidRPr="00B94F3E">
        <w:rPr>
          <w:rFonts w:ascii="Times New Roman" w:hAnsi="Times New Roman" w:cs="Times New Roman"/>
          <w:color w:val="000000"/>
          <w:sz w:val="24"/>
          <w:szCs w:val="24"/>
        </w:rPr>
        <w:t xml:space="preserve">. NHREC. </w:t>
      </w:r>
    </w:p>
    <w:p w14:paraId="24FD1457"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57"/>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National Institutes of Health. (2025). </w:t>
      </w:r>
      <w:r w:rsidRPr="00B94F3E">
        <w:rPr>
          <w:rFonts w:ascii="Times New Roman" w:hAnsi="Times New Roman" w:cs="Times New Roman"/>
          <w:i/>
          <w:iCs/>
          <w:color w:val="000000"/>
          <w:sz w:val="24"/>
          <w:szCs w:val="24"/>
        </w:rPr>
        <w:t>Prevalence of early childhood caries among preschool children</w:t>
      </w:r>
      <w:r w:rsidRPr="00B94F3E">
        <w:rPr>
          <w:rFonts w:ascii="Times New Roman" w:hAnsi="Times New Roman" w:cs="Times New Roman"/>
          <w:color w:val="000000"/>
          <w:sz w:val="24"/>
          <w:szCs w:val="24"/>
        </w:rPr>
        <w:t xml:space="preserve">. PMC. https://www.ncbi.nlm.nih.gov/pmc/articles/PMC12783414/ </w:t>
      </w:r>
    </w:p>
    <w:p w14:paraId="1C021A1C" w14:textId="77777777" w:rsidR="00435B01" w:rsidRPr="00723E2B" w:rsidRDefault="00B94F3E" w:rsidP="00B94F3E">
      <w:pPr>
        <w:pStyle w:val="Normal1"/>
        <w:widowControl w:val="0"/>
        <w:pBdr>
          <w:top w:val="nil"/>
          <w:left w:val="nil"/>
          <w:bottom w:val="nil"/>
          <w:right w:val="nil"/>
          <w:between w:val="nil"/>
        </w:pBdr>
        <w:spacing w:before="105" w:line="240" w:lineRule="auto"/>
        <w:ind w:left="90" w:right="711"/>
        <w:jc w:val="both"/>
        <w:rPr>
          <w:rFonts w:ascii="Times New Roman" w:hAnsi="Times New Roman" w:cs="Times New Roman"/>
          <w:color w:val="000000"/>
          <w:sz w:val="24"/>
          <w:szCs w:val="24"/>
          <w:lang w:val="pt-PT"/>
        </w:rPr>
      </w:pPr>
      <w:r w:rsidRPr="00B94F3E">
        <w:rPr>
          <w:rFonts w:ascii="Times New Roman" w:hAnsi="Times New Roman" w:cs="Times New Roman"/>
          <w:color w:val="000000"/>
          <w:sz w:val="24"/>
          <w:szCs w:val="24"/>
        </w:rPr>
        <w:t xml:space="preserve">National Population Commission. (2006). </w:t>
      </w:r>
      <w:r w:rsidRPr="00B94F3E">
        <w:rPr>
          <w:rFonts w:ascii="Times New Roman" w:hAnsi="Times New Roman" w:cs="Times New Roman"/>
          <w:i/>
          <w:iCs/>
          <w:color w:val="000000"/>
          <w:sz w:val="24"/>
          <w:szCs w:val="24"/>
        </w:rPr>
        <w:t xml:space="preserve">2006 population and housing census of the </w:t>
      </w:r>
      <w:proofErr w:type="gramStart"/>
      <w:r w:rsidRPr="00B94F3E">
        <w:rPr>
          <w:rFonts w:ascii="Times New Roman" w:hAnsi="Times New Roman" w:cs="Times New Roman"/>
          <w:i/>
          <w:iCs/>
          <w:color w:val="000000"/>
          <w:sz w:val="24"/>
          <w:szCs w:val="24"/>
        </w:rPr>
        <w:t>Federal  Republic</w:t>
      </w:r>
      <w:proofErr w:type="gramEnd"/>
      <w:r w:rsidRPr="00B94F3E">
        <w:rPr>
          <w:rFonts w:ascii="Times New Roman" w:hAnsi="Times New Roman" w:cs="Times New Roman"/>
          <w:i/>
          <w:iCs/>
          <w:color w:val="000000"/>
          <w:sz w:val="24"/>
          <w:szCs w:val="24"/>
        </w:rPr>
        <w:t xml:space="preserve"> of Nigeria</w:t>
      </w:r>
      <w:r w:rsidRPr="00B94F3E">
        <w:rPr>
          <w:rFonts w:ascii="Times New Roman" w:hAnsi="Times New Roman" w:cs="Times New Roman"/>
          <w:color w:val="000000"/>
          <w:sz w:val="24"/>
          <w:szCs w:val="24"/>
        </w:rPr>
        <w:t xml:space="preserve">. </w:t>
      </w:r>
      <w:r w:rsidRPr="00723E2B">
        <w:rPr>
          <w:rFonts w:ascii="Times New Roman" w:hAnsi="Times New Roman" w:cs="Times New Roman"/>
          <w:color w:val="000000"/>
          <w:sz w:val="24"/>
          <w:szCs w:val="24"/>
          <w:lang w:val="pt-PT"/>
        </w:rPr>
        <w:t xml:space="preserve">NPC. </w:t>
      </w:r>
    </w:p>
    <w:p w14:paraId="17B0691C" w14:textId="77777777" w:rsidR="00435B01" w:rsidRPr="00723E2B" w:rsidRDefault="00B94F3E" w:rsidP="00B94F3E">
      <w:pPr>
        <w:pStyle w:val="Normal1"/>
        <w:widowControl w:val="0"/>
        <w:pBdr>
          <w:top w:val="nil"/>
          <w:left w:val="nil"/>
          <w:bottom w:val="nil"/>
          <w:right w:val="nil"/>
          <w:between w:val="nil"/>
        </w:pBdr>
        <w:spacing w:before="105" w:line="240" w:lineRule="auto"/>
        <w:ind w:left="90" w:right="142"/>
        <w:jc w:val="both"/>
        <w:rPr>
          <w:rFonts w:ascii="Times New Roman" w:hAnsi="Times New Roman" w:cs="Times New Roman"/>
          <w:color w:val="000000"/>
          <w:sz w:val="24"/>
          <w:szCs w:val="24"/>
          <w:lang w:val="pt-PT"/>
        </w:rPr>
      </w:pPr>
      <w:r w:rsidRPr="00723E2B">
        <w:rPr>
          <w:rFonts w:ascii="Times New Roman" w:hAnsi="Times New Roman" w:cs="Times New Roman"/>
          <w:color w:val="000000"/>
          <w:sz w:val="24"/>
          <w:szCs w:val="24"/>
          <w:lang w:val="pt-PT"/>
        </w:rPr>
        <w:t xml:space="preserve">Ndekero, T. S., Carneiro, L. C., &amp; Masumo, R. M. (2021). </w:t>
      </w:r>
      <w:r w:rsidRPr="00B94F3E">
        <w:rPr>
          <w:rFonts w:ascii="Times New Roman" w:hAnsi="Times New Roman" w:cs="Times New Roman"/>
          <w:color w:val="000000"/>
          <w:sz w:val="24"/>
          <w:szCs w:val="24"/>
        </w:rPr>
        <w:t xml:space="preserve">Prevalence of early childhood caries, </w:t>
      </w:r>
      <w:proofErr w:type="gramStart"/>
      <w:r w:rsidRPr="00B94F3E">
        <w:rPr>
          <w:rFonts w:ascii="Times New Roman" w:hAnsi="Times New Roman" w:cs="Times New Roman"/>
          <w:color w:val="000000"/>
          <w:sz w:val="24"/>
          <w:szCs w:val="24"/>
        </w:rPr>
        <w:t>risk  factors</w:t>
      </w:r>
      <w:proofErr w:type="gramEnd"/>
      <w:r w:rsidRPr="00B94F3E">
        <w:rPr>
          <w:rFonts w:ascii="Times New Roman" w:hAnsi="Times New Roman" w:cs="Times New Roman"/>
          <w:color w:val="000000"/>
          <w:sz w:val="24"/>
          <w:szCs w:val="24"/>
        </w:rPr>
        <w:t xml:space="preserve"> and nutritional status among 3–5-year-old preschool children in </w:t>
      </w:r>
      <w:proofErr w:type="spellStart"/>
      <w:r w:rsidRPr="00B94F3E">
        <w:rPr>
          <w:rFonts w:ascii="Times New Roman" w:hAnsi="Times New Roman" w:cs="Times New Roman"/>
          <w:color w:val="000000"/>
          <w:sz w:val="24"/>
          <w:szCs w:val="24"/>
        </w:rPr>
        <w:t>Kisarawe</w:t>
      </w:r>
      <w:proofErr w:type="spellEnd"/>
      <w:r w:rsidRPr="00B94F3E">
        <w:rPr>
          <w:rFonts w:ascii="Times New Roman" w:hAnsi="Times New Roman" w:cs="Times New Roman"/>
          <w:color w:val="000000"/>
          <w:sz w:val="24"/>
          <w:szCs w:val="24"/>
        </w:rPr>
        <w:t xml:space="preserve">, Tanzania.  </w:t>
      </w:r>
      <w:r w:rsidRPr="00723E2B">
        <w:rPr>
          <w:rFonts w:ascii="Times New Roman" w:hAnsi="Times New Roman" w:cs="Times New Roman"/>
          <w:i/>
          <w:iCs/>
          <w:color w:val="000000"/>
          <w:sz w:val="24"/>
          <w:szCs w:val="24"/>
          <w:lang w:val="pt-PT"/>
        </w:rPr>
        <w:t>PLoS ONE, 16</w:t>
      </w:r>
      <w:r w:rsidRPr="00723E2B">
        <w:rPr>
          <w:rFonts w:ascii="Times New Roman" w:hAnsi="Times New Roman" w:cs="Times New Roman"/>
          <w:color w:val="000000"/>
          <w:sz w:val="24"/>
          <w:szCs w:val="24"/>
          <w:lang w:val="pt-PT"/>
        </w:rPr>
        <w:t xml:space="preserve">(2), e0247240. </w:t>
      </w:r>
    </w:p>
    <w:p w14:paraId="65BD0ED7"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42"/>
        <w:jc w:val="both"/>
        <w:rPr>
          <w:rFonts w:ascii="Times New Roman" w:hAnsi="Times New Roman" w:cs="Times New Roman"/>
          <w:color w:val="000000"/>
          <w:sz w:val="24"/>
          <w:szCs w:val="24"/>
        </w:rPr>
      </w:pPr>
      <w:r w:rsidRPr="00723E2B">
        <w:rPr>
          <w:rFonts w:ascii="Times New Roman" w:hAnsi="Times New Roman" w:cs="Times New Roman"/>
          <w:color w:val="000000"/>
          <w:sz w:val="24"/>
          <w:szCs w:val="24"/>
          <w:lang w:val="pt-PT"/>
        </w:rPr>
        <w:t xml:space="preserve">Ogunlade, O. B., Adu, R. A., Afolabi, A. O., Akinsolu, F. T., Ehizele, A. O., Eleje, G. U., … </w:t>
      </w:r>
      <w:proofErr w:type="spellStart"/>
      <w:r w:rsidRPr="00B94F3E">
        <w:rPr>
          <w:rFonts w:ascii="Times New Roman" w:hAnsi="Times New Roman" w:cs="Times New Roman"/>
          <w:color w:val="000000"/>
          <w:sz w:val="24"/>
          <w:szCs w:val="24"/>
        </w:rPr>
        <w:t>Foláyan</w:t>
      </w:r>
      <w:proofErr w:type="spellEnd"/>
      <w:r w:rsidRPr="00B94F3E">
        <w:rPr>
          <w:rFonts w:ascii="Times New Roman" w:hAnsi="Times New Roman" w:cs="Times New Roman"/>
          <w:color w:val="000000"/>
          <w:sz w:val="24"/>
          <w:szCs w:val="24"/>
        </w:rPr>
        <w:t xml:space="preserve">, M. O. (2026). Prevalence of early childhood caries in Southern Africa: Systematic review </w:t>
      </w:r>
      <w:proofErr w:type="gramStart"/>
      <w:r w:rsidRPr="00B94F3E">
        <w:rPr>
          <w:rFonts w:ascii="Times New Roman" w:hAnsi="Times New Roman" w:cs="Times New Roman"/>
          <w:color w:val="000000"/>
          <w:sz w:val="24"/>
          <w:szCs w:val="24"/>
        </w:rPr>
        <w:t>and  meta</w:t>
      </w:r>
      <w:proofErr w:type="gramEnd"/>
      <w:r w:rsidRPr="00B94F3E">
        <w:rPr>
          <w:rFonts w:ascii="Times New Roman" w:hAnsi="Times New Roman" w:cs="Times New Roman"/>
          <w:color w:val="000000"/>
          <w:sz w:val="24"/>
          <w:szCs w:val="24"/>
        </w:rPr>
        <w:t xml:space="preserve">-analysis. </w:t>
      </w:r>
      <w:r w:rsidRPr="00B94F3E">
        <w:rPr>
          <w:rFonts w:ascii="Times New Roman" w:hAnsi="Times New Roman" w:cs="Times New Roman"/>
          <w:i/>
          <w:iCs/>
          <w:color w:val="000000"/>
          <w:sz w:val="24"/>
          <w:szCs w:val="24"/>
        </w:rPr>
        <w:t>BMC Oral Health, 26</w:t>
      </w:r>
      <w:r w:rsidRPr="00B94F3E">
        <w:rPr>
          <w:rFonts w:ascii="Times New Roman" w:hAnsi="Times New Roman" w:cs="Times New Roman"/>
          <w:color w:val="000000"/>
          <w:sz w:val="24"/>
          <w:szCs w:val="24"/>
        </w:rPr>
        <w:t xml:space="preserve">(1), 331. </w:t>
      </w:r>
    </w:p>
    <w:p w14:paraId="20EF4CBD"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208"/>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Okolo, C. C., </w:t>
      </w:r>
      <w:proofErr w:type="spellStart"/>
      <w:r w:rsidRPr="00B94F3E">
        <w:rPr>
          <w:rFonts w:ascii="Times New Roman" w:hAnsi="Times New Roman" w:cs="Times New Roman"/>
          <w:color w:val="000000"/>
          <w:sz w:val="24"/>
          <w:szCs w:val="24"/>
        </w:rPr>
        <w:t>Aborisade</w:t>
      </w:r>
      <w:proofErr w:type="spellEnd"/>
      <w:r w:rsidRPr="00B94F3E">
        <w:rPr>
          <w:rFonts w:ascii="Times New Roman" w:hAnsi="Times New Roman" w:cs="Times New Roman"/>
          <w:color w:val="000000"/>
          <w:sz w:val="24"/>
          <w:szCs w:val="24"/>
        </w:rPr>
        <w:t xml:space="preserve">, A. O., Oguchi, C. O., </w:t>
      </w:r>
      <w:proofErr w:type="spellStart"/>
      <w:r w:rsidRPr="00B94F3E">
        <w:rPr>
          <w:rFonts w:ascii="Times New Roman" w:hAnsi="Times New Roman" w:cs="Times New Roman"/>
          <w:color w:val="000000"/>
          <w:sz w:val="24"/>
          <w:szCs w:val="24"/>
        </w:rPr>
        <w:t>Alalade</w:t>
      </w:r>
      <w:proofErr w:type="spellEnd"/>
      <w:r w:rsidRPr="00B94F3E">
        <w:rPr>
          <w:rFonts w:ascii="Times New Roman" w:hAnsi="Times New Roman" w:cs="Times New Roman"/>
          <w:color w:val="000000"/>
          <w:sz w:val="24"/>
          <w:szCs w:val="24"/>
        </w:rPr>
        <w:t xml:space="preserve">, O., &amp; Adeyemo, Y. I. (2024). A </w:t>
      </w:r>
      <w:proofErr w:type="gramStart"/>
      <w:r w:rsidRPr="00B94F3E">
        <w:rPr>
          <w:rFonts w:ascii="Times New Roman" w:hAnsi="Times New Roman" w:cs="Times New Roman"/>
          <w:color w:val="000000"/>
          <w:sz w:val="24"/>
          <w:szCs w:val="24"/>
        </w:rPr>
        <w:t>systematic  review</w:t>
      </w:r>
      <w:proofErr w:type="gramEnd"/>
      <w:r w:rsidRPr="00B94F3E">
        <w:rPr>
          <w:rFonts w:ascii="Times New Roman" w:hAnsi="Times New Roman" w:cs="Times New Roman"/>
          <w:color w:val="000000"/>
          <w:sz w:val="24"/>
          <w:szCs w:val="24"/>
        </w:rPr>
        <w:t xml:space="preserve"> and meta-analysis on the epidemiology of early childhood caries in Nigeria. </w:t>
      </w:r>
      <w:proofErr w:type="gramStart"/>
      <w:r w:rsidRPr="00B94F3E">
        <w:rPr>
          <w:rFonts w:ascii="Times New Roman" w:hAnsi="Times New Roman" w:cs="Times New Roman"/>
          <w:i/>
          <w:iCs/>
          <w:color w:val="000000"/>
          <w:sz w:val="24"/>
          <w:szCs w:val="24"/>
        </w:rPr>
        <w:t xml:space="preserve">Discover  </w:t>
      </w:r>
      <w:r w:rsidRPr="00B94F3E">
        <w:rPr>
          <w:rFonts w:ascii="Times New Roman" w:hAnsi="Times New Roman" w:cs="Times New Roman"/>
          <w:i/>
          <w:iCs/>
          <w:color w:val="000000"/>
          <w:sz w:val="24"/>
          <w:szCs w:val="24"/>
        </w:rPr>
        <w:t>Public</w:t>
      </w:r>
      <w:proofErr w:type="gramEnd"/>
      <w:r w:rsidRPr="00B94F3E">
        <w:rPr>
          <w:rFonts w:ascii="Times New Roman" w:hAnsi="Times New Roman" w:cs="Times New Roman"/>
          <w:i/>
          <w:iCs/>
          <w:color w:val="000000"/>
          <w:sz w:val="24"/>
          <w:szCs w:val="24"/>
        </w:rPr>
        <w:t xml:space="preserve"> Health, 21</w:t>
      </w:r>
      <w:r w:rsidRPr="00B94F3E">
        <w:rPr>
          <w:rFonts w:ascii="Times New Roman" w:hAnsi="Times New Roman" w:cs="Times New Roman"/>
          <w:color w:val="000000"/>
          <w:sz w:val="24"/>
          <w:szCs w:val="24"/>
        </w:rPr>
        <w:t xml:space="preserve">(1), 193. </w:t>
      </w:r>
    </w:p>
    <w:p w14:paraId="175FA117"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Orhorhoro, E. E., </w:t>
      </w:r>
      <w:proofErr w:type="spellStart"/>
      <w:r w:rsidRPr="00B94F3E">
        <w:rPr>
          <w:rFonts w:ascii="Times New Roman" w:hAnsi="Times New Roman" w:cs="Times New Roman"/>
          <w:color w:val="000000"/>
          <w:sz w:val="24"/>
          <w:szCs w:val="24"/>
        </w:rPr>
        <w:t>Chukwumah</w:t>
      </w:r>
      <w:proofErr w:type="spellEnd"/>
      <w:r w:rsidRPr="00B94F3E">
        <w:rPr>
          <w:rFonts w:ascii="Times New Roman" w:hAnsi="Times New Roman" w:cs="Times New Roman"/>
          <w:color w:val="000000"/>
          <w:sz w:val="24"/>
          <w:szCs w:val="24"/>
        </w:rPr>
        <w:t xml:space="preserve">, N. M., Adewale, O., </w:t>
      </w:r>
      <w:proofErr w:type="spellStart"/>
      <w:r w:rsidRPr="00B94F3E">
        <w:rPr>
          <w:rFonts w:ascii="Times New Roman" w:hAnsi="Times New Roman" w:cs="Times New Roman"/>
          <w:color w:val="000000"/>
          <w:sz w:val="24"/>
          <w:szCs w:val="24"/>
        </w:rPr>
        <w:t>Onyejaka</w:t>
      </w:r>
      <w:proofErr w:type="spellEnd"/>
      <w:r w:rsidRPr="00B94F3E">
        <w:rPr>
          <w:rFonts w:ascii="Times New Roman" w:hAnsi="Times New Roman" w:cs="Times New Roman"/>
          <w:color w:val="000000"/>
          <w:sz w:val="24"/>
          <w:szCs w:val="24"/>
        </w:rPr>
        <w:t xml:space="preserve">, N. K., </w:t>
      </w:r>
      <w:proofErr w:type="spellStart"/>
      <w:r w:rsidRPr="00B94F3E">
        <w:rPr>
          <w:rFonts w:ascii="Times New Roman" w:hAnsi="Times New Roman" w:cs="Times New Roman"/>
          <w:color w:val="000000"/>
          <w:sz w:val="24"/>
          <w:szCs w:val="24"/>
        </w:rPr>
        <w:t>Ehizele</w:t>
      </w:r>
      <w:proofErr w:type="spellEnd"/>
      <w:r w:rsidRPr="00B94F3E">
        <w:rPr>
          <w:rFonts w:ascii="Times New Roman" w:hAnsi="Times New Roman" w:cs="Times New Roman"/>
          <w:color w:val="000000"/>
          <w:sz w:val="24"/>
          <w:szCs w:val="24"/>
        </w:rPr>
        <w:t xml:space="preserve">, A. O., </w:t>
      </w:r>
      <w:proofErr w:type="spellStart"/>
      <w:r w:rsidRPr="00B94F3E">
        <w:rPr>
          <w:rFonts w:ascii="Times New Roman" w:hAnsi="Times New Roman" w:cs="Times New Roman"/>
          <w:color w:val="000000"/>
          <w:sz w:val="24"/>
          <w:szCs w:val="24"/>
        </w:rPr>
        <w:t>Akinsolu</w:t>
      </w:r>
      <w:proofErr w:type="spellEnd"/>
      <w:r w:rsidRPr="00B94F3E">
        <w:rPr>
          <w:rFonts w:ascii="Times New Roman" w:hAnsi="Times New Roman" w:cs="Times New Roman"/>
          <w:color w:val="000000"/>
          <w:sz w:val="24"/>
          <w:szCs w:val="24"/>
        </w:rPr>
        <w:t>, F. T.</w:t>
      </w:r>
      <w:proofErr w:type="gramStart"/>
      <w:r w:rsidRPr="00B94F3E">
        <w:rPr>
          <w:rFonts w:ascii="Times New Roman" w:hAnsi="Times New Roman" w:cs="Times New Roman"/>
          <w:color w:val="000000"/>
          <w:sz w:val="24"/>
          <w:szCs w:val="24"/>
        </w:rPr>
        <w:t>,  …</w:t>
      </w:r>
      <w:proofErr w:type="gramEnd"/>
      <w:r w:rsidRPr="00B94F3E">
        <w:rPr>
          <w:rFonts w:ascii="Times New Roman" w:hAnsi="Times New Roman" w:cs="Times New Roman"/>
          <w:color w:val="000000"/>
          <w:sz w:val="24"/>
          <w:szCs w:val="24"/>
        </w:rPr>
        <w:t xml:space="preserve"> </w:t>
      </w:r>
      <w:proofErr w:type="spellStart"/>
      <w:r w:rsidRPr="00B94F3E">
        <w:rPr>
          <w:rFonts w:ascii="Times New Roman" w:hAnsi="Times New Roman" w:cs="Times New Roman"/>
          <w:color w:val="000000"/>
          <w:sz w:val="24"/>
          <w:szCs w:val="24"/>
        </w:rPr>
        <w:t>Foláyan</w:t>
      </w:r>
      <w:proofErr w:type="spellEnd"/>
      <w:r w:rsidRPr="00B94F3E">
        <w:rPr>
          <w:rFonts w:ascii="Times New Roman" w:hAnsi="Times New Roman" w:cs="Times New Roman"/>
          <w:color w:val="000000"/>
          <w:sz w:val="24"/>
          <w:szCs w:val="24"/>
        </w:rPr>
        <w:t xml:space="preserve">, M. O. (2026). Prevalence and associated risk indicators of early childhood caries </w:t>
      </w:r>
      <w:proofErr w:type="gramStart"/>
      <w:r w:rsidRPr="00B94F3E">
        <w:rPr>
          <w:rFonts w:ascii="Times New Roman" w:hAnsi="Times New Roman" w:cs="Times New Roman"/>
          <w:color w:val="000000"/>
          <w:sz w:val="24"/>
          <w:szCs w:val="24"/>
        </w:rPr>
        <w:t>in  Nigeria</w:t>
      </w:r>
      <w:proofErr w:type="gramEnd"/>
      <w:r w:rsidRPr="00B94F3E">
        <w:rPr>
          <w:rFonts w:ascii="Times New Roman" w:hAnsi="Times New Roman" w:cs="Times New Roman"/>
          <w:color w:val="000000"/>
          <w:sz w:val="24"/>
          <w:szCs w:val="24"/>
        </w:rPr>
        <w:t xml:space="preserve">: A systematic review and meta-analysis. </w:t>
      </w:r>
      <w:r w:rsidRPr="00B94F3E">
        <w:rPr>
          <w:rFonts w:ascii="Times New Roman" w:hAnsi="Times New Roman" w:cs="Times New Roman"/>
          <w:i/>
          <w:iCs/>
          <w:color w:val="000000"/>
          <w:sz w:val="24"/>
          <w:szCs w:val="24"/>
        </w:rPr>
        <w:t>BMC Oral Health, 26</w:t>
      </w:r>
      <w:r w:rsidRPr="00B94F3E">
        <w:rPr>
          <w:rFonts w:ascii="Times New Roman" w:hAnsi="Times New Roman" w:cs="Times New Roman"/>
          <w:color w:val="000000"/>
          <w:sz w:val="24"/>
          <w:szCs w:val="24"/>
        </w:rPr>
        <w:t xml:space="preserve">(1), 917. </w:t>
      </w:r>
    </w:p>
    <w:p w14:paraId="4AB3AC32" w14:textId="77777777" w:rsidR="00435B01" w:rsidRPr="00B94F3E" w:rsidRDefault="00B94F3E" w:rsidP="00B94F3E">
      <w:pPr>
        <w:pStyle w:val="Normal1"/>
        <w:widowControl w:val="0"/>
        <w:pBdr>
          <w:top w:val="nil"/>
          <w:left w:val="nil"/>
          <w:bottom w:val="nil"/>
          <w:right w:val="nil"/>
          <w:between w:val="nil"/>
        </w:pBdr>
        <w:spacing w:line="240" w:lineRule="auto"/>
        <w:ind w:left="90" w:right="98"/>
        <w:jc w:val="both"/>
        <w:rPr>
          <w:rFonts w:ascii="Times New Roman" w:hAnsi="Times New Roman" w:cs="Times New Roman"/>
          <w:color w:val="000000"/>
          <w:sz w:val="24"/>
          <w:szCs w:val="24"/>
        </w:rPr>
      </w:pPr>
      <w:proofErr w:type="spellStart"/>
      <w:r w:rsidRPr="00B94F3E">
        <w:rPr>
          <w:rFonts w:ascii="Times New Roman" w:hAnsi="Times New Roman" w:cs="Times New Roman"/>
          <w:color w:val="000000"/>
          <w:sz w:val="24"/>
          <w:szCs w:val="24"/>
        </w:rPr>
        <w:t>Osadolor</w:t>
      </w:r>
      <w:proofErr w:type="spellEnd"/>
      <w:r w:rsidRPr="00B94F3E">
        <w:rPr>
          <w:rFonts w:ascii="Times New Roman" w:hAnsi="Times New Roman" w:cs="Times New Roman"/>
          <w:color w:val="000000"/>
          <w:sz w:val="24"/>
          <w:szCs w:val="24"/>
        </w:rPr>
        <w:t xml:space="preserve">, O. O., </w:t>
      </w:r>
      <w:proofErr w:type="spellStart"/>
      <w:r w:rsidRPr="00B94F3E">
        <w:rPr>
          <w:rFonts w:ascii="Times New Roman" w:hAnsi="Times New Roman" w:cs="Times New Roman"/>
          <w:color w:val="000000"/>
          <w:sz w:val="24"/>
          <w:szCs w:val="24"/>
        </w:rPr>
        <w:t>Osadolor</w:t>
      </w:r>
      <w:proofErr w:type="spellEnd"/>
      <w:r w:rsidRPr="00B94F3E">
        <w:rPr>
          <w:rFonts w:ascii="Times New Roman" w:hAnsi="Times New Roman" w:cs="Times New Roman"/>
          <w:color w:val="000000"/>
          <w:sz w:val="24"/>
          <w:szCs w:val="24"/>
        </w:rPr>
        <w:t xml:space="preserve">, A. J., &amp; Amobi, E. (2025). Dental caries among children in Africa slums.  </w:t>
      </w:r>
      <w:r w:rsidRPr="00723E2B">
        <w:rPr>
          <w:rFonts w:ascii="Times New Roman" w:hAnsi="Times New Roman" w:cs="Times New Roman"/>
          <w:i/>
          <w:iCs/>
          <w:color w:val="000000"/>
          <w:sz w:val="24"/>
          <w:szCs w:val="24"/>
          <w:lang w:val="pt-PT"/>
        </w:rPr>
        <w:t>Nepal Mediciti Medical Journal, 6</w:t>
      </w:r>
      <w:r w:rsidRPr="00723E2B">
        <w:rPr>
          <w:rFonts w:ascii="Times New Roman" w:hAnsi="Times New Roman" w:cs="Times New Roman"/>
          <w:color w:val="000000"/>
          <w:sz w:val="24"/>
          <w:szCs w:val="24"/>
          <w:lang w:val="pt-PT"/>
        </w:rPr>
        <w:t xml:space="preserve">(1), 33–35. https://doi.org/10.3126/nmmj.v6i1.8111Pitts, N. B., Zero, D. T., Marsh, P. D., Ekstrand, K., Weintraub, J. A., Ramos-Gomez, F., … </w:t>
      </w:r>
      <w:r w:rsidRPr="00B94F3E">
        <w:rPr>
          <w:rFonts w:ascii="Times New Roman" w:hAnsi="Times New Roman" w:cs="Times New Roman"/>
          <w:color w:val="000000"/>
          <w:sz w:val="24"/>
          <w:szCs w:val="24"/>
        </w:rPr>
        <w:t xml:space="preserve">Ismail,  A. (2017). Dental caries. </w:t>
      </w:r>
      <w:r w:rsidRPr="00B94F3E">
        <w:rPr>
          <w:rFonts w:ascii="Times New Roman" w:hAnsi="Times New Roman" w:cs="Times New Roman"/>
          <w:i/>
          <w:iCs/>
          <w:color w:val="000000"/>
          <w:sz w:val="24"/>
          <w:szCs w:val="24"/>
        </w:rPr>
        <w:t>Nature Reviews Disease Primers, 3</w:t>
      </w:r>
      <w:r w:rsidRPr="00B94F3E">
        <w:rPr>
          <w:rFonts w:ascii="Times New Roman" w:hAnsi="Times New Roman" w:cs="Times New Roman"/>
          <w:color w:val="000000"/>
          <w:sz w:val="24"/>
          <w:szCs w:val="24"/>
        </w:rPr>
        <w:t xml:space="preserve">, 17030.  </w:t>
      </w:r>
    </w:p>
    <w:p w14:paraId="69E1E6E2" w14:textId="77777777" w:rsidR="00435B01" w:rsidRPr="00B94F3E" w:rsidRDefault="00B94F3E" w:rsidP="00B94F3E">
      <w:pPr>
        <w:pStyle w:val="Normal1"/>
        <w:widowControl w:val="0"/>
        <w:pBdr>
          <w:top w:val="nil"/>
          <w:left w:val="nil"/>
          <w:bottom w:val="nil"/>
          <w:right w:val="nil"/>
          <w:between w:val="nil"/>
        </w:pBdr>
        <w:spacing w:before="5" w:line="240" w:lineRule="auto"/>
        <w:ind w:left="9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https://doi.org/10.1038/nrdp.2017.30 </w:t>
      </w:r>
    </w:p>
    <w:p w14:paraId="1A635B73" w14:textId="77777777" w:rsidR="00435B01" w:rsidRPr="00B94F3E" w:rsidRDefault="00B94F3E" w:rsidP="00B94F3E">
      <w:pPr>
        <w:pStyle w:val="Normal1"/>
        <w:widowControl w:val="0"/>
        <w:pBdr>
          <w:top w:val="nil"/>
          <w:left w:val="nil"/>
          <w:bottom w:val="nil"/>
          <w:right w:val="nil"/>
          <w:between w:val="nil"/>
        </w:pBdr>
        <w:spacing w:before="96" w:line="240" w:lineRule="auto"/>
        <w:ind w:left="90" w:right="783"/>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Setia, M. S. (2016). Methodology series module 3: Cross-sectional studies. </w:t>
      </w:r>
      <w:r w:rsidRPr="00B94F3E">
        <w:rPr>
          <w:rFonts w:ascii="Times New Roman" w:hAnsi="Times New Roman" w:cs="Times New Roman"/>
          <w:i/>
          <w:iCs/>
          <w:color w:val="000000"/>
          <w:sz w:val="24"/>
          <w:szCs w:val="24"/>
        </w:rPr>
        <w:t xml:space="preserve">Indian Journal </w:t>
      </w:r>
      <w:proofErr w:type="gramStart"/>
      <w:r w:rsidRPr="00B94F3E">
        <w:rPr>
          <w:rFonts w:ascii="Times New Roman" w:hAnsi="Times New Roman" w:cs="Times New Roman"/>
          <w:i/>
          <w:iCs/>
          <w:color w:val="000000"/>
          <w:sz w:val="24"/>
          <w:szCs w:val="24"/>
        </w:rPr>
        <w:t>of  Dermatology</w:t>
      </w:r>
      <w:proofErr w:type="gramEnd"/>
      <w:r w:rsidRPr="00B94F3E">
        <w:rPr>
          <w:rFonts w:ascii="Times New Roman" w:hAnsi="Times New Roman" w:cs="Times New Roman"/>
          <w:i/>
          <w:iCs/>
          <w:color w:val="000000"/>
          <w:sz w:val="24"/>
          <w:szCs w:val="24"/>
        </w:rPr>
        <w:t>, 61</w:t>
      </w:r>
      <w:r w:rsidRPr="00B94F3E">
        <w:rPr>
          <w:rFonts w:ascii="Times New Roman" w:hAnsi="Times New Roman" w:cs="Times New Roman"/>
          <w:color w:val="000000"/>
          <w:sz w:val="24"/>
          <w:szCs w:val="24"/>
        </w:rPr>
        <w:t xml:space="preserve">(3), 261–264. </w:t>
      </w:r>
    </w:p>
    <w:p w14:paraId="70B7FB1A"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17"/>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Shirzad, M., </w:t>
      </w:r>
      <w:proofErr w:type="spellStart"/>
      <w:r w:rsidRPr="00B94F3E">
        <w:rPr>
          <w:rFonts w:ascii="Times New Roman" w:hAnsi="Times New Roman" w:cs="Times New Roman"/>
          <w:color w:val="000000"/>
          <w:sz w:val="24"/>
          <w:szCs w:val="24"/>
        </w:rPr>
        <w:t>Taghdisi</w:t>
      </w:r>
      <w:proofErr w:type="spellEnd"/>
      <w:r w:rsidRPr="00B94F3E">
        <w:rPr>
          <w:rFonts w:ascii="Times New Roman" w:hAnsi="Times New Roman" w:cs="Times New Roman"/>
          <w:color w:val="000000"/>
          <w:sz w:val="24"/>
          <w:szCs w:val="24"/>
        </w:rPr>
        <w:t xml:space="preserve">, M. H., </w:t>
      </w:r>
      <w:proofErr w:type="spellStart"/>
      <w:r w:rsidRPr="00B94F3E">
        <w:rPr>
          <w:rFonts w:ascii="Times New Roman" w:hAnsi="Times New Roman" w:cs="Times New Roman"/>
          <w:color w:val="000000"/>
          <w:sz w:val="24"/>
          <w:szCs w:val="24"/>
        </w:rPr>
        <w:t>Dehdari</w:t>
      </w:r>
      <w:proofErr w:type="spellEnd"/>
      <w:r w:rsidRPr="00B94F3E">
        <w:rPr>
          <w:rFonts w:ascii="Times New Roman" w:hAnsi="Times New Roman" w:cs="Times New Roman"/>
          <w:color w:val="000000"/>
          <w:sz w:val="24"/>
          <w:szCs w:val="24"/>
        </w:rPr>
        <w:t xml:space="preserve">, T., &amp; </w:t>
      </w:r>
      <w:proofErr w:type="spellStart"/>
      <w:r w:rsidRPr="00B94F3E">
        <w:rPr>
          <w:rFonts w:ascii="Times New Roman" w:hAnsi="Times New Roman" w:cs="Times New Roman"/>
          <w:color w:val="000000"/>
          <w:sz w:val="24"/>
          <w:szCs w:val="24"/>
        </w:rPr>
        <w:t>Abolghasemi</w:t>
      </w:r>
      <w:proofErr w:type="spellEnd"/>
      <w:r w:rsidRPr="00B94F3E">
        <w:rPr>
          <w:rFonts w:ascii="Times New Roman" w:hAnsi="Times New Roman" w:cs="Times New Roman"/>
          <w:color w:val="000000"/>
          <w:sz w:val="24"/>
          <w:szCs w:val="24"/>
        </w:rPr>
        <w:t xml:space="preserve">, J. (2016). Oral health education </w:t>
      </w:r>
      <w:proofErr w:type="gramStart"/>
      <w:r w:rsidRPr="00B94F3E">
        <w:rPr>
          <w:rFonts w:ascii="Times New Roman" w:hAnsi="Times New Roman" w:cs="Times New Roman"/>
          <w:color w:val="000000"/>
          <w:sz w:val="24"/>
          <w:szCs w:val="24"/>
        </w:rPr>
        <w:t>program  among</w:t>
      </w:r>
      <w:proofErr w:type="gramEnd"/>
      <w:r w:rsidRPr="00B94F3E">
        <w:rPr>
          <w:rFonts w:ascii="Times New Roman" w:hAnsi="Times New Roman" w:cs="Times New Roman"/>
          <w:color w:val="000000"/>
          <w:sz w:val="24"/>
          <w:szCs w:val="24"/>
        </w:rPr>
        <w:t xml:space="preserve"> pre-school children: An application of health-promoting school’s approach. </w:t>
      </w:r>
      <w:proofErr w:type="gramStart"/>
      <w:r w:rsidRPr="00B94F3E">
        <w:rPr>
          <w:rFonts w:ascii="Times New Roman" w:hAnsi="Times New Roman" w:cs="Times New Roman"/>
          <w:i/>
          <w:iCs/>
          <w:color w:val="000000"/>
          <w:sz w:val="24"/>
          <w:szCs w:val="24"/>
        </w:rPr>
        <w:t>Health  Promotion</w:t>
      </w:r>
      <w:proofErr w:type="gramEnd"/>
      <w:r w:rsidRPr="00B94F3E">
        <w:rPr>
          <w:rFonts w:ascii="Times New Roman" w:hAnsi="Times New Roman" w:cs="Times New Roman"/>
          <w:i/>
          <w:iCs/>
          <w:color w:val="000000"/>
          <w:sz w:val="24"/>
          <w:szCs w:val="24"/>
        </w:rPr>
        <w:t xml:space="preserve"> Perspectives, 6</w:t>
      </w:r>
      <w:r w:rsidRPr="00B94F3E">
        <w:rPr>
          <w:rFonts w:ascii="Times New Roman" w:hAnsi="Times New Roman" w:cs="Times New Roman"/>
          <w:color w:val="000000"/>
          <w:sz w:val="24"/>
          <w:szCs w:val="24"/>
        </w:rPr>
        <w:t xml:space="preserve">(3), 164–170. </w:t>
      </w:r>
    </w:p>
    <w:p w14:paraId="5D291AB7"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53"/>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Tinanoff, N., Baez, R. J., Diaz Guillory, C., Donly, K. J., Feldens, C. A., McGrath, C., … </w:t>
      </w:r>
      <w:proofErr w:type="spellStart"/>
      <w:proofErr w:type="gramStart"/>
      <w:r w:rsidRPr="00B94F3E">
        <w:rPr>
          <w:rFonts w:ascii="Times New Roman" w:hAnsi="Times New Roman" w:cs="Times New Roman"/>
          <w:color w:val="000000"/>
          <w:sz w:val="24"/>
          <w:szCs w:val="24"/>
        </w:rPr>
        <w:t>Twetman</w:t>
      </w:r>
      <w:proofErr w:type="spellEnd"/>
      <w:r w:rsidRPr="00B94F3E">
        <w:rPr>
          <w:rFonts w:ascii="Times New Roman" w:hAnsi="Times New Roman" w:cs="Times New Roman"/>
          <w:color w:val="000000"/>
          <w:sz w:val="24"/>
          <w:szCs w:val="24"/>
        </w:rPr>
        <w:t>,  S.</w:t>
      </w:r>
      <w:proofErr w:type="gramEnd"/>
      <w:r w:rsidRPr="00B94F3E">
        <w:rPr>
          <w:rFonts w:ascii="Times New Roman" w:hAnsi="Times New Roman" w:cs="Times New Roman"/>
          <w:color w:val="000000"/>
          <w:sz w:val="24"/>
          <w:szCs w:val="24"/>
        </w:rPr>
        <w:t xml:space="preserve"> (2019). Early childhood caries epidemiology, </w:t>
      </w:r>
      <w:proofErr w:type="spellStart"/>
      <w:r w:rsidRPr="00B94F3E">
        <w:rPr>
          <w:rFonts w:ascii="Times New Roman" w:hAnsi="Times New Roman" w:cs="Times New Roman"/>
          <w:color w:val="000000"/>
          <w:sz w:val="24"/>
          <w:szCs w:val="24"/>
        </w:rPr>
        <w:t>aetiology</w:t>
      </w:r>
      <w:proofErr w:type="spellEnd"/>
      <w:r w:rsidRPr="00B94F3E">
        <w:rPr>
          <w:rFonts w:ascii="Times New Roman" w:hAnsi="Times New Roman" w:cs="Times New Roman"/>
          <w:color w:val="000000"/>
          <w:sz w:val="24"/>
          <w:szCs w:val="24"/>
        </w:rPr>
        <w:t xml:space="preserve">, risk assessment, societal </w:t>
      </w:r>
      <w:proofErr w:type="gramStart"/>
      <w:r w:rsidRPr="00B94F3E">
        <w:rPr>
          <w:rFonts w:ascii="Times New Roman" w:hAnsi="Times New Roman" w:cs="Times New Roman"/>
          <w:color w:val="000000"/>
          <w:sz w:val="24"/>
          <w:szCs w:val="24"/>
        </w:rPr>
        <w:t>burden,  management</w:t>
      </w:r>
      <w:proofErr w:type="gramEnd"/>
      <w:r w:rsidRPr="00B94F3E">
        <w:rPr>
          <w:rFonts w:ascii="Times New Roman" w:hAnsi="Times New Roman" w:cs="Times New Roman"/>
          <w:color w:val="000000"/>
          <w:sz w:val="24"/>
          <w:szCs w:val="24"/>
        </w:rPr>
        <w:t xml:space="preserve">, education, and policy: Global perspective. </w:t>
      </w:r>
      <w:r w:rsidRPr="00B94F3E">
        <w:rPr>
          <w:rFonts w:ascii="Times New Roman" w:hAnsi="Times New Roman" w:cs="Times New Roman"/>
          <w:i/>
          <w:iCs/>
          <w:color w:val="000000"/>
          <w:sz w:val="24"/>
          <w:szCs w:val="24"/>
        </w:rPr>
        <w:t xml:space="preserve">International Journal of </w:t>
      </w:r>
      <w:proofErr w:type="spellStart"/>
      <w:proofErr w:type="gramStart"/>
      <w:r w:rsidRPr="00B94F3E">
        <w:rPr>
          <w:rFonts w:ascii="Times New Roman" w:hAnsi="Times New Roman" w:cs="Times New Roman"/>
          <w:i/>
          <w:iCs/>
          <w:color w:val="000000"/>
          <w:sz w:val="24"/>
          <w:szCs w:val="24"/>
        </w:rPr>
        <w:t>Paediatric</w:t>
      </w:r>
      <w:proofErr w:type="spellEnd"/>
      <w:r w:rsidRPr="00B94F3E">
        <w:rPr>
          <w:rFonts w:ascii="Times New Roman" w:hAnsi="Times New Roman" w:cs="Times New Roman"/>
          <w:i/>
          <w:iCs/>
          <w:color w:val="000000"/>
          <w:sz w:val="24"/>
          <w:szCs w:val="24"/>
        </w:rPr>
        <w:t xml:space="preserve">  Dentistry</w:t>
      </w:r>
      <w:proofErr w:type="gramEnd"/>
      <w:r w:rsidRPr="00B94F3E">
        <w:rPr>
          <w:rFonts w:ascii="Times New Roman" w:hAnsi="Times New Roman" w:cs="Times New Roman"/>
          <w:i/>
          <w:iCs/>
          <w:color w:val="000000"/>
          <w:sz w:val="24"/>
          <w:szCs w:val="24"/>
        </w:rPr>
        <w:t>, 29</w:t>
      </w:r>
      <w:r w:rsidRPr="00B94F3E">
        <w:rPr>
          <w:rFonts w:ascii="Times New Roman" w:hAnsi="Times New Roman" w:cs="Times New Roman"/>
          <w:color w:val="000000"/>
          <w:sz w:val="24"/>
          <w:szCs w:val="24"/>
        </w:rPr>
        <w:t xml:space="preserve">(3), 238–248. </w:t>
      </w:r>
    </w:p>
    <w:p w14:paraId="0CF2CB81"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6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Uribe, S. E., Innes, N., &amp; </w:t>
      </w:r>
      <w:proofErr w:type="spellStart"/>
      <w:r w:rsidRPr="00B94F3E">
        <w:rPr>
          <w:rFonts w:ascii="Times New Roman" w:hAnsi="Times New Roman" w:cs="Times New Roman"/>
          <w:color w:val="000000"/>
          <w:sz w:val="24"/>
          <w:szCs w:val="24"/>
        </w:rPr>
        <w:t>Maldupa</w:t>
      </w:r>
      <w:proofErr w:type="spellEnd"/>
      <w:r w:rsidRPr="00B94F3E">
        <w:rPr>
          <w:rFonts w:ascii="Times New Roman" w:hAnsi="Times New Roman" w:cs="Times New Roman"/>
          <w:color w:val="000000"/>
          <w:sz w:val="24"/>
          <w:szCs w:val="24"/>
        </w:rPr>
        <w:t xml:space="preserve">, I. (2021). The global prevalence of early childhood caries: </w:t>
      </w:r>
      <w:proofErr w:type="gramStart"/>
      <w:r w:rsidRPr="00B94F3E">
        <w:rPr>
          <w:rFonts w:ascii="Times New Roman" w:hAnsi="Times New Roman" w:cs="Times New Roman"/>
          <w:color w:val="000000"/>
          <w:sz w:val="24"/>
          <w:szCs w:val="24"/>
        </w:rPr>
        <w:t>A  systematic</w:t>
      </w:r>
      <w:proofErr w:type="gramEnd"/>
      <w:r w:rsidRPr="00B94F3E">
        <w:rPr>
          <w:rFonts w:ascii="Times New Roman" w:hAnsi="Times New Roman" w:cs="Times New Roman"/>
          <w:color w:val="000000"/>
          <w:sz w:val="24"/>
          <w:szCs w:val="24"/>
        </w:rPr>
        <w:t xml:space="preserve"> review with meta-analysis using the WHO diagnostic criteria. </w:t>
      </w:r>
      <w:r w:rsidRPr="00B94F3E">
        <w:rPr>
          <w:rFonts w:ascii="Times New Roman" w:hAnsi="Times New Roman" w:cs="Times New Roman"/>
          <w:i/>
          <w:iCs/>
          <w:color w:val="000000"/>
          <w:sz w:val="24"/>
          <w:szCs w:val="24"/>
        </w:rPr>
        <w:t xml:space="preserve">International </w:t>
      </w:r>
      <w:proofErr w:type="gramStart"/>
      <w:r w:rsidRPr="00B94F3E">
        <w:rPr>
          <w:rFonts w:ascii="Times New Roman" w:hAnsi="Times New Roman" w:cs="Times New Roman"/>
          <w:i/>
          <w:iCs/>
          <w:color w:val="000000"/>
          <w:sz w:val="24"/>
          <w:szCs w:val="24"/>
        </w:rPr>
        <w:t>Journal  of</w:t>
      </w:r>
      <w:proofErr w:type="gramEnd"/>
      <w:r w:rsidRPr="00B94F3E">
        <w:rPr>
          <w:rFonts w:ascii="Times New Roman" w:hAnsi="Times New Roman" w:cs="Times New Roman"/>
          <w:i/>
          <w:iCs/>
          <w:color w:val="000000"/>
          <w:sz w:val="24"/>
          <w:szCs w:val="24"/>
        </w:rPr>
        <w:t xml:space="preserve"> </w:t>
      </w:r>
      <w:proofErr w:type="spellStart"/>
      <w:r w:rsidRPr="00B94F3E">
        <w:rPr>
          <w:rFonts w:ascii="Times New Roman" w:hAnsi="Times New Roman" w:cs="Times New Roman"/>
          <w:i/>
          <w:iCs/>
          <w:color w:val="000000"/>
          <w:sz w:val="24"/>
          <w:szCs w:val="24"/>
        </w:rPr>
        <w:t>Paediatric</w:t>
      </w:r>
      <w:proofErr w:type="spellEnd"/>
      <w:r w:rsidRPr="00B94F3E">
        <w:rPr>
          <w:rFonts w:ascii="Times New Roman" w:hAnsi="Times New Roman" w:cs="Times New Roman"/>
          <w:i/>
          <w:iCs/>
          <w:color w:val="000000"/>
          <w:sz w:val="24"/>
          <w:szCs w:val="24"/>
        </w:rPr>
        <w:t xml:space="preserve"> Dentistry, 31</w:t>
      </w:r>
      <w:r w:rsidRPr="00B94F3E">
        <w:rPr>
          <w:rFonts w:ascii="Times New Roman" w:hAnsi="Times New Roman" w:cs="Times New Roman"/>
          <w:color w:val="000000"/>
          <w:sz w:val="24"/>
          <w:szCs w:val="24"/>
        </w:rPr>
        <w:t xml:space="preserve">(6), 817–830. </w:t>
      </w:r>
    </w:p>
    <w:p w14:paraId="5975D25A"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22"/>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Wilson, A. R., Brega, A. G., Campagna, E. J., Braun, P. A., Henderson, W. G., Bryant, L. L., …  Albino, J. (2016). Validation and impact of caregivers’ oral health knowledge and behavior </w:t>
      </w:r>
      <w:proofErr w:type="gramStart"/>
      <w:r w:rsidRPr="00B94F3E">
        <w:rPr>
          <w:rFonts w:ascii="Times New Roman" w:hAnsi="Times New Roman" w:cs="Times New Roman"/>
          <w:color w:val="000000"/>
          <w:sz w:val="24"/>
          <w:szCs w:val="24"/>
        </w:rPr>
        <w:t>on  children’s</w:t>
      </w:r>
      <w:proofErr w:type="gramEnd"/>
      <w:r w:rsidRPr="00B94F3E">
        <w:rPr>
          <w:rFonts w:ascii="Times New Roman" w:hAnsi="Times New Roman" w:cs="Times New Roman"/>
          <w:color w:val="000000"/>
          <w:sz w:val="24"/>
          <w:szCs w:val="24"/>
        </w:rPr>
        <w:t xml:space="preserve"> oral health status. </w:t>
      </w:r>
      <w:r w:rsidRPr="00B94F3E">
        <w:rPr>
          <w:rFonts w:ascii="Times New Roman" w:hAnsi="Times New Roman" w:cs="Times New Roman"/>
          <w:i/>
          <w:iCs/>
          <w:color w:val="000000"/>
          <w:sz w:val="24"/>
          <w:szCs w:val="24"/>
        </w:rPr>
        <w:t xml:space="preserve">Pediatric </w:t>
      </w:r>
      <w:r w:rsidRPr="00B94F3E">
        <w:rPr>
          <w:rFonts w:ascii="Times New Roman" w:hAnsi="Times New Roman" w:cs="Times New Roman"/>
          <w:i/>
          <w:iCs/>
          <w:color w:val="000000"/>
          <w:sz w:val="24"/>
          <w:szCs w:val="24"/>
        </w:rPr>
        <w:lastRenderedPageBreak/>
        <w:t>Dentistry, 38</w:t>
      </w:r>
      <w:r w:rsidRPr="00B94F3E">
        <w:rPr>
          <w:rFonts w:ascii="Times New Roman" w:hAnsi="Times New Roman" w:cs="Times New Roman"/>
          <w:color w:val="000000"/>
          <w:sz w:val="24"/>
          <w:szCs w:val="24"/>
        </w:rPr>
        <w:t xml:space="preserve">(1), 47–54. </w:t>
      </w:r>
    </w:p>
    <w:p w14:paraId="1813B345" w14:textId="77777777" w:rsidR="00435B01" w:rsidRPr="00B94F3E" w:rsidRDefault="00B94F3E" w:rsidP="00B94F3E">
      <w:pPr>
        <w:pStyle w:val="Normal1"/>
        <w:widowControl w:val="0"/>
        <w:pBdr>
          <w:top w:val="nil"/>
          <w:left w:val="nil"/>
          <w:bottom w:val="nil"/>
          <w:right w:val="nil"/>
          <w:between w:val="nil"/>
        </w:pBdr>
        <w:spacing w:before="105" w:line="240" w:lineRule="auto"/>
        <w:ind w:left="9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World Health Organization. (2013). </w:t>
      </w:r>
      <w:r w:rsidRPr="00B94F3E">
        <w:rPr>
          <w:rFonts w:ascii="Times New Roman" w:hAnsi="Times New Roman" w:cs="Times New Roman"/>
          <w:i/>
          <w:iCs/>
          <w:color w:val="000000"/>
          <w:sz w:val="24"/>
          <w:szCs w:val="24"/>
        </w:rPr>
        <w:t xml:space="preserve">Oral health surveys: Basic methods </w:t>
      </w:r>
      <w:r w:rsidRPr="00B94F3E">
        <w:rPr>
          <w:rFonts w:ascii="Times New Roman" w:hAnsi="Times New Roman" w:cs="Times New Roman"/>
          <w:color w:val="000000"/>
          <w:sz w:val="24"/>
          <w:szCs w:val="24"/>
        </w:rPr>
        <w:t xml:space="preserve">(5th ed.). WHO. </w:t>
      </w:r>
    </w:p>
    <w:p w14:paraId="46D1191C" w14:textId="77777777" w:rsidR="00435B01" w:rsidRPr="00B94F3E" w:rsidRDefault="00B94F3E" w:rsidP="00B94F3E">
      <w:pPr>
        <w:pStyle w:val="Normal1"/>
        <w:widowControl w:val="0"/>
        <w:pBdr>
          <w:top w:val="nil"/>
          <w:left w:val="nil"/>
          <w:bottom w:val="nil"/>
          <w:right w:val="nil"/>
          <w:between w:val="nil"/>
        </w:pBdr>
        <w:spacing w:before="96" w:line="240" w:lineRule="auto"/>
        <w:ind w:left="90" w:right="8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World Health Organization. (2016). </w:t>
      </w:r>
      <w:r w:rsidRPr="00B94F3E">
        <w:rPr>
          <w:rFonts w:ascii="Times New Roman" w:hAnsi="Times New Roman" w:cs="Times New Roman"/>
          <w:i/>
          <w:iCs/>
          <w:color w:val="000000"/>
          <w:sz w:val="24"/>
          <w:szCs w:val="24"/>
        </w:rPr>
        <w:t xml:space="preserve">A conceptual framework for action on the social determinants </w:t>
      </w:r>
      <w:proofErr w:type="gramStart"/>
      <w:r w:rsidRPr="00B94F3E">
        <w:rPr>
          <w:rFonts w:ascii="Times New Roman" w:hAnsi="Times New Roman" w:cs="Times New Roman"/>
          <w:i/>
          <w:iCs/>
          <w:color w:val="000000"/>
          <w:sz w:val="24"/>
          <w:szCs w:val="24"/>
        </w:rPr>
        <w:t>of  health</w:t>
      </w:r>
      <w:proofErr w:type="gramEnd"/>
      <w:r w:rsidRPr="00B94F3E">
        <w:rPr>
          <w:rFonts w:ascii="Times New Roman" w:hAnsi="Times New Roman" w:cs="Times New Roman"/>
          <w:color w:val="000000"/>
          <w:sz w:val="24"/>
          <w:szCs w:val="24"/>
        </w:rPr>
        <w:t xml:space="preserve">. WHO. </w:t>
      </w:r>
    </w:p>
    <w:p w14:paraId="5EBD261B" w14:textId="77777777" w:rsidR="00435B01" w:rsidRPr="00B94F3E" w:rsidRDefault="00B94F3E" w:rsidP="00B94F3E">
      <w:pPr>
        <w:pStyle w:val="Normal1"/>
        <w:widowControl w:val="0"/>
        <w:pBdr>
          <w:top w:val="nil"/>
          <w:left w:val="nil"/>
          <w:bottom w:val="nil"/>
          <w:right w:val="nil"/>
          <w:between w:val="nil"/>
        </w:pBdr>
        <w:spacing w:before="105" w:line="240" w:lineRule="auto"/>
        <w:ind w:left="90" w:right="17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 xml:space="preserve">World Medical Association. (2013). Declaration of Helsinki: Ethical principles for medical </w:t>
      </w:r>
      <w:proofErr w:type="gramStart"/>
      <w:r w:rsidRPr="00B94F3E">
        <w:rPr>
          <w:rFonts w:ascii="Times New Roman" w:hAnsi="Times New Roman" w:cs="Times New Roman"/>
          <w:color w:val="000000"/>
          <w:sz w:val="24"/>
          <w:szCs w:val="24"/>
        </w:rPr>
        <w:t>research  involving</w:t>
      </w:r>
      <w:proofErr w:type="gramEnd"/>
      <w:r w:rsidRPr="00B94F3E">
        <w:rPr>
          <w:rFonts w:ascii="Times New Roman" w:hAnsi="Times New Roman" w:cs="Times New Roman"/>
          <w:color w:val="000000"/>
          <w:sz w:val="24"/>
          <w:szCs w:val="24"/>
        </w:rPr>
        <w:t xml:space="preserve"> human subjects. https://www.wma.net/policies-post/wma-declaration-of-helsinki ethical-principles-for-medical-research-involving-human-subjects/ </w:t>
      </w:r>
    </w:p>
    <w:p w14:paraId="196BB8F8" w14:textId="77777777" w:rsidR="00435B01" w:rsidRPr="00B94F3E" w:rsidRDefault="00B94F3E" w:rsidP="00B94F3E">
      <w:pPr>
        <w:pStyle w:val="Normal1"/>
        <w:widowControl w:val="0"/>
        <w:pBdr>
          <w:top w:val="nil"/>
          <w:left w:val="nil"/>
          <w:bottom w:val="nil"/>
          <w:right w:val="nil"/>
          <w:between w:val="nil"/>
        </w:pBdr>
        <w:spacing w:before="6940" w:line="240" w:lineRule="auto"/>
        <w:ind w:left="90"/>
        <w:jc w:val="both"/>
        <w:rPr>
          <w:rFonts w:ascii="Times New Roman" w:hAnsi="Times New Roman" w:cs="Times New Roman"/>
          <w:color w:val="000000"/>
          <w:sz w:val="24"/>
          <w:szCs w:val="24"/>
        </w:rPr>
      </w:pPr>
      <w:r w:rsidRPr="00B94F3E">
        <w:rPr>
          <w:rFonts w:ascii="Times New Roman" w:hAnsi="Times New Roman" w:cs="Times New Roman"/>
          <w:color w:val="000000"/>
          <w:sz w:val="24"/>
          <w:szCs w:val="24"/>
        </w:rPr>
        <w:t>19</w:t>
      </w:r>
    </w:p>
    <w:p w14:paraId="54A3CFCB" w14:textId="77777777" w:rsidR="00B94F3E" w:rsidRDefault="00B94F3E">
      <w:pPr>
        <w:pStyle w:val="Normal1"/>
        <w:widowControl w:val="0"/>
        <w:pBdr>
          <w:top w:val="nil"/>
          <w:left w:val="nil"/>
          <w:bottom w:val="nil"/>
          <w:right w:val="nil"/>
          <w:between w:val="nil"/>
        </w:pBdr>
        <w:spacing w:before="6940" w:line="240" w:lineRule="auto"/>
        <w:ind w:left="90"/>
        <w:jc w:val="both"/>
        <w:rPr>
          <w:rFonts w:ascii="Times New Roman" w:hAnsi="Times New Roman" w:cs="Times New Roman"/>
          <w:color w:val="000000"/>
          <w:sz w:val="24"/>
          <w:szCs w:val="24"/>
        </w:rPr>
        <w:sectPr w:rsidR="00B94F3E" w:rsidSect="00B94F3E">
          <w:type w:val="continuous"/>
          <w:pgSz w:w="11900" w:h="16820"/>
          <w:pgMar w:top="990" w:right="1425" w:bottom="759" w:left="1436" w:header="0" w:footer="720" w:gutter="0"/>
          <w:pgNumType w:start="1"/>
          <w:cols w:num="2" w:space="720"/>
        </w:sectPr>
      </w:pPr>
    </w:p>
    <w:p w14:paraId="2B678673" w14:textId="77777777" w:rsidR="00B94F3E" w:rsidRPr="00B94F3E" w:rsidRDefault="00B94F3E">
      <w:pPr>
        <w:pStyle w:val="Normal1"/>
        <w:widowControl w:val="0"/>
        <w:pBdr>
          <w:top w:val="nil"/>
          <w:left w:val="nil"/>
          <w:bottom w:val="nil"/>
          <w:right w:val="nil"/>
          <w:between w:val="nil"/>
        </w:pBdr>
        <w:spacing w:before="6940" w:line="240" w:lineRule="auto"/>
        <w:ind w:left="90"/>
        <w:jc w:val="both"/>
        <w:rPr>
          <w:rFonts w:ascii="Times New Roman" w:hAnsi="Times New Roman" w:cs="Times New Roman"/>
          <w:color w:val="000000"/>
          <w:sz w:val="24"/>
          <w:szCs w:val="24"/>
        </w:rPr>
      </w:pPr>
    </w:p>
    <w:sectPr w:rsidR="00B94F3E" w:rsidRPr="00B94F3E" w:rsidSect="00B94F3E">
      <w:type w:val="continuous"/>
      <w:pgSz w:w="11900" w:h="16820"/>
      <w:pgMar w:top="990" w:right="1425" w:bottom="759" w:left="1436"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15650" w14:textId="77777777" w:rsidR="00EA143D" w:rsidRDefault="00EA143D" w:rsidP="00B23D86">
      <w:pPr>
        <w:spacing w:line="240" w:lineRule="auto"/>
      </w:pPr>
      <w:r>
        <w:separator/>
      </w:r>
    </w:p>
  </w:endnote>
  <w:endnote w:type="continuationSeparator" w:id="0">
    <w:p w14:paraId="2696AA2B" w14:textId="77777777" w:rsidR="00EA143D" w:rsidRDefault="00EA143D" w:rsidP="00B23D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00308FF-C745-4B0A-B3FC-21AB6D7DD9EA}"/>
  </w:font>
  <w:font w:name="Tahoma">
    <w:panose1 w:val="020B0604030504040204"/>
    <w:charset w:val="00"/>
    <w:family w:val="swiss"/>
    <w:pitch w:val="variable"/>
    <w:sig w:usb0="E1002EFF" w:usb1="C000605B" w:usb2="00000029" w:usb3="00000000" w:csb0="000101FF" w:csb1="00000000"/>
    <w:embedRegular r:id="rId2" w:fontKey="{B348D845-8C44-4B03-B57E-D956561D4B27}"/>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embedRegular r:id="rId3" w:fontKey="{772554CF-B468-4801-96B2-C8504460D835}"/>
    <w:embedItalic r:id="rId4" w:fontKey="{B9EBB918-E062-4618-B1B9-1BA3DD36E3B8}"/>
  </w:font>
  <w:font w:name="Calibri">
    <w:panose1 w:val="020F0502020204030204"/>
    <w:charset w:val="00"/>
    <w:family w:val="swiss"/>
    <w:pitch w:val="variable"/>
    <w:sig w:usb0="E4002EFF" w:usb1="C200247B" w:usb2="00000009" w:usb3="00000000" w:csb0="000001FF" w:csb1="00000000"/>
    <w:embedRegular r:id="rId5" w:fontKey="{E834BA01-CC8D-4402-92F0-87CDC5E3C270}"/>
  </w:font>
  <w:font w:name="Cambria">
    <w:panose1 w:val="02040503050406030204"/>
    <w:charset w:val="00"/>
    <w:family w:val="roman"/>
    <w:pitch w:val="variable"/>
    <w:sig w:usb0="E00006FF" w:usb1="420024FF" w:usb2="02000000" w:usb3="00000000" w:csb0="0000019F" w:csb1="00000000"/>
    <w:embedRegular r:id="rId6" w:fontKey="{1C3DF661-009D-4CAA-A0F6-82F564EBEC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44BB1" w14:textId="77777777" w:rsidR="00B23D86" w:rsidRDefault="00B23D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0A31" w14:textId="77777777" w:rsidR="00B23D86" w:rsidRDefault="00B23D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2988" w14:textId="77777777" w:rsidR="00B23D86" w:rsidRDefault="00B23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618F8" w14:textId="77777777" w:rsidR="00EA143D" w:rsidRDefault="00EA143D" w:rsidP="00B23D86">
      <w:pPr>
        <w:spacing w:line="240" w:lineRule="auto"/>
      </w:pPr>
      <w:r>
        <w:separator/>
      </w:r>
    </w:p>
  </w:footnote>
  <w:footnote w:type="continuationSeparator" w:id="0">
    <w:p w14:paraId="2639EB9F" w14:textId="77777777" w:rsidR="00EA143D" w:rsidRDefault="00EA143D" w:rsidP="00B23D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0339" w14:textId="3695C643" w:rsidR="00B23D86" w:rsidRDefault="00B23D86">
    <w:pPr>
      <w:pStyle w:val="Header"/>
    </w:pPr>
    <w:r>
      <w:rPr>
        <w:noProof/>
      </w:rPr>
      <w:pict w14:anchorId="294426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746438" o:spid="_x0000_s1026" type="#_x0000_t136" style="position:absolute;margin-left:0;margin-top:0;width:573.45pt;height:63.7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40A2" w14:textId="7800D79A" w:rsidR="00B23D86" w:rsidRDefault="00B23D86">
    <w:pPr>
      <w:pStyle w:val="Header"/>
    </w:pPr>
    <w:r>
      <w:rPr>
        <w:noProof/>
      </w:rPr>
      <w:pict w14:anchorId="2CEF6B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746439" o:spid="_x0000_s1027" type="#_x0000_t136" style="position:absolute;margin-left:0;margin-top:0;width:573.45pt;height:63.7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992F" w14:textId="434E3F11" w:rsidR="00B23D86" w:rsidRDefault="00B23D86">
    <w:pPr>
      <w:pStyle w:val="Header"/>
    </w:pPr>
    <w:r>
      <w:rPr>
        <w:noProof/>
      </w:rPr>
      <w:pict w14:anchorId="47D14B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746437" o:spid="_x0000_s1025" type="#_x0000_t136" style="position:absolute;margin-left:0;margin-top:0;width:573.45pt;height:63.7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1442F"/>
    <w:multiLevelType w:val="multilevel"/>
    <w:tmpl w:val="0284E5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27510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35B01"/>
    <w:rsid w:val="0000016F"/>
    <w:rsid w:val="001E200C"/>
    <w:rsid w:val="002F4166"/>
    <w:rsid w:val="00435B01"/>
    <w:rsid w:val="005078B8"/>
    <w:rsid w:val="00723E2B"/>
    <w:rsid w:val="008C71C8"/>
    <w:rsid w:val="00B23D86"/>
    <w:rsid w:val="00B94F3E"/>
    <w:rsid w:val="00E17CBA"/>
    <w:rsid w:val="00EA143D"/>
    <w:rsid w:val="00EB5F4C"/>
    <w:rsid w:val="00F43311"/>
    <w:rsid w:val="00F518DC"/>
    <w:rsid w:val="00F54468"/>
    <w:rsid w:val="00FE1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57480"/>
  <w15:docId w15:val="{079145AE-8194-4374-8338-7FD74007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435B01"/>
    <w:pPr>
      <w:keepNext/>
      <w:keepLines/>
      <w:spacing w:before="480" w:after="120"/>
      <w:outlineLvl w:val="0"/>
    </w:pPr>
    <w:rPr>
      <w:b/>
      <w:bCs/>
      <w:sz w:val="48"/>
      <w:szCs w:val="48"/>
    </w:rPr>
  </w:style>
  <w:style w:type="paragraph" w:styleId="Heading2">
    <w:name w:val="heading 2"/>
    <w:basedOn w:val="Normal1"/>
    <w:next w:val="Normal1"/>
    <w:rsid w:val="00435B01"/>
    <w:pPr>
      <w:keepNext/>
      <w:keepLines/>
      <w:spacing w:before="360" w:after="80"/>
      <w:outlineLvl w:val="1"/>
    </w:pPr>
    <w:rPr>
      <w:b/>
      <w:bCs/>
      <w:sz w:val="36"/>
      <w:szCs w:val="36"/>
    </w:rPr>
  </w:style>
  <w:style w:type="paragraph" w:styleId="Heading3">
    <w:name w:val="heading 3"/>
    <w:basedOn w:val="Normal1"/>
    <w:next w:val="Normal1"/>
    <w:rsid w:val="00435B01"/>
    <w:pPr>
      <w:keepNext/>
      <w:keepLines/>
      <w:spacing w:before="280" w:after="80"/>
      <w:outlineLvl w:val="2"/>
    </w:pPr>
    <w:rPr>
      <w:b/>
      <w:bCs/>
      <w:sz w:val="28"/>
      <w:szCs w:val="28"/>
    </w:rPr>
  </w:style>
  <w:style w:type="paragraph" w:styleId="Heading4">
    <w:name w:val="heading 4"/>
    <w:basedOn w:val="Normal1"/>
    <w:next w:val="Normal1"/>
    <w:rsid w:val="00435B01"/>
    <w:pPr>
      <w:keepNext/>
      <w:keepLines/>
      <w:spacing w:before="240" w:after="40"/>
      <w:outlineLvl w:val="3"/>
    </w:pPr>
    <w:rPr>
      <w:b/>
      <w:bCs/>
      <w:sz w:val="24"/>
      <w:szCs w:val="24"/>
    </w:rPr>
  </w:style>
  <w:style w:type="paragraph" w:styleId="Heading5">
    <w:name w:val="heading 5"/>
    <w:basedOn w:val="Normal1"/>
    <w:next w:val="Normal1"/>
    <w:rsid w:val="00435B01"/>
    <w:pPr>
      <w:keepNext/>
      <w:keepLines/>
      <w:spacing w:before="220" w:after="40"/>
      <w:outlineLvl w:val="4"/>
    </w:pPr>
    <w:rPr>
      <w:b/>
      <w:bCs/>
    </w:rPr>
  </w:style>
  <w:style w:type="paragraph" w:styleId="Heading6">
    <w:name w:val="heading 6"/>
    <w:basedOn w:val="Normal1"/>
    <w:next w:val="Normal1"/>
    <w:rsid w:val="00435B01"/>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435B01"/>
    <w:tblPr>
      <w:tblCellMar>
        <w:top w:w="100" w:type="dxa"/>
        <w:left w:w="100" w:type="dxa"/>
        <w:bottom w:w="100" w:type="dxa"/>
        <w:right w:w="100" w:type="dxa"/>
      </w:tblCellMar>
    </w:tblPr>
  </w:style>
  <w:style w:type="paragraph" w:customStyle="1" w:styleId="Normal1">
    <w:name w:val="Normal1"/>
    <w:rsid w:val="00435B01"/>
  </w:style>
  <w:style w:type="paragraph" w:styleId="Title">
    <w:name w:val="Title"/>
    <w:basedOn w:val="Normal1"/>
    <w:next w:val="Normal1"/>
    <w:rsid w:val="00435B01"/>
    <w:pPr>
      <w:keepNext/>
      <w:keepLines/>
      <w:spacing w:before="480" w:after="120"/>
    </w:pPr>
    <w:rPr>
      <w:b/>
      <w:bCs/>
      <w:sz w:val="72"/>
      <w:szCs w:val="72"/>
    </w:rPr>
  </w:style>
  <w:style w:type="paragraph" w:styleId="Subtitle">
    <w:name w:val="Subtitle"/>
    <w:basedOn w:val="Normal1"/>
    <w:next w:val="Normal1"/>
    <w:rsid w:val="00435B01"/>
    <w:pPr>
      <w:keepNext/>
      <w:keepLines/>
      <w:spacing w:before="360" w:after="80"/>
    </w:pPr>
    <w:rPr>
      <w:rFonts w:ascii="Georgia" w:eastAsia="Georgia" w:hAnsi="Georgia" w:cs="Georgia"/>
      <w:i/>
      <w:iCs/>
      <w:color w:val="666666"/>
      <w:sz w:val="48"/>
      <w:szCs w:val="48"/>
    </w:rPr>
  </w:style>
  <w:style w:type="table" w:customStyle="1" w:styleId="a">
    <w:basedOn w:val="TableNormal0"/>
    <w:rsid w:val="00435B01"/>
    <w:tblPr>
      <w:tblStyleRowBandSize w:val="1"/>
      <w:tblStyleColBandSize w:val="1"/>
    </w:tblPr>
  </w:style>
  <w:style w:type="table" w:customStyle="1" w:styleId="a0">
    <w:basedOn w:val="TableNormal0"/>
    <w:rsid w:val="00435B01"/>
    <w:tblPr>
      <w:tblStyleRowBandSize w:val="1"/>
      <w:tblStyleColBandSize w:val="1"/>
    </w:tblPr>
  </w:style>
  <w:style w:type="table" w:customStyle="1" w:styleId="a1">
    <w:basedOn w:val="TableNormal0"/>
    <w:rsid w:val="00435B01"/>
    <w:tblPr>
      <w:tblStyleRowBandSize w:val="1"/>
      <w:tblStyleColBandSize w:val="1"/>
    </w:tblPr>
  </w:style>
  <w:style w:type="table" w:customStyle="1" w:styleId="a2">
    <w:basedOn w:val="TableNormal0"/>
    <w:rsid w:val="00435B01"/>
    <w:tblPr>
      <w:tblStyleRowBandSize w:val="1"/>
      <w:tblStyleColBandSize w:val="1"/>
    </w:tblPr>
  </w:style>
  <w:style w:type="table" w:customStyle="1" w:styleId="a3">
    <w:basedOn w:val="TableNormal0"/>
    <w:rsid w:val="00435B01"/>
    <w:tblPr>
      <w:tblStyleRowBandSize w:val="1"/>
      <w:tblStyleColBandSize w:val="1"/>
    </w:tblPr>
  </w:style>
  <w:style w:type="table" w:customStyle="1" w:styleId="a4">
    <w:basedOn w:val="TableNormal0"/>
    <w:rsid w:val="00435B01"/>
    <w:tblPr>
      <w:tblStyleRowBandSize w:val="1"/>
      <w:tblStyleColBandSize w:val="1"/>
    </w:tblPr>
  </w:style>
  <w:style w:type="table" w:customStyle="1" w:styleId="a5">
    <w:basedOn w:val="TableNormal0"/>
    <w:rsid w:val="00435B01"/>
    <w:tblPr>
      <w:tblStyleRowBandSize w:val="1"/>
      <w:tblStyleColBandSize w:val="1"/>
    </w:tblPr>
  </w:style>
  <w:style w:type="table" w:customStyle="1" w:styleId="a6">
    <w:basedOn w:val="TableNormal0"/>
    <w:rsid w:val="00435B01"/>
    <w:tblPr>
      <w:tblStyleRowBandSize w:val="1"/>
      <w:tblStyleColBandSize w:val="1"/>
    </w:tblPr>
  </w:style>
  <w:style w:type="table" w:customStyle="1" w:styleId="a7">
    <w:basedOn w:val="TableNormal0"/>
    <w:rsid w:val="00435B01"/>
    <w:tblPr>
      <w:tblStyleRowBandSize w:val="1"/>
      <w:tblStyleColBandSize w:val="1"/>
    </w:tblPr>
  </w:style>
  <w:style w:type="table" w:customStyle="1" w:styleId="a8">
    <w:basedOn w:val="TableNormal0"/>
    <w:rsid w:val="00435B01"/>
    <w:tblPr>
      <w:tblStyleRowBandSize w:val="1"/>
      <w:tblStyleColBandSize w:val="1"/>
    </w:tblPr>
  </w:style>
  <w:style w:type="table" w:customStyle="1" w:styleId="a9">
    <w:basedOn w:val="TableNormal0"/>
    <w:rsid w:val="00435B01"/>
    <w:tblPr>
      <w:tblStyleRowBandSize w:val="1"/>
      <w:tblStyleColBandSize w:val="1"/>
    </w:tblPr>
  </w:style>
  <w:style w:type="paragraph" w:styleId="BalloonText">
    <w:name w:val="Balloon Text"/>
    <w:basedOn w:val="Normal"/>
    <w:link w:val="BalloonTextChar"/>
    <w:uiPriority w:val="99"/>
    <w:semiHidden/>
    <w:unhideWhenUsed/>
    <w:rsid w:val="00B94F3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F3E"/>
    <w:rPr>
      <w:rFonts w:ascii="Tahoma" w:hAnsi="Tahoma" w:cs="Tahoma"/>
      <w:sz w:val="16"/>
      <w:szCs w:val="16"/>
    </w:rPr>
  </w:style>
  <w:style w:type="character" w:styleId="Hyperlink">
    <w:name w:val="Hyperlink"/>
    <w:basedOn w:val="DefaultParagraphFont"/>
    <w:uiPriority w:val="99"/>
    <w:unhideWhenUsed/>
    <w:rsid w:val="001E200C"/>
    <w:rPr>
      <w:color w:val="0000FF" w:themeColor="hyperlink"/>
      <w:u w:val="single"/>
    </w:rPr>
  </w:style>
  <w:style w:type="paragraph" w:styleId="NoSpacing">
    <w:name w:val="No Spacing"/>
    <w:uiPriority w:val="1"/>
    <w:qFormat/>
    <w:rsid w:val="00FE1EC1"/>
    <w:pPr>
      <w:spacing w:line="240" w:lineRule="auto"/>
    </w:pPr>
  </w:style>
  <w:style w:type="character" w:styleId="UnresolvedMention">
    <w:name w:val="Unresolved Mention"/>
    <w:basedOn w:val="DefaultParagraphFont"/>
    <w:uiPriority w:val="99"/>
    <w:semiHidden/>
    <w:unhideWhenUsed/>
    <w:rsid w:val="00E17CBA"/>
    <w:rPr>
      <w:color w:val="605E5C"/>
      <w:shd w:val="clear" w:color="auto" w:fill="E1DFDD"/>
    </w:rPr>
  </w:style>
  <w:style w:type="paragraph" w:styleId="Header">
    <w:name w:val="header"/>
    <w:basedOn w:val="Normal"/>
    <w:link w:val="HeaderChar"/>
    <w:uiPriority w:val="99"/>
    <w:unhideWhenUsed/>
    <w:rsid w:val="00B23D86"/>
    <w:pPr>
      <w:tabs>
        <w:tab w:val="center" w:pos="4513"/>
        <w:tab w:val="right" w:pos="9026"/>
      </w:tabs>
      <w:spacing w:line="240" w:lineRule="auto"/>
    </w:pPr>
  </w:style>
  <w:style w:type="character" w:customStyle="1" w:styleId="HeaderChar">
    <w:name w:val="Header Char"/>
    <w:basedOn w:val="DefaultParagraphFont"/>
    <w:link w:val="Header"/>
    <w:uiPriority w:val="99"/>
    <w:rsid w:val="00B23D86"/>
  </w:style>
  <w:style w:type="paragraph" w:styleId="Footer">
    <w:name w:val="footer"/>
    <w:basedOn w:val="Normal"/>
    <w:link w:val="FooterChar"/>
    <w:uiPriority w:val="99"/>
    <w:unhideWhenUsed/>
    <w:rsid w:val="00B23D86"/>
    <w:pPr>
      <w:tabs>
        <w:tab w:val="center" w:pos="4513"/>
        <w:tab w:val="right" w:pos="9026"/>
      </w:tabs>
      <w:spacing w:line="240" w:lineRule="auto"/>
    </w:pPr>
  </w:style>
  <w:style w:type="character" w:customStyle="1" w:styleId="FooterChar">
    <w:name w:val="Footer Char"/>
    <w:basedOn w:val="DefaultParagraphFont"/>
    <w:link w:val="Footer"/>
    <w:uiPriority w:val="99"/>
    <w:rsid w:val="00B23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3389/froh.2026.190114"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20</Pages>
  <Words>8117</Words>
  <Characters>46271</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1166</cp:lastModifiedBy>
  <cp:revision>8</cp:revision>
  <cp:lastPrinted>2026-10-17T22:08:00Z</cp:lastPrinted>
  <dcterms:created xsi:type="dcterms:W3CDTF">2026-10-17T22:21:00Z</dcterms:created>
  <dcterms:modified xsi:type="dcterms:W3CDTF">2026-10-28T12:03:00Z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2026-10-22T21:03:20Z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fa9d821c-6d9b-469c-9652-187690bb05ac</vt:lpwstr>
  </property>
  <property fmtid="{D5CDD505-2E9C-101B-9397-08002B2CF9AE}" pid="7" name="MSIP_Label_defa4170-0d19-0005-0004-bc88714345d2_ActionId">
    <vt:lpwstr>6ff5d689-1138-40a6-bea6-bb133a72a0e8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