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652E" w14:textId="77777777" w:rsidR="00424E38" w:rsidRDefault="00424E38">
      <w:pPr>
        <w:pStyle w:val="Title"/>
        <w:rPr>
          <w:color w:val="auto"/>
        </w:rPr>
      </w:pPr>
      <w:r w:rsidRPr="00424E38">
        <w:rPr>
          <w:color w:val="auto"/>
        </w:rPr>
        <w:t>Review Article</w:t>
      </w:r>
    </w:p>
    <w:p w14:paraId="2DA99532" w14:textId="04AEFAE9" w:rsidR="00187A95" w:rsidRPr="00187A95" w:rsidRDefault="00187A95">
      <w:pPr>
        <w:pStyle w:val="Title"/>
        <w:rPr>
          <w:color w:val="auto"/>
        </w:rPr>
      </w:pPr>
      <w:r w:rsidRPr="00187A95">
        <w:rPr>
          <w:color w:val="auto"/>
        </w:rPr>
        <w:t>Home-Based Physical Activity, Parent–Child Interaction, and Play Participation: Associations with Emotional Regulation in Preschool Children</w:t>
      </w:r>
    </w:p>
    <w:p w14:paraId="06EFBF80" w14:textId="77777777" w:rsidR="00642847" w:rsidRPr="00187A95" w:rsidRDefault="00000000">
      <w:pPr>
        <w:rPr>
          <w:color w:val="auto"/>
        </w:rPr>
      </w:pPr>
      <w:r w:rsidRPr="00187A95">
        <w:rPr>
          <w:b/>
          <w:color w:val="auto"/>
        </w:rPr>
        <w:t>Abstract</w:t>
      </w:r>
    </w:p>
    <w:p w14:paraId="369252B0" w14:textId="77777777" w:rsidR="00642847" w:rsidRPr="00187A95" w:rsidRDefault="00000000">
      <w:pPr>
        <w:rPr>
          <w:color w:val="auto"/>
        </w:rPr>
      </w:pPr>
      <w:r w:rsidRPr="00187A95">
        <w:rPr>
          <w:color w:val="auto"/>
        </w:rPr>
        <w:t>Emotion regulation develops rapidly during the preschool years and is shaped by children’s opportunities for movement, play and responsive interaction with caregivers. Yet research frequently conflates emotion regulation with behavioural compliance, executive function or broad psychosocial symptoms, obscuring the specific contribution of home-based physical activity. This critical narrative review integrates developmental, family-systems, play and physical-activity research to examine how movement opportunities, parent–child interaction and play participation may relate to regulation of emotional experience and expression in children approximately three to six years of age. Peer-reviewed empirical studies, intervention trials, longitudinal cohorts and relevant systematic reviews published by 25 August 2026 were critically appraised, with foundational work included where conceptually necessary. Physical activity and global self-regulation show generally small, heterogeneous associations, but experimental evidence for improvements in emotional regulation itself is less consistent than evidence for cognitive or behavioural regulation. Longitudinal play studies offer some temporal evidence, whereas observational dyadic research suggests that parental sensitivity, synchrony and repair of interactional mismatches may be central to how play experiences become regulatory opportunities. Family-based movement interventions can increase activity and parent–child co-participation, but seldom assess validated emotional outcomes. Divergent results may reflect differences in play type, timing, relational quality, developmental stage, measurement method and family circumstances. An integrated interpretation therefore treats activity exposure, play affordances and relational co-regulation as interacting but non-equivalent processes rather than interchangeable treatments. Future research requires factorial and longitudinal designs, context-sensitive multimethod assessment, greater inclusion of fathers and diverse caregivers, and direct tests of mechanisms and equity. The current evidence supports accessible, responsive and child-led opportunities for movement and play as developmentally reasonable practices, without establishing a specific causal prescription for improving emotion regulation.</w:t>
      </w:r>
    </w:p>
    <w:p w14:paraId="267B04D4" w14:textId="77777777" w:rsidR="00642847" w:rsidRPr="00187A95" w:rsidRDefault="00000000">
      <w:pPr>
        <w:rPr>
          <w:color w:val="auto"/>
        </w:rPr>
      </w:pPr>
      <w:r w:rsidRPr="00187A95">
        <w:rPr>
          <w:b/>
          <w:color w:val="auto"/>
        </w:rPr>
        <w:t xml:space="preserve">Keywords: </w:t>
      </w:r>
      <w:r w:rsidRPr="00187A95">
        <w:rPr>
          <w:color w:val="auto"/>
        </w:rPr>
        <w:t>emotion socialisation; co-regulation; active play; early childhood; family routines; executive function; ecological validity; developmental inequality</w:t>
      </w:r>
    </w:p>
    <w:p w14:paraId="5874F927" w14:textId="77777777" w:rsidR="00642847" w:rsidRPr="00187A95" w:rsidRDefault="00000000">
      <w:pPr>
        <w:pStyle w:val="Heading1"/>
        <w:rPr>
          <w:color w:val="auto"/>
        </w:rPr>
      </w:pPr>
      <w:r w:rsidRPr="00187A95">
        <w:rPr>
          <w:color w:val="auto"/>
        </w:rPr>
        <w:t>1. Introduction</w:t>
      </w:r>
    </w:p>
    <w:p w14:paraId="1A873998" w14:textId="77777777" w:rsidR="00642847" w:rsidRPr="00187A95" w:rsidRDefault="00000000">
      <w:pPr>
        <w:rPr>
          <w:color w:val="auto"/>
        </w:rPr>
      </w:pPr>
      <w:r w:rsidRPr="00187A95">
        <w:rPr>
          <w:color w:val="auto"/>
        </w:rPr>
        <w:t xml:space="preserve">Emotion regulation refers to processes through which a child monitors, modifies and expresses emotion in ways responsive to situational demands and developing goals. Preschool children increasingly initiate strategies such as seeking support, shifting attention, changing an activity or using language to manage disappointment. These strategies do not emerge independently of the social environment. Adult responses to distress, opportunities to practise agency and the structure of ordinary family life influence which strategies become available and when they can be applied. Emotion regulation is therefore neither equivalent to the absence of negative emotion nor reducible to obedience. A child who can communicate </w:t>
      </w:r>
      <w:r w:rsidRPr="00187A95">
        <w:rPr>
          <w:color w:val="auto"/>
        </w:rPr>
        <w:lastRenderedPageBreak/>
        <w:t>anger, obtain assistance and recover from frustration may be regulating adaptively even while visibly upset (Dennis, 2006; Morris et al., 2007).</w:t>
      </w:r>
    </w:p>
    <w:p w14:paraId="50B92953" w14:textId="77777777" w:rsidR="00642847" w:rsidRPr="00187A95" w:rsidRDefault="00000000">
      <w:pPr>
        <w:rPr>
          <w:color w:val="auto"/>
        </w:rPr>
      </w:pPr>
      <w:r w:rsidRPr="00187A95">
        <w:rPr>
          <w:color w:val="auto"/>
        </w:rPr>
        <w:t>The home is an important developmental context because it contains repeated, familiar episodes in which children negotiate limits, arousal and social expectations. Physical movement is woven into these episodes: chasing a caregiver, building and dismantling obstacles, dancing, walking outdoors, engaging in rough-and-tumble games or settling into quieter imaginative play. Movement may provide sensory, motivational and social experiences that are relevant to attention and affect. Equally, it may generate competition, fatigue, conflict or overstimulation. The emotional significance of an activity consequently depends on more than its duration or intensity. A ten-minute cooperative obstacle game with a supportive adult and ten minutes of unsupervised, stressful physical exertion should not be assumed to carry the same regulatory meaning (Blair &amp; Raver, 2015; Morris et al., 2007).</w:t>
      </w:r>
    </w:p>
    <w:p w14:paraId="6A733C54" w14:textId="77777777" w:rsidR="00642847" w:rsidRPr="00187A95" w:rsidRDefault="00000000">
      <w:pPr>
        <w:rPr>
          <w:color w:val="auto"/>
        </w:rPr>
      </w:pPr>
      <w:r w:rsidRPr="00187A95">
        <w:rPr>
          <w:color w:val="auto"/>
        </w:rPr>
        <w:t>The literature is fragmented across developmental psychology, public health, physical education, family studies and early childhood education. Physical-activity research often measures accelerometer-derived intensity or total daily movement, whereas family studies observe contingent responses, parental warmth and the repair of interpersonal discord. Play research distinguishes unstructured activity, pretend scenarios and adult-guided games, but rarely captures the entire household context. These distinct traditions sometimes use the same label, self-regulation, for substantially different outcomes. Executive function concerns working memory, inhibitory control and cognitive flexibility; behavioural regulation concerns action relative to rules; and emotion regulation concerns the management of emotional processes. Correlation among these capacities does not make evidence about one automatically transferable to another (Diamond, 2013; D’Cruz et al., 2024; Ponitz et al., 2009).</w:t>
      </w:r>
    </w:p>
    <w:p w14:paraId="61DE40EC" w14:textId="77777777" w:rsidR="00642847" w:rsidRPr="00187A95" w:rsidRDefault="00000000">
      <w:pPr>
        <w:rPr>
          <w:color w:val="auto"/>
        </w:rPr>
      </w:pPr>
      <w:r w:rsidRPr="00187A95">
        <w:rPr>
          <w:color w:val="auto"/>
        </w:rPr>
        <w:t>Recent syntheses sharpen this concern. A systematic review covering 47 papers found inconsistent associations between physical activity and early self-regulation and reported that only three studies examined all three cognitive, behavioural and emotional domains (D’Cruz et al., 2024). A subsequent meta-analysis of 15 cross-sectional studies reported a small positive pooled correlation between physical activity and self-regulation, alongside substantial between-study heterogeneity (Cecic-Mladinic et al., 2026). Importantly, a review of 25 randomised trials found significant aggregate effects for cognitive and behavioural self-regulation, but not for emotional self-regulation; 24 trials were school-based and only one was home-based (Lim et al., 2026). These patterns challenge any simple inference that increasing movement at home necessarily improves emotional coping.</w:t>
      </w:r>
    </w:p>
    <w:p w14:paraId="266D98D8" w14:textId="77777777" w:rsidR="00642847" w:rsidRPr="00187A95" w:rsidRDefault="00000000">
      <w:pPr>
        <w:rPr>
          <w:color w:val="auto"/>
        </w:rPr>
      </w:pPr>
      <w:r w:rsidRPr="00187A95">
        <w:rPr>
          <w:color w:val="auto"/>
        </w:rPr>
        <w:t>Research on family interaction offers potentially explanatory but only partly connected evidence. Studies of dyadic synchrony, mismatches and repair suggest that how a caregiver responds within an interaction may be related to a child's capacity to recover from arousal or persist with a challenge (Kemp et al., 2016; Kerr et al., 2021; Lobo &amp; Lunkenheimer, 2020). Emotion-socialisation interventions also indicate that caregiver behaviour can be modified, although they are not tests of physical activity as a therapeutic agent (England-Mason et al., 2023). Conversely, family-based physical-activity interventions have demonstrated improvements in some movement-related outcomes without usually measuring emotion regulation (He et al., 2024; Moss &amp; Gu, 2022). The missing connection is precisely the joint operation of activity, relational processes and play participation.</w:t>
      </w:r>
    </w:p>
    <w:p w14:paraId="558D5AA7" w14:textId="77777777" w:rsidR="00642847" w:rsidRPr="00187A95" w:rsidRDefault="00000000">
      <w:pPr>
        <w:rPr>
          <w:color w:val="auto"/>
        </w:rPr>
      </w:pPr>
      <w:r w:rsidRPr="00187A95">
        <w:rPr>
          <w:color w:val="auto"/>
        </w:rPr>
        <w:t xml:space="preserve">Play is not a homogeneous exposure. Unstructured quiet play may entail sustained attention and autonomy without increasing physical activity. Active free play can present motor and emotional challenges but varies </w:t>
      </w:r>
      <w:r w:rsidRPr="00187A95">
        <w:rPr>
          <w:color w:val="auto"/>
        </w:rPr>
        <w:lastRenderedPageBreak/>
        <w:t>in voluntariness, safety and social interaction. Pretend play may recruit perspective-taking and symbolic representation, but a major critical review found insufficient grounds for attributing broad developmental gains causally to pretend play alone (Lillard et al., 2013). Longitudinal evidence connecting early free play with later self-regulation is informative, yet even temporally ordered associations remain vulnerable to selection and differences in pre-existing family resources (Colliver et al., 2022). A credible synthesis must preserve these distinctions rather than aggregating all play into a beneficial category.</w:t>
      </w:r>
    </w:p>
    <w:p w14:paraId="2ADB9DBF" w14:textId="77777777" w:rsidR="00642847" w:rsidRPr="00187A95" w:rsidRDefault="00000000">
      <w:pPr>
        <w:rPr>
          <w:color w:val="auto"/>
        </w:rPr>
      </w:pPr>
      <w:r w:rsidRPr="00187A95">
        <w:rPr>
          <w:color w:val="auto"/>
        </w:rPr>
        <w:t>Potential benefits also cannot be separated from distributional conditions. Caregiver time, housing density, accessible outdoor space, safety, disability-related needs and cultural expectations shape whether a child can engage in active play and how adults participate. Programmes developed in highly resourced preschools may not transfer to crowded households, families with rotating work schedules or communities where public space is unsafe. The empirical literature often measures family socioeconomic status as a covariate rather than investigating it as a determinant of meaningful participation. This review therefore treats context not as a secondary limitation but as part of the explanatory problem (Moss &amp; Gu, 2022; Puglisi et al., 2024; Robinson et al., 2021).</w:t>
      </w:r>
    </w:p>
    <w:p w14:paraId="463F8380" w14:textId="77777777" w:rsidR="00642847" w:rsidRPr="00187A95" w:rsidRDefault="00000000">
      <w:pPr>
        <w:pStyle w:val="Heading2"/>
        <w:rPr>
          <w:color w:val="auto"/>
        </w:rPr>
      </w:pPr>
      <w:r w:rsidRPr="00187A95">
        <w:rPr>
          <w:color w:val="auto"/>
        </w:rPr>
        <w:t>1.1 Scope, Research Gap and Objectives</w:t>
      </w:r>
    </w:p>
    <w:p w14:paraId="0DA49A8C" w14:textId="77777777" w:rsidR="00642847" w:rsidRPr="00187A95" w:rsidRDefault="00000000">
      <w:pPr>
        <w:rPr>
          <w:color w:val="auto"/>
        </w:rPr>
      </w:pPr>
      <w:r w:rsidRPr="00187A95">
        <w:rPr>
          <w:color w:val="auto"/>
        </w:rPr>
        <w:t>The review focuses on children approximately three to six years of age, while incorporating selected toddler studies when they illuminate the emergence of co-regulation and early play. Home-based physical activity includes movement occurring within households and family-managed outdoor spaces, rather than exercise delivered exclusively by early childhood education settings. Parent–child interaction encompasses both direct co-participation and the responsiveness, emotional scaffolding and conflict-repair processes that occur around shared activities. Play participation refers to what children can initiate, sustain and negotiate, distinguishing active, quiet, pretend and socially interactive play. The principal outcome is emotion regulation; global self-regulation, executive function and emotional or behavioural difficulties are considered related but non-identical constructs.</w:t>
      </w:r>
    </w:p>
    <w:p w14:paraId="7EC9A68D" w14:textId="77777777" w:rsidR="00642847" w:rsidRPr="00187A95" w:rsidRDefault="00000000">
      <w:pPr>
        <w:rPr>
          <w:color w:val="auto"/>
        </w:rPr>
      </w:pPr>
      <w:r w:rsidRPr="00187A95">
        <w:rPr>
          <w:color w:val="auto"/>
        </w:rPr>
        <w:t>The central gap is the scarcity of studies simultaneously measuring movement exposure, the relational quality of play and independently assessed emotional regulation. Existing reviews largely evaluate activity or parenting in isolation, and many studies use proxy outcomes that cannot resolve whether children have learnt portable regulatory skills. The objectives are to compare the strength of association across exposures, identify plausible mechanisms and rival explanations, evaluate the validity of measurement and intervention claims, and develop a prioritised agenda for home-relevant, culturally responsive research. The article does not claim a systematic census of studies, propose a universal activity dose for emotional outcomes or equate clinical symptom reduction with the acquisition of emotion-regulation competence.</w:t>
      </w:r>
    </w:p>
    <w:p w14:paraId="19076A2F" w14:textId="77777777" w:rsidR="00642847" w:rsidRPr="00187A95" w:rsidRDefault="00000000">
      <w:pPr>
        <w:pStyle w:val="Heading1"/>
        <w:rPr>
          <w:color w:val="auto"/>
        </w:rPr>
      </w:pPr>
      <w:r w:rsidRPr="00187A95">
        <w:rPr>
          <w:color w:val="auto"/>
        </w:rPr>
        <w:t>2. Methods for Literature Selection</w:t>
      </w:r>
    </w:p>
    <w:p w14:paraId="4C814366" w14:textId="77777777" w:rsidR="00642847" w:rsidRPr="00187A95" w:rsidRDefault="00000000">
      <w:pPr>
        <w:pStyle w:val="Heading2"/>
        <w:rPr>
          <w:color w:val="auto"/>
        </w:rPr>
      </w:pPr>
      <w:r w:rsidRPr="00187A95">
        <w:rPr>
          <w:color w:val="auto"/>
        </w:rPr>
        <w:t>2.1 Review Design and Rationale</w:t>
      </w:r>
    </w:p>
    <w:p w14:paraId="16036DFC" w14:textId="77777777" w:rsidR="00642847" w:rsidRPr="00187A95" w:rsidRDefault="00000000">
      <w:pPr>
        <w:rPr>
          <w:color w:val="auto"/>
        </w:rPr>
      </w:pPr>
      <w:r w:rsidRPr="00187A95">
        <w:rPr>
          <w:color w:val="auto"/>
        </w:rPr>
        <w:t xml:space="preserve">A critical narrative design was adopted because the question crosses explanatory levels that resist a single effect-size synthesis. The relevant material includes experimental physical-activity trials, observational studies of family interaction, cohort analyses of time-use diaries, play theory and reviews of parenting interventions. Their exposures and endpoints are not commensurate: accelerometer counts, adult-coded relational repair and parent-rated emotional problems represent distinct types of evidence. Rather than </w:t>
      </w:r>
      <w:r w:rsidRPr="00187A95">
        <w:rPr>
          <w:color w:val="auto"/>
        </w:rPr>
        <w:lastRenderedPageBreak/>
        <w:t>treating methodological heterogeneity as noise to be averaged away, the review evaluates when apparently competing results actually concern different processes. Transparency in source identification and critical reasoning was informed by the principles of the Scale for the Assessment of Narrative Review Articles (SANRA), which emphasises explicit aims, search description, referencing and scientific reasoning (Baethge et al., 2019).</w:t>
      </w:r>
    </w:p>
    <w:p w14:paraId="1C9F0C6E" w14:textId="77777777" w:rsidR="00642847" w:rsidRPr="00187A95" w:rsidRDefault="00000000">
      <w:pPr>
        <w:rPr>
          <w:color w:val="auto"/>
        </w:rPr>
      </w:pPr>
      <w:r w:rsidRPr="00187A95">
        <w:rPr>
          <w:color w:val="auto"/>
        </w:rPr>
        <w:t>The design does not support claims of exhaustive retrieval or pooled causal effects. Findings from existing meta-analyses were examined as evidence about their respective study populations, definitions and methods rather than regarded as independent replications of every original study they contained. The synthesis distinguished longitudinal prediction, cross-sectional covariation, intervention efficacy and conceptual plausibility, and gave greater inferential weight to outcomes assessed with appropriate temporal ordering and independent measures. Stronger evidence for a neighbouring construct, such as behavioural inhibition, was not reclassified as strong evidence for emotional regulation.</w:t>
      </w:r>
    </w:p>
    <w:p w14:paraId="1CAC8E10" w14:textId="77777777" w:rsidR="00642847" w:rsidRPr="00187A95" w:rsidRDefault="00000000">
      <w:pPr>
        <w:pStyle w:val="Heading2"/>
        <w:rPr>
          <w:color w:val="auto"/>
        </w:rPr>
      </w:pPr>
      <w:r w:rsidRPr="00187A95">
        <w:rPr>
          <w:color w:val="auto"/>
        </w:rPr>
        <w:t>2.2 Information Sources</w:t>
      </w:r>
    </w:p>
    <w:p w14:paraId="22D2B4D6" w14:textId="77777777" w:rsidR="00642847" w:rsidRPr="00187A95" w:rsidRDefault="00000000">
      <w:pPr>
        <w:rPr>
          <w:color w:val="auto"/>
        </w:rPr>
      </w:pPr>
      <w:r w:rsidRPr="00187A95">
        <w:rPr>
          <w:color w:val="auto"/>
        </w:rPr>
        <w:t>Targeted scholarly searches drew on PubMed, PubMed Central, ERIC, DOAJ, OpenAlex and Semantic Scholar, supplemented by citation tracing and verification against accessible full-text articles, institutional records and DOI-linked journal articles. Searches prioritised developmental psychology, paediatric health, physical activity, early childhood education and family-process studies. Recent systematic reviews were used to locate contrasting evidence and clarify the degree to which the home setting was represented. Bibliographic information, publication dates and relevant methods or findings were checked against accessible article records before incorporation.</w:t>
      </w:r>
    </w:p>
    <w:p w14:paraId="087031FD" w14:textId="77777777" w:rsidR="00642847" w:rsidRPr="00187A95" w:rsidRDefault="00000000">
      <w:pPr>
        <w:rPr>
          <w:color w:val="auto"/>
        </w:rPr>
      </w:pPr>
      <w:r w:rsidRPr="00187A95">
        <w:rPr>
          <w:color w:val="auto"/>
        </w:rPr>
        <w:t>Relevant records were sought using broad and specific combinations because studies describing emotional regulation may be indexed under self-regulation, affective control, emotional competence, emotional problems or parent–child co-regulation. Searches also considered father–child play and outdoor play, as maternal-only designs cannot represent the full ecology of caregiving. Material was not selected solely on citation counts or journal profile, and the review avoided reporting unrecorded identification, screening or exclusion totals.</w:t>
      </w:r>
    </w:p>
    <w:p w14:paraId="533A6BE2" w14:textId="77777777" w:rsidR="00642847" w:rsidRPr="00187A95" w:rsidRDefault="00000000">
      <w:pPr>
        <w:pStyle w:val="Heading2"/>
        <w:rPr>
          <w:color w:val="auto"/>
        </w:rPr>
      </w:pPr>
      <w:r w:rsidRPr="00187A95">
        <w:rPr>
          <w:color w:val="auto"/>
        </w:rPr>
        <w:t>2.3 Search Strategy and Search Period</w:t>
      </w:r>
    </w:p>
    <w:p w14:paraId="0349A70E" w14:textId="77777777" w:rsidR="00642847" w:rsidRPr="00187A95" w:rsidRDefault="00000000">
      <w:pPr>
        <w:rPr>
          <w:color w:val="auto"/>
        </w:rPr>
      </w:pPr>
      <w:r w:rsidRPr="00187A95">
        <w:rPr>
          <w:color w:val="auto"/>
        </w:rPr>
        <w:t>The principal publication window was 2005 to 25 August 2026. This interval covers the modern development of multimethod self-regulation assessment and the expansion of objective measures of early childhood movement, while permitting foundational studies before 2005 where essential to the conceptual history of play. Representative searches combined the concepts (preschool OR early childhood) AND (physical activity OR active play) AND (emotion regulation OR self-regulation); parent-child AND (active play OR co-play) AND preschool AND emotion regulation; and home-based AND preschool AND physical activity AND (emotion regulation OR self-regulation). Related terms included emotional dysregulation, executive function, parental sensitivity, emotion socialisation, parent-child synchrony, outdoor play, family-based intervention, free play and randomised trial.</w:t>
      </w:r>
    </w:p>
    <w:p w14:paraId="3B9A716B" w14:textId="77777777" w:rsidR="00642847" w:rsidRPr="00187A95" w:rsidRDefault="00000000">
      <w:pPr>
        <w:rPr>
          <w:color w:val="auto"/>
        </w:rPr>
      </w:pPr>
      <w:r w:rsidRPr="00187A95">
        <w:rPr>
          <w:color w:val="auto"/>
        </w:rPr>
        <w:t>Searches were intentionally sensitive to conceptual synonyms rather than limited to the exact title vocabulary. Citations of relevant reviews were inspected for influential primary studies and contradictory findings. The publication cutoff was applied to the first publicly available scholarly version rather than the later issue date when an article had already been published online; this distinction matters for recent early-</w:t>
      </w:r>
      <w:r w:rsidRPr="00187A95">
        <w:rPr>
          <w:color w:val="auto"/>
        </w:rPr>
        <w:lastRenderedPageBreak/>
        <w:t>access syntheses. The search architecture was topic-specific but not a registered systematic protocol, and consequently no claim of comprehensive database coverage, exhaustive language coverage or formal evidence grading is made.</w:t>
      </w:r>
    </w:p>
    <w:p w14:paraId="2EFDEB98" w14:textId="77777777" w:rsidR="00642847" w:rsidRPr="00187A95" w:rsidRDefault="00000000">
      <w:pPr>
        <w:pStyle w:val="Heading2"/>
        <w:rPr>
          <w:color w:val="auto"/>
        </w:rPr>
      </w:pPr>
      <w:r w:rsidRPr="00187A95">
        <w:rPr>
          <w:color w:val="auto"/>
        </w:rPr>
        <w:t>2.4 Eligibility Criteria</w:t>
      </w:r>
    </w:p>
    <w:p w14:paraId="5E43E8E7" w14:textId="77777777" w:rsidR="00642847" w:rsidRPr="00187A95" w:rsidRDefault="00000000">
      <w:pPr>
        <w:rPr>
          <w:color w:val="auto"/>
        </w:rPr>
      </w:pPr>
      <w:r w:rsidRPr="00187A95">
        <w:rPr>
          <w:color w:val="auto"/>
        </w:rPr>
        <w:t>Eligible material comprised peer-reviewed studies of preschool-age children or adjacent developmental ages that directly informed the interpretation of home movement, interaction, play or emotion regulation; appropriately scoped randomised trials; longitudinal cohort analyses; directly relevant systematic reviews; and foundational developmental or methodological studies. Observational studies were retained when their designs addressed a necessary mechanism or exposed a contradiction. Studies of children above preschool age were used sparingly to illustrate possible developmental continuity and were not treated as direct evidence about preschool outcomes. Studies concerned only with anthropometry, motor proficiency or academic performance were relevant only where they clarified the limits of transfer to emotional outcomes.</w:t>
      </w:r>
    </w:p>
    <w:p w14:paraId="6E4AD915" w14:textId="77777777" w:rsidR="00642847" w:rsidRPr="00187A95" w:rsidRDefault="00000000">
      <w:pPr>
        <w:rPr>
          <w:color w:val="auto"/>
        </w:rPr>
      </w:pPr>
      <w:r w:rsidRPr="00187A95">
        <w:rPr>
          <w:color w:val="auto"/>
        </w:rPr>
        <w:t>The synthesis excluded non-scholarly promotional claims, inadequately identifiable references and sources whose reported outcomes could not be distinguished from the review's target constructs. English-language full texts and detailed abstracts were prioritised because these allowed meaningful appraisal of exposure definitions and measures. This language restriction may have underrepresented local-language family and play research. Reports of preschool interventions without a direct emotion-regulation endpoint were retained only to describe feasibility or implementation, not as demonstrations of emotional effectiveness.</w:t>
      </w:r>
    </w:p>
    <w:p w14:paraId="4876DB70" w14:textId="77777777" w:rsidR="00642847" w:rsidRPr="00187A95" w:rsidRDefault="00000000">
      <w:pPr>
        <w:pStyle w:val="Heading2"/>
        <w:rPr>
          <w:color w:val="auto"/>
        </w:rPr>
      </w:pPr>
      <w:r w:rsidRPr="00187A95">
        <w:rPr>
          <w:color w:val="auto"/>
        </w:rPr>
        <w:t>2.5 Screening, Duplicate Handling and Study Selection</w:t>
      </w:r>
    </w:p>
    <w:p w14:paraId="12CD253E" w14:textId="77777777" w:rsidR="00642847" w:rsidRPr="00187A95" w:rsidRDefault="00000000">
      <w:pPr>
        <w:rPr>
          <w:color w:val="auto"/>
        </w:rPr>
      </w:pPr>
      <w:r w:rsidRPr="00187A95">
        <w:rPr>
          <w:color w:val="auto"/>
        </w:rPr>
        <w:t>Titles and abstracts were examined for population, intervention or exposure and outcome fit, followed by closer assessment of accessible full texts for studies central to the argument. The same study appearing through a DOI record, an article repository and a journal page was treated as one contribution. Where systematic-review findings overlapped with primary trials, the review distinguished the pooled appraisal from the evidence of individual studies to avoid double-counting rhetorical support. Source identity was checked using author order, publication year, title, journal metadata and DOI, with differing records reconciled against the primary article when available.</w:t>
      </w:r>
    </w:p>
    <w:p w14:paraId="631A6EEC" w14:textId="77777777" w:rsidR="00642847" w:rsidRPr="00187A95" w:rsidRDefault="00000000">
      <w:pPr>
        <w:rPr>
          <w:color w:val="auto"/>
        </w:rPr>
      </w:pPr>
      <w:r w:rsidRPr="00187A95">
        <w:rPr>
          <w:color w:val="auto"/>
        </w:rPr>
        <w:t>Inclusion was purposive and iterative, guided by the need to represent favourable, null and counterintuitive findings and to address conceptual questions such as dose, timing and relational context. No quantitative flow chart or screening count is provided because an auditable exhaustive screening process was not conducted. The approach can support an evidence-calibrated account of the literature but cannot estimate the prevalence of particular findings among all potentially eligible publications.</w:t>
      </w:r>
    </w:p>
    <w:p w14:paraId="081E44CE" w14:textId="77777777" w:rsidR="00642847" w:rsidRPr="00187A95" w:rsidRDefault="00000000">
      <w:pPr>
        <w:pStyle w:val="Heading2"/>
        <w:rPr>
          <w:color w:val="auto"/>
        </w:rPr>
      </w:pPr>
      <w:r w:rsidRPr="00187A95">
        <w:rPr>
          <w:color w:val="auto"/>
        </w:rPr>
        <w:t>2.6 Critical Appraisal and Thematic Synthesis</w:t>
      </w:r>
    </w:p>
    <w:p w14:paraId="0C4249FD" w14:textId="77777777" w:rsidR="00642847" w:rsidRPr="00187A95" w:rsidRDefault="00000000">
      <w:pPr>
        <w:rPr>
          <w:color w:val="auto"/>
        </w:rPr>
      </w:pPr>
      <w:r w:rsidRPr="00187A95">
        <w:rPr>
          <w:color w:val="auto"/>
        </w:rPr>
        <w:t xml:space="preserve">For each major evidence stream, the appraisal considered temporal sequencing, assignment mechanism, control of baseline regulation, selection into play and activity, common-reporter bias, validation of measures, family clustering, attrition, intervention fidelity, and the distinction between immediate task performance and enduring regulation. Comparisons of randomised trials placed particular weight on whether emotional regulation had been measured directly and whether home delivery could be inferred. For observational studies, statistical adjustment was treated as an improvement in description, not as </w:t>
      </w:r>
      <w:r w:rsidRPr="00187A95">
        <w:rPr>
          <w:color w:val="auto"/>
        </w:rPr>
        <w:lastRenderedPageBreak/>
        <w:t>elimination of unobserved confounding. For play and family-process research, attention was given to whether observation involved a typical home activity or a structured laboratory challenge.</w:t>
      </w:r>
    </w:p>
    <w:p w14:paraId="661D1665" w14:textId="77777777" w:rsidR="00642847" w:rsidRPr="00187A95" w:rsidRDefault="00000000">
      <w:pPr>
        <w:rPr>
          <w:color w:val="auto"/>
        </w:rPr>
      </w:pPr>
      <w:r w:rsidRPr="00187A95">
        <w:rPr>
          <w:color w:val="auto"/>
        </w:rPr>
        <w:t>Themes were developed around the functional meaning of activity, co-regulation during shared play, the differentiation of regulatory outcomes, evidence from trials, threats to inference and social conditions of participation. Contradictions were analysed as possible consequences of different ages, measurement windows, activity forms, family contexts and outcome constructs. As a compact guide to these distinctions, Table 1 specifies which concepts are being compared and which inferences each supports. Its central implication is that indicators of activity or behavioural compliance are not automatically valid indicators of emotion regulation.</w:t>
      </w:r>
    </w:p>
    <w:p w14:paraId="04F11655" w14:textId="77777777" w:rsidR="00642847" w:rsidRPr="00187A95" w:rsidRDefault="00000000">
      <w:pPr>
        <w:pStyle w:val="TableTitle"/>
        <w:rPr>
          <w:color w:val="auto"/>
        </w:rPr>
      </w:pPr>
      <w:r w:rsidRPr="00187A95">
        <w:rPr>
          <w:color w:val="auto"/>
        </w:rPr>
        <w:t>Table 1. Operational distinctions relevant to home movement, interaction and regulation</w:t>
      </w:r>
    </w:p>
    <w:tbl>
      <w:tblPr>
        <w:tblStyle w:val="TableGrid"/>
        <w:tblW w:w="0" w:type="auto"/>
        <w:tblLayout w:type="fixed"/>
        <w:tblLook w:val="04A0" w:firstRow="1" w:lastRow="0" w:firstColumn="1" w:lastColumn="0" w:noHBand="0" w:noVBand="1"/>
      </w:tblPr>
      <w:tblGrid>
        <w:gridCol w:w="2405"/>
        <w:gridCol w:w="2405"/>
        <w:gridCol w:w="3024"/>
        <w:gridCol w:w="2405"/>
      </w:tblGrid>
      <w:tr w:rsidR="00187A95" w:rsidRPr="00187A95" w14:paraId="2512BB34" w14:textId="77777777">
        <w:trPr>
          <w:tblHeader/>
        </w:trPr>
        <w:tc>
          <w:tcPr>
            <w:tcW w:w="2405" w:type="dxa"/>
            <w:shd w:val="clear" w:color="auto" w:fill="E9EFF2"/>
            <w:tcMar>
              <w:top w:w="65" w:type="dxa"/>
              <w:left w:w="70" w:type="dxa"/>
              <w:bottom w:w="65" w:type="dxa"/>
              <w:right w:w="70" w:type="dxa"/>
            </w:tcMar>
            <w:vAlign w:val="center"/>
          </w:tcPr>
          <w:p w14:paraId="2FF27519" w14:textId="77777777" w:rsidR="00642847" w:rsidRPr="00187A95" w:rsidRDefault="00000000">
            <w:pPr>
              <w:spacing w:after="0" w:line="254" w:lineRule="auto"/>
              <w:rPr>
                <w:color w:val="auto"/>
              </w:rPr>
            </w:pPr>
            <w:r w:rsidRPr="00187A95">
              <w:rPr>
                <w:b/>
                <w:color w:val="auto"/>
                <w:sz w:val="16"/>
              </w:rPr>
              <w:t>Construct</w:t>
            </w:r>
          </w:p>
        </w:tc>
        <w:tc>
          <w:tcPr>
            <w:tcW w:w="2405" w:type="dxa"/>
            <w:shd w:val="clear" w:color="auto" w:fill="E9EFF2"/>
            <w:tcMar>
              <w:top w:w="65" w:type="dxa"/>
              <w:left w:w="70" w:type="dxa"/>
              <w:bottom w:w="65" w:type="dxa"/>
              <w:right w:w="70" w:type="dxa"/>
            </w:tcMar>
            <w:vAlign w:val="center"/>
          </w:tcPr>
          <w:p w14:paraId="03831F18" w14:textId="77777777" w:rsidR="00642847" w:rsidRPr="00187A95" w:rsidRDefault="00000000">
            <w:pPr>
              <w:spacing w:after="0" w:line="254" w:lineRule="auto"/>
              <w:rPr>
                <w:color w:val="auto"/>
              </w:rPr>
            </w:pPr>
            <w:r w:rsidRPr="00187A95">
              <w:rPr>
                <w:b/>
                <w:color w:val="auto"/>
                <w:sz w:val="16"/>
              </w:rPr>
              <w:t>Relevant observable indicator</w:t>
            </w:r>
          </w:p>
        </w:tc>
        <w:tc>
          <w:tcPr>
            <w:tcW w:w="2405" w:type="dxa"/>
            <w:shd w:val="clear" w:color="auto" w:fill="E9EFF2"/>
            <w:tcMar>
              <w:top w:w="65" w:type="dxa"/>
              <w:left w:w="70" w:type="dxa"/>
              <w:bottom w:w="65" w:type="dxa"/>
              <w:right w:w="70" w:type="dxa"/>
            </w:tcMar>
            <w:vAlign w:val="center"/>
          </w:tcPr>
          <w:p w14:paraId="584C9B7B" w14:textId="77777777" w:rsidR="00642847" w:rsidRPr="00187A95" w:rsidRDefault="00000000">
            <w:pPr>
              <w:spacing w:after="0" w:line="254" w:lineRule="auto"/>
              <w:rPr>
                <w:color w:val="auto"/>
              </w:rPr>
            </w:pPr>
            <w:r w:rsidRPr="00187A95">
              <w:rPr>
                <w:b/>
                <w:color w:val="auto"/>
                <w:sz w:val="16"/>
              </w:rPr>
              <w:t>Inference boundary</w:t>
            </w:r>
          </w:p>
        </w:tc>
        <w:tc>
          <w:tcPr>
            <w:tcW w:w="2405" w:type="dxa"/>
            <w:shd w:val="clear" w:color="auto" w:fill="E9EFF2"/>
            <w:tcMar>
              <w:top w:w="65" w:type="dxa"/>
              <w:left w:w="70" w:type="dxa"/>
              <w:bottom w:w="65" w:type="dxa"/>
              <w:right w:w="70" w:type="dxa"/>
            </w:tcMar>
            <w:vAlign w:val="center"/>
          </w:tcPr>
          <w:p w14:paraId="0DF5ADA1" w14:textId="77777777" w:rsidR="00642847" w:rsidRPr="00187A95" w:rsidRDefault="00000000">
            <w:pPr>
              <w:spacing w:after="0" w:line="254" w:lineRule="auto"/>
              <w:rPr>
                <w:color w:val="auto"/>
              </w:rPr>
            </w:pPr>
            <w:r w:rsidRPr="00187A95">
              <w:rPr>
                <w:b/>
                <w:color w:val="auto"/>
                <w:sz w:val="16"/>
              </w:rPr>
              <w:t>Supporting references</w:t>
            </w:r>
          </w:p>
        </w:tc>
      </w:tr>
      <w:tr w:rsidR="00187A95" w:rsidRPr="00187A95" w14:paraId="6978E1A3" w14:textId="77777777">
        <w:tc>
          <w:tcPr>
            <w:tcW w:w="1872" w:type="dxa"/>
            <w:tcMar>
              <w:top w:w="65" w:type="dxa"/>
              <w:left w:w="70" w:type="dxa"/>
              <w:bottom w:w="65" w:type="dxa"/>
              <w:right w:w="70" w:type="dxa"/>
            </w:tcMar>
            <w:vAlign w:val="center"/>
          </w:tcPr>
          <w:p w14:paraId="5AA478D4" w14:textId="77777777" w:rsidR="00642847" w:rsidRPr="00187A95" w:rsidRDefault="00000000">
            <w:pPr>
              <w:spacing w:after="0" w:line="254" w:lineRule="auto"/>
              <w:rPr>
                <w:color w:val="auto"/>
              </w:rPr>
            </w:pPr>
            <w:r w:rsidRPr="00187A95">
              <w:rPr>
                <w:color w:val="auto"/>
                <w:sz w:val="16"/>
              </w:rPr>
              <w:t>Emotion regulation</w:t>
            </w:r>
          </w:p>
        </w:tc>
        <w:tc>
          <w:tcPr>
            <w:tcW w:w="2376" w:type="dxa"/>
            <w:tcMar>
              <w:top w:w="65" w:type="dxa"/>
              <w:left w:w="70" w:type="dxa"/>
              <w:bottom w:w="65" w:type="dxa"/>
              <w:right w:w="70" w:type="dxa"/>
            </w:tcMar>
            <w:vAlign w:val="center"/>
          </w:tcPr>
          <w:p w14:paraId="72BC4D08" w14:textId="77777777" w:rsidR="00642847" w:rsidRPr="00187A95" w:rsidRDefault="00000000">
            <w:pPr>
              <w:spacing w:after="0" w:line="254" w:lineRule="auto"/>
              <w:rPr>
                <w:color w:val="auto"/>
              </w:rPr>
            </w:pPr>
            <w:r w:rsidRPr="00187A95">
              <w:rPr>
                <w:color w:val="auto"/>
                <w:sz w:val="16"/>
              </w:rPr>
              <w:t>Recovery from frustration; adaptive support seeking; emotional expression across situations</w:t>
            </w:r>
          </w:p>
        </w:tc>
        <w:tc>
          <w:tcPr>
            <w:tcW w:w="3024" w:type="dxa"/>
            <w:tcMar>
              <w:top w:w="65" w:type="dxa"/>
              <w:left w:w="70" w:type="dxa"/>
              <w:bottom w:w="65" w:type="dxa"/>
              <w:right w:w="70" w:type="dxa"/>
            </w:tcMar>
            <w:vAlign w:val="center"/>
          </w:tcPr>
          <w:p w14:paraId="3CE41AF3" w14:textId="77777777" w:rsidR="00642847" w:rsidRPr="00187A95" w:rsidRDefault="00000000">
            <w:pPr>
              <w:spacing w:after="0" w:line="254" w:lineRule="auto"/>
              <w:rPr>
                <w:color w:val="auto"/>
              </w:rPr>
            </w:pPr>
            <w:r w:rsidRPr="00187A95">
              <w:rPr>
                <w:color w:val="auto"/>
                <w:sz w:val="16"/>
              </w:rPr>
              <w:t>Affective process, not mere low symptom burden</w:t>
            </w:r>
          </w:p>
        </w:tc>
        <w:tc>
          <w:tcPr>
            <w:tcW w:w="2232" w:type="dxa"/>
            <w:tcMar>
              <w:top w:w="65" w:type="dxa"/>
              <w:left w:w="70" w:type="dxa"/>
              <w:bottom w:w="65" w:type="dxa"/>
              <w:right w:w="70" w:type="dxa"/>
            </w:tcMar>
            <w:vAlign w:val="center"/>
          </w:tcPr>
          <w:p w14:paraId="15EABD9D" w14:textId="77777777" w:rsidR="00642847" w:rsidRPr="00187A95" w:rsidRDefault="00000000">
            <w:pPr>
              <w:spacing w:after="0" w:line="254" w:lineRule="auto"/>
              <w:rPr>
                <w:color w:val="auto"/>
              </w:rPr>
            </w:pPr>
            <w:r w:rsidRPr="00187A95">
              <w:rPr>
                <w:color w:val="auto"/>
                <w:sz w:val="16"/>
              </w:rPr>
              <w:t>Dennis (2006); Morris et al. (2007)</w:t>
            </w:r>
          </w:p>
        </w:tc>
      </w:tr>
      <w:tr w:rsidR="00187A95" w:rsidRPr="00187A95" w14:paraId="1D6B207E" w14:textId="77777777">
        <w:tc>
          <w:tcPr>
            <w:tcW w:w="1872" w:type="dxa"/>
            <w:tcMar>
              <w:top w:w="65" w:type="dxa"/>
              <w:left w:w="70" w:type="dxa"/>
              <w:bottom w:w="65" w:type="dxa"/>
              <w:right w:w="70" w:type="dxa"/>
            </w:tcMar>
            <w:vAlign w:val="center"/>
          </w:tcPr>
          <w:p w14:paraId="5D750D7E" w14:textId="77777777" w:rsidR="00642847" w:rsidRPr="00187A95" w:rsidRDefault="00000000">
            <w:pPr>
              <w:spacing w:after="0" w:line="254" w:lineRule="auto"/>
              <w:rPr>
                <w:color w:val="auto"/>
              </w:rPr>
            </w:pPr>
            <w:r w:rsidRPr="00187A95">
              <w:rPr>
                <w:color w:val="auto"/>
                <w:sz w:val="16"/>
              </w:rPr>
              <w:t>Cognitive self-regulation</w:t>
            </w:r>
          </w:p>
        </w:tc>
        <w:tc>
          <w:tcPr>
            <w:tcW w:w="2376" w:type="dxa"/>
            <w:tcMar>
              <w:top w:w="65" w:type="dxa"/>
              <w:left w:w="70" w:type="dxa"/>
              <w:bottom w:w="65" w:type="dxa"/>
              <w:right w:w="70" w:type="dxa"/>
            </w:tcMar>
            <w:vAlign w:val="center"/>
          </w:tcPr>
          <w:p w14:paraId="6E938E76" w14:textId="77777777" w:rsidR="00642847" w:rsidRPr="00187A95" w:rsidRDefault="00000000">
            <w:pPr>
              <w:spacing w:after="0" w:line="254" w:lineRule="auto"/>
              <w:rPr>
                <w:color w:val="auto"/>
              </w:rPr>
            </w:pPr>
            <w:r w:rsidRPr="00187A95">
              <w:rPr>
                <w:color w:val="auto"/>
                <w:sz w:val="16"/>
              </w:rPr>
              <w:t>Working-memory, inhibition or set-shifting task</w:t>
            </w:r>
          </w:p>
        </w:tc>
        <w:tc>
          <w:tcPr>
            <w:tcW w:w="3024" w:type="dxa"/>
            <w:tcMar>
              <w:top w:w="65" w:type="dxa"/>
              <w:left w:w="70" w:type="dxa"/>
              <w:bottom w:w="65" w:type="dxa"/>
              <w:right w:w="70" w:type="dxa"/>
            </w:tcMar>
            <w:vAlign w:val="center"/>
          </w:tcPr>
          <w:p w14:paraId="2DCD3017" w14:textId="77777777" w:rsidR="00642847" w:rsidRPr="00187A95" w:rsidRDefault="00000000">
            <w:pPr>
              <w:spacing w:after="0" w:line="254" w:lineRule="auto"/>
              <w:rPr>
                <w:color w:val="auto"/>
              </w:rPr>
            </w:pPr>
            <w:r w:rsidRPr="00187A95">
              <w:rPr>
                <w:color w:val="auto"/>
                <w:sz w:val="16"/>
              </w:rPr>
              <w:t>Task improvement does not establish emotion regulation</w:t>
            </w:r>
          </w:p>
        </w:tc>
        <w:tc>
          <w:tcPr>
            <w:tcW w:w="2232" w:type="dxa"/>
            <w:tcMar>
              <w:top w:w="65" w:type="dxa"/>
              <w:left w:w="70" w:type="dxa"/>
              <w:bottom w:w="65" w:type="dxa"/>
              <w:right w:w="70" w:type="dxa"/>
            </w:tcMar>
            <w:vAlign w:val="center"/>
          </w:tcPr>
          <w:p w14:paraId="33BAB980" w14:textId="77777777" w:rsidR="00642847" w:rsidRPr="00187A95" w:rsidRDefault="00000000">
            <w:pPr>
              <w:spacing w:after="0" w:line="254" w:lineRule="auto"/>
              <w:rPr>
                <w:color w:val="auto"/>
              </w:rPr>
            </w:pPr>
            <w:r w:rsidRPr="00187A95">
              <w:rPr>
                <w:color w:val="auto"/>
                <w:sz w:val="16"/>
              </w:rPr>
              <w:t>Diamond (2013); Ponitz et al. (2009)</w:t>
            </w:r>
          </w:p>
        </w:tc>
      </w:tr>
      <w:tr w:rsidR="00187A95" w:rsidRPr="00187A95" w14:paraId="41070391" w14:textId="77777777">
        <w:tc>
          <w:tcPr>
            <w:tcW w:w="1872" w:type="dxa"/>
            <w:tcMar>
              <w:top w:w="65" w:type="dxa"/>
              <w:left w:w="70" w:type="dxa"/>
              <w:bottom w:w="65" w:type="dxa"/>
              <w:right w:w="70" w:type="dxa"/>
            </w:tcMar>
            <w:vAlign w:val="center"/>
          </w:tcPr>
          <w:p w14:paraId="31CA5612" w14:textId="77777777" w:rsidR="00642847" w:rsidRPr="00187A95" w:rsidRDefault="00000000">
            <w:pPr>
              <w:spacing w:after="0" w:line="254" w:lineRule="auto"/>
              <w:rPr>
                <w:color w:val="auto"/>
              </w:rPr>
            </w:pPr>
            <w:proofErr w:type="spellStart"/>
            <w:r w:rsidRPr="00187A95">
              <w:rPr>
                <w:color w:val="auto"/>
                <w:sz w:val="16"/>
              </w:rPr>
              <w:t>Behavioural</w:t>
            </w:r>
            <w:proofErr w:type="spellEnd"/>
            <w:r w:rsidRPr="00187A95">
              <w:rPr>
                <w:color w:val="auto"/>
                <w:sz w:val="16"/>
              </w:rPr>
              <w:t xml:space="preserve"> self-regulation</w:t>
            </w:r>
          </w:p>
        </w:tc>
        <w:tc>
          <w:tcPr>
            <w:tcW w:w="2376" w:type="dxa"/>
            <w:tcMar>
              <w:top w:w="65" w:type="dxa"/>
              <w:left w:w="70" w:type="dxa"/>
              <w:bottom w:w="65" w:type="dxa"/>
              <w:right w:w="70" w:type="dxa"/>
            </w:tcMar>
            <w:vAlign w:val="center"/>
          </w:tcPr>
          <w:p w14:paraId="3A54B147" w14:textId="77777777" w:rsidR="00642847" w:rsidRPr="00187A95" w:rsidRDefault="00000000">
            <w:pPr>
              <w:spacing w:after="0" w:line="254" w:lineRule="auto"/>
              <w:rPr>
                <w:color w:val="auto"/>
              </w:rPr>
            </w:pPr>
            <w:r w:rsidRPr="00187A95">
              <w:rPr>
                <w:color w:val="auto"/>
                <w:sz w:val="16"/>
              </w:rPr>
              <w:t>Following instructions; stopping a prepotent response</w:t>
            </w:r>
          </w:p>
        </w:tc>
        <w:tc>
          <w:tcPr>
            <w:tcW w:w="3024" w:type="dxa"/>
            <w:tcMar>
              <w:top w:w="65" w:type="dxa"/>
              <w:left w:w="70" w:type="dxa"/>
              <w:bottom w:w="65" w:type="dxa"/>
              <w:right w:w="70" w:type="dxa"/>
            </w:tcMar>
            <w:vAlign w:val="center"/>
          </w:tcPr>
          <w:p w14:paraId="5E21C83C" w14:textId="77777777" w:rsidR="00642847" w:rsidRPr="00187A95" w:rsidRDefault="00000000">
            <w:pPr>
              <w:spacing w:after="0" w:line="254" w:lineRule="auto"/>
              <w:rPr>
                <w:color w:val="auto"/>
              </w:rPr>
            </w:pPr>
            <w:r w:rsidRPr="00187A95">
              <w:rPr>
                <w:color w:val="auto"/>
                <w:sz w:val="16"/>
              </w:rPr>
              <w:t>Compliance may reflect temperament, context or learning</w:t>
            </w:r>
          </w:p>
        </w:tc>
        <w:tc>
          <w:tcPr>
            <w:tcW w:w="2232" w:type="dxa"/>
            <w:tcMar>
              <w:top w:w="65" w:type="dxa"/>
              <w:left w:w="70" w:type="dxa"/>
              <w:bottom w:w="65" w:type="dxa"/>
              <w:right w:w="70" w:type="dxa"/>
            </w:tcMar>
            <w:vAlign w:val="center"/>
          </w:tcPr>
          <w:p w14:paraId="510B7EA9" w14:textId="77777777" w:rsidR="00642847" w:rsidRPr="00187A95" w:rsidRDefault="00000000">
            <w:pPr>
              <w:spacing w:after="0" w:line="254" w:lineRule="auto"/>
              <w:rPr>
                <w:color w:val="auto"/>
              </w:rPr>
            </w:pPr>
            <w:r w:rsidRPr="00187A95">
              <w:rPr>
                <w:color w:val="auto"/>
                <w:sz w:val="16"/>
              </w:rPr>
              <w:t>Blair &amp; Raver (2015); D’Cruz et al. (2024)</w:t>
            </w:r>
          </w:p>
        </w:tc>
      </w:tr>
      <w:tr w:rsidR="00187A95" w:rsidRPr="00187A95" w14:paraId="61482D27" w14:textId="77777777">
        <w:tc>
          <w:tcPr>
            <w:tcW w:w="1872" w:type="dxa"/>
            <w:tcMar>
              <w:top w:w="65" w:type="dxa"/>
              <w:left w:w="70" w:type="dxa"/>
              <w:bottom w:w="65" w:type="dxa"/>
              <w:right w:w="70" w:type="dxa"/>
            </w:tcMar>
            <w:vAlign w:val="center"/>
          </w:tcPr>
          <w:p w14:paraId="4520BA47" w14:textId="77777777" w:rsidR="00642847" w:rsidRPr="00187A95" w:rsidRDefault="00000000">
            <w:pPr>
              <w:spacing w:after="0" w:line="254" w:lineRule="auto"/>
              <w:rPr>
                <w:color w:val="auto"/>
              </w:rPr>
            </w:pPr>
            <w:r w:rsidRPr="00187A95">
              <w:rPr>
                <w:color w:val="auto"/>
                <w:sz w:val="16"/>
              </w:rPr>
              <w:t>Home-based physical activity</w:t>
            </w:r>
          </w:p>
        </w:tc>
        <w:tc>
          <w:tcPr>
            <w:tcW w:w="2376" w:type="dxa"/>
            <w:tcMar>
              <w:top w:w="65" w:type="dxa"/>
              <w:left w:w="70" w:type="dxa"/>
              <w:bottom w:w="65" w:type="dxa"/>
              <w:right w:w="70" w:type="dxa"/>
            </w:tcMar>
            <w:vAlign w:val="center"/>
          </w:tcPr>
          <w:p w14:paraId="1396FF27" w14:textId="77777777" w:rsidR="00642847" w:rsidRPr="00187A95" w:rsidRDefault="00000000">
            <w:pPr>
              <w:spacing w:after="0" w:line="254" w:lineRule="auto"/>
              <w:rPr>
                <w:color w:val="auto"/>
              </w:rPr>
            </w:pPr>
            <w:r w:rsidRPr="00187A95">
              <w:rPr>
                <w:color w:val="auto"/>
                <w:sz w:val="16"/>
              </w:rPr>
              <w:t>Movement duration/intensity; home physical games</w:t>
            </w:r>
          </w:p>
        </w:tc>
        <w:tc>
          <w:tcPr>
            <w:tcW w:w="3024" w:type="dxa"/>
            <w:tcMar>
              <w:top w:w="65" w:type="dxa"/>
              <w:left w:w="70" w:type="dxa"/>
              <w:bottom w:w="65" w:type="dxa"/>
              <w:right w:w="70" w:type="dxa"/>
            </w:tcMar>
            <w:vAlign w:val="center"/>
          </w:tcPr>
          <w:p w14:paraId="22C727FA" w14:textId="77777777" w:rsidR="00642847" w:rsidRPr="00187A95" w:rsidRDefault="00000000">
            <w:pPr>
              <w:spacing w:after="0" w:line="254" w:lineRule="auto"/>
              <w:rPr>
                <w:color w:val="auto"/>
              </w:rPr>
            </w:pPr>
            <w:r w:rsidRPr="00187A95">
              <w:rPr>
                <w:color w:val="auto"/>
                <w:sz w:val="16"/>
              </w:rPr>
              <w:t>Objective activity cannot identify emotional quality of an episode</w:t>
            </w:r>
          </w:p>
        </w:tc>
        <w:tc>
          <w:tcPr>
            <w:tcW w:w="2232" w:type="dxa"/>
            <w:tcMar>
              <w:top w:w="65" w:type="dxa"/>
              <w:left w:w="70" w:type="dxa"/>
              <w:bottom w:w="65" w:type="dxa"/>
              <w:right w:w="70" w:type="dxa"/>
            </w:tcMar>
            <w:vAlign w:val="center"/>
          </w:tcPr>
          <w:p w14:paraId="4D556D1F" w14:textId="77777777" w:rsidR="00642847" w:rsidRPr="00187A95" w:rsidRDefault="00000000">
            <w:pPr>
              <w:spacing w:after="0" w:line="254" w:lineRule="auto"/>
              <w:rPr>
                <w:color w:val="auto"/>
              </w:rPr>
            </w:pPr>
            <w:r w:rsidRPr="00187A95">
              <w:rPr>
                <w:color w:val="auto"/>
                <w:sz w:val="16"/>
              </w:rPr>
              <w:t>Christian et al. (2021); He et al. (2024)</w:t>
            </w:r>
          </w:p>
        </w:tc>
      </w:tr>
      <w:tr w:rsidR="00187A95" w:rsidRPr="00187A95" w14:paraId="52BBADA8" w14:textId="77777777">
        <w:tc>
          <w:tcPr>
            <w:tcW w:w="1872" w:type="dxa"/>
            <w:tcMar>
              <w:top w:w="65" w:type="dxa"/>
              <w:left w:w="70" w:type="dxa"/>
              <w:bottom w:w="65" w:type="dxa"/>
              <w:right w:w="70" w:type="dxa"/>
            </w:tcMar>
            <w:vAlign w:val="center"/>
          </w:tcPr>
          <w:p w14:paraId="28F92AC7" w14:textId="77777777" w:rsidR="00642847" w:rsidRPr="00187A95" w:rsidRDefault="00000000">
            <w:pPr>
              <w:spacing w:after="0" w:line="254" w:lineRule="auto"/>
              <w:rPr>
                <w:color w:val="auto"/>
              </w:rPr>
            </w:pPr>
            <w:r w:rsidRPr="00187A95">
              <w:rPr>
                <w:color w:val="auto"/>
                <w:sz w:val="16"/>
              </w:rPr>
              <w:t>Parent–child co-regulation</w:t>
            </w:r>
          </w:p>
        </w:tc>
        <w:tc>
          <w:tcPr>
            <w:tcW w:w="2376" w:type="dxa"/>
            <w:tcMar>
              <w:top w:w="65" w:type="dxa"/>
              <w:left w:w="70" w:type="dxa"/>
              <w:bottom w:w="65" w:type="dxa"/>
              <w:right w:w="70" w:type="dxa"/>
            </w:tcMar>
            <w:vAlign w:val="center"/>
          </w:tcPr>
          <w:p w14:paraId="79EAE690" w14:textId="77777777" w:rsidR="00642847" w:rsidRPr="00187A95" w:rsidRDefault="00000000">
            <w:pPr>
              <w:spacing w:after="0" w:line="254" w:lineRule="auto"/>
              <w:rPr>
                <w:color w:val="auto"/>
              </w:rPr>
            </w:pPr>
            <w:r w:rsidRPr="00187A95">
              <w:rPr>
                <w:color w:val="auto"/>
                <w:sz w:val="16"/>
              </w:rPr>
              <w:t>Contingent response, synchrony, repair and shared calming</w:t>
            </w:r>
          </w:p>
        </w:tc>
        <w:tc>
          <w:tcPr>
            <w:tcW w:w="3024" w:type="dxa"/>
            <w:tcMar>
              <w:top w:w="65" w:type="dxa"/>
              <w:left w:w="70" w:type="dxa"/>
              <w:bottom w:w="65" w:type="dxa"/>
              <w:right w:w="70" w:type="dxa"/>
            </w:tcMar>
            <w:vAlign w:val="center"/>
          </w:tcPr>
          <w:p w14:paraId="439C0D16" w14:textId="77777777" w:rsidR="00642847" w:rsidRPr="00187A95" w:rsidRDefault="00000000">
            <w:pPr>
              <w:spacing w:after="0" w:line="254" w:lineRule="auto"/>
              <w:rPr>
                <w:color w:val="auto"/>
              </w:rPr>
            </w:pPr>
            <w:r w:rsidRPr="00187A95">
              <w:rPr>
                <w:color w:val="auto"/>
                <w:sz w:val="16"/>
              </w:rPr>
              <w:t>Reciprocity and pre-existing child differences complicate causality</w:t>
            </w:r>
          </w:p>
        </w:tc>
        <w:tc>
          <w:tcPr>
            <w:tcW w:w="2232" w:type="dxa"/>
            <w:tcMar>
              <w:top w:w="65" w:type="dxa"/>
              <w:left w:w="70" w:type="dxa"/>
              <w:bottom w:w="65" w:type="dxa"/>
              <w:right w:w="70" w:type="dxa"/>
            </w:tcMar>
            <w:vAlign w:val="center"/>
          </w:tcPr>
          <w:p w14:paraId="54AED8B0" w14:textId="77777777" w:rsidR="00642847" w:rsidRPr="00187A95" w:rsidRDefault="00000000">
            <w:pPr>
              <w:spacing w:after="0" w:line="254" w:lineRule="auto"/>
              <w:rPr>
                <w:color w:val="auto"/>
              </w:rPr>
            </w:pPr>
            <w:r w:rsidRPr="00187A95">
              <w:rPr>
                <w:color w:val="auto"/>
                <w:sz w:val="16"/>
              </w:rPr>
              <w:t>Kemp et al. (2016); Lobo &amp; Lunkenheimer (2020)</w:t>
            </w:r>
          </w:p>
        </w:tc>
      </w:tr>
      <w:tr w:rsidR="00187A95" w:rsidRPr="00187A95" w14:paraId="19F74E62" w14:textId="77777777">
        <w:tc>
          <w:tcPr>
            <w:tcW w:w="1872" w:type="dxa"/>
            <w:tcMar>
              <w:top w:w="65" w:type="dxa"/>
              <w:left w:w="70" w:type="dxa"/>
              <w:bottom w:w="65" w:type="dxa"/>
              <w:right w:w="70" w:type="dxa"/>
            </w:tcMar>
            <w:vAlign w:val="center"/>
          </w:tcPr>
          <w:p w14:paraId="0501D815" w14:textId="77777777" w:rsidR="00642847" w:rsidRPr="00187A95" w:rsidRDefault="00000000">
            <w:pPr>
              <w:spacing w:after="0" w:line="254" w:lineRule="auto"/>
              <w:rPr>
                <w:color w:val="auto"/>
              </w:rPr>
            </w:pPr>
            <w:r w:rsidRPr="00187A95">
              <w:rPr>
                <w:color w:val="auto"/>
                <w:sz w:val="16"/>
              </w:rPr>
              <w:t>Free-play participation</w:t>
            </w:r>
          </w:p>
        </w:tc>
        <w:tc>
          <w:tcPr>
            <w:tcW w:w="2376" w:type="dxa"/>
            <w:tcMar>
              <w:top w:w="65" w:type="dxa"/>
              <w:left w:w="70" w:type="dxa"/>
              <w:bottom w:w="65" w:type="dxa"/>
              <w:right w:w="70" w:type="dxa"/>
            </w:tcMar>
            <w:vAlign w:val="center"/>
          </w:tcPr>
          <w:p w14:paraId="32CB4D22" w14:textId="77777777" w:rsidR="00642847" w:rsidRPr="00187A95" w:rsidRDefault="00000000">
            <w:pPr>
              <w:spacing w:after="0" w:line="254" w:lineRule="auto"/>
              <w:rPr>
                <w:color w:val="auto"/>
              </w:rPr>
            </w:pPr>
            <w:r w:rsidRPr="00187A95">
              <w:rPr>
                <w:color w:val="auto"/>
                <w:sz w:val="16"/>
              </w:rPr>
              <w:t>Child-led active or quiet play; role negotiation</w:t>
            </w:r>
          </w:p>
        </w:tc>
        <w:tc>
          <w:tcPr>
            <w:tcW w:w="3024" w:type="dxa"/>
            <w:tcMar>
              <w:top w:w="65" w:type="dxa"/>
              <w:left w:w="70" w:type="dxa"/>
              <w:bottom w:w="65" w:type="dxa"/>
              <w:right w:w="70" w:type="dxa"/>
            </w:tcMar>
            <w:vAlign w:val="center"/>
          </w:tcPr>
          <w:p w14:paraId="3C5AF156" w14:textId="77777777" w:rsidR="00642847" w:rsidRPr="00187A95" w:rsidRDefault="00000000">
            <w:pPr>
              <w:spacing w:after="0" w:line="254" w:lineRule="auto"/>
              <w:rPr>
                <w:color w:val="auto"/>
              </w:rPr>
            </w:pPr>
            <w:r w:rsidRPr="00187A95">
              <w:rPr>
                <w:color w:val="auto"/>
                <w:sz w:val="16"/>
              </w:rPr>
              <w:t>Types of play and opportunity are not interchangeable</w:t>
            </w:r>
          </w:p>
        </w:tc>
        <w:tc>
          <w:tcPr>
            <w:tcW w:w="2232" w:type="dxa"/>
            <w:tcMar>
              <w:top w:w="65" w:type="dxa"/>
              <w:left w:w="70" w:type="dxa"/>
              <w:bottom w:w="65" w:type="dxa"/>
              <w:right w:w="70" w:type="dxa"/>
            </w:tcMar>
            <w:vAlign w:val="center"/>
          </w:tcPr>
          <w:p w14:paraId="07E93DDF" w14:textId="77777777" w:rsidR="00642847" w:rsidRPr="00187A95" w:rsidRDefault="00000000">
            <w:pPr>
              <w:spacing w:after="0" w:line="254" w:lineRule="auto"/>
              <w:rPr>
                <w:color w:val="auto"/>
              </w:rPr>
            </w:pPr>
            <w:r w:rsidRPr="00187A95">
              <w:rPr>
                <w:color w:val="auto"/>
                <w:sz w:val="16"/>
              </w:rPr>
              <w:t>Colliver et al. (2022); Lillard et al. (2013)</w:t>
            </w:r>
          </w:p>
        </w:tc>
      </w:tr>
    </w:tbl>
    <w:p w14:paraId="3F86CC2F" w14:textId="77777777" w:rsidR="00642847" w:rsidRPr="00187A95" w:rsidRDefault="00000000">
      <w:pPr>
        <w:pStyle w:val="TableNote"/>
        <w:rPr>
          <w:color w:val="auto"/>
        </w:rPr>
      </w:pPr>
      <w:r w:rsidRPr="00187A95">
        <w:rPr>
          <w:color w:val="auto"/>
        </w:rPr>
        <w:t>Note. The examples are non-exhaustive. Assessments differ in setting and developmentally appropriate interpretation.</w:t>
      </w:r>
    </w:p>
    <w:p w14:paraId="315404F6" w14:textId="77777777" w:rsidR="00642847" w:rsidRPr="00187A95" w:rsidRDefault="00000000">
      <w:pPr>
        <w:pStyle w:val="Heading1"/>
        <w:rPr>
          <w:color w:val="auto"/>
        </w:rPr>
      </w:pPr>
      <w:r w:rsidRPr="00187A95">
        <w:rPr>
          <w:color w:val="auto"/>
        </w:rPr>
        <w:t>3. Developmental Pathways Linking Movement, Play and Emotional Regulation</w:t>
      </w:r>
    </w:p>
    <w:p w14:paraId="7F4F1BB1" w14:textId="77777777" w:rsidR="00642847" w:rsidRPr="00187A95" w:rsidRDefault="00000000">
      <w:pPr>
        <w:pStyle w:val="Heading2"/>
        <w:rPr>
          <w:color w:val="auto"/>
        </w:rPr>
      </w:pPr>
      <w:r w:rsidRPr="00187A95">
        <w:rPr>
          <w:color w:val="auto"/>
        </w:rPr>
        <w:t>3.1 Emotion Regulation as a Contextual Developmental Capacity</w:t>
      </w:r>
    </w:p>
    <w:p w14:paraId="18E65CB3" w14:textId="77777777" w:rsidR="00642847" w:rsidRPr="00187A95" w:rsidRDefault="00000000">
      <w:pPr>
        <w:rPr>
          <w:color w:val="auto"/>
        </w:rPr>
      </w:pPr>
      <w:r w:rsidRPr="00187A95">
        <w:rPr>
          <w:color w:val="auto"/>
        </w:rPr>
        <w:t>Emotion regulation is best understood as an evolving repertoire of context-sensitive capacities rather than a single trait. A preschool child may be able to wait during a familiar board game yet struggle when overtired, when a friend refuses a preferred role or when a caregiver is unavailable. Variation across situations can reveal developmental flexibility rather than measurement error. Dennis (2006) demonstrated the importance of considering children's approach reactivity, parenting and control capacities together. The developmental psychobiological account of Blair and Raver (2015) likewise identifies interactions among stress physiology, executive control and social experience. These approaches help explain why motor activity may be associated with regulation in some moments but not in others.</w:t>
      </w:r>
    </w:p>
    <w:p w14:paraId="587EFB32" w14:textId="77777777" w:rsidR="00642847" w:rsidRPr="00187A95" w:rsidRDefault="00000000">
      <w:pPr>
        <w:rPr>
          <w:color w:val="auto"/>
        </w:rPr>
      </w:pPr>
      <w:r w:rsidRPr="00187A95">
        <w:rPr>
          <w:color w:val="auto"/>
        </w:rPr>
        <w:t xml:space="preserve">Emotion generation, emotion expression and the strategic management of emotion should also be separated analytically. Increased crying after a competitive game could reflect greater exposure to challenging situations, poorer recovery from distress, or simply more opportunities for an observer to witness emotional expression. Without temporal information about the child's initial arousal, available strategies and recovery trajectory, a behavioural tally cannot discriminate among these possibilities. </w:t>
      </w:r>
      <w:r w:rsidRPr="00187A95">
        <w:rPr>
          <w:color w:val="auto"/>
        </w:rPr>
        <w:lastRenderedPageBreak/>
        <w:t>Conversely, the absence of overt distress in tightly supervised activity may reflect environmental restriction rather than independent competence. Developmentally sensitive assessment should therefore ask how children respond when the conditions for a meaningful emotional challenge arise (Morris et al., 2007; Ștefan &amp; Dănilă, 2025).</w:t>
      </w:r>
    </w:p>
    <w:p w14:paraId="1A778189" w14:textId="77777777" w:rsidR="00642847" w:rsidRPr="00187A95" w:rsidRDefault="00000000">
      <w:pPr>
        <w:rPr>
          <w:color w:val="auto"/>
        </w:rPr>
      </w:pPr>
      <w:r w:rsidRPr="00187A95">
        <w:rPr>
          <w:color w:val="auto"/>
        </w:rPr>
        <w:t>Regulation is simultaneously interpersonal and intrapersonal. During early childhood, caregivers often lend external structure by offering language for feelings, modifying task difficulty and supporting a return to play. Over time, children may internalise such routines and deploy them in less supported contexts. This process does not imply that complete independence is always the developmental ideal. Seeking appropriate assistance can itself be an adaptive strategy, especially when a challenge exceeds an individual's current capacities. Research that scores adult involvement merely as a failure of autonomy risks misclassifying effective co-regulation as poor regulation (Kemp et al., 2016; Morris et al., 2007).</w:t>
      </w:r>
    </w:p>
    <w:p w14:paraId="75B12C79" w14:textId="77777777" w:rsidR="00642847" w:rsidRPr="00187A95" w:rsidRDefault="00000000">
      <w:pPr>
        <w:pStyle w:val="Heading2"/>
        <w:rPr>
          <w:color w:val="auto"/>
        </w:rPr>
      </w:pPr>
      <w:r w:rsidRPr="00187A95">
        <w:rPr>
          <w:color w:val="auto"/>
        </w:rPr>
        <w:t>3.2 Physiological, Cognitive and Relational Mechanisms</w:t>
      </w:r>
    </w:p>
    <w:p w14:paraId="290417A4" w14:textId="77777777" w:rsidR="00642847" w:rsidRPr="00187A95" w:rsidRDefault="00000000">
      <w:pPr>
        <w:rPr>
          <w:color w:val="auto"/>
        </w:rPr>
      </w:pPr>
      <w:r w:rsidRPr="00187A95">
        <w:rPr>
          <w:color w:val="auto"/>
        </w:rPr>
        <w:t>Movement may influence emotional functioning through several partly separable pathways. Physical exertion changes arousal, provides practice in tolerating bodily sensations and may support sleep or general wellbeing. Games that require stopping, changing rules or coordinating movement may recruit executive processes relevant to responding flexibly. Exploratory outdoor activity may increase access to manageable challenge and reduce confinement. None of these candidate pathways alone establishes lasting gains in emotional regulation. Reviews of physical activity and cognitive development show heterogeneous patterns across outcomes, and benefits for executive tasks are not equivalent to demonstrated changes in emotional recovery during daily conflict (Carson et al., 2016; D’Cruz et al., 2024; Diamond, 2013).</w:t>
      </w:r>
    </w:p>
    <w:p w14:paraId="1D0BC7D2" w14:textId="77777777" w:rsidR="00642847" w:rsidRPr="00187A95" w:rsidRDefault="00000000">
      <w:pPr>
        <w:rPr>
          <w:color w:val="auto"/>
        </w:rPr>
      </w:pPr>
      <w:r w:rsidRPr="00187A95">
        <w:rPr>
          <w:color w:val="auto"/>
        </w:rPr>
        <w:t>The relational pathway is distinctive because movement and play generate moments of joint attention and shared affect. A caregiver's invitation to try again after a fall, mutual laughter after a playful mistake or negotiation of a rule change may provide real-time practice in emotion labelling, frustration tolerance and repair of interpersonal tension. By contrast, parental pressure to perform or dismissal of distress may turn the same physical game into a stressor. Research on parent–child repair and dyadic coregulation supports the plausibility of these interactional processes, although the studied episodes are often not measures of habitual home physical activity (Kemp et al., 2016; Lobo &amp; Lunkenheimer, 2020). The overlap in mechanism should not be mistaken for direct empirical proof of a movement-specific pathway.</w:t>
      </w:r>
    </w:p>
    <w:p w14:paraId="67FD8393" w14:textId="77777777" w:rsidR="00642847" w:rsidRPr="00187A95" w:rsidRDefault="00000000">
      <w:pPr>
        <w:rPr>
          <w:color w:val="auto"/>
        </w:rPr>
      </w:pPr>
      <w:r w:rsidRPr="00187A95">
        <w:rPr>
          <w:color w:val="auto"/>
        </w:rPr>
        <w:t>A third pathway concerns agency. Child-led play provides opportunities to choose goals, change strategies, accept consequences and coordinate with others. Such decisions require some regulatory skill at the outset, while potentially offering occasions to practise it. This dual relationship is fundamental: children with stronger self-control may seek, sustain or receive more freedom to engage in complex play. Adult perceptions of a child's competence can further alter the opportunity available. The reported longitudinal relation between unstructured play and later regulation is compatible with a developmental contribution but does not resolve every selection process or establish that the amount of play is itself the active ingredient (Colliver et al., 2022; Elias &amp; Berk, 2002).</w:t>
      </w:r>
    </w:p>
    <w:p w14:paraId="03AD98C4" w14:textId="77777777" w:rsidR="00642847" w:rsidRPr="00187A95" w:rsidRDefault="00000000">
      <w:pPr>
        <w:pStyle w:val="Heading2"/>
        <w:rPr>
          <w:color w:val="auto"/>
        </w:rPr>
      </w:pPr>
      <w:r w:rsidRPr="00187A95">
        <w:rPr>
          <w:color w:val="auto"/>
        </w:rPr>
        <w:t>3.3 Reciprocal Influence and the Role of Temperament</w:t>
      </w:r>
    </w:p>
    <w:p w14:paraId="35CA3C12" w14:textId="77777777" w:rsidR="00642847" w:rsidRPr="00187A95" w:rsidRDefault="00000000">
      <w:pPr>
        <w:rPr>
          <w:color w:val="auto"/>
        </w:rPr>
      </w:pPr>
      <w:r w:rsidRPr="00187A95">
        <w:rPr>
          <w:color w:val="auto"/>
        </w:rPr>
        <w:t xml:space="preserve">The causal architecture is likely reciprocal. Children who become distressed quickly may leave a physical game sooner, receive closer parental supervision or avoid particular settings. Caregivers may organise the home around their child's reactions, adjusting activity complexity or outdoor schedules. Stable family </w:t>
      </w:r>
      <w:r w:rsidRPr="00187A95">
        <w:rPr>
          <w:color w:val="auto"/>
        </w:rPr>
        <w:lastRenderedPageBreak/>
        <w:t>characteristics, including parental mental health, resources and beliefs about acceptable emotional expression, can affect both exposure and outcome. A cross-sectional association between active play and fewer emotional symptoms therefore has multiple interpretations: activity may influence regulation, regulation may shape participation, or both may reflect shared antecedents. Distinguishing these explanations requires measuring prior emotion regulation as well as the mechanisms operating during play (Edler &amp; Valentino, 2024; Morris et al., 2007).</w:t>
      </w:r>
    </w:p>
    <w:p w14:paraId="2A6F401A" w14:textId="77777777" w:rsidR="00642847" w:rsidRPr="00187A95" w:rsidRDefault="00000000">
      <w:pPr>
        <w:rPr>
          <w:color w:val="auto"/>
        </w:rPr>
      </w:pPr>
      <w:r w:rsidRPr="00187A95">
        <w:rPr>
          <w:color w:val="auto"/>
        </w:rPr>
        <w:t>Several plausible moderators may reverse the apparent direction of association. Greater activity could be associated with calmer behaviour in a family that provides predictable rhythms and responsive support but with more conflict in a setting where movement is frequently interrupted or punished. An emotionally demanding task might temporarily increase observable distress while fostering longer-term adaptive strategies. Chronological age cannot substitute for developmental readiness, and an energetic or sensory-seeking child may respond differently to the same physical demand as a child who is easily overwhelmed. Although such hypotheses are developmentally reasonable, available studies seldom test them as pre-specified interactions using sufficiently precise context-level data (Blair &amp; Raver, 2015; D’Cruz et al., 2024).</w:t>
      </w:r>
    </w:p>
    <w:p w14:paraId="08FAFCD1" w14:textId="77777777" w:rsidR="00642847" w:rsidRPr="00187A95" w:rsidRDefault="00000000">
      <w:pPr>
        <w:rPr>
          <w:color w:val="auto"/>
        </w:rPr>
      </w:pPr>
      <w:r w:rsidRPr="00187A95">
        <w:rPr>
          <w:color w:val="auto"/>
        </w:rPr>
        <w:t>Table 2 translates the proposed pathways into observable predictions and rival explanations. It separates relationships with empirical support from hypotheses about mediation. The table makes clear why more precise mechanistic studies are needed before advising families that a particular exercise dose is a validated emotional-regulation treatment.</w:t>
      </w:r>
    </w:p>
    <w:p w14:paraId="1FC18976" w14:textId="77777777" w:rsidR="00642847" w:rsidRPr="00187A95" w:rsidRDefault="00000000">
      <w:pPr>
        <w:pStyle w:val="TableTitle"/>
        <w:rPr>
          <w:color w:val="auto"/>
        </w:rPr>
      </w:pPr>
      <w:r w:rsidRPr="00187A95">
        <w:rPr>
          <w:color w:val="auto"/>
        </w:rPr>
        <w:t>Table 2. Proposed explanatory pathways and competing interpretations</w:t>
      </w:r>
    </w:p>
    <w:tbl>
      <w:tblPr>
        <w:tblStyle w:val="TableGrid"/>
        <w:tblW w:w="0" w:type="auto"/>
        <w:tblLayout w:type="fixed"/>
        <w:tblLook w:val="04A0" w:firstRow="1" w:lastRow="0" w:firstColumn="1" w:lastColumn="0" w:noHBand="0" w:noVBand="1"/>
      </w:tblPr>
      <w:tblGrid>
        <w:gridCol w:w="2405"/>
        <w:gridCol w:w="2520"/>
        <w:gridCol w:w="2808"/>
        <w:gridCol w:w="2405"/>
      </w:tblGrid>
      <w:tr w:rsidR="00187A95" w:rsidRPr="00187A95" w14:paraId="6B019847" w14:textId="77777777">
        <w:trPr>
          <w:tblHeader/>
        </w:trPr>
        <w:tc>
          <w:tcPr>
            <w:tcW w:w="2405" w:type="dxa"/>
            <w:shd w:val="clear" w:color="auto" w:fill="E9EFF2"/>
            <w:tcMar>
              <w:top w:w="65" w:type="dxa"/>
              <w:left w:w="70" w:type="dxa"/>
              <w:bottom w:w="65" w:type="dxa"/>
              <w:right w:w="70" w:type="dxa"/>
            </w:tcMar>
            <w:vAlign w:val="center"/>
          </w:tcPr>
          <w:p w14:paraId="5EC33BCC" w14:textId="77777777" w:rsidR="00642847" w:rsidRPr="00187A95" w:rsidRDefault="00000000">
            <w:pPr>
              <w:spacing w:after="0" w:line="254" w:lineRule="auto"/>
              <w:rPr>
                <w:color w:val="auto"/>
              </w:rPr>
            </w:pPr>
            <w:r w:rsidRPr="00187A95">
              <w:rPr>
                <w:b/>
                <w:color w:val="auto"/>
                <w:sz w:val="16"/>
              </w:rPr>
              <w:t>Pathway</w:t>
            </w:r>
          </w:p>
        </w:tc>
        <w:tc>
          <w:tcPr>
            <w:tcW w:w="2405" w:type="dxa"/>
            <w:shd w:val="clear" w:color="auto" w:fill="E9EFF2"/>
            <w:tcMar>
              <w:top w:w="65" w:type="dxa"/>
              <w:left w:w="70" w:type="dxa"/>
              <w:bottom w:w="65" w:type="dxa"/>
              <w:right w:w="70" w:type="dxa"/>
            </w:tcMar>
            <w:vAlign w:val="center"/>
          </w:tcPr>
          <w:p w14:paraId="02D9E957" w14:textId="77777777" w:rsidR="00642847" w:rsidRPr="00187A95" w:rsidRDefault="00000000">
            <w:pPr>
              <w:spacing w:after="0" w:line="254" w:lineRule="auto"/>
              <w:rPr>
                <w:color w:val="auto"/>
              </w:rPr>
            </w:pPr>
            <w:r w:rsidRPr="00187A95">
              <w:rPr>
                <w:b/>
                <w:color w:val="auto"/>
                <w:sz w:val="16"/>
              </w:rPr>
              <w:t>Testable process</w:t>
            </w:r>
          </w:p>
        </w:tc>
        <w:tc>
          <w:tcPr>
            <w:tcW w:w="2405" w:type="dxa"/>
            <w:shd w:val="clear" w:color="auto" w:fill="E9EFF2"/>
            <w:tcMar>
              <w:top w:w="65" w:type="dxa"/>
              <w:left w:w="70" w:type="dxa"/>
              <w:bottom w:w="65" w:type="dxa"/>
              <w:right w:w="70" w:type="dxa"/>
            </w:tcMar>
            <w:vAlign w:val="center"/>
          </w:tcPr>
          <w:p w14:paraId="7CD9551D" w14:textId="77777777" w:rsidR="00642847" w:rsidRPr="00187A95" w:rsidRDefault="00000000">
            <w:pPr>
              <w:spacing w:after="0" w:line="254" w:lineRule="auto"/>
              <w:rPr>
                <w:color w:val="auto"/>
              </w:rPr>
            </w:pPr>
            <w:r w:rsidRPr="00187A95">
              <w:rPr>
                <w:b/>
                <w:color w:val="auto"/>
                <w:sz w:val="16"/>
              </w:rPr>
              <w:t>Alternative explanation or boundary</w:t>
            </w:r>
          </w:p>
        </w:tc>
        <w:tc>
          <w:tcPr>
            <w:tcW w:w="2405" w:type="dxa"/>
            <w:shd w:val="clear" w:color="auto" w:fill="E9EFF2"/>
            <w:tcMar>
              <w:top w:w="65" w:type="dxa"/>
              <w:left w:w="70" w:type="dxa"/>
              <w:bottom w:w="65" w:type="dxa"/>
              <w:right w:w="70" w:type="dxa"/>
            </w:tcMar>
            <w:vAlign w:val="center"/>
          </w:tcPr>
          <w:p w14:paraId="38A347AD" w14:textId="77777777" w:rsidR="00642847" w:rsidRPr="00187A95" w:rsidRDefault="00000000">
            <w:pPr>
              <w:spacing w:after="0" w:line="254" w:lineRule="auto"/>
              <w:rPr>
                <w:color w:val="auto"/>
              </w:rPr>
            </w:pPr>
            <w:r w:rsidRPr="00187A95">
              <w:rPr>
                <w:b/>
                <w:color w:val="auto"/>
                <w:sz w:val="16"/>
              </w:rPr>
              <w:t>Supporting references</w:t>
            </w:r>
          </w:p>
        </w:tc>
      </w:tr>
      <w:tr w:rsidR="00187A95" w:rsidRPr="00187A95" w14:paraId="342CB51E" w14:textId="77777777">
        <w:tc>
          <w:tcPr>
            <w:tcW w:w="1872" w:type="dxa"/>
            <w:tcMar>
              <w:top w:w="65" w:type="dxa"/>
              <w:left w:w="70" w:type="dxa"/>
              <w:bottom w:w="65" w:type="dxa"/>
              <w:right w:w="70" w:type="dxa"/>
            </w:tcMar>
            <w:vAlign w:val="center"/>
          </w:tcPr>
          <w:p w14:paraId="373BD33B" w14:textId="77777777" w:rsidR="00642847" w:rsidRPr="00187A95" w:rsidRDefault="00000000">
            <w:pPr>
              <w:spacing w:after="0" w:line="254" w:lineRule="auto"/>
              <w:rPr>
                <w:color w:val="auto"/>
              </w:rPr>
            </w:pPr>
            <w:r w:rsidRPr="00187A95">
              <w:rPr>
                <w:color w:val="auto"/>
                <w:sz w:val="16"/>
              </w:rPr>
              <w:t>Movement and arousal</w:t>
            </w:r>
          </w:p>
        </w:tc>
        <w:tc>
          <w:tcPr>
            <w:tcW w:w="2520" w:type="dxa"/>
            <w:tcMar>
              <w:top w:w="65" w:type="dxa"/>
              <w:left w:w="70" w:type="dxa"/>
              <w:bottom w:w="65" w:type="dxa"/>
              <w:right w:w="70" w:type="dxa"/>
            </w:tcMar>
            <w:vAlign w:val="center"/>
          </w:tcPr>
          <w:p w14:paraId="0D234698" w14:textId="77777777" w:rsidR="00642847" w:rsidRPr="00187A95" w:rsidRDefault="00000000">
            <w:pPr>
              <w:spacing w:after="0" w:line="254" w:lineRule="auto"/>
              <w:rPr>
                <w:color w:val="auto"/>
              </w:rPr>
            </w:pPr>
            <w:r w:rsidRPr="00187A95">
              <w:rPr>
                <w:color w:val="auto"/>
                <w:sz w:val="16"/>
              </w:rPr>
              <w:t>Within-child change in distress recovery following activity</w:t>
            </w:r>
          </w:p>
        </w:tc>
        <w:tc>
          <w:tcPr>
            <w:tcW w:w="2808" w:type="dxa"/>
            <w:tcMar>
              <w:top w:w="65" w:type="dxa"/>
              <w:left w:w="70" w:type="dxa"/>
              <w:bottom w:w="65" w:type="dxa"/>
              <w:right w:w="70" w:type="dxa"/>
            </w:tcMar>
            <w:vAlign w:val="center"/>
          </w:tcPr>
          <w:p w14:paraId="1D57E5A0" w14:textId="77777777" w:rsidR="00642847" w:rsidRPr="00187A95" w:rsidRDefault="00000000">
            <w:pPr>
              <w:spacing w:after="0" w:line="254" w:lineRule="auto"/>
              <w:rPr>
                <w:color w:val="auto"/>
              </w:rPr>
            </w:pPr>
            <w:r w:rsidRPr="00187A95">
              <w:rPr>
                <w:color w:val="auto"/>
                <w:sz w:val="16"/>
              </w:rPr>
              <w:t>Time of day, sleep or baseline arousal may drive the pattern</w:t>
            </w:r>
          </w:p>
        </w:tc>
        <w:tc>
          <w:tcPr>
            <w:tcW w:w="2232" w:type="dxa"/>
            <w:tcMar>
              <w:top w:w="65" w:type="dxa"/>
              <w:left w:w="70" w:type="dxa"/>
              <w:bottom w:w="65" w:type="dxa"/>
              <w:right w:w="70" w:type="dxa"/>
            </w:tcMar>
            <w:vAlign w:val="center"/>
          </w:tcPr>
          <w:p w14:paraId="5010EBA3" w14:textId="77777777" w:rsidR="00642847" w:rsidRPr="00187A95" w:rsidRDefault="00000000">
            <w:pPr>
              <w:spacing w:after="0" w:line="254" w:lineRule="auto"/>
              <w:rPr>
                <w:color w:val="auto"/>
              </w:rPr>
            </w:pPr>
            <w:r w:rsidRPr="00187A95">
              <w:rPr>
                <w:color w:val="auto"/>
                <w:sz w:val="16"/>
              </w:rPr>
              <w:t>Lee et al. (2025); D’Cruz et al. (2024)</w:t>
            </w:r>
          </w:p>
        </w:tc>
      </w:tr>
      <w:tr w:rsidR="00187A95" w:rsidRPr="00187A95" w14:paraId="3872972A" w14:textId="77777777">
        <w:tc>
          <w:tcPr>
            <w:tcW w:w="1872" w:type="dxa"/>
            <w:tcMar>
              <w:top w:w="65" w:type="dxa"/>
              <w:left w:w="70" w:type="dxa"/>
              <w:bottom w:w="65" w:type="dxa"/>
              <w:right w:w="70" w:type="dxa"/>
            </w:tcMar>
            <w:vAlign w:val="center"/>
          </w:tcPr>
          <w:p w14:paraId="322CFEC4" w14:textId="77777777" w:rsidR="00642847" w:rsidRPr="00187A95" w:rsidRDefault="00000000">
            <w:pPr>
              <w:spacing w:after="0" w:line="254" w:lineRule="auto"/>
              <w:rPr>
                <w:color w:val="auto"/>
              </w:rPr>
            </w:pPr>
            <w:r w:rsidRPr="00187A95">
              <w:rPr>
                <w:color w:val="auto"/>
                <w:sz w:val="16"/>
              </w:rPr>
              <w:t>Executive challenge</w:t>
            </w:r>
          </w:p>
        </w:tc>
        <w:tc>
          <w:tcPr>
            <w:tcW w:w="2520" w:type="dxa"/>
            <w:tcMar>
              <w:top w:w="65" w:type="dxa"/>
              <w:left w:w="70" w:type="dxa"/>
              <w:bottom w:w="65" w:type="dxa"/>
              <w:right w:w="70" w:type="dxa"/>
            </w:tcMar>
            <w:vAlign w:val="center"/>
          </w:tcPr>
          <w:p w14:paraId="033667E5" w14:textId="77777777" w:rsidR="00642847" w:rsidRPr="00187A95" w:rsidRDefault="00000000">
            <w:pPr>
              <w:spacing w:after="0" w:line="254" w:lineRule="auto"/>
              <w:rPr>
                <w:color w:val="auto"/>
              </w:rPr>
            </w:pPr>
            <w:r w:rsidRPr="00187A95">
              <w:rPr>
                <w:color w:val="auto"/>
                <w:sz w:val="16"/>
              </w:rPr>
              <w:t>Rule switching and inhibition during active games precede emotional coping</w:t>
            </w:r>
          </w:p>
        </w:tc>
        <w:tc>
          <w:tcPr>
            <w:tcW w:w="2808" w:type="dxa"/>
            <w:tcMar>
              <w:top w:w="65" w:type="dxa"/>
              <w:left w:w="70" w:type="dxa"/>
              <w:bottom w:w="65" w:type="dxa"/>
              <w:right w:w="70" w:type="dxa"/>
            </w:tcMar>
            <w:vAlign w:val="center"/>
          </w:tcPr>
          <w:p w14:paraId="593C62A1" w14:textId="77777777" w:rsidR="00642847" w:rsidRPr="00187A95" w:rsidRDefault="00000000">
            <w:pPr>
              <w:spacing w:after="0" w:line="254" w:lineRule="auto"/>
              <w:rPr>
                <w:color w:val="auto"/>
              </w:rPr>
            </w:pPr>
            <w:r w:rsidRPr="00187A95">
              <w:rPr>
                <w:color w:val="auto"/>
                <w:sz w:val="16"/>
              </w:rPr>
              <w:t>Cognitive task effects need not generalise to emotion</w:t>
            </w:r>
          </w:p>
        </w:tc>
        <w:tc>
          <w:tcPr>
            <w:tcW w:w="2232" w:type="dxa"/>
            <w:tcMar>
              <w:top w:w="65" w:type="dxa"/>
              <w:left w:w="70" w:type="dxa"/>
              <w:bottom w:w="65" w:type="dxa"/>
              <w:right w:w="70" w:type="dxa"/>
            </w:tcMar>
            <w:vAlign w:val="center"/>
          </w:tcPr>
          <w:p w14:paraId="7CA09B4B" w14:textId="77777777" w:rsidR="00642847" w:rsidRPr="00187A95" w:rsidRDefault="00000000">
            <w:pPr>
              <w:spacing w:after="0" w:line="254" w:lineRule="auto"/>
              <w:rPr>
                <w:color w:val="auto"/>
              </w:rPr>
            </w:pPr>
            <w:r w:rsidRPr="00187A95">
              <w:rPr>
                <w:color w:val="auto"/>
                <w:sz w:val="16"/>
              </w:rPr>
              <w:t>Diamond (2013); Lim et al. (2026)</w:t>
            </w:r>
          </w:p>
        </w:tc>
      </w:tr>
      <w:tr w:rsidR="00187A95" w:rsidRPr="00187A95" w14:paraId="66177DD4" w14:textId="77777777">
        <w:tc>
          <w:tcPr>
            <w:tcW w:w="1872" w:type="dxa"/>
            <w:tcMar>
              <w:top w:w="65" w:type="dxa"/>
              <w:left w:w="70" w:type="dxa"/>
              <w:bottom w:w="65" w:type="dxa"/>
              <w:right w:w="70" w:type="dxa"/>
            </w:tcMar>
            <w:vAlign w:val="center"/>
          </w:tcPr>
          <w:p w14:paraId="1F1DF71C" w14:textId="77777777" w:rsidR="00642847" w:rsidRPr="00187A95" w:rsidRDefault="00000000">
            <w:pPr>
              <w:spacing w:after="0" w:line="254" w:lineRule="auto"/>
              <w:rPr>
                <w:color w:val="auto"/>
              </w:rPr>
            </w:pPr>
            <w:r w:rsidRPr="00187A95">
              <w:rPr>
                <w:color w:val="auto"/>
                <w:sz w:val="16"/>
              </w:rPr>
              <w:t>Interpersonal repair</w:t>
            </w:r>
          </w:p>
        </w:tc>
        <w:tc>
          <w:tcPr>
            <w:tcW w:w="2520" w:type="dxa"/>
            <w:tcMar>
              <w:top w:w="65" w:type="dxa"/>
              <w:left w:w="70" w:type="dxa"/>
              <w:bottom w:w="65" w:type="dxa"/>
              <w:right w:w="70" w:type="dxa"/>
            </w:tcMar>
            <w:vAlign w:val="center"/>
          </w:tcPr>
          <w:p w14:paraId="5B9DA046" w14:textId="77777777" w:rsidR="00642847" w:rsidRPr="00187A95" w:rsidRDefault="00000000">
            <w:pPr>
              <w:spacing w:after="0" w:line="254" w:lineRule="auto"/>
              <w:rPr>
                <w:color w:val="auto"/>
              </w:rPr>
            </w:pPr>
            <w:r w:rsidRPr="00187A95">
              <w:rPr>
                <w:color w:val="auto"/>
                <w:sz w:val="16"/>
              </w:rPr>
              <w:t>Adult–child mismatch followed by adaptive return to play</w:t>
            </w:r>
          </w:p>
        </w:tc>
        <w:tc>
          <w:tcPr>
            <w:tcW w:w="2808" w:type="dxa"/>
            <w:tcMar>
              <w:top w:w="65" w:type="dxa"/>
              <w:left w:w="70" w:type="dxa"/>
              <w:bottom w:w="65" w:type="dxa"/>
              <w:right w:w="70" w:type="dxa"/>
            </w:tcMar>
            <w:vAlign w:val="center"/>
          </w:tcPr>
          <w:p w14:paraId="491A729F" w14:textId="77777777" w:rsidR="00642847" w:rsidRPr="00187A95" w:rsidRDefault="00000000">
            <w:pPr>
              <w:spacing w:after="0" w:line="254" w:lineRule="auto"/>
              <w:rPr>
                <w:color w:val="auto"/>
              </w:rPr>
            </w:pPr>
            <w:r w:rsidRPr="00187A95">
              <w:rPr>
                <w:color w:val="auto"/>
                <w:sz w:val="16"/>
              </w:rPr>
              <w:t>Dyadic effects may reflect pre-existing relationship quality</w:t>
            </w:r>
          </w:p>
        </w:tc>
        <w:tc>
          <w:tcPr>
            <w:tcW w:w="2232" w:type="dxa"/>
            <w:tcMar>
              <w:top w:w="65" w:type="dxa"/>
              <w:left w:w="70" w:type="dxa"/>
              <w:bottom w:w="65" w:type="dxa"/>
              <w:right w:w="70" w:type="dxa"/>
            </w:tcMar>
            <w:vAlign w:val="center"/>
          </w:tcPr>
          <w:p w14:paraId="16AC2BC2" w14:textId="77777777" w:rsidR="00642847" w:rsidRPr="00187A95" w:rsidRDefault="00000000">
            <w:pPr>
              <w:spacing w:after="0" w:line="254" w:lineRule="auto"/>
              <w:rPr>
                <w:color w:val="auto"/>
              </w:rPr>
            </w:pPr>
            <w:r w:rsidRPr="00187A95">
              <w:rPr>
                <w:color w:val="auto"/>
                <w:sz w:val="16"/>
              </w:rPr>
              <w:t>Kemp et al. (2016); Lobo &amp; Lunkenheimer (2020)</w:t>
            </w:r>
          </w:p>
        </w:tc>
      </w:tr>
      <w:tr w:rsidR="00187A95" w:rsidRPr="00187A95" w14:paraId="059E5FD6" w14:textId="77777777">
        <w:tc>
          <w:tcPr>
            <w:tcW w:w="1872" w:type="dxa"/>
            <w:tcMar>
              <w:top w:w="65" w:type="dxa"/>
              <w:left w:w="70" w:type="dxa"/>
              <w:bottom w:w="65" w:type="dxa"/>
              <w:right w:w="70" w:type="dxa"/>
            </w:tcMar>
            <w:vAlign w:val="center"/>
          </w:tcPr>
          <w:p w14:paraId="2E430B61" w14:textId="77777777" w:rsidR="00642847" w:rsidRPr="00187A95" w:rsidRDefault="00000000">
            <w:pPr>
              <w:spacing w:after="0" w:line="254" w:lineRule="auto"/>
              <w:rPr>
                <w:color w:val="auto"/>
              </w:rPr>
            </w:pPr>
            <w:r w:rsidRPr="00187A95">
              <w:rPr>
                <w:color w:val="auto"/>
                <w:sz w:val="16"/>
              </w:rPr>
              <w:t>Child autonomy</w:t>
            </w:r>
          </w:p>
        </w:tc>
        <w:tc>
          <w:tcPr>
            <w:tcW w:w="2520" w:type="dxa"/>
            <w:tcMar>
              <w:top w:w="65" w:type="dxa"/>
              <w:left w:w="70" w:type="dxa"/>
              <w:bottom w:w="65" w:type="dxa"/>
              <w:right w:w="70" w:type="dxa"/>
            </w:tcMar>
            <w:vAlign w:val="center"/>
          </w:tcPr>
          <w:p w14:paraId="5D184827" w14:textId="77777777" w:rsidR="00642847" w:rsidRPr="00187A95" w:rsidRDefault="00000000">
            <w:pPr>
              <w:spacing w:after="0" w:line="254" w:lineRule="auto"/>
              <w:rPr>
                <w:color w:val="auto"/>
              </w:rPr>
            </w:pPr>
            <w:r w:rsidRPr="00187A95">
              <w:rPr>
                <w:color w:val="auto"/>
                <w:sz w:val="16"/>
              </w:rPr>
              <w:t>Choice and flexible play predict later recovery or coping</w:t>
            </w:r>
          </w:p>
        </w:tc>
        <w:tc>
          <w:tcPr>
            <w:tcW w:w="2808" w:type="dxa"/>
            <w:tcMar>
              <w:top w:w="65" w:type="dxa"/>
              <w:left w:w="70" w:type="dxa"/>
              <w:bottom w:w="65" w:type="dxa"/>
              <w:right w:w="70" w:type="dxa"/>
            </w:tcMar>
            <w:vAlign w:val="center"/>
          </w:tcPr>
          <w:p w14:paraId="0794D7B0" w14:textId="77777777" w:rsidR="00642847" w:rsidRPr="00187A95" w:rsidRDefault="00000000">
            <w:pPr>
              <w:spacing w:after="0" w:line="254" w:lineRule="auto"/>
              <w:rPr>
                <w:color w:val="auto"/>
              </w:rPr>
            </w:pPr>
            <w:r w:rsidRPr="00187A95">
              <w:rPr>
                <w:color w:val="auto"/>
                <w:sz w:val="16"/>
              </w:rPr>
              <w:t>Children with better regulation may obtain more autonomy</w:t>
            </w:r>
          </w:p>
        </w:tc>
        <w:tc>
          <w:tcPr>
            <w:tcW w:w="2232" w:type="dxa"/>
            <w:tcMar>
              <w:top w:w="65" w:type="dxa"/>
              <w:left w:w="70" w:type="dxa"/>
              <w:bottom w:w="65" w:type="dxa"/>
              <w:right w:w="70" w:type="dxa"/>
            </w:tcMar>
            <w:vAlign w:val="center"/>
          </w:tcPr>
          <w:p w14:paraId="74233468" w14:textId="77777777" w:rsidR="00642847" w:rsidRPr="00187A95" w:rsidRDefault="00000000">
            <w:pPr>
              <w:spacing w:after="0" w:line="254" w:lineRule="auto"/>
              <w:rPr>
                <w:color w:val="auto"/>
              </w:rPr>
            </w:pPr>
            <w:r w:rsidRPr="00187A95">
              <w:rPr>
                <w:color w:val="auto"/>
                <w:sz w:val="16"/>
              </w:rPr>
              <w:t>Colliver et al. (2022); Lillard et al. (2013)</w:t>
            </w:r>
          </w:p>
        </w:tc>
      </w:tr>
      <w:tr w:rsidR="00187A95" w:rsidRPr="00187A95" w14:paraId="31C86BB1" w14:textId="77777777">
        <w:tc>
          <w:tcPr>
            <w:tcW w:w="1872" w:type="dxa"/>
            <w:tcMar>
              <w:top w:w="65" w:type="dxa"/>
              <w:left w:w="70" w:type="dxa"/>
              <w:bottom w:w="65" w:type="dxa"/>
              <w:right w:w="70" w:type="dxa"/>
            </w:tcMar>
            <w:vAlign w:val="center"/>
          </w:tcPr>
          <w:p w14:paraId="27CF5781" w14:textId="77777777" w:rsidR="00642847" w:rsidRPr="00187A95" w:rsidRDefault="00000000">
            <w:pPr>
              <w:spacing w:after="0" w:line="254" w:lineRule="auto"/>
              <w:rPr>
                <w:color w:val="auto"/>
              </w:rPr>
            </w:pPr>
            <w:r w:rsidRPr="00187A95">
              <w:rPr>
                <w:color w:val="auto"/>
                <w:sz w:val="16"/>
              </w:rPr>
              <w:t>Parental modelling</w:t>
            </w:r>
          </w:p>
        </w:tc>
        <w:tc>
          <w:tcPr>
            <w:tcW w:w="2520" w:type="dxa"/>
            <w:tcMar>
              <w:top w:w="65" w:type="dxa"/>
              <w:left w:w="70" w:type="dxa"/>
              <w:bottom w:w="65" w:type="dxa"/>
              <w:right w:w="70" w:type="dxa"/>
            </w:tcMar>
            <w:vAlign w:val="center"/>
          </w:tcPr>
          <w:p w14:paraId="585CC3A2" w14:textId="77777777" w:rsidR="00642847" w:rsidRPr="00187A95" w:rsidRDefault="00000000">
            <w:pPr>
              <w:spacing w:after="0" w:line="254" w:lineRule="auto"/>
              <w:rPr>
                <w:color w:val="auto"/>
              </w:rPr>
            </w:pPr>
            <w:r w:rsidRPr="00187A95">
              <w:rPr>
                <w:color w:val="auto"/>
                <w:sz w:val="16"/>
              </w:rPr>
              <w:t>Adult reappraisal or coaching during play predicts child strategy use</w:t>
            </w:r>
          </w:p>
        </w:tc>
        <w:tc>
          <w:tcPr>
            <w:tcW w:w="2808" w:type="dxa"/>
            <w:tcMar>
              <w:top w:w="65" w:type="dxa"/>
              <w:left w:w="70" w:type="dxa"/>
              <w:bottom w:w="65" w:type="dxa"/>
              <w:right w:w="70" w:type="dxa"/>
            </w:tcMar>
            <w:vAlign w:val="center"/>
          </w:tcPr>
          <w:p w14:paraId="79C9FA89" w14:textId="77777777" w:rsidR="00642847" w:rsidRPr="00187A95" w:rsidRDefault="00000000">
            <w:pPr>
              <w:spacing w:after="0" w:line="254" w:lineRule="auto"/>
              <w:rPr>
                <w:color w:val="auto"/>
              </w:rPr>
            </w:pPr>
            <w:r w:rsidRPr="00187A95">
              <w:rPr>
                <w:color w:val="auto"/>
                <w:sz w:val="16"/>
              </w:rPr>
              <w:t>Shared reporting and family circumstances bias estimates</w:t>
            </w:r>
          </w:p>
        </w:tc>
        <w:tc>
          <w:tcPr>
            <w:tcW w:w="2232" w:type="dxa"/>
            <w:tcMar>
              <w:top w:w="65" w:type="dxa"/>
              <w:left w:w="70" w:type="dxa"/>
              <w:bottom w:w="65" w:type="dxa"/>
              <w:right w:w="70" w:type="dxa"/>
            </w:tcMar>
            <w:vAlign w:val="center"/>
          </w:tcPr>
          <w:p w14:paraId="549D4E0F" w14:textId="77777777" w:rsidR="00642847" w:rsidRPr="00187A95" w:rsidRDefault="00000000">
            <w:pPr>
              <w:spacing w:after="0" w:line="254" w:lineRule="auto"/>
              <w:rPr>
                <w:color w:val="auto"/>
              </w:rPr>
            </w:pPr>
            <w:r w:rsidRPr="00187A95">
              <w:rPr>
                <w:color w:val="auto"/>
                <w:sz w:val="16"/>
              </w:rPr>
              <w:t>Edler &amp; Valentino (2024); Ștefan &amp; Dănilă (2025)</w:t>
            </w:r>
          </w:p>
        </w:tc>
      </w:tr>
      <w:tr w:rsidR="00187A95" w:rsidRPr="00187A95" w14:paraId="6F0B32E4" w14:textId="77777777">
        <w:tc>
          <w:tcPr>
            <w:tcW w:w="1872" w:type="dxa"/>
            <w:tcMar>
              <w:top w:w="65" w:type="dxa"/>
              <w:left w:w="70" w:type="dxa"/>
              <w:bottom w:w="65" w:type="dxa"/>
              <w:right w:w="70" w:type="dxa"/>
            </w:tcMar>
            <w:vAlign w:val="center"/>
          </w:tcPr>
          <w:p w14:paraId="70D841C2" w14:textId="77777777" w:rsidR="00642847" w:rsidRPr="00187A95" w:rsidRDefault="00000000">
            <w:pPr>
              <w:spacing w:after="0" w:line="254" w:lineRule="auto"/>
              <w:rPr>
                <w:color w:val="auto"/>
              </w:rPr>
            </w:pPr>
            <w:r w:rsidRPr="00187A95">
              <w:rPr>
                <w:color w:val="auto"/>
                <w:sz w:val="16"/>
              </w:rPr>
              <w:t>Outdoor affordances</w:t>
            </w:r>
          </w:p>
        </w:tc>
        <w:tc>
          <w:tcPr>
            <w:tcW w:w="2520" w:type="dxa"/>
            <w:tcMar>
              <w:top w:w="65" w:type="dxa"/>
              <w:left w:w="70" w:type="dxa"/>
              <w:bottom w:w="65" w:type="dxa"/>
              <w:right w:w="70" w:type="dxa"/>
            </w:tcMar>
            <w:vAlign w:val="center"/>
          </w:tcPr>
          <w:p w14:paraId="335FB53A" w14:textId="77777777" w:rsidR="00642847" w:rsidRPr="00187A95" w:rsidRDefault="00000000">
            <w:pPr>
              <w:spacing w:after="0" w:line="254" w:lineRule="auto"/>
              <w:rPr>
                <w:color w:val="auto"/>
              </w:rPr>
            </w:pPr>
            <w:r w:rsidRPr="00187A95">
              <w:rPr>
                <w:color w:val="auto"/>
                <w:sz w:val="16"/>
              </w:rPr>
              <w:t>Varied space and manageable challenge alter play experience</w:t>
            </w:r>
          </w:p>
        </w:tc>
        <w:tc>
          <w:tcPr>
            <w:tcW w:w="2808" w:type="dxa"/>
            <w:tcMar>
              <w:top w:w="65" w:type="dxa"/>
              <w:left w:w="70" w:type="dxa"/>
              <w:bottom w:w="65" w:type="dxa"/>
              <w:right w:w="70" w:type="dxa"/>
            </w:tcMar>
            <w:vAlign w:val="center"/>
          </w:tcPr>
          <w:p w14:paraId="79B82E62" w14:textId="77777777" w:rsidR="00642847" w:rsidRPr="00187A95" w:rsidRDefault="00000000">
            <w:pPr>
              <w:spacing w:after="0" w:line="254" w:lineRule="auto"/>
              <w:rPr>
                <w:color w:val="auto"/>
              </w:rPr>
            </w:pPr>
            <w:r w:rsidRPr="00187A95">
              <w:rPr>
                <w:color w:val="auto"/>
                <w:sz w:val="16"/>
              </w:rPr>
              <w:t>Access, safety, routine and selection differ by household</w:t>
            </w:r>
          </w:p>
        </w:tc>
        <w:tc>
          <w:tcPr>
            <w:tcW w:w="2232" w:type="dxa"/>
            <w:tcMar>
              <w:top w:w="65" w:type="dxa"/>
              <w:left w:w="70" w:type="dxa"/>
              <w:bottom w:w="65" w:type="dxa"/>
              <w:right w:w="70" w:type="dxa"/>
            </w:tcMar>
            <w:vAlign w:val="center"/>
          </w:tcPr>
          <w:p w14:paraId="29D86E46" w14:textId="77777777" w:rsidR="00642847" w:rsidRPr="00187A95" w:rsidRDefault="00000000">
            <w:pPr>
              <w:spacing w:after="0" w:line="254" w:lineRule="auto"/>
              <w:rPr>
                <w:color w:val="auto"/>
              </w:rPr>
            </w:pPr>
            <w:r w:rsidRPr="00187A95">
              <w:rPr>
                <w:color w:val="auto"/>
                <w:sz w:val="16"/>
              </w:rPr>
              <w:t>Lee et al. (2025); Dodd et al. (2026)</w:t>
            </w:r>
          </w:p>
        </w:tc>
      </w:tr>
    </w:tbl>
    <w:p w14:paraId="1BAC4F43" w14:textId="77777777" w:rsidR="00642847" w:rsidRPr="00187A95" w:rsidRDefault="00000000">
      <w:pPr>
        <w:pStyle w:val="TableNote"/>
        <w:rPr>
          <w:color w:val="auto"/>
        </w:rPr>
      </w:pPr>
      <w:r w:rsidRPr="00187A95">
        <w:rPr>
          <w:color w:val="auto"/>
        </w:rPr>
        <w:t>Note. These pathways are explanatory propositions, not a validated causal model; evidence varies across mechanisms.</w:t>
      </w:r>
    </w:p>
    <w:p w14:paraId="3C698FB0" w14:textId="77777777" w:rsidR="00642847" w:rsidRPr="00187A95" w:rsidRDefault="00000000">
      <w:pPr>
        <w:pStyle w:val="Heading1"/>
        <w:rPr>
          <w:color w:val="auto"/>
        </w:rPr>
      </w:pPr>
      <w:r w:rsidRPr="00187A95">
        <w:rPr>
          <w:color w:val="auto"/>
        </w:rPr>
        <w:t>4. Home-Based Physical Activity: Exposure, Association and Temporal Patterning</w:t>
      </w:r>
    </w:p>
    <w:p w14:paraId="38BA1E51" w14:textId="77777777" w:rsidR="00642847" w:rsidRPr="00187A95" w:rsidRDefault="00000000">
      <w:pPr>
        <w:pStyle w:val="Heading2"/>
        <w:rPr>
          <w:color w:val="auto"/>
        </w:rPr>
      </w:pPr>
      <w:r w:rsidRPr="00187A95">
        <w:rPr>
          <w:color w:val="auto"/>
        </w:rPr>
        <w:t>4.1 Defining Movement in the Family Setting</w:t>
      </w:r>
    </w:p>
    <w:p w14:paraId="5729D8EC" w14:textId="77777777" w:rsidR="00642847" w:rsidRPr="00187A95" w:rsidRDefault="00000000">
      <w:pPr>
        <w:rPr>
          <w:color w:val="auto"/>
        </w:rPr>
      </w:pPr>
      <w:r w:rsidRPr="00187A95">
        <w:rPr>
          <w:color w:val="auto"/>
        </w:rPr>
        <w:t xml:space="preserve">Home-based physical activity encompasses considerably more than structured exercise. Preschoolers may accumulate movement through household tasks, self-initiated running, dancing, carrying objects, climbing, park visits, outdoor games and physical interaction with caregivers. These activities differ in intensity, predictability, social involvement and emotional demand. A measure of moderate-to-vigorous physical </w:t>
      </w:r>
      <w:r w:rsidRPr="00187A95">
        <w:rPr>
          <w:color w:val="auto"/>
        </w:rPr>
        <w:lastRenderedPageBreak/>
        <w:t>activity captures the exertional component, but it cannot distinguish joyful cooperative play from pressured exercise or agitated pacing. Parent reports may characterise the activity's social setting but can be influenced by expectations, recall limitations and the caregiver's own interpretation of a child's behaviour. Combining objective movement indicators with activity diaries and short contextual observations can preserve the strengths of both approaches (Christian et al., 2021; He et al., 2024).</w:t>
      </w:r>
    </w:p>
    <w:p w14:paraId="7B73CB38" w14:textId="77777777" w:rsidR="00642847" w:rsidRPr="00187A95" w:rsidRDefault="00000000">
      <w:pPr>
        <w:rPr>
          <w:color w:val="auto"/>
        </w:rPr>
      </w:pPr>
      <w:r w:rsidRPr="00187A95">
        <w:rPr>
          <w:color w:val="auto"/>
        </w:rPr>
        <w:t>The home setting also includes the transitional periods around activity: invitations, negotiation, preparation, recovery and conflict when a preferred game ends. An accelerometer may record little movement while a caregiver helps a child manage disappointment or choose a new strategy. These low-movement moments could be decisive for emotion socialisation. They also expose a possible mismatch between the presumed intervention ingredient and the actual learning opportunity. A family movement programme that increases vigorous activity but reduces time for shared discussion may not have the same emotional implications as one that embeds challenge in responsive play. Consequently, future trials need intervention specifications capable of distinguishing movement volume, interaction quality and the opportunity for self-directed participation (England-Mason et al., 2023; Morris et al., 2007).</w:t>
      </w:r>
    </w:p>
    <w:p w14:paraId="24481C5B" w14:textId="77777777" w:rsidR="00642847" w:rsidRPr="00187A95" w:rsidRDefault="00000000">
      <w:pPr>
        <w:rPr>
          <w:color w:val="auto"/>
        </w:rPr>
      </w:pPr>
      <w:r w:rsidRPr="00187A95">
        <w:rPr>
          <w:color w:val="auto"/>
        </w:rPr>
        <w:t>The physical environment constrains what an activity measure represents. Apartment size, domestic hazards, neighbourhood safety, access to shared courtyards and availability of affordable play equipment can shape activity type independently of parental motivation. Outdoor access is not synonymous with parental participation, while indoor games are not necessarily sedentary. The tendency to classify families as more or less active without describing available space can turn structural inequalities into apparent differences in parenting choice. Family-based interventions must therefore be evaluated not only for aggregate movement gains but also for whether the programme is feasible across living arrangements and caregiver workloads (Moss &amp; Gu, 2022; He et al., 2024).</w:t>
      </w:r>
    </w:p>
    <w:p w14:paraId="7D749005" w14:textId="77777777" w:rsidR="00642847" w:rsidRPr="00187A95" w:rsidRDefault="00000000">
      <w:pPr>
        <w:pStyle w:val="Heading2"/>
        <w:rPr>
          <w:color w:val="auto"/>
        </w:rPr>
      </w:pPr>
      <w:r w:rsidRPr="00187A95">
        <w:rPr>
          <w:color w:val="auto"/>
        </w:rPr>
        <w:t>4.2 Observational Associations and Outcome Specificity</w:t>
      </w:r>
    </w:p>
    <w:p w14:paraId="7BC5FC29" w14:textId="77777777" w:rsidR="00642847" w:rsidRPr="00187A95" w:rsidRDefault="00000000">
      <w:pPr>
        <w:rPr>
          <w:color w:val="auto"/>
        </w:rPr>
      </w:pPr>
      <w:r w:rsidRPr="00187A95">
        <w:rPr>
          <w:color w:val="auto"/>
        </w:rPr>
        <w:t>Evidence linking movement to early emotional functioning is mixed in magnitude and meaning. In the PLAYCE observational study of 651 children aged two to four years, Christian et al. (2021) related physical activity duration and intensity to parent-reported social-emotional development. Its use of objective movement assessment strengthens exposure measurement, yet the psychosocial outcome was broader than emotion regulation and the cross-sectional design cannot establish direction. This distinction matters when results are translated into advice. A lower score on an emotional or behavioural difficulties questionnaire may indicate fewer symptoms but does not identify the strategies children used to manage the feelings that occurred.</w:t>
      </w:r>
    </w:p>
    <w:p w14:paraId="7567A3E8" w14:textId="77777777" w:rsidR="00642847" w:rsidRPr="00187A95" w:rsidRDefault="00000000">
      <w:pPr>
        <w:rPr>
          <w:color w:val="auto"/>
        </w:rPr>
      </w:pPr>
      <w:r w:rsidRPr="00187A95">
        <w:rPr>
          <w:color w:val="auto"/>
        </w:rPr>
        <w:t>The 2024 synthesis by D’Cruz et al. identified inconsistent results across 47 papers and noted that relationships were more consistent for behavioural self-regulation than for emotional or cognitive domains. Such heterogeneity cannot be resolved by treating every study's construct as a noisy indicator of a single latent ability. Inhibition tasks, caregiver-rated negative affect and global adjustment scales may respond to different developmental influences. A pooled association drawn from disparate outcomes can describe an overall tendency yet remain of limited use for an explicitly emotional question. The small cross-sectional correlation reported by Cecic-Mladinic et al. (2026), approximately r = .10, with high heterogeneity, is compatible with considerable variability between contexts and does not establish an individually meaningful effect size.</w:t>
      </w:r>
    </w:p>
    <w:p w14:paraId="2407F498" w14:textId="77777777" w:rsidR="00642847" w:rsidRPr="00187A95" w:rsidRDefault="00000000">
      <w:pPr>
        <w:rPr>
          <w:color w:val="auto"/>
        </w:rPr>
      </w:pPr>
      <w:r w:rsidRPr="00187A95">
        <w:rPr>
          <w:color w:val="auto"/>
        </w:rPr>
        <w:lastRenderedPageBreak/>
        <w:t>The Chinese study by Min et al. (2026) linked parental support for sport to fewer emotional-behavioural problems through proposed intermediate relations involving exercise habits and the parent–child relationship. The large survey offers useful insight into how parental encouragement and household relationships co-occur, but the data were collected at a common time and predominantly through adult reporting. Statistical mediation of cross-sectional associations does not demonstrate that sports support temporally produces stronger relationships, which in turn reduce symptoms. Nor can a composite emotional-behavioural problem scale substitute for observation of recovery, strategy selection or emotional flexibility. The study is most appropriately interpreted as support for testing a relational hypothesis in longitudinal and experimental research.</w:t>
      </w:r>
    </w:p>
    <w:p w14:paraId="603F21B1" w14:textId="77777777" w:rsidR="00642847" w:rsidRPr="00187A95" w:rsidRDefault="00000000">
      <w:pPr>
        <w:rPr>
          <w:color w:val="auto"/>
        </w:rPr>
      </w:pPr>
      <w:r w:rsidRPr="00187A95">
        <w:rPr>
          <w:color w:val="auto"/>
        </w:rPr>
        <w:t>Rural preschoolers were examined by Ma et al. (2024), who modelled associations among gross motor skills, resilience, executive function and emotion regulation. The analysis is valuable because it avoids reducing development to movement duration alone, but motor proficiency is a capacity rather than a measure of home physical-activity exposure. Cross-sectional mediation also cannot resolve developmental direction or contextual confounding. The implication is not that motor competence is unimportant; rather, the evidence tests a different construct and should be integrated with activity data only after their distinctions are explicit. Studies that combine competence, opportunity and participation without separating them risk overstating the convergence of findings (Carson et al., 2016; Ma et al., 2024).</w:t>
      </w:r>
    </w:p>
    <w:p w14:paraId="70FC5F29" w14:textId="77777777" w:rsidR="00642847" w:rsidRPr="00187A95" w:rsidRDefault="00000000">
      <w:pPr>
        <w:pStyle w:val="Heading2"/>
        <w:rPr>
          <w:color w:val="auto"/>
        </w:rPr>
      </w:pPr>
      <w:r w:rsidRPr="00187A95">
        <w:rPr>
          <w:color w:val="auto"/>
        </w:rPr>
        <w:t>4.3 Outdoor Play, Time of Day and Non-linear Relations</w:t>
      </w:r>
    </w:p>
    <w:p w14:paraId="1CDB9C43" w14:textId="77777777" w:rsidR="00642847" w:rsidRPr="00187A95" w:rsidRDefault="00000000">
      <w:pPr>
        <w:rPr>
          <w:color w:val="auto"/>
        </w:rPr>
      </w:pPr>
      <w:r w:rsidRPr="00187A95">
        <w:rPr>
          <w:color w:val="auto"/>
        </w:rPr>
        <w:t>Timing and setting complicate a simple positive-dose hypothesis. Lee et al. (2025) examined outdoor play and emotional dysregulation in 325 preschool children, reporting associations that differed by daily time window. Play between noon and early evening was associated with lower dysregulation, whereas more play in morning and late-evening windows was associated with higher dysregulation. These results should not be interpreted as evidence that morning movement is harmful. Time windows can index school or childcare attendance, family routines, sleep, neighbourhood use and the degree of adult supervision. The study's observational modelling and limited context-level measurement make competing explanations credible. Its contribution is to show that the meaning of an hour outdoors may depend on when and under what conditions it occurs.</w:t>
      </w:r>
    </w:p>
    <w:p w14:paraId="30066D43" w14:textId="77777777" w:rsidR="00642847" w:rsidRPr="00187A95" w:rsidRDefault="00000000">
      <w:pPr>
        <w:rPr>
          <w:color w:val="auto"/>
        </w:rPr>
      </w:pPr>
      <w:r w:rsidRPr="00187A95">
        <w:rPr>
          <w:color w:val="auto"/>
        </w:rPr>
        <w:t>Outdoor play may also be associated with longer-term mental health trajectories. In a population-based cohort, Dodd et al. (2026) reported longitudinal relations between earlier outdoor play and later child mental health patterns. Such studies provide temporal structure lacking in cross-sectional questionnaires, but mental health trajectories are not interchangeable with preschool emotion-regulation competence. Moreover, exposure may remain socially patterned and dependent on caregiver attitudes, the available environment and the child's earlier behaviour. The strongest interpretation is that outdoor opportunities deserve investigation as an element of developmental ecology, not that the evidence specifies a prescribed duration for reducing emotional dysregulation.</w:t>
      </w:r>
    </w:p>
    <w:p w14:paraId="019A82A7" w14:textId="77777777" w:rsidR="00642847" w:rsidRPr="00187A95" w:rsidRDefault="00000000">
      <w:pPr>
        <w:rPr>
          <w:color w:val="auto"/>
        </w:rPr>
      </w:pPr>
      <w:r w:rsidRPr="00187A95">
        <w:rPr>
          <w:color w:val="auto"/>
        </w:rPr>
        <w:t xml:space="preserve">Non-linear and threshold relationships are especially plausible for active play. Too little opportunity may constrain exploration, while highly demanding activity without rest or appropriate support may create stress or fatigue. Yet it would be premature to assert a biologically optimal dose for emotion regulation. In a large Australian longitudinal study, Colliver et al. (2022) found that the association of active free play at preschool age with later regulation was not simply linear across higher durations. This finding refers to broader self-regulation, not necessarily to emotion regulation; it was also derived from parent time-use </w:t>
      </w:r>
      <w:r w:rsidRPr="00187A95">
        <w:rPr>
          <w:color w:val="auto"/>
        </w:rPr>
        <w:lastRenderedPageBreak/>
        <w:t>diaries rather than objective intensity measurements. It is nonetheless an instructive counterexample to the assumption that every additional minute has equal regulatory benefit.</w:t>
      </w:r>
    </w:p>
    <w:p w14:paraId="1F92F5F2" w14:textId="77777777" w:rsidR="00642847" w:rsidRPr="00187A95" w:rsidRDefault="00000000">
      <w:pPr>
        <w:rPr>
          <w:color w:val="auto"/>
        </w:rPr>
      </w:pPr>
      <w:r w:rsidRPr="00187A95">
        <w:rPr>
          <w:color w:val="auto"/>
        </w:rPr>
        <w:t>An appropriately cautious practical synthesis distinguishes access from dosage. Offering safe and enjoyable opportunities to move is compatible with general developmental aims, but prescribing particular time windows or minutes specifically to improve emotional regulation would exceed the present evidence. A stronger research design would examine whether within-child changes in activity precede changes in emotional recovery, whether associations remain after sleep and routine are measured, and whether relational scaffolding modifies the results. Daily repeated measures could distinguish a child who is calmer on movement-rich days from a family with both more outdoor opportunities and better overall emotional climate (Lee et al., 2025; D’Cruz et al., 2024).</w:t>
      </w:r>
    </w:p>
    <w:p w14:paraId="63F1FE02" w14:textId="77777777" w:rsidR="00642847" w:rsidRPr="00187A95" w:rsidRDefault="00000000">
      <w:pPr>
        <w:pStyle w:val="Heading2"/>
        <w:rPr>
          <w:color w:val="auto"/>
        </w:rPr>
      </w:pPr>
      <w:r w:rsidRPr="00187A95">
        <w:rPr>
          <w:color w:val="auto"/>
        </w:rPr>
        <w:t>4.4 Generalisability and Evidence Balance</w:t>
      </w:r>
    </w:p>
    <w:p w14:paraId="55AA87CD" w14:textId="77777777" w:rsidR="00642847" w:rsidRPr="00187A95" w:rsidRDefault="00000000">
      <w:pPr>
        <w:rPr>
          <w:color w:val="auto"/>
        </w:rPr>
      </w:pPr>
      <w:r w:rsidRPr="00187A95">
        <w:rPr>
          <w:color w:val="auto"/>
        </w:rPr>
        <w:t>The physical-activity literature encompasses multiple developmental systems but rarely includes the full sequence from home exposure through interaction to observed emotional coping. Its observational studies are often strongest at describing how much movement children undertake and weaker at specifying why the activity should alter emotional strategies. Conversely, relational studies describe proximal processes but often omit physical-activity intensity and dose. These complementary strengths suggest a measurement-integration problem rather than a straightforward absence of developmental relevance. It would be misleading either to declare a causal benefit or to conclude that physical activity has no emotional relevance because a narrow subset of trials did not show statistically significant improvement (D’Cruz et al., 2024; Lim et al., 2026).</w:t>
      </w:r>
    </w:p>
    <w:p w14:paraId="0A28A961" w14:textId="77777777" w:rsidR="00642847" w:rsidRPr="00187A95" w:rsidRDefault="00000000">
      <w:pPr>
        <w:rPr>
          <w:color w:val="auto"/>
        </w:rPr>
      </w:pPr>
      <w:r w:rsidRPr="00187A95">
        <w:rPr>
          <w:color w:val="auto"/>
        </w:rPr>
        <w:t>Table 3 compares representative evidence streams rather than purporting to list every study. The strongest temporal evidence concerns selected forms of play and broader self-regulation, whereas the direct emotional outcome evidence remains sensitive to setting, measure and design. A major interpretive lesson is that longitudinal prediction, meta-analytic association and an intervention effect answer different questions and cannot be pooled rhetorically as if each established the same causal proposition.</w:t>
      </w:r>
    </w:p>
    <w:p w14:paraId="54F6A2E9" w14:textId="77777777" w:rsidR="00642847" w:rsidRPr="00187A95" w:rsidRDefault="00000000">
      <w:pPr>
        <w:pStyle w:val="TableTitle"/>
        <w:rPr>
          <w:color w:val="auto"/>
        </w:rPr>
      </w:pPr>
      <w:r w:rsidRPr="00187A95">
        <w:rPr>
          <w:color w:val="auto"/>
        </w:rPr>
        <w:t>Table 3. Representative evidence on physical activity, play and regulatory outcomes</w:t>
      </w:r>
    </w:p>
    <w:tbl>
      <w:tblPr>
        <w:tblStyle w:val="TableGrid"/>
        <w:tblW w:w="0" w:type="auto"/>
        <w:tblLayout w:type="fixed"/>
        <w:tblLook w:val="04A0" w:firstRow="1" w:lastRow="0" w:firstColumn="1" w:lastColumn="0" w:noHBand="0" w:noVBand="1"/>
      </w:tblPr>
      <w:tblGrid>
        <w:gridCol w:w="1924"/>
        <w:gridCol w:w="2131"/>
        <w:gridCol w:w="2592"/>
        <w:gridCol w:w="2045"/>
        <w:gridCol w:w="1924"/>
      </w:tblGrid>
      <w:tr w:rsidR="00187A95" w:rsidRPr="00187A95" w14:paraId="64AC8596" w14:textId="77777777">
        <w:trPr>
          <w:tblHeader/>
        </w:trPr>
        <w:tc>
          <w:tcPr>
            <w:tcW w:w="1924" w:type="dxa"/>
            <w:shd w:val="clear" w:color="auto" w:fill="E9EFF2"/>
            <w:tcMar>
              <w:top w:w="65" w:type="dxa"/>
              <w:left w:w="70" w:type="dxa"/>
              <w:bottom w:w="65" w:type="dxa"/>
              <w:right w:w="70" w:type="dxa"/>
            </w:tcMar>
            <w:vAlign w:val="center"/>
          </w:tcPr>
          <w:p w14:paraId="14D4B916" w14:textId="77777777" w:rsidR="00642847" w:rsidRPr="00187A95" w:rsidRDefault="00000000">
            <w:pPr>
              <w:spacing w:after="0" w:line="254" w:lineRule="auto"/>
              <w:rPr>
                <w:color w:val="auto"/>
              </w:rPr>
            </w:pPr>
            <w:r w:rsidRPr="00187A95">
              <w:rPr>
                <w:b/>
                <w:color w:val="auto"/>
                <w:sz w:val="16"/>
              </w:rPr>
              <w:t>Study and design</w:t>
            </w:r>
          </w:p>
        </w:tc>
        <w:tc>
          <w:tcPr>
            <w:tcW w:w="1924" w:type="dxa"/>
            <w:shd w:val="clear" w:color="auto" w:fill="E9EFF2"/>
            <w:tcMar>
              <w:top w:w="65" w:type="dxa"/>
              <w:left w:w="70" w:type="dxa"/>
              <w:bottom w:w="65" w:type="dxa"/>
              <w:right w:w="70" w:type="dxa"/>
            </w:tcMar>
            <w:vAlign w:val="center"/>
          </w:tcPr>
          <w:p w14:paraId="3FCD3ECF" w14:textId="77777777" w:rsidR="00642847" w:rsidRPr="00187A95" w:rsidRDefault="00000000">
            <w:pPr>
              <w:spacing w:after="0" w:line="254" w:lineRule="auto"/>
              <w:rPr>
                <w:color w:val="auto"/>
              </w:rPr>
            </w:pPr>
            <w:r w:rsidRPr="00187A95">
              <w:rPr>
                <w:b/>
                <w:color w:val="auto"/>
                <w:sz w:val="16"/>
              </w:rPr>
              <w:t>Exposure and outcome</w:t>
            </w:r>
          </w:p>
        </w:tc>
        <w:tc>
          <w:tcPr>
            <w:tcW w:w="1924" w:type="dxa"/>
            <w:shd w:val="clear" w:color="auto" w:fill="E9EFF2"/>
            <w:tcMar>
              <w:top w:w="65" w:type="dxa"/>
              <w:left w:w="70" w:type="dxa"/>
              <w:bottom w:w="65" w:type="dxa"/>
              <w:right w:w="70" w:type="dxa"/>
            </w:tcMar>
            <w:vAlign w:val="center"/>
          </w:tcPr>
          <w:p w14:paraId="3FEF5F6B" w14:textId="77777777" w:rsidR="00642847" w:rsidRPr="00187A95" w:rsidRDefault="00000000">
            <w:pPr>
              <w:spacing w:after="0" w:line="254" w:lineRule="auto"/>
              <w:rPr>
                <w:color w:val="auto"/>
              </w:rPr>
            </w:pPr>
            <w:r w:rsidRPr="00187A95">
              <w:rPr>
                <w:b/>
                <w:color w:val="auto"/>
                <w:sz w:val="16"/>
              </w:rPr>
              <w:t>Finding relevant to synthesis</w:t>
            </w:r>
          </w:p>
        </w:tc>
        <w:tc>
          <w:tcPr>
            <w:tcW w:w="1924" w:type="dxa"/>
            <w:shd w:val="clear" w:color="auto" w:fill="E9EFF2"/>
            <w:tcMar>
              <w:top w:w="65" w:type="dxa"/>
              <w:left w:w="70" w:type="dxa"/>
              <w:bottom w:w="65" w:type="dxa"/>
              <w:right w:w="70" w:type="dxa"/>
            </w:tcMar>
            <w:vAlign w:val="center"/>
          </w:tcPr>
          <w:p w14:paraId="5D2C6C01" w14:textId="77777777" w:rsidR="00642847" w:rsidRPr="00187A95" w:rsidRDefault="00000000">
            <w:pPr>
              <w:spacing w:after="0" w:line="254" w:lineRule="auto"/>
              <w:rPr>
                <w:color w:val="auto"/>
              </w:rPr>
            </w:pPr>
            <w:r w:rsidRPr="00187A95">
              <w:rPr>
                <w:b/>
                <w:color w:val="auto"/>
                <w:sz w:val="16"/>
              </w:rPr>
              <w:t>Principal limitation</w:t>
            </w:r>
          </w:p>
        </w:tc>
        <w:tc>
          <w:tcPr>
            <w:tcW w:w="1924" w:type="dxa"/>
            <w:shd w:val="clear" w:color="auto" w:fill="E9EFF2"/>
            <w:tcMar>
              <w:top w:w="65" w:type="dxa"/>
              <w:left w:w="70" w:type="dxa"/>
              <w:bottom w:w="65" w:type="dxa"/>
              <w:right w:w="70" w:type="dxa"/>
            </w:tcMar>
            <w:vAlign w:val="center"/>
          </w:tcPr>
          <w:p w14:paraId="0C383DEE" w14:textId="77777777" w:rsidR="00642847" w:rsidRPr="00187A95" w:rsidRDefault="00000000">
            <w:pPr>
              <w:spacing w:after="0" w:line="254" w:lineRule="auto"/>
              <w:rPr>
                <w:color w:val="auto"/>
              </w:rPr>
            </w:pPr>
            <w:r w:rsidRPr="00187A95">
              <w:rPr>
                <w:b/>
                <w:color w:val="auto"/>
                <w:sz w:val="16"/>
              </w:rPr>
              <w:t>Supporting references</w:t>
            </w:r>
          </w:p>
        </w:tc>
      </w:tr>
      <w:tr w:rsidR="00187A95" w:rsidRPr="00187A95" w14:paraId="6189B2E7" w14:textId="77777777">
        <w:tc>
          <w:tcPr>
            <w:tcW w:w="1771" w:type="dxa"/>
            <w:tcMar>
              <w:top w:w="65" w:type="dxa"/>
              <w:left w:w="70" w:type="dxa"/>
              <w:bottom w:w="65" w:type="dxa"/>
              <w:right w:w="70" w:type="dxa"/>
            </w:tcMar>
            <w:vAlign w:val="center"/>
          </w:tcPr>
          <w:p w14:paraId="498DB930" w14:textId="77777777" w:rsidR="00642847" w:rsidRPr="00187A95" w:rsidRDefault="00000000">
            <w:pPr>
              <w:spacing w:after="0" w:line="254" w:lineRule="auto"/>
              <w:rPr>
                <w:color w:val="auto"/>
              </w:rPr>
            </w:pPr>
            <w:r w:rsidRPr="00187A95">
              <w:rPr>
                <w:color w:val="auto"/>
                <w:sz w:val="16"/>
              </w:rPr>
              <w:t>Cross-sectional, preschool cohort</w:t>
            </w:r>
          </w:p>
        </w:tc>
        <w:tc>
          <w:tcPr>
            <w:tcW w:w="2131" w:type="dxa"/>
            <w:tcMar>
              <w:top w:w="65" w:type="dxa"/>
              <w:left w:w="70" w:type="dxa"/>
              <w:bottom w:w="65" w:type="dxa"/>
              <w:right w:w="70" w:type="dxa"/>
            </w:tcMar>
            <w:vAlign w:val="center"/>
          </w:tcPr>
          <w:p w14:paraId="5D063D47" w14:textId="77777777" w:rsidR="00642847" w:rsidRPr="00187A95" w:rsidRDefault="00000000">
            <w:pPr>
              <w:spacing w:after="0" w:line="254" w:lineRule="auto"/>
              <w:rPr>
                <w:color w:val="auto"/>
              </w:rPr>
            </w:pPr>
            <w:r w:rsidRPr="00187A95">
              <w:rPr>
                <w:color w:val="auto"/>
                <w:sz w:val="16"/>
              </w:rPr>
              <w:t>Objectively measured activity; social-emotional difficulties</w:t>
            </w:r>
          </w:p>
        </w:tc>
        <w:tc>
          <w:tcPr>
            <w:tcW w:w="2592" w:type="dxa"/>
            <w:tcMar>
              <w:top w:w="65" w:type="dxa"/>
              <w:left w:w="70" w:type="dxa"/>
              <w:bottom w:w="65" w:type="dxa"/>
              <w:right w:w="70" w:type="dxa"/>
            </w:tcMar>
            <w:vAlign w:val="center"/>
          </w:tcPr>
          <w:p w14:paraId="5369BAA3" w14:textId="77777777" w:rsidR="00642847" w:rsidRPr="00187A95" w:rsidRDefault="00000000">
            <w:pPr>
              <w:spacing w:after="0" w:line="254" w:lineRule="auto"/>
              <w:rPr>
                <w:color w:val="auto"/>
              </w:rPr>
            </w:pPr>
            <w:r w:rsidRPr="00187A95">
              <w:rPr>
                <w:color w:val="auto"/>
                <w:sz w:val="16"/>
              </w:rPr>
              <w:t>Association possible, but outcome broader than regulation</w:t>
            </w:r>
          </w:p>
        </w:tc>
        <w:tc>
          <w:tcPr>
            <w:tcW w:w="2045" w:type="dxa"/>
            <w:tcMar>
              <w:top w:w="65" w:type="dxa"/>
              <w:left w:w="70" w:type="dxa"/>
              <w:bottom w:w="65" w:type="dxa"/>
              <w:right w:w="70" w:type="dxa"/>
            </w:tcMar>
            <w:vAlign w:val="center"/>
          </w:tcPr>
          <w:p w14:paraId="1A29E3FF" w14:textId="77777777" w:rsidR="00642847" w:rsidRPr="00187A95" w:rsidRDefault="00000000">
            <w:pPr>
              <w:spacing w:after="0" w:line="254" w:lineRule="auto"/>
              <w:rPr>
                <w:color w:val="auto"/>
              </w:rPr>
            </w:pPr>
            <w:r w:rsidRPr="00187A95">
              <w:rPr>
                <w:color w:val="auto"/>
                <w:sz w:val="16"/>
              </w:rPr>
              <w:t>No temporal direction or direct emotional strategy measure</w:t>
            </w:r>
          </w:p>
        </w:tc>
        <w:tc>
          <w:tcPr>
            <w:tcW w:w="1685" w:type="dxa"/>
            <w:tcMar>
              <w:top w:w="65" w:type="dxa"/>
              <w:left w:w="70" w:type="dxa"/>
              <w:bottom w:w="65" w:type="dxa"/>
              <w:right w:w="70" w:type="dxa"/>
            </w:tcMar>
            <w:vAlign w:val="center"/>
          </w:tcPr>
          <w:p w14:paraId="541C6CE0" w14:textId="77777777" w:rsidR="00642847" w:rsidRPr="00187A95" w:rsidRDefault="00000000">
            <w:pPr>
              <w:spacing w:after="0" w:line="254" w:lineRule="auto"/>
              <w:rPr>
                <w:color w:val="auto"/>
              </w:rPr>
            </w:pPr>
            <w:r w:rsidRPr="00187A95">
              <w:rPr>
                <w:color w:val="auto"/>
                <w:sz w:val="16"/>
              </w:rPr>
              <w:t>Christian et al. (2021)</w:t>
            </w:r>
          </w:p>
        </w:tc>
      </w:tr>
      <w:tr w:rsidR="00187A95" w:rsidRPr="00187A95" w14:paraId="41A574EA" w14:textId="77777777">
        <w:tc>
          <w:tcPr>
            <w:tcW w:w="1771" w:type="dxa"/>
            <w:tcMar>
              <w:top w:w="65" w:type="dxa"/>
              <w:left w:w="70" w:type="dxa"/>
              <w:bottom w:w="65" w:type="dxa"/>
              <w:right w:w="70" w:type="dxa"/>
            </w:tcMar>
            <w:vAlign w:val="center"/>
          </w:tcPr>
          <w:p w14:paraId="7AA12679" w14:textId="77777777" w:rsidR="00642847" w:rsidRPr="00187A95" w:rsidRDefault="00000000">
            <w:pPr>
              <w:spacing w:after="0" w:line="254" w:lineRule="auto"/>
              <w:rPr>
                <w:color w:val="auto"/>
              </w:rPr>
            </w:pPr>
            <w:r w:rsidRPr="00187A95">
              <w:rPr>
                <w:color w:val="auto"/>
                <w:sz w:val="16"/>
              </w:rPr>
              <w:t>Systematic review, 47 papers</w:t>
            </w:r>
          </w:p>
        </w:tc>
        <w:tc>
          <w:tcPr>
            <w:tcW w:w="2131" w:type="dxa"/>
            <w:tcMar>
              <w:top w:w="65" w:type="dxa"/>
              <w:left w:w="70" w:type="dxa"/>
              <w:bottom w:w="65" w:type="dxa"/>
              <w:right w:w="70" w:type="dxa"/>
            </w:tcMar>
            <w:vAlign w:val="center"/>
          </w:tcPr>
          <w:p w14:paraId="134DF901" w14:textId="77777777" w:rsidR="00642847" w:rsidRPr="00187A95" w:rsidRDefault="00000000">
            <w:pPr>
              <w:spacing w:after="0" w:line="254" w:lineRule="auto"/>
              <w:rPr>
                <w:color w:val="auto"/>
              </w:rPr>
            </w:pPr>
            <w:r w:rsidRPr="00187A95">
              <w:rPr>
                <w:color w:val="auto"/>
                <w:sz w:val="16"/>
              </w:rPr>
              <w:t>Activity; varied regulation domains</w:t>
            </w:r>
          </w:p>
        </w:tc>
        <w:tc>
          <w:tcPr>
            <w:tcW w:w="2592" w:type="dxa"/>
            <w:tcMar>
              <w:top w:w="65" w:type="dxa"/>
              <w:left w:w="70" w:type="dxa"/>
              <w:bottom w:w="65" w:type="dxa"/>
              <w:right w:w="70" w:type="dxa"/>
            </w:tcMar>
            <w:vAlign w:val="center"/>
          </w:tcPr>
          <w:p w14:paraId="31565762" w14:textId="77777777" w:rsidR="00642847" w:rsidRPr="00187A95" w:rsidRDefault="00000000">
            <w:pPr>
              <w:spacing w:after="0" w:line="254" w:lineRule="auto"/>
              <w:rPr>
                <w:color w:val="auto"/>
              </w:rPr>
            </w:pPr>
            <w:r w:rsidRPr="00187A95">
              <w:rPr>
                <w:color w:val="auto"/>
                <w:sz w:val="16"/>
              </w:rPr>
              <w:t>Results mixed; behavioural domain most consistent</w:t>
            </w:r>
          </w:p>
        </w:tc>
        <w:tc>
          <w:tcPr>
            <w:tcW w:w="2045" w:type="dxa"/>
            <w:tcMar>
              <w:top w:w="65" w:type="dxa"/>
              <w:left w:w="70" w:type="dxa"/>
              <w:bottom w:w="65" w:type="dxa"/>
              <w:right w:w="70" w:type="dxa"/>
            </w:tcMar>
            <w:vAlign w:val="center"/>
          </w:tcPr>
          <w:p w14:paraId="58631108" w14:textId="77777777" w:rsidR="00642847" w:rsidRPr="00187A95" w:rsidRDefault="00000000">
            <w:pPr>
              <w:spacing w:after="0" w:line="254" w:lineRule="auto"/>
              <w:rPr>
                <w:color w:val="auto"/>
              </w:rPr>
            </w:pPr>
            <w:r w:rsidRPr="00187A95">
              <w:rPr>
                <w:color w:val="auto"/>
                <w:sz w:val="16"/>
              </w:rPr>
              <w:t>Incompatible constructs and methods</w:t>
            </w:r>
          </w:p>
        </w:tc>
        <w:tc>
          <w:tcPr>
            <w:tcW w:w="1685" w:type="dxa"/>
            <w:tcMar>
              <w:top w:w="65" w:type="dxa"/>
              <w:left w:w="70" w:type="dxa"/>
              <w:bottom w:w="65" w:type="dxa"/>
              <w:right w:w="70" w:type="dxa"/>
            </w:tcMar>
            <w:vAlign w:val="center"/>
          </w:tcPr>
          <w:p w14:paraId="6B915637" w14:textId="77777777" w:rsidR="00642847" w:rsidRPr="00187A95" w:rsidRDefault="00000000">
            <w:pPr>
              <w:spacing w:after="0" w:line="254" w:lineRule="auto"/>
              <w:rPr>
                <w:color w:val="auto"/>
              </w:rPr>
            </w:pPr>
            <w:r w:rsidRPr="00187A95">
              <w:rPr>
                <w:color w:val="auto"/>
                <w:sz w:val="16"/>
              </w:rPr>
              <w:t>D’Cruz et al. (2024)</w:t>
            </w:r>
          </w:p>
        </w:tc>
      </w:tr>
      <w:tr w:rsidR="00187A95" w:rsidRPr="00187A95" w14:paraId="703D0FAA" w14:textId="77777777">
        <w:tc>
          <w:tcPr>
            <w:tcW w:w="1771" w:type="dxa"/>
            <w:tcMar>
              <w:top w:w="65" w:type="dxa"/>
              <w:left w:w="70" w:type="dxa"/>
              <w:bottom w:w="65" w:type="dxa"/>
              <w:right w:w="70" w:type="dxa"/>
            </w:tcMar>
            <w:vAlign w:val="center"/>
          </w:tcPr>
          <w:p w14:paraId="03831572" w14:textId="77777777" w:rsidR="00642847" w:rsidRPr="00187A95" w:rsidRDefault="00000000">
            <w:pPr>
              <w:spacing w:after="0" w:line="254" w:lineRule="auto"/>
              <w:rPr>
                <w:color w:val="auto"/>
              </w:rPr>
            </w:pPr>
            <w:r w:rsidRPr="00187A95">
              <w:rPr>
                <w:color w:val="auto"/>
                <w:sz w:val="16"/>
              </w:rPr>
              <w:t>Meta-analysis, 15 cross-sectional studies</w:t>
            </w:r>
          </w:p>
        </w:tc>
        <w:tc>
          <w:tcPr>
            <w:tcW w:w="2131" w:type="dxa"/>
            <w:tcMar>
              <w:top w:w="65" w:type="dxa"/>
              <w:left w:w="70" w:type="dxa"/>
              <w:bottom w:w="65" w:type="dxa"/>
              <w:right w:w="70" w:type="dxa"/>
            </w:tcMar>
            <w:vAlign w:val="center"/>
          </w:tcPr>
          <w:p w14:paraId="56DA611F" w14:textId="77777777" w:rsidR="00642847" w:rsidRPr="00187A95" w:rsidRDefault="00000000">
            <w:pPr>
              <w:spacing w:after="0" w:line="254" w:lineRule="auto"/>
              <w:rPr>
                <w:color w:val="auto"/>
              </w:rPr>
            </w:pPr>
            <w:r w:rsidRPr="00187A95">
              <w:rPr>
                <w:color w:val="auto"/>
                <w:sz w:val="16"/>
              </w:rPr>
              <w:t>Activity; aggregate self-regulation</w:t>
            </w:r>
          </w:p>
        </w:tc>
        <w:tc>
          <w:tcPr>
            <w:tcW w:w="2592" w:type="dxa"/>
            <w:tcMar>
              <w:top w:w="65" w:type="dxa"/>
              <w:left w:w="70" w:type="dxa"/>
              <w:bottom w:w="65" w:type="dxa"/>
              <w:right w:w="70" w:type="dxa"/>
            </w:tcMar>
            <w:vAlign w:val="center"/>
          </w:tcPr>
          <w:p w14:paraId="12CCD0A2" w14:textId="77777777" w:rsidR="00642847" w:rsidRPr="00187A95" w:rsidRDefault="00000000">
            <w:pPr>
              <w:spacing w:after="0" w:line="254" w:lineRule="auto"/>
              <w:rPr>
                <w:color w:val="auto"/>
              </w:rPr>
            </w:pPr>
            <w:r w:rsidRPr="00187A95">
              <w:rPr>
                <w:color w:val="auto"/>
                <w:sz w:val="16"/>
              </w:rPr>
              <w:t>Small pooled positive r ≈ .10</w:t>
            </w:r>
          </w:p>
        </w:tc>
        <w:tc>
          <w:tcPr>
            <w:tcW w:w="2045" w:type="dxa"/>
            <w:tcMar>
              <w:top w:w="65" w:type="dxa"/>
              <w:left w:w="70" w:type="dxa"/>
              <w:bottom w:w="65" w:type="dxa"/>
              <w:right w:w="70" w:type="dxa"/>
            </w:tcMar>
            <w:vAlign w:val="center"/>
          </w:tcPr>
          <w:p w14:paraId="566C9FAE" w14:textId="77777777" w:rsidR="00642847" w:rsidRPr="00187A95" w:rsidRDefault="00000000">
            <w:pPr>
              <w:spacing w:after="0" w:line="254" w:lineRule="auto"/>
              <w:rPr>
                <w:color w:val="auto"/>
              </w:rPr>
            </w:pPr>
            <w:r w:rsidRPr="00187A95">
              <w:rPr>
                <w:color w:val="auto"/>
                <w:sz w:val="16"/>
              </w:rPr>
              <w:t>High heterogeneity; no causal identification</w:t>
            </w:r>
          </w:p>
        </w:tc>
        <w:tc>
          <w:tcPr>
            <w:tcW w:w="1685" w:type="dxa"/>
            <w:tcMar>
              <w:top w:w="65" w:type="dxa"/>
              <w:left w:w="70" w:type="dxa"/>
              <w:bottom w:w="65" w:type="dxa"/>
              <w:right w:w="70" w:type="dxa"/>
            </w:tcMar>
            <w:vAlign w:val="center"/>
          </w:tcPr>
          <w:p w14:paraId="2036C555" w14:textId="77777777" w:rsidR="00642847" w:rsidRPr="00187A95" w:rsidRDefault="00000000">
            <w:pPr>
              <w:spacing w:after="0" w:line="254" w:lineRule="auto"/>
              <w:rPr>
                <w:color w:val="auto"/>
              </w:rPr>
            </w:pPr>
            <w:r w:rsidRPr="00187A95">
              <w:rPr>
                <w:color w:val="auto"/>
                <w:sz w:val="16"/>
              </w:rPr>
              <w:t>Cecic-Mladinic et al. (2026)</w:t>
            </w:r>
          </w:p>
        </w:tc>
      </w:tr>
      <w:tr w:rsidR="00187A95" w:rsidRPr="00187A95" w14:paraId="49919F35" w14:textId="77777777">
        <w:tc>
          <w:tcPr>
            <w:tcW w:w="1771" w:type="dxa"/>
            <w:tcMar>
              <w:top w:w="65" w:type="dxa"/>
              <w:left w:w="70" w:type="dxa"/>
              <w:bottom w:w="65" w:type="dxa"/>
              <w:right w:w="70" w:type="dxa"/>
            </w:tcMar>
            <w:vAlign w:val="center"/>
          </w:tcPr>
          <w:p w14:paraId="718ED907" w14:textId="77777777" w:rsidR="00642847" w:rsidRPr="00187A95" w:rsidRDefault="00000000">
            <w:pPr>
              <w:spacing w:after="0" w:line="254" w:lineRule="auto"/>
              <w:rPr>
                <w:color w:val="auto"/>
              </w:rPr>
            </w:pPr>
            <w:r w:rsidRPr="00187A95">
              <w:rPr>
                <w:color w:val="auto"/>
                <w:sz w:val="16"/>
              </w:rPr>
              <w:t>Observational preschool sample</w:t>
            </w:r>
          </w:p>
        </w:tc>
        <w:tc>
          <w:tcPr>
            <w:tcW w:w="2131" w:type="dxa"/>
            <w:tcMar>
              <w:top w:w="65" w:type="dxa"/>
              <w:left w:w="70" w:type="dxa"/>
              <w:bottom w:w="65" w:type="dxa"/>
              <w:right w:w="70" w:type="dxa"/>
            </w:tcMar>
            <w:vAlign w:val="center"/>
          </w:tcPr>
          <w:p w14:paraId="1028CD85" w14:textId="77777777" w:rsidR="00642847" w:rsidRPr="00187A95" w:rsidRDefault="00000000">
            <w:pPr>
              <w:spacing w:after="0" w:line="254" w:lineRule="auto"/>
              <w:rPr>
                <w:color w:val="auto"/>
              </w:rPr>
            </w:pPr>
            <w:r w:rsidRPr="00187A95">
              <w:rPr>
                <w:color w:val="auto"/>
                <w:sz w:val="16"/>
              </w:rPr>
              <w:t>Outdoor play by time window; dysregulation</w:t>
            </w:r>
          </w:p>
        </w:tc>
        <w:tc>
          <w:tcPr>
            <w:tcW w:w="2592" w:type="dxa"/>
            <w:tcMar>
              <w:top w:w="65" w:type="dxa"/>
              <w:left w:w="70" w:type="dxa"/>
              <w:bottom w:w="65" w:type="dxa"/>
              <w:right w:w="70" w:type="dxa"/>
            </w:tcMar>
            <w:vAlign w:val="center"/>
          </w:tcPr>
          <w:p w14:paraId="0861110E" w14:textId="77777777" w:rsidR="00642847" w:rsidRPr="00187A95" w:rsidRDefault="00000000">
            <w:pPr>
              <w:spacing w:after="0" w:line="254" w:lineRule="auto"/>
              <w:rPr>
                <w:color w:val="auto"/>
              </w:rPr>
            </w:pPr>
            <w:r w:rsidRPr="00187A95">
              <w:rPr>
                <w:color w:val="auto"/>
                <w:sz w:val="16"/>
              </w:rPr>
              <w:t>Direction differed across daily windows</w:t>
            </w:r>
          </w:p>
        </w:tc>
        <w:tc>
          <w:tcPr>
            <w:tcW w:w="2045" w:type="dxa"/>
            <w:tcMar>
              <w:top w:w="65" w:type="dxa"/>
              <w:left w:w="70" w:type="dxa"/>
              <w:bottom w:w="65" w:type="dxa"/>
              <w:right w:w="70" w:type="dxa"/>
            </w:tcMar>
            <w:vAlign w:val="center"/>
          </w:tcPr>
          <w:p w14:paraId="0ED8003C" w14:textId="77777777" w:rsidR="00642847" w:rsidRPr="00187A95" w:rsidRDefault="00000000">
            <w:pPr>
              <w:spacing w:after="0" w:line="254" w:lineRule="auto"/>
              <w:rPr>
                <w:color w:val="auto"/>
              </w:rPr>
            </w:pPr>
            <w:r w:rsidRPr="00187A95">
              <w:rPr>
                <w:color w:val="auto"/>
                <w:sz w:val="16"/>
              </w:rPr>
              <w:t>Routines and selection difficult to separate</w:t>
            </w:r>
          </w:p>
        </w:tc>
        <w:tc>
          <w:tcPr>
            <w:tcW w:w="1685" w:type="dxa"/>
            <w:tcMar>
              <w:top w:w="65" w:type="dxa"/>
              <w:left w:w="70" w:type="dxa"/>
              <w:bottom w:w="65" w:type="dxa"/>
              <w:right w:w="70" w:type="dxa"/>
            </w:tcMar>
            <w:vAlign w:val="center"/>
          </w:tcPr>
          <w:p w14:paraId="0F8DAF7A" w14:textId="77777777" w:rsidR="00642847" w:rsidRPr="00187A95" w:rsidRDefault="00000000">
            <w:pPr>
              <w:spacing w:after="0" w:line="254" w:lineRule="auto"/>
              <w:rPr>
                <w:color w:val="auto"/>
              </w:rPr>
            </w:pPr>
            <w:r w:rsidRPr="00187A95">
              <w:rPr>
                <w:color w:val="auto"/>
                <w:sz w:val="16"/>
              </w:rPr>
              <w:t>Lee et al. (2025)</w:t>
            </w:r>
          </w:p>
        </w:tc>
      </w:tr>
      <w:tr w:rsidR="00187A95" w:rsidRPr="00187A95" w14:paraId="181285E3" w14:textId="77777777">
        <w:tc>
          <w:tcPr>
            <w:tcW w:w="1771" w:type="dxa"/>
            <w:tcMar>
              <w:top w:w="65" w:type="dxa"/>
              <w:left w:w="70" w:type="dxa"/>
              <w:bottom w:w="65" w:type="dxa"/>
              <w:right w:w="70" w:type="dxa"/>
            </w:tcMar>
            <w:vAlign w:val="center"/>
          </w:tcPr>
          <w:p w14:paraId="72957D75" w14:textId="77777777" w:rsidR="00642847" w:rsidRPr="00187A95" w:rsidRDefault="00000000">
            <w:pPr>
              <w:spacing w:after="0" w:line="254" w:lineRule="auto"/>
              <w:rPr>
                <w:color w:val="auto"/>
              </w:rPr>
            </w:pPr>
            <w:r w:rsidRPr="00187A95">
              <w:rPr>
                <w:color w:val="auto"/>
                <w:sz w:val="16"/>
              </w:rPr>
              <w:t>Longitudinal Australian cohort</w:t>
            </w:r>
          </w:p>
        </w:tc>
        <w:tc>
          <w:tcPr>
            <w:tcW w:w="2131" w:type="dxa"/>
            <w:tcMar>
              <w:top w:w="65" w:type="dxa"/>
              <w:left w:w="70" w:type="dxa"/>
              <w:bottom w:w="65" w:type="dxa"/>
              <w:right w:w="70" w:type="dxa"/>
            </w:tcMar>
            <w:vAlign w:val="center"/>
          </w:tcPr>
          <w:p w14:paraId="6BFADD19" w14:textId="77777777" w:rsidR="00642847" w:rsidRPr="00187A95" w:rsidRDefault="00000000">
            <w:pPr>
              <w:spacing w:after="0" w:line="254" w:lineRule="auto"/>
              <w:rPr>
                <w:color w:val="auto"/>
              </w:rPr>
            </w:pPr>
            <w:r w:rsidRPr="00187A95">
              <w:rPr>
                <w:color w:val="auto"/>
                <w:sz w:val="16"/>
              </w:rPr>
              <w:t>Quiet and active unstructured play; later regulation</w:t>
            </w:r>
          </w:p>
        </w:tc>
        <w:tc>
          <w:tcPr>
            <w:tcW w:w="2592" w:type="dxa"/>
            <w:tcMar>
              <w:top w:w="65" w:type="dxa"/>
              <w:left w:w="70" w:type="dxa"/>
              <w:bottom w:w="65" w:type="dxa"/>
              <w:right w:w="70" w:type="dxa"/>
            </w:tcMar>
            <w:vAlign w:val="center"/>
          </w:tcPr>
          <w:p w14:paraId="120101FE" w14:textId="77777777" w:rsidR="00642847" w:rsidRPr="00187A95" w:rsidRDefault="00000000">
            <w:pPr>
              <w:spacing w:after="0" w:line="254" w:lineRule="auto"/>
              <w:rPr>
                <w:color w:val="auto"/>
              </w:rPr>
            </w:pPr>
            <w:r w:rsidRPr="00187A95">
              <w:rPr>
                <w:color w:val="auto"/>
                <w:sz w:val="16"/>
              </w:rPr>
              <w:t>Modest prospective links, varying by play type</w:t>
            </w:r>
          </w:p>
        </w:tc>
        <w:tc>
          <w:tcPr>
            <w:tcW w:w="2045" w:type="dxa"/>
            <w:tcMar>
              <w:top w:w="65" w:type="dxa"/>
              <w:left w:w="70" w:type="dxa"/>
              <w:bottom w:w="65" w:type="dxa"/>
              <w:right w:w="70" w:type="dxa"/>
            </w:tcMar>
            <w:vAlign w:val="center"/>
          </w:tcPr>
          <w:p w14:paraId="4BB63521" w14:textId="77777777" w:rsidR="00642847" w:rsidRPr="00187A95" w:rsidRDefault="00000000">
            <w:pPr>
              <w:spacing w:after="0" w:line="254" w:lineRule="auto"/>
              <w:rPr>
                <w:color w:val="auto"/>
              </w:rPr>
            </w:pPr>
            <w:r w:rsidRPr="00187A95">
              <w:rPr>
                <w:color w:val="auto"/>
                <w:sz w:val="16"/>
              </w:rPr>
              <w:t>Home reports and residual confounding</w:t>
            </w:r>
          </w:p>
        </w:tc>
        <w:tc>
          <w:tcPr>
            <w:tcW w:w="1685" w:type="dxa"/>
            <w:tcMar>
              <w:top w:w="65" w:type="dxa"/>
              <w:left w:w="70" w:type="dxa"/>
              <w:bottom w:w="65" w:type="dxa"/>
              <w:right w:w="70" w:type="dxa"/>
            </w:tcMar>
            <w:vAlign w:val="center"/>
          </w:tcPr>
          <w:p w14:paraId="2821143F" w14:textId="77777777" w:rsidR="00642847" w:rsidRPr="00187A95" w:rsidRDefault="00000000">
            <w:pPr>
              <w:spacing w:after="0" w:line="254" w:lineRule="auto"/>
              <w:rPr>
                <w:color w:val="auto"/>
              </w:rPr>
            </w:pPr>
            <w:r w:rsidRPr="00187A95">
              <w:rPr>
                <w:color w:val="auto"/>
                <w:sz w:val="16"/>
              </w:rPr>
              <w:t>Colliver et al. (2022)</w:t>
            </w:r>
          </w:p>
        </w:tc>
      </w:tr>
      <w:tr w:rsidR="00187A95" w:rsidRPr="00187A95" w14:paraId="3CAB862F" w14:textId="77777777">
        <w:tc>
          <w:tcPr>
            <w:tcW w:w="1771" w:type="dxa"/>
            <w:tcMar>
              <w:top w:w="65" w:type="dxa"/>
              <w:left w:w="70" w:type="dxa"/>
              <w:bottom w:w="65" w:type="dxa"/>
              <w:right w:w="70" w:type="dxa"/>
            </w:tcMar>
            <w:vAlign w:val="center"/>
          </w:tcPr>
          <w:p w14:paraId="19A71681" w14:textId="77777777" w:rsidR="00642847" w:rsidRPr="00187A95" w:rsidRDefault="00000000">
            <w:pPr>
              <w:spacing w:after="0" w:line="254" w:lineRule="auto"/>
              <w:rPr>
                <w:color w:val="auto"/>
              </w:rPr>
            </w:pPr>
            <w:r w:rsidRPr="00187A95">
              <w:rPr>
                <w:color w:val="auto"/>
                <w:sz w:val="16"/>
              </w:rPr>
              <w:t>Cross-sectional rural sample</w:t>
            </w:r>
          </w:p>
        </w:tc>
        <w:tc>
          <w:tcPr>
            <w:tcW w:w="2131" w:type="dxa"/>
            <w:tcMar>
              <w:top w:w="65" w:type="dxa"/>
              <w:left w:w="70" w:type="dxa"/>
              <w:bottom w:w="65" w:type="dxa"/>
              <w:right w:w="70" w:type="dxa"/>
            </w:tcMar>
            <w:vAlign w:val="center"/>
          </w:tcPr>
          <w:p w14:paraId="3A171FD1" w14:textId="77777777" w:rsidR="00642847" w:rsidRPr="00187A95" w:rsidRDefault="00000000">
            <w:pPr>
              <w:spacing w:after="0" w:line="254" w:lineRule="auto"/>
              <w:rPr>
                <w:color w:val="auto"/>
              </w:rPr>
            </w:pPr>
            <w:r w:rsidRPr="00187A95">
              <w:rPr>
                <w:color w:val="auto"/>
                <w:sz w:val="16"/>
              </w:rPr>
              <w:t>Gross motor skill; emotion regulation</w:t>
            </w:r>
          </w:p>
        </w:tc>
        <w:tc>
          <w:tcPr>
            <w:tcW w:w="2592" w:type="dxa"/>
            <w:tcMar>
              <w:top w:w="65" w:type="dxa"/>
              <w:left w:w="70" w:type="dxa"/>
              <w:bottom w:w="65" w:type="dxa"/>
              <w:right w:w="70" w:type="dxa"/>
            </w:tcMar>
            <w:vAlign w:val="center"/>
          </w:tcPr>
          <w:p w14:paraId="242C5D4F" w14:textId="77777777" w:rsidR="00642847" w:rsidRPr="00187A95" w:rsidRDefault="00000000">
            <w:pPr>
              <w:spacing w:after="0" w:line="254" w:lineRule="auto"/>
              <w:rPr>
                <w:color w:val="auto"/>
              </w:rPr>
            </w:pPr>
            <w:r w:rsidRPr="00187A95">
              <w:rPr>
                <w:color w:val="auto"/>
                <w:sz w:val="16"/>
              </w:rPr>
              <w:t>Mediated correlations hypothesised</w:t>
            </w:r>
          </w:p>
        </w:tc>
        <w:tc>
          <w:tcPr>
            <w:tcW w:w="2045" w:type="dxa"/>
            <w:tcMar>
              <w:top w:w="65" w:type="dxa"/>
              <w:left w:w="70" w:type="dxa"/>
              <w:bottom w:w="65" w:type="dxa"/>
              <w:right w:w="70" w:type="dxa"/>
            </w:tcMar>
            <w:vAlign w:val="center"/>
          </w:tcPr>
          <w:p w14:paraId="55046502" w14:textId="77777777" w:rsidR="00642847" w:rsidRPr="00187A95" w:rsidRDefault="00000000">
            <w:pPr>
              <w:spacing w:after="0" w:line="254" w:lineRule="auto"/>
              <w:rPr>
                <w:color w:val="auto"/>
              </w:rPr>
            </w:pPr>
            <w:r w:rsidRPr="00187A95">
              <w:rPr>
                <w:color w:val="auto"/>
                <w:sz w:val="16"/>
              </w:rPr>
              <w:t>Motor proficiency not activity exposure</w:t>
            </w:r>
          </w:p>
        </w:tc>
        <w:tc>
          <w:tcPr>
            <w:tcW w:w="1685" w:type="dxa"/>
            <w:tcMar>
              <w:top w:w="65" w:type="dxa"/>
              <w:left w:w="70" w:type="dxa"/>
              <w:bottom w:w="65" w:type="dxa"/>
              <w:right w:w="70" w:type="dxa"/>
            </w:tcMar>
            <w:vAlign w:val="center"/>
          </w:tcPr>
          <w:p w14:paraId="24A3D83E" w14:textId="77777777" w:rsidR="00642847" w:rsidRPr="00187A95" w:rsidRDefault="00000000">
            <w:pPr>
              <w:spacing w:after="0" w:line="254" w:lineRule="auto"/>
              <w:rPr>
                <w:color w:val="auto"/>
              </w:rPr>
            </w:pPr>
            <w:r w:rsidRPr="00187A95">
              <w:rPr>
                <w:color w:val="auto"/>
                <w:sz w:val="16"/>
              </w:rPr>
              <w:t>Ma et al. (2024)</w:t>
            </w:r>
          </w:p>
        </w:tc>
      </w:tr>
      <w:tr w:rsidR="00187A95" w:rsidRPr="00187A95" w14:paraId="0FF3AFC3" w14:textId="77777777">
        <w:tc>
          <w:tcPr>
            <w:tcW w:w="1771" w:type="dxa"/>
            <w:tcMar>
              <w:top w:w="65" w:type="dxa"/>
              <w:left w:w="70" w:type="dxa"/>
              <w:bottom w:w="65" w:type="dxa"/>
              <w:right w:w="70" w:type="dxa"/>
            </w:tcMar>
            <w:vAlign w:val="center"/>
          </w:tcPr>
          <w:p w14:paraId="1B4793BD" w14:textId="77777777" w:rsidR="00642847" w:rsidRPr="00187A95" w:rsidRDefault="00000000">
            <w:pPr>
              <w:spacing w:after="0" w:line="254" w:lineRule="auto"/>
              <w:rPr>
                <w:color w:val="auto"/>
              </w:rPr>
            </w:pPr>
            <w:r w:rsidRPr="00187A95">
              <w:rPr>
                <w:color w:val="auto"/>
                <w:sz w:val="16"/>
              </w:rPr>
              <w:t>Cross-sectional family survey</w:t>
            </w:r>
          </w:p>
        </w:tc>
        <w:tc>
          <w:tcPr>
            <w:tcW w:w="2131" w:type="dxa"/>
            <w:tcMar>
              <w:top w:w="65" w:type="dxa"/>
              <w:left w:w="70" w:type="dxa"/>
              <w:bottom w:w="65" w:type="dxa"/>
              <w:right w:w="70" w:type="dxa"/>
            </w:tcMar>
            <w:vAlign w:val="center"/>
          </w:tcPr>
          <w:p w14:paraId="23FB8B42" w14:textId="77777777" w:rsidR="00642847" w:rsidRPr="00187A95" w:rsidRDefault="00000000">
            <w:pPr>
              <w:spacing w:after="0" w:line="254" w:lineRule="auto"/>
              <w:rPr>
                <w:color w:val="auto"/>
              </w:rPr>
            </w:pPr>
            <w:r w:rsidRPr="00187A95">
              <w:rPr>
                <w:color w:val="auto"/>
                <w:sz w:val="16"/>
              </w:rPr>
              <w:t>Parental sports support; problem scale</w:t>
            </w:r>
          </w:p>
        </w:tc>
        <w:tc>
          <w:tcPr>
            <w:tcW w:w="2592" w:type="dxa"/>
            <w:tcMar>
              <w:top w:w="65" w:type="dxa"/>
              <w:left w:w="70" w:type="dxa"/>
              <w:bottom w:w="65" w:type="dxa"/>
              <w:right w:w="70" w:type="dxa"/>
            </w:tcMar>
            <w:vAlign w:val="center"/>
          </w:tcPr>
          <w:p w14:paraId="041A3567" w14:textId="77777777" w:rsidR="00642847" w:rsidRPr="00187A95" w:rsidRDefault="00000000">
            <w:pPr>
              <w:spacing w:after="0" w:line="254" w:lineRule="auto"/>
              <w:rPr>
                <w:color w:val="auto"/>
              </w:rPr>
            </w:pPr>
            <w:r w:rsidRPr="00187A95">
              <w:rPr>
                <w:color w:val="auto"/>
                <w:sz w:val="16"/>
              </w:rPr>
              <w:t>Family relationship proposed as statistical mediator</w:t>
            </w:r>
          </w:p>
        </w:tc>
        <w:tc>
          <w:tcPr>
            <w:tcW w:w="2045" w:type="dxa"/>
            <w:tcMar>
              <w:top w:w="65" w:type="dxa"/>
              <w:left w:w="70" w:type="dxa"/>
              <w:bottom w:w="65" w:type="dxa"/>
              <w:right w:w="70" w:type="dxa"/>
            </w:tcMar>
            <w:vAlign w:val="center"/>
          </w:tcPr>
          <w:p w14:paraId="7C7F5C66" w14:textId="77777777" w:rsidR="00642847" w:rsidRPr="00187A95" w:rsidRDefault="00000000">
            <w:pPr>
              <w:spacing w:after="0" w:line="254" w:lineRule="auto"/>
              <w:rPr>
                <w:color w:val="auto"/>
              </w:rPr>
            </w:pPr>
            <w:r w:rsidRPr="00187A95">
              <w:rPr>
                <w:color w:val="auto"/>
                <w:sz w:val="16"/>
              </w:rPr>
              <w:t>Common reporter and simultaneous assessment</w:t>
            </w:r>
          </w:p>
        </w:tc>
        <w:tc>
          <w:tcPr>
            <w:tcW w:w="1685" w:type="dxa"/>
            <w:tcMar>
              <w:top w:w="65" w:type="dxa"/>
              <w:left w:w="70" w:type="dxa"/>
              <w:bottom w:w="65" w:type="dxa"/>
              <w:right w:w="70" w:type="dxa"/>
            </w:tcMar>
            <w:vAlign w:val="center"/>
          </w:tcPr>
          <w:p w14:paraId="3D08A6CC" w14:textId="77777777" w:rsidR="00642847" w:rsidRPr="00187A95" w:rsidRDefault="00000000">
            <w:pPr>
              <w:spacing w:after="0" w:line="254" w:lineRule="auto"/>
              <w:rPr>
                <w:color w:val="auto"/>
              </w:rPr>
            </w:pPr>
            <w:r w:rsidRPr="00187A95">
              <w:rPr>
                <w:color w:val="auto"/>
                <w:sz w:val="16"/>
              </w:rPr>
              <w:t>Min et al. (2026)</w:t>
            </w:r>
          </w:p>
        </w:tc>
      </w:tr>
    </w:tbl>
    <w:p w14:paraId="12AA828A" w14:textId="77777777" w:rsidR="00642847" w:rsidRPr="00187A95" w:rsidRDefault="00000000">
      <w:pPr>
        <w:pStyle w:val="TableNote"/>
        <w:rPr>
          <w:color w:val="auto"/>
        </w:rPr>
      </w:pPr>
      <w:r w:rsidRPr="00187A95">
        <w:rPr>
          <w:color w:val="auto"/>
        </w:rPr>
        <w:lastRenderedPageBreak/>
        <w:t>Note. r denotes a correlation coefficient. Entries are selected for conceptual contrast and do not imply exhaustive retrieval.</w:t>
      </w:r>
    </w:p>
    <w:p w14:paraId="325EB28A" w14:textId="77777777" w:rsidR="00642847" w:rsidRPr="00187A95" w:rsidRDefault="00000000">
      <w:pPr>
        <w:pStyle w:val="Heading1"/>
        <w:rPr>
          <w:color w:val="auto"/>
        </w:rPr>
      </w:pPr>
      <w:r w:rsidRPr="00187A95">
        <w:rPr>
          <w:color w:val="auto"/>
        </w:rPr>
        <w:t>5. Parent–Child Interaction as a Regulatory Context</w:t>
      </w:r>
    </w:p>
    <w:p w14:paraId="75F419C4" w14:textId="77777777" w:rsidR="00642847" w:rsidRPr="00187A95" w:rsidRDefault="00000000">
      <w:pPr>
        <w:pStyle w:val="Heading2"/>
        <w:rPr>
          <w:color w:val="auto"/>
        </w:rPr>
      </w:pPr>
      <w:r w:rsidRPr="00187A95">
        <w:rPr>
          <w:color w:val="auto"/>
        </w:rPr>
        <w:t>5.1 Contingent Responsiveness and Emotion Socialisation</w:t>
      </w:r>
    </w:p>
    <w:p w14:paraId="308D78E7" w14:textId="77777777" w:rsidR="00642847" w:rsidRPr="00187A95" w:rsidRDefault="00000000">
      <w:pPr>
        <w:rPr>
          <w:color w:val="auto"/>
        </w:rPr>
      </w:pPr>
      <w:r w:rsidRPr="00187A95">
        <w:rPr>
          <w:color w:val="auto"/>
        </w:rPr>
        <w:t>The quality of parent–child interaction can shape whether everyday play provides emotional learning opportunities. Caregivers convey information about emotion through modelling, the reactions they show to children's feelings and the emotional climate they help sustain. The family model articulated by Morris et al. (2007) distinguishes these routes while recognising child characteristics and wider contextual influences. In active games, a parent can validate disappointment after losing, reduce challenge when the child is overwhelmed or support a return to participation. The same parent might instead press for compliance or distract from distress before the child has an opportunity to identify it. Such differences offer a more precise explanation of possible regulatory learning than does simple co-presence during movement.</w:t>
      </w:r>
    </w:p>
    <w:p w14:paraId="3E6403C5" w14:textId="77777777" w:rsidR="00642847" w:rsidRPr="00187A95" w:rsidRDefault="00000000">
      <w:pPr>
        <w:rPr>
          <w:color w:val="auto"/>
        </w:rPr>
      </w:pPr>
      <w:r w:rsidRPr="00187A95">
        <w:rPr>
          <w:color w:val="auto"/>
        </w:rPr>
        <w:t>Parental regulation is part of this process rather than an external determinant. A parent managing frustration during a difficult game may model flexible coping; a parent who becomes angry or disengaged may inadvertently alter the emotional demands of the situation. Edler and Valentino's (2024) systematic review links parent self-regulatory processes to emotion socialisation, underscoring the need to measure caregiver emotional functioning instead of assigning all observed differences to children's behaviour. Recent modelling of parenting reappraisal, emotional socialisation and preschoolers' regulation also points to indirect pathways through parenting practices (Ștefan &amp; Dănilă, 2025). Those findings are best regarded as theoretically relevant associations, because statistical mediation in observational data is not a substitute for temporally observed change.</w:t>
      </w:r>
    </w:p>
    <w:p w14:paraId="1DF16BD8" w14:textId="77777777" w:rsidR="00642847" w:rsidRPr="00187A95" w:rsidRDefault="00000000">
      <w:pPr>
        <w:rPr>
          <w:color w:val="auto"/>
        </w:rPr>
      </w:pPr>
      <w:r w:rsidRPr="00187A95">
        <w:rPr>
          <w:color w:val="auto"/>
        </w:rPr>
        <w:t>The evidence from emotion-focused parenting interventions provides stronger support for the modifiability of some caregiving practices. England-Mason et al. (2023) synthesised randomised trials targeting young children's emotional competence through parenting-related approaches. Positive effects in that intervention literature suggest that adult support is not merely a fixed family characteristic. Nevertheless, the interventions were not designed to isolate home physical activity or co-active play as necessary components. Transferring their average effects to a family exercise programme would therefore be unjustified. They instead offer a useful comparator: movement-oriented interventions should be assessed for emotional outcomes and for their capacity to change caregiver responses, not evaluated solely by increased movement volume.</w:t>
      </w:r>
    </w:p>
    <w:p w14:paraId="51C2F7B0" w14:textId="77777777" w:rsidR="00642847" w:rsidRPr="00187A95" w:rsidRDefault="00000000">
      <w:pPr>
        <w:pStyle w:val="Heading2"/>
        <w:rPr>
          <w:color w:val="auto"/>
        </w:rPr>
      </w:pPr>
      <w:r w:rsidRPr="00187A95">
        <w:rPr>
          <w:color w:val="auto"/>
        </w:rPr>
        <w:t>5.2 Synchrony, Mismatch and Repair</w:t>
      </w:r>
    </w:p>
    <w:p w14:paraId="3FA4F9F2" w14:textId="77777777" w:rsidR="00642847" w:rsidRPr="00187A95" w:rsidRDefault="00000000">
      <w:pPr>
        <w:rPr>
          <w:color w:val="auto"/>
        </w:rPr>
      </w:pPr>
      <w:r w:rsidRPr="00187A95">
        <w:rPr>
          <w:color w:val="auto"/>
        </w:rPr>
        <w:t>Interactional synchrony describes a flexible coordination of behaviour and affect rather than uninterrupted agreement. Parent and child may alternate leadership, anticipate one another's intentions and adjust the timing of responses. Emotional learning is likely to occur not only during successful coordination but also when coordination breaks down. A disagreement over play rules, a failed attempt at a task or a brief conflict about turn-taking creates an opportunity for repair. If the pair returns to adaptive engagement, the child experiences a model of conflict that can be resolved without prolonged dysregulation. Such processes can be observed on a timescale of seconds, a level of analysis absent from daily activity totals (Kemp et al., 2016; Lobo &amp; Lunkenheimer, 2020).</w:t>
      </w:r>
    </w:p>
    <w:p w14:paraId="37159F0B" w14:textId="77777777" w:rsidR="00642847" w:rsidRPr="00187A95" w:rsidRDefault="00000000">
      <w:pPr>
        <w:rPr>
          <w:color w:val="auto"/>
        </w:rPr>
      </w:pPr>
      <w:r w:rsidRPr="00187A95">
        <w:rPr>
          <w:color w:val="auto"/>
        </w:rPr>
        <w:lastRenderedPageBreak/>
        <w:t>Kemp et al. (2016) examined mothers and three-year-old children during free play and a challenging puzzle, finding that aspects of dyadic repair were prospectively linked to regulatory outcomes assessed several months later. This strengthens temporal interpretation relative to same-time questionnaires but retains the possibility that existing child characteristics influence interaction quality. The study also cautions against equating task contexts. A puzzle requiring persistence may reveal regulatory processes different from those visible in comfortable free play. If an intervention is intended to build coping during physical games, measurement during both low-demand cooperation and manageable frustration would provide more informative evidence than an undifferentiated assessment of parental warmth.</w:t>
      </w:r>
    </w:p>
    <w:p w14:paraId="53833293" w14:textId="77777777" w:rsidR="00642847" w:rsidRPr="00187A95" w:rsidRDefault="00000000">
      <w:pPr>
        <w:rPr>
          <w:color w:val="auto"/>
        </w:rPr>
      </w:pPr>
      <w:r w:rsidRPr="00187A95">
        <w:rPr>
          <w:color w:val="auto"/>
        </w:rPr>
        <w:t>Lobo and Lunkenheimer (2020) used dynamic analysis to characterise parent–child coregulation and later self-regulation, finding that the meaning of interactional flexibility differed across emotional contexts. This is important because adaptation under positive affect is not necessarily identical to adaptation during anger or distress. A caregiver who follows a child's lead during a joyful dance may respond differently during rough play when boundaries need to be enforced. The goal is not uniformly permissive behaviour, but the ability to recognise distress, set appropriate limits and recover the relationship. Treating every high-arousal episode as dysregulation would erase the distinction between enjoyable excitement and difficulty managing emotion.</w:t>
      </w:r>
    </w:p>
    <w:p w14:paraId="6B38197A" w14:textId="77777777" w:rsidR="00642847" w:rsidRPr="00187A95" w:rsidRDefault="00000000">
      <w:pPr>
        <w:rPr>
          <w:color w:val="auto"/>
        </w:rPr>
      </w:pPr>
      <w:r w:rsidRPr="00187A95">
        <w:rPr>
          <w:color w:val="auto"/>
        </w:rPr>
        <w:t>The family system extends beyond a single dyad. Kerr et al. (2021) investigated parent–child synchrony alongside interparental relationship satisfaction and toddlers' emotional functioning. The presence of moderation by family relationships shows why estimates of parental play quality may differ across households even when individual behaviours look similar. Yet findings in toddlers should not be assumed to apply unchanged to five-year-olds, whose autonomy, language and peer exposure differ. Stronger preschool research would follow multiple caregiver–child relationships within the same family and measure changes over time, allowing relational consistency and context-specific effects to be differentiated.</w:t>
      </w:r>
    </w:p>
    <w:p w14:paraId="6236429F" w14:textId="77777777" w:rsidR="00642847" w:rsidRPr="00187A95" w:rsidRDefault="00000000">
      <w:pPr>
        <w:pStyle w:val="Heading2"/>
        <w:rPr>
          <w:color w:val="auto"/>
        </w:rPr>
      </w:pPr>
      <w:r w:rsidRPr="00187A95">
        <w:rPr>
          <w:color w:val="auto"/>
        </w:rPr>
        <w:t>5.3 Fathers, Other Caregivers and Role Diversity</w:t>
      </w:r>
    </w:p>
    <w:p w14:paraId="56A6BDC7" w14:textId="77777777" w:rsidR="00642847" w:rsidRPr="00187A95" w:rsidRDefault="00000000">
      <w:pPr>
        <w:rPr>
          <w:color w:val="auto"/>
        </w:rPr>
      </w:pPr>
      <w:r w:rsidRPr="00187A95">
        <w:rPr>
          <w:color w:val="auto"/>
        </w:rPr>
        <w:t>Research has historically emphasised mothers, particularly in observational emotion-socialisation designs. A systematic review of father involvement and emotion regulation in early childhood found no consistent direct relation across the small set of eligible studies, although some associations depended on measurement and family or child characteristics (Puglisi et al., 2024). This mixed evidence does not support the conclusion that fathers are irrelevant to regulation. It illustrates how a broad category such as involvement combines time, emotional availability, play style, caregiving responsibility and relationship quality. A father who is present for fewer hours but participates in responsive active play is not represented adequately by total contact time alone.</w:t>
      </w:r>
    </w:p>
    <w:p w14:paraId="55CB6A56" w14:textId="77777777" w:rsidR="00642847" w:rsidRPr="00187A95" w:rsidRDefault="00000000">
      <w:pPr>
        <w:rPr>
          <w:color w:val="auto"/>
        </w:rPr>
      </w:pPr>
      <w:r w:rsidRPr="00187A95">
        <w:rPr>
          <w:color w:val="auto"/>
        </w:rPr>
        <w:t>Robinson et al. (2021) reviewed father–child play and developmental outcomes across diverse play forms, reinforcing the need to specify what kind of play is studied. Physical challenge, humour, shared construction and rule-based games may have different emotional affordances. The evidence also warns against assigning fixed developmental functions to parents on the basis of gender. Caregiving arrangements vary, and observational associations reflect social roles as well as individual behaviour. Grandparents, siblings, guardians and other consistent caregivers may facilitate emotionally meaningful play even though they are underrepresented in the literature. Research designs should record who participates and what occurs, rather than presume that an intervention's success depends on a particular parental identity.</w:t>
      </w:r>
    </w:p>
    <w:p w14:paraId="77BB466C" w14:textId="77777777" w:rsidR="00642847" w:rsidRPr="00187A95" w:rsidRDefault="00000000">
      <w:pPr>
        <w:rPr>
          <w:color w:val="auto"/>
        </w:rPr>
      </w:pPr>
      <w:r w:rsidRPr="00187A95">
        <w:rPr>
          <w:color w:val="auto"/>
        </w:rPr>
        <w:lastRenderedPageBreak/>
        <w:t>In families with multiple caregivers, emotional expectations may be inconsistent or complementary. One adult may tolerate noisy play while another restricts it because of space, safety or work schedules. Children may learn to navigate these expectations, but discord can also reduce opportunities for sustained shared play. The appropriate unit of inference is therefore often a family activity system rather than an isolated parent trait. Mixed-methods research could use short ecological observations and interviews to establish who decides when play begins and ends, whose distress receives attention and how household rules are negotiated. Such observations would add explanatory depth to family surveys without assuming that a single arrangement is normatively superior (Morris et al., 2007; Puglisi et al., 2024).</w:t>
      </w:r>
    </w:p>
    <w:p w14:paraId="66898DA0" w14:textId="77777777" w:rsidR="00642847" w:rsidRPr="00187A95" w:rsidRDefault="00000000">
      <w:pPr>
        <w:pStyle w:val="Heading2"/>
        <w:rPr>
          <w:color w:val="auto"/>
        </w:rPr>
      </w:pPr>
      <w:r w:rsidRPr="00187A95">
        <w:rPr>
          <w:color w:val="auto"/>
        </w:rPr>
        <w:t>5.4 Relational Quality as Mediator, Moderator or Confounder</w:t>
      </w:r>
    </w:p>
    <w:p w14:paraId="460B1EA6" w14:textId="77777777" w:rsidR="00642847" w:rsidRPr="00187A95" w:rsidRDefault="00000000">
      <w:pPr>
        <w:rPr>
          <w:color w:val="auto"/>
        </w:rPr>
      </w:pPr>
      <w:r w:rsidRPr="00187A95">
        <w:rPr>
          <w:color w:val="auto"/>
        </w:rPr>
        <w:t>Parent–child interaction may occupy different positions in a causal model. If a movement intervention changes the quality of joint play, which then changes children's coping, relational quality would function as a mediator. If responsive support makes active play more useful, it would be a moderator. If parents who already respond sensitively both offer more movement opportunities and raise children with stronger regulatory skills, it may instead confound the exposure–outcome relationship. Cross-sectional datasets cannot establish these alternatives simply by fitting sequential regression paths. The family sports-support survey by Min et al. (2026) is informative precisely because it motivates hypotheses that must subsequently be tested with appropriate measurement order.</w:t>
      </w:r>
    </w:p>
    <w:p w14:paraId="33A392E2" w14:textId="77777777" w:rsidR="00642847" w:rsidRPr="00187A95" w:rsidRDefault="00000000">
      <w:pPr>
        <w:rPr>
          <w:color w:val="auto"/>
        </w:rPr>
      </w:pPr>
      <w:r w:rsidRPr="00187A95">
        <w:rPr>
          <w:color w:val="auto"/>
        </w:rPr>
        <w:t>The relational hypothesis also generates a falsifiable prediction: increasing physical activity without changing the quality of emotionally relevant interaction might have little effect on emotional regulation. The absence of a clear emotional effect in many movement studies is therefore consistent with, although it does not prove, this account. A factorial design varying movement opportunity and parent coaching independently would distinguish their main and joint effects. Such a design could reveal that responsive play has benefits even at low movement intensity, or that movement provides a context in which coaching becomes especially salient. Until such tests are available, evidence about co-regulation should not be used to manufacture a specific exercise prescription (England-Mason et al., 2023; Lim et al., 2026).</w:t>
      </w:r>
    </w:p>
    <w:p w14:paraId="2546B402" w14:textId="77777777" w:rsidR="00642847" w:rsidRPr="00187A95" w:rsidRDefault="00000000">
      <w:pPr>
        <w:pStyle w:val="Heading1"/>
        <w:rPr>
          <w:color w:val="auto"/>
        </w:rPr>
      </w:pPr>
      <w:r w:rsidRPr="00187A95">
        <w:rPr>
          <w:color w:val="auto"/>
        </w:rPr>
        <w:t>6. Play Participation: Active, Quiet, Pretend and Child-Led Forms</w:t>
      </w:r>
    </w:p>
    <w:p w14:paraId="24746447" w14:textId="77777777" w:rsidR="00642847" w:rsidRPr="00187A95" w:rsidRDefault="00000000">
      <w:pPr>
        <w:pStyle w:val="Heading2"/>
        <w:rPr>
          <w:color w:val="auto"/>
        </w:rPr>
      </w:pPr>
      <w:r w:rsidRPr="00187A95">
        <w:rPr>
          <w:color w:val="auto"/>
        </w:rPr>
        <w:t>6.1 Agency and the Organisation of Free Play</w:t>
      </w:r>
    </w:p>
    <w:p w14:paraId="2037D06F" w14:textId="77777777" w:rsidR="00642847" w:rsidRPr="00187A95" w:rsidRDefault="00000000">
      <w:pPr>
        <w:rPr>
          <w:color w:val="auto"/>
        </w:rPr>
      </w:pPr>
      <w:r w:rsidRPr="00187A95">
        <w:rPr>
          <w:color w:val="auto"/>
        </w:rPr>
        <w:t>Play participation combines access to an activity with meaningful engagement in it. A child may be physically present in a game but have little choice about the rules or opportunity to express preferences. Another child may remain largely still while negotiating a complex imaginary scenario with a caregiver. The distinction matters because motor intensity and psychological participation vary independently. Child-led play is often described as providing autonomy and practice in flexible behaviour, yet the processes by which these experiences translate into emotion regulation require specification. Opportunities to try, fail, recover, alter a plan and recruit assistance may be more informative than duration alone (Colliver et al., 2022; Ginsburg, 2007).</w:t>
      </w:r>
    </w:p>
    <w:p w14:paraId="18440798" w14:textId="77777777" w:rsidR="00642847" w:rsidRPr="00187A95" w:rsidRDefault="00000000">
      <w:pPr>
        <w:rPr>
          <w:color w:val="auto"/>
        </w:rPr>
      </w:pPr>
      <w:r w:rsidRPr="00187A95">
        <w:rPr>
          <w:color w:val="auto"/>
        </w:rPr>
        <w:t xml:space="preserve">Free play should not be romanticised as developmentally neutral or uniformly beneficial. Children's access to peers and materials, their initial capacities and adult expectations influence both entry into and success during an activity. A child with difficulty managing frustration may be excluded from group games, which could reinforce the observed association between play participation and regulation. Adults may grant more </w:t>
      </w:r>
      <w:r w:rsidRPr="00187A95">
        <w:rPr>
          <w:color w:val="auto"/>
        </w:rPr>
        <w:lastRenderedPageBreak/>
        <w:t>unstructured time to children who already play independently. These processes create selection effects even in observational studies that adjust for broad socioeconomic characteristics. Analyses of free play therefore need baseline measures of regulatory competence and descriptions of adult involvement rather than treating the child-led label as an experimentally controlled exposure (Lillard et al., 2013; Colliver et al., 2022).</w:t>
      </w:r>
    </w:p>
    <w:p w14:paraId="04E420D3" w14:textId="77777777" w:rsidR="00642847" w:rsidRPr="00187A95" w:rsidRDefault="00000000">
      <w:pPr>
        <w:rPr>
          <w:color w:val="auto"/>
        </w:rPr>
      </w:pPr>
      <w:r w:rsidRPr="00187A95">
        <w:rPr>
          <w:color w:val="auto"/>
        </w:rPr>
        <w:t>The early observational literature on sociodramatic play offers historically important hypotheses about rule-governed imaginative activity and self-regulation. Elias and Berk (2002) followed preschool classroom behaviour over a relatively short period, examining whether complex sociodramatic play predicted later regulation in routine settings. The study's naturalistic approach illuminated processes that laboratory tests may not capture, but its sample and setting limit conclusions about ordinary home play. It is most useful as a mechanism-generating contribution. Claims that pretend play is a uniquely necessary route to regulatory development exceed what the broader evidence can substantiate, as the critical review by Lillard et al. (2013) argued.</w:t>
      </w:r>
    </w:p>
    <w:p w14:paraId="3ECBE085" w14:textId="77777777" w:rsidR="00642847" w:rsidRPr="00187A95" w:rsidRDefault="00000000">
      <w:pPr>
        <w:pStyle w:val="Heading2"/>
        <w:rPr>
          <w:color w:val="auto"/>
        </w:rPr>
      </w:pPr>
      <w:r w:rsidRPr="00187A95">
        <w:rPr>
          <w:color w:val="auto"/>
        </w:rPr>
        <w:t>6.2 Longitudinal Evidence and Its Limits</w:t>
      </w:r>
    </w:p>
    <w:p w14:paraId="2E712C0E" w14:textId="77777777" w:rsidR="00642847" w:rsidRPr="00187A95" w:rsidRDefault="00000000">
      <w:pPr>
        <w:rPr>
          <w:color w:val="auto"/>
        </w:rPr>
      </w:pPr>
      <w:r w:rsidRPr="00187A95">
        <w:rPr>
          <w:color w:val="auto"/>
        </w:rPr>
        <w:t>The longitudinal work of Colliver et al. (2022) is particularly relevant because it incorporated parent time-use diaries from a large population cohort and tested relations between play in the toddler or preschool years and regulation at later ages. Unstructured quiet play was modestly predictive of later self-regulation even after adjustment for prior regulation and several known covariates. Active free play at four to five years also showed an association with regulation at six to seven years in certain exposure ranges. These differences argue against treating all play types as substitutes. Quiet pursuits may involve sustained attention and self-direction, while active play may recruit motor challenges, social negotiation or arousal management.</w:t>
      </w:r>
    </w:p>
    <w:p w14:paraId="46B3D17A" w14:textId="77777777" w:rsidR="00642847" w:rsidRPr="00187A95" w:rsidRDefault="00000000">
      <w:pPr>
        <w:rPr>
          <w:color w:val="auto"/>
        </w:rPr>
      </w:pPr>
      <w:r w:rsidRPr="00187A95">
        <w:rPr>
          <w:color w:val="auto"/>
        </w:rPr>
        <w:t>The prospective design helps establish that reported play preceded later outcomes, which is an advance over concurrent surveys. It does not, however, randomly distribute play opportunities. Family expectations, unmeasured parental regulation, child temperament and access to materials may remain influential. Diary measures are snapshots of time use and may not describe the emotional climate or relational structure of the recorded activity. Moreover, the later composite regulatory outcome was not a pure measure of emotion regulation. Accordingly, the findings justify further investigation of free play but not a claim that substituting a fixed amount of active or quiet play would cause a particular improvement in emotional recovery.</w:t>
      </w:r>
    </w:p>
    <w:p w14:paraId="7B781E97" w14:textId="77777777" w:rsidR="00642847" w:rsidRPr="00187A95" w:rsidRDefault="00000000">
      <w:pPr>
        <w:rPr>
          <w:color w:val="auto"/>
        </w:rPr>
      </w:pPr>
      <w:r w:rsidRPr="00187A95">
        <w:rPr>
          <w:color w:val="auto"/>
        </w:rPr>
        <w:t>Evidence involving older children can illustrate a conceptual possibility while remaining outside the primary target age. Barker et al. (2014) found an association between less-structured time and self-directed executive functioning in school-age children. The study often enters discussions of preschool free play, but its participants' developmental stage and the cognitive outcome differ from those in the present review. Directly extending its estimate to three-year-old children's emotion regulation would conflate age, setting and outcome. The same caution applies to school-based structured movement studies: positive findings in inhibitory control do not independently verify a home play mechanism for emotional coping (Diamond, 2013; Lim et al., 2026).</w:t>
      </w:r>
    </w:p>
    <w:p w14:paraId="4A3A8EED" w14:textId="77777777" w:rsidR="00642847" w:rsidRPr="00187A95" w:rsidRDefault="00000000">
      <w:pPr>
        <w:pStyle w:val="Heading2"/>
        <w:rPr>
          <w:color w:val="auto"/>
        </w:rPr>
      </w:pPr>
      <w:r w:rsidRPr="00187A95">
        <w:rPr>
          <w:color w:val="auto"/>
        </w:rPr>
        <w:lastRenderedPageBreak/>
        <w:t>6.3 Symbolic Play and the Question of Causality</w:t>
      </w:r>
    </w:p>
    <w:p w14:paraId="4389EE8B" w14:textId="77777777" w:rsidR="00642847" w:rsidRPr="00187A95" w:rsidRDefault="00000000">
      <w:pPr>
        <w:rPr>
          <w:color w:val="auto"/>
        </w:rPr>
      </w:pPr>
      <w:r w:rsidRPr="00187A95">
        <w:rPr>
          <w:color w:val="auto"/>
        </w:rPr>
        <w:t>Pretend play invites children to adopt roles, represent imaginary circumstances and maintain shared meanings. These activities plausibly recruit perspective-taking, language and flexible goal adjustment. Yet theoretical plausibility is not evidence that pretend play causes broad developmental improvement. Lillard et al. (2013) evaluated research on several proposed benefits and identified shortcomings in causal attribution. Children who readily engage in elaborate pretend play may differ beforehand in language, social experience and self-regulation. Experimental contrasts can also inadvertently vary adult attention or narrative support as well as play content. The presence of a plausible mechanism therefore calls for targeted testing rather than broad endorsement of pretend play as a treatment.</w:t>
      </w:r>
    </w:p>
    <w:p w14:paraId="1D91192C" w14:textId="77777777" w:rsidR="00642847" w:rsidRPr="00187A95" w:rsidRDefault="00000000">
      <w:pPr>
        <w:rPr>
          <w:color w:val="auto"/>
        </w:rPr>
      </w:pPr>
      <w:r w:rsidRPr="00187A95">
        <w:rPr>
          <w:color w:val="auto"/>
        </w:rPr>
        <w:t>A more discriminating hypothesis is that particular social transactions during pretend play matter. When a child experiences disappointment because another participant changes the story, the interaction offers an occasion to negotiate, tolerate frustration and maintain shared activity. If a caregiver helps name emotions and find a workable compromise, both play agency and co-regulation may be involved. The emotional process might occur in an imaginary game, a board game or an active chase with agreed rules. Comparing these contexts while holding caregiver responsiveness and emotional challenge relatively constant would help determine whether symbolic representation adds benefits beyond the social learning opportunity itself (Morris et al., 2007; Robinson et al., 2021).</w:t>
      </w:r>
    </w:p>
    <w:p w14:paraId="627F7C2F" w14:textId="77777777" w:rsidR="00642847" w:rsidRPr="00187A95" w:rsidRDefault="00000000">
      <w:pPr>
        <w:rPr>
          <w:color w:val="auto"/>
        </w:rPr>
      </w:pPr>
      <w:r w:rsidRPr="00187A95">
        <w:rPr>
          <w:color w:val="auto"/>
        </w:rPr>
        <w:t>A further problem is that play quality is often assessed through adult judgement. A child-led game that appears disorganised may contain meaningful experimentation, while a highly polished adult-directed performance may conceal limited child initiative. Investigators should identify observable elements such as voluntary engagement, negotiation, repeated rule modification, emotion coaching and recovery from failed attempts. Such behavioural descriptors can be coded more reliably than global labels of high-quality play. Multi-episode designs would also permit analysts to separate the child's opportunity to experience frustration from the child's ability to recover after frustration has actually occurred (Kemp et al., 2016; Lobo &amp; Lunkenheimer, 2020).</w:t>
      </w:r>
    </w:p>
    <w:p w14:paraId="4FCBF0B0" w14:textId="77777777" w:rsidR="00642847" w:rsidRPr="00187A95" w:rsidRDefault="00000000">
      <w:pPr>
        <w:pStyle w:val="Heading2"/>
        <w:rPr>
          <w:color w:val="auto"/>
        </w:rPr>
      </w:pPr>
      <w:r w:rsidRPr="00187A95">
        <w:rPr>
          <w:color w:val="auto"/>
        </w:rPr>
        <w:t>6.4 Risk, Safety, Autonomy and Inclusion</w:t>
      </w:r>
    </w:p>
    <w:p w14:paraId="5DDD7311" w14:textId="77777777" w:rsidR="00642847" w:rsidRPr="00187A95" w:rsidRDefault="00000000">
      <w:pPr>
        <w:rPr>
          <w:color w:val="auto"/>
        </w:rPr>
      </w:pPr>
      <w:r w:rsidRPr="00187A95">
        <w:rPr>
          <w:color w:val="auto"/>
        </w:rPr>
        <w:t>A developmental opportunity can include manageable uncertainty without requiring avoidable danger. Activities involving balance, movement speed, outdoor exploration or playful competition may present emotional and physical challenges that children find motivating. A caregiver's task is to calibrate support to the child's capacities and safety needs, rather than eliminate every difficulty or force exposure beyond the child's tolerance. Evidence for a unique regulatory effect of risk-taking play remains less direct than the general theoretical case for self-directed participation. Claims about beneficial risk must therefore be qualified and placed alongside injury prevention, disability inclusion and child consent (Ginsburg, 2007; Yogman et al., 2018).</w:t>
      </w:r>
    </w:p>
    <w:p w14:paraId="139438EE" w14:textId="77777777" w:rsidR="00642847" w:rsidRPr="00187A95" w:rsidRDefault="00000000">
      <w:pPr>
        <w:rPr>
          <w:color w:val="auto"/>
        </w:rPr>
      </w:pPr>
      <w:r w:rsidRPr="00187A95">
        <w:rPr>
          <w:color w:val="auto"/>
        </w:rPr>
        <w:t xml:space="preserve">Children differ in mobility, sensory processing, communication and tolerance of noise or unpredictable contact. Accessible play may involve adapted equipment, reduced sensory load, shorter sequences or non-physical opportunities for collaboration. A narrow emphasis on vigorous activity risks treating some forms of participation as deficient when they may be developmentally meaningful and emotionally demanding. Studies should report the adaptions that enable participation and investigate whether the proposed mechanism concerns exertion, social agency or caregiver responsiveness. Otherwise, intervention </w:t>
      </w:r>
      <w:r w:rsidRPr="00187A95">
        <w:rPr>
          <w:color w:val="auto"/>
        </w:rPr>
        <w:lastRenderedPageBreak/>
        <w:t>outcomes may privilege children already able to meet conventional movement targets while overlooking those for whom relational and environmental adjustments are central.</w:t>
      </w:r>
    </w:p>
    <w:p w14:paraId="3858CF90" w14:textId="77777777" w:rsidR="00642847" w:rsidRPr="00187A95" w:rsidRDefault="00000000">
      <w:pPr>
        <w:rPr>
          <w:color w:val="auto"/>
        </w:rPr>
      </w:pPr>
      <w:r w:rsidRPr="00187A95">
        <w:rPr>
          <w:color w:val="auto"/>
        </w:rPr>
        <w:t>Play also involves negotiation of its ending. A child may participate enthusiastically yet become dysregulated when asked to stop. Ending routines that provide warning, choice and emotional validation may be important components of family play, but these processes are rarely captured by movement-only assessment. Measuring transitions would clarify whether the same activity can produce immediate conflict and longer-term learning. It would also prevent researchers from interpreting distress following play as proof that the activity itself was ineffective. A relevant emotional endpoint would include recovery and the ability to re-engage, not simply the frequency of protest (Dennis, 2006; Morris et al., 2007).</w:t>
      </w:r>
    </w:p>
    <w:p w14:paraId="421F9DA1" w14:textId="77777777" w:rsidR="00642847" w:rsidRPr="00187A95" w:rsidRDefault="00000000">
      <w:pPr>
        <w:pStyle w:val="Heading1"/>
        <w:rPr>
          <w:color w:val="auto"/>
        </w:rPr>
      </w:pPr>
      <w:r w:rsidRPr="00187A95">
        <w:rPr>
          <w:color w:val="auto"/>
        </w:rPr>
        <w:t>7. Intervention Evidence: What Can Be Attributed to Family Activity?</w:t>
      </w:r>
    </w:p>
    <w:p w14:paraId="51EF0CEB" w14:textId="77777777" w:rsidR="00642847" w:rsidRPr="00187A95" w:rsidRDefault="00000000">
      <w:pPr>
        <w:pStyle w:val="Heading2"/>
        <w:rPr>
          <w:color w:val="auto"/>
        </w:rPr>
      </w:pPr>
      <w:r w:rsidRPr="00187A95">
        <w:rPr>
          <w:color w:val="auto"/>
        </w:rPr>
        <w:t>7.1 The Difference Between Feasibility and Emotional Efficacy</w:t>
      </w:r>
    </w:p>
    <w:p w14:paraId="5ACF6EA2" w14:textId="77777777" w:rsidR="00642847" w:rsidRPr="00187A95" w:rsidRDefault="00000000">
      <w:pPr>
        <w:rPr>
          <w:color w:val="auto"/>
        </w:rPr>
      </w:pPr>
      <w:r w:rsidRPr="00187A95">
        <w:rPr>
          <w:color w:val="auto"/>
        </w:rPr>
        <w:t>Interventions are necessary for causal inference but are informative only about outcomes actually assessed. A family-based cluster randomised trial in Hong Kong combined parental workshops, movement-skill training, home activity tasks, shared activity and equipment provision. He et al. (2024) reported favourable changes in children's moderate-to-vigorous physical activity, fundamental movement skills and several parental support-related measures. These results establish preliminary feasibility and potential movement-related efficacy under the study conditions. They do not demonstrate an improvement in emotion regulation because that was not the primary measured endpoint. The multicomponent design also leaves uncertain which elements produced the activity gains and whether relational change was an indispensable mechanism.</w:t>
      </w:r>
    </w:p>
    <w:p w14:paraId="62D41FD4" w14:textId="77777777" w:rsidR="00642847" w:rsidRPr="00187A95" w:rsidRDefault="00000000">
      <w:pPr>
        <w:rPr>
          <w:color w:val="auto"/>
        </w:rPr>
      </w:pPr>
      <w:r w:rsidRPr="00187A95">
        <w:rPr>
          <w:color w:val="auto"/>
        </w:rPr>
        <w:t>Family and community intervention literature shows additional reasons for caution. Moss and Gu (2022) reviewed approaches intended to increase activity and improve early child development, finding variability in programme elements and effects. Many interventions targeted participation, health behaviour or motor development rather than measured emotional coping. A study can be successful by its own movement objective yet contribute little direct evidence to an emotion-regulation question. Conversely, an intervention that improves emotional functioning without changing measured intensity might suggest a mechanism related to adult support, routines or play agency. Outcome selection must therefore precede interpretation, rather than allowing emotional benefits to be inferred from a favourable intermediate result.</w:t>
      </w:r>
    </w:p>
    <w:p w14:paraId="7ED60631" w14:textId="77777777" w:rsidR="00642847" w:rsidRPr="00187A95" w:rsidRDefault="00000000">
      <w:pPr>
        <w:rPr>
          <w:color w:val="auto"/>
        </w:rPr>
      </w:pPr>
      <w:r w:rsidRPr="00187A95">
        <w:rPr>
          <w:color w:val="auto"/>
        </w:rPr>
        <w:t>Complex family programmes often bundle several changes: parent education, goal-setting, equipment, structured assignments, shared play and reminders. This package may be practically realistic, but causal attribution becomes difficult. An intervention arm receiving additional adult attention and resources may differ from usual care in ways unrelated to physical movement. A credible comparison group should balance contact and expectations where feasible. Fidelity measures should capture both the delivered movement opportunities and the actual relational strategies enacted at home. Without such measures, a null emotional result may indicate a weak mechanism, insufficient programme delivery or an outcome measure insensitive to the hypothesised change (He et al., 2024; England-Mason et al., 2023).</w:t>
      </w:r>
    </w:p>
    <w:p w14:paraId="73B88181" w14:textId="77777777" w:rsidR="00642847" w:rsidRPr="00187A95" w:rsidRDefault="00000000">
      <w:pPr>
        <w:pStyle w:val="Heading2"/>
        <w:rPr>
          <w:color w:val="auto"/>
        </w:rPr>
      </w:pPr>
      <w:r w:rsidRPr="00187A95">
        <w:rPr>
          <w:color w:val="auto"/>
        </w:rPr>
        <w:lastRenderedPageBreak/>
        <w:t>7.2 School-Based Trials and the Home-Transfer Problem</w:t>
      </w:r>
    </w:p>
    <w:p w14:paraId="084D2DE0" w14:textId="77777777" w:rsidR="00642847" w:rsidRPr="00187A95" w:rsidRDefault="00000000">
      <w:pPr>
        <w:rPr>
          <w:color w:val="auto"/>
        </w:rPr>
      </w:pPr>
      <w:r w:rsidRPr="00187A95">
        <w:rPr>
          <w:color w:val="auto"/>
        </w:rPr>
        <w:t>The most recent intervention synthesis provides a stringent test of general claims. Lim et al. (2026) combined 25 randomised trials of physical-activity interventions for preschool children. Aggregate effects favoured self-regulation, with statistically significant effects for behavioural and cognitive domains, but the emotional-domain estimate was not statistically significant. The emotional estimate should not be simplified into proof that physical activity has no effect. The number and design of emotion-specific trials, precision of measurement and intervention content constrain the inference. Equally, the positive aggregate effect should not be presented as confirmation of emotional effectiveness because it draws substantially on different regulatory outcomes.</w:t>
      </w:r>
    </w:p>
    <w:p w14:paraId="13E58F2B" w14:textId="77777777" w:rsidR="00642847" w:rsidRPr="00187A95" w:rsidRDefault="00000000">
      <w:pPr>
        <w:rPr>
          <w:color w:val="auto"/>
        </w:rPr>
      </w:pPr>
      <w:r w:rsidRPr="00187A95">
        <w:rPr>
          <w:color w:val="auto"/>
        </w:rPr>
        <w:t>The review's setting distribution is decisive for a home-focused manuscript: 24 of the 25 trials were conducted in school settings, with only one home-based trial (Lim et al., 2026). Preschool classrooms typically provide equipment, trained staff, peer interaction and predictable schedules that may not be available in households. Peer-based movement games can create emotional challenges distinct from those encountered with a parent. Delivery by teachers also differs from delivery by a caregiver who must simultaneously manage meals, work, siblings and safety. Generalising trial effects to family routines therefore requires evidence on context, delivery and mechanism, rather than merely on participant age.</w:t>
      </w:r>
    </w:p>
    <w:p w14:paraId="68B21F36" w14:textId="77777777" w:rsidR="00642847" w:rsidRPr="00187A95" w:rsidRDefault="00000000">
      <w:pPr>
        <w:rPr>
          <w:color w:val="auto"/>
        </w:rPr>
      </w:pPr>
      <w:r w:rsidRPr="00187A95">
        <w:rPr>
          <w:color w:val="auto"/>
        </w:rPr>
        <w:t>A large Norwegian cluster randomised trial illustrates the importance of null results. The ACTNOW programme evaluated a professional-development approach to preschool physical activity and reported no overall effects on measures of mental health and self-regulation, although some subgroup patterns were explored (Aadland et al., 2024). This finding counters selective presentation of small, favourable trials but does not isolate home activity or rule out benefits from more targeted relational approaches. It also demonstrates that changing institutional practice is not equivalent to changing a child's regulatory capacity. Robust intervention appraisal should distinguish failure to increase the intended movement exposure from failure of a valid exposure to change the emotional endpoint.</w:t>
      </w:r>
    </w:p>
    <w:p w14:paraId="14645C79" w14:textId="77777777" w:rsidR="00642847" w:rsidRPr="00187A95" w:rsidRDefault="00000000">
      <w:pPr>
        <w:rPr>
          <w:color w:val="auto"/>
        </w:rPr>
      </w:pPr>
      <w:r w:rsidRPr="00187A95">
        <w:rPr>
          <w:color w:val="auto"/>
        </w:rPr>
        <w:t>Broader early childhood education intervention reviews likewise evaluate heterogeneous outcomes, such as fundamental movement skills, cognition and social-emotional wellbeing (Grady et al., 2025). These comparisons are useful for judging whether school evidence is consistent, but a pooled improvement in wellbeing should not be interpreted as an emotion-regulation effect unless the original instruments directly assess regulation. In addition, mental health scales may change more slowly than motor skills, so short interventions can provide strong evidence about proximal activity changes while remaining inconclusive about developmental emotional mechanisms. Longitudinal follow-up and prespecified emotion-specific outcomes are essential if intervention claims are to move beyond physical health.</w:t>
      </w:r>
    </w:p>
    <w:p w14:paraId="693C391D" w14:textId="77777777" w:rsidR="00642847" w:rsidRPr="00187A95" w:rsidRDefault="00000000">
      <w:pPr>
        <w:pStyle w:val="Heading2"/>
        <w:rPr>
          <w:color w:val="auto"/>
        </w:rPr>
      </w:pPr>
      <w:r w:rsidRPr="00187A95">
        <w:rPr>
          <w:color w:val="auto"/>
        </w:rPr>
        <w:t>7.3 Parenting Interventions as an Informative Comparator</w:t>
      </w:r>
    </w:p>
    <w:p w14:paraId="4667FF5A" w14:textId="77777777" w:rsidR="00642847" w:rsidRPr="00187A95" w:rsidRDefault="00000000">
      <w:pPr>
        <w:rPr>
          <w:color w:val="auto"/>
        </w:rPr>
      </w:pPr>
      <w:r w:rsidRPr="00187A95">
        <w:rPr>
          <w:color w:val="auto"/>
        </w:rPr>
        <w:t>Emotion-socialisation trials offer a different experimental route. England-Mason et al. (2023) synthesised randomised interventions designed around parents' responses to children's emotions and reported favourable changes in emotional competence. These findings make relational learning a credible target of intervention, even if they do not establish the unique value of movement. Comparing these trials with family-based physical-activity programmes reveals a striking asymmetry: parenting studies frequently assess emotional outcomes without measuring objective activity, whereas activity studies frequently assess movement without direct measurement of emotion regulation. This complementary omission blocks an integrated causal account.</w:t>
      </w:r>
    </w:p>
    <w:p w14:paraId="1EBBF62A" w14:textId="77777777" w:rsidR="00642847" w:rsidRPr="00187A95" w:rsidRDefault="00000000">
      <w:pPr>
        <w:rPr>
          <w:color w:val="auto"/>
        </w:rPr>
      </w:pPr>
      <w:r w:rsidRPr="00187A95">
        <w:rPr>
          <w:color w:val="auto"/>
        </w:rPr>
        <w:lastRenderedPageBreak/>
        <w:t>A future combined intervention could allocate families to enhanced movement opportunities, emotion-coaching support, both elements or a comparison condition. The primary question would not be whether the combined group showed the largest general improvement, but whether there was a distinguishable movement effect, coaching effect and interaction between them on validated emotional outcomes. Such a trial could also examine whether the effects persist outside the trained games and whether a dose-response relation emerges after accounting for activity quality. Factorial comparisons need adequate statistical power, especially for an interaction effect, and should avoid implying that small pilot samples can resolve nuanced mechanistic questions (He et al., 2024; England-Mason et al., 2023).</w:t>
      </w:r>
    </w:p>
    <w:p w14:paraId="2BDF7443" w14:textId="77777777" w:rsidR="00642847" w:rsidRPr="00187A95" w:rsidRDefault="00000000">
      <w:pPr>
        <w:rPr>
          <w:color w:val="auto"/>
        </w:rPr>
      </w:pPr>
      <w:r w:rsidRPr="00187A95">
        <w:rPr>
          <w:color w:val="auto"/>
        </w:rPr>
        <w:t>The strongest immediate clinical or educational inference remains restrained. Responsive play and reasonable movement opportunities are compatible with broad developmental guidance, but neither a prescribed household exercise dose nor a particular style of play has been shown consistently to improve preschool emotion regulation across settings. Family programmes can be promoted for established movement-related benefits while remaining explicit about emotional outcomes as hypotheses to be tested. Table 4 juxtaposes intervention types and shows that effectiveness in one domain cannot be borrowed as evidence of efficacy in another. The table also indicates where mechanisms remain unmeasured, which is more informative than simply classifying programmes as successful or unsuccessful.</w:t>
      </w:r>
    </w:p>
    <w:p w14:paraId="367C015C" w14:textId="77777777" w:rsidR="00642847" w:rsidRPr="00187A95" w:rsidRDefault="00000000">
      <w:pPr>
        <w:pStyle w:val="TableTitle"/>
        <w:rPr>
          <w:color w:val="auto"/>
        </w:rPr>
      </w:pPr>
      <w:r w:rsidRPr="00187A95">
        <w:rPr>
          <w:color w:val="auto"/>
        </w:rPr>
        <w:t>Table 4. Intervention designs and the evidential limits of their outcomes</w:t>
      </w:r>
    </w:p>
    <w:tbl>
      <w:tblPr>
        <w:tblStyle w:val="TableGrid"/>
        <w:tblW w:w="0" w:type="auto"/>
        <w:tblLayout w:type="fixed"/>
        <w:tblLook w:val="04A0" w:firstRow="1" w:lastRow="0" w:firstColumn="1" w:lastColumn="0" w:noHBand="0" w:noVBand="1"/>
      </w:tblPr>
      <w:tblGrid>
        <w:gridCol w:w="1924"/>
        <w:gridCol w:w="2664"/>
        <w:gridCol w:w="2232"/>
        <w:gridCol w:w="2088"/>
        <w:gridCol w:w="1924"/>
      </w:tblGrid>
      <w:tr w:rsidR="00187A95" w:rsidRPr="00187A95" w14:paraId="5A615092" w14:textId="77777777">
        <w:trPr>
          <w:tblHeader/>
        </w:trPr>
        <w:tc>
          <w:tcPr>
            <w:tcW w:w="1924" w:type="dxa"/>
            <w:shd w:val="clear" w:color="auto" w:fill="E9EFF2"/>
            <w:tcMar>
              <w:top w:w="65" w:type="dxa"/>
              <w:left w:w="70" w:type="dxa"/>
              <w:bottom w:w="65" w:type="dxa"/>
              <w:right w:w="70" w:type="dxa"/>
            </w:tcMar>
            <w:vAlign w:val="center"/>
          </w:tcPr>
          <w:p w14:paraId="4E4D0A27" w14:textId="77777777" w:rsidR="00642847" w:rsidRPr="00187A95" w:rsidRDefault="00000000">
            <w:pPr>
              <w:spacing w:after="0" w:line="254" w:lineRule="auto"/>
              <w:rPr>
                <w:color w:val="auto"/>
              </w:rPr>
            </w:pPr>
            <w:r w:rsidRPr="00187A95">
              <w:rPr>
                <w:b/>
                <w:color w:val="auto"/>
                <w:sz w:val="16"/>
              </w:rPr>
              <w:t>Intervention evidence</w:t>
            </w:r>
          </w:p>
        </w:tc>
        <w:tc>
          <w:tcPr>
            <w:tcW w:w="1924" w:type="dxa"/>
            <w:shd w:val="clear" w:color="auto" w:fill="E9EFF2"/>
            <w:tcMar>
              <w:top w:w="65" w:type="dxa"/>
              <w:left w:w="70" w:type="dxa"/>
              <w:bottom w:w="65" w:type="dxa"/>
              <w:right w:w="70" w:type="dxa"/>
            </w:tcMar>
            <w:vAlign w:val="center"/>
          </w:tcPr>
          <w:p w14:paraId="7C8B4AF0" w14:textId="77777777" w:rsidR="00642847" w:rsidRPr="00187A95" w:rsidRDefault="00000000">
            <w:pPr>
              <w:spacing w:after="0" w:line="254" w:lineRule="auto"/>
              <w:rPr>
                <w:color w:val="auto"/>
              </w:rPr>
            </w:pPr>
            <w:r w:rsidRPr="00187A95">
              <w:rPr>
                <w:b/>
                <w:color w:val="auto"/>
                <w:sz w:val="16"/>
              </w:rPr>
              <w:t>Established or reported outcome</w:t>
            </w:r>
          </w:p>
        </w:tc>
        <w:tc>
          <w:tcPr>
            <w:tcW w:w="1924" w:type="dxa"/>
            <w:shd w:val="clear" w:color="auto" w:fill="E9EFF2"/>
            <w:tcMar>
              <w:top w:w="65" w:type="dxa"/>
              <w:left w:w="70" w:type="dxa"/>
              <w:bottom w:w="65" w:type="dxa"/>
              <w:right w:w="70" w:type="dxa"/>
            </w:tcMar>
            <w:vAlign w:val="center"/>
          </w:tcPr>
          <w:p w14:paraId="06C6D20D" w14:textId="77777777" w:rsidR="00642847" w:rsidRPr="00187A95" w:rsidRDefault="00000000">
            <w:pPr>
              <w:spacing w:after="0" w:line="254" w:lineRule="auto"/>
              <w:rPr>
                <w:color w:val="auto"/>
              </w:rPr>
            </w:pPr>
            <w:r w:rsidRPr="00187A95">
              <w:rPr>
                <w:b/>
                <w:color w:val="auto"/>
                <w:sz w:val="16"/>
              </w:rPr>
              <w:t>Emotion-regulation inference</w:t>
            </w:r>
          </w:p>
        </w:tc>
        <w:tc>
          <w:tcPr>
            <w:tcW w:w="1924" w:type="dxa"/>
            <w:shd w:val="clear" w:color="auto" w:fill="E9EFF2"/>
            <w:tcMar>
              <w:top w:w="65" w:type="dxa"/>
              <w:left w:w="70" w:type="dxa"/>
              <w:bottom w:w="65" w:type="dxa"/>
              <w:right w:w="70" w:type="dxa"/>
            </w:tcMar>
            <w:vAlign w:val="center"/>
          </w:tcPr>
          <w:p w14:paraId="1474EFC0" w14:textId="77777777" w:rsidR="00642847" w:rsidRPr="00187A95" w:rsidRDefault="00000000">
            <w:pPr>
              <w:spacing w:after="0" w:line="254" w:lineRule="auto"/>
              <w:rPr>
                <w:color w:val="auto"/>
              </w:rPr>
            </w:pPr>
            <w:r w:rsidRPr="00187A95">
              <w:rPr>
                <w:b/>
                <w:color w:val="auto"/>
                <w:sz w:val="16"/>
              </w:rPr>
              <w:t>Critical next comparison</w:t>
            </w:r>
          </w:p>
        </w:tc>
        <w:tc>
          <w:tcPr>
            <w:tcW w:w="1924" w:type="dxa"/>
            <w:shd w:val="clear" w:color="auto" w:fill="E9EFF2"/>
            <w:tcMar>
              <w:top w:w="65" w:type="dxa"/>
              <w:left w:w="70" w:type="dxa"/>
              <w:bottom w:w="65" w:type="dxa"/>
              <w:right w:w="70" w:type="dxa"/>
            </w:tcMar>
            <w:vAlign w:val="center"/>
          </w:tcPr>
          <w:p w14:paraId="651E66F9" w14:textId="77777777" w:rsidR="00642847" w:rsidRPr="00187A95" w:rsidRDefault="00000000">
            <w:pPr>
              <w:spacing w:after="0" w:line="254" w:lineRule="auto"/>
              <w:rPr>
                <w:color w:val="auto"/>
              </w:rPr>
            </w:pPr>
            <w:r w:rsidRPr="00187A95">
              <w:rPr>
                <w:b/>
                <w:color w:val="auto"/>
                <w:sz w:val="16"/>
              </w:rPr>
              <w:t>Supporting references</w:t>
            </w:r>
          </w:p>
        </w:tc>
      </w:tr>
      <w:tr w:rsidR="00187A95" w:rsidRPr="00187A95" w14:paraId="12CE79B7" w14:textId="77777777">
        <w:tc>
          <w:tcPr>
            <w:tcW w:w="1915" w:type="dxa"/>
            <w:tcMar>
              <w:top w:w="65" w:type="dxa"/>
              <w:left w:w="70" w:type="dxa"/>
              <w:bottom w:w="65" w:type="dxa"/>
              <w:right w:w="70" w:type="dxa"/>
            </w:tcMar>
            <w:vAlign w:val="center"/>
          </w:tcPr>
          <w:p w14:paraId="625CE361" w14:textId="77777777" w:rsidR="00642847" w:rsidRPr="00187A95" w:rsidRDefault="00000000">
            <w:pPr>
              <w:spacing w:after="0" w:line="254" w:lineRule="auto"/>
              <w:rPr>
                <w:color w:val="auto"/>
              </w:rPr>
            </w:pPr>
            <w:r w:rsidRPr="00187A95">
              <w:rPr>
                <w:color w:val="auto"/>
                <w:sz w:val="16"/>
              </w:rPr>
              <w:t>Family movement cluster trial</w:t>
            </w:r>
          </w:p>
        </w:tc>
        <w:tc>
          <w:tcPr>
            <w:tcW w:w="2664" w:type="dxa"/>
            <w:tcMar>
              <w:top w:w="65" w:type="dxa"/>
              <w:left w:w="70" w:type="dxa"/>
              <w:bottom w:w="65" w:type="dxa"/>
              <w:right w:w="70" w:type="dxa"/>
            </w:tcMar>
            <w:vAlign w:val="center"/>
          </w:tcPr>
          <w:p w14:paraId="208BE11F" w14:textId="77777777" w:rsidR="00642847" w:rsidRPr="00187A95" w:rsidRDefault="00000000">
            <w:pPr>
              <w:spacing w:after="0" w:line="254" w:lineRule="auto"/>
              <w:rPr>
                <w:color w:val="auto"/>
              </w:rPr>
            </w:pPr>
            <w:r w:rsidRPr="00187A95">
              <w:rPr>
                <w:color w:val="auto"/>
                <w:sz w:val="16"/>
              </w:rPr>
              <w:t>Increased child movement and motor skills; changed support-related measures</w:t>
            </w:r>
          </w:p>
        </w:tc>
        <w:tc>
          <w:tcPr>
            <w:tcW w:w="2232" w:type="dxa"/>
            <w:tcMar>
              <w:top w:w="65" w:type="dxa"/>
              <w:left w:w="70" w:type="dxa"/>
              <w:bottom w:w="65" w:type="dxa"/>
              <w:right w:w="70" w:type="dxa"/>
            </w:tcMar>
            <w:vAlign w:val="center"/>
          </w:tcPr>
          <w:p w14:paraId="314836C8" w14:textId="77777777" w:rsidR="00642847" w:rsidRPr="00187A95" w:rsidRDefault="00000000">
            <w:pPr>
              <w:spacing w:after="0" w:line="254" w:lineRule="auto"/>
              <w:rPr>
                <w:color w:val="auto"/>
              </w:rPr>
            </w:pPr>
            <w:r w:rsidRPr="00187A95">
              <w:rPr>
                <w:color w:val="auto"/>
                <w:sz w:val="16"/>
              </w:rPr>
              <w:t>Emotion regulation not directly established</w:t>
            </w:r>
          </w:p>
        </w:tc>
        <w:tc>
          <w:tcPr>
            <w:tcW w:w="2088" w:type="dxa"/>
            <w:tcMar>
              <w:top w:w="65" w:type="dxa"/>
              <w:left w:w="70" w:type="dxa"/>
              <w:bottom w:w="65" w:type="dxa"/>
              <w:right w:w="70" w:type="dxa"/>
            </w:tcMar>
            <w:vAlign w:val="center"/>
          </w:tcPr>
          <w:p w14:paraId="3A6A6C4D" w14:textId="77777777" w:rsidR="00642847" w:rsidRPr="00187A95" w:rsidRDefault="00000000">
            <w:pPr>
              <w:spacing w:after="0" w:line="254" w:lineRule="auto"/>
              <w:rPr>
                <w:color w:val="auto"/>
              </w:rPr>
            </w:pPr>
            <w:r w:rsidRPr="00187A95">
              <w:rPr>
                <w:color w:val="auto"/>
                <w:sz w:val="16"/>
              </w:rPr>
              <w:t>Include emotional recovery and co-regulation measures</w:t>
            </w:r>
          </w:p>
        </w:tc>
        <w:tc>
          <w:tcPr>
            <w:tcW w:w="1685" w:type="dxa"/>
            <w:tcMar>
              <w:top w:w="65" w:type="dxa"/>
              <w:left w:w="70" w:type="dxa"/>
              <w:bottom w:w="65" w:type="dxa"/>
              <w:right w:w="70" w:type="dxa"/>
            </w:tcMar>
            <w:vAlign w:val="center"/>
          </w:tcPr>
          <w:p w14:paraId="1FC9910E" w14:textId="77777777" w:rsidR="00642847" w:rsidRPr="00187A95" w:rsidRDefault="00000000">
            <w:pPr>
              <w:spacing w:after="0" w:line="254" w:lineRule="auto"/>
              <w:rPr>
                <w:color w:val="auto"/>
              </w:rPr>
            </w:pPr>
            <w:r w:rsidRPr="00187A95">
              <w:rPr>
                <w:color w:val="auto"/>
                <w:sz w:val="16"/>
              </w:rPr>
              <w:t>He et al. (2024)</w:t>
            </w:r>
          </w:p>
        </w:tc>
      </w:tr>
      <w:tr w:rsidR="00187A95" w:rsidRPr="00187A95" w14:paraId="22BE477D" w14:textId="77777777">
        <w:tc>
          <w:tcPr>
            <w:tcW w:w="1915" w:type="dxa"/>
            <w:tcMar>
              <w:top w:w="65" w:type="dxa"/>
              <w:left w:w="70" w:type="dxa"/>
              <w:bottom w:w="65" w:type="dxa"/>
              <w:right w:w="70" w:type="dxa"/>
            </w:tcMar>
            <w:vAlign w:val="center"/>
          </w:tcPr>
          <w:p w14:paraId="16201ABB" w14:textId="77777777" w:rsidR="00642847" w:rsidRPr="00187A95" w:rsidRDefault="00000000">
            <w:pPr>
              <w:spacing w:after="0" w:line="254" w:lineRule="auto"/>
              <w:rPr>
                <w:color w:val="auto"/>
              </w:rPr>
            </w:pPr>
            <w:r w:rsidRPr="00187A95">
              <w:rPr>
                <w:color w:val="auto"/>
                <w:sz w:val="16"/>
              </w:rPr>
              <w:t xml:space="preserve">Home/community activity </w:t>
            </w:r>
            <w:proofErr w:type="spellStart"/>
            <w:r w:rsidRPr="00187A95">
              <w:rPr>
                <w:color w:val="auto"/>
                <w:sz w:val="16"/>
              </w:rPr>
              <w:t>programmes</w:t>
            </w:r>
            <w:proofErr w:type="spellEnd"/>
          </w:p>
        </w:tc>
        <w:tc>
          <w:tcPr>
            <w:tcW w:w="2664" w:type="dxa"/>
            <w:tcMar>
              <w:top w:w="65" w:type="dxa"/>
              <w:left w:w="70" w:type="dxa"/>
              <w:bottom w:w="65" w:type="dxa"/>
              <w:right w:w="70" w:type="dxa"/>
            </w:tcMar>
            <w:vAlign w:val="center"/>
          </w:tcPr>
          <w:p w14:paraId="68AE22B7" w14:textId="77777777" w:rsidR="00642847" w:rsidRPr="00187A95" w:rsidRDefault="00000000">
            <w:pPr>
              <w:spacing w:after="0" w:line="254" w:lineRule="auto"/>
              <w:rPr>
                <w:color w:val="auto"/>
              </w:rPr>
            </w:pPr>
            <w:r w:rsidRPr="00187A95">
              <w:rPr>
                <w:color w:val="auto"/>
                <w:sz w:val="16"/>
              </w:rPr>
              <w:t>Variable activity and developmental outcomes</w:t>
            </w:r>
          </w:p>
        </w:tc>
        <w:tc>
          <w:tcPr>
            <w:tcW w:w="2232" w:type="dxa"/>
            <w:tcMar>
              <w:top w:w="65" w:type="dxa"/>
              <w:left w:w="70" w:type="dxa"/>
              <w:bottom w:w="65" w:type="dxa"/>
              <w:right w:w="70" w:type="dxa"/>
            </w:tcMar>
            <w:vAlign w:val="center"/>
          </w:tcPr>
          <w:p w14:paraId="7B76BBD1" w14:textId="77777777" w:rsidR="00642847" w:rsidRPr="00187A95" w:rsidRDefault="00000000">
            <w:pPr>
              <w:spacing w:after="0" w:line="254" w:lineRule="auto"/>
              <w:rPr>
                <w:color w:val="auto"/>
              </w:rPr>
            </w:pPr>
            <w:r w:rsidRPr="00187A95">
              <w:rPr>
                <w:color w:val="auto"/>
                <w:sz w:val="16"/>
              </w:rPr>
              <w:t>Limited direct evidence for emotion-specific benefit</w:t>
            </w:r>
          </w:p>
        </w:tc>
        <w:tc>
          <w:tcPr>
            <w:tcW w:w="2088" w:type="dxa"/>
            <w:tcMar>
              <w:top w:w="65" w:type="dxa"/>
              <w:left w:w="70" w:type="dxa"/>
              <w:bottom w:w="65" w:type="dxa"/>
              <w:right w:w="70" w:type="dxa"/>
            </w:tcMar>
            <w:vAlign w:val="center"/>
          </w:tcPr>
          <w:p w14:paraId="15102C00" w14:textId="77777777" w:rsidR="00642847" w:rsidRPr="00187A95" w:rsidRDefault="00000000">
            <w:pPr>
              <w:spacing w:after="0" w:line="254" w:lineRule="auto"/>
              <w:rPr>
                <w:color w:val="auto"/>
              </w:rPr>
            </w:pPr>
            <w:r w:rsidRPr="00187A95">
              <w:rPr>
                <w:color w:val="auto"/>
                <w:sz w:val="16"/>
              </w:rPr>
              <w:t>Disaggregate delivery and family context</w:t>
            </w:r>
          </w:p>
        </w:tc>
        <w:tc>
          <w:tcPr>
            <w:tcW w:w="1685" w:type="dxa"/>
            <w:tcMar>
              <w:top w:w="65" w:type="dxa"/>
              <w:left w:w="70" w:type="dxa"/>
              <w:bottom w:w="65" w:type="dxa"/>
              <w:right w:w="70" w:type="dxa"/>
            </w:tcMar>
            <w:vAlign w:val="center"/>
          </w:tcPr>
          <w:p w14:paraId="2874C535" w14:textId="77777777" w:rsidR="00642847" w:rsidRPr="00187A95" w:rsidRDefault="00000000">
            <w:pPr>
              <w:spacing w:after="0" w:line="254" w:lineRule="auto"/>
              <w:rPr>
                <w:color w:val="auto"/>
              </w:rPr>
            </w:pPr>
            <w:r w:rsidRPr="00187A95">
              <w:rPr>
                <w:color w:val="auto"/>
                <w:sz w:val="16"/>
              </w:rPr>
              <w:t>Moss &amp; Gu (2022)</w:t>
            </w:r>
          </w:p>
        </w:tc>
      </w:tr>
      <w:tr w:rsidR="00187A95" w:rsidRPr="00187A95" w14:paraId="0303BC86" w14:textId="77777777">
        <w:tc>
          <w:tcPr>
            <w:tcW w:w="1915" w:type="dxa"/>
            <w:tcMar>
              <w:top w:w="65" w:type="dxa"/>
              <w:left w:w="70" w:type="dxa"/>
              <w:bottom w:w="65" w:type="dxa"/>
              <w:right w:w="70" w:type="dxa"/>
            </w:tcMar>
            <w:vAlign w:val="center"/>
          </w:tcPr>
          <w:p w14:paraId="78C959F4" w14:textId="77777777" w:rsidR="00642847" w:rsidRPr="00187A95" w:rsidRDefault="00000000">
            <w:pPr>
              <w:spacing w:after="0" w:line="254" w:lineRule="auto"/>
              <w:rPr>
                <w:color w:val="auto"/>
              </w:rPr>
            </w:pPr>
            <w:r w:rsidRPr="00187A95">
              <w:rPr>
                <w:color w:val="auto"/>
                <w:sz w:val="16"/>
              </w:rPr>
              <w:t>Preschool activity trial synthesis</w:t>
            </w:r>
          </w:p>
        </w:tc>
        <w:tc>
          <w:tcPr>
            <w:tcW w:w="2664" w:type="dxa"/>
            <w:tcMar>
              <w:top w:w="65" w:type="dxa"/>
              <w:left w:w="70" w:type="dxa"/>
              <w:bottom w:w="65" w:type="dxa"/>
              <w:right w:w="70" w:type="dxa"/>
            </w:tcMar>
            <w:vAlign w:val="center"/>
          </w:tcPr>
          <w:p w14:paraId="5F8CD3C9" w14:textId="77777777" w:rsidR="00642847" w:rsidRPr="00187A95" w:rsidRDefault="00000000">
            <w:pPr>
              <w:spacing w:after="0" w:line="254" w:lineRule="auto"/>
              <w:rPr>
                <w:color w:val="auto"/>
              </w:rPr>
            </w:pPr>
            <w:r w:rsidRPr="00187A95">
              <w:rPr>
                <w:color w:val="auto"/>
                <w:sz w:val="16"/>
              </w:rPr>
              <w:t>Benefits for cognitive and behavioural domains; emotional effect not significant</w:t>
            </w:r>
          </w:p>
        </w:tc>
        <w:tc>
          <w:tcPr>
            <w:tcW w:w="2232" w:type="dxa"/>
            <w:tcMar>
              <w:top w:w="65" w:type="dxa"/>
              <w:left w:w="70" w:type="dxa"/>
              <w:bottom w:w="65" w:type="dxa"/>
              <w:right w:w="70" w:type="dxa"/>
            </w:tcMar>
            <w:vAlign w:val="center"/>
          </w:tcPr>
          <w:p w14:paraId="38A5A075" w14:textId="77777777" w:rsidR="00642847" w:rsidRPr="00187A95" w:rsidRDefault="00000000">
            <w:pPr>
              <w:spacing w:after="0" w:line="254" w:lineRule="auto"/>
              <w:rPr>
                <w:color w:val="auto"/>
              </w:rPr>
            </w:pPr>
            <w:r w:rsidRPr="00187A95">
              <w:rPr>
                <w:color w:val="auto"/>
                <w:sz w:val="16"/>
              </w:rPr>
              <w:t>Do not transfer aggregate results to emotional endpoint</w:t>
            </w:r>
          </w:p>
        </w:tc>
        <w:tc>
          <w:tcPr>
            <w:tcW w:w="2088" w:type="dxa"/>
            <w:tcMar>
              <w:top w:w="65" w:type="dxa"/>
              <w:left w:w="70" w:type="dxa"/>
              <w:bottom w:w="65" w:type="dxa"/>
              <w:right w:w="70" w:type="dxa"/>
            </w:tcMar>
            <w:vAlign w:val="center"/>
          </w:tcPr>
          <w:p w14:paraId="45098B8F" w14:textId="77777777" w:rsidR="00642847" w:rsidRPr="00187A95" w:rsidRDefault="00000000">
            <w:pPr>
              <w:spacing w:after="0" w:line="254" w:lineRule="auto"/>
              <w:rPr>
                <w:color w:val="auto"/>
              </w:rPr>
            </w:pPr>
            <w:r w:rsidRPr="00187A95">
              <w:rPr>
                <w:color w:val="auto"/>
                <w:sz w:val="16"/>
              </w:rPr>
              <w:t>More home trials with prespecified emotional outcomes</w:t>
            </w:r>
          </w:p>
        </w:tc>
        <w:tc>
          <w:tcPr>
            <w:tcW w:w="1685" w:type="dxa"/>
            <w:tcMar>
              <w:top w:w="65" w:type="dxa"/>
              <w:left w:w="70" w:type="dxa"/>
              <w:bottom w:w="65" w:type="dxa"/>
              <w:right w:w="70" w:type="dxa"/>
            </w:tcMar>
            <w:vAlign w:val="center"/>
          </w:tcPr>
          <w:p w14:paraId="1A3BCBBC" w14:textId="77777777" w:rsidR="00642847" w:rsidRPr="00187A95" w:rsidRDefault="00000000">
            <w:pPr>
              <w:spacing w:after="0" w:line="254" w:lineRule="auto"/>
              <w:rPr>
                <w:color w:val="auto"/>
              </w:rPr>
            </w:pPr>
            <w:r w:rsidRPr="00187A95">
              <w:rPr>
                <w:color w:val="auto"/>
                <w:sz w:val="16"/>
              </w:rPr>
              <w:t>Lim et al. (2026)</w:t>
            </w:r>
          </w:p>
        </w:tc>
      </w:tr>
      <w:tr w:rsidR="00187A95" w:rsidRPr="00187A95" w14:paraId="00C17506" w14:textId="77777777">
        <w:tc>
          <w:tcPr>
            <w:tcW w:w="1915" w:type="dxa"/>
            <w:tcMar>
              <w:top w:w="65" w:type="dxa"/>
              <w:left w:w="70" w:type="dxa"/>
              <w:bottom w:w="65" w:type="dxa"/>
              <w:right w:w="70" w:type="dxa"/>
            </w:tcMar>
            <w:vAlign w:val="center"/>
          </w:tcPr>
          <w:p w14:paraId="41641042" w14:textId="77777777" w:rsidR="00642847" w:rsidRPr="00187A95" w:rsidRDefault="00000000">
            <w:pPr>
              <w:spacing w:after="0" w:line="254" w:lineRule="auto"/>
              <w:rPr>
                <w:color w:val="auto"/>
              </w:rPr>
            </w:pPr>
            <w:r w:rsidRPr="00187A95">
              <w:rPr>
                <w:color w:val="auto"/>
                <w:sz w:val="16"/>
              </w:rPr>
              <w:t>Large institutional movement trial</w:t>
            </w:r>
          </w:p>
        </w:tc>
        <w:tc>
          <w:tcPr>
            <w:tcW w:w="2664" w:type="dxa"/>
            <w:tcMar>
              <w:top w:w="65" w:type="dxa"/>
              <w:left w:w="70" w:type="dxa"/>
              <w:bottom w:w="65" w:type="dxa"/>
              <w:right w:w="70" w:type="dxa"/>
            </w:tcMar>
            <w:vAlign w:val="center"/>
          </w:tcPr>
          <w:p w14:paraId="36D09AEE" w14:textId="77777777" w:rsidR="00642847" w:rsidRPr="00187A95" w:rsidRDefault="00000000">
            <w:pPr>
              <w:spacing w:after="0" w:line="254" w:lineRule="auto"/>
              <w:rPr>
                <w:color w:val="auto"/>
              </w:rPr>
            </w:pPr>
            <w:r w:rsidRPr="00187A95">
              <w:rPr>
                <w:color w:val="auto"/>
                <w:sz w:val="16"/>
              </w:rPr>
              <w:t>No overall mental health or self-regulation effect</w:t>
            </w:r>
          </w:p>
        </w:tc>
        <w:tc>
          <w:tcPr>
            <w:tcW w:w="2232" w:type="dxa"/>
            <w:tcMar>
              <w:top w:w="65" w:type="dxa"/>
              <w:left w:w="70" w:type="dxa"/>
              <w:bottom w:w="65" w:type="dxa"/>
              <w:right w:w="70" w:type="dxa"/>
            </w:tcMar>
            <w:vAlign w:val="center"/>
          </w:tcPr>
          <w:p w14:paraId="7BD47CF7" w14:textId="77777777" w:rsidR="00642847" w:rsidRPr="00187A95" w:rsidRDefault="00000000">
            <w:pPr>
              <w:spacing w:after="0" w:line="254" w:lineRule="auto"/>
              <w:rPr>
                <w:color w:val="auto"/>
              </w:rPr>
            </w:pPr>
            <w:r w:rsidRPr="00187A95">
              <w:rPr>
                <w:color w:val="auto"/>
                <w:sz w:val="16"/>
              </w:rPr>
              <w:t>Challenges universal benefit claims</w:t>
            </w:r>
          </w:p>
        </w:tc>
        <w:tc>
          <w:tcPr>
            <w:tcW w:w="2088" w:type="dxa"/>
            <w:tcMar>
              <w:top w:w="65" w:type="dxa"/>
              <w:left w:w="70" w:type="dxa"/>
              <w:bottom w:w="65" w:type="dxa"/>
              <w:right w:w="70" w:type="dxa"/>
            </w:tcMar>
            <w:vAlign w:val="center"/>
          </w:tcPr>
          <w:p w14:paraId="21CB0E23" w14:textId="77777777" w:rsidR="00642847" w:rsidRPr="00187A95" w:rsidRDefault="00000000">
            <w:pPr>
              <w:spacing w:after="0" w:line="254" w:lineRule="auto"/>
              <w:rPr>
                <w:color w:val="auto"/>
              </w:rPr>
            </w:pPr>
            <w:r w:rsidRPr="00187A95">
              <w:rPr>
                <w:color w:val="auto"/>
                <w:sz w:val="16"/>
              </w:rPr>
              <w:t>Test fidelity, mediators and setting transfer</w:t>
            </w:r>
          </w:p>
        </w:tc>
        <w:tc>
          <w:tcPr>
            <w:tcW w:w="1685" w:type="dxa"/>
            <w:tcMar>
              <w:top w:w="65" w:type="dxa"/>
              <w:left w:w="70" w:type="dxa"/>
              <w:bottom w:w="65" w:type="dxa"/>
              <w:right w:w="70" w:type="dxa"/>
            </w:tcMar>
            <w:vAlign w:val="center"/>
          </w:tcPr>
          <w:p w14:paraId="05EA18AE" w14:textId="77777777" w:rsidR="00642847" w:rsidRPr="00187A95" w:rsidRDefault="00000000">
            <w:pPr>
              <w:spacing w:after="0" w:line="254" w:lineRule="auto"/>
              <w:rPr>
                <w:color w:val="auto"/>
              </w:rPr>
            </w:pPr>
            <w:r w:rsidRPr="00187A95">
              <w:rPr>
                <w:color w:val="auto"/>
                <w:sz w:val="16"/>
              </w:rPr>
              <w:t>Aadland et al. (2024)</w:t>
            </w:r>
          </w:p>
        </w:tc>
      </w:tr>
      <w:tr w:rsidR="00187A95" w:rsidRPr="00187A95" w14:paraId="3BE4AABF" w14:textId="77777777">
        <w:tc>
          <w:tcPr>
            <w:tcW w:w="1915" w:type="dxa"/>
            <w:tcMar>
              <w:top w:w="65" w:type="dxa"/>
              <w:left w:w="70" w:type="dxa"/>
              <w:bottom w:w="65" w:type="dxa"/>
              <w:right w:w="70" w:type="dxa"/>
            </w:tcMar>
            <w:vAlign w:val="center"/>
          </w:tcPr>
          <w:p w14:paraId="18B3284C" w14:textId="77777777" w:rsidR="00642847" w:rsidRPr="00187A95" w:rsidRDefault="00000000">
            <w:pPr>
              <w:spacing w:after="0" w:line="254" w:lineRule="auto"/>
              <w:rPr>
                <w:color w:val="auto"/>
              </w:rPr>
            </w:pPr>
            <w:r w:rsidRPr="00187A95">
              <w:rPr>
                <w:color w:val="auto"/>
                <w:sz w:val="16"/>
              </w:rPr>
              <w:t>Emotion-</w:t>
            </w:r>
            <w:proofErr w:type="spellStart"/>
            <w:r w:rsidRPr="00187A95">
              <w:rPr>
                <w:color w:val="auto"/>
                <w:sz w:val="16"/>
              </w:rPr>
              <w:t>socialisation</w:t>
            </w:r>
            <w:proofErr w:type="spellEnd"/>
            <w:r w:rsidRPr="00187A95">
              <w:rPr>
                <w:color w:val="auto"/>
                <w:sz w:val="16"/>
              </w:rPr>
              <w:t xml:space="preserve"> parent trials</w:t>
            </w:r>
          </w:p>
        </w:tc>
        <w:tc>
          <w:tcPr>
            <w:tcW w:w="2664" w:type="dxa"/>
            <w:tcMar>
              <w:top w:w="65" w:type="dxa"/>
              <w:left w:w="70" w:type="dxa"/>
              <w:bottom w:w="65" w:type="dxa"/>
              <w:right w:w="70" w:type="dxa"/>
            </w:tcMar>
            <w:vAlign w:val="center"/>
          </w:tcPr>
          <w:p w14:paraId="2C1D992B" w14:textId="77777777" w:rsidR="00642847" w:rsidRPr="00187A95" w:rsidRDefault="00000000">
            <w:pPr>
              <w:spacing w:after="0" w:line="254" w:lineRule="auto"/>
              <w:rPr>
                <w:color w:val="auto"/>
              </w:rPr>
            </w:pPr>
            <w:r w:rsidRPr="00187A95">
              <w:rPr>
                <w:color w:val="auto"/>
                <w:sz w:val="16"/>
              </w:rPr>
              <w:t>Improvement in child emotional competence</w:t>
            </w:r>
          </w:p>
        </w:tc>
        <w:tc>
          <w:tcPr>
            <w:tcW w:w="2232" w:type="dxa"/>
            <w:tcMar>
              <w:top w:w="65" w:type="dxa"/>
              <w:left w:w="70" w:type="dxa"/>
              <w:bottom w:w="65" w:type="dxa"/>
              <w:right w:w="70" w:type="dxa"/>
            </w:tcMar>
            <w:vAlign w:val="center"/>
          </w:tcPr>
          <w:p w14:paraId="0689D663" w14:textId="77777777" w:rsidR="00642847" w:rsidRPr="00187A95" w:rsidRDefault="00000000">
            <w:pPr>
              <w:spacing w:after="0" w:line="254" w:lineRule="auto"/>
              <w:rPr>
                <w:color w:val="auto"/>
              </w:rPr>
            </w:pPr>
            <w:r w:rsidRPr="00187A95">
              <w:rPr>
                <w:color w:val="auto"/>
                <w:sz w:val="16"/>
              </w:rPr>
              <w:t>Relational target modifiable; exercise mechanism untested</w:t>
            </w:r>
          </w:p>
        </w:tc>
        <w:tc>
          <w:tcPr>
            <w:tcW w:w="2088" w:type="dxa"/>
            <w:tcMar>
              <w:top w:w="65" w:type="dxa"/>
              <w:left w:w="70" w:type="dxa"/>
              <w:bottom w:w="65" w:type="dxa"/>
              <w:right w:w="70" w:type="dxa"/>
            </w:tcMar>
            <w:vAlign w:val="center"/>
          </w:tcPr>
          <w:p w14:paraId="70F241EE" w14:textId="77777777" w:rsidR="00642847" w:rsidRPr="00187A95" w:rsidRDefault="00000000">
            <w:pPr>
              <w:spacing w:after="0" w:line="254" w:lineRule="auto"/>
              <w:rPr>
                <w:color w:val="auto"/>
              </w:rPr>
            </w:pPr>
            <w:r w:rsidRPr="00187A95">
              <w:rPr>
                <w:color w:val="auto"/>
                <w:sz w:val="16"/>
              </w:rPr>
              <w:t>Factorial activity × coaching design</w:t>
            </w:r>
          </w:p>
        </w:tc>
        <w:tc>
          <w:tcPr>
            <w:tcW w:w="1685" w:type="dxa"/>
            <w:tcMar>
              <w:top w:w="65" w:type="dxa"/>
              <w:left w:w="70" w:type="dxa"/>
              <w:bottom w:w="65" w:type="dxa"/>
              <w:right w:w="70" w:type="dxa"/>
            </w:tcMar>
            <w:vAlign w:val="center"/>
          </w:tcPr>
          <w:p w14:paraId="18D8453B" w14:textId="77777777" w:rsidR="00642847" w:rsidRPr="00187A95" w:rsidRDefault="00000000">
            <w:pPr>
              <w:spacing w:after="0" w:line="254" w:lineRule="auto"/>
              <w:rPr>
                <w:color w:val="auto"/>
              </w:rPr>
            </w:pPr>
            <w:r w:rsidRPr="00187A95">
              <w:rPr>
                <w:color w:val="auto"/>
                <w:sz w:val="16"/>
              </w:rPr>
              <w:t>England-Mason et al. (2023)</w:t>
            </w:r>
          </w:p>
        </w:tc>
      </w:tr>
    </w:tbl>
    <w:p w14:paraId="4E7731B6" w14:textId="77777777" w:rsidR="00642847" w:rsidRPr="00187A95" w:rsidRDefault="00000000">
      <w:pPr>
        <w:pStyle w:val="TableNote"/>
        <w:rPr>
          <w:color w:val="auto"/>
        </w:rPr>
      </w:pPr>
      <w:r w:rsidRPr="00187A95">
        <w:rPr>
          <w:color w:val="auto"/>
        </w:rPr>
        <w:t>Note. A non-significant result is not proof of no effect. Outcomes reflect their original study definitions.</w:t>
      </w:r>
    </w:p>
    <w:p w14:paraId="4DBAE22B" w14:textId="77777777" w:rsidR="00642847" w:rsidRPr="00187A95" w:rsidRDefault="00000000">
      <w:pPr>
        <w:pStyle w:val="Heading1"/>
        <w:rPr>
          <w:color w:val="auto"/>
        </w:rPr>
      </w:pPr>
      <w:r w:rsidRPr="00187A95">
        <w:rPr>
          <w:color w:val="auto"/>
        </w:rPr>
        <w:t>8. Methodological Sources of Contradiction and Inference Error</w:t>
      </w:r>
    </w:p>
    <w:p w14:paraId="1583574D" w14:textId="77777777" w:rsidR="00642847" w:rsidRPr="00187A95" w:rsidRDefault="00000000">
      <w:pPr>
        <w:pStyle w:val="Heading2"/>
        <w:rPr>
          <w:color w:val="auto"/>
        </w:rPr>
      </w:pPr>
      <w:r w:rsidRPr="00187A95">
        <w:rPr>
          <w:color w:val="auto"/>
        </w:rPr>
        <w:t>8.1 Construct Validity and the Substitution of Outcomes</w:t>
      </w:r>
    </w:p>
    <w:p w14:paraId="6AB8E9FB" w14:textId="77777777" w:rsidR="00642847" w:rsidRPr="00187A95" w:rsidRDefault="00000000">
      <w:pPr>
        <w:rPr>
          <w:color w:val="auto"/>
        </w:rPr>
      </w:pPr>
      <w:r w:rsidRPr="00187A95">
        <w:rPr>
          <w:color w:val="auto"/>
        </w:rPr>
        <w:t xml:space="preserve">The most consequential methodological problem is substituting broader self-regulation for emotion regulation. A child who performs well on an inhibitory-control task may still struggle to recover from grief, anger or social rejection. A child who produces high scores on a global behaviour questionnaire may do so because of fewer environmental stressors rather than a wider repertoire of emotional strategies. Measures of emotional symptoms may track clinically important distress but cannot specify the process by which the child responds to emotion. Conversely, observations of coping in a laboratory task can capture a meaningful mechanism while raising questions about whether the behaviour generalises to home conflicts. </w:t>
      </w:r>
      <w:r w:rsidRPr="00187A95">
        <w:rPr>
          <w:color w:val="auto"/>
        </w:rPr>
        <w:lastRenderedPageBreak/>
        <w:t>Researchers should select outcomes in relation to their causal theory rather than default to the instrument most readily available (Dennis, 2006; Diamond, 2013; Ponitz et al., 2009).</w:t>
      </w:r>
    </w:p>
    <w:p w14:paraId="52F52730" w14:textId="77777777" w:rsidR="00642847" w:rsidRPr="00187A95" w:rsidRDefault="00000000">
      <w:pPr>
        <w:rPr>
          <w:color w:val="auto"/>
        </w:rPr>
      </w:pPr>
      <w:r w:rsidRPr="00187A95">
        <w:rPr>
          <w:color w:val="auto"/>
        </w:rPr>
        <w:t>The conceptual problem directly affects evidence synthesis. D’Cruz et al. (2024) found that comprehensive measurement of regulatory domains was unusual, and Lim et al. (2026) showed why domain separation alters intervention conclusions. A pooled effect for self-regulation may be driven by performance on tasks that involve rules and motor inhibition, domains that many movement programmes practise explicitly. Emotional recovery in a family conflict involves different challenges, including interpersonal meaning and emotion socialisation. Treating related competencies as equivalent can produce apparently strong support for a claim that has rarely been tested directly. A more informative approach would measure distinct domains simultaneously and test whether changes in one predict subsequent changes in another.</w:t>
      </w:r>
    </w:p>
    <w:p w14:paraId="21ED3096" w14:textId="77777777" w:rsidR="00642847" w:rsidRPr="00187A95" w:rsidRDefault="00000000">
      <w:pPr>
        <w:rPr>
          <w:color w:val="auto"/>
        </w:rPr>
      </w:pPr>
      <w:r w:rsidRPr="00187A95">
        <w:rPr>
          <w:color w:val="auto"/>
        </w:rPr>
        <w:t>Measurement invariance deserves greater attention. Parents and teachers may differ in opportunities to observe frustration, in cultural expectations of acceptable emotion and in their interpretations of energetic behaviour. A decrease in reported difficulties following intervention could reflect a changed observer threshold or increased tolerance rather than a changed child capacity. The problem is acute when the same parent receives the intervention, reports adherence and rates the outcome. Independent coding, masked assessors and multiple contexts are valuable not because parental observations are intrinsically poor, but because each reporter observes a different mixture of child behaviour, expectation and situational demands (Morris et al., 2007; Ștefan &amp; Dănilă, 2025).</w:t>
      </w:r>
    </w:p>
    <w:p w14:paraId="236D9D4C" w14:textId="77777777" w:rsidR="00642847" w:rsidRPr="00187A95" w:rsidRDefault="00000000">
      <w:pPr>
        <w:pStyle w:val="Heading2"/>
        <w:rPr>
          <w:color w:val="auto"/>
        </w:rPr>
      </w:pPr>
      <w:r w:rsidRPr="00187A95">
        <w:rPr>
          <w:color w:val="auto"/>
        </w:rPr>
        <w:t>8.2 Temporal Direction, Confounding and Statistical Mediation</w:t>
      </w:r>
    </w:p>
    <w:p w14:paraId="3F3825EE" w14:textId="77777777" w:rsidR="00642847" w:rsidRPr="00187A95" w:rsidRDefault="00000000">
      <w:pPr>
        <w:rPr>
          <w:color w:val="auto"/>
        </w:rPr>
      </w:pPr>
      <w:r w:rsidRPr="00187A95">
        <w:rPr>
          <w:color w:val="auto"/>
        </w:rPr>
        <w:t>Cross-sectional regression cannot determine whether movement precedes regulation. Bidirectionality is plausible across practically all pathways considered here: more regulated children may enjoy complex play, responsive caregivers may offer more autonomy and children who remain distressed may be withdrawn from challenging activities. Multivariable adjustment can account for measured covariates, yet unobserved parental mental health, temperament, daily routine and neighbourhood constraints may remain. Prospective studies improve temporal ordering when they adjust for baseline regulation, but differential attrition and time-varying confounding remain possible. Randomised allocation improves identification of intervention effects while leaving component mechanisms unresolved if multiple elements change together (Colliver et al., 2022; D’Cruz et al., 2024).</w:t>
      </w:r>
    </w:p>
    <w:p w14:paraId="6813F393" w14:textId="77777777" w:rsidR="00642847" w:rsidRPr="00187A95" w:rsidRDefault="00000000">
      <w:pPr>
        <w:rPr>
          <w:color w:val="auto"/>
        </w:rPr>
      </w:pPr>
      <w:r w:rsidRPr="00187A95">
        <w:rPr>
          <w:color w:val="auto"/>
        </w:rPr>
        <w:t>Cross-sectional statistical mediation is particularly susceptible to overinterpretation. Testing whether the product of two regression coefficients differs from zero does not establish that a proposed mediator changed after exposure and before the outcome. For example, parental sports support, exercise habits and parent–child relationship quality could be mutually influential or shaped by stable family characteristics. The model of Min et al. (2026) is consistent with a theory of linked family processes, but it cannot adjudicate among competing developmental sequences. Similarly, associations among gross motor skill, executive function and emotional regulation in a single survey support theoretical model building rather than proof of a neurocognitive causal pathway (Ma et al., 2024).</w:t>
      </w:r>
    </w:p>
    <w:p w14:paraId="60743F9E" w14:textId="77777777" w:rsidR="00642847" w:rsidRPr="00187A95" w:rsidRDefault="00000000">
      <w:pPr>
        <w:rPr>
          <w:color w:val="auto"/>
        </w:rPr>
      </w:pPr>
      <w:r w:rsidRPr="00187A95">
        <w:rPr>
          <w:color w:val="auto"/>
        </w:rPr>
        <w:t xml:space="preserve">Developmental change is another neglected source of bias. Preschool children acquire language, coping strategies and autonomy rapidly, while school entry alters expectations and access to play. Without repeated measures and age-sensitive instruments, apparent intervention gains can partly reflect maturation. A design with multiple pre-intervention observations, repeated follow-up and independently </w:t>
      </w:r>
      <w:r w:rsidRPr="00187A95">
        <w:rPr>
          <w:color w:val="auto"/>
        </w:rPr>
        <w:lastRenderedPageBreak/>
        <w:t>observed play processes would be more informative than a simple pre-test/post-test contrast. Analyses should distinguish between-child differences from within-child change; the family with consistently high activity may also have consistently high resources, whereas the question of interest concerns what happens when that particular child's opportunities change (Blair &amp; Raver, 2015; Kerr et al., 2021).</w:t>
      </w:r>
    </w:p>
    <w:p w14:paraId="66B97BD8" w14:textId="77777777" w:rsidR="00642847" w:rsidRPr="00187A95" w:rsidRDefault="00000000">
      <w:pPr>
        <w:pStyle w:val="Heading2"/>
        <w:rPr>
          <w:color w:val="auto"/>
        </w:rPr>
      </w:pPr>
      <w:r w:rsidRPr="00187A95">
        <w:rPr>
          <w:color w:val="auto"/>
        </w:rPr>
        <w:t>8.3 Setting, Reporting and Selective Visibility</w:t>
      </w:r>
    </w:p>
    <w:p w14:paraId="74D0F970" w14:textId="77777777" w:rsidR="00642847" w:rsidRPr="00187A95" w:rsidRDefault="00000000">
      <w:pPr>
        <w:rPr>
          <w:color w:val="auto"/>
        </w:rPr>
      </w:pPr>
      <w:r w:rsidRPr="00187A95">
        <w:rPr>
          <w:color w:val="auto"/>
        </w:rPr>
        <w:t>Activity studies often measure children in educational settings because recruitment and intervention delivery are efficient. The family setting is less standardised, with considerable variation in layout, caregiver availability, outdoor space and competing demands. Findings may not transport if their mechanism depends on staff-led group games or peer relationships. Conversely, observations of caregiver–child synchrony under laboratory conditions may capture interactional capacities that do not occur with the same frequency during busy household routines. Both traditions require ecological validation rather than assuming their setting represents the home. Wearable movement sensors, time-use sampling and brief video-coded exchanges could provide complementary evidence while raising ethical and practical questions about household privacy (He et al., 2024; Lobo &amp; Lunkenheimer, 2020).</w:t>
      </w:r>
    </w:p>
    <w:p w14:paraId="0FFE3414" w14:textId="77777777" w:rsidR="00642847" w:rsidRPr="00187A95" w:rsidRDefault="00000000">
      <w:pPr>
        <w:rPr>
          <w:color w:val="auto"/>
        </w:rPr>
      </w:pPr>
      <w:r w:rsidRPr="00187A95">
        <w:rPr>
          <w:color w:val="auto"/>
        </w:rPr>
        <w:t>Selective outcome reporting can further obscure the evidence. A multicomponent intervention may assess numerous behavioural, cognitive and emotional scales, increasing the chance of a favourable result by chance. Lim et al. (2026) identified publication-bias concerns in the trial literature, which should temper confidence in a positive pooled overall estimate. Null results from well-conducted cluster trials warrant comparable attention to positive small studies. Small subgroup effects also require caution when multiple comparisons are performed or moderation was not specified in advance. Where results are uncertain, confidence intervals, clinical importance, reproducibility and consistency across measures are more useful than a binary statistically significant label (Aadland et al., 2024; Lim et al., 2026).</w:t>
      </w:r>
    </w:p>
    <w:p w14:paraId="26209672" w14:textId="77777777" w:rsidR="00642847" w:rsidRPr="00187A95" w:rsidRDefault="00000000">
      <w:pPr>
        <w:rPr>
          <w:color w:val="auto"/>
        </w:rPr>
      </w:pPr>
      <w:r w:rsidRPr="00187A95">
        <w:rPr>
          <w:color w:val="auto"/>
        </w:rPr>
        <w:t>Evidence is also unevenly distributed across family structures and geographical contexts. Mothers are more often recruited than fathers, and households facing financial or logistical hardship may be less likely to complete repeated assessments. Studies able to observe movement outdoors may disproportionately involve families with safe access. As a result, the review cannot assume that the average association represents single-parent households, families in insecure housing or children with substantial support needs. Reporting recruitment, exclusions, adaptations and reasons for non-participation should be treated as part of evaluating external validity, not as administrative detail (Puglisi et al., 2024; Robinson et al., 2021).</w:t>
      </w:r>
    </w:p>
    <w:p w14:paraId="4B384936" w14:textId="77777777" w:rsidR="00642847" w:rsidRPr="00187A95" w:rsidRDefault="00000000">
      <w:pPr>
        <w:rPr>
          <w:color w:val="auto"/>
        </w:rPr>
      </w:pPr>
      <w:r w:rsidRPr="00187A95">
        <w:rPr>
          <w:color w:val="auto"/>
        </w:rPr>
        <w:t>Table 5 summarises the principal threats to inference and matches each with a concrete improvement. Its purpose is not to impose a universal risk score on incomparable designs, but to prevent the most common category errors: inferring emotion regulation from unrelated endpoints, inferring causation from temporal ambiguity and inferring home effectiveness from school interventions.</w:t>
      </w:r>
    </w:p>
    <w:p w14:paraId="495D867E" w14:textId="77777777" w:rsidR="00642847" w:rsidRPr="00187A95" w:rsidRDefault="00000000">
      <w:pPr>
        <w:pStyle w:val="TableTitle"/>
        <w:rPr>
          <w:color w:val="auto"/>
        </w:rPr>
      </w:pPr>
      <w:r w:rsidRPr="00187A95">
        <w:rPr>
          <w:color w:val="auto"/>
        </w:rPr>
        <w:t>Table 5. Methodological threats, consequences and high-value remedies</w:t>
      </w:r>
    </w:p>
    <w:tbl>
      <w:tblPr>
        <w:tblStyle w:val="TableGrid"/>
        <w:tblW w:w="0" w:type="auto"/>
        <w:tblLayout w:type="fixed"/>
        <w:tblLook w:val="04A0" w:firstRow="1" w:lastRow="0" w:firstColumn="1" w:lastColumn="0" w:noHBand="0" w:noVBand="1"/>
      </w:tblPr>
      <w:tblGrid>
        <w:gridCol w:w="2405"/>
        <w:gridCol w:w="2405"/>
        <w:gridCol w:w="2736"/>
        <w:gridCol w:w="2405"/>
      </w:tblGrid>
      <w:tr w:rsidR="00187A95" w:rsidRPr="00187A95" w14:paraId="29E2794D" w14:textId="77777777">
        <w:trPr>
          <w:tblHeader/>
        </w:trPr>
        <w:tc>
          <w:tcPr>
            <w:tcW w:w="2405" w:type="dxa"/>
            <w:shd w:val="clear" w:color="auto" w:fill="E9EFF2"/>
            <w:tcMar>
              <w:top w:w="65" w:type="dxa"/>
              <w:left w:w="70" w:type="dxa"/>
              <w:bottom w:w="65" w:type="dxa"/>
              <w:right w:w="70" w:type="dxa"/>
            </w:tcMar>
            <w:vAlign w:val="center"/>
          </w:tcPr>
          <w:p w14:paraId="23FD5C81" w14:textId="77777777" w:rsidR="00642847" w:rsidRPr="00187A95" w:rsidRDefault="00000000">
            <w:pPr>
              <w:spacing w:after="0" w:line="254" w:lineRule="auto"/>
              <w:rPr>
                <w:color w:val="auto"/>
              </w:rPr>
            </w:pPr>
            <w:r w:rsidRPr="00187A95">
              <w:rPr>
                <w:b/>
                <w:color w:val="auto"/>
                <w:sz w:val="16"/>
              </w:rPr>
              <w:t>Threat</w:t>
            </w:r>
          </w:p>
        </w:tc>
        <w:tc>
          <w:tcPr>
            <w:tcW w:w="2405" w:type="dxa"/>
            <w:shd w:val="clear" w:color="auto" w:fill="E9EFF2"/>
            <w:tcMar>
              <w:top w:w="65" w:type="dxa"/>
              <w:left w:w="70" w:type="dxa"/>
              <w:bottom w:w="65" w:type="dxa"/>
              <w:right w:w="70" w:type="dxa"/>
            </w:tcMar>
            <w:vAlign w:val="center"/>
          </w:tcPr>
          <w:p w14:paraId="49D27457" w14:textId="77777777" w:rsidR="00642847" w:rsidRPr="00187A95" w:rsidRDefault="00000000">
            <w:pPr>
              <w:spacing w:after="0" w:line="254" w:lineRule="auto"/>
              <w:rPr>
                <w:color w:val="auto"/>
              </w:rPr>
            </w:pPr>
            <w:r w:rsidRPr="00187A95">
              <w:rPr>
                <w:b/>
                <w:color w:val="auto"/>
                <w:sz w:val="16"/>
              </w:rPr>
              <w:t>Likely distortion</w:t>
            </w:r>
          </w:p>
        </w:tc>
        <w:tc>
          <w:tcPr>
            <w:tcW w:w="2405" w:type="dxa"/>
            <w:shd w:val="clear" w:color="auto" w:fill="E9EFF2"/>
            <w:tcMar>
              <w:top w:w="65" w:type="dxa"/>
              <w:left w:w="70" w:type="dxa"/>
              <w:bottom w:w="65" w:type="dxa"/>
              <w:right w:w="70" w:type="dxa"/>
            </w:tcMar>
            <w:vAlign w:val="center"/>
          </w:tcPr>
          <w:p w14:paraId="29C5FF47" w14:textId="77777777" w:rsidR="00642847" w:rsidRPr="00187A95" w:rsidRDefault="00000000">
            <w:pPr>
              <w:spacing w:after="0" w:line="254" w:lineRule="auto"/>
              <w:rPr>
                <w:color w:val="auto"/>
              </w:rPr>
            </w:pPr>
            <w:r w:rsidRPr="00187A95">
              <w:rPr>
                <w:b/>
                <w:color w:val="auto"/>
                <w:sz w:val="16"/>
              </w:rPr>
              <w:t>Research remedy</w:t>
            </w:r>
          </w:p>
        </w:tc>
        <w:tc>
          <w:tcPr>
            <w:tcW w:w="2405" w:type="dxa"/>
            <w:shd w:val="clear" w:color="auto" w:fill="E9EFF2"/>
            <w:tcMar>
              <w:top w:w="65" w:type="dxa"/>
              <w:left w:w="70" w:type="dxa"/>
              <w:bottom w:w="65" w:type="dxa"/>
              <w:right w:w="70" w:type="dxa"/>
            </w:tcMar>
            <w:vAlign w:val="center"/>
          </w:tcPr>
          <w:p w14:paraId="2BDF202F" w14:textId="77777777" w:rsidR="00642847" w:rsidRPr="00187A95" w:rsidRDefault="00000000">
            <w:pPr>
              <w:spacing w:after="0" w:line="254" w:lineRule="auto"/>
              <w:rPr>
                <w:color w:val="auto"/>
              </w:rPr>
            </w:pPr>
            <w:r w:rsidRPr="00187A95">
              <w:rPr>
                <w:b/>
                <w:color w:val="auto"/>
                <w:sz w:val="16"/>
              </w:rPr>
              <w:t>Supporting references</w:t>
            </w:r>
          </w:p>
        </w:tc>
      </w:tr>
      <w:tr w:rsidR="00187A95" w:rsidRPr="00187A95" w14:paraId="455E0ACB" w14:textId="77777777">
        <w:tc>
          <w:tcPr>
            <w:tcW w:w="1915" w:type="dxa"/>
            <w:tcMar>
              <w:top w:w="65" w:type="dxa"/>
              <w:left w:w="70" w:type="dxa"/>
              <w:bottom w:w="65" w:type="dxa"/>
              <w:right w:w="70" w:type="dxa"/>
            </w:tcMar>
            <w:vAlign w:val="center"/>
          </w:tcPr>
          <w:p w14:paraId="70544AB9" w14:textId="77777777" w:rsidR="00642847" w:rsidRPr="00187A95" w:rsidRDefault="00000000">
            <w:pPr>
              <w:spacing w:after="0" w:line="254" w:lineRule="auto"/>
              <w:rPr>
                <w:color w:val="auto"/>
              </w:rPr>
            </w:pPr>
            <w:r w:rsidRPr="00187A95">
              <w:rPr>
                <w:color w:val="auto"/>
                <w:sz w:val="16"/>
              </w:rPr>
              <w:t>Outcome substitution</w:t>
            </w:r>
          </w:p>
        </w:tc>
        <w:tc>
          <w:tcPr>
            <w:tcW w:w="2304" w:type="dxa"/>
            <w:tcMar>
              <w:top w:w="65" w:type="dxa"/>
              <w:left w:w="70" w:type="dxa"/>
              <w:bottom w:w="65" w:type="dxa"/>
              <w:right w:w="70" w:type="dxa"/>
            </w:tcMar>
            <w:vAlign w:val="center"/>
          </w:tcPr>
          <w:p w14:paraId="6CC38D8C" w14:textId="77777777" w:rsidR="00642847" w:rsidRPr="00187A95" w:rsidRDefault="00000000">
            <w:pPr>
              <w:spacing w:after="0" w:line="254" w:lineRule="auto"/>
              <w:rPr>
                <w:color w:val="auto"/>
              </w:rPr>
            </w:pPr>
            <w:r w:rsidRPr="00187A95">
              <w:rPr>
                <w:color w:val="auto"/>
                <w:sz w:val="16"/>
              </w:rPr>
              <w:t>Behavioural or cognitive gains mislabelled emotional</w:t>
            </w:r>
          </w:p>
        </w:tc>
        <w:tc>
          <w:tcPr>
            <w:tcW w:w="2736" w:type="dxa"/>
            <w:tcMar>
              <w:top w:w="65" w:type="dxa"/>
              <w:left w:w="70" w:type="dxa"/>
              <w:bottom w:w="65" w:type="dxa"/>
              <w:right w:w="70" w:type="dxa"/>
            </w:tcMar>
            <w:vAlign w:val="center"/>
          </w:tcPr>
          <w:p w14:paraId="251A14E5" w14:textId="77777777" w:rsidR="00642847" w:rsidRPr="00187A95" w:rsidRDefault="00000000">
            <w:pPr>
              <w:spacing w:after="0" w:line="254" w:lineRule="auto"/>
              <w:rPr>
                <w:color w:val="auto"/>
              </w:rPr>
            </w:pPr>
            <w:r w:rsidRPr="00187A95">
              <w:rPr>
                <w:color w:val="auto"/>
                <w:sz w:val="16"/>
              </w:rPr>
              <w:t>Separate validated emotional, cognitive and behavioural endpoints</w:t>
            </w:r>
          </w:p>
        </w:tc>
        <w:tc>
          <w:tcPr>
            <w:tcW w:w="2189" w:type="dxa"/>
            <w:tcMar>
              <w:top w:w="65" w:type="dxa"/>
              <w:left w:w="70" w:type="dxa"/>
              <w:bottom w:w="65" w:type="dxa"/>
              <w:right w:w="70" w:type="dxa"/>
            </w:tcMar>
            <w:vAlign w:val="center"/>
          </w:tcPr>
          <w:p w14:paraId="74A0515B" w14:textId="77777777" w:rsidR="00642847" w:rsidRPr="00187A95" w:rsidRDefault="00000000">
            <w:pPr>
              <w:spacing w:after="0" w:line="254" w:lineRule="auto"/>
              <w:rPr>
                <w:color w:val="auto"/>
              </w:rPr>
            </w:pPr>
            <w:r w:rsidRPr="00187A95">
              <w:rPr>
                <w:color w:val="auto"/>
                <w:sz w:val="16"/>
              </w:rPr>
              <w:t>D’Cruz et al. (2024); Lim et al. (2026)</w:t>
            </w:r>
          </w:p>
        </w:tc>
      </w:tr>
      <w:tr w:rsidR="00187A95" w:rsidRPr="00187A95" w14:paraId="2204D19A" w14:textId="77777777">
        <w:tc>
          <w:tcPr>
            <w:tcW w:w="1915" w:type="dxa"/>
            <w:tcMar>
              <w:top w:w="65" w:type="dxa"/>
              <w:left w:w="70" w:type="dxa"/>
              <w:bottom w:w="65" w:type="dxa"/>
              <w:right w:w="70" w:type="dxa"/>
            </w:tcMar>
            <w:vAlign w:val="center"/>
          </w:tcPr>
          <w:p w14:paraId="43D0D59A" w14:textId="77777777" w:rsidR="00642847" w:rsidRPr="00187A95" w:rsidRDefault="00000000">
            <w:pPr>
              <w:spacing w:after="0" w:line="254" w:lineRule="auto"/>
              <w:rPr>
                <w:color w:val="auto"/>
              </w:rPr>
            </w:pPr>
            <w:r w:rsidRPr="00187A95">
              <w:rPr>
                <w:color w:val="auto"/>
                <w:sz w:val="16"/>
              </w:rPr>
              <w:t>Cross-sectional direction</w:t>
            </w:r>
          </w:p>
        </w:tc>
        <w:tc>
          <w:tcPr>
            <w:tcW w:w="2304" w:type="dxa"/>
            <w:tcMar>
              <w:top w:w="65" w:type="dxa"/>
              <w:left w:w="70" w:type="dxa"/>
              <w:bottom w:w="65" w:type="dxa"/>
              <w:right w:w="70" w:type="dxa"/>
            </w:tcMar>
            <w:vAlign w:val="center"/>
          </w:tcPr>
          <w:p w14:paraId="3D9F5634" w14:textId="77777777" w:rsidR="00642847" w:rsidRPr="00187A95" w:rsidRDefault="00000000">
            <w:pPr>
              <w:spacing w:after="0" w:line="254" w:lineRule="auto"/>
              <w:rPr>
                <w:color w:val="auto"/>
              </w:rPr>
            </w:pPr>
            <w:r w:rsidRPr="00187A95">
              <w:rPr>
                <w:color w:val="auto"/>
                <w:sz w:val="16"/>
              </w:rPr>
              <w:t>Pre-existing regulation drives participation</w:t>
            </w:r>
          </w:p>
        </w:tc>
        <w:tc>
          <w:tcPr>
            <w:tcW w:w="2736" w:type="dxa"/>
            <w:tcMar>
              <w:top w:w="65" w:type="dxa"/>
              <w:left w:w="70" w:type="dxa"/>
              <w:bottom w:w="65" w:type="dxa"/>
              <w:right w:w="70" w:type="dxa"/>
            </w:tcMar>
            <w:vAlign w:val="center"/>
          </w:tcPr>
          <w:p w14:paraId="24BAD9E4" w14:textId="77777777" w:rsidR="00642847" w:rsidRPr="00187A95" w:rsidRDefault="00000000">
            <w:pPr>
              <w:spacing w:after="0" w:line="254" w:lineRule="auto"/>
              <w:rPr>
                <w:color w:val="auto"/>
              </w:rPr>
            </w:pPr>
            <w:r w:rsidRPr="00187A95">
              <w:rPr>
                <w:color w:val="auto"/>
                <w:sz w:val="16"/>
              </w:rPr>
              <w:t>Prospective within-child data and baseline adjustment</w:t>
            </w:r>
          </w:p>
        </w:tc>
        <w:tc>
          <w:tcPr>
            <w:tcW w:w="2189" w:type="dxa"/>
            <w:tcMar>
              <w:top w:w="65" w:type="dxa"/>
              <w:left w:w="70" w:type="dxa"/>
              <w:bottom w:w="65" w:type="dxa"/>
              <w:right w:w="70" w:type="dxa"/>
            </w:tcMar>
            <w:vAlign w:val="center"/>
          </w:tcPr>
          <w:p w14:paraId="2F45C0DE" w14:textId="77777777" w:rsidR="00642847" w:rsidRPr="00187A95" w:rsidRDefault="00000000">
            <w:pPr>
              <w:spacing w:after="0" w:line="254" w:lineRule="auto"/>
              <w:rPr>
                <w:color w:val="auto"/>
              </w:rPr>
            </w:pPr>
            <w:r w:rsidRPr="00187A95">
              <w:rPr>
                <w:color w:val="auto"/>
                <w:sz w:val="16"/>
              </w:rPr>
              <w:t>Colliver et al. (2022); Min et al. (2026)</w:t>
            </w:r>
          </w:p>
        </w:tc>
      </w:tr>
      <w:tr w:rsidR="00187A95" w:rsidRPr="00187A95" w14:paraId="4082C6D2" w14:textId="77777777">
        <w:tc>
          <w:tcPr>
            <w:tcW w:w="1915" w:type="dxa"/>
            <w:tcMar>
              <w:top w:w="65" w:type="dxa"/>
              <w:left w:w="70" w:type="dxa"/>
              <w:bottom w:w="65" w:type="dxa"/>
              <w:right w:w="70" w:type="dxa"/>
            </w:tcMar>
            <w:vAlign w:val="center"/>
          </w:tcPr>
          <w:p w14:paraId="2DE9C954" w14:textId="77777777" w:rsidR="00642847" w:rsidRPr="00187A95" w:rsidRDefault="00000000">
            <w:pPr>
              <w:spacing w:after="0" w:line="254" w:lineRule="auto"/>
              <w:rPr>
                <w:color w:val="auto"/>
              </w:rPr>
            </w:pPr>
            <w:r w:rsidRPr="00187A95">
              <w:rPr>
                <w:color w:val="auto"/>
                <w:sz w:val="16"/>
              </w:rPr>
              <w:lastRenderedPageBreak/>
              <w:t>Common-reporter bias</w:t>
            </w:r>
          </w:p>
        </w:tc>
        <w:tc>
          <w:tcPr>
            <w:tcW w:w="2304" w:type="dxa"/>
            <w:tcMar>
              <w:top w:w="65" w:type="dxa"/>
              <w:left w:w="70" w:type="dxa"/>
              <w:bottom w:w="65" w:type="dxa"/>
              <w:right w:w="70" w:type="dxa"/>
            </w:tcMar>
            <w:vAlign w:val="center"/>
          </w:tcPr>
          <w:p w14:paraId="7CDD60D2" w14:textId="77777777" w:rsidR="00642847" w:rsidRPr="00187A95" w:rsidRDefault="00000000">
            <w:pPr>
              <w:spacing w:after="0" w:line="254" w:lineRule="auto"/>
              <w:rPr>
                <w:color w:val="auto"/>
              </w:rPr>
            </w:pPr>
            <w:r w:rsidRPr="00187A95">
              <w:rPr>
                <w:color w:val="auto"/>
                <w:sz w:val="16"/>
              </w:rPr>
              <w:t>Intervention expectations alter reported activity and coping</w:t>
            </w:r>
          </w:p>
        </w:tc>
        <w:tc>
          <w:tcPr>
            <w:tcW w:w="2736" w:type="dxa"/>
            <w:tcMar>
              <w:top w:w="65" w:type="dxa"/>
              <w:left w:w="70" w:type="dxa"/>
              <w:bottom w:w="65" w:type="dxa"/>
              <w:right w:w="70" w:type="dxa"/>
            </w:tcMar>
            <w:vAlign w:val="center"/>
          </w:tcPr>
          <w:p w14:paraId="53D8592A" w14:textId="77777777" w:rsidR="00642847" w:rsidRPr="00187A95" w:rsidRDefault="00000000">
            <w:pPr>
              <w:spacing w:after="0" w:line="254" w:lineRule="auto"/>
              <w:rPr>
                <w:color w:val="auto"/>
              </w:rPr>
            </w:pPr>
            <w:r w:rsidRPr="00187A95">
              <w:rPr>
                <w:color w:val="auto"/>
                <w:sz w:val="16"/>
              </w:rPr>
              <w:t>Blinded observation and independent multiple informants</w:t>
            </w:r>
          </w:p>
        </w:tc>
        <w:tc>
          <w:tcPr>
            <w:tcW w:w="2189" w:type="dxa"/>
            <w:tcMar>
              <w:top w:w="65" w:type="dxa"/>
              <w:left w:w="70" w:type="dxa"/>
              <w:bottom w:w="65" w:type="dxa"/>
              <w:right w:w="70" w:type="dxa"/>
            </w:tcMar>
            <w:vAlign w:val="center"/>
          </w:tcPr>
          <w:p w14:paraId="2DE18A48" w14:textId="77777777" w:rsidR="00642847" w:rsidRPr="00187A95" w:rsidRDefault="00000000">
            <w:pPr>
              <w:spacing w:after="0" w:line="254" w:lineRule="auto"/>
              <w:rPr>
                <w:color w:val="auto"/>
              </w:rPr>
            </w:pPr>
            <w:r w:rsidRPr="00187A95">
              <w:rPr>
                <w:color w:val="auto"/>
                <w:sz w:val="16"/>
              </w:rPr>
              <w:t>Edler &amp; Valentino (2024); Ștefan &amp; Dănilă (2025)</w:t>
            </w:r>
          </w:p>
        </w:tc>
      </w:tr>
      <w:tr w:rsidR="00187A95" w:rsidRPr="00187A95" w14:paraId="0E8E45EC" w14:textId="77777777">
        <w:tc>
          <w:tcPr>
            <w:tcW w:w="1915" w:type="dxa"/>
            <w:tcMar>
              <w:top w:w="65" w:type="dxa"/>
              <w:left w:w="70" w:type="dxa"/>
              <w:bottom w:w="65" w:type="dxa"/>
              <w:right w:w="70" w:type="dxa"/>
            </w:tcMar>
            <w:vAlign w:val="center"/>
          </w:tcPr>
          <w:p w14:paraId="741237E2" w14:textId="77777777" w:rsidR="00642847" w:rsidRPr="00187A95" w:rsidRDefault="00000000">
            <w:pPr>
              <w:spacing w:after="0" w:line="254" w:lineRule="auto"/>
              <w:rPr>
                <w:color w:val="auto"/>
              </w:rPr>
            </w:pPr>
            <w:r w:rsidRPr="00187A95">
              <w:rPr>
                <w:color w:val="auto"/>
                <w:sz w:val="16"/>
              </w:rPr>
              <w:t>Context-free activity dose</w:t>
            </w:r>
          </w:p>
        </w:tc>
        <w:tc>
          <w:tcPr>
            <w:tcW w:w="2304" w:type="dxa"/>
            <w:tcMar>
              <w:top w:w="65" w:type="dxa"/>
              <w:left w:w="70" w:type="dxa"/>
              <w:bottom w:w="65" w:type="dxa"/>
              <w:right w:w="70" w:type="dxa"/>
            </w:tcMar>
            <w:vAlign w:val="center"/>
          </w:tcPr>
          <w:p w14:paraId="79F6D1E2" w14:textId="77777777" w:rsidR="00642847" w:rsidRPr="00187A95" w:rsidRDefault="00000000">
            <w:pPr>
              <w:spacing w:after="0" w:line="254" w:lineRule="auto"/>
              <w:rPr>
                <w:color w:val="auto"/>
              </w:rPr>
            </w:pPr>
            <w:r w:rsidRPr="00187A95">
              <w:rPr>
                <w:color w:val="auto"/>
                <w:sz w:val="16"/>
              </w:rPr>
              <w:t>Intensity masks relational valence and play form</w:t>
            </w:r>
          </w:p>
        </w:tc>
        <w:tc>
          <w:tcPr>
            <w:tcW w:w="2736" w:type="dxa"/>
            <w:tcMar>
              <w:top w:w="65" w:type="dxa"/>
              <w:left w:w="70" w:type="dxa"/>
              <w:bottom w:w="65" w:type="dxa"/>
              <w:right w:w="70" w:type="dxa"/>
            </w:tcMar>
            <w:vAlign w:val="center"/>
          </w:tcPr>
          <w:p w14:paraId="0CDEC3D1" w14:textId="77777777" w:rsidR="00642847" w:rsidRPr="00187A95" w:rsidRDefault="00000000">
            <w:pPr>
              <w:spacing w:after="0" w:line="254" w:lineRule="auto"/>
              <w:rPr>
                <w:color w:val="auto"/>
              </w:rPr>
            </w:pPr>
            <w:r w:rsidRPr="00187A95">
              <w:rPr>
                <w:color w:val="auto"/>
                <w:sz w:val="16"/>
              </w:rPr>
              <w:t>Synchronise wearables with time-use and dyadic coding</w:t>
            </w:r>
          </w:p>
        </w:tc>
        <w:tc>
          <w:tcPr>
            <w:tcW w:w="2189" w:type="dxa"/>
            <w:tcMar>
              <w:top w:w="65" w:type="dxa"/>
              <w:left w:w="70" w:type="dxa"/>
              <w:bottom w:w="65" w:type="dxa"/>
              <w:right w:w="70" w:type="dxa"/>
            </w:tcMar>
            <w:vAlign w:val="center"/>
          </w:tcPr>
          <w:p w14:paraId="590ACE04" w14:textId="77777777" w:rsidR="00642847" w:rsidRPr="00187A95" w:rsidRDefault="00000000">
            <w:pPr>
              <w:spacing w:after="0" w:line="254" w:lineRule="auto"/>
              <w:rPr>
                <w:color w:val="auto"/>
              </w:rPr>
            </w:pPr>
            <w:r w:rsidRPr="00187A95">
              <w:rPr>
                <w:color w:val="auto"/>
                <w:sz w:val="16"/>
              </w:rPr>
              <w:t>Christian et al. (2021); Kemp et al. (2016)</w:t>
            </w:r>
          </w:p>
        </w:tc>
      </w:tr>
      <w:tr w:rsidR="00187A95" w:rsidRPr="00187A95" w14:paraId="7A5B98F1" w14:textId="77777777">
        <w:tc>
          <w:tcPr>
            <w:tcW w:w="1915" w:type="dxa"/>
            <w:tcMar>
              <w:top w:w="65" w:type="dxa"/>
              <w:left w:w="70" w:type="dxa"/>
              <w:bottom w:w="65" w:type="dxa"/>
              <w:right w:w="70" w:type="dxa"/>
            </w:tcMar>
            <w:vAlign w:val="center"/>
          </w:tcPr>
          <w:p w14:paraId="031D39BE" w14:textId="77777777" w:rsidR="00642847" w:rsidRPr="00187A95" w:rsidRDefault="00000000">
            <w:pPr>
              <w:spacing w:after="0" w:line="254" w:lineRule="auto"/>
              <w:rPr>
                <w:color w:val="auto"/>
              </w:rPr>
            </w:pPr>
            <w:r w:rsidRPr="00187A95">
              <w:rPr>
                <w:color w:val="auto"/>
                <w:sz w:val="16"/>
              </w:rPr>
              <w:t>Institution-to-home transfer</w:t>
            </w:r>
          </w:p>
        </w:tc>
        <w:tc>
          <w:tcPr>
            <w:tcW w:w="2304" w:type="dxa"/>
            <w:tcMar>
              <w:top w:w="65" w:type="dxa"/>
              <w:left w:w="70" w:type="dxa"/>
              <w:bottom w:w="65" w:type="dxa"/>
              <w:right w:w="70" w:type="dxa"/>
            </w:tcMar>
            <w:vAlign w:val="center"/>
          </w:tcPr>
          <w:p w14:paraId="133CDAAF" w14:textId="77777777" w:rsidR="00642847" w:rsidRPr="00187A95" w:rsidRDefault="00000000">
            <w:pPr>
              <w:spacing w:after="0" w:line="254" w:lineRule="auto"/>
              <w:rPr>
                <w:color w:val="auto"/>
              </w:rPr>
            </w:pPr>
            <w:r w:rsidRPr="00187A95">
              <w:rPr>
                <w:color w:val="auto"/>
                <w:sz w:val="16"/>
              </w:rPr>
              <w:t>School delivery conditions mistaken for family feasibility</w:t>
            </w:r>
          </w:p>
        </w:tc>
        <w:tc>
          <w:tcPr>
            <w:tcW w:w="2736" w:type="dxa"/>
            <w:tcMar>
              <w:top w:w="65" w:type="dxa"/>
              <w:left w:w="70" w:type="dxa"/>
              <w:bottom w:w="65" w:type="dxa"/>
              <w:right w:w="70" w:type="dxa"/>
            </w:tcMar>
            <w:vAlign w:val="center"/>
          </w:tcPr>
          <w:p w14:paraId="209E28F2" w14:textId="77777777" w:rsidR="00642847" w:rsidRPr="00187A95" w:rsidRDefault="00000000">
            <w:pPr>
              <w:spacing w:after="0" w:line="254" w:lineRule="auto"/>
              <w:rPr>
                <w:color w:val="auto"/>
              </w:rPr>
            </w:pPr>
            <w:r w:rsidRPr="00187A95">
              <w:rPr>
                <w:color w:val="auto"/>
                <w:sz w:val="16"/>
              </w:rPr>
              <w:t>Preregistered home randomised trials with process evaluation</w:t>
            </w:r>
          </w:p>
        </w:tc>
        <w:tc>
          <w:tcPr>
            <w:tcW w:w="2189" w:type="dxa"/>
            <w:tcMar>
              <w:top w:w="65" w:type="dxa"/>
              <w:left w:w="70" w:type="dxa"/>
              <w:bottom w:w="65" w:type="dxa"/>
              <w:right w:w="70" w:type="dxa"/>
            </w:tcMar>
            <w:vAlign w:val="center"/>
          </w:tcPr>
          <w:p w14:paraId="6E958D53" w14:textId="77777777" w:rsidR="00642847" w:rsidRPr="00187A95" w:rsidRDefault="00000000">
            <w:pPr>
              <w:spacing w:after="0" w:line="254" w:lineRule="auto"/>
              <w:rPr>
                <w:color w:val="auto"/>
              </w:rPr>
            </w:pPr>
            <w:r w:rsidRPr="00187A95">
              <w:rPr>
                <w:color w:val="auto"/>
                <w:sz w:val="16"/>
              </w:rPr>
              <w:t>Aadland et al. (2024); He et al. (2024)</w:t>
            </w:r>
          </w:p>
        </w:tc>
      </w:tr>
      <w:tr w:rsidR="00187A95" w:rsidRPr="00187A95" w14:paraId="3F41A5F1" w14:textId="77777777">
        <w:tc>
          <w:tcPr>
            <w:tcW w:w="1915" w:type="dxa"/>
            <w:tcMar>
              <w:top w:w="65" w:type="dxa"/>
              <w:left w:w="70" w:type="dxa"/>
              <w:bottom w:w="65" w:type="dxa"/>
              <w:right w:w="70" w:type="dxa"/>
            </w:tcMar>
            <w:vAlign w:val="center"/>
          </w:tcPr>
          <w:p w14:paraId="2707560E" w14:textId="77777777" w:rsidR="00642847" w:rsidRPr="00187A95" w:rsidRDefault="00000000">
            <w:pPr>
              <w:spacing w:after="0" w:line="254" w:lineRule="auto"/>
              <w:rPr>
                <w:color w:val="auto"/>
              </w:rPr>
            </w:pPr>
            <w:r w:rsidRPr="00187A95">
              <w:rPr>
                <w:color w:val="auto"/>
                <w:sz w:val="16"/>
              </w:rPr>
              <w:t>Unmeasured family context</w:t>
            </w:r>
          </w:p>
        </w:tc>
        <w:tc>
          <w:tcPr>
            <w:tcW w:w="2304" w:type="dxa"/>
            <w:tcMar>
              <w:top w:w="65" w:type="dxa"/>
              <w:left w:w="70" w:type="dxa"/>
              <w:bottom w:w="65" w:type="dxa"/>
              <w:right w:w="70" w:type="dxa"/>
            </w:tcMar>
            <w:vAlign w:val="center"/>
          </w:tcPr>
          <w:p w14:paraId="5F7D1E57" w14:textId="77777777" w:rsidR="00642847" w:rsidRPr="00187A95" w:rsidRDefault="00000000">
            <w:pPr>
              <w:spacing w:after="0" w:line="254" w:lineRule="auto"/>
              <w:rPr>
                <w:color w:val="auto"/>
              </w:rPr>
            </w:pPr>
            <w:r w:rsidRPr="00187A95">
              <w:rPr>
                <w:color w:val="auto"/>
                <w:sz w:val="16"/>
              </w:rPr>
              <w:t>Resource and caregiver effects treated as child-level effects</w:t>
            </w:r>
          </w:p>
        </w:tc>
        <w:tc>
          <w:tcPr>
            <w:tcW w:w="2736" w:type="dxa"/>
            <w:tcMar>
              <w:top w:w="65" w:type="dxa"/>
              <w:left w:w="70" w:type="dxa"/>
              <w:bottom w:w="65" w:type="dxa"/>
              <w:right w:w="70" w:type="dxa"/>
            </w:tcMar>
            <w:vAlign w:val="center"/>
          </w:tcPr>
          <w:p w14:paraId="5E01E5D7" w14:textId="77777777" w:rsidR="00642847" w:rsidRPr="00187A95" w:rsidRDefault="00000000">
            <w:pPr>
              <w:spacing w:after="0" w:line="254" w:lineRule="auto"/>
              <w:rPr>
                <w:color w:val="auto"/>
              </w:rPr>
            </w:pPr>
            <w:r w:rsidRPr="00187A95">
              <w:rPr>
                <w:color w:val="auto"/>
                <w:sz w:val="16"/>
              </w:rPr>
              <w:t>Sample diverse settings and test contextual moderation</w:t>
            </w:r>
          </w:p>
        </w:tc>
        <w:tc>
          <w:tcPr>
            <w:tcW w:w="2189" w:type="dxa"/>
            <w:tcMar>
              <w:top w:w="65" w:type="dxa"/>
              <w:left w:w="70" w:type="dxa"/>
              <w:bottom w:w="65" w:type="dxa"/>
              <w:right w:w="70" w:type="dxa"/>
            </w:tcMar>
            <w:vAlign w:val="center"/>
          </w:tcPr>
          <w:p w14:paraId="09DB5B13" w14:textId="77777777" w:rsidR="00642847" w:rsidRPr="00187A95" w:rsidRDefault="00000000">
            <w:pPr>
              <w:spacing w:after="0" w:line="254" w:lineRule="auto"/>
              <w:rPr>
                <w:color w:val="auto"/>
              </w:rPr>
            </w:pPr>
            <w:r w:rsidRPr="00187A95">
              <w:rPr>
                <w:color w:val="auto"/>
                <w:sz w:val="16"/>
              </w:rPr>
              <w:t>Moss &amp; Gu (2022); Puglisi et al. (2024)</w:t>
            </w:r>
          </w:p>
        </w:tc>
      </w:tr>
    </w:tbl>
    <w:p w14:paraId="5487F7AD" w14:textId="77777777" w:rsidR="00642847" w:rsidRPr="00187A95" w:rsidRDefault="00000000">
      <w:pPr>
        <w:pStyle w:val="TableNote"/>
        <w:rPr>
          <w:color w:val="auto"/>
        </w:rPr>
      </w:pPr>
      <w:r w:rsidRPr="00187A95">
        <w:rPr>
          <w:color w:val="auto"/>
        </w:rPr>
        <w:t>Note. Remedies address particular biases and do not guarantee complete causal identification.</w:t>
      </w:r>
    </w:p>
    <w:p w14:paraId="7F357B9D" w14:textId="77777777" w:rsidR="00642847" w:rsidRPr="00187A95" w:rsidRDefault="00000000">
      <w:pPr>
        <w:pStyle w:val="Heading1"/>
        <w:rPr>
          <w:color w:val="auto"/>
        </w:rPr>
      </w:pPr>
      <w:r w:rsidRPr="00187A95">
        <w:rPr>
          <w:color w:val="auto"/>
        </w:rPr>
        <w:t>9. Household Ecology, Equity and Responsible Translation</w:t>
      </w:r>
    </w:p>
    <w:p w14:paraId="41D43916" w14:textId="77777777" w:rsidR="00642847" w:rsidRPr="00187A95" w:rsidRDefault="00000000">
      <w:pPr>
        <w:pStyle w:val="Heading2"/>
        <w:rPr>
          <w:color w:val="auto"/>
        </w:rPr>
      </w:pPr>
      <w:r w:rsidRPr="00187A95">
        <w:rPr>
          <w:color w:val="auto"/>
        </w:rPr>
        <w:t>9.1 Family Resources and Opportunities to Participate</w:t>
      </w:r>
    </w:p>
    <w:p w14:paraId="059ECEFF" w14:textId="77777777" w:rsidR="00642847" w:rsidRPr="00187A95" w:rsidRDefault="00000000">
      <w:pPr>
        <w:rPr>
          <w:color w:val="auto"/>
        </w:rPr>
      </w:pPr>
      <w:r w:rsidRPr="00187A95">
        <w:rPr>
          <w:color w:val="auto"/>
        </w:rPr>
        <w:t>Recommendations based on home movement must account for the fact that activity opportunities are not equally distributed. Families differ in access to safe outdoor locations, housing space, equipment, flexible working hours and other adults who can supervise play. Environmental constraints can also be entangled with psychological stress, affecting both the availability of activity and a child's emotional functioning. An intervention that assumes private outdoor space or daily parental availability may therefore recruit a selective group and produce efficacy estimates difficult to transfer to families facing greater constraints. Equity cannot be addressed adequately by adjusting for income alone after the programme has already been designed (Moss &amp; Gu, 2022; He et al., 2024).</w:t>
      </w:r>
    </w:p>
    <w:p w14:paraId="3877C37C" w14:textId="77777777" w:rsidR="00642847" w:rsidRPr="00187A95" w:rsidRDefault="00000000">
      <w:pPr>
        <w:rPr>
          <w:color w:val="auto"/>
        </w:rPr>
      </w:pPr>
      <w:r w:rsidRPr="00187A95">
        <w:rPr>
          <w:color w:val="auto"/>
        </w:rPr>
        <w:t>Low-resource settings need not be conceptualised solely in terms of deficit. Families may have culturally meaningful movement games, informal shared spaces, sibling play networks and routines that provide regulatory experiences without purchased equipment. Such practices warrant empirical description before externally developed models are imported. At the same time, a preference for inexpensive interventions should not be used to ignore dangerous surroundings or caregiver overload. A responsible account separates adaptations families can reasonably make from structural barriers requiring community or policy responses. Future work should report context-specific feasibility, participation and differential effects instead of promoting a single idealised family routine (Ginsburg, 2007; Yogman et al., 2018).</w:t>
      </w:r>
    </w:p>
    <w:p w14:paraId="65934463" w14:textId="77777777" w:rsidR="00642847" w:rsidRPr="00187A95" w:rsidRDefault="00000000">
      <w:pPr>
        <w:pStyle w:val="Heading2"/>
        <w:rPr>
          <w:color w:val="auto"/>
        </w:rPr>
      </w:pPr>
      <w:r w:rsidRPr="00187A95">
        <w:rPr>
          <w:color w:val="auto"/>
        </w:rPr>
        <w:t>9.2 Culture, Caregiver Expectations and Emotional Meaning</w:t>
      </w:r>
    </w:p>
    <w:p w14:paraId="5DB369B9" w14:textId="77777777" w:rsidR="00642847" w:rsidRPr="00187A95" w:rsidRDefault="00000000">
      <w:pPr>
        <w:rPr>
          <w:color w:val="auto"/>
        </w:rPr>
      </w:pPr>
      <w:r w:rsidRPr="00187A95">
        <w:rPr>
          <w:color w:val="auto"/>
        </w:rPr>
        <w:t>Emotional expression and desirable regulation are interpreted through cultural practices. Some families emphasise independent emotional articulation, whereas others value restraint, interpersonal harmony or deference in particular situations. These priorities can influence parent ratings, decisions to interrupt active play and judgements about whether a child is sufficiently regulated. Such variation does not imply that all forms of adult response are equally supportive, but it challenges uncritical application of instruments developed in one social setting to another. A child who requests physical proximity during distress may be showing effective regulation within a family context that values relational support (Morris et al., 2007; Edler &amp; Valentino, 2024).</w:t>
      </w:r>
    </w:p>
    <w:p w14:paraId="46EBBD4A" w14:textId="77777777" w:rsidR="00642847" w:rsidRPr="00187A95" w:rsidRDefault="00000000">
      <w:pPr>
        <w:rPr>
          <w:color w:val="auto"/>
        </w:rPr>
      </w:pPr>
      <w:r w:rsidRPr="00187A95">
        <w:rPr>
          <w:color w:val="auto"/>
        </w:rPr>
        <w:t xml:space="preserve">Gender expectations can also shape which children are encouraged to engage in vigorous play, which forms of emotional expression adults tolerate and whose caregiving participation is visible in research. The literature on fathers illustrates how broad role labels hide the actual interactive process (Puglisi et al., </w:t>
      </w:r>
      <w:r w:rsidRPr="00187A95">
        <w:rPr>
          <w:color w:val="auto"/>
        </w:rPr>
        <w:lastRenderedPageBreak/>
        <w:t>2024; Robinson et al., 2021). Interventions should establish local meanings of play and emotional coping, adapt activities collaboratively and test whether outcomes operate similarly across language groups and family forms. Instrument translation alone is inadequate when the underlying cultural construct changes. Community-informed observational work may reveal dimensions of caregiver responsiveness or child initiative overlooked by standard questionnaires.</w:t>
      </w:r>
    </w:p>
    <w:p w14:paraId="5CC9ACFA" w14:textId="77777777" w:rsidR="00642847" w:rsidRPr="00187A95" w:rsidRDefault="00000000">
      <w:pPr>
        <w:pStyle w:val="Heading2"/>
        <w:rPr>
          <w:color w:val="auto"/>
        </w:rPr>
      </w:pPr>
      <w:r w:rsidRPr="00187A95">
        <w:rPr>
          <w:color w:val="auto"/>
        </w:rPr>
        <w:t>9.3 Practical Implications Without Causal Overstatement</w:t>
      </w:r>
    </w:p>
    <w:p w14:paraId="3FFDDEA4" w14:textId="77777777" w:rsidR="00642847" w:rsidRPr="00187A95" w:rsidRDefault="00000000">
      <w:pPr>
        <w:rPr>
          <w:color w:val="auto"/>
        </w:rPr>
      </w:pPr>
      <w:r w:rsidRPr="00187A95">
        <w:rPr>
          <w:color w:val="auto"/>
        </w:rPr>
        <w:t>The evidence warrants neither a claim that any one form of play is essential nor a pessimistic conclusion that family activity is irrelevant. Accessible, enjoyable movement and responsive shared play are reasonable components of a supportive developmental environment. Their value may include physical health, relationship opportunities and child agency irrespective of whether an emotion-regulation effect is later verified. Parents and practitioners can prioritise safety, voluntary engagement, manageable challenge and respectful responses to distress without claiming that a fixed number of minutes will treat emotional difficulties. Professional advice should avoid positioning household resources or child temperament as parental failures (Ginsburg, 2007; Yogman et al., 2018).</w:t>
      </w:r>
    </w:p>
    <w:p w14:paraId="09532208" w14:textId="77777777" w:rsidR="00642847" w:rsidRPr="00187A95" w:rsidRDefault="00000000">
      <w:pPr>
        <w:rPr>
          <w:color w:val="auto"/>
        </w:rPr>
      </w:pPr>
      <w:r w:rsidRPr="00187A95">
        <w:rPr>
          <w:color w:val="auto"/>
        </w:rPr>
        <w:t>Targeted treatment of clinically significant emotional difficulties requires separate assessment and appropriate support. An activity programme should not be represented as a substitute for evidence-based care merely because general self-regulation benefits have appeared in selected trials. Likewise, caregiver-led play can be supportive while remaining insufficient for children experiencing persistent, severe distress or substantial environmental adversity. A defensible translation strategy presents potential emotional benefits as plausible but incompletely tested, reports the outcomes actually measured and creates routes for evaluating adverse or unintended effects such as stress, exclusion or injury (England-Mason et al., 2023; Lim et al., 2026).</w:t>
      </w:r>
    </w:p>
    <w:p w14:paraId="554D4853" w14:textId="77777777" w:rsidR="00642847" w:rsidRPr="00187A95" w:rsidRDefault="00000000">
      <w:pPr>
        <w:pStyle w:val="Heading1"/>
        <w:rPr>
          <w:color w:val="auto"/>
        </w:rPr>
      </w:pPr>
      <w:r w:rsidRPr="00187A95">
        <w:rPr>
          <w:color w:val="auto"/>
        </w:rPr>
        <w:t>10. Future Directions</w:t>
      </w:r>
    </w:p>
    <w:p w14:paraId="10DC7391" w14:textId="77777777" w:rsidR="00642847" w:rsidRPr="00187A95" w:rsidRDefault="00000000">
      <w:pPr>
        <w:pStyle w:val="Heading2"/>
        <w:rPr>
          <w:color w:val="auto"/>
        </w:rPr>
      </w:pPr>
      <w:r w:rsidRPr="00187A95">
        <w:rPr>
          <w:color w:val="auto"/>
        </w:rPr>
        <w:t>10.1 Establishing Emotion-Specific Causal Effects</w:t>
      </w:r>
    </w:p>
    <w:p w14:paraId="744A4C3A" w14:textId="77777777" w:rsidR="00642847" w:rsidRPr="00187A95" w:rsidRDefault="00000000">
      <w:pPr>
        <w:rPr>
          <w:color w:val="auto"/>
        </w:rPr>
      </w:pPr>
      <w:r w:rsidRPr="00187A95">
        <w:rPr>
          <w:color w:val="auto"/>
        </w:rPr>
        <w:t>The most urgent priority is an adequately powered home-based experimental literature with emotional regulation as a prospectively specified primary endpoint. Current syntheses show a strong imbalance between institutional and household trials and between behavioural or cognitive outcomes and direct emotional measures. New trials should enrol preschool children across the range of usual family functioning, rather than focusing only on high-motivation volunteers, and should define both the movement exposure and the emotional process intended to change. A feasible initial programme might compare enhanced opportunities for child-led active play with an attention-matched family activity, while recording caregiver responses, implementation fidelity and unintended distress. Outcomes should include blinded observational assessments of emotional recovery during age-appropriate challenge, complemented by parent and early educator reports (D’Cruz et al., 2024; Lim et al., 2026).</w:t>
      </w:r>
    </w:p>
    <w:p w14:paraId="615B4301" w14:textId="77777777" w:rsidR="00642847" w:rsidRPr="00187A95" w:rsidRDefault="00000000">
      <w:pPr>
        <w:rPr>
          <w:color w:val="auto"/>
        </w:rPr>
      </w:pPr>
      <w:r w:rsidRPr="00187A95">
        <w:rPr>
          <w:color w:val="auto"/>
        </w:rPr>
        <w:t xml:space="preserve">Pre-registration should identify the emotional domain, primary time point, statistical estimand and intended subgroup comparisons. This is especially important when intervention programmes target several forms of self-regulation simultaneously and investigators might otherwise select the most favourable result after analysis. Trials need follow-up extending beyond immediate activity sessions to determine whether skills transfer to untrained contexts, including home transitions, conflicts with peers </w:t>
      </w:r>
      <w:r w:rsidRPr="00187A95">
        <w:rPr>
          <w:color w:val="auto"/>
        </w:rPr>
        <w:lastRenderedPageBreak/>
        <w:t>and responses to disappointment. A statistically significant improvement on a trained game is not a demonstrated change in general emotion regulation. Reporting the actual size and precision of any effect, alongside engagement and adverse experiences, would permit evaluation of practical importance rather than only of directional significance (Aadland et al., 2024; Lim et al., 2026).</w:t>
      </w:r>
    </w:p>
    <w:p w14:paraId="052679F9" w14:textId="77777777" w:rsidR="00642847" w:rsidRPr="00187A95" w:rsidRDefault="00000000">
      <w:pPr>
        <w:pStyle w:val="Heading2"/>
        <w:rPr>
          <w:color w:val="auto"/>
        </w:rPr>
      </w:pPr>
      <w:r w:rsidRPr="00187A95">
        <w:rPr>
          <w:color w:val="auto"/>
        </w:rPr>
        <w:t>10.2 Testing the Relational Mechanism</w:t>
      </w:r>
    </w:p>
    <w:p w14:paraId="3021FB8E" w14:textId="77777777" w:rsidR="00642847" w:rsidRPr="00187A95" w:rsidRDefault="00000000">
      <w:pPr>
        <w:rPr>
          <w:color w:val="auto"/>
        </w:rPr>
      </w:pPr>
      <w:r w:rsidRPr="00187A95">
        <w:rPr>
          <w:color w:val="auto"/>
        </w:rPr>
        <w:t>A second priority is to distinguish the effect of movement opportunity from the effect of emotionally supportive interaction. A factorial randomised design that manipulates activity access and caregiver emotion coaching independently would be particularly informative. The comparison should measure whether improved co-regulation occurs during shared play, whether changes precede later child outcomes and whether combined exposure yields more than additive effects. Such research would move beyond the appealing but untested claim that caregiver warmth necessarily converts physical activity into emotional growth. Process measures could include contingent response, recovery after mismatch, respect for the child's initiative and the child's own strategies. Researchers should avoid collapsing these observations into a single undifferentiated parental involvement score (Kemp et al., 2016; Lobo &amp; Lunkenheimer, 2020).</w:t>
      </w:r>
    </w:p>
    <w:p w14:paraId="22BC55F9" w14:textId="77777777" w:rsidR="00642847" w:rsidRPr="00187A95" w:rsidRDefault="00000000">
      <w:pPr>
        <w:rPr>
          <w:color w:val="auto"/>
        </w:rPr>
      </w:pPr>
      <w:r w:rsidRPr="00187A95">
        <w:rPr>
          <w:color w:val="auto"/>
        </w:rPr>
        <w:t>Longitudinal analyses could complement trials by assessing naturally occurring change in household routines and bidirectional effects. Repeated observations of both activity and regulation, taken at intervals appropriate to preschool development, would help separate stable family differences from within-child change. Measures of parent regulation and family stress are needed to distinguish modelling, confounding and selection. Analyses of potential mediators should respect temporal order and explicitly assess whether the exposure changes the mediator before outcome change is attributed to it. This is especially necessary for parent sports support and family-relationship pathways inferred from single-wave questionnaires (Edler &amp; Valentino, 2024; Min et al., 2026; Ștefan &amp; Dănilă, 2025).</w:t>
      </w:r>
    </w:p>
    <w:p w14:paraId="2E3AEDB3" w14:textId="77777777" w:rsidR="00642847" w:rsidRPr="00187A95" w:rsidRDefault="00000000">
      <w:pPr>
        <w:pStyle w:val="Heading2"/>
        <w:rPr>
          <w:color w:val="auto"/>
        </w:rPr>
      </w:pPr>
      <w:r w:rsidRPr="00187A95">
        <w:rPr>
          <w:color w:val="auto"/>
        </w:rPr>
        <w:t>10.3 Measuring Episodes, Not Merely Average Days</w:t>
      </w:r>
    </w:p>
    <w:p w14:paraId="25BDC75E" w14:textId="77777777" w:rsidR="00642847" w:rsidRPr="00187A95" w:rsidRDefault="00000000">
      <w:pPr>
        <w:rPr>
          <w:color w:val="auto"/>
        </w:rPr>
      </w:pPr>
      <w:r w:rsidRPr="00187A95">
        <w:rPr>
          <w:color w:val="auto"/>
        </w:rPr>
        <w:t>A third priority is an integrated measurement approach that links movement with emotional events at the level at which regulatory learning is hypothesised to occur. Wearable sensors can estimate movement intensity; brief activity diaries can record whether an episode involved active, quiet or pretend play; and short observational samples can describe initiative, disagreement, repair and recovery. Time-synchronised assessment would permit investigators to ask whether emotional challenge occurred during play, how the adult responded and what the child did next. Repeated sampling across ordinary days could distinguish the effects of routine from those of rare high-intensity experiences. Such methods would also clarify whether the time-of-day associations reported for outdoor play reflect activity itself or the surrounding schedule (Christian et al., 2021; Lee et al., 2025).</w:t>
      </w:r>
    </w:p>
    <w:p w14:paraId="7C9624BB" w14:textId="77777777" w:rsidR="00642847" w:rsidRPr="00187A95" w:rsidRDefault="00000000">
      <w:pPr>
        <w:rPr>
          <w:color w:val="auto"/>
        </w:rPr>
      </w:pPr>
      <w:r w:rsidRPr="00187A95">
        <w:rPr>
          <w:color w:val="auto"/>
        </w:rPr>
        <w:t>Measurement must remain proportionate and ethically acceptable. Continuous video monitoring inside homes risks intrusion and could alter family behaviour. Short, consented episodes, secure data handling, clearly limited retention and options for families to decline particular recordings are preferable. Children should be able to withdraw from a recorded activity without penalty, and observations should not be interpreted as judgements of parental worth. Investigators should evaluate whether participation requirements themselves exclude families with limited bandwidth, digital access or time. Multimethod precision is valuable only if the assessment remains feasible and respectful across household circumstances.</w:t>
      </w:r>
    </w:p>
    <w:p w14:paraId="270C13FE" w14:textId="77777777" w:rsidR="00642847" w:rsidRPr="00187A95" w:rsidRDefault="00000000">
      <w:pPr>
        <w:pStyle w:val="Heading2"/>
        <w:rPr>
          <w:color w:val="auto"/>
        </w:rPr>
      </w:pPr>
      <w:r w:rsidRPr="00187A95">
        <w:rPr>
          <w:color w:val="auto"/>
        </w:rPr>
        <w:lastRenderedPageBreak/>
        <w:t>10.4 Equity, Caregiving Diversity and Developmental Moderation</w:t>
      </w:r>
    </w:p>
    <w:p w14:paraId="1567CD12" w14:textId="77777777" w:rsidR="00642847" w:rsidRPr="00187A95" w:rsidRDefault="00000000">
      <w:pPr>
        <w:rPr>
          <w:color w:val="auto"/>
        </w:rPr>
      </w:pPr>
      <w:r w:rsidRPr="00187A95">
        <w:rPr>
          <w:color w:val="auto"/>
        </w:rPr>
        <w:t>A fourth priority is deliberately inclusive recruitment and transparent evaluation of differential effects. Studies should enrol fathers and other caregivers, families in varied housing conditions and children with differing movement or sensory needs. Gender, disability and household resources should be investigated where theoretically warranted, rather than treated only as adjustment variables. Reporting available play space, access to safe outdoor areas, caregiver schedules and culturally meaningful games would make it possible to assess whether an intervention changes opportunity or simply rewards prior advantage. Qualitative work could identify barriers and valued outcomes before quantitative programmes are finalised (Moss &amp; Gu, 2022; Puglisi et al., 2024; Robinson et al., 2021).</w:t>
      </w:r>
    </w:p>
    <w:p w14:paraId="4A32DE31" w14:textId="77777777" w:rsidR="00642847" w:rsidRPr="00187A95" w:rsidRDefault="00000000">
      <w:pPr>
        <w:rPr>
          <w:color w:val="auto"/>
        </w:rPr>
      </w:pPr>
      <w:r w:rsidRPr="00187A95">
        <w:rPr>
          <w:color w:val="auto"/>
        </w:rPr>
        <w:t>Developmental moderation deserves similarly careful treatment. The preschool range includes rapid change in language, self-directed play, peer negotiation and autonomy. A family strategy helpful for a three-year-old may be too directive for a six-year-old, while a physically challenging game may be more salient for some temperamental profiles than others. Researchers should define developmental stages by relevant capacities rather than age alone and pre-specify a limited number of meaningful interaction hypotheses. Such designs would test conditional benefit without fragmenting samples into unstable subgroups. The resulting knowledge could support differentiated guidance grounded in demonstrated mechanisms instead of broad assurances about all preschool children (Blair &amp; Raver, 2015; Dennis, 2006).</w:t>
      </w:r>
    </w:p>
    <w:p w14:paraId="1C82CF8D" w14:textId="77777777" w:rsidR="00642847" w:rsidRPr="00187A95" w:rsidRDefault="00000000">
      <w:pPr>
        <w:pStyle w:val="Heading2"/>
        <w:rPr>
          <w:color w:val="auto"/>
        </w:rPr>
      </w:pPr>
      <w:r w:rsidRPr="00187A95">
        <w:rPr>
          <w:color w:val="auto"/>
        </w:rPr>
        <w:t>10.5 Translational Evaluation and the Limits of Prescription</w:t>
      </w:r>
    </w:p>
    <w:p w14:paraId="61610E37" w14:textId="77777777" w:rsidR="00642847" w:rsidRPr="00187A95" w:rsidRDefault="00000000">
      <w:pPr>
        <w:rPr>
          <w:color w:val="auto"/>
        </w:rPr>
      </w:pPr>
      <w:r w:rsidRPr="00187A95">
        <w:rPr>
          <w:color w:val="auto"/>
        </w:rPr>
        <w:t>A final priority is to evaluate implementation alongside efficacy. Families may accept a programme but modify its content because of space, care duties or children's preferences. Measuring the actual activities used, the reasons for adaptation and sustained engagement would help distinguish an ineffective mechanism from a programme that could not be delivered as intended. Economic and practical assessments should consider caregiver burden and the need for specialised equipment. Adaptation should not automatically be scored as non-adherence when it preserves core mechanisms and improves accessibility. Hybrid effectiveness–implementation designs may become appropriate once emotion-specific benefits and delivery components have been established in smaller explanatory trials (He et al., 2024; Moss &amp; Gu, 2022).</w:t>
      </w:r>
    </w:p>
    <w:p w14:paraId="636B4472" w14:textId="77777777" w:rsidR="00642847" w:rsidRPr="00187A95" w:rsidRDefault="00000000">
      <w:pPr>
        <w:rPr>
          <w:color w:val="auto"/>
        </w:rPr>
      </w:pPr>
      <w:r w:rsidRPr="00187A95">
        <w:rPr>
          <w:color w:val="auto"/>
        </w:rPr>
        <w:t>Research should also specify stopping rules for claims. If rigorous trials repeatedly find increases in movement but no improvement in independently observed emotion regulation, the rational conclusion may be that activity should be recommended for its physical and participatory benefits while emotional outcomes require a different target. If benefits occur only with responsive coaching, then the relational component rather than activity duration may be the primary candidate for dissemination. This possibility is not a weakness of the research agenda; it is a necessary feature of a falsifiable account. The aim is to identify for which children, under what circumstances and through which processes family activity becomes emotionally meaningful.</w:t>
      </w:r>
    </w:p>
    <w:p w14:paraId="252DBBE8" w14:textId="77777777" w:rsidR="00642847" w:rsidRPr="00187A95" w:rsidRDefault="00000000">
      <w:pPr>
        <w:pStyle w:val="Heading1"/>
        <w:rPr>
          <w:color w:val="auto"/>
        </w:rPr>
      </w:pPr>
      <w:r w:rsidRPr="00187A95">
        <w:rPr>
          <w:color w:val="auto"/>
        </w:rPr>
        <w:t>11. Conclusions</w:t>
      </w:r>
    </w:p>
    <w:p w14:paraId="668E7BBC" w14:textId="77777777" w:rsidR="00642847" w:rsidRPr="00187A95" w:rsidRDefault="00000000">
      <w:pPr>
        <w:rPr>
          <w:color w:val="auto"/>
        </w:rPr>
      </w:pPr>
      <w:r w:rsidRPr="00187A95">
        <w:rPr>
          <w:color w:val="auto"/>
        </w:rPr>
        <w:t xml:space="preserve">Home-based physical activity, parent–child interaction and play participation are connected aspects of preschool development, but they cannot be treated as interchangeable exposures. The available literature supports plausible links among movement opportunities, child agency and caregiver co-regulation. It also </w:t>
      </w:r>
      <w:r w:rsidRPr="00187A95">
        <w:rPr>
          <w:color w:val="auto"/>
        </w:rPr>
        <w:lastRenderedPageBreak/>
        <w:t>indicates that associations between physical activity and aggregate self-regulation are generally heterogeneous, and experimental improvements in emotional regulation are less firmly established than those in cognitive or behavioural domains. The strongest defensible conclusion is therefore conditional: movement and play can provide occasions for emotionally meaningful learning, but the present evidence does not establish that increasing activity duration alone causes a specific improvement in preschool emotion regulation.</w:t>
      </w:r>
    </w:p>
    <w:p w14:paraId="032DCDF1" w14:textId="77777777" w:rsidR="00642847" w:rsidRPr="00187A95" w:rsidRDefault="00000000">
      <w:pPr>
        <w:rPr>
          <w:color w:val="auto"/>
        </w:rPr>
      </w:pPr>
      <w:r w:rsidRPr="00187A95">
        <w:rPr>
          <w:color w:val="auto"/>
        </w:rPr>
        <w:t>The relational context provides an explanatory bridge. During shared activities, responsive adults may help children recognise distress, negotiate goals, repair mismatches and return to participation. Observational and parenting-intervention research makes this pathway credible without proving that it depends on vigorous movement. Longitudinal evidence on free play contributes temporal support for certain associations, but regulatory outcomes, activity forms and family selection remain difficult to disentangle. Broad psychosocial health measures and cognitive control tasks should not be relabelled as direct measures of emotion-regulation skill simply because they involve related developmental capacities.</w:t>
      </w:r>
    </w:p>
    <w:p w14:paraId="0F424695" w14:textId="77777777" w:rsidR="00642847" w:rsidRPr="00187A95" w:rsidRDefault="00000000">
      <w:pPr>
        <w:rPr>
          <w:color w:val="auto"/>
        </w:rPr>
      </w:pPr>
      <w:r w:rsidRPr="00187A95">
        <w:rPr>
          <w:color w:val="auto"/>
        </w:rPr>
        <w:t>For research and practice, the implication is to preserve developmental richness while maintaining causal restraint. Safe, accessible, child-responsive physical activity and varied play are reasonable parts of supportive family life, but no universal household exercise prescription can presently be justified on the basis of emotion-regulation outcomes. Future work must jointly assess movement, relational quality, participation and independent emotional coping across diverse households, using designs that can test temporal order and alternative explanations. Only then will it be possible to distinguish benefits attributable to physical exertion from those arising through social connection, autonomy and the broader opportunities children have to practise responding to emotional challenge.</w:t>
      </w:r>
    </w:p>
    <w:p w14:paraId="7C9A862A" w14:textId="77777777" w:rsidR="00642847" w:rsidRPr="00187A95" w:rsidRDefault="00000000">
      <w:pPr>
        <w:pStyle w:val="Heading1"/>
        <w:rPr>
          <w:color w:val="auto"/>
        </w:rPr>
      </w:pPr>
      <w:r w:rsidRPr="00187A95">
        <w:rPr>
          <w:color w:val="auto"/>
        </w:rPr>
        <w:t>12. Limitations</w:t>
      </w:r>
    </w:p>
    <w:p w14:paraId="4F19E767" w14:textId="77777777" w:rsidR="00642847" w:rsidRPr="00187A95" w:rsidRDefault="00000000">
      <w:pPr>
        <w:rPr>
          <w:color w:val="auto"/>
        </w:rPr>
      </w:pPr>
      <w:r w:rsidRPr="00187A95">
        <w:rPr>
          <w:color w:val="auto"/>
        </w:rPr>
        <w:t>As a critical narrative review, this article is vulnerable to selection and interpretive bias despite transparent identification of information sources and explicit attention to conflicting findings. The literature was not assembled through a fully reproducible, exhaustive systematic search, no registered review protocol or quantitative screening ledger was maintained and no formal risk-of-bias scoring was undertaken. The conclusions therefore describe the strength and coherence of an appraised evidence base rather than the frequency of findings among every eligible study. Incomplete access to some full texts and the emphasis on English-language material may have reduced representation of locally published research and non-English developmental perspectives.</w:t>
      </w:r>
    </w:p>
    <w:p w14:paraId="2FCF34DC" w14:textId="77777777" w:rsidR="00642847" w:rsidRPr="00187A95" w:rsidRDefault="00000000">
      <w:pPr>
        <w:rPr>
          <w:color w:val="auto"/>
        </w:rPr>
      </w:pPr>
      <w:r w:rsidRPr="00187A95">
        <w:rPr>
          <w:color w:val="auto"/>
        </w:rPr>
        <w:t>Comparability was further restricted by heterogeneity in age, activity exposure, play form, family structure, intervention context and outcome definition. Many studies examined global self-regulation, emotional-behavioural symptoms or executive function rather than emotion regulation as a distinct process. Observational studies could not fully resolve bidirectional influence or unmeasured household factors, whereas trials frequently used educational settings that may not transport to homes. Several potentially relevant mechanisms were supported by developmental theory or dyadic observations without direct tests linking them to objectively measured family physical activity. The review consequently could not estimate a clinically meaningful activity dose, comparative effectiveness of specific play types or a pooled home-based effect on emotion regulation.</w:t>
      </w:r>
    </w:p>
    <w:p w14:paraId="3B2B989D" w14:textId="77777777" w:rsidR="00642847" w:rsidRDefault="00000000">
      <w:pPr>
        <w:rPr>
          <w:color w:val="auto"/>
        </w:rPr>
      </w:pPr>
      <w:r w:rsidRPr="00187A95">
        <w:rPr>
          <w:color w:val="auto"/>
        </w:rPr>
        <w:lastRenderedPageBreak/>
        <w:t>The evidence is geographically and socially uneven, and childcare structures, housing conditions and cultural expectations may alter exposure and interpretation. Small samples, shared informants, short follow-up intervals and selective reporting remain concerns in parts of the literature. Recent studies may also change the balance of findings as longer-term outcomes become available. These limitations are incorporated into the calibrated conclusions: an absence of clear experimental emotional effects is not proof of no possible benefit, but it precludes strong causal or prescriptive claims.</w:t>
      </w:r>
    </w:p>
    <w:p w14:paraId="0C87D8B1" w14:textId="77777777" w:rsidR="00424E38" w:rsidRPr="00424E38" w:rsidRDefault="00424E38" w:rsidP="00424E38">
      <w:pPr>
        <w:spacing w:after="200" w:line="276" w:lineRule="auto"/>
        <w:rPr>
          <w:rFonts w:ascii="Calibri" w:eastAsia="Calibri" w:hAnsi="Calibri" w:cs="Times New Roman"/>
          <w:color w:val="auto"/>
          <w:sz w:val="22"/>
        </w:rPr>
      </w:pPr>
    </w:p>
    <w:p w14:paraId="5290B1C7" w14:textId="77777777" w:rsidR="00424E38" w:rsidRPr="00424E38" w:rsidRDefault="00424E38" w:rsidP="00424E38">
      <w:pPr>
        <w:spacing w:after="0" w:line="240" w:lineRule="auto"/>
        <w:rPr>
          <w:rFonts w:ascii="Times New Roman" w:eastAsia="Calibri" w:hAnsi="Times New Roman" w:cs="Times New Roman"/>
          <w:b/>
          <w:color w:val="auto"/>
          <w:sz w:val="22"/>
        </w:rPr>
      </w:pPr>
      <w:r w:rsidRPr="00424E38">
        <w:rPr>
          <w:rFonts w:ascii="Times New Roman" w:eastAsia="Calibri" w:hAnsi="Times New Roman" w:cs="Times New Roman"/>
          <w:b/>
          <w:color w:val="auto"/>
          <w:sz w:val="22"/>
        </w:rPr>
        <w:t>Declaration of AI Use</w:t>
      </w:r>
    </w:p>
    <w:p w14:paraId="1400F0F8" w14:textId="77777777" w:rsidR="00424E38" w:rsidRPr="00424E38" w:rsidRDefault="00424E38" w:rsidP="00424E38">
      <w:pPr>
        <w:spacing w:after="0" w:line="240" w:lineRule="auto"/>
        <w:rPr>
          <w:rFonts w:ascii="Times New Roman" w:eastAsia="Calibri" w:hAnsi="Times New Roman" w:cs="Times New Roman"/>
          <w:b/>
          <w:color w:val="auto"/>
          <w:sz w:val="22"/>
        </w:rPr>
      </w:pPr>
    </w:p>
    <w:p w14:paraId="03290D20" w14:textId="77777777" w:rsidR="00424E38" w:rsidRPr="00424E38" w:rsidRDefault="00424E38" w:rsidP="00424E38">
      <w:pPr>
        <w:spacing w:after="0" w:line="240" w:lineRule="auto"/>
        <w:rPr>
          <w:rFonts w:ascii="Times New Roman" w:eastAsia="Calibri" w:hAnsi="Times New Roman" w:cs="Times New Roman"/>
          <w:b/>
          <w:color w:val="auto"/>
          <w:sz w:val="22"/>
        </w:rPr>
      </w:pPr>
    </w:p>
    <w:p w14:paraId="58E92C7C" w14:textId="77777777" w:rsidR="00424E38" w:rsidRPr="00424E38" w:rsidRDefault="00424E38" w:rsidP="00424E38">
      <w:pPr>
        <w:spacing w:after="0" w:line="240" w:lineRule="auto"/>
        <w:rPr>
          <w:rFonts w:ascii="Times New Roman" w:eastAsia="Calibri" w:hAnsi="Times New Roman" w:cs="Times New Roman"/>
          <w:b/>
          <w:color w:val="auto"/>
          <w:sz w:val="22"/>
        </w:rPr>
      </w:pPr>
    </w:p>
    <w:p w14:paraId="045C832B" w14:textId="77777777" w:rsidR="00424E38" w:rsidRPr="00424E38" w:rsidRDefault="00424E38" w:rsidP="00424E38">
      <w:pPr>
        <w:spacing w:after="0" w:line="240" w:lineRule="auto"/>
        <w:rPr>
          <w:rFonts w:ascii="Arial" w:eastAsia="Calibri" w:hAnsi="Arial" w:cs="Arial"/>
          <w:color w:val="auto"/>
          <w:sz w:val="20"/>
          <w:szCs w:val="20"/>
        </w:rPr>
      </w:pPr>
      <w:r w:rsidRPr="00424E38">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0D3061" w14:textId="77777777" w:rsidR="00424E38" w:rsidRPr="00187A95" w:rsidRDefault="00424E38">
      <w:pPr>
        <w:rPr>
          <w:color w:val="auto"/>
        </w:rPr>
      </w:pPr>
    </w:p>
    <w:p w14:paraId="128A9DD3" w14:textId="77777777" w:rsidR="00642847" w:rsidRPr="00187A95" w:rsidRDefault="00000000">
      <w:pPr>
        <w:pStyle w:val="Heading1"/>
        <w:rPr>
          <w:color w:val="auto"/>
        </w:rPr>
      </w:pPr>
      <w:r w:rsidRPr="00187A95">
        <w:rPr>
          <w:color w:val="auto"/>
        </w:rPr>
        <w:t>References</w:t>
      </w:r>
    </w:p>
    <w:p w14:paraId="6AD55282" w14:textId="46E02DCA" w:rsidR="00642847" w:rsidRPr="00187A95" w:rsidRDefault="00000000">
      <w:pPr>
        <w:pStyle w:val="APAReference"/>
        <w:rPr>
          <w:color w:val="auto"/>
        </w:rPr>
      </w:pPr>
      <w:r w:rsidRPr="00187A95">
        <w:rPr>
          <w:color w:val="auto"/>
        </w:rPr>
        <w:t xml:space="preserve">Aadland, K. N., Lervåg, A., Andersen, J. R., Howard, S. J., Ommundsen, Y., &amp; Aadland, E. (2024). Effects of a staff physical activity professional development intervention on preschoolers’ mental health and self-regulation: The active learning Norwegian Preschool(er)s (ACTNOW) cluster randomised controlled trial. </w:t>
      </w:r>
      <w:r w:rsidRPr="00187A95">
        <w:rPr>
          <w:i/>
          <w:color w:val="auto"/>
        </w:rPr>
        <w:t>Psychology of Sport and Exercise</w:t>
      </w:r>
      <w:r w:rsidRPr="00187A95">
        <w:rPr>
          <w:color w:val="auto"/>
        </w:rPr>
        <w:t xml:space="preserve">, </w:t>
      </w:r>
      <w:r w:rsidRPr="00187A95">
        <w:rPr>
          <w:i/>
          <w:color w:val="auto"/>
        </w:rPr>
        <w:t>75</w:t>
      </w:r>
      <w:r w:rsidRPr="00187A95">
        <w:rPr>
          <w:color w:val="auto"/>
        </w:rPr>
        <w:t>, 102705. https://doi.org/10.1016/j.psychsport.2024.102705</w:t>
      </w:r>
    </w:p>
    <w:p w14:paraId="14CB4189" w14:textId="3C365E28" w:rsidR="00642847" w:rsidRPr="00187A95" w:rsidRDefault="00000000">
      <w:pPr>
        <w:pStyle w:val="APAReference"/>
        <w:rPr>
          <w:color w:val="auto"/>
        </w:rPr>
      </w:pPr>
      <w:r w:rsidRPr="00187A95">
        <w:rPr>
          <w:color w:val="auto"/>
        </w:rPr>
        <w:t xml:space="preserve">Baethge, C., Goldbeck-Wood, S., &amp; Mertens, S. (2019). SANRA—a scale for the quality assessment of narrative review articles. </w:t>
      </w:r>
      <w:r w:rsidRPr="00187A95">
        <w:rPr>
          <w:i/>
          <w:color w:val="auto"/>
        </w:rPr>
        <w:t>Research Integrity and Peer Review</w:t>
      </w:r>
      <w:r w:rsidRPr="00187A95">
        <w:rPr>
          <w:color w:val="auto"/>
        </w:rPr>
        <w:t xml:space="preserve">, </w:t>
      </w:r>
      <w:r w:rsidRPr="00187A95">
        <w:rPr>
          <w:i/>
          <w:color w:val="auto"/>
        </w:rPr>
        <w:t>4</w:t>
      </w:r>
      <w:r w:rsidRPr="00187A95">
        <w:rPr>
          <w:color w:val="auto"/>
        </w:rPr>
        <w:t>, Article 5. https://doi.org/10.1186/s41073-019-0064-8</w:t>
      </w:r>
    </w:p>
    <w:p w14:paraId="549DE56F" w14:textId="31C1882C" w:rsidR="00642847" w:rsidRPr="00187A95" w:rsidRDefault="00000000">
      <w:pPr>
        <w:pStyle w:val="APAReference"/>
        <w:rPr>
          <w:color w:val="auto"/>
        </w:rPr>
      </w:pPr>
      <w:r w:rsidRPr="00187A95">
        <w:rPr>
          <w:color w:val="auto"/>
        </w:rPr>
        <w:t xml:space="preserve">Barker, J. E., Semenov, A. D., Michaelson, L., Provan, L. S., Snyder, H. R., &amp; Munakata, Y. (2014). Less-structured time in children’s daily lives predicts self-directed executive functioning. </w:t>
      </w:r>
      <w:r w:rsidRPr="00187A95">
        <w:rPr>
          <w:i/>
          <w:color w:val="auto"/>
        </w:rPr>
        <w:t>Frontiers in Psychology</w:t>
      </w:r>
      <w:r w:rsidRPr="00187A95">
        <w:rPr>
          <w:color w:val="auto"/>
        </w:rPr>
        <w:t xml:space="preserve">, </w:t>
      </w:r>
      <w:r w:rsidRPr="00187A95">
        <w:rPr>
          <w:i/>
          <w:color w:val="auto"/>
        </w:rPr>
        <w:t>5</w:t>
      </w:r>
      <w:r w:rsidRPr="00187A95">
        <w:rPr>
          <w:color w:val="auto"/>
        </w:rPr>
        <w:t>, 593. https://doi.org/10.3389/fpsyg.2014.00593</w:t>
      </w:r>
    </w:p>
    <w:p w14:paraId="4877A3CC" w14:textId="659DD75E" w:rsidR="00642847" w:rsidRPr="00187A95" w:rsidRDefault="00000000">
      <w:pPr>
        <w:pStyle w:val="APAReference"/>
        <w:rPr>
          <w:color w:val="auto"/>
        </w:rPr>
      </w:pPr>
      <w:r w:rsidRPr="00187A95">
        <w:rPr>
          <w:color w:val="auto"/>
        </w:rPr>
        <w:t xml:space="preserve">Blair, C., &amp; Raver, C. C. (2015). School readiness and self-regulation: A developmental psychobiological approach. </w:t>
      </w:r>
      <w:r w:rsidRPr="00187A95">
        <w:rPr>
          <w:i/>
          <w:color w:val="auto"/>
        </w:rPr>
        <w:t>Annual Review of Psychology</w:t>
      </w:r>
      <w:r w:rsidRPr="00187A95">
        <w:rPr>
          <w:color w:val="auto"/>
        </w:rPr>
        <w:t xml:space="preserve">, </w:t>
      </w:r>
      <w:r w:rsidRPr="00187A95">
        <w:rPr>
          <w:i/>
          <w:color w:val="auto"/>
        </w:rPr>
        <w:t>66</w:t>
      </w:r>
      <w:r w:rsidRPr="00187A95">
        <w:rPr>
          <w:color w:val="auto"/>
        </w:rPr>
        <w:t>, 711–731. https://doi.org/10.1146/annurev-psych-010814-015221</w:t>
      </w:r>
    </w:p>
    <w:p w14:paraId="30D3A619" w14:textId="267E3BE5" w:rsidR="00642847" w:rsidRPr="00187A95" w:rsidRDefault="00000000">
      <w:pPr>
        <w:pStyle w:val="APAReference"/>
        <w:rPr>
          <w:color w:val="auto"/>
        </w:rPr>
      </w:pPr>
      <w:r w:rsidRPr="00187A95">
        <w:rPr>
          <w:color w:val="auto"/>
        </w:rPr>
        <w:t xml:space="preserve">Carson, V., Hunter, S., Kuzik, N., Wiebe, S. A., Spence, J. C., Friedman, A., Tremblay, M. S., Slater, L., &amp; Hinkley, T. (2016). Systematic review of physical activity and cognitive development in early childhood. </w:t>
      </w:r>
      <w:r w:rsidRPr="00187A95">
        <w:rPr>
          <w:i/>
          <w:color w:val="auto"/>
        </w:rPr>
        <w:t>Journal of Science and Medicine in Sport</w:t>
      </w:r>
      <w:r w:rsidRPr="00187A95">
        <w:rPr>
          <w:color w:val="auto"/>
        </w:rPr>
        <w:t xml:space="preserve">, </w:t>
      </w:r>
      <w:r w:rsidRPr="00187A95">
        <w:rPr>
          <w:i/>
          <w:color w:val="auto"/>
        </w:rPr>
        <w:t>19</w:t>
      </w:r>
      <w:r w:rsidRPr="00187A95">
        <w:rPr>
          <w:color w:val="auto"/>
        </w:rPr>
        <w:t>(7), 573–578. https://doi.org/10.1016/j.jsams.2015.07.011</w:t>
      </w:r>
    </w:p>
    <w:p w14:paraId="4297D085" w14:textId="7A2D41B0" w:rsidR="00642847" w:rsidRPr="00187A95" w:rsidRDefault="00000000">
      <w:pPr>
        <w:pStyle w:val="APAReference"/>
        <w:rPr>
          <w:color w:val="auto"/>
        </w:rPr>
      </w:pPr>
      <w:r w:rsidRPr="00187A95">
        <w:rPr>
          <w:color w:val="auto"/>
        </w:rPr>
        <w:t xml:space="preserve">Cecic-Mladinic, D., Carcelén-Fraile, M. del C., Aristizábal-García, D. M., &amp; Vigil-Torres, N. (2026). Physical activity and the development of self-regulation in early childhood: A systematic review and meta-analysis. </w:t>
      </w:r>
      <w:r w:rsidRPr="00187A95">
        <w:rPr>
          <w:i/>
          <w:color w:val="auto"/>
        </w:rPr>
        <w:t>Journal of Intelligence</w:t>
      </w:r>
      <w:r w:rsidRPr="00187A95">
        <w:rPr>
          <w:color w:val="auto"/>
        </w:rPr>
        <w:t xml:space="preserve">, </w:t>
      </w:r>
      <w:r w:rsidRPr="00187A95">
        <w:rPr>
          <w:i/>
          <w:color w:val="auto"/>
        </w:rPr>
        <w:t>14</w:t>
      </w:r>
      <w:r w:rsidRPr="00187A95">
        <w:rPr>
          <w:color w:val="auto"/>
        </w:rPr>
        <w:t>(7), 121. https://doi.org/10.3390/jintelligence14070121</w:t>
      </w:r>
    </w:p>
    <w:p w14:paraId="55274413" w14:textId="7E8E4685" w:rsidR="00642847" w:rsidRPr="00187A95" w:rsidRDefault="00000000">
      <w:pPr>
        <w:pStyle w:val="APAReference"/>
        <w:rPr>
          <w:color w:val="auto"/>
        </w:rPr>
      </w:pPr>
      <w:r w:rsidRPr="00187A95">
        <w:rPr>
          <w:color w:val="auto"/>
        </w:rPr>
        <w:t xml:space="preserve">Christian, H. E., Lester, L., Al Marzooqi, M. K., Trost, S. G., &amp; Papageorgiou, A. (2021). The association between preschooler physical activity duration and intensity and social emotional development: Findings from the PLAYCE study. </w:t>
      </w:r>
      <w:r w:rsidRPr="00187A95">
        <w:rPr>
          <w:i/>
          <w:color w:val="auto"/>
        </w:rPr>
        <w:t>Journal of Physical Activity and Health</w:t>
      </w:r>
      <w:r w:rsidRPr="00187A95">
        <w:rPr>
          <w:color w:val="auto"/>
        </w:rPr>
        <w:t xml:space="preserve">, </w:t>
      </w:r>
      <w:r w:rsidRPr="00187A95">
        <w:rPr>
          <w:i/>
          <w:color w:val="auto"/>
        </w:rPr>
        <w:t>18</w:t>
      </w:r>
      <w:r w:rsidRPr="00187A95">
        <w:rPr>
          <w:color w:val="auto"/>
        </w:rPr>
        <w:t>(7), 844–850. https://doi.org/10.1123/jpah.2020-0588</w:t>
      </w:r>
    </w:p>
    <w:p w14:paraId="5E6B6ADC" w14:textId="4A497C2F" w:rsidR="00642847" w:rsidRPr="00187A95" w:rsidRDefault="00000000">
      <w:pPr>
        <w:pStyle w:val="APAReference"/>
        <w:rPr>
          <w:color w:val="auto"/>
        </w:rPr>
      </w:pPr>
      <w:r w:rsidRPr="00187A95">
        <w:rPr>
          <w:color w:val="auto"/>
        </w:rPr>
        <w:t xml:space="preserve">Colliver, Y., Harrison, L. J., Brown, J. E., &amp; Humburg, P. (2022). Free play predicts self-regulation years later: Longitudinal evidence from a large Australian sample of toddlers and preschoolers. </w:t>
      </w:r>
      <w:r w:rsidRPr="00187A95">
        <w:rPr>
          <w:i/>
          <w:color w:val="auto"/>
        </w:rPr>
        <w:t>Early Childhood Research Quarterly</w:t>
      </w:r>
      <w:r w:rsidRPr="00187A95">
        <w:rPr>
          <w:color w:val="auto"/>
        </w:rPr>
        <w:t xml:space="preserve">, </w:t>
      </w:r>
      <w:r w:rsidRPr="00187A95">
        <w:rPr>
          <w:i/>
          <w:color w:val="auto"/>
        </w:rPr>
        <w:t>59</w:t>
      </w:r>
      <w:r w:rsidRPr="00187A95">
        <w:rPr>
          <w:color w:val="auto"/>
        </w:rPr>
        <w:t>, 148–161. https://doi.org/10.1016/j.ecresq.2021.11.011</w:t>
      </w:r>
    </w:p>
    <w:p w14:paraId="59EF7195" w14:textId="47BC8858" w:rsidR="00642847" w:rsidRPr="00187A95" w:rsidRDefault="00000000">
      <w:pPr>
        <w:pStyle w:val="APAReference"/>
        <w:rPr>
          <w:color w:val="auto"/>
        </w:rPr>
      </w:pPr>
      <w:r w:rsidRPr="00187A95">
        <w:rPr>
          <w:color w:val="auto"/>
        </w:rPr>
        <w:t xml:space="preserve">D’Cruz, A. F. L., D’Souza, N. J., Downing, K. L., Smith, C., Sciberras, E., &amp; Hesketh, K. D. (2024). Association between physical activity and self-regulation in early childhood: A systematic review. </w:t>
      </w:r>
      <w:r w:rsidRPr="00187A95">
        <w:rPr>
          <w:i/>
          <w:color w:val="auto"/>
        </w:rPr>
        <w:t>Obesity Reviews</w:t>
      </w:r>
      <w:r w:rsidRPr="00187A95">
        <w:rPr>
          <w:color w:val="auto"/>
        </w:rPr>
        <w:t xml:space="preserve">, </w:t>
      </w:r>
      <w:r w:rsidRPr="00187A95">
        <w:rPr>
          <w:i/>
          <w:color w:val="auto"/>
        </w:rPr>
        <w:t>25</w:t>
      </w:r>
      <w:r w:rsidRPr="00187A95">
        <w:rPr>
          <w:color w:val="auto"/>
        </w:rPr>
        <w:t>(2), e13657. https://doi.org/10.1111/obr.13657</w:t>
      </w:r>
    </w:p>
    <w:p w14:paraId="51E53E0A" w14:textId="2F0C248E" w:rsidR="00642847" w:rsidRPr="00187A95" w:rsidRDefault="00000000">
      <w:pPr>
        <w:pStyle w:val="APAReference"/>
        <w:rPr>
          <w:color w:val="auto"/>
        </w:rPr>
      </w:pPr>
      <w:r w:rsidRPr="00187A95">
        <w:rPr>
          <w:color w:val="auto"/>
        </w:rPr>
        <w:lastRenderedPageBreak/>
        <w:t xml:space="preserve">Dennis, T. (2006). Emotional self-regulation in preschoolers: The interplay of child approach reactivity, parenting, and control capacities. </w:t>
      </w:r>
      <w:r w:rsidRPr="00187A95">
        <w:rPr>
          <w:i/>
          <w:color w:val="auto"/>
        </w:rPr>
        <w:t>Developmental Psychology</w:t>
      </w:r>
      <w:r w:rsidRPr="00187A95">
        <w:rPr>
          <w:color w:val="auto"/>
        </w:rPr>
        <w:t xml:space="preserve">, </w:t>
      </w:r>
      <w:r w:rsidRPr="00187A95">
        <w:rPr>
          <w:i/>
          <w:color w:val="auto"/>
        </w:rPr>
        <w:t>42</w:t>
      </w:r>
      <w:r w:rsidRPr="00187A95">
        <w:rPr>
          <w:color w:val="auto"/>
        </w:rPr>
        <w:t>(1), 84–97. https://doi.org/10.1037/0012-1649.42.1.84</w:t>
      </w:r>
    </w:p>
    <w:p w14:paraId="6289E876" w14:textId="389CB54A" w:rsidR="00642847" w:rsidRPr="00187A95" w:rsidRDefault="00000000">
      <w:pPr>
        <w:pStyle w:val="APAReference"/>
        <w:rPr>
          <w:color w:val="auto"/>
        </w:rPr>
      </w:pPr>
      <w:r w:rsidRPr="00187A95">
        <w:rPr>
          <w:color w:val="auto"/>
        </w:rPr>
        <w:t xml:space="preserve">Diamond, A. (2013). Executive functions. </w:t>
      </w:r>
      <w:r w:rsidRPr="00187A95">
        <w:rPr>
          <w:i/>
          <w:color w:val="auto"/>
        </w:rPr>
        <w:t>Annual Review of Psychology</w:t>
      </w:r>
      <w:r w:rsidRPr="00187A95">
        <w:rPr>
          <w:color w:val="auto"/>
        </w:rPr>
        <w:t xml:space="preserve">, </w:t>
      </w:r>
      <w:r w:rsidRPr="00187A95">
        <w:rPr>
          <w:i/>
          <w:color w:val="auto"/>
        </w:rPr>
        <w:t>64</w:t>
      </w:r>
      <w:r w:rsidRPr="00187A95">
        <w:rPr>
          <w:color w:val="auto"/>
        </w:rPr>
        <w:t>, 135–168. https://doi.org/10.1146/annurev-psych-113011-143750</w:t>
      </w:r>
    </w:p>
    <w:p w14:paraId="5FA7E71C" w14:textId="24CB516E" w:rsidR="00642847" w:rsidRPr="00187A95" w:rsidRDefault="00000000">
      <w:pPr>
        <w:pStyle w:val="APAReference"/>
        <w:rPr>
          <w:color w:val="auto"/>
        </w:rPr>
      </w:pPr>
      <w:r w:rsidRPr="00187A95">
        <w:rPr>
          <w:color w:val="auto"/>
        </w:rPr>
        <w:t xml:space="preserve">Dodd, H. F., Cordwell, K., Hesketh, K., Johnstone, A., de la Torre-Luque, A., &amp; McCrorie, P. (2026). Early outdoor play predicts trajectories of child mental health in a population-based cohort. </w:t>
      </w:r>
      <w:r w:rsidRPr="00187A95">
        <w:rPr>
          <w:i/>
          <w:color w:val="auto"/>
        </w:rPr>
        <w:t>Journal of Child Psychology and Psychiatry</w:t>
      </w:r>
      <w:r w:rsidRPr="00187A95">
        <w:rPr>
          <w:color w:val="auto"/>
        </w:rPr>
        <w:t xml:space="preserve">, </w:t>
      </w:r>
      <w:r w:rsidRPr="00187A95">
        <w:rPr>
          <w:i/>
          <w:color w:val="auto"/>
        </w:rPr>
        <w:t>67</w:t>
      </w:r>
      <w:r w:rsidRPr="00187A95">
        <w:rPr>
          <w:color w:val="auto"/>
        </w:rPr>
        <w:t>(11), 1820–1830. https://doi.org/10.1111/jcpp.70175</w:t>
      </w:r>
    </w:p>
    <w:p w14:paraId="4759FAC2" w14:textId="38C27A33" w:rsidR="00642847" w:rsidRPr="00187A95" w:rsidRDefault="00000000">
      <w:pPr>
        <w:pStyle w:val="APAReference"/>
        <w:rPr>
          <w:color w:val="auto"/>
        </w:rPr>
      </w:pPr>
      <w:r w:rsidRPr="00187A95">
        <w:rPr>
          <w:color w:val="auto"/>
        </w:rPr>
        <w:t xml:space="preserve">Edler, K., &amp; Valentino, K. (2024). Parental self-regulation and engagement in emotion socialization: A systematic review. </w:t>
      </w:r>
      <w:r w:rsidRPr="00187A95">
        <w:rPr>
          <w:i/>
          <w:color w:val="auto"/>
        </w:rPr>
        <w:t>Psychological Bulletin</w:t>
      </w:r>
      <w:r w:rsidRPr="00187A95">
        <w:rPr>
          <w:color w:val="auto"/>
        </w:rPr>
        <w:t xml:space="preserve">, </w:t>
      </w:r>
      <w:r w:rsidRPr="00187A95">
        <w:rPr>
          <w:i/>
          <w:color w:val="auto"/>
        </w:rPr>
        <w:t>150</w:t>
      </w:r>
      <w:r w:rsidRPr="00187A95">
        <w:rPr>
          <w:color w:val="auto"/>
        </w:rPr>
        <w:t>(2), 154–191. https://doi.org/10.1037/bul0000423</w:t>
      </w:r>
    </w:p>
    <w:p w14:paraId="61F5B94B" w14:textId="0001B2EE" w:rsidR="00642847" w:rsidRPr="00187A95" w:rsidRDefault="00000000">
      <w:pPr>
        <w:pStyle w:val="APAReference"/>
        <w:rPr>
          <w:color w:val="auto"/>
        </w:rPr>
      </w:pPr>
      <w:r w:rsidRPr="00187A95">
        <w:rPr>
          <w:color w:val="auto"/>
        </w:rPr>
        <w:t xml:space="preserve">Elias, C. L., &amp; Berk, L. E. (2002). Self-regulation in young children: Is there a role for sociodramatic play?. </w:t>
      </w:r>
      <w:r w:rsidRPr="00187A95">
        <w:rPr>
          <w:i/>
          <w:color w:val="auto"/>
        </w:rPr>
        <w:t>Early Childhood Research Quarterly</w:t>
      </w:r>
      <w:r w:rsidRPr="00187A95">
        <w:rPr>
          <w:color w:val="auto"/>
        </w:rPr>
        <w:t xml:space="preserve">, </w:t>
      </w:r>
      <w:r w:rsidRPr="00187A95">
        <w:rPr>
          <w:i/>
          <w:color w:val="auto"/>
        </w:rPr>
        <w:t>17</w:t>
      </w:r>
      <w:r w:rsidRPr="00187A95">
        <w:rPr>
          <w:color w:val="auto"/>
        </w:rPr>
        <w:t>(2), 216–238. https://doi.org/10.1016/S0885-2006(02)00146-1</w:t>
      </w:r>
    </w:p>
    <w:p w14:paraId="2AD263C4" w14:textId="1FF58B1A" w:rsidR="00642847" w:rsidRPr="00187A95" w:rsidRDefault="00000000">
      <w:pPr>
        <w:pStyle w:val="APAReference"/>
        <w:rPr>
          <w:color w:val="auto"/>
        </w:rPr>
      </w:pPr>
      <w:r w:rsidRPr="00187A95">
        <w:rPr>
          <w:color w:val="auto"/>
        </w:rPr>
        <w:t xml:space="preserve">England-Mason, G., Andrews, K., Atkinson, L., &amp; Gonzalez, A. (2023). Emotion socialization parenting interventions targeting emotional competence in young children: A systematic review and meta-analysis of randomized controlled trials. </w:t>
      </w:r>
      <w:r w:rsidRPr="00187A95">
        <w:rPr>
          <w:i/>
          <w:color w:val="auto"/>
        </w:rPr>
        <w:t>Clinical Psychology Review</w:t>
      </w:r>
      <w:r w:rsidRPr="00187A95">
        <w:rPr>
          <w:color w:val="auto"/>
        </w:rPr>
        <w:t xml:space="preserve">, </w:t>
      </w:r>
      <w:r w:rsidRPr="00187A95">
        <w:rPr>
          <w:i/>
          <w:color w:val="auto"/>
        </w:rPr>
        <w:t>100</w:t>
      </w:r>
      <w:r w:rsidRPr="00187A95">
        <w:rPr>
          <w:color w:val="auto"/>
        </w:rPr>
        <w:t>, 102252. https://doi.org/10.1016/j.cpr.2023.102252</w:t>
      </w:r>
    </w:p>
    <w:p w14:paraId="644A10CC" w14:textId="37D96AAB" w:rsidR="00642847" w:rsidRPr="00187A95" w:rsidRDefault="00000000">
      <w:pPr>
        <w:pStyle w:val="APAReference"/>
        <w:rPr>
          <w:color w:val="auto"/>
        </w:rPr>
      </w:pPr>
      <w:r w:rsidRPr="00187A95">
        <w:rPr>
          <w:color w:val="auto"/>
        </w:rPr>
        <w:t xml:space="preserve">Ginsburg, K. R., American Academy of Pediatrics Committee on Communications, &amp; American Academy of Pediatrics Committee on Psychosocial Aspects of Child and Family Health. (2007). The importance of play in promoting healthy child development and maintaining strong parent-child bonds. </w:t>
      </w:r>
      <w:r w:rsidRPr="00187A95">
        <w:rPr>
          <w:i/>
          <w:color w:val="auto"/>
        </w:rPr>
        <w:t>Pediatrics</w:t>
      </w:r>
      <w:r w:rsidRPr="00187A95">
        <w:rPr>
          <w:color w:val="auto"/>
        </w:rPr>
        <w:t xml:space="preserve">, </w:t>
      </w:r>
      <w:r w:rsidRPr="00187A95">
        <w:rPr>
          <w:i/>
          <w:color w:val="auto"/>
        </w:rPr>
        <w:t>119</w:t>
      </w:r>
      <w:r w:rsidRPr="00187A95">
        <w:rPr>
          <w:color w:val="auto"/>
        </w:rPr>
        <w:t>(1), 182–191. https://doi.org/10.1542/peds.2006-2697</w:t>
      </w:r>
    </w:p>
    <w:p w14:paraId="08733D9A" w14:textId="4961CFE3" w:rsidR="00642847" w:rsidRPr="00187A95" w:rsidRDefault="00000000">
      <w:pPr>
        <w:pStyle w:val="APAReference"/>
        <w:rPr>
          <w:color w:val="auto"/>
        </w:rPr>
      </w:pPr>
      <w:r w:rsidRPr="00187A95">
        <w:rPr>
          <w:color w:val="auto"/>
        </w:rPr>
        <w:t xml:space="preserve">Grady, A., Lorch, R., Giles, L., Lamont, H., Anderson, A., Pearson, N., Romiti, M., Lum, M., Stuart, A., Leigh, L., &amp; Yoong, S. L. (2025). The impact of early childhood education and care-based interventions on child physical activity, anthropometrics, fundamental movement skills, cognitive functioning, and social-emotional wellbeing: A systematic review and meta-analysis. </w:t>
      </w:r>
      <w:r w:rsidRPr="00187A95">
        <w:rPr>
          <w:i/>
          <w:color w:val="auto"/>
        </w:rPr>
        <w:t>Obesity Reviews</w:t>
      </w:r>
      <w:r w:rsidRPr="00187A95">
        <w:rPr>
          <w:color w:val="auto"/>
        </w:rPr>
        <w:t xml:space="preserve">, </w:t>
      </w:r>
      <w:r w:rsidRPr="00187A95">
        <w:rPr>
          <w:i/>
          <w:color w:val="auto"/>
        </w:rPr>
        <w:t>26</w:t>
      </w:r>
      <w:r w:rsidRPr="00187A95">
        <w:rPr>
          <w:color w:val="auto"/>
        </w:rPr>
        <w:t>(2), e13852. https://doi.org/10.1111/obr.13852</w:t>
      </w:r>
    </w:p>
    <w:p w14:paraId="480EE81B" w14:textId="04665DCB" w:rsidR="00642847" w:rsidRPr="00187A95" w:rsidRDefault="00000000">
      <w:pPr>
        <w:pStyle w:val="APAReference"/>
        <w:rPr>
          <w:color w:val="auto"/>
        </w:rPr>
      </w:pPr>
      <w:r w:rsidRPr="00187A95">
        <w:rPr>
          <w:color w:val="auto"/>
        </w:rPr>
        <w:t xml:space="preserve">He, Q., Ha, A. S. C., Zheng, B., &amp; Okely, A. D. (2024). Feasibility and potential efficacy of a family-based intervention on promoting physical activity levels and fundamental movement skills in preschoolers: A cluster randomised controlled trial. </w:t>
      </w:r>
      <w:r w:rsidRPr="00187A95">
        <w:rPr>
          <w:i/>
          <w:color w:val="auto"/>
        </w:rPr>
        <w:t>Applied Psychology: Health and Well-Being</w:t>
      </w:r>
      <w:r w:rsidRPr="00187A95">
        <w:rPr>
          <w:color w:val="auto"/>
        </w:rPr>
        <w:t xml:space="preserve">, </w:t>
      </w:r>
      <w:r w:rsidRPr="00187A95">
        <w:rPr>
          <w:i/>
          <w:color w:val="auto"/>
        </w:rPr>
        <w:t>16</w:t>
      </w:r>
      <w:r w:rsidRPr="00187A95">
        <w:rPr>
          <w:color w:val="auto"/>
        </w:rPr>
        <w:t>(3), 1266–1288. https://doi.org/10.1111/aphw.12527</w:t>
      </w:r>
    </w:p>
    <w:p w14:paraId="7EEB1F42" w14:textId="56F1EF15" w:rsidR="00642847" w:rsidRPr="00187A95" w:rsidRDefault="00000000">
      <w:pPr>
        <w:pStyle w:val="APAReference"/>
        <w:rPr>
          <w:color w:val="auto"/>
        </w:rPr>
      </w:pPr>
      <w:r w:rsidRPr="00187A95">
        <w:rPr>
          <w:color w:val="auto"/>
        </w:rPr>
        <w:t xml:space="preserve">Kemp, C. J., Lunkenheimer, E., Albrecht, E. C., &amp; Chen, D. (2016). Can we fix this? Parent–child repair processes and preschoolers’ regulatory skills. </w:t>
      </w:r>
      <w:r w:rsidRPr="00187A95">
        <w:rPr>
          <w:i/>
          <w:color w:val="auto"/>
        </w:rPr>
        <w:t>Family Relations</w:t>
      </w:r>
      <w:r w:rsidRPr="00187A95">
        <w:rPr>
          <w:color w:val="auto"/>
        </w:rPr>
        <w:t xml:space="preserve">, </w:t>
      </w:r>
      <w:r w:rsidRPr="00187A95">
        <w:rPr>
          <w:i/>
          <w:color w:val="auto"/>
        </w:rPr>
        <w:t>65</w:t>
      </w:r>
      <w:r w:rsidRPr="00187A95">
        <w:rPr>
          <w:color w:val="auto"/>
        </w:rPr>
        <w:t>(4), 576–590. https://doi.org/10.1111/fare.12213</w:t>
      </w:r>
    </w:p>
    <w:p w14:paraId="1D1B23CF" w14:textId="52B0C9A0" w:rsidR="00642847" w:rsidRPr="00187A95" w:rsidRDefault="00000000">
      <w:pPr>
        <w:pStyle w:val="APAReference"/>
        <w:rPr>
          <w:color w:val="auto"/>
        </w:rPr>
      </w:pPr>
      <w:r w:rsidRPr="00187A95">
        <w:rPr>
          <w:color w:val="auto"/>
        </w:rPr>
        <w:t xml:space="preserve">Kerr, M. L., Rasmussen, H. F., Smiley, P. A., Buttitta, K. V., &amp; Borelli, J. L. (2021). The development of toddlers’ emotion regulation within the family system: Associations with observed parent-child synchrony and interparental relationship satisfaction. </w:t>
      </w:r>
      <w:r w:rsidRPr="00187A95">
        <w:rPr>
          <w:i/>
          <w:color w:val="auto"/>
        </w:rPr>
        <w:t>Early Childhood Research Quarterly</w:t>
      </w:r>
      <w:r w:rsidRPr="00187A95">
        <w:rPr>
          <w:color w:val="auto"/>
        </w:rPr>
        <w:t xml:space="preserve">, </w:t>
      </w:r>
      <w:r w:rsidRPr="00187A95">
        <w:rPr>
          <w:i/>
          <w:color w:val="auto"/>
        </w:rPr>
        <w:t>57</w:t>
      </w:r>
      <w:r w:rsidRPr="00187A95">
        <w:rPr>
          <w:color w:val="auto"/>
        </w:rPr>
        <w:t>, 215–227. https://doi.org/10.1016/j.ecresq.2021.06.004</w:t>
      </w:r>
    </w:p>
    <w:p w14:paraId="3539875A" w14:textId="7ED22E54" w:rsidR="00642847" w:rsidRPr="00187A95" w:rsidRDefault="00000000">
      <w:pPr>
        <w:pStyle w:val="APAReference"/>
        <w:rPr>
          <w:color w:val="auto"/>
        </w:rPr>
      </w:pPr>
      <w:r w:rsidRPr="00187A95">
        <w:rPr>
          <w:color w:val="auto"/>
        </w:rPr>
        <w:t xml:space="preserve">Lee, J. J., Flouri, E., &amp; Jackson, Y. (2025). The role of timing and amount of outdoor play in emotional dysregulation in preschool children. </w:t>
      </w:r>
      <w:r w:rsidRPr="00187A95">
        <w:rPr>
          <w:i/>
          <w:color w:val="auto"/>
        </w:rPr>
        <w:t>Child: Care, Health and Development</w:t>
      </w:r>
      <w:r w:rsidRPr="00187A95">
        <w:rPr>
          <w:color w:val="auto"/>
        </w:rPr>
        <w:t xml:space="preserve">, </w:t>
      </w:r>
      <w:r w:rsidRPr="00187A95">
        <w:rPr>
          <w:i/>
          <w:color w:val="auto"/>
        </w:rPr>
        <w:t>51</w:t>
      </w:r>
      <w:r w:rsidRPr="00187A95">
        <w:rPr>
          <w:color w:val="auto"/>
        </w:rPr>
        <w:t>(1), e70020. https://doi.org/10.1111/cch.70020</w:t>
      </w:r>
    </w:p>
    <w:p w14:paraId="7B0A68A6" w14:textId="2AB6A1A4" w:rsidR="00642847" w:rsidRPr="00187A95" w:rsidRDefault="00000000">
      <w:pPr>
        <w:pStyle w:val="APAReference"/>
        <w:rPr>
          <w:color w:val="auto"/>
        </w:rPr>
      </w:pPr>
      <w:r w:rsidRPr="00187A95">
        <w:rPr>
          <w:color w:val="auto"/>
        </w:rPr>
        <w:t xml:space="preserve">Lillard, A. S., Lerner, M. D., Hopkins, E. J., Dore, R. A., Smith, E. D., &amp; Palmquist, C. M. (2013). The impact of pretend play on children’s development: A review of the evidence. </w:t>
      </w:r>
      <w:r w:rsidRPr="00187A95">
        <w:rPr>
          <w:i/>
          <w:color w:val="auto"/>
        </w:rPr>
        <w:t>Psychological Bulletin</w:t>
      </w:r>
      <w:r w:rsidRPr="00187A95">
        <w:rPr>
          <w:color w:val="auto"/>
        </w:rPr>
        <w:t xml:space="preserve">, </w:t>
      </w:r>
      <w:r w:rsidRPr="00187A95">
        <w:rPr>
          <w:i/>
          <w:color w:val="auto"/>
        </w:rPr>
        <w:t>139</w:t>
      </w:r>
      <w:r w:rsidRPr="00187A95">
        <w:rPr>
          <w:color w:val="auto"/>
        </w:rPr>
        <w:t>(1), 1–34. https://doi.org/10.1037/a0029321</w:t>
      </w:r>
    </w:p>
    <w:p w14:paraId="595DAA27" w14:textId="754D777A" w:rsidR="00642847" w:rsidRPr="00187A95" w:rsidRDefault="00000000">
      <w:pPr>
        <w:pStyle w:val="APAReference"/>
        <w:rPr>
          <w:color w:val="auto"/>
        </w:rPr>
      </w:pPr>
      <w:r w:rsidRPr="00187A95">
        <w:rPr>
          <w:color w:val="auto"/>
        </w:rPr>
        <w:t xml:space="preserve">Lim, M. S.-L., Ng, E. L., Song, Y., Hesketh, K. D., &amp; Teo, W.-P. (2026). The effects of physical activity interventions on preschoolers’ self-regulation skills: A systematic review and meta-analysis of randomized controlled trials. </w:t>
      </w:r>
      <w:r w:rsidRPr="00187A95">
        <w:rPr>
          <w:i/>
          <w:color w:val="auto"/>
        </w:rPr>
        <w:t>International Journal of Behavioral Nutrition and Physical Activity</w:t>
      </w:r>
      <w:r w:rsidRPr="00187A95">
        <w:rPr>
          <w:color w:val="auto"/>
        </w:rPr>
        <w:t>. Advance online publication. https://doi.org/10.1186/s12966-026-01960-7</w:t>
      </w:r>
    </w:p>
    <w:p w14:paraId="79559220" w14:textId="408FB487" w:rsidR="00642847" w:rsidRPr="00187A95" w:rsidRDefault="00000000">
      <w:pPr>
        <w:pStyle w:val="APAReference"/>
        <w:rPr>
          <w:color w:val="auto"/>
        </w:rPr>
      </w:pPr>
      <w:r w:rsidRPr="00187A95">
        <w:rPr>
          <w:color w:val="auto"/>
        </w:rPr>
        <w:t xml:space="preserve">Lobo, F. M., &amp; Lunkenheimer, E. (2020). Understanding the parent-child coregulation patterns shaping child self-regulation. </w:t>
      </w:r>
      <w:r w:rsidRPr="00187A95">
        <w:rPr>
          <w:i/>
          <w:color w:val="auto"/>
        </w:rPr>
        <w:t>Developmental Psychology</w:t>
      </w:r>
      <w:r w:rsidRPr="00187A95">
        <w:rPr>
          <w:color w:val="auto"/>
        </w:rPr>
        <w:t xml:space="preserve">, </w:t>
      </w:r>
      <w:r w:rsidRPr="00187A95">
        <w:rPr>
          <w:i/>
          <w:color w:val="auto"/>
        </w:rPr>
        <w:t>56</w:t>
      </w:r>
      <w:r w:rsidRPr="00187A95">
        <w:rPr>
          <w:color w:val="auto"/>
        </w:rPr>
        <w:t>(6), 1121–1134. https://doi.org/10.1037/dev0000926</w:t>
      </w:r>
    </w:p>
    <w:p w14:paraId="62D3CE68" w14:textId="183FF8B8" w:rsidR="00642847" w:rsidRPr="00187A95" w:rsidRDefault="00000000">
      <w:pPr>
        <w:pStyle w:val="APAReference"/>
        <w:rPr>
          <w:color w:val="auto"/>
        </w:rPr>
      </w:pPr>
      <w:r w:rsidRPr="00187A95">
        <w:rPr>
          <w:color w:val="auto"/>
        </w:rPr>
        <w:t xml:space="preserve">Ma, X., Yang, N., Huang, M., Zhan, S., Cao, H., &amp; Jiang, S. (2024). Relationships between gross motor skills, psychological resilience, executive function, and emotional regulation among Chinese rural preschoolers: A moderated mediation model. </w:t>
      </w:r>
      <w:r w:rsidRPr="00187A95">
        <w:rPr>
          <w:i/>
          <w:color w:val="auto"/>
        </w:rPr>
        <w:t>Heliyon</w:t>
      </w:r>
      <w:r w:rsidRPr="00187A95">
        <w:rPr>
          <w:color w:val="auto"/>
        </w:rPr>
        <w:t xml:space="preserve">, </w:t>
      </w:r>
      <w:r w:rsidRPr="00187A95">
        <w:rPr>
          <w:i/>
          <w:color w:val="auto"/>
        </w:rPr>
        <w:t>10</w:t>
      </w:r>
      <w:r w:rsidRPr="00187A95">
        <w:rPr>
          <w:color w:val="auto"/>
        </w:rPr>
        <w:t>(18), e38039. https://doi.org/10.1016/j.heliyon.2024.e38039</w:t>
      </w:r>
    </w:p>
    <w:p w14:paraId="72A2647D" w14:textId="4C301565" w:rsidR="00642847" w:rsidRPr="00187A95" w:rsidRDefault="00000000">
      <w:pPr>
        <w:pStyle w:val="APAReference"/>
        <w:rPr>
          <w:color w:val="auto"/>
        </w:rPr>
      </w:pPr>
      <w:r w:rsidRPr="00187A95">
        <w:rPr>
          <w:color w:val="auto"/>
        </w:rPr>
        <w:lastRenderedPageBreak/>
        <w:t xml:space="preserve">Min, S., Dong, J., Li, D., &amp; Li, X. (2026). Parental sports support and emotional-behavioral problems in preschoolers: The chain mediating roles of exercise habits and parent–child relationships. </w:t>
      </w:r>
      <w:r w:rsidRPr="00187A95">
        <w:rPr>
          <w:i/>
          <w:color w:val="auto"/>
        </w:rPr>
        <w:t>Frontiers in Psychology</w:t>
      </w:r>
      <w:r w:rsidRPr="00187A95">
        <w:rPr>
          <w:color w:val="auto"/>
        </w:rPr>
        <w:t xml:space="preserve">, </w:t>
      </w:r>
      <w:r w:rsidRPr="00187A95">
        <w:rPr>
          <w:i/>
          <w:color w:val="auto"/>
        </w:rPr>
        <w:t>17</w:t>
      </w:r>
      <w:r w:rsidRPr="00187A95">
        <w:rPr>
          <w:color w:val="auto"/>
        </w:rPr>
        <w:t>, 1768932. https://doi.org/10.3389/fpsyg.2026.1768932</w:t>
      </w:r>
    </w:p>
    <w:p w14:paraId="5AF60126" w14:textId="52032775" w:rsidR="00642847" w:rsidRPr="00187A95" w:rsidRDefault="00000000">
      <w:pPr>
        <w:pStyle w:val="APAReference"/>
        <w:rPr>
          <w:color w:val="auto"/>
        </w:rPr>
      </w:pPr>
      <w:r w:rsidRPr="00187A95">
        <w:rPr>
          <w:color w:val="auto"/>
        </w:rPr>
        <w:t xml:space="preserve">Morris, A. S., Silk, J. S., Steinberg, L., Myers, S. S., &amp; Robinson, L. R. (2007). The role of the family context in the development of emotion regulation. </w:t>
      </w:r>
      <w:r w:rsidRPr="00187A95">
        <w:rPr>
          <w:i/>
          <w:color w:val="auto"/>
        </w:rPr>
        <w:t>Social Development</w:t>
      </w:r>
      <w:r w:rsidRPr="00187A95">
        <w:rPr>
          <w:color w:val="auto"/>
        </w:rPr>
        <w:t xml:space="preserve">, </w:t>
      </w:r>
      <w:r w:rsidRPr="00187A95">
        <w:rPr>
          <w:i/>
          <w:color w:val="auto"/>
        </w:rPr>
        <w:t>16</w:t>
      </w:r>
      <w:r w:rsidRPr="00187A95">
        <w:rPr>
          <w:color w:val="auto"/>
        </w:rPr>
        <w:t>(2), 361–388. https://doi.org/10.1111/j.1467-9507.2007.00389.x</w:t>
      </w:r>
    </w:p>
    <w:p w14:paraId="2A9704D2" w14:textId="32291D1B" w:rsidR="00642847" w:rsidRPr="00187A95" w:rsidRDefault="00000000">
      <w:pPr>
        <w:pStyle w:val="APAReference"/>
        <w:rPr>
          <w:color w:val="auto"/>
        </w:rPr>
      </w:pPr>
      <w:r w:rsidRPr="00187A95">
        <w:rPr>
          <w:color w:val="auto"/>
        </w:rPr>
        <w:t xml:space="preserve">Moss, S., &amp; Gu, X. (2022). Home- and community-based interventions for physical activity and early child development: A systematic review of effective strategies. </w:t>
      </w:r>
      <w:r w:rsidRPr="00187A95">
        <w:rPr>
          <w:i/>
          <w:color w:val="auto"/>
        </w:rPr>
        <w:t>International Journal of Environmental Research and Public Health</w:t>
      </w:r>
      <w:r w:rsidRPr="00187A95">
        <w:rPr>
          <w:color w:val="auto"/>
        </w:rPr>
        <w:t xml:space="preserve">, </w:t>
      </w:r>
      <w:r w:rsidRPr="00187A95">
        <w:rPr>
          <w:i/>
          <w:color w:val="auto"/>
        </w:rPr>
        <w:t>19</w:t>
      </w:r>
      <w:r w:rsidRPr="00187A95">
        <w:rPr>
          <w:color w:val="auto"/>
        </w:rPr>
        <w:t>(19), 11968. https://doi.org/10.3390/ijerph191911968</w:t>
      </w:r>
    </w:p>
    <w:p w14:paraId="7EA0A2FC" w14:textId="41C16C52" w:rsidR="00642847" w:rsidRPr="00187A95" w:rsidRDefault="00000000">
      <w:pPr>
        <w:pStyle w:val="APAReference"/>
        <w:rPr>
          <w:color w:val="auto"/>
        </w:rPr>
      </w:pPr>
      <w:r w:rsidRPr="00187A95">
        <w:rPr>
          <w:color w:val="auto"/>
        </w:rPr>
        <w:t xml:space="preserve">Ponitz, C. C., McClelland, M. M., Matthews, J. S., &amp; Morrison, F. J. (2009). A structured observation of behavioral self-regulation and its contribution to kindergarten outcomes. </w:t>
      </w:r>
      <w:r w:rsidRPr="00187A95">
        <w:rPr>
          <w:i/>
          <w:color w:val="auto"/>
        </w:rPr>
        <w:t>Developmental Psychology</w:t>
      </w:r>
      <w:r w:rsidRPr="00187A95">
        <w:rPr>
          <w:color w:val="auto"/>
        </w:rPr>
        <w:t xml:space="preserve">, </w:t>
      </w:r>
      <w:r w:rsidRPr="00187A95">
        <w:rPr>
          <w:i/>
          <w:color w:val="auto"/>
        </w:rPr>
        <w:t>45</w:t>
      </w:r>
      <w:r w:rsidRPr="00187A95">
        <w:rPr>
          <w:color w:val="auto"/>
        </w:rPr>
        <w:t>(3), 605–619. https://doi.org/10.1037/a0015365</w:t>
      </w:r>
    </w:p>
    <w:p w14:paraId="73998E50" w14:textId="2D222361" w:rsidR="00642847" w:rsidRPr="00187A95" w:rsidRDefault="00000000">
      <w:pPr>
        <w:pStyle w:val="APAReference"/>
        <w:rPr>
          <w:color w:val="auto"/>
        </w:rPr>
      </w:pPr>
      <w:r w:rsidRPr="00187A95">
        <w:rPr>
          <w:color w:val="auto"/>
        </w:rPr>
        <w:t xml:space="preserve">Puglisi, N., Rattaz, V., Favez, N., &amp; Tissot, H. (2024). Father involvement and emotion regulation during early childhood: A systematic review. </w:t>
      </w:r>
      <w:r w:rsidRPr="00187A95">
        <w:rPr>
          <w:i/>
          <w:color w:val="auto"/>
        </w:rPr>
        <w:t>BMC Psychology</w:t>
      </w:r>
      <w:r w:rsidRPr="00187A95">
        <w:rPr>
          <w:color w:val="auto"/>
        </w:rPr>
        <w:t xml:space="preserve">, </w:t>
      </w:r>
      <w:r w:rsidRPr="00187A95">
        <w:rPr>
          <w:i/>
          <w:color w:val="auto"/>
        </w:rPr>
        <w:t>12</w:t>
      </w:r>
      <w:r w:rsidRPr="00187A95">
        <w:rPr>
          <w:color w:val="auto"/>
        </w:rPr>
        <w:t>, 675. https://doi.org/10.1186/s40359-024-02182-x</w:t>
      </w:r>
    </w:p>
    <w:p w14:paraId="64F57B23" w14:textId="09F7544E" w:rsidR="00642847" w:rsidRPr="00187A95" w:rsidRDefault="00000000">
      <w:pPr>
        <w:pStyle w:val="APAReference"/>
        <w:rPr>
          <w:color w:val="auto"/>
        </w:rPr>
      </w:pPr>
      <w:r w:rsidRPr="00187A95">
        <w:rPr>
          <w:color w:val="auto"/>
        </w:rPr>
        <w:t xml:space="preserve">Robinson, E. L., StGeorge, J., &amp; Freeman, E. E. (2021). A systematic review of father–child play interactions and the impacts on child development. </w:t>
      </w:r>
      <w:r w:rsidRPr="00187A95">
        <w:rPr>
          <w:i/>
          <w:color w:val="auto"/>
        </w:rPr>
        <w:t>Children</w:t>
      </w:r>
      <w:r w:rsidRPr="00187A95">
        <w:rPr>
          <w:color w:val="auto"/>
        </w:rPr>
        <w:t xml:space="preserve">, </w:t>
      </w:r>
      <w:r w:rsidRPr="00187A95">
        <w:rPr>
          <w:i/>
          <w:color w:val="auto"/>
        </w:rPr>
        <w:t>8</w:t>
      </w:r>
      <w:r w:rsidRPr="00187A95">
        <w:rPr>
          <w:color w:val="auto"/>
        </w:rPr>
        <w:t>(5), 389. https://doi.org/10.3390/children8050389</w:t>
      </w:r>
    </w:p>
    <w:p w14:paraId="3881D318" w14:textId="784BF0CD" w:rsidR="00642847" w:rsidRPr="00187A95" w:rsidRDefault="00000000">
      <w:pPr>
        <w:pStyle w:val="APAReference"/>
        <w:rPr>
          <w:color w:val="auto"/>
        </w:rPr>
      </w:pPr>
      <w:r w:rsidRPr="00187A95">
        <w:rPr>
          <w:color w:val="auto"/>
        </w:rPr>
        <w:t xml:space="preserve">Ștefan, C. A., &amp; Dănilă, I. (2025). Pathways from parenting emotion regulation, emotion socialization and parenting practices to preschoolers’ emotion regulation. </w:t>
      </w:r>
      <w:r w:rsidRPr="00187A95">
        <w:rPr>
          <w:i/>
          <w:color w:val="auto"/>
        </w:rPr>
        <w:t>Early Childhood Research Quarterly</w:t>
      </w:r>
      <w:r w:rsidRPr="00187A95">
        <w:rPr>
          <w:color w:val="auto"/>
        </w:rPr>
        <w:t xml:space="preserve">, </w:t>
      </w:r>
      <w:r w:rsidRPr="00187A95">
        <w:rPr>
          <w:i/>
          <w:color w:val="auto"/>
        </w:rPr>
        <w:t>72</w:t>
      </w:r>
      <w:r w:rsidRPr="00187A95">
        <w:rPr>
          <w:color w:val="auto"/>
        </w:rPr>
        <w:t>, 273–283. https://doi.org/10.1016/j.ecresq.2025.04.006</w:t>
      </w:r>
    </w:p>
    <w:p w14:paraId="678C1057" w14:textId="2DC7B720" w:rsidR="00642847" w:rsidRPr="00187A95" w:rsidRDefault="00000000">
      <w:pPr>
        <w:pStyle w:val="APAReference"/>
        <w:rPr>
          <w:color w:val="auto"/>
        </w:rPr>
      </w:pPr>
      <w:r w:rsidRPr="00187A95">
        <w:rPr>
          <w:color w:val="auto"/>
        </w:rPr>
        <w:t xml:space="preserve">Yogman, M., Garner, A., Hutchinson, J., Hirsh-Pasek, K., Golinkoff, R. M., Committee on Psychosocial Aspects of Child and Family Health, &amp; Council on Communications and Media. (2018). The power of play: A pediatric role in enhancing development in young children. </w:t>
      </w:r>
      <w:r w:rsidRPr="00187A95">
        <w:rPr>
          <w:i/>
          <w:color w:val="auto"/>
        </w:rPr>
        <w:t>Pediatrics</w:t>
      </w:r>
      <w:r w:rsidRPr="00187A95">
        <w:rPr>
          <w:color w:val="auto"/>
        </w:rPr>
        <w:t xml:space="preserve">, </w:t>
      </w:r>
      <w:r w:rsidRPr="00187A95">
        <w:rPr>
          <w:i/>
          <w:color w:val="auto"/>
        </w:rPr>
        <w:t>142</w:t>
      </w:r>
      <w:r w:rsidRPr="00187A95">
        <w:rPr>
          <w:color w:val="auto"/>
        </w:rPr>
        <w:t>(3), e20182058. https://doi.org/10.1542/peds.2018-2058</w:t>
      </w:r>
    </w:p>
    <w:sectPr w:rsidR="00642847" w:rsidRPr="00187A95" w:rsidSect="00034616">
      <w:headerReference w:type="even" r:id="rId8"/>
      <w:headerReference w:type="default" r:id="rId9"/>
      <w:footerReference w:type="even" r:id="rId10"/>
      <w:footerReference w:type="default" r:id="rId11"/>
      <w:headerReference w:type="first" r:id="rId12"/>
      <w:footerReference w:type="first" r:id="rId13"/>
      <w:pgSz w:w="12240" w:h="15840"/>
      <w:pgMar w:top="1310" w:right="1310" w:bottom="1282" w:left="13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85188" w14:textId="77777777" w:rsidR="0076371A" w:rsidRDefault="0076371A">
      <w:pPr>
        <w:spacing w:after="0" w:line="240" w:lineRule="auto"/>
      </w:pPr>
      <w:r>
        <w:separator/>
      </w:r>
    </w:p>
  </w:endnote>
  <w:endnote w:type="continuationSeparator" w:id="0">
    <w:p w14:paraId="03A40D4B" w14:textId="77777777" w:rsidR="0076371A" w:rsidRDefault="00763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A43E" w14:textId="77777777" w:rsidR="00C36B2D" w:rsidRDefault="00C36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BF3A" w14:textId="77777777" w:rsidR="00642847" w:rsidRDefault="00000000">
    <w:pPr>
      <w:pStyle w:val="Footer"/>
      <w:jc w:val="center"/>
    </w:pPr>
    <w:r>
      <w:fldChar w:fldCharType="begin"/>
    </w:r>
    <w:r>
      <w:instrText>PAGE</w:instrText>
    </w:r>
    <w:r>
      <w:fldChar w:fldCharType="separate"/>
    </w:r>
    <w:r w:rsidR="00187A9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E318" w14:textId="77777777" w:rsidR="00C36B2D" w:rsidRDefault="00C36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34B5C" w14:textId="77777777" w:rsidR="0076371A" w:rsidRDefault="0076371A">
      <w:pPr>
        <w:spacing w:after="0" w:line="240" w:lineRule="auto"/>
      </w:pPr>
      <w:r>
        <w:separator/>
      </w:r>
    </w:p>
  </w:footnote>
  <w:footnote w:type="continuationSeparator" w:id="0">
    <w:p w14:paraId="00BD3E8D" w14:textId="77777777" w:rsidR="0076371A" w:rsidRDefault="00763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37E9" w14:textId="728492B8" w:rsidR="00C36B2D" w:rsidRDefault="00C36B2D">
    <w:pPr>
      <w:pStyle w:val="Header"/>
    </w:pPr>
    <w:r>
      <w:rPr>
        <w:noProof/>
      </w:rPr>
      <w:pict w14:anchorId="3E6638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585360" o:spid="_x0000_s1026" type="#_x0000_t136" style="position:absolute;margin-left:0;margin-top:0;width:602.75pt;height:75.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78BB9" w14:textId="7B30B582" w:rsidR="00C36B2D" w:rsidRDefault="00C36B2D">
    <w:pPr>
      <w:pStyle w:val="Header"/>
    </w:pPr>
    <w:r>
      <w:rPr>
        <w:noProof/>
      </w:rPr>
      <w:pict w14:anchorId="4C1FC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585361" o:spid="_x0000_s1027" type="#_x0000_t136" style="position:absolute;margin-left:0;margin-top:0;width:602.75pt;height:75.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9B197" w14:textId="56A7E9C7" w:rsidR="00C36B2D" w:rsidRDefault="00C36B2D">
    <w:pPr>
      <w:pStyle w:val="Header"/>
    </w:pPr>
    <w:r>
      <w:rPr>
        <w:noProof/>
      </w:rPr>
      <w:pict w14:anchorId="5CFC5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585359" o:spid="_x0000_s1025" type="#_x0000_t136" style="position:absolute;margin-left:0;margin-top:0;width:602.75pt;height:75.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2525180">
    <w:abstractNumId w:val="8"/>
  </w:num>
  <w:num w:numId="2" w16cid:durableId="577519394">
    <w:abstractNumId w:val="6"/>
  </w:num>
  <w:num w:numId="3" w16cid:durableId="815877480">
    <w:abstractNumId w:val="5"/>
  </w:num>
  <w:num w:numId="4" w16cid:durableId="1138650191">
    <w:abstractNumId w:val="4"/>
  </w:num>
  <w:num w:numId="5" w16cid:durableId="95447780">
    <w:abstractNumId w:val="7"/>
  </w:num>
  <w:num w:numId="6" w16cid:durableId="838160556">
    <w:abstractNumId w:val="3"/>
  </w:num>
  <w:num w:numId="7" w16cid:durableId="1278945225">
    <w:abstractNumId w:val="2"/>
  </w:num>
  <w:num w:numId="8" w16cid:durableId="734014217">
    <w:abstractNumId w:val="1"/>
  </w:num>
  <w:num w:numId="9" w16cid:durableId="121118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A95"/>
    <w:rsid w:val="00250D21"/>
    <w:rsid w:val="0029639D"/>
    <w:rsid w:val="00326F90"/>
    <w:rsid w:val="00424E38"/>
    <w:rsid w:val="00572BCF"/>
    <w:rsid w:val="005C28ED"/>
    <w:rsid w:val="00642847"/>
    <w:rsid w:val="0076371A"/>
    <w:rsid w:val="00AA1D8D"/>
    <w:rsid w:val="00B47730"/>
    <w:rsid w:val="00C36B2D"/>
    <w:rsid w:val="00CB0664"/>
    <w:rsid w:val="00DB7ED3"/>
    <w:rsid w:val="00EF42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C1DD50"/>
  <w14:defaultImageDpi w14:val="300"/>
  <w15:docId w15:val="{980DB06D-6F16-443E-BE5B-4D6CEE10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5" w:lineRule="auto"/>
    </w:pPr>
    <w:rPr>
      <w:rFonts w:ascii="Cambria" w:hAnsi="Cambria"/>
      <w:color w:val="1E2125"/>
      <w:sz w:val="21"/>
    </w:rPr>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b/>
      <w:bCs/>
      <w:color w:val="1C2D3A"/>
      <w:sz w:val="2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1C2D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74" w:lineRule="auto"/>
      <w:contextualSpacing/>
    </w:pPr>
    <w:rPr>
      <w:rFonts w:asciiTheme="majorHAnsi" w:eastAsiaTheme="majorEastAsia" w:hAnsiTheme="majorHAnsi" w:cstheme="majorBidi"/>
      <w:b/>
      <w:color w:val="1C2D3A"/>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itle">
    <w:name w:val="Table Title"/>
    <w:basedOn w:val="Normal"/>
    <w:pPr>
      <w:keepNext/>
      <w:spacing w:before="180" w:after="80"/>
    </w:pPr>
    <w:rPr>
      <w:b/>
      <w:sz w:val="19"/>
    </w:rPr>
  </w:style>
  <w:style w:type="paragraph" w:customStyle="1" w:styleId="TableNote">
    <w:name w:val="Table Note"/>
    <w:basedOn w:val="Normal"/>
    <w:pPr>
      <w:spacing w:before="80" w:after="180"/>
    </w:pPr>
    <w:rPr>
      <w:sz w:val="16"/>
    </w:rPr>
  </w:style>
  <w:style w:type="paragraph" w:customStyle="1" w:styleId="APAReference">
    <w:name w:val="APA Reference"/>
    <w:basedOn w:val="Normal"/>
    <w:pPr>
      <w:spacing w:after="80" w:line="276" w:lineRule="auto"/>
      <w:ind w:left="461" w:hanging="461"/>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16043</Words>
  <Characters>91448</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5</cp:revision>
  <dcterms:created xsi:type="dcterms:W3CDTF">2013-12-23T23:15:00Z</dcterms:created>
  <dcterms:modified xsi:type="dcterms:W3CDTF">2026-10-27T13:31:00Z</dcterms:modified>
  <cp:category/>
</cp:coreProperties>
</file>