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2E8FE" w14:textId="77777777" w:rsidR="00DC7C2B" w:rsidRDefault="00DC7C2B">
      <w:pPr>
        <w:pStyle w:val="Title"/>
      </w:pPr>
      <w:r w:rsidRPr="00DC7C2B">
        <w:t>Review Article</w:t>
      </w:r>
    </w:p>
    <w:p w14:paraId="7A90C499" w14:textId="66243DC7" w:rsidR="0079789B" w:rsidRDefault="00000000">
      <w:pPr>
        <w:pStyle w:val="Title"/>
      </w:pPr>
      <w:r>
        <w:t>Photochemical Transformations in the Management of Psychoactive Drug Residues: Fate, Treatment, Monitoring and Safety</w:t>
      </w:r>
    </w:p>
    <w:p w14:paraId="1ED313C6" w14:textId="77777777" w:rsidR="0079789B" w:rsidRDefault="00000000">
      <w:pPr>
        <w:pStyle w:val="Heading1"/>
      </w:pPr>
      <w:r>
        <w:t>Abstract</w:t>
      </w:r>
    </w:p>
    <w:p w14:paraId="22AA65E1" w14:textId="77777777" w:rsidR="0079789B" w:rsidRDefault="00000000">
      <w:pPr>
        <w:pStyle w:val="BodyText"/>
      </w:pPr>
      <w:r>
        <w:t xml:space="preserve">Psychoactive drugs used in clinical practice or consumed illicitly enter interconnected systems of pharmaceutical handling, human exposure, sewer transport, wastewater treatment and receiving waters. Light-driven chemistry is relevant across this continuum, but its significance changes with the endpoint: preservation of medicinal products, environmental transformation, engineered contaminant removal, wastewater-based monitoring or prevention of photoactivated harm. This critical narrative review evaluates photochemical processes affecting antidepressants, benzodiazepines, antipsychotics, neuroactive anticonvulsants and selected illicit-drug markers, with emphasis on literature published from 2000 to 2 September 2026 and historically important earlier studies. Evidence was examined for reaction mechanisms, environmental realism, transformation products, ecotoxicological outcomes and translational maturity. Direct photolysis varies markedly among compounds and irradiation conditions; dissolved organic matter and inorganic solutes may accelerate or suppress transformation through competing optical and radical pathways. Ultraviolet/oxidant systems, photo-Fenton chemistry and heterogeneous photocatalysis frequently accelerate parent-compound disappearance, but this endpoint does not establish </w:t>
      </w:r>
      <w:proofErr w:type="spellStart"/>
      <w:r>
        <w:t>mineralisation</w:t>
      </w:r>
      <w:proofErr w:type="spellEnd"/>
      <w:r>
        <w:t>, ecological safety or economical operation. Carbamazepine illustrates the central contradiction: removal of the parent compound may coincide with formation of acridine-related products and transient increases in mixture toxicity. Experimental work on sertraline, citalopram, benzodiazepines and phenothiazines confirms that photoproduct identity and bioactivity demand compound-specific scrutiny. Evidence involving cocaine shows why environmental transformations also matter to forensic and wastewater-epidemiological interpretation. The literature remains dominated by controlled laboratory studies, a limited range of benchmark drugs and inconsistent reporting of absorbed light, transformation-product uncertainty and life-cycle burdens. A defensible management framework therefore treats light chemistry as a conditional tool for source control, monitoring and water treatment, evaluated against the combined criteria of chemical conversion, residual hazard, operational feasibility and reliable surveillance rather than degradation percentage alone.</w:t>
      </w:r>
    </w:p>
    <w:p w14:paraId="7E131F22" w14:textId="77777777" w:rsidR="0079789B" w:rsidRDefault="00000000">
      <w:pPr>
        <w:pStyle w:val="Keywords"/>
      </w:pPr>
      <w:r>
        <w:rPr>
          <w:b/>
        </w:rPr>
        <w:t xml:space="preserve">Keywords: </w:t>
      </w:r>
      <w:r>
        <w:t>aquatic photolysis; psychotropic pharmaceuticals; advanced oxidation processes; photo-Fenton; transformation products; wastewater-based epidemiology; phototoxicity; environmental risk</w:t>
      </w:r>
    </w:p>
    <w:p w14:paraId="3E9E569C" w14:textId="77777777" w:rsidR="0079789B" w:rsidRDefault="00000000">
      <w:pPr>
        <w:pStyle w:val="Heading1"/>
      </w:pPr>
      <w:r>
        <w:t>1. Introduction</w:t>
      </w:r>
    </w:p>
    <w:p w14:paraId="5B6D70DE" w14:textId="77777777" w:rsidR="0079789B" w:rsidRDefault="00000000">
      <w:pPr>
        <w:pStyle w:val="BodyText"/>
      </w:pPr>
      <w:r>
        <w:t xml:space="preserve">The term psychoactive drug encompasses medicines and other substances that modify central nervous system activity, including antidepressants, anxiolytics, antipsychotics, psychostimulants and some anticonvulsants used for mood </w:t>
      </w:r>
      <w:proofErr w:type="spellStart"/>
      <w:r>
        <w:t>stabilisation</w:t>
      </w:r>
      <w:proofErr w:type="spellEnd"/>
      <w:r>
        <w:t xml:space="preserve">. Their pharmacological relevance derives from effects on neural </w:t>
      </w:r>
      <w:proofErr w:type="spellStart"/>
      <w:r>
        <w:t>signalling</w:t>
      </w:r>
      <w:proofErr w:type="spellEnd"/>
      <w:r>
        <w:t xml:space="preserve">, whereas their environmental relevance derives from persistent inputs, compound-specific transformations and the biological activity of residues outside intended therapeutic settings. Neither the clinical classification of a molecule nor the word “psychoactive” predicts its ultraviolet–visible absorption spectrum, photoreaction quantum yield, environmental distribution or sensitivity to oxidation. Consequently, claims about photochemical management must be formulated at the level of individual structures, matrices and decision contexts rather than drug class alone (Calisto et al., 2011; </w:t>
      </w:r>
      <w:proofErr w:type="spellStart"/>
      <w:r>
        <w:t>Trawiński</w:t>
      </w:r>
      <w:proofErr w:type="spellEnd"/>
      <w:r>
        <w:t xml:space="preserve"> &amp; </w:t>
      </w:r>
      <w:proofErr w:type="spellStart"/>
      <w:r>
        <w:t>Skibiński</w:t>
      </w:r>
      <w:proofErr w:type="spellEnd"/>
      <w:r>
        <w:t>, 2017).</w:t>
      </w:r>
    </w:p>
    <w:p w14:paraId="108FD875" w14:textId="77777777" w:rsidR="0079789B" w:rsidRDefault="00000000">
      <w:pPr>
        <w:pStyle w:val="BodyText"/>
      </w:pPr>
      <w:r>
        <w:lastRenderedPageBreak/>
        <w:t xml:space="preserve">Photochemical management is used here in its literal chemical sense: the deliberate or incidental consequences of light absorption by psychoactive compounds, natural </w:t>
      </w:r>
      <w:proofErr w:type="spellStart"/>
      <w:r>
        <w:t>photosensitisers</w:t>
      </w:r>
      <w:proofErr w:type="spellEnd"/>
      <w:r>
        <w:t xml:space="preserve">, added oxidants or photocatalysts. It is not synonymous with phytochemical treatment of substance-use disorders, and there is no basis in the reviewed literature for treating wastewater photocatalysis as a clinical therapy for addiction. Light can be detrimental when it </w:t>
      </w:r>
      <w:proofErr w:type="spellStart"/>
      <w:r>
        <w:t>destabilises</w:t>
      </w:r>
      <w:proofErr w:type="spellEnd"/>
      <w:r>
        <w:t xml:space="preserve"> a medicine or triggers a photosensitivity reaction. The same physical process may become useful when harnessed to transform contaminants in effluent. In analytical settings, inadvertent illumination can instead generate misleading evidence about the amount or identity of a drug. Effective stewardship therefore depends on distinguishing beneficial environmental oxidation from potentially harmful </w:t>
      </w:r>
      <w:proofErr w:type="spellStart"/>
      <w:r>
        <w:t>phototransformation</w:t>
      </w:r>
      <w:proofErr w:type="spellEnd"/>
      <w:r>
        <w:t xml:space="preserve"> and avoidable analytical artefacts (Bijlsma et al., 2013; Chignell et al., 1985; McCall et al., 2016).</w:t>
      </w:r>
    </w:p>
    <w:p w14:paraId="796FB1E1" w14:textId="77777777" w:rsidR="0079789B" w:rsidRDefault="00000000">
      <w:pPr>
        <w:pStyle w:val="BodyText"/>
      </w:pPr>
      <w:r>
        <w:t>Environmental occurrence is closely linked to these competing objectives. Pharmaceuticals and their metabolites are released following use and disposal, and conventional wastewater treatment does not target every microcontaminant. Psychoactive compounds differ in sorption, biodegradation, stability and partitioning, so low dissolved concentrations may represent effective removal, transfer to solids, transformation into unmeasured products or a combination. Surveys assembled in earlier critical reviews established that psychotropics occur in treatment effluents and surface waters, but also illustrated why isolated concentration measurements cannot reveal the dominant removal mechanism (</w:t>
      </w:r>
      <w:proofErr w:type="spellStart"/>
      <w:r>
        <w:t>Mohamadpour</w:t>
      </w:r>
      <w:proofErr w:type="spellEnd"/>
      <w:r>
        <w:t xml:space="preserve"> &amp; </w:t>
      </w:r>
      <w:proofErr w:type="spellStart"/>
      <w:r>
        <w:t>Mohamadpour</w:t>
      </w:r>
      <w:proofErr w:type="spellEnd"/>
      <w:r>
        <w:t xml:space="preserve">, 2024; </w:t>
      </w:r>
      <w:proofErr w:type="spellStart"/>
      <w:r>
        <w:t>Trawiński</w:t>
      </w:r>
      <w:proofErr w:type="spellEnd"/>
      <w:r>
        <w:t xml:space="preserve"> &amp; </w:t>
      </w:r>
      <w:proofErr w:type="spellStart"/>
      <w:r>
        <w:t>Skibiński</w:t>
      </w:r>
      <w:proofErr w:type="spellEnd"/>
      <w:r>
        <w:t xml:space="preserve">, 2017). Environmental chemistry must therefore be linked to total-system </w:t>
      </w:r>
      <w:proofErr w:type="spellStart"/>
      <w:r>
        <w:t>behaviour</w:t>
      </w:r>
      <w:proofErr w:type="spellEnd"/>
      <w:r>
        <w:t>, not merely to laboratory disappearance curves.</w:t>
      </w:r>
    </w:p>
    <w:p w14:paraId="4D07F97A" w14:textId="77777777" w:rsidR="0079789B" w:rsidRDefault="00000000">
      <w:pPr>
        <w:pStyle w:val="BodyText"/>
      </w:pPr>
      <w:r>
        <w:t xml:space="preserve">An expanding literature demonstrates laboratory degradation of psychotropics under simulated sunlight, ultraviolet irradiation, </w:t>
      </w:r>
      <w:proofErr w:type="spellStart"/>
      <w:r>
        <w:t>photoperoxidation</w:t>
      </w:r>
      <w:proofErr w:type="spellEnd"/>
      <w:r>
        <w:t xml:space="preserve">, photo-Fenton chemistry and semiconductor photocatalysis. These studies have generated useful mechanistic detail, particularly for carbamazepine and selected selective serotonin reuptake inhibitors. The central difficulty is that the terms “degradation”, “removal” and “detoxification” are often used as though interchangeable. They are not. Parent-compound disappearance describes analytical depletion of a specified molecular entity. Transformation identifies a different molecular entity. </w:t>
      </w:r>
      <w:proofErr w:type="spellStart"/>
      <w:r>
        <w:t>Mineralisation</w:t>
      </w:r>
      <w:proofErr w:type="spellEnd"/>
      <w:r>
        <w:t xml:space="preserve"> requires conversion of organic carbon to inorganic end products, and reduction in ecological hazard requires empirical evidence that remaining mixtures are less harmful. Carbamazepine studies have demonstrated accumulation of acridine-related products and an increase in toxicity during photolysis, directly challenging the assumption that faster parent disappearance necessarily improves safety (Donner et al., 2013; Pan et al., 2017).</w:t>
      </w:r>
    </w:p>
    <w:p w14:paraId="45FA9729" w14:textId="77777777" w:rsidR="0079789B" w:rsidRDefault="00000000">
      <w:pPr>
        <w:pStyle w:val="BodyText"/>
      </w:pPr>
      <w:r>
        <w:t xml:space="preserve">The gap between reaction chemistry and practical management extends beyond toxicity. Artificial irradiation may contain wavelengths and fluxes unlike natural sunlight; quartz vessels and highly purified water do not reproduce suspended solids, dissolved organic matter, bicarbonate, chloride or seasonal variation in effluent. Catalyst powders can accelerate conversion without showing how they would be recovered after treatment. Conversely, a slower photochemical process may perform more predictably in authentic water and require fewer chemical inputs. A comparative assessment of oxidation methods for carbamazepine found that kinetic performance and relative cost did not follow a single ordering, underscoring the need to specify the objective of </w:t>
      </w:r>
      <w:proofErr w:type="spellStart"/>
      <w:r>
        <w:t>optimisation</w:t>
      </w:r>
      <w:proofErr w:type="spellEnd"/>
      <w:r>
        <w:t xml:space="preserve"> (Dai et al., 2012; Friedmann, 2022; Srivastava, 2024).</w:t>
      </w:r>
    </w:p>
    <w:p w14:paraId="3985D191" w14:textId="77777777" w:rsidR="0079789B" w:rsidRDefault="00000000">
      <w:pPr>
        <w:pStyle w:val="BodyText"/>
      </w:pPr>
      <w:r>
        <w:t xml:space="preserve">Recent evidence has made the limitations more visible rather than resolving them. High-resolution mass spectrometry increasingly identifies dozens of intermediates from single antidepressants, but structural assignments are not always confirmed with standards, and the most intense ions are not necessarily the most hazardous products. Studies of sertraline and citalopram report efficient photocatalytic conversion alongside formation of biologically concerning mixtures, while a pilot-scale hospital wastewater investigation moves closer to operational reality but does not by itself establish transferability to diverse facilities. Innovations in </w:t>
      </w:r>
      <w:r>
        <w:lastRenderedPageBreak/>
        <w:t>visible-light photocatalysts broaden potential reactor designs, yet the central practical questions remain durability, material loss, matrix interference and safe effluent quality (Calza et al., 2021; Hosseini, 2025; Jiménez-Holgado et al., 2021; Majumder et al., 2024).</w:t>
      </w:r>
    </w:p>
    <w:p w14:paraId="5DC58110" w14:textId="77777777" w:rsidR="0079789B" w:rsidRDefault="00000000">
      <w:pPr>
        <w:pStyle w:val="Heading2"/>
      </w:pPr>
      <w:r>
        <w:t>1.1 Scope, Research Gap and Objectives</w:t>
      </w:r>
    </w:p>
    <w:p w14:paraId="7CF53766" w14:textId="77777777" w:rsidR="0079789B" w:rsidRDefault="00000000">
      <w:pPr>
        <w:pStyle w:val="BodyText"/>
      </w:pPr>
      <w:r>
        <w:t xml:space="preserve">This review critically examines the role of photochemical transformations in managing psychoactive drug residues across three intersecting settings: environmentally relevant water exposure, engineered water and wastewater treatment, and analytical or pharmaceutical light-related safety. The primary population of chemicals comprises antidepressants, benzodiazepines, phenothiazine and related antipsychotics, carbamazepine as a frequently studied neuroactive benchmark, and selected illicit-drug biomarkers. The intended decisions are whether photochemical </w:t>
      </w:r>
      <w:proofErr w:type="spellStart"/>
      <w:r>
        <w:t>behaviour</w:t>
      </w:r>
      <w:proofErr w:type="spellEnd"/>
      <w:r>
        <w:t xml:space="preserve"> can support environmental attenuation, improve treatment, preserve analytical validity or identify exposure-related risks. Therapeutic light treatment of psychiatric disorders, photodynamic oncology and plant-derived anti-addiction remedies are outside scope because their mechanisms and evidence questions differ.</w:t>
      </w:r>
    </w:p>
    <w:p w14:paraId="665B362B" w14:textId="77777777" w:rsidR="0079789B" w:rsidRDefault="00000000">
      <w:pPr>
        <w:pStyle w:val="BodyText"/>
      </w:pPr>
      <w:r>
        <w:t>Earlier reviews described psychotropic photodegradation pathways or surveyed a small set of psychiatric drugs. The unresolved need is an integrated critical assessment spanning chemical fate, biological safety, monitoring bias and engineering readiness rather than a further catalogue of removal efficiencies. The objectives are to compare direct and indirect photochemistry, identify conditions under which different drug groups behave inconsistently, distinguish removal from genuine risk reduction, assess the maturity of treatment platforms, and define verifiable priorities for research and implementation. This formulation also prevents an unwarranted inference that the same light-driven mechanism serves all operational purposes.</w:t>
      </w:r>
    </w:p>
    <w:p w14:paraId="543A0209" w14:textId="77777777" w:rsidR="0079789B" w:rsidRDefault="00000000">
      <w:pPr>
        <w:pStyle w:val="Heading1"/>
      </w:pPr>
      <w:r>
        <w:t>2. Methods for Literature Selection</w:t>
      </w:r>
    </w:p>
    <w:p w14:paraId="506CFB1F" w14:textId="77777777" w:rsidR="0079789B" w:rsidRDefault="00000000">
      <w:pPr>
        <w:pStyle w:val="Heading2"/>
      </w:pPr>
      <w:r>
        <w:t>2.1 Review Design and Rationale</w:t>
      </w:r>
    </w:p>
    <w:p w14:paraId="7FEAA4A8" w14:textId="77777777" w:rsidR="0079789B" w:rsidRDefault="00000000">
      <w:pPr>
        <w:pStyle w:val="BodyText"/>
      </w:pPr>
      <w:r>
        <w:t xml:space="preserve">A critical narrative design was selected because the pertinent literature crosses environmental photochemistry, pharmaceutical photostability, toxicology, analytical chemistry and process engineering, with heterogeneous substrates, light sources, experimental concentrations and outcome measures. A pooled effect estimate for “photochemical treatment of psychoactive drugs” would conceal rather than resolve differences between solar photolysis and ultraviolet-assisted oxidation or between parent loss and ecotoxicity. The synthesis followed principles of transparency, balanced source selection and critical reasoning consistent with the quality dimensions discussed by </w:t>
      </w:r>
      <w:proofErr w:type="spellStart"/>
      <w:r>
        <w:t>Baethge</w:t>
      </w:r>
      <w:proofErr w:type="spellEnd"/>
      <w:r>
        <w:t xml:space="preserve"> et al. (2019). It was not conducted as a systematic review, and no claim of complete retrieval, exhaustive screening or quantitative meta-analysis is made.</w:t>
      </w:r>
    </w:p>
    <w:p w14:paraId="67BBBD69" w14:textId="77777777" w:rsidR="0079789B" w:rsidRDefault="00000000">
      <w:pPr>
        <w:pStyle w:val="Heading2"/>
      </w:pPr>
      <w:r>
        <w:t>2.2 Information Sources</w:t>
      </w:r>
    </w:p>
    <w:p w14:paraId="285E5311" w14:textId="77777777" w:rsidR="0079789B" w:rsidRDefault="00000000">
      <w:pPr>
        <w:pStyle w:val="BodyText"/>
      </w:pPr>
      <w:r>
        <w:t xml:space="preserve">Targeted searches and citation verification used PubMed, PubMed Central, </w:t>
      </w:r>
      <w:proofErr w:type="spellStart"/>
      <w:r>
        <w:t>OpenAlex</w:t>
      </w:r>
      <w:proofErr w:type="spellEnd"/>
      <w:r>
        <w:t xml:space="preserve"> and the Directory of Open Access Journals, together with accessible scholarly records, full-text articles, the bibliographies of relevant reviews and original studies, and publisher or DOI-linked article records. Scholarly searches were supplemented by citation-chain examination to recover older mechanistic experiments that remain necessary to interpret contemporary findings. Searches were selective and iterative because the review question concerns mechanism and decision quality across partially overlapping research traditions rather than one narrowly defined clinical intervention. Bibliographic entries were retained only where the article identity, publication details and relevance could be checked against scholarly records.</w:t>
      </w:r>
    </w:p>
    <w:p w14:paraId="45A5788F" w14:textId="77777777" w:rsidR="0079789B" w:rsidRDefault="00000000">
      <w:pPr>
        <w:pStyle w:val="Heading2"/>
      </w:pPr>
      <w:r>
        <w:lastRenderedPageBreak/>
        <w:t>2.3 Search Strategy and Search Period</w:t>
      </w:r>
    </w:p>
    <w:p w14:paraId="780EE76E" w14:textId="77777777" w:rsidR="0079789B" w:rsidRDefault="00000000">
      <w:pPr>
        <w:pStyle w:val="BodyText"/>
      </w:pPr>
      <w:r>
        <w:t>The principal search period was 1 January 2000 to 2 September 2026, with earlier foundational photochemistry and phototoxicity studies retained when conceptually necessary. Search concepts paired psychoactive substances or named medicines with light-dependent processes and assessment outcomes. Representative combinations were (“psychoactive” OR “psychotropic” OR “antidepressant” OR “benzodiazepine” OR “antipsychotic” OR “carbamazepine” OR “cocaine”) AND (“photolysis” OR “photodegradation” OR “photochemistry” OR “photocatalysis” OR “photo-Fenton” OR “UV/H2O2”), supplemented by (“transformation products” OR “</w:t>
      </w:r>
      <w:proofErr w:type="spellStart"/>
      <w:r>
        <w:t>mineralisation</w:t>
      </w:r>
      <w:proofErr w:type="spellEnd"/>
      <w:r>
        <w:t>” OR “ecotoxicity” OR “wastewater” OR “photosensitivity” OR “photostability”). Compound-specific searches, citation following and searches for competing results were used where broad combinations retrieved predominantly non-psychoactive pharmaceuticals. The method was deliberately interpretive rather than described as a database-wide census.</w:t>
      </w:r>
    </w:p>
    <w:p w14:paraId="6ED14CDC" w14:textId="77777777" w:rsidR="0079789B" w:rsidRDefault="00000000">
      <w:pPr>
        <w:pStyle w:val="Heading2"/>
      </w:pPr>
      <w:r>
        <w:t>2.4 Eligibility Criteria</w:t>
      </w:r>
    </w:p>
    <w:p w14:paraId="6E7E9552" w14:textId="77777777" w:rsidR="0079789B" w:rsidRDefault="00000000">
      <w:pPr>
        <w:pStyle w:val="BodyText"/>
      </w:pPr>
      <w:r>
        <w:t xml:space="preserve">Peer-reviewed experimental articles and authoritative peer-reviewed reviews were eligible when they evaluated photochemical </w:t>
      </w:r>
      <w:proofErr w:type="spellStart"/>
      <w:r>
        <w:t>behaviour</w:t>
      </w:r>
      <w:proofErr w:type="spellEnd"/>
      <w:r>
        <w:t xml:space="preserve"> of a relevant psychoactive compound, supplied mechanistic or analytical principles applicable to its interpretation, or examined real-world implementation and associated hazards. Studies on carbamazepine were included as a neuroactive anticonvulsant and mood </w:t>
      </w:r>
      <w:proofErr w:type="spellStart"/>
      <w:r>
        <w:t>stabiliser</w:t>
      </w:r>
      <w:proofErr w:type="spellEnd"/>
      <w:r>
        <w:t xml:space="preserve">, with its benchmark status made explicit rather than treated as representative of all psychotropic prescriptions. General photocatalysis reviews were considered for process constraints, not as direct evidence of efficacy against a named psychotropic drug. Historically important studies before 2000 were considered for phenothiazine phototoxicity. Research focused exclusively on non-photochemical degradation, drug clinical efficacy, phytochemical addiction treatment or unsupported promotional claims was excluded from the direct-efficacy synthesis. English-language material with verifiable bibliographic metadata was </w:t>
      </w:r>
      <w:proofErr w:type="spellStart"/>
      <w:r>
        <w:t>prioritised</w:t>
      </w:r>
      <w:proofErr w:type="spellEnd"/>
      <w:r>
        <w:t>.</w:t>
      </w:r>
    </w:p>
    <w:p w14:paraId="09335F4E" w14:textId="77777777" w:rsidR="0079789B" w:rsidRDefault="00000000">
      <w:pPr>
        <w:pStyle w:val="Heading2"/>
      </w:pPr>
      <w:r>
        <w:t>2.5 Selection and Duplicate Handling</w:t>
      </w:r>
    </w:p>
    <w:p w14:paraId="12DBF833" w14:textId="77777777" w:rsidR="0079789B" w:rsidRDefault="00000000">
      <w:pPr>
        <w:pStyle w:val="BodyText"/>
      </w:pPr>
      <w:r>
        <w:t>Titles and abstracts were first assessed for a direct relationship to the question, then available full text or sufficiently informative scholarly abstracts were checked for the actual intervention, compound, medium, reported products and outcome. Multiple records describing the same article were reconciled by title and DOI rather than treated as separate studies. Where only an abstract was accessible, interpretation remained limited to what it reported; unreported reactor details, effect sizes and experimental controls were not inferred. No fabricated retrieval totals, exclusion counts or formal flow diagram are presented. The emphasis was on retaining methodologically informative positive, negative and contradictory observations.</w:t>
      </w:r>
    </w:p>
    <w:p w14:paraId="1BCD6D3C" w14:textId="77777777" w:rsidR="0079789B" w:rsidRDefault="00000000">
      <w:pPr>
        <w:pStyle w:val="Heading2"/>
      </w:pPr>
      <w:r>
        <w:t>2.6 Critical Appraisal and Thematic Synthesis</w:t>
      </w:r>
    </w:p>
    <w:p w14:paraId="32E44CD2" w14:textId="77777777" w:rsidR="0079789B" w:rsidRDefault="00000000">
      <w:pPr>
        <w:pStyle w:val="BodyText"/>
      </w:pPr>
      <w:r>
        <w:t xml:space="preserve">Experimental work was assessed qualitatively for irradiation realism, wavelength and fluence reporting, light and dark controls, matrix composition, concentration relevance, analytical confirmation of parent compounds and products, assessment of </w:t>
      </w:r>
      <w:proofErr w:type="spellStart"/>
      <w:r>
        <w:t>mineralisation</w:t>
      </w:r>
      <w:proofErr w:type="spellEnd"/>
      <w:r>
        <w:t xml:space="preserve">, bioassay adequacy, catalyst stability and field scalability. Studies were compared within compatible process categories rather than assigned a single numerical quality score. Mechanistic findings were separated from applied treatment claims, and untested toxicity predictions were distinguished from measured effects. Divergent findings were explored through chemical structure, optical shielding, </w:t>
      </w:r>
      <w:proofErr w:type="spellStart"/>
      <w:r>
        <w:t>photosensitisation</w:t>
      </w:r>
      <w:proofErr w:type="spellEnd"/>
      <w:r>
        <w:t>, reactive-species competition, exposure duration and system boundaries. This thematic approach permits defensible interpretation without implying a formal risk-of-bias instrument was applied.</w:t>
      </w:r>
    </w:p>
    <w:p w14:paraId="7B63ECB3" w14:textId="77777777" w:rsidR="0079789B" w:rsidRDefault="00000000">
      <w:pPr>
        <w:pStyle w:val="Heading1"/>
      </w:pPr>
      <w:r>
        <w:lastRenderedPageBreak/>
        <w:t>3. What Counts as Photochemical Management?</w:t>
      </w:r>
    </w:p>
    <w:p w14:paraId="437C9C1E" w14:textId="77777777" w:rsidR="0079789B" w:rsidRDefault="00000000">
      <w:pPr>
        <w:pStyle w:val="Heading2"/>
      </w:pPr>
      <w:r>
        <w:t>3.1 Five distinct decision contexts</w:t>
      </w:r>
    </w:p>
    <w:p w14:paraId="1E7E05F0" w14:textId="77777777" w:rsidR="0079789B" w:rsidRDefault="00000000">
      <w:pPr>
        <w:pStyle w:val="BodyText"/>
      </w:pPr>
      <w:r>
        <w:t xml:space="preserve">Photochemical processes are often described as though they are intrinsically remedial, yet the direction of management depends on where the drug is located. Before administration, unintended irradiation can reduce active-ingredient concentration or generate impurities. During use, absorbed light may provoke phototoxic or photoallergic reactions in susceptible tissues. In a river, sunlight can alter fate and exposure without any active treatment intervention. In a wastewater reactor, photons are deliberately supplied to promote oxidation. In wastewater surveillance, unintended </w:t>
      </w:r>
      <w:proofErr w:type="spellStart"/>
      <w:r>
        <w:t>photoexposure</w:t>
      </w:r>
      <w:proofErr w:type="spellEnd"/>
      <w:r>
        <w:t xml:space="preserve"> between collection and analysis can compromise quantitative estimation. The chemistry can overlap, but the preferred operational action is different in every case (Chignell et al., 1985; McCall et al., 2016; </w:t>
      </w:r>
      <w:proofErr w:type="spellStart"/>
      <w:r>
        <w:t>Trawiński</w:t>
      </w:r>
      <w:proofErr w:type="spellEnd"/>
      <w:r>
        <w:t xml:space="preserve"> &amp; </w:t>
      </w:r>
      <w:proofErr w:type="spellStart"/>
      <w:r>
        <w:t>Skibiński</w:t>
      </w:r>
      <w:proofErr w:type="spellEnd"/>
      <w:r>
        <w:t>, 2017).</w:t>
      </w:r>
    </w:p>
    <w:p w14:paraId="63B69643" w14:textId="77777777" w:rsidR="0079789B" w:rsidRDefault="00000000">
      <w:pPr>
        <w:pStyle w:val="BodyText"/>
      </w:pPr>
      <w:r>
        <w:t>This separation is essential because environmental photolysis may be slow yet environmentally consequential over days or weeks, whereas engineered treatment requires practical conversion at hydraulic residence times compatible with throughput. A compound photostable in a marketed solid dosage form may react in oxygenated aqueous solution, while a molecule rapidly lost from water may undergo adsorption rather than photooxidation. Neither clinical potency nor environmental detection frequency alone determines which technology is appropriate. The photochemical question must therefore be framed by a controllable endpoint, appropriate comparison and identifiable failure mode (De Laurentiis et al., 2012; Doll &amp; Frimmel, 2004; Friedmann, 2022).</w:t>
      </w:r>
    </w:p>
    <w:p w14:paraId="6EAF6C84" w14:textId="77777777" w:rsidR="0079789B" w:rsidRDefault="00000000">
      <w:pPr>
        <w:pStyle w:val="BodyText"/>
      </w:pPr>
      <w:r>
        <w:t>Pharmaceutical stewardship requires light exposure to be treated as a potential source of unintended chemistry, not as a desirable removal route. The phenothiazine literature illustrates that absorption can generate drug-</w:t>
      </w:r>
      <w:proofErr w:type="spellStart"/>
      <w:r>
        <w:t>centred</w:t>
      </w:r>
      <w:proofErr w:type="spellEnd"/>
      <w:r>
        <w:t xml:space="preserve"> radicals, covalent binding and biological reactions that matter even when the parent structure is decomposed. Laboratory work has detected photoproducts and shown differences among chlorpromazine metabolites, but the translation to individual patient risk depends on dose, tissue exposure, wavelength and clinical context. Product-level conclusions therefore require dedicated stability testing and clinical pharmacovigilance, not extrapolation from aquatic photoreactors (Chignell et al., 1985; Ljunggren &amp; Möller, 1977).</w:t>
      </w:r>
    </w:p>
    <w:p w14:paraId="5AE2FE89" w14:textId="77777777" w:rsidR="0079789B" w:rsidRDefault="00000000">
      <w:pPr>
        <w:pStyle w:val="BodyText"/>
      </w:pPr>
      <w:r>
        <w:t>Environmental attenuation, in contrast, is not fully controlled. The relevant question is whether sunlight reduces biologically active exposure under local conditions before transport or accumulation. Modelling of carbamazepine suggests potentially long environmental lifetimes even when photochemical transformation occurs; the fate of products and their interaction with organic matter may be at least as important as disappearance of the parent compound. Site-specific sunlight, water transparency and reaction competition therefore affect both persistence and product mixture (De Laurentiis et al., 2012; Raeke et al., 2017).</w:t>
      </w:r>
    </w:p>
    <w:p w14:paraId="514BADE7" w14:textId="77777777" w:rsidR="0079789B" w:rsidRDefault="00000000">
      <w:pPr>
        <w:pStyle w:val="Heading2"/>
      </w:pPr>
      <w:r>
        <w:t xml:space="preserve">3.2 Defining removal, transformation, </w:t>
      </w:r>
      <w:proofErr w:type="spellStart"/>
      <w:r>
        <w:t>mineralisation</w:t>
      </w:r>
      <w:proofErr w:type="spellEnd"/>
      <w:r>
        <w:t xml:space="preserve"> and safety</w:t>
      </w:r>
    </w:p>
    <w:p w14:paraId="5F5B527B" w14:textId="77777777" w:rsidR="0079789B" w:rsidRDefault="00000000">
      <w:pPr>
        <w:pStyle w:val="BodyText"/>
      </w:pPr>
      <w:r>
        <w:t xml:space="preserve">A measured decrease in parent concentration may result from photolysis, radical oxidation, adsorption to catalyst, sorption to vessel walls, </w:t>
      </w:r>
      <w:proofErr w:type="spellStart"/>
      <w:r>
        <w:t>volatilisation</w:t>
      </w:r>
      <w:proofErr w:type="spellEnd"/>
      <w:r>
        <w:t xml:space="preserve">, hydrolysis or microbial activity. Adequate experiments therefore require suitable dark and no-catalyst controls and attention to mass balance. If a study reports “complete degradation” on the basis of one chromatographic signal, the supported claim is complete or near-complete removal of the measured parent under stated detection limits. It does not follow that organic carbon has been </w:t>
      </w:r>
      <w:proofErr w:type="spellStart"/>
      <w:r>
        <w:t>mineralised</w:t>
      </w:r>
      <w:proofErr w:type="spellEnd"/>
      <w:r>
        <w:t xml:space="preserve"> or that unmeasured metabolites have disappeared. Experiments on ultraviolet/hydrogen peroxide treatment have demonstrated large differences between substrate depletion and total organic carbon removal; this distinction remains fundamental for the assessment of contemporary catalysts (Constantin et al., 2022; </w:t>
      </w:r>
      <w:proofErr w:type="spellStart"/>
      <w:r>
        <w:t>Vogna</w:t>
      </w:r>
      <w:proofErr w:type="spellEnd"/>
      <w:r>
        <w:t xml:space="preserve"> et al., 2004).</w:t>
      </w:r>
    </w:p>
    <w:p w14:paraId="4D78112C" w14:textId="77777777" w:rsidR="0079789B" w:rsidRDefault="00000000">
      <w:pPr>
        <w:pStyle w:val="BodyText"/>
      </w:pPr>
      <w:r>
        <w:lastRenderedPageBreak/>
        <w:t>Transformation-product identification has different evidential levels. Exact-mass and tandem-mass-spectrometric data can support plausible molecular formulae and structures, but constitutional isomers often require reference standards, isotope patterns, nuclear magnetic resonance or orthogonal experiments to be confirmed. High-resolution detection is valuable because it expands the chemical map; it can also create a false impression of completeness when volatile, highly polar, unstable or non-</w:t>
      </w:r>
      <w:proofErr w:type="spellStart"/>
      <w:r>
        <w:t>ionising</w:t>
      </w:r>
      <w:proofErr w:type="spellEnd"/>
      <w:r>
        <w:t xml:space="preserve"> products remain invisible. Toxicity prediction adds a separate layer of uncertainty. A bioassay can measure a response to the mixture tested but cannot automatically attribute that response to a particular chromatographic peak (Bijlsma et al., 2013; Jelic et al., 2013; Pan et al., 2017).</w:t>
      </w:r>
    </w:p>
    <w:p w14:paraId="1237B2AF" w14:textId="77777777" w:rsidR="0079789B" w:rsidRDefault="00000000">
      <w:pPr>
        <w:pStyle w:val="BodyText"/>
      </w:pPr>
      <w:r>
        <w:t xml:space="preserve">A practical decision hierarchy follows. First determine whether the relevant target compound was analytically transformed. Then establish the residual organic burden and credible identities of major products. Third evaluate suitable biological endpoints in the treated mixture. Finally assess water quality, resource demand and reproducibility at useful scale. An accelerated degradation curve that fails the latter stages is a mechanistic result or preliminary process demonstration, not proof of a safer effluent. This framing reconciles </w:t>
      </w:r>
      <w:proofErr w:type="spellStart"/>
      <w:r>
        <w:t>favourable</w:t>
      </w:r>
      <w:proofErr w:type="spellEnd"/>
      <w:r>
        <w:t xml:space="preserve"> treatment papers with the repeated observation that intermediate toxicity can rise before declining during longer oxidation (Calza et al., 2021; Donner et al., 2013; Pan et al., 2017).</w:t>
      </w:r>
    </w:p>
    <w:p w14:paraId="7DCE940D" w14:textId="77777777" w:rsidR="0079789B" w:rsidRDefault="00000000">
      <w:pPr>
        <w:pStyle w:val="BodyText"/>
      </w:pPr>
      <w:r>
        <w:t>Table 1 separates the five management contexts so that measurements drawn from different disciplines are not mistaken for interchangeable evidence. Its central implication is that every application must declare both the intended benefit and the hazard that could invalidate it.</w:t>
      </w:r>
    </w:p>
    <w:p w14:paraId="7912A490" w14:textId="77777777" w:rsidR="0079789B" w:rsidRDefault="00000000">
      <w:pPr>
        <w:pStyle w:val="TableCaption"/>
      </w:pPr>
      <w:r>
        <w:t>Table 1. Operational meanings and evidential limits of photochemical management</w:t>
      </w:r>
    </w:p>
    <w:tbl>
      <w:tblPr>
        <w:tblW w:w="0" w:type="auto"/>
        <w:jc w:val="center"/>
        <w:tblLayout w:type="fixed"/>
        <w:tblLook w:val="04A0" w:firstRow="1" w:lastRow="0" w:firstColumn="1" w:lastColumn="0" w:noHBand="0" w:noVBand="1"/>
      </w:tblPr>
      <w:tblGrid>
        <w:gridCol w:w="1930"/>
        <w:gridCol w:w="2736"/>
        <w:gridCol w:w="3283"/>
        <w:gridCol w:w="1987"/>
      </w:tblGrid>
      <w:tr w:rsidR="0079789B" w14:paraId="7ACB5146" w14:textId="77777777">
        <w:trPr>
          <w:tblHeader/>
          <w:jc w:val="center"/>
        </w:trPr>
        <w:tc>
          <w:tcPr>
            <w:tcW w:w="1930" w:type="dxa"/>
            <w:shd w:val="clear" w:color="auto" w:fill="EDEFF2"/>
            <w:tcMar>
              <w:top w:w="85" w:type="dxa"/>
              <w:left w:w="90" w:type="dxa"/>
              <w:bottom w:w="85" w:type="dxa"/>
              <w:right w:w="90" w:type="dxa"/>
            </w:tcMar>
          </w:tcPr>
          <w:p w14:paraId="5B40339A" w14:textId="77777777" w:rsidR="0079789B" w:rsidRDefault="00000000">
            <w:pPr>
              <w:pStyle w:val="TableBody"/>
            </w:pPr>
            <w:r>
              <w:rPr>
                <w:b/>
              </w:rPr>
              <w:t>Domain</w:t>
            </w:r>
          </w:p>
        </w:tc>
        <w:tc>
          <w:tcPr>
            <w:tcW w:w="2736" w:type="dxa"/>
            <w:shd w:val="clear" w:color="auto" w:fill="EDEFF2"/>
            <w:tcMar>
              <w:top w:w="85" w:type="dxa"/>
              <w:left w:w="90" w:type="dxa"/>
              <w:bottom w:w="85" w:type="dxa"/>
              <w:right w:w="90" w:type="dxa"/>
            </w:tcMar>
          </w:tcPr>
          <w:p w14:paraId="49088E8F" w14:textId="77777777" w:rsidR="0079789B" w:rsidRDefault="00000000">
            <w:pPr>
              <w:pStyle w:val="TableBody"/>
            </w:pPr>
            <w:r>
              <w:rPr>
                <w:b/>
              </w:rPr>
              <w:t>Relevant endpoint</w:t>
            </w:r>
          </w:p>
        </w:tc>
        <w:tc>
          <w:tcPr>
            <w:tcW w:w="3283" w:type="dxa"/>
            <w:shd w:val="clear" w:color="auto" w:fill="EDEFF2"/>
            <w:tcMar>
              <w:top w:w="85" w:type="dxa"/>
              <w:left w:w="90" w:type="dxa"/>
              <w:bottom w:w="85" w:type="dxa"/>
              <w:right w:w="90" w:type="dxa"/>
            </w:tcMar>
          </w:tcPr>
          <w:p w14:paraId="6851E833" w14:textId="77777777" w:rsidR="0079789B" w:rsidRDefault="00000000">
            <w:pPr>
              <w:pStyle w:val="TableBody"/>
            </w:pPr>
            <w:r>
              <w:rPr>
                <w:b/>
              </w:rPr>
              <w:t>Interpretive boundary</w:t>
            </w:r>
          </w:p>
        </w:tc>
        <w:tc>
          <w:tcPr>
            <w:tcW w:w="1987" w:type="dxa"/>
            <w:shd w:val="clear" w:color="auto" w:fill="EDEFF2"/>
            <w:tcMar>
              <w:top w:w="85" w:type="dxa"/>
              <w:left w:w="90" w:type="dxa"/>
              <w:bottom w:w="85" w:type="dxa"/>
              <w:right w:w="90" w:type="dxa"/>
            </w:tcMar>
          </w:tcPr>
          <w:p w14:paraId="2945EE14" w14:textId="77777777" w:rsidR="0079789B" w:rsidRDefault="00000000">
            <w:pPr>
              <w:pStyle w:val="TableBody"/>
            </w:pPr>
            <w:r>
              <w:rPr>
                <w:b/>
              </w:rPr>
              <w:t>Supporting references</w:t>
            </w:r>
          </w:p>
        </w:tc>
      </w:tr>
      <w:tr w:rsidR="0079789B" w14:paraId="2FE7E97E" w14:textId="77777777">
        <w:trPr>
          <w:jc w:val="center"/>
        </w:trPr>
        <w:tc>
          <w:tcPr>
            <w:tcW w:w="1930" w:type="dxa"/>
            <w:tcMar>
              <w:top w:w="85" w:type="dxa"/>
              <w:left w:w="90" w:type="dxa"/>
              <w:bottom w:w="85" w:type="dxa"/>
              <w:right w:w="90" w:type="dxa"/>
            </w:tcMar>
            <w:vAlign w:val="center"/>
          </w:tcPr>
          <w:p w14:paraId="64F9ECBA" w14:textId="77777777" w:rsidR="0079789B" w:rsidRDefault="00000000">
            <w:pPr>
              <w:pStyle w:val="TableBody"/>
            </w:pPr>
            <w:r>
              <w:t>Medicinal-product stewardship</w:t>
            </w:r>
          </w:p>
        </w:tc>
        <w:tc>
          <w:tcPr>
            <w:tcW w:w="2736" w:type="dxa"/>
            <w:tcMar>
              <w:top w:w="85" w:type="dxa"/>
              <w:left w:w="90" w:type="dxa"/>
              <w:bottom w:w="85" w:type="dxa"/>
              <w:right w:w="90" w:type="dxa"/>
            </w:tcMar>
            <w:vAlign w:val="center"/>
          </w:tcPr>
          <w:p w14:paraId="62FB96FA" w14:textId="77777777" w:rsidR="0079789B" w:rsidRDefault="00000000">
            <w:pPr>
              <w:pStyle w:val="TableBody"/>
            </w:pPr>
            <w:r>
              <w:t>Photostability, impurity profiling and light protection</w:t>
            </w:r>
          </w:p>
        </w:tc>
        <w:tc>
          <w:tcPr>
            <w:tcW w:w="3283" w:type="dxa"/>
            <w:tcMar>
              <w:top w:w="85" w:type="dxa"/>
              <w:left w:w="90" w:type="dxa"/>
              <w:bottom w:w="85" w:type="dxa"/>
              <w:right w:w="90" w:type="dxa"/>
            </w:tcMar>
            <w:vAlign w:val="center"/>
          </w:tcPr>
          <w:p w14:paraId="68DBD4E0" w14:textId="77777777" w:rsidR="0079789B" w:rsidRDefault="00000000">
            <w:pPr>
              <w:pStyle w:val="TableBody"/>
            </w:pPr>
            <w:r>
              <w:t xml:space="preserve">Light-driven change in a formulation does not predict </w:t>
            </w:r>
            <w:proofErr w:type="spellStart"/>
            <w:r>
              <w:t>behaviour</w:t>
            </w:r>
            <w:proofErr w:type="spellEnd"/>
            <w:r>
              <w:t xml:space="preserve"> in a river or treatment reactor.</w:t>
            </w:r>
          </w:p>
        </w:tc>
        <w:tc>
          <w:tcPr>
            <w:tcW w:w="1987" w:type="dxa"/>
            <w:tcMar>
              <w:top w:w="85" w:type="dxa"/>
              <w:left w:w="90" w:type="dxa"/>
              <w:bottom w:w="85" w:type="dxa"/>
              <w:right w:w="90" w:type="dxa"/>
            </w:tcMar>
            <w:vAlign w:val="center"/>
          </w:tcPr>
          <w:p w14:paraId="54829055" w14:textId="77777777" w:rsidR="0079789B" w:rsidRDefault="00000000">
            <w:pPr>
              <w:pStyle w:val="TableBody"/>
            </w:pPr>
            <w:r>
              <w:t xml:space="preserve">(Chignell et al., 1985; </w:t>
            </w:r>
            <w:proofErr w:type="spellStart"/>
            <w:r>
              <w:t>Trawiński</w:t>
            </w:r>
            <w:proofErr w:type="spellEnd"/>
            <w:r>
              <w:t xml:space="preserve"> &amp; </w:t>
            </w:r>
            <w:proofErr w:type="spellStart"/>
            <w:r>
              <w:t>Skibiński</w:t>
            </w:r>
            <w:proofErr w:type="spellEnd"/>
            <w:r>
              <w:t>, 2017)</w:t>
            </w:r>
          </w:p>
        </w:tc>
      </w:tr>
      <w:tr w:rsidR="0079789B" w14:paraId="60E02CAB" w14:textId="77777777">
        <w:trPr>
          <w:jc w:val="center"/>
        </w:trPr>
        <w:tc>
          <w:tcPr>
            <w:tcW w:w="1930" w:type="dxa"/>
            <w:tcMar>
              <w:top w:w="85" w:type="dxa"/>
              <w:left w:w="90" w:type="dxa"/>
              <w:bottom w:w="85" w:type="dxa"/>
              <w:right w:w="90" w:type="dxa"/>
            </w:tcMar>
            <w:vAlign w:val="center"/>
          </w:tcPr>
          <w:p w14:paraId="6EF54DBA" w14:textId="77777777" w:rsidR="0079789B" w:rsidRDefault="00000000">
            <w:pPr>
              <w:pStyle w:val="TableBody"/>
            </w:pPr>
            <w:r>
              <w:t>Environmental fate</w:t>
            </w:r>
          </w:p>
        </w:tc>
        <w:tc>
          <w:tcPr>
            <w:tcW w:w="2736" w:type="dxa"/>
            <w:tcMar>
              <w:top w:w="85" w:type="dxa"/>
              <w:left w:w="90" w:type="dxa"/>
              <w:bottom w:w="85" w:type="dxa"/>
              <w:right w:w="90" w:type="dxa"/>
            </w:tcMar>
            <w:vAlign w:val="center"/>
          </w:tcPr>
          <w:p w14:paraId="53B3D94C" w14:textId="77777777" w:rsidR="0079789B" w:rsidRDefault="00000000">
            <w:pPr>
              <w:pStyle w:val="TableBody"/>
            </w:pPr>
            <w:r>
              <w:t>Direct and indirect photolysis under sunlit-water conditions</w:t>
            </w:r>
          </w:p>
        </w:tc>
        <w:tc>
          <w:tcPr>
            <w:tcW w:w="3283" w:type="dxa"/>
            <w:tcMar>
              <w:top w:w="85" w:type="dxa"/>
              <w:left w:w="90" w:type="dxa"/>
              <w:bottom w:w="85" w:type="dxa"/>
              <w:right w:w="90" w:type="dxa"/>
            </w:tcMar>
            <w:vAlign w:val="center"/>
          </w:tcPr>
          <w:p w14:paraId="35A414D9" w14:textId="77777777" w:rsidR="0079789B" w:rsidRDefault="00000000">
            <w:pPr>
              <w:pStyle w:val="TableBody"/>
            </w:pPr>
            <w:r>
              <w:t>Half-lives depend on spectrum, water depth, matrix and local sunlight; cross-study rankings are conditional.</w:t>
            </w:r>
          </w:p>
        </w:tc>
        <w:tc>
          <w:tcPr>
            <w:tcW w:w="1987" w:type="dxa"/>
            <w:tcMar>
              <w:top w:w="85" w:type="dxa"/>
              <w:left w:w="90" w:type="dxa"/>
              <w:bottom w:w="85" w:type="dxa"/>
              <w:right w:w="90" w:type="dxa"/>
            </w:tcMar>
            <w:vAlign w:val="center"/>
          </w:tcPr>
          <w:p w14:paraId="72C0934F" w14:textId="77777777" w:rsidR="0079789B" w:rsidRDefault="00000000">
            <w:pPr>
              <w:pStyle w:val="TableBody"/>
            </w:pPr>
            <w:r>
              <w:t>(Calisto et al., 2011; De Laurentiis et al., 2012; Gornik et al., 2020)</w:t>
            </w:r>
          </w:p>
        </w:tc>
      </w:tr>
      <w:tr w:rsidR="0079789B" w14:paraId="6F2DA2BF" w14:textId="77777777">
        <w:trPr>
          <w:jc w:val="center"/>
        </w:trPr>
        <w:tc>
          <w:tcPr>
            <w:tcW w:w="1930" w:type="dxa"/>
            <w:tcMar>
              <w:top w:w="85" w:type="dxa"/>
              <w:left w:w="90" w:type="dxa"/>
              <w:bottom w:w="85" w:type="dxa"/>
              <w:right w:w="90" w:type="dxa"/>
            </w:tcMar>
            <w:vAlign w:val="center"/>
          </w:tcPr>
          <w:p w14:paraId="131E766A" w14:textId="77777777" w:rsidR="0079789B" w:rsidRDefault="00000000">
            <w:pPr>
              <w:pStyle w:val="TableBody"/>
            </w:pPr>
            <w:r>
              <w:t>Engineered removal</w:t>
            </w:r>
          </w:p>
        </w:tc>
        <w:tc>
          <w:tcPr>
            <w:tcW w:w="2736" w:type="dxa"/>
            <w:tcMar>
              <w:top w:w="85" w:type="dxa"/>
              <w:left w:w="90" w:type="dxa"/>
              <w:bottom w:w="85" w:type="dxa"/>
              <w:right w:w="90" w:type="dxa"/>
            </w:tcMar>
            <w:vAlign w:val="center"/>
          </w:tcPr>
          <w:p w14:paraId="12B16F44" w14:textId="77777777" w:rsidR="0079789B" w:rsidRDefault="00000000">
            <w:pPr>
              <w:pStyle w:val="TableBody"/>
            </w:pPr>
            <w:r>
              <w:t>Photocatalysis, UV/oxidant and photo-Fenton treatment</w:t>
            </w:r>
          </w:p>
        </w:tc>
        <w:tc>
          <w:tcPr>
            <w:tcW w:w="3283" w:type="dxa"/>
            <w:tcMar>
              <w:top w:w="85" w:type="dxa"/>
              <w:left w:w="90" w:type="dxa"/>
              <w:bottom w:w="85" w:type="dxa"/>
              <w:right w:w="90" w:type="dxa"/>
            </w:tcMar>
            <w:vAlign w:val="center"/>
          </w:tcPr>
          <w:p w14:paraId="3C06445E" w14:textId="77777777" w:rsidR="0079789B" w:rsidRDefault="00000000">
            <w:pPr>
              <w:pStyle w:val="TableBody"/>
            </w:pPr>
            <w:r>
              <w:t xml:space="preserve">Parent loss is not a proxy for </w:t>
            </w:r>
            <w:proofErr w:type="spellStart"/>
            <w:r>
              <w:t>mineralisation</w:t>
            </w:r>
            <w:proofErr w:type="spellEnd"/>
            <w:r>
              <w:t xml:space="preserve"> or discharge safety.</w:t>
            </w:r>
          </w:p>
        </w:tc>
        <w:tc>
          <w:tcPr>
            <w:tcW w:w="1987" w:type="dxa"/>
            <w:tcMar>
              <w:top w:w="85" w:type="dxa"/>
              <w:left w:w="90" w:type="dxa"/>
              <w:bottom w:w="85" w:type="dxa"/>
              <w:right w:w="90" w:type="dxa"/>
            </w:tcMar>
            <w:vAlign w:val="center"/>
          </w:tcPr>
          <w:p w14:paraId="57799A9F" w14:textId="77777777" w:rsidR="0079789B" w:rsidRDefault="00000000">
            <w:pPr>
              <w:pStyle w:val="TableBody"/>
            </w:pPr>
            <w:r>
              <w:t xml:space="preserve">(Dai et al., 2012; </w:t>
            </w:r>
            <w:proofErr w:type="spellStart"/>
            <w:r>
              <w:t>Mitsika</w:t>
            </w:r>
            <w:proofErr w:type="spellEnd"/>
            <w:r>
              <w:t xml:space="preserve"> et al., 2021; </w:t>
            </w:r>
            <w:proofErr w:type="spellStart"/>
            <w:r>
              <w:t>Navidpour</w:t>
            </w:r>
            <w:proofErr w:type="spellEnd"/>
            <w:r>
              <w:t xml:space="preserve"> et al., 2024)</w:t>
            </w:r>
          </w:p>
        </w:tc>
      </w:tr>
      <w:tr w:rsidR="0079789B" w14:paraId="41468876" w14:textId="77777777">
        <w:trPr>
          <w:jc w:val="center"/>
        </w:trPr>
        <w:tc>
          <w:tcPr>
            <w:tcW w:w="1930" w:type="dxa"/>
            <w:tcMar>
              <w:top w:w="85" w:type="dxa"/>
              <w:left w:w="90" w:type="dxa"/>
              <w:bottom w:w="85" w:type="dxa"/>
              <w:right w:w="90" w:type="dxa"/>
            </w:tcMar>
            <w:vAlign w:val="center"/>
          </w:tcPr>
          <w:p w14:paraId="44C9632F" w14:textId="77777777" w:rsidR="0079789B" w:rsidRDefault="00000000">
            <w:pPr>
              <w:pStyle w:val="TableBody"/>
            </w:pPr>
            <w:r>
              <w:t>Monitoring and forensics</w:t>
            </w:r>
          </w:p>
        </w:tc>
        <w:tc>
          <w:tcPr>
            <w:tcW w:w="2736" w:type="dxa"/>
            <w:tcMar>
              <w:top w:w="85" w:type="dxa"/>
              <w:left w:w="90" w:type="dxa"/>
              <w:bottom w:w="85" w:type="dxa"/>
              <w:right w:w="90" w:type="dxa"/>
            </w:tcMar>
            <w:vAlign w:val="center"/>
          </w:tcPr>
          <w:p w14:paraId="7CEEEE31" w14:textId="77777777" w:rsidR="0079789B" w:rsidRDefault="00000000">
            <w:pPr>
              <w:pStyle w:val="TableBody"/>
            </w:pPr>
            <w:r>
              <w:t xml:space="preserve">Preservation of intact drug </w:t>
            </w:r>
            <w:proofErr w:type="spellStart"/>
            <w:r>
              <w:t>markers</w:t>
            </w:r>
            <w:proofErr w:type="spellEnd"/>
            <w:r>
              <w:t xml:space="preserve"> and transformation-product identification</w:t>
            </w:r>
          </w:p>
        </w:tc>
        <w:tc>
          <w:tcPr>
            <w:tcW w:w="3283" w:type="dxa"/>
            <w:tcMar>
              <w:top w:w="85" w:type="dxa"/>
              <w:left w:w="90" w:type="dxa"/>
              <w:bottom w:w="85" w:type="dxa"/>
              <w:right w:w="90" w:type="dxa"/>
            </w:tcMar>
            <w:vAlign w:val="center"/>
          </w:tcPr>
          <w:p w14:paraId="7534D21F" w14:textId="77777777" w:rsidR="0079789B" w:rsidRDefault="00000000">
            <w:pPr>
              <w:pStyle w:val="TableBody"/>
            </w:pPr>
            <w:r>
              <w:t>Avoid confounding sewer hydrolysis, microbial reactions and laboratory photolysis.</w:t>
            </w:r>
          </w:p>
        </w:tc>
        <w:tc>
          <w:tcPr>
            <w:tcW w:w="1987" w:type="dxa"/>
            <w:tcMar>
              <w:top w:w="85" w:type="dxa"/>
              <w:left w:w="90" w:type="dxa"/>
              <w:bottom w:w="85" w:type="dxa"/>
              <w:right w:w="90" w:type="dxa"/>
            </w:tcMar>
            <w:vAlign w:val="center"/>
          </w:tcPr>
          <w:p w14:paraId="066DE713" w14:textId="77777777" w:rsidR="0079789B" w:rsidRDefault="00000000">
            <w:pPr>
              <w:pStyle w:val="TableBody"/>
            </w:pPr>
            <w:r>
              <w:t>(Bijlsma et al., 2013; X. Lin et al., 2021; McCall et al., 2016)</w:t>
            </w:r>
          </w:p>
        </w:tc>
      </w:tr>
      <w:tr w:rsidR="0079789B" w14:paraId="4B454C79" w14:textId="77777777">
        <w:trPr>
          <w:jc w:val="center"/>
        </w:trPr>
        <w:tc>
          <w:tcPr>
            <w:tcW w:w="1930" w:type="dxa"/>
            <w:tcMar>
              <w:top w:w="85" w:type="dxa"/>
              <w:left w:w="90" w:type="dxa"/>
              <w:bottom w:w="85" w:type="dxa"/>
              <w:right w:w="90" w:type="dxa"/>
            </w:tcMar>
            <w:vAlign w:val="center"/>
          </w:tcPr>
          <w:p w14:paraId="49EDF86C" w14:textId="77777777" w:rsidR="0079789B" w:rsidRDefault="00000000">
            <w:pPr>
              <w:pStyle w:val="TableBody"/>
            </w:pPr>
            <w:r>
              <w:t>Exposure protection</w:t>
            </w:r>
          </w:p>
        </w:tc>
        <w:tc>
          <w:tcPr>
            <w:tcW w:w="2736" w:type="dxa"/>
            <w:tcMar>
              <w:top w:w="85" w:type="dxa"/>
              <w:left w:w="90" w:type="dxa"/>
              <w:bottom w:w="85" w:type="dxa"/>
              <w:right w:w="90" w:type="dxa"/>
            </w:tcMar>
            <w:vAlign w:val="center"/>
          </w:tcPr>
          <w:p w14:paraId="4960341B" w14:textId="77777777" w:rsidR="0079789B" w:rsidRDefault="00000000">
            <w:pPr>
              <w:pStyle w:val="TableBody"/>
            </w:pPr>
            <w:r>
              <w:t>Photoactivated toxicity of light-sensitive psychotropics</w:t>
            </w:r>
          </w:p>
        </w:tc>
        <w:tc>
          <w:tcPr>
            <w:tcW w:w="3283" w:type="dxa"/>
            <w:tcMar>
              <w:top w:w="85" w:type="dxa"/>
              <w:left w:w="90" w:type="dxa"/>
              <w:bottom w:w="85" w:type="dxa"/>
              <w:right w:w="90" w:type="dxa"/>
            </w:tcMar>
            <w:vAlign w:val="center"/>
          </w:tcPr>
          <w:p w14:paraId="0ABBC6BB" w14:textId="77777777" w:rsidR="0079789B" w:rsidRDefault="00000000">
            <w:pPr>
              <w:pStyle w:val="TableBody"/>
            </w:pPr>
            <w:r>
              <w:t>Cell or animal phototoxicity does not itself establish comparative patient risk.</w:t>
            </w:r>
          </w:p>
        </w:tc>
        <w:tc>
          <w:tcPr>
            <w:tcW w:w="1987" w:type="dxa"/>
            <w:tcMar>
              <w:top w:w="85" w:type="dxa"/>
              <w:left w:w="90" w:type="dxa"/>
              <w:bottom w:w="85" w:type="dxa"/>
              <w:right w:w="90" w:type="dxa"/>
            </w:tcMar>
            <w:vAlign w:val="center"/>
          </w:tcPr>
          <w:p w14:paraId="60C39C05" w14:textId="77777777" w:rsidR="0079789B" w:rsidRDefault="00000000">
            <w:pPr>
              <w:pStyle w:val="TableBody"/>
            </w:pPr>
            <w:r>
              <w:t xml:space="preserve">(Ljunggren &amp; Möller, 1977; </w:t>
            </w:r>
            <w:proofErr w:type="spellStart"/>
            <w:r>
              <w:t>Nałecz-Jawecki</w:t>
            </w:r>
            <w:proofErr w:type="spellEnd"/>
            <w:r>
              <w:t xml:space="preserve"> et al., 2008)</w:t>
            </w:r>
          </w:p>
        </w:tc>
      </w:tr>
    </w:tbl>
    <w:p w14:paraId="3C93A3EF" w14:textId="77777777" w:rsidR="0079789B" w:rsidRDefault="00000000">
      <w:pPr>
        <w:pStyle w:val="TableNote"/>
      </w:pPr>
      <w:r>
        <w:t>Note. This table is selective and analytical, not a complete enumeration of the literature.</w:t>
      </w:r>
    </w:p>
    <w:p w14:paraId="0704E9D6" w14:textId="77777777" w:rsidR="0079789B" w:rsidRDefault="00000000">
      <w:pPr>
        <w:pStyle w:val="Heading1"/>
      </w:pPr>
      <w:r>
        <w:t>4. Mechanistic Foundations and Environmental Controls</w:t>
      </w:r>
    </w:p>
    <w:p w14:paraId="628B5A55" w14:textId="77777777" w:rsidR="0079789B" w:rsidRDefault="00000000">
      <w:pPr>
        <w:pStyle w:val="Heading2"/>
      </w:pPr>
      <w:r>
        <w:t>4.1 Direct photolysis and the role of molecular structure</w:t>
      </w:r>
    </w:p>
    <w:p w14:paraId="1715536F" w14:textId="77777777" w:rsidR="0079789B" w:rsidRDefault="00000000">
      <w:pPr>
        <w:pStyle w:val="BodyText"/>
      </w:pPr>
      <w:r>
        <w:t xml:space="preserve">Direct photolysis begins when a molecule absorbs a photon within a wavelength range capable of initiating an electronic transition. That event can lead to bond cleavage, rearrangement, </w:t>
      </w:r>
      <w:proofErr w:type="spellStart"/>
      <w:r>
        <w:t>isomerisation</w:t>
      </w:r>
      <w:proofErr w:type="spellEnd"/>
      <w:r>
        <w:t xml:space="preserve">, electron transfer, oxygenation or relaxation without chemical conversion. An absorption band by itself is therefore insufficient evidence of rapid degradation. The rate also depends on the quantum yield of reaction, light exposure, pH-dependent molecular form and competing processes. In surface waters, only photons transmitted through the atmosphere and water column are relevant to sunlight-driven pathways, whereas </w:t>
      </w:r>
      <w:r>
        <w:lastRenderedPageBreak/>
        <w:t>artificial short-wavelength ultraviolet reactors may introduce chemistry absent from natural exposure (Calisto et al., 2011; De Laurentiis et al., 2012; Novikov et al., 2023).</w:t>
      </w:r>
    </w:p>
    <w:p w14:paraId="282E9A06" w14:textId="77777777" w:rsidR="0079789B" w:rsidRDefault="00000000">
      <w:pPr>
        <w:pStyle w:val="BodyText"/>
      </w:pPr>
      <w:r>
        <w:t xml:space="preserve">The significance of absorption–reaction mismatches can be seen with carbamazepine. Direct environmental photolysis and hydroxyl-radical reactions have both been identified as relevant pathways, but modelled lifetimes may extend for weeks or months; recent time-resolved mechanistic work additionally identified transient </w:t>
      </w:r>
      <w:proofErr w:type="spellStart"/>
      <w:r>
        <w:t>photoionisation</w:t>
      </w:r>
      <w:proofErr w:type="spellEnd"/>
      <w:r>
        <w:t xml:space="preserve"> chemistry under controlled ultraviolet conditions. These results are not contradictory. They address different observables: intermediate formation on an ultrafast timescale, bulk substrate loss under a given laboratory spectrum and overall persistence under sunlight. Apparent disagreement becomes informative when the spectral, temporal and chemical boundaries are made explicit (De Laurentiis et al., 2012; Novikov et al., 2023).</w:t>
      </w:r>
    </w:p>
    <w:p w14:paraId="1ED7A3B6" w14:textId="77777777" w:rsidR="0079789B" w:rsidRDefault="00000000">
      <w:pPr>
        <w:pStyle w:val="BodyText"/>
      </w:pPr>
      <w:r>
        <w:t xml:space="preserve">Benzodiazepines provide a particularly clear warning against class-level inference. Under simulated solar conditions, lorazepam transformed considerably faster than diazepam, oxazepam and alprazolam, which were comparatively resistant in the same research setting. Dissolved organic matter fractions modified these rates in different directions, indicating that even compounds with similar therapeutic classification do not share a stable photochemical ranking across water types. It would be misleading to </w:t>
      </w:r>
      <w:proofErr w:type="spellStart"/>
      <w:r>
        <w:t>generalise</w:t>
      </w:r>
      <w:proofErr w:type="spellEnd"/>
      <w:r>
        <w:t xml:space="preserve"> from lorazepam to “benzodiazepine removal” without reporting the individual structures, matrix and irradiance (Calisto et al., 2011).</w:t>
      </w:r>
    </w:p>
    <w:p w14:paraId="51B03430" w14:textId="77777777" w:rsidR="0079789B" w:rsidRDefault="00000000">
      <w:pPr>
        <w:pStyle w:val="Heading2"/>
      </w:pPr>
      <w:r>
        <w:t>4.2 Indirect photolysis and the ambiguous role of dissolved organic matter</w:t>
      </w:r>
    </w:p>
    <w:p w14:paraId="6FCF02AE" w14:textId="77777777" w:rsidR="0079789B" w:rsidRDefault="00000000">
      <w:pPr>
        <w:pStyle w:val="BodyText"/>
      </w:pPr>
      <w:r>
        <w:t xml:space="preserve">Indirect photochemistry occurs when photons are absorbed by species other than the target drug, generating short-lived reactive intermediates. In natural waters, </w:t>
      </w:r>
      <w:proofErr w:type="spellStart"/>
      <w:r>
        <w:t>chromophoric</w:t>
      </w:r>
      <w:proofErr w:type="spellEnd"/>
      <w:r>
        <w:t xml:space="preserve"> dissolved organic matter can enter excited triplet states and participate in energy or electron transfer. Other important reactive species include hydroxyl radicals and singlet oxygen, while nitrate and other solutes can affect oxidant production and lifetime. These processes can create transformation routes for drugs that absorb sunlight weakly, but the same matrix constituents can also reduce light penetration or scavenge reactive species. A simple statement that dissolved organic matter “enhances” or “inhibits” photodegradation is therefore generally inadequate (Dong et al., 2015; Guo et al., 2022).</w:t>
      </w:r>
    </w:p>
    <w:p w14:paraId="73A6C6F7" w14:textId="77777777" w:rsidR="0079789B" w:rsidRDefault="00000000">
      <w:pPr>
        <w:pStyle w:val="BodyText"/>
      </w:pPr>
      <w:r>
        <w:t xml:space="preserve">The direction of the matrix effect depends on the substrate and solution conditions. Research on sertraline indicated participation of direct photolysis and reactive species, whereas experiments on citalopram, paroxetine and fluvoxamine demonstrated that dissolved organic matter and nitrate could promote one antidepressant while inhibiting others. These findings reject an assumption of a universal correction factor from ultrapure-water kinetics to lake-water kinetics. A transfer model would have to incorporate individual reaction pathways, </w:t>
      </w:r>
      <w:proofErr w:type="spellStart"/>
      <w:r>
        <w:t>ionisation</w:t>
      </w:r>
      <w:proofErr w:type="spellEnd"/>
      <w:r>
        <w:t xml:space="preserve"> and optical properties rather than simply applying a common multiplier to published degradation constants (Gornik et al., 2020; Guo et al., 2022).</w:t>
      </w:r>
    </w:p>
    <w:p w14:paraId="602BF860" w14:textId="77777777" w:rsidR="0079789B" w:rsidRDefault="00000000">
      <w:pPr>
        <w:pStyle w:val="BodyText"/>
      </w:pPr>
      <w:r>
        <w:t xml:space="preserve">Dissolved organic matter also changes the products that appear. High-resolution work identified photochemically induced binding of carbamazepine-derived nitrogen-containing species to organic matter, a pathway that could reduce the recoverable dissolved parent while shifting chemical mass into poorly </w:t>
      </w:r>
      <w:proofErr w:type="spellStart"/>
      <w:r>
        <w:t>characterised</w:t>
      </w:r>
      <w:proofErr w:type="spellEnd"/>
      <w:r>
        <w:t xml:space="preserve"> organic mixtures. This complicates assessments that rely solely on conventional target analysis. Transformation attached to high-molecular-mass material may be less bioavailable under one condition and become releasable under another; neither fate is established by a decline in extractable parent concentration alone. The finding argues for coupled optical </w:t>
      </w:r>
      <w:proofErr w:type="spellStart"/>
      <w:r>
        <w:t>characterisation</w:t>
      </w:r>
      <w:proofErr w:type="spellEnd"/>
      <w:r>
        <w:t>, solid/dissolved fractionation and non-target screening when interpreting photolysis in complex waters (Raeke et al., 2017).</w:t>
      </w:r>
    </w:p>
    <w:p w14:paraId="11E46474" w14:textId="77777777" w:rsidR="0079789B" w:rsidRDefault="00000000">
      <w:pPr>
        <w:pStyle w:val="Heading2"/>
      </w:pPr>
      <w:r>
        <w:lastRenderedPageBreak/>
        <w:t>4.3 pH, alkalinity, ions and reaction competition</w:t>
      </w:r>
    </w:p>
    <w:p w14:paraId="01EE66FF" w14:textId="77777777" w:rsidR="0079789B" w:rsidRDefault="00000000">
      <w:pPr>
        <w:pStyle w:val="BodyText"/>
      </w:pPr>
      <w:r>
        <w:t xml:space="preserve">The pH affects the speciation of </w:t>
      </w:r>
      <w:proofErr w:type="spellStart"/>
      <w:r>
        <w:t>ionisable</w:t>
      </w:r>
      <w:proofErr w:type="spellEnd"/>
      <w:r>
        <w:t xml:space="preserve"> psychotropic compounds and of added oxidants. It can change absorption, charge, sorption to catalysts and the balance between direct and radical-mediated transformation. Bicarbonate and carbonate may intercept hydroxyl radicals and form more selective carbonate radicals; chloride can participate in chlorine-radical chemistry under certain ultraviolet/oxidant systems; nitrate may support photochemistry while also influencing optical </w:t>
      </w:r>
      <w:proofErr w:type="spellStart"/>
      <w:r>
        <w:t>behaviour</w:t>
      </w:r>
      <w:proofErr w:type="spellEnd"/>
      <w:r>
        <w:t>. These interactions are not interchangeable across waters or reactors. The observed effect depends on relative reagent concentrations, the available spectrum and competing reactions with the target drug (Gornik et al., 2020; Guo et al., 2022; Pan et al., 2017).</w:t>
      </w:r>
    </w:p>
    <w:p w14:paraId="31F20899" w14:textId="77777777" w:rsidR="0079789B" w:rsidRDefault="00000000">
      <w:pPr>
        <w:pStyle w:val="BodyText"/>
      </w:pPr>
      <w:r>
        <w:t xml:space="preserve">The ultraviolet/chlorine treatment of carbamazepine is a useful example of a technology with chemically complex products. Oxidation involves multiple reactive species, and researchers identified hydroxylated as well as chlorinated compounds whose yields varied with reaction conditions. Changes in the bulk parent concentration consequently cannot predict the time course of each by-product. A </w:t>
      </w:r>
      <w:proofErr w:type="spellStart"/>
      <w:r>
        <w:t>favourable</w:t>
      </w:r>
      <w:proofErr w:type="spellEnd"/>
      <w:r>
        <w:t xml:space="preserve"> degradation constant obtained at a particular pH does not establish that the selected operating point </w:t>
      </w:r>
      <w:proofErr w:type="spellStart"/>
      <w:r>
        <w:t>minimises</w:t>
      </w:r>
      <w:proofErr w:type="spellEnd"/>
      <w:r>
        <w:t xml:space="preserve"> toxicity or halogenated product formation (Pan et al., 2017).</w:t>
      </w:r>
    </w:p>
    <w:p w14:paraId="2D40A5C2" w14:textId="77777777" w:rsidR="0079789B" w:rsidRDefault="00000000">
      <w:pPr>
        <w:pStyle w:val="BodyText"/>
      </w:pPr>
      <w:r>
        <w:t>A separate problem arises when bench-scale experiments rely on concentrations far above those measured in treated effluent. Higher concentrations can simplify analysis but change radical competition, light screening and the relative importance of reaction pathways. Conversely, realistic trace levels place stricter demands on extraction and identification. Comparing a high-concentration ultrapure-water experiment with a trace-level river-water trial may imply a mechanistic disagreement where the experimental regimes are simply different. Credible comparisons require concentrations and optical doses to be stated together, with uncertainty about whether kinetics transfer across regimes (</w:t>
      </w:r>
      <w:proofErr w:type="spellStart"/>
      <w:r>
        <w:t>Navidpour</w:t>
      </w:r>
      <w:proofErr w:type="spellEnd"/>
      <w:r>
        <w:t xml:space="preserve"> et al., 2024; Spina et al., 2021).</w:t>
      </w:r>
    </w:p>
    <w:p w14:paraId="2423DB98" w14:textId="77777777" w:rsidR="0079789B" w:rsidRDefault="00000000">
      <w:pPr>
        <w:pStyle w:val="Heading2"/>
      </w:pPr>
      <w:r>
        <w:t>4.4 Catalyst surfaces and the problem of comparing kinetic constants</w:t>
      </w:r>
    </w:p>
    <w:p w14:paraId="0EAC2113" w14:textId="77777777" w:rsidR="0079789B" w:rsidRDefault="00000000">
      <w:pPr>
        <w:pStyle w:val="BodyText"/>
      </w:pPr>
      <w:r>
        <w:t xml:space="preserve">Heterogeneous photocatalysis adds an interfacial dimension: light absorption in a semiconductor can generate electrons and holes, which may lead to hydroxyl radicals, superoxide-related reactions or direct surface oxidation. Drug adsorption, catalyst polymorph, crystallinity, surface area, aggregation and charge recombination all alter performance. A catalyst with stronger adsorption may appear to remove parent rapidly from the liquid phase even if photochemical turnover is slower. Suspended and </w:t>
      </w:r>
      <w:proofErr w:type="spellStart"/>
      <w:r>
        <w:t>immobilised</w:t>
      </w:r>
      <w:proofErr w:type="spellEnd"/>
      <w:r>
        <w:t xml:space="preserve"> systems should not be compared without separately considering optical path, accessible surface and recovery requirements (Doll &amp; Frimmel, 2004; Friedmann, 2022; </w:t>
      </w:r>
      <w:proofErr w:type="spellStart"/>
      <w:r>
        <w:t>Im</w:t>
      </w:r>
      <w:proofErr w:type="spellEnd"/>
      <w:r>
        <w:t xml:space="preserve"> et al., 2012).</w:t>
      </w:r>
    </w:p>
    <w:p w14:paraId="7C7D9AFC" w14:textId="77777777" w:rsidR="0079789B" w:rsidRDefault="00000000">
      <w:pPr>
        <w:pStyle w:val="BodyText"/>
      </w:pPr>
      <w:r>
        <w:t xml:space="preserve">A frequently reported pseudo-first-order constant is useful within an experiment but can be misleading across studies. It incorporates the applied photon field and often assumes effectively constant concentrations of oxidants and catalyst sites. Those conditions may not hold when lamps age, filters accumulate deposits, oxidants are consumed, carbonaceous matter changes or the solution becomes more transparent as parent compounds disappear. Rate comparisons should therefore distinguish intrinsic chemical reactivity from reactor-dependent apparent kinetics, and should report optical dose, geometry and dark sorption controls. The kinetic model is an interpretive convenience, not an invariant property of a psychoactive drug (Constantin et al., 2022; Dai et al., 2012; </w:t>
      </w:r>
      <w:proofErr w:type="spellStart"/>
      <w:r>
        <w:t>Navidpour</w:t>
      </w:r>
      <w:proofErr w:type="spellEnd"/>
      <w:r>
        <w:t xml:space="preserve"> et al., 2024).</w:t>
      </w:r>
    </w:p>
    <w:p w14:paraId="79AFA184" w14:textId="77777777" w:rsidR="0079789B" w:rsidRDefault="00000000">
      <w:pPr>
        <w:pStyle w:val="BodyText"/>
      </w:pPr>
      <w:r>
        <w:t xml:space="preserve">Table 2 </w:t>
      </w:r>
      <w:proofErr w:type="spellStart"/>
      <w:r>
        <w:t>summarises</w:t>
      </w:r>
      <w:proofErr w:type="spellEnd"/>
      <w:r>
        <w:t xml:space="preserve"> the principal controls that can reverse a result obtained under simplified conditions. The entries also indicate the minimum experimental descriptors needed before published efficiencies can be interpreted as evidence for environmental attenuation or implementable treatment.</w:t>
      </w:r>
    </w:p>
    <w:p w14:paraId="61D43B6A" w14:textId="77777777" w:rsidR="0079789B" w:rsidRDefault="00000000">
      <w:pPr>
        <w:pStyle w:val="TableCaption"/>
      </w:pPr>
      <w:r>
        <w:t>Table 2. Mechanistic controls that change apparent photochemical performance</w:t>
      </w:r>
    </w:p>
    <w:tbl>
      <w:tblPr>
        <w:tblW w:w="0" w:type="auto"/>
        <w:jc w:val="center"/>
        <w:tblLayout w:type="fixed"/>
        <w:tblLook w:val="04A0" w:firstRow="1" w:lastRow="0" w:firstColumn="1" w:lastColumn="0" w:noHBand="0" w:noVBand="1"/>
      </w:tblPr>
      <w:tblGrid>
        <w:gridCol w:w="1930"/>
        <w:gridCol w:w="2736"/>
        <w:gridCol w:w="3283"/>
        <w:gridCol w:w="1987"/>
      </w:tblGrid>
      <w:tr w:rsidR="0079789B" w14:paraId="3D8C3891" w14:textId="77777777">
        <w:trPr>
          <w:tblHeader/>
          <w:jc w:val="center"/>
        </w:trPr>
        <w:tc>
          <w:tcPr>
            <w:tcW w:w="1930" w:type="dxa"/>
            <w:shd w:val="clear" w:color="auto" w:fill="EDEFF2"/>
            <w:tcMar>
              <w:top w:w="85" w:type="dxa"/>
              <w:left w:w="90" w:type="dxa"/>
              <w:bottom w:w="85" w:type="dxa"/>
              <w:right w:w="90" w:type="dxa"/>
            </w:tcMar>
          </w:tcPr>
          <w:p w14:paraId="25F83218" w14:textId="77777777" w:rsidR="0079789B" w:rsidRDefault="00000000">
            <w:pPr>
              <w:pStyle w:val="TableBody"/>
            </w:pPr>
            <w:r>
              <w:rPr>
                <w:b/>
              </w:rPr>
              <w:t>Control</w:t>
            </w:r>
          </w:p>
        </w:tc>
        <w:tc>
          <w:tcPr>
            <w:tcW w:w="2736" w:type="dxa"/>
            <w:shd w:val="clear" w:color="auto" w:fill="EDEFF2"/>
            <w:tcMar>
              <w:top w:w="85" w:type="dxa"/>
              <w:left w:w="90" w:type="dxa"/>
              <w:bottom w:w="85" w:type="dxa"/>
              <w:right w:w="90" w:type="dxa"/>
            </w:tcMar>
          </w:tcPr>
          <w:p w14:paraId="3DA67B5D" w14:textId="77777777" w:rsidR="0079789B" w:rsidRDefault="00000000">
            <w:pPr>
              <w:pStyle w:val="TableBody"/>
            </w:pPr>
            <w:r>
              <w:rPr>
                <w:b/>
              </w:rPr>
              <w:t>Mechanistic consequence</w:t>
            </w:r>
          </w:p>
        </w:tc>
        <w:tc>
          <w:tcPr>
            <w:tcW w:w="3283" w:type="dxa"/>
            <w:shd w:val="clear" w:color="auto" w:fill="EDEFF2"/>
            <w:tcMar>
              <w:top w:w="85" w:type="dxa"/>
              <w:left w:w="90" w:type="dxa"/>
              <w:bottom w:w="85" w:type="dxa"/>
              <w:right w:w="90" w:type="dxa"/>
            </w:tcMar>
          </w:tcPr>
          <w:p w14:paraId="36D784EA" w14:textId="77777777" w:rsidR="0079789B" w:rsidRDefault="00000000">
            <w:pPr>
              <w:pStyle w:val="TableBody"/>
            </w:pPr>
            <w:r>
              <w:rPr>
                <w:b/>
              </w:rPr>
              <w:t>Minimum reporting requirement</w:t>
            </w:r>
          </w:p>
        </w:tc>
        <w:tc>
          <w:tcPr>
            <w:tcW w:w="1987" w:type="dxa"/>
            <w:shd w:val="clear" w:color="auto" w:fill="EDEFF2"/>
            <w:tcMar>
              <w:top w:w="85" w:type="dxa"/>
              <w:left w:w="90" w:type="dxa"/>
              <w:bottom w:w="85" w:type="dxa"/>
              <w:right w:w="90" w:type="dxa"/>
            </w:tcMar>
          </w:tcPr>
          <w:p w14:paraId="0512CE97" w14:textId="77777777" w:rsidR="0079789B" w:rsidRDefault="00000000">
            <w:pPr>
              <w:pStyle w:val="TableBody"/>
            </w:pPr>
            <w:r>
              <w:rPr>
                <w:b/>
              </w:rPr>
              <w:t>Supporting references</w:t>
            </w:r>
          </w:p>
        </w:tc>
      </w:tr>
      <w:tr w:rsidR="0079789B" w14:paraId="5DE139EB" w14:textId="77777777">
        <w:trPr>
          <w:jc w:val="center"/>
        </w:trPr>
        <w:tc>
          <w:tcPr>
            <w:tcW w:w="1930" w:type="dxa"/>
            <w:tcMar>
              <w:top w:w="85" w:type="dxa"/>
              <w:left w:w="90" w:type="dxa"/>
              <w:bottom w:w="85" w:type="dxa"/>
              <w:right w:w="90" w:type="dxa"/>
            </w:tcMar>
            <w:vAlign w:val="center"/>
          </w:tcPr>
          <w:p w14:paraId="4762F7FB" w14:textId="77777777" w:rsidR="0079789B" w:rsidRDefault="00000000">
            <w:pPr>
              <w:pStyle w:val="TableBody"/>
            </w:pPr>
            <w:r>
              <w:lastRenderedPageBreak/>
              <w:t>Spectrum and fluence</w:t>
            </w:r>
          </w:p>
        </w:tc>
        <w:tc>
          <w:tcPr>
            <w:tcW w:w="2736" w:type="dxa"/>
            <w:tcMar>
              <w:top w:w="85" w:type="dxa"/>
              <w:left w:w="90" w:type="dxa"/>
              <w:bottom w:w="85" w:type="dxa"/>
              <w:right w:w="90" w:type="dxa"/>
            </w:tcMar>
            <w:vAlign w:val="center"/>
          </w:tcPr>
          <w:p w14:paraId="3AD021D7" w14:textId="77777777" w:rsidR="0079789B" w:rsidRDefault="00000000">
            <w:pPr>
              <w:pStyle w:val="TableBody"/>
            </w:pPr>
            <w:r>
              <w:t>Absorption and reactive-intermediate formation depend on wavelength and photon exposure.</w:t>
            </w:r>
          </w:p>
        </w:tc>
        <w:tc>
          <w:tcPr>
            <w:tcW w:w="3283" w:type="dxa"/>
            <w:tcMar>
              <w:top w:w="85" w:type="dxa"/>
              <w:left w:w="90" w:type="dxa"/>
              <w:bottom w:w="85" w:type="dxa"/>
              <w:right w:w="90" w:type="dxa"/>
            </w:tcMar>
            <w:vAlign w:val="center"/>
          </w:tcPr>
          <w:p w14:paraId="5DAEFDC9" w14:textId="77777777" w:rsidR="0079789B" w:rsidRDefault="00000000">
            <w:pPr>
              <w:pStyle w:val="TableBody"/>
            </w:pPr>
            <w:r>
              <w:t>Lamp emission or solar spectrum; incident/absorbed fluence; reactor geometry.</w:t>
            </w:r>
          </w:p>
        </w:tc>
        <w:tc>
          <w:tcPr>
            <w:tcW w:w="1987" w:type="dxa"/>
            <w:tcMar>
              <w:top w:w="85" w:type="dxa"/>
              <w:left w:w="90" w:type="dxa"/>
              <w:bottom w:w="85" w:type="dxa"/>
              <w:right w:w="90" w:type="dxa"/>
            </w:tcMar>
            <w:vAlign w:val="center"/>
          </w:tcPr>
          <w:p w14:paraId="1D4AE934" w14:textId="77777777" w:rsidR="0079789B" w:rsidRDefault="00000000">
            <w:pPr>
              <w:pStyle w:val="TableBody"/>
            </w:pPr>
            <w:r>
              <w:t>(Calisto et al., 2011; Novikov et al., 2023)</w:t>
            </w:r>
          </w:p>
        </w:tc>
      </w:tr>
      <w:tr w:rsidR="0079789B" w14:paraId="24E365DE" w14:textId="77777777">
        <w:trPr>
          <w:jc w:val="center"/>
        </w:trPr>
        <w:tc>
          <w:tcPr>
            <w:tcW w:w="1930" w:type="dxa"/>
            <w:tcMar>
              <w:top w:w="85" w:type="dxa"/>
              <w:left w:w="90" w:type="dxa"/>
              <w:bottom w:w="85" w:type="dxa"/>
              <w:right w:w="90" w:type="dxa"/>
            </w:tcMar>
            <w:vAlign w:val="center"/>
          </w:tcPr>
          <w:p w14:paraId="2477D7E5" w14:textId="77777777" w:rsidR="0079789B" w:rsidRDefault="00000000">
            <w:pPr>
              <w:pStyle w:val="TableBody"/>
            </w:pPr>
            <w:r>
              <w:t>Dissolved organic matter</w:t>
            </w:r>
          </w:p>
        </w:tc>
        <w:tc>
          <w:tcPr>
            <w:tcW w:w="2736" w:type="dxa"/>
            <w:tcMar>
              <w:top w:w="85" w:type="dxa"/>
              <w:left w:w="90" w:type="dxa"/>
              <w:bottom w:w="85" w:type="dxa"/>
              <w:right w:w="90" w:type="dxa"/>
            </w:tcMar>
            <w:vAlign w:val="center"/>
          </w:tcPr>
          <w:p w14:paraId="24A238C5" w14:textId="77777777" w:rsidR="0079789B" w:rsidRDefault="00000000">
            <w:pPr>
              <w:pStyle w:val="TableBody"/>
            </w:pPr>
            <w:r>
              <w:t xml:space="preserve">Can filter light, scavenge radicals, </w:t>
            </w:r>
            <w:proofErr w:type="spellStart"/>
            <w:r>
              <w:t>sensitise</w:t>
            </w:r>
            <w:proofErr w:type="spellEnd"/>
            <w:r>
              <w:t xml:space="preserve"> triplets or promote bound products.</w:t>
            </w:r>
          </w:p>
        </w:tc>
        <w:tc>
          <w:tcPr>
            <w:tcW w:w="3283" w:type="dxa"/>
            <w:tcMar>
              <w:top w:w="85" w:type="dxa"/>
              <w:left w:w="90" w:type="dxa"/>
              <w:bottom w:w="85" w:type="dxa"/>
              <w:right w:w="90" w:type="dxa"/>
            </w:tcMar>
            <w:vAlign w:val="center"/>
          </w:tcPr>
          <w:p w14:paraId="7E68A977" w14:textId="77777777" w:rsidR="0079789B" w:rsidRDefault="00000000">
            <w:pPr>
              <w:pStyle w:val="TableBody"/>
            </w:pPr>
            <w:r>
              <w:t xml:space="preserve">Carbon </w:t>
            </w:r>
            <w:proofErr w:type="spellStart"/>
            <w:r>
              <w:t>characterisation</w:t>
            </w:r>
            <w:proofErr w:type="spellEnd"/>
            <w:r>
              <w:t xml:space="preserve"> and optical absorbance, not concentration alone.</w:t>
            </w:r>
          </w:p>
        </w:tc>
        <w:tc>
          <w:tcPr>
            <w:tcW w:w="1987" w:type="dxa"/>
            <w:tcMar>
              <w:top w:w="85" w:type="dxa"/>
              <w:left w:w="90" w:type="dxa"/>
              <w:bottom w:w="85" w:type="dxa"/>
              <w:right w:w="90" w:type="dxa"/>
            </w:tcMar>
            <w:vAlign w:val="center"/>
          </w:tcPr>
          <w:p w14:paraId="103A3A83" w14:textId="77777777" w:rsidR="0079789B" w:rsidRDefault="00000000">
            <w:pPr>
              <w:pStyle w:val="TableBody"/>
            </w:pPr>
            <w:r>
              <w:t>(Guo et al., 2022; Raeke et al., 2017)</w:t>
            </w:r>
          </w:p>
        </w:tc>
      </w:tr>
      <w:tr w:rsidR="0079789B" w14:paraId="5BBCAD3D" w14:textId="77777777">
        <w:trPr>
          <w:jc w:val="center"/>
        </w:trPr>
        <w:tc>
          <w:tcPr>
            <w:tcW w:w="1930" w:type="dxa"/>
            <w:tcMar>
              <w:top w:w="85" w:type="dxa"/>
              <w:left w:w="90" w:type="dxa"/>
              <w:bottom w:w="85" w:type="dxa"/>
              <w:right w:w="90" w:type="dxa"/>
            </w:tcMar>
            <w:vAlign w:val="center"/>
          </w:tcPr>
          <w:p w14:paraId="42C7CAEB" w14:textId="77777777" w:rsidR="0079789B" w:rsidRDefault="00000000">
            <w:pPr>
              <w:pStyle w:val="TableBody"/>
            </w:pPr>
            <w:r>
              <w:t>Inorganic ions and pH</w:t>
            </w:r>
          </w:p>
        </w:tc>
        <w:tc>
          <w:tcPr>
            <w:tcW w:w="2736" w:type="dxa"/>
            <w:tcMar>
              <w:top w:w="85" w:type="dxa"/>
              <w:left w:w="90" w:type="dxa"/>
              <w:bottom w:w="85" w:type="dxa"/>
              <w:right w:w="90" w:type="dxa"/>
            </w:tcMar>
            <w:vAlign w:val="center"/>
          </w:tcPr>
          <w:p w14:paraId="05C067FA" w14:textId="77777777" w:rsidR="0079789B" w:rsidRDefault="00000000">
            <w:pPr>
              <w:pStyle w:val="TableBody"/>
            </w:pPr>
            <w:r>
              <w:t>Carbonate, nitrate, chloride and pH redirect oxidant chemistry and drug speciation.</w:t>
            </w:r>
          </w:p>
        </w:tc>
        <w:tc>
          <w:tcPr>
            <w:tcW w:w="3283" w:type="dxa"/>
            <w:tcMar>
              <w:top w:w="85" w:type="dxa"/>
              <w:left w:w="90" w:type="dxa"/>
              <w:bottom w:w="85" w:type="dxa"/>
              <w:right w:w="90" w:type="dxa"/>
            </w:tcMar>
            <w:vAlign w:val="center"/>
          </w:tcPr>
          <w:p w14:paraId="416183B0" w14:textId="77777777" w:rsidR="0079789B" w:rsidRDefault="00000000">
            <w:pPr>
              <w:pStyle w:val="TableBody"/>
            </w:pPr>
            <w:r>
              <w:t>pH, major ion composition, alkalinity and oxidant residuals.</w:t>
            </w:r>
          </w:p>
        </w:tc>
        <w:tc>
          <w:tcPr>
            <w:tcW w:w="1987" w:type="dxa"/>
            <w:tcMar>
              <w:top w:w="85" w:type="dxa"/>
              <w:left w:w="90" w:type="dxa"/>
              <w:bottom w:w="85" w:type="dxa"/>
              <w:right w:w="90" w:type="dxa"/>
            </w:tcMar>
            <w:vAlign w:val="center"/>
          </w:tcPr>
          <w:p w14:paraId="5505D4AC" w14:textId="77777777" w:rsidR="0079789B" w:rsidRDefault="00000000">
            <w:pPr>
              <w:pStyle w:val="TableBody"/>
            </w:pPr>
            <w:r>
              <w:t>(Gornik et al., 2020; Pan et al., 2017)</w:t>
            </w:r>
          </w:p>
        </w:tc>
      </w:tr>
      <w:tr w:rsidR="0079789B" w14:paraId="3EA023B6" w14:textId="77777777">
        <w:trPr>
          <w:jc w:val="center"/>
        </w:trPr>
        <w:tc>
          <w:tcPr>
            <w:tcW w:w="1930" w:type="dxa"/>
            <w:tcMar>
              <w:top w:w="85" w:type="dxa"/>
              <w:left w:w="90" w:type="dxa"/>
              <w:bottom w:w="85" w:type="dxa"/>
              <w:right w:w="90" w:type="dxa"/>
            </w:tcMar>
            <w:vAlign w:val="center"/>
          </w:tcPr>
          <w:p w14:paraId="704EE66F" w14:textId="77777777" w:rsidR="0079789B" w:rsidRDefault="00000000">
            <w:pPr>
              <w:pStyle w:val="TableBody"/>
            </w:pPr>
            <w:r>
              <w:t>Catalyst and reactor</w:t>
            </w:r>
          </w:p>
        </w:tc>
        <w:tc>
          <w:tcPr>
            <w:tcW w:w="2736" w:type="dxa"/>
            <w:tcMar>
              <w:top w:w="85" w:type="dxa"/>
              <w:left w:w="90" w:type="dxa"/>
              <w:bottom w:w="85" w:type="dxa"/>
              <w:right w:w="90" w:type="dxa"/>
            </w:tcMar>
            <w:vAlign w:val="center"/>
          </w:tcPr>
          <w:p w14:paraId="1DEB1208" w14:textId="77777777" w:rsidR="0079789B" w:rsidRDefault="00000000">
            <w:pPr>
              <w:pStyle w:val="TableBody"/>
            </w:pPr>
            <w:r>
              <w:t>Surface sorption, aggregation, charge separation and recovery alter net treatment.</w:t>
            </w:r>
          </w:p>
        </w:tc>
        <w:tc>
          <w:tcPr>
            <w:tcW w:w="3283" w:type="dxa"/>
            <w:tcMar>
              <w:top w:w="85" w:type="dxa"/>
              <w:left w:w="90" w:type="dxa"/>
              <w:bottom w:w="85" w:type="dxa"/>
              <w:right w:w="90" w:type="dxa"/>
            </w:tcMar>
            <w:vAlign w:val="center"/>
          </w:tcPr>
          <w:p w14:paraId="5E1F9159" w14:textId="77777777" w:rsidR="0079789B" w:rsidRDefault="00000000">
            <w:pPr>
              <w:pStyle w:val="TableBody"/>
            </w:pPr>
            <w:r>
              <w:t xml:space="preserve">Material </w:t>
            </w:r>
            <w:proofErr w:type="spellStart"/>
            <w:r>
              <w:t>characterisation</w:t>
            </w:r>
            <w:proofErr w:type="spellEnd"/>
            <w:r>
              <w:t>, dark controls, leaching and re-use results.</w:t>
            </w:r>
          </w:p>
        </w:tc>
        <w:tc>
          <w:tcPr>
            <w:tcW w:w="1987" w:type="dxa"/>
            <w:tcMar>
              <w:top w:w="85" w:type="dxa"/>
              <w:left w:w="90" w:type="dxa"/>
              <w:bottom w:w="85" w:type="dxa"/>
              <w:right w:w="90" w:type="dxa"/>
            </w:tcMar>
            <w:vAlign w:val="center"/>
          </w:tcPr>
          <w:p w14:paraId="7C17F85E" w14:textId="77777777" w:rsidR="0079789B" w:rsidRDefault="00000000">
            <w:pPr>
              <w:pStyle w:val="TableBody"/>
            </w:pPr>
            <w:r>
              <w:t xml:space="preserve">(Doll &amp; Frimmel, 2004; </w:t>
            </w:r>
            <w:proofErr w:type="spellStart"/>
            <w:r>
              <w:t>Navidpour</w:t>
            </w:r>
            <w:proofErr w:type="spellEnd"/>
            <w:r>
              <w:t xml:space="preserve"> et al., 2024)</w:t>
            </w:r>
          </w:p>
        </w:tc>
      </w:tr>
      <w:tr w:rsidR="0079789B" w14:paraId="32C790DA" w14:textId="77777777">
        <w:trPr>
          <w:jc w:val="center"/>
        </w:trPr>
        <w:tc>
          <w:tcPr>
            <w:tcW w:w="1930" w:type="dxa"/>
            <w:tcMar>
              <w:top w:w="85" w:type="dxa"/>
              <w:left w:w="90" w:type="dxa"/>
              <w:bottom w:w="85" w:type="dxa"/>
              <w:right w:w="90" w:type="dxa"/>
            </w:tcMar>
            <w:vAlign w:val="center"/>
          </w:tcPr>
          <w:p w14:paraId="2086D6CF" w14:textId="77777777" w:rsidR="0079789B" w:rsidRDefault="00000000">
            <w:pPr>
              <w:pStyle w:val="TableBody"/>
            </w:pPr>
            <w:r>
              <w:t>Biological background</w:t>
            </w:r>
          </w:p>
        </w:tc>
        <w:tc>
          <w:tcPr>
            <w:tcW w:w="2736" w:type="dxa"/>
            <w:tcMar>
              <w:top w:w="85" w:type="dxa"/>
              <w:left w:w="90" w:type="dxa"/>
              <w:bottom w:w="85" w:type="dxa"/>
              <w:right w:w="90" w:type="dxa"/>
            </w:tcMar>
            <w:vAlign w:val="center"/>
          </w:tcPr>
          <w:p w14:paraId="6FEB86EF" w14:textId="77777777" w:rsidR="0079789B" w:rsidRDefault="00000000">
            <w:pPr>
              <w:pStyle w:val="TableBody"/>
            </w:pPr>
            <w:r>
              <w:t>Biofilms and sorption change observed losses independently of light.</w:t>
            </w:r>
          </w:p>
        </w:tc>
        <w:tc>
          <w:tcPr>
            <w:tcW w:w="3283" w:type="dxa"/>
            <w:tcMar>
              <w:top w:w="85" w:type="dxa"/>
              <w:left w:w="90" w:type="dxa"/>
              <w:bottom w:w="85" w:type="dxa"/>
              <w:right w:w="90" w:type="dxa"/>
            </w:tcMar>
            <w:vAlign w:val="center"/>
          </w:tcPr>
          <w:p w14:paraId="39A46075" w14:textId="77777777" w:rsidR="0079789B" w:rsidRDefault="00000000">
            <w:pPr>
              <w:pStyle w:val="TableBody"/>
            </w:pPr>
            <w:r>
              <w:t>Dark biotic/abiotic controls and mass balance.</w:t>
            </w:r>
          </w:p>
        </w:tc>
        <w:tc>
          <w:tcPr>
            <w:tcW w:w="1987" w:type="dxa"/>
            <w:tcMar>
              <w:top w:w="85" w:type="dxa"/>
              <w:left w:w="90" w:type="dxa"/>
              <w:bottom w:w="85" w:type="dxa"/>
              <w:right w:w="90" w:type="dxa"/>
            </w:tcMar>
            <w:vAlign w:val="center"/>
          </w:tcPr>
          <w:p w14:paraId="7215360D" w14:textId="77777777" w:rsidR="0079789B" w:rsidRDefault="00000000">
            <w:pPr>
              <w:pStyle w:val="TableBody"/>
            </w:pPr>
            <w:r>
              <w:t>(W. Lin et al., 2021; Thai et al., 2014)</w:t>
            </w:r>
          </w:p>
        </w:tc>
      </w:tr>
    </w:tbl>
    <w:p w14:paraId="2D0CC60D" w14:textId="77777777" w:rsidR="0079789B" w:rsidRDefault="00000000">
      <w:pPr>
        <w:pStyle w:val="TableNote"/>
      </w:pPr>
      <w:r>
        <w:t>Note. This table is selective and analytical, not a complete enumeration of the literature.</w:t>
      </w:r>
    </w:p>
    <w:p w14:paraId="5E16A5CE" w14:textId="77777777" w:rsidR="0079789B" w:rsidRDefault="00000000">
      <w:pPr>
        <w:pStyle w:val="Heading1"/>
      </w:pPr>
      <w:r>
        <w:t>5. Evidence Across Psychoactive Drug Groups</w:t>
      </w:r>
    </w:p>
    <w:p w14:paraId="25E3BBCF" w14:textId="77777777" w:rsidR="0079789B" w:rsidRDefault="00000000">
      <w:pPr>
        <w:pStyle w:val="Heading2"/>
      </w:pPr>
      <w:r>
        <w:t>5.1 Benzodiazepines: structural diversity within a familiar therapeutic class</w:t>
      </w:r>
    </w:p>
    <w:p w14:paraId="2CA8C439" w14:textId="77777777" w:rsidR="0079789B" w:rsidRDefault="00000000">
      <w:pPr>
        <w:pStyle w:val="BodyText"/>
      </w:pPr>
      <w:r>
        <w:t>Benzodiazepines illustrate why pharmacological classes are poor substitutes for chemical structure in environmental fate assessment. In a comparative study of oxazepam, diazepam, lorazepam and alprazolam, Calisto et al. (2011) observed a sharp contrast between the relatively rapid solar transformation of lorazepam and the resistance of the other three compounds. Their experimental work also identified numerous photoproducts, meaning that the parent-compound lifetime was only one part of the environmental question. The relative rates provide useful evidence that sunlight may be an important attenuation route for a particular benzodiazepine. They do not establish that natural irradiation routinely eliminates this entire class, especially when exposure, water-column depth and dissolved organic matter differ from the experimental simulation.</w:t>
      </w:r>
    </w:p>
    <w:p w14:paraId="617C983F" w14:textId="77777777" w:rsidR="0079789B" w:rsidRDefault="00000000">
      <w:pPr>
        <w:pStyle w:val="BodyText"/>
      </w:pPr>
      <w:r>
        <w:t xml:space="preserve">The observed disparity offers a mechanistic lesson. Small substitutions alter electronic structure, functional-group accessibility, protonation and productive excited-state reactions. Those differences may be decisive even where clinical effects arise through a shared receptor system. The environmental literature sometimes adopts therapeutic names such as “anxiolytics” or “sedatives” to group data, but such classification cannot explain the photochemical ranking. A more informative synthesis distinguishes compounds whose structures permit efficient direct excitation from those whose loss depends on reactive species generated outside the molecule. This distinction is needed when selecting a treatment platform and when predicting whether direct sunlight can affect receiving-water concentrations (Calisto et al., 2011; </w:t>
      </w:r>
      <w:proofErr w:type="spellStart"/>
      <w:r>
        <w:t>Trawiński</w:t>
      </w:r>
      <w:proofErr w:type="spellEnd"/>
      <w:r>
        <w:t xml:space="preserve"> &amp; </w:t>
      </w:r>
      <w:proofErr w:type="spellStart"/>
      <w:r>
        <w:t>Skibiński</w:t>
      </w:r>
      <w:proofErr w:type="spellEnd"/>
      <w:r>
        <w:t>, 2017).</w:t>
      </w:r>
    </w:p>
    <w:p w14:paraId="03E9850D" w14:textId="77777777" w:rsidR="0079789B" w:rsidRDefault="00000000">
      <w:pPr>
        <w:pStyle w:val="BodyText"/>
      </w:pPr>
      <w:r>
        <w:t xml:space="preserve">Engineered photo-Fenton treatment of alprazolam and diazepam shows what can be achieved by changing the oxidant regime rather than relying on direct photolysis. </w:t>
      </w:r>
      <w:proofErr w:type="spellStart"/>
      <w:r>
        <w:t>Mitsika</w:t>
      </w:r>
      <w:proofErr w:type="spellEnd"/>
      <w:r>
        <w:t xml:space="preserve"> et al. (2021) combined process </w:t>
      </w:r>
      <w:proofErr w:type="spellStart"/>
      <w:r>
        <w:t>optimisation</w:t>
      </w:r>
      <w:proofErr w:type="spellEnd"/>
      <w:r>
        <w:t xml:space="preserve"> with transformation-product structural work and toxicity analysis. This multi-endpoint design is stronger than a report of percentage removal alone because it begins to test the reason for implementing oxidation: not only destruction of parent molecules but alteration of hazard. Nevertheless, </w:t>
      </w:r>
      <w:proofErr w:type="spellStart"/>
      <w:r>
        <w:t>optimisation</w:t>
      </w:r>
      <w:proofErr w:type="spellEnd"/>
      <w:r>
        <w:t xml:space="preserve"> under a defined reactor and experimental design does not constitute proof that the same reagent ratios will be effective in high-alkalinity municipal effluent or that the process will be affordable at a treatment plant. The interpretive unit is the full reactor–matrix–compound combination.</w:t>
      </w:r>
    </w:p>
    <w:p w14:paraId="30A2073C" w14:textId="77777777" w:rsidR="0079789B" w:rsidRDefault="00000000">
      <w:pPr>
        <w:pStyle w:val="BodyText"/>
      </w:pPr>
      <w:r>
        <w:lastRenderedPageBreak/>
        <w:t>There is also a clinical and forensic dimension to benzodiazepine photochemistry. The possibility of photoinduced decomposition in stored solutions is relevant to analytical standards and specimen handling, particularly where an apparently missing compound could be mistaken for absence of exposure. Yet environmental kinetics should not be transferred directly to tablets, blood or laboratory extracts. Solvent composition, light protection, container material, oxygen availability and storage duration need separate validation. A methodological consequence is that analytical studies should report whether samples were protected from light and whether target and transformation-product standards remained stable during the measurement sequence (</w:t>
      </w:r>
      <w:proofErr w:type="spellStart"/>
      <w:r>
        <w:t>Trawiński</w:t>
      </w:r>
      <w:proofErr w:type="spellEnd"/>
      <w:r>
        <w:t xml:space="preserve"> &amp; </w:t>
      </w:r>
      <w:proofErr w:type="spellStart"/>
      <w:r>
        <w:t>Skibiński</w:t>
      </w:r>
      <w:proofErr w:type="spellEnd"/>
      <w:r>
        <w:t>, 2017).</w:t>
      </w:r>
    </w:p>
    <w:p w14:paraId="52FC5586" w14:textId="77777777" w:rsidR="0079789B" w:rsidRDefault="00000000">
      <w:pPr>
        <w:pStyle w:val="BodyText"/>
      </w:pPr>
      <w:r>
        <w:t xml:space="preserve">The overall evidence for benzodiazepines therefore supports conditional environmental and engineered </w:t>
      </w:r>
      <w:proofErr w:type="spellStart"/>
      <w:r>
        <w:t>phototransformation</w:t>
      </w:r>
      <w:proofErr w:type="spellEnd"/>
      <w:r>
        <w:t>, with meaningful between-compound contrasts. It does not support a universal degradation constant or class-wide detoxification claim. The most significant gap is the limited set of studies that simultaneously measure authentic trace-level mixtures, product identities, relevant toxicity and realistically scaled process requirements. Future work should use deliberately contrasting benzodiazepines rather than repeatedly testing one susceptible representative and inferring that the result extends to all medicines in the class.</w:t>
      </w:r>
    </w:p>
    <w:p w14:paraId="3569CF85" w14:textId="77777777" w:rsidR="0079789B" w:rsidRDefault="00000000">
      <w:pPr>
        <w:pStyle w:val="Heading2"/>
      </w:pPr>
      <w:r>
        <w:t>5.2 Selective serotonin reuptake inhibitors and related antidepressants</w:t>
      </w:r>
    </w:p>
    <w:p w14:paraId="374AF2FD" w14:textId="77777777" w:rsidR="0079789B" w:rsidRDefault="00000000">
      <w:pPr>
        <w:pStyle w:val="BodyText"/>
      </w:pPr>
      <w:r>
        <w:t>Antidepressants constitute the strongest evidence base after carbamazepine for understanding how solar and engineered photochemistry can diverge. Sertraline studies provide particularly detailed information on the influence of dissolved organic matter, nitrate, carbonate-related species and excited-state chemistry. Gornik et al. (2020) examined environmental transformation mechanisms, predicted reaction rates and compared them with a sunlight exposure experiment. Their work provides more environmental context than an ultrapure-water removal test because it links kinetic interpretation to processes occurring in real surface waters. The resulting half-life is nonetheless a conditional estimate rather than a universal value: sunlight, season, water optical properties and competing solutes cannot be assumed constant between water bodies.</w:t>
      </w:r>
    </w:p>
    <w:p w14:paraId="5158AD4D" w14:textId="77777777" w:rsidR="0079789B" w:rsidRDefault="00000000">
      <w:pPr>
        <w:pStyle w:val="BodyText"/>
      </w:pPr>
      <w:r>
        <w:t xml:space="preserve">A separate sertraline investigation showed that </w:t>
      </w:r>
      <w:proofErr w:type="spellStart"/>
      <w:r>
        <w:t>photosensitising</w:t>
      </w:r>
      <w:proofErr w:type="spellEnd"/>
      <w:r>
        <w:t xml:space="preserve"> components could accelerate transformation and that titanium dioxide photocatalysis produced a complex distribution of intermediates (Calza et al., 2021). The observation of many products has two implications. Mechanistically, the parent molecule can enter several successive or parallel pathways rather than one clean conversion. Analytically, a chromatogram with a single diminishing sertraline peak cannot adequately represent what is present in the treated water. The authors' use of high-resolution mass spectrometry and a microbial toxicity bioassay strengthens the assessment, but also exposes a limitation common to the field: complete molecular </w:t>
      </w:r>
      <w:proofErr w:type="spellStart"/>
      <w:r>
        <w:t>characterisation</w:t>
      </w:r>
      <w:proofErr w:type="spellEnd"/>
      <w:r>
        <w:t xml:space="preserve"> and definitive toxicological attribution of every product remain difficult.</w:t>
      </w:r>
    </w:p>
    <w:p w14:paraId="51FD3132" w14:textId="77777777" w:rsidR="0079789B" w:rsidRDefault="00000000">
      <w:pPr>
        <w:pStyle w:val="BodyText"/>
      </w:pPr>
      <w:r>
        <w:t xml:space="preserve">Citalopram offers a second antidepressant with demonstrable photochemical activity and safety ambiguity. Jiménez-Holgado et al. (2021) studied direct and photocatalytic transformations and identified multiple products. Their toxicity investigations indicated that </w:t>
      </w:r>
      <w:proofErr w:type="spellStart"/>
      <w:r>
        <w:t>phototransformation</w:t>
      </w:r>
      <w:proofErr w:type="spellEnd"/>
      <w:r>
        <w:t xml:space="preserve"> could involve harmful intermediates. This is a direct challenge to the view that highly effective photocatalytic removal is necessarily environmentally desirable. The apparent contradiction disappears when the endpoint is made explicit. Efficient conversion of the parent can coexist with production of hazardous, transient or persistent products. The practical question is whether treatment continues sufficiently, or is coupled to another process, so that the final discharge is demonstrably safer.</w:t>
      </w:r>
    </w:p>
    <w:p w14:paraId="79553D47" w14:textId="77777777" w:rsidR="0079789B" w:rsidRDefault="00000000">
      <w:pPr>
        <w:pStyle w:val="BodyText"/>
      </w:pPr>
      <w:r>
        <w:t xml:space="preserve">Cross-compound studies further complicate the picture. W. Lin et al. (2022) compared ultraviolet oxidative degradation of fluoxetine, paroxetine, sertraline, fluvoxamine, citalopram and venlafaxine, including pathways and product-toxicity considerations. The observed relative reactivities are valuable within that controlled ultraviolet system, but should not be promoted as a ranking of removal in rivers or in other reactors. Guo et </w:t>
      </w:r>
      <w:r>
        <w:lastRenderedPageBreak/>
        <w:t>al. (2022), examining citalopram, paroxetine and fluvoxamine in natural-water contexts, found differing roles for direct photolysis and indirect pathways. They also reported that the effect of natural organic matter and nitrate depended on the compound. Together, the studies show why neither therapeutic class nor a single ultraviolet degradation ranking can be translated uncritically into environmental persistence.</w:t>
      </w:r>
    </w:p>
    <w:p w14:paraId="561CBF22" w14:textId="77777777" w:rsidR="0079789B" w:rsidRDefault="00000000">
      <w:pPr>
        <w:pStyle w:val="BodyText"/>
      </w:pPr>
      <w:r>
        <w:t xml:space="preserve">Photo-oxidation of antidepressants has also been examined with applied treatment objectives. Spina et al. (2021) studied bupropion, escitalopram and fluoxetine in several water matrices and incorporated acute and chronic toxicity considerations. Their design helps address the frequent weakness of evaluating treatment in pure water only. In a related line of research, Perini et al. (2017) found that fluoxetine treatment with photo-Fenton chemistry was sensitive to the composition of pre-treated hospital effluent. The matrix demanded oxidants and affected the efficiency of a process that performed differently in simpler conditions. These findings are more informative for translation than an isolated high-percentage removal figure because they reveal the conditions under which </w:t>
      </w:r>
      <w:proofErr w:type="spellStart"/>
      <w:r>
        <w:t>favourable</w:t>
      </w:r>
      <w:proofErr w:type="spellEnd"/>
      <w:r>
        <w:t xml:space="preserve"> laboratory kinetics deteriorate.</w:t>
      </w:r>
    </w:p>
    <w:p w14:paraId="27DD5C63" w14:textId="77777777" w:rsidR="0079789B" w:rsidRDefault="00000000">
      <w:pPr>
        <w:pStyle w:val="BodyText"/>
      </w:pPr>
      <w:r>
        <w:t>Competing results across antidepressant photostability studies also require restraint. Earlier reviews described inconsistent findings about stability of certain antidepressants under different irradiation protocols and formulations (</w:t>
      </w:r>
      <w:proofErr w:type="spellStart"/>
      <w:r>
        <w:t>Trawiński</w:t>
      </w:r>
      <w:proofErr w:type="spellEnd"/>
      <w:r>
        <w:t xml:space="preserve"> &amp; </w:t>
      </w:r>
      <w:proofErr w:type="spellStart"/>
      <w:r>
        <w:t>Skibiński</w:t>
      </w:r>
      <w:proofErr w:type="spellEnd"/>
      <w:r>
        <w:t>, 2017). Such variation need not imply poor experimental quality; it may reflect genuine sensitivity to the solvent, pH, dose, wavelength or oxygen supply. Problems arise when conclusions are presented without those descriptors. The term “photostable” should be tied to the actual tested exposure and matrix. Conversely, a formulation shown to degrade under intense ultraviolet radiation should not automatically be labelled unstable in normal storage.</w:t>
      </w:r>
    </w:p>
    <w:p w14:paraId="722DFE0E" w14:textId="77777777" w:rsidR="0079789B" w:rsidRDefault="00000000">
      <w:pPr>
        <w:pStyle w:val="BodyText"/>
      </w:pPr>
      <w:r>
        <w:t>Emerging materials research extends the antidepressant evidence into visible-light operation. A study of a cobalt oxide/carbon nitride nanocomposite reported substantial sertraline disappearance under defined visible-light conditions (Hosseini, 2025). This contributes evidence about the feasibility of photon harvesting beyond conventional ultraviolet excitation. Yet one material study cannot resolve questions of catalyst ageing, cobalt release, environmentally relevant trace concentrations, by-product toxicity or resource burdens. Claims of environmental friendliness should therefore remain provisional until the material is assessed through whole-process environmental performance rather than degradation efficiency alone.</w:t>
      </w:r>
    </w:p>
    <w:p w14:paraId="697852D9" w14:textId="77777777" w:rsidR="0079789B" w:rsidRDefault="00000000">
      <w:pPr>
        <w:pStyle w:val="BodyText"/>
      </w:pPr>
      <w:r>
        <w:t xml:space="preserve">Overall, the strongest conclusion for antidepressants is not that one photochemical system is universally superior, but that drug-specific reaction pathways and water-matrix interactions are sufficiently consequential to require explicit measurement. The key methodological advance has been the integration of compound-specific kinetics, high-resolution analytical chemistry and toxicity evaluation. The remaining weakness is a scarcity of studies in which all three are tested under an operationally realistic photon dose and water matrix. This limits direct technology selection despite the sophistication of the mechanistic evidence (Calza et al., 2021; </w:t>
      </w:r>
      <w:proofErr w:type="spellStart"/>
      <w:r>
        <w:t>Drossou</w:t>
      </w:r>
      <w:proofErr w:type="spellEnd"/>
      <w:r>
        <w:t xml:space="preserve"> et al., 2022; Spina et al., 2021).</w:t>
      </w:r>
    </w:p>
    <w:p w14:paraId="480F4119" w14:textId="77777777" w:rsidR="0079789B" w:rsidRDefault="00000000">
      <w:pPr>
        <w:pStyle w:val="Heading2"/>
      </w:pPr>
      <w:r>
        <w:t>5.3 Carbamazepine: an instructive but imperfect benchmark</w:t>
      </w:r>
    </w:p>
    <w:p w14:paraId="0C413600" w14:textId="77777777" w:rsidR="0079789B" w:rsidRDefault="00000000">
      <w:pPr>
        <w:pStyle w:val="BodyText"/>
      </w:pPr>
      <w:r>
        <w:t xml:space="preserve">Carbamazepine is frequently used to test advanced oxidation because it is environmentally relevant, chemically persistent under some conditions and amenable to sensitive analysis. Its value as a benchmark has produced a comparatively rich mechanistic literature. Nevertheless, carbamazepine is a neuroactive anticonvulsant and mood </w:t>
      </w:r>
      <w:proofErr w:type="spellStart"/>
      <w:r>
        <w:t>stabiliser</w:t>
      </w:r>
      <w:proofErr w:type="spellEnd"/>
      <w:r>
        <w:t>, not a proxy for all antidepressants or psychoactive compounds. The question addressed by a carbamazepine trial is ordinarily whether a given photochemical platform can transform that molecule under specified conditions, not whether the platform has demonstrated efficacy for every drug class (De Laurentiis et al., 2012; Doll &amp; Frimmel, 2004).</w:t>
      </w:r>
    </w:p>
    <w:p w14:paraId="3CC15047" w14:textId="77777777" w:rsidR="0079789B" w:rsidRDefault="00000000">
      <w:pPr>
        <w:pStyle w:val="BodyText"/>
      </w:pPr>
      <w:r>
        <w:t xml:space="preserve">Early ultraviolet/hydrogen peroxide experiments showed that carbamazepine could be depleted quickly while total organic carbon removal lagged substantially. </w:t>
      </w:r>
      <w:proofErr w:type="spellStart"/>
      <w:r>
        <w:t>Vogna</w:t>
      </w:r>
      <w:proofErr w:type="spellEnd"/>
      <w:r>
        <w:t xml:space="preserve"> et al. (2004) also investigated the chemical </w:t>
      </w:r>
      <w:r>
        <w:lastRenderedPageBreak/>
        <w:t xml:space="preserve">identity of reaction intermediates. Their findings retain importance because they established an experimental counterexample to an overly simple removal metric. Subsequent comparisons of ultraviolet irradiation, Fenton-related reactions and titanium dioxide systems showed that different processes can produce different kinetic outcomes and economic orderings. </w:t>
      </w:r>
      <w:proofErr w:type="spellStart"/>
      <w:r>
        <w:t>Optimising</w:t>
      </w:r>
      <w:proofErr w:type="spellEnd"/>
      <w:r>
        <w:t xml:space="preserve"> only the steepest concentration decline may therefore select a system that performs poorly on operating cost, treatment complexity or residual hazard (Dai et al., 2012).</w:t>
      </w:r>
    </w:p>
    <w:p w14:paraId="5F31890F" w14:textId="77777777" w:rsidR="0079789B" w:rsidRDefault="00000000">
      <w:pPr>
        <w:pStyle w:val="BodyText"/>
      </w:pPr>
      <w:r>
        <w:t xml:space="preserve">Natural-water studies sharpen the distinction between chemical possibility and environmental relevance. De Laurentiis et al. (2012) combined laboratory measures and modelling to establish that direct photolysis and hydroxyl-radical reactions contribute to carbamazepine transformation in surface freshwaters. Their conclusions indicated that expected environmental lifetimes could remain substantial even when sunlight-driven chemistry operates. The study also identified pathways to acridine and other products. In direct ultraviolet experiments, later time-resolved spectroscopy and computational work provided further support for pathways involving </w:t>
      </w:r>
      <w:proofErr w:type="spellStart"/>
      <w:r>
        <w:t>photoionisation</w:t>
      </w:r>
      <w:proofErr w:type="spellEnd"/>
      <w:r>
        <w:t xml:space="preserve"> and successive reactions, enriching mechanistic understanding without implying that short-lived intermediates determine river-scale loss by themselves (Novikov et al., 2023).</w:t>
      </w:r>
    </w:p>
    <w:p w14:paraId="0A63F96A" w14:textId="77777777" w:rsidR="0079789B" w:rsidRDefault="00000000">
      <w:pPr>
        <w:pStyle w:val="BodyText"/>
      </w:pPr>
      <w:r>
        <w:t>The critical issue is hazard. Donner et al. (2013) monitored carbamazepine ultraviolet photolysis together with transformation-product formation and multiple ecotoxicological test systems. Their experiments demonstrated that mixture toxicity could increase as the parent drug disappeared. This finding cannot be dismissed as a minor anomaly because it exposes a central assumption of treatment studies: the biologically relevant product distribution may move in the opposite direction from the parent-compound curve. Where acridine-related products are present, the amount removed from the initial target is an incomplete measure of benefit. More exposure time might lower one intermediate yet generate another, so bioassays should be repeated throughout treatment and on the final effluent.</w:t>
      </w:r>
    </w:p>
    <w:p w14:paraId="38641FBD" w14:textId="77777777" w:rsidR="0079789B" w:rsidRDefault="00000000">
      <w:pPr>
        <w:pStyle w:val="BodyText"/>
      </w:pPr>
      <w:r>
        <w:t>Ultraviolet/chlorine chemistry strengthens this argument. Pan et al. (2017) identified numerous carbamazepine transformation products, including chlorinated pathways, and related the evolution of selected products to reaction conditions. Their study documented the possibility of an initial increase in bacterial assay toxicity during a treatment sequence. The implication is not that ultraviolet/chlorine is necessarily unsuitable; rather, it cannot be judged solely on conversion of the target molecule. In any implementation, downstream exposure would depend on reagent dose, pH, water constituents, residence time and the fate of the produced mixture.</w:t>
      </w:r>
    </w:p>
    <w:p w14:paraId="74227365" w14:textId="77777777" w:rsidR="0079789B" w:rsidRDefault="00000000">
      <w:pPr>
        <w:pStyle w:val="BodyText"/>
      </w:pPr>
      <w:r>
        <w:t xml:space="preserve">Heterogeneous photocatalysis provides evidence of strong carbamazepine removal in controlled tests. Studies using titanium dioxide have shown that both the catalyst form and the irradiation conditions influence apparent kinetics and intermediate formation (Constantin et al., 2022; Doll &amp; Frimmel, 2004; </w:t>
      </w:r>
      <w:proofErr w:type="spellStart"/>
      <w:r>
        <w:t>Im</w:t>
      </w:r>
      <w:proofErr w:type="spellEnd"/>
      <w:r>
        <w:t xml:space="preserve"> et al., 2012). Detailed comparisons have also examined the effects of matrix and combination with ultrasound (Jelic et al., 2013). These investigations establish mechanistic feasibility, but their performance estimates cannot be assembled into a fair league table unless photon flux, reactor design, initial concentration, sorption and water quality are </w:t>
      </w:r>
      <w:proofErr w:type="spellStart"/>
      <w:r>
        <w:t>normalised</w:t>
      </w:r>
      <w:proofErr w:type="spellEnd"/>
      <w:r>
        <w:t>. A short half-life in a transparent suspension is not an independent measure of energy-efficient treatment.</w:t>
      </w:r>
    </w:p>
    <w:p w14:paraId="68B1CC72" w14:textId="77777777" w:rsidR="0079789B" w:rsidRDefault="00000000">
      <w:pPr>
        <w:pStyle w:val="BodyText"/>
      </w:pPr>
      <w:r>
        <w:t xml:space="preserve">More recent applied work increases confidence that photocatalysis can be connected to real treatment systems. </w:t>
      </w:r>
      <w:proofErr w:type="spellStart"/>
      <w:r>
        <w:t>Navidpour</w:t>
      </w:r>
      <w:proofErr w:type="spellEnd"/>
      <w:r>
        <w:t xml:space="preserve"> et al. (2024) compared titanium dioxide materials in water and sewage effluent, while Majumder et al. (2024) examined a pilot-scale treatment train involving biological processes and photocatalysis for hospital wastewater containing spiked carbamazepine. The latter study is particularly important because integration with biological treatment is closer to plausible deployment than a stand-alone beaker trial. Yet one facility and a spiked benchmark do not settle reproducibility across communities, drug </w:t>
      </w:r>
      <w:r>
        <w:lastRenderedPageBreak/>
        <w:t>mixtures, seasons or long-term operation. The appropriate conclusion is that field-linked translation has begun, not that a fully validated general-purpose technology has emerged.</w:t>
      </w:r>
    </w:p>
    <w:p w14:paraId="07FD1AD8" w14:textId="77777777" w:rsidR="0079789B" w:rsidRDefault="00000000">
      <w:pPr>
        <w:pStyle w:val="BodyText"/>
      </w:pPr>
      <w:r>
        <w:t xml:space="preserve">A further complication is non-target chemical fate. Raeke et al. (2017) detected extensive formation of carbamazepine-related products associated with dissolved organic matter under experimental light exposure. This means that a treatment or fate study can produce a </w:t>
      </w:r>
      <w:proofErr w:type="spellStart"/>
      <w:r>
        <w:t>favourable</w:t>
      </w:r>
      <w:proofErr w:type="spellEnd"/>
      <w:r>
        <w:t xml:space="preserve"> parent disappearance result while leaving chemical mass distributed across a difficult-to-</w:t>
      </w:r>
      <w:proofErr w:type="spellStart"/>
      <w:r>
        <w:t>analyse</w:t>
      </w:r>
      <w:proofErr w:type="spellEnd"/>
      <w:r>
        <w:t xml:space="preserve"> product network. The research frontier has consequently shifted from finding faster catalysts for carbamazepine towards establishing where the carbon and nitrogen go, which products persist, and how final biological effects compare with untreated water. The benchmark remains valuable precisely because it reveals these difficulties, but the field should avoid confusing its depth of study with broader chemical representativeness.</w:t>
      </w:r>
    </w:p>
    <w:p w14:paraId="13FB7363" w14:textId="77777777" w:rsidR="0079789B" w:rsidRDefault="00000000">
      <w:pPr>
        <w:pStyle w:val="Heading2"/>
      </w:pPr>
      <w:r>
        <w:t>5.4 Phenothiazine antipsychotics: where photochemistry intersects exposure safety</w:t>
      </w:r>
    </w:p>
    <w:p w14:paraId="3086692B" w14:textId="77777777" w:rsidR="0079789B" w:rsidRDefault="00000000">
      <w:pPr>
        <w:pStyle w:val="BodyText"/>
      </w:pPr>
      <w:r>
        <w:t>Phenothiazines provide a direct bridge between environmental photochemistry and biological photosensitivity. Early experimental investigations showed that chlorpromazine and related compounds undergo light-driven transformations and that some metabolites differ from the parent in phototoxic potential (Ljunggren &amp; Möller, 1977). Subsequent mechanistic analysis examined drug-</w:t>
      </w:r>
      <w:proofErr w:type="spellStart"/>
      <w:r>
        <w:t>centred</w:t>
      </w:r>
      <w:proofErr w:type="spellEnd"/>
      <w:r>
        <w:t xml:space="preserve"> radicals arising from photochemistry and discussed their plausible role in </w:t>
      </w:r>
      <w:proofErr w:type="spellStart"/>
      <w:r>
        <w:t>photosensitisation</w:t>
      </w:r>
      <w:proofErr w:type="spellEnd"/>
      <w:r>
        <w:t xml:space="preserve"> (Chignell et al., 1985). These studies remain foundational because they distinguish two questions too often collapsed in broad discussions: whether illumination changes a chemical, and whether the products or intermediates cause biological injury.</w:t>
      </w:r>
    </w:p>
    <w:p w14:paraId="2F7D660C" w14:textId="77777777" w:rsidR="0079789B" w:rsidRDefault="00000000">
      <w:pPr>
        <w:pStyle w:val="BodyText"/>
      </w:pPr>
      <w:r>
        <w:t xml:space="preserve">The biological context matters. A photoreactive molecule may become a source of tissue damage after exposure to an appropriate spectrum, while the same molecule in an aqueous reactor may be intentionally </w:t>
      </w:r>
      <w:proofErr w:type="spellStart"/>
      <w:r>
        <w:t>oxidised</w:t>
      </w:r>
      <w:proofErr w:type="spellEnd"/>
      <w:r>
        <w:t xml:space="preserve"> to limit environmental discharge. Factors governing in vivo response include exposure, absorption, distribution and local tissue conditions, none of which can be recreated simply by increasing ultraviolet intensity in water. Older animal and in vitro experiments provide evidence for mechanisms and plausibility, but they do not yield contemporary patient incidence rates or comparative clinical risk across all antipsychotics. Accordingly, recommendations on clinical light protection must rely on current medicine-specific safety guidance and pharmacovigilance rather than environmental degradation experiments alone.</w:t>
      </w:r>
    </w:p>
    <w:p w14:paraId="78C0A283" w14:textId="77777777" w:rsidR="0079789B" w:rsidRDefault="00000000">
      <w:pPr>
        <w:pStyle w:val="BodyText"/>
      </w:pPr>
      <w:r>
        <w:t xml:space="preserve">Environmental testing of chlorpromazine and thioridazine adds a different dimension. </w:t>
      </w:r>
      <w:proofErr w:type="spellStart"/>
      <w:r>
        <w:t>Nałecz-Jawecki</w:t>
      </w:r>
      <w:proofErr w:type="spellEnd"/>
      <w:r>
        <w:t xml:space="preserve"> et al. (2008) used chemical analysis and aquatic-organism bioassays to evaluate photodegradation and phototoxicity. The study shows why </w:t>
      </w:r>
      <w:proofErr w:type="spellStart"/>
      <w:r>
        <w:t>characterising</w:t>
      </w:r>
      <w:proofErr w:type="spellEnd"/>
      <w:r>
        <w:t xml:space="preserve"> photoproducts is not confined to drinking-water treatment: light may change the biological effect of residues present in exposed aquatic environments. This evidence is important for hazard identification, but cannot be interpreted as proof of population-level ecological injury without environmentally relevant exposure and species-level context. The broader review of psychotropic photochemistry documents many phenothiazine pathways, yet comprehensive environmental risk comparisons across antipsychotic subclasses remain comparatively limited (</w:t>
      </w:r>
      <w:proofErr w:type="spellStart"/>
      <w:r>
        <w:t>Trawiński</w:t>
      </w:r>
      <w:proofErr w:type="spellEnd"/>
      <w:r>
        <w:t xml:space="preserve"> &amp; </w:t>
      </w:r>
      <w:proofErr w:type="spellStart"/>
      <w:r>
        <w:t>Skibiński</w:t>
      </w:r>
      <w:proofErr w:type="spellEnd"/>
      <w:r>
        <w:t>, 2017).</w:t>
      </w:r>
    </w:p>
    <w:p w14:paraId="112778B9" w14:textId="77777777" w:rsidR="0079789B" w:rsidRDefault="00000000">
      <w:pPr>
        <w:pStyle w:val="BodyText"/>
      </w:pPr>
      <w:r>
        <w:t xml:space="preserve">From an analytical perspective, light-induced changes can undermine assays if standards and extracts are handled inconsistently. A stored specimen may contain reduced parent signal because of oxidation during handling, while a pharmaceutical product may generate impurities during accelerated light testing. Such observations should trigger a targeted stability investigation, not an assumption that all phenothiazines need the same protective packaging or that normal indoor lighting will cause clinically meaningful drug loss. Mechanistic vulnerability and real-world risk are separate claims. Careful reporting of test wavelength, medium, controls and product identities is the route to connecting them responsibly (Chignell et al., 1985; </w:t>
      </w:r>
      <w:proofErr w:type="spellStart"/>
      <w:r>
        <w:t>Trawiński</w:t>
      </w:r>
      <w:proofErr w:type="spellEnd"/>
      <w:r>
        <w:t xml:space="preserve"> &amp; </w:t>
      </w:r>
      <w:proofErr w:type="spellStart"/>
      <w:r>
        <w:t>Skibiński</w:t>
      </w:r>
      <w:proofErr w:type="spellEnd"/>
      <w:r>
        <w:t>, 2017).</w:t>
      </w:r>
    </w:p>
    <w:p w14:paraId="324F11DF" w14:textId="77777777" w:rsidR="0079789B" w:rsidRDefault="00000000">
      <w:pPr>
        <w:pStyle w:val="Heading2"/>
      </w:pPr>
      <w:r>
        <w:lastRenderedPageBreak/>
        <w:t>5.5 Illicit-drug markers: a different evidence question</w:t>
      </w:r>
    </w:p>
    <w:p w14:paraId="1E6D687D" w14:textId="77777777" w:rsidR="0079789B" w:rsidRDefault="00000000">
      <w:pPr>
        <w:pStyle w:val="BodyText"/>
      </w:pPr>
      <w:r>
        <w:t xml:space="preserve">The role of photochemistry in illicit-drug management is primarily analytical and environmental rather than therapeutic. Cocaine, benzoylecgonine and other drug </w:t>
      </w:r>
      <w:proofErr w:type="spellStart"/>
      <w:r>
        <w:t>markers</w:t>
      </w:r>
      <w:proofErr w:type="spellEnd"/>
      <w:r>
        <w:t xml:space="preserve"> may enter wastewater through excretion or disposal. Transformation can take place during sewer transport, collection, sample storage or exposure to light in receiving waters, and products formed by different routes can overlap chemically. Bijlsma et al. (2013) experimentally investigated cocaine and benzoylecgonine under hydrolysis, chlorination and photodegradation conditions and used high-resolution mass spectrometry to </w:t>
      </w:r>
      <w:proofErr w:type="spellStart"/>
      <w:r>
        <w:t>characterise</w:t>
      </w:r>
      <w:proofErr w:type="spellEnd"/>
      <w:r>
        <w:t xml:space="preserve"> products. Their work shows both the potential of targeted transformation experiments to improve environmental interpretation and the difficulty of assigning every degradation product to a unique origin.</w:t>
      </w:r>
    </w:p>
    <w:p w14:paraId="664E3A08" w14:textId="77777777" w:rsidR="0079789B" w:rsidRDefault="00000000">
      <w:pPr>
        <w:pStyle w:val="BodyText"/>
      </w:pPr>
      <w:r>
        <w:t xml:space="preserve">Wastewater-based epidemiology is particularly vulnerable to confusion between drug consumption and marker stability. For a measured marker to support a back-calculated estimate, the relevant excretion factor, sewer transport </w:t>
      </w:r>
      <w:proofErr w:type="spellStart"/>
      <w:r>
        <w:t>behaviour</w:t>
      </w:r>
      <w:proofErr w:type="spellEnd"/>
      <w:r>
        <w:t xml:space="preserve">, population denominator and sample preservation assumptions must be defensible. Experiments by Thai et al. (2014) demonstrated marked differences in in-sewer stability among cocaine-related analytes, methamphetamine and 3,4-methylenedioxymethamphetamine. McCall et al. (2016) </w:t>
      </w:r>
      <w:proofErr w:type="spellStart"/>
      <w:r>
        <w:t>synthesised</w:t>
      </w:r>
      <w:proofErr w:type="spellEnd"/>
      <w:r>
        <w:t xml:space="preserve"> evidence that stability varied greatly across analytes and conditions. These investigations are not predominantly photochemical, but are indispensable controls: a laboratory decrease caused by microbial reactions should not be assigned to sunlight, and a treated sample should not be used to infer original consumption without accounting for transformation.</w:t>
      </w:r>
    </w:p>
    <w:p w14:paraId="62152EB4" w14:textId="77777777" w:rsidR="0079789B" w:rsidRDefault="00000000">
      <w:pPr>
        <w:pStyle w:val="BodyText"/>
      </w:pPr>
      <w:r>
        <w:t xml:space="preserve">A later experimental evaluation of in-sample stability tested several illicit-drug </w:t>
      </w:r>
      <w:proofErr w:type="spellStart"/>
      <w:r>
        <w:t>markers</w:t>
      </w:r>
      <w:proofErr w:type="spellEnd"/>
      <w:r>
        <w:t xml:space="preserve"> and medicines across storage conditions. X. Lin et al. (2021) documented pronounced instability for some compounds, whereas other markers remained comparatively stable under their tested conditions. The practical point is not that every sample will behave identically, but that preservation procedures need compound-specific validation. A biomarker that degrades during transport to the laboratory can produce a biased estimate even if the analytical instrument itself is accurate. Light shielding, cooling and appropriate chemical preservation should be selected by empirical stability testing rather than generic assumptions about “drug samples”.</w:t>
      </w:r>
    </w:p>
    <w:p w14:paraId="61AD9B83" w14:textId="77777777" w:rsidR="0079789B" w:rsidRDefault="00000000">
      <w:pPr>
        <w:pStyle w:val="BodyText"/>
      </w:pPr>
      <w:r>
        <w:t xml:space="preserve">Photochemical treatment creates a further interpretive problem for forensic environmental monitoring. Oxidation can reduce a target marker while producing compounds also associated with metabolism or conventional disinfection. Monitoring data collected downstream of a light-assisted treatment plant cannot be equated automatically with untreated sewer inflow. The measurable endpoint, sampling location and treatment history must be specified before a trend is translated into a claim about community use. Current evidence supports transformation-aware surveillance, not estimation of individual </w:t>
      </w:r>
      <w:proofErr w:type="spellStart"/>
      <w:r>
        <w:t>behaviour</w:t>
      </w:r>
      <w:proofErr w:type="spellEnd"/>
      <w:r>
        <w:t xml:space="preserve"> or inference of causation from isolated wastewater concentrations (Bijlsma et al., 2013; McCall et al., 2016; Thai et al., 2014).</w:t>
      </w:r>
    </w:p>
    <w:p w14:paraId="5C33CE8C" w14:textId="77777777" w:rsidR="0079789B" w:rsidRDefault="00000000">
      <w:pPr>
        <w:pStyle w:val="BodyText"/>
      </w:pPr>
      <w:r>
        <w:t>Table 3 brings these drug-group contrasts together. Its implication is not that the field can rank all psychoactive drugs from most to least removable, but that each class exposes a different dominant uncertainty: environmental photostability, product toxicity, engineered feasibility or marker integrity.</w:t>
      </w:r>
    </w:p>
    <w:p w14:paraId="4A87C885" w14:textId="77777777" w:rsidR="0079789B" w:rsidRDefault="00000000">
      <w:pPr>
        <w:pStyle w:val="TableCaption"/>
      </w:pPr>
      <w:r>
        <w:t>Table 3. Representative psychoactive-drug evidence and competing interpretations</w:t>
      </w:r>
    </w:p>
    <w:tbl>
      <w:tblPr>
        <w:tblW w:w="0" w:type="auto"/>
        <w:jc w:val="center"/>
        <w:tblLayout w:type="fixed"/>
        <w:tblLook w:val="04A0" w:firstRow="1" w:lastRow="0" w:firstColumn="1" w:lastColumn="0" w:noHBand="0" w:noVBand="1"/>
      </w:tblPr>
      <w:tblGrid>
        <w:gridCol w:w="2189"/>
        <w:gridCol w:w="2923"/>
        <w:gridCol w:w="2923"/>
        <w:gridCol w:w="1930"/>
      </w:tblGrid>
      <w:tr w:rsidR="0079789B" w14:paraId="05F67590" w14:textId="77777777">
        <w:trPr>
          <w:tblHeader/>
          <w:jc w:val="center"/>
        </w:trPr>
        <w:tc>
          <w:tcPr>
            <w:tcW w:w="2189" w:type="dxa"/>
            <w:shd w:val="clear" w:color="auto" w:fill="EDEFF2"/>
            <w:tcMar>
              <w:top w:w="85" w:type="dxa"/>
              <w:left w:w="90" w:type="dxa"/>
              <w:bottom w:w="85" w:type="dxa"/>
              <w:right w:w="90" w:type="dxa"/>
            </w:tcMar>
          </w:tcPr>
          <w:p w14:paraId="5624733A" w14:textId="77777777" w:rsidR="0079789B" w:rsidRDefault="00000000">
            <w:pPr>
              <w:pStyle w:val="TableBody"/>
            </w:pPr>
            <w:r>
              <w:rPr>
                <w:b/>
              </w:rPr>
              <w:t>Drug class / exemplar</w:t>
            </w:r>
          </w:p>
        </w:tc>
        <w:tc>
          <w:tcPr>
            <w:tcW w:w="2923" w:type="dxa"/>
            <w:shd w:val="clear" w:color="auto" w:fill="EDEFF2"/>
            <w:tcMar>
              <w:top w:w="85" w:type="dxa"/>
              <w:left w:w="90" w:type="dxa"/>
              <w:bottom w:w="85" w:type="dxa"/>
              <w:right w:w="90" w:type="dxa"/>
            </w:tcMar>
          </w:tcPr>
          <w:p w14:paraId="4F655AE6" w14:textId="77777777" w:rsidR="0079789B" w:rsidRDefault="00000000">
            <w:pPr>
              <w:pStyle w:val="TableBody"/>
            </w:pPr>
            <w:r>
              <w:rPr>
                <w:b/>
              </w:rPr>
              <w:t>Reported finding</w:t>
            </w:r>
          </w:p>
        </w:tc>
        <w:tc>
          <w:tcPr>
            <w:tcW w:w="2923" w:type="dxa"/>
            <w:shd w:val="clear" w:color="auto" w:fill="EDEFF2"/>
            <w:tcMar>
              <w:top w:w="85" w:type="dxa"/>
              <w:left w:w="90" w:type="dxa"/>
              <w:bottom w:w="85" w:type="dxa"/>
              <w:right w:w="90" w:type="dxa"/>
            </w:tcMar>
          </w:tcPr>
          <w:p w14:paraId="7E5D19CB" w14:textId="77777777" w:rsidR="0079789B" w:rsidRDefault="00000000">
            <w:pPr>
              <w:pStyle w:val="TableBody"/>
            </w:pPr>
            <w:r>
              <w:rPr>
                <w:b/>
              </w:rPr>
              <w:t>Critical qualification</w:t>
            </w:r>
          </w:p>
        </w:tc>
        <w:tc>
          <w:tcPr>
            <w:tcW w:w="1930" w:type="dxa"/>
            <w:shd w:val="clear" w:color="auto" w:fill="EDEFF2"/>
            <w:tcMar>
              <w:top w:w="85" w:type="dxa"/>
              <w:left w:w="90" w:type="dxa"/>
              <w:bottom w:w="85" w:type="dxa"/>
              <w:right w:w="90" w:type="dxa"/>
            </w:tcMar>
          </w:tcPr>
          <w:p w14:paraId="54B384B2" w14:textId="77777777" w:rsidR="0079789B" w:rsidRDefault="00000000">
            <w:pPr>
              <w:pStyle w:val="TableBody"/>
            </w:pPr>
            <w:r>
              <w:rPr>
                <w:b/>
              </w:rPr>
              <w:t>Supporting references</w:t>
            </w:r>
          </w:p>
        </w:tc>
      </w:tr>
      <w:tr w:rsidR="0079789B" w14:paraId="3ED89A59" w14:textId="77777777">
        <w:trPr>
          <w:jc w:val="center"/>
        </w:trPr>
        <w:tc>
          <w:tcPr>
            <w:tcW w:w="2189" w:type="dxa"/>
            <w:tcMar>
              <w:top w:w="85" w:type="dxa"/>
              <w:left w:w="90" w:type="dxa"/>
              <w:bottom w:w="85" w:type="dxa"/>
              <w:right w:w="90" w:type="dxa"/>
            </w:tcMar>
            <w:vAlign w:val="center"/>
          </w:tcPr>
          <w:p w14:paraId="5B08C112" w14:textId="77777777" w:rsidR="0079789B" w:rsidRDefault="00000000">
            <w:pPr>
              <w:pStyle w:val="TableBody"/>
            </w:pPr>
            <w:r>
              <w:t>Benzodiazepines: oxazepam, diazepam, lorazepam, alprazolam</w:t>
            </w:r>
          </w:p>
        </w:tc>
        <w:tc>
          <w:tcPr>
            <w:tcW w:w="2923" w:type="dxa"/>
            <w:tcMar>
              <w:top w:w="85" w:type="dxa"/>
              <w:left w:w="90" w:type="dxa"/>
              <w:bottom w:w="85" w:type="dxa"/>
              <w:right w:w="90" w:type="dxa"/>
            </w:tcMar>
            <w:vAlign w:val="center"/>
          </w:tcPr>
          <w:p w14:paraId="79E3AC5F" w14:textId="77777777" w:rsidR="0079789B" w:rsidRDefault="00000000">
            <w:pPr>
              <w:pStyle w:val="TableBody"/>
            </w:pPr>
            <w:r>
              <w:t>Under simulated sunlight, lorazepam transformed faster than several related compounds; photo-Fenton increased degradation of selected benzodiazepines.</w:t>
            </w:r>
          </w:p>
        </w:tc>
        <w:tc>
          <w:tcPr>
            <w:tcW w:w="2923" w:type="dxa"/>
            <w:tcMar>
              <w:top w:w="85" w:type="dxa"/>
              <w:left w:w="90" w:type="dxa"/>
              <w:bottom w:w="85" w:type="dxa"/>
              <w:right w:w="90" w:type="dxa"/>
            </w:tcMar>
            <w:vAlign w:val="center"/>
          </w:tcPr>
          <w:p w14:paraId="2E58BABD" w14:textId="77777777" w:rsidR="0079789B" w:rsidRDefault="00000000">
            <w:pPr>
              <w:pStyle w:val="TableBody"/>
            </w:pPr>
            <w:r>
              <w:t>Compounds differ strongly; products and toxicity need study beyond parent disappearance.</w:t>
            </w:r>
          </w:p>
        </w:tc>
        <w:tc>
          <w:tcPr>
            <w:tcW w:w="1930" w:type="dxa"/>
            <w:tcMar>
              <w:top w:w="85" w:type="dxa"/>
              <w:left w:w="90" w:type="dxa"/>
              <w:bottom w:w="85" w:type="dxa"/>
              <w:right w:w="90" w:type="dxa"/>
            </w:tcMar>
            <w:vAlign w:val="center"/>
          </w:tcPr>
          <w:p w14:paraId="1D00B2D0" w14:textId="77777777" w:rsidR="0079789B" w:rsidRDefault="00000000">
            <w:pPr>
              <w:pStyle w:val="TableBody"/>
            </w:pPr>
            <w:r>
              <w:t xml:space="preserve">(Calisto et al., 2011; </w:t>
            </w:r>
            <w:proofErr w:type="spellStart"/>
            <w:r>
              <w:t>Mitsika</w:t>
            </w:r>
            <w:proofErr w:type="spellEnd"/>
            <w:r>
              <w:t xml:space="preserve"> et al., 2021)</w:t>
            </w:r>
          </w:p>
        </w:tc>
      </w:tr>
      <w:tr w:rsidR="0079789B" w14:paraId="138B6A86" w14:textId="77777777">
        <w:trPr>
          <w:jc w:val="center"/>
        </w:trPr>
        <w:tc>
          <w:tcPr>
            <w:tcW w:w="2189" w:type="dxa"/>
            <w:tcMar>
              <w:top w:w="85" w:type="dxa"/>
              <w:left w:w="90" w:type="dxa"/>
              <w:bottom w:w="85" w:type="dxa"/>
              <w:right w:w="90" w:type="dxa"/>
            </w:tcMar>
            <w:vAlign w:val="center"/>
          </w:tcPr>
          <w:p w14:paraId="16A6186F" w14:textId="77777777" w:rsidR="0079789B" w:rsidRDefault="00000000">
            <w:pPr>
              <w:pStyle w:val="TableBody"/>
            </w:pPr>
            <w:r>
              <w:t>SSRIs: sertraline and citalopram</w:t>
            </w:r>
          </w:p>
        </w:tc>
        <w:tc>
          <w:tcPr>
            <w:tcW w:w="2923" w:type="dxa"/>
            <w:tcMar>
              <w:top w:w="85" w:type="dxa"/>
              <w:left w:w="90" w:type="dxa"/>
              <w:bottom w:w="85" w:type="dxa"/>
              <w:right w:w="90" w:type="dxa"/>
            </w:tcMar>
            <w:vAlign w:val="center"/>
          </w:tcPr>
          <w:p w14:paraId="7D041477" w14:textId="77777777" w:rsidR="0079789B" w:rsidRDefault="00000000">
            <w:pPr>
              <w:pStyle w:val="TableBody"/>
            </w:pPr>
            <w:r>
              <w:t xml:space="preserve">Direct and </w:t>
            </w:r>
            <w:proofErr w:type="spellStart"/>
            <w:r>
              <w:t>sensitised</w:t>
            </w:r>
            <w:proofErr w:type="spellEnd"/>
            <w:r>
              <w:t xml:space="preserve"> photochemistry co-occur; photocatalysis identifies </w:t>
            </w:r>
            <w:r>
              <w:lastRenderedPageBreak/>
              <w:t>numerous intermediates.</w:t>
            </w:r>
          </w:p>
        </w:tc>
        <w:tc>
          <w:tcPr>
            <w:tcW w:w="2923" w:type="dxa"/>
            <w:tcMar>
              <w:top w:w="85" w:type="dxa"/>
              <w:left w:w="90" w:type="dxa"/>
              <w:bottom w:w="85" w:type="dxa"/>
              <w:right w:w="90" w:type="dxa"/>
            </w:tcMar>
            <w:vAlign w:val="center"/>
          </w:tcPr>
          <w:p w14:paraId="209217A3" w14:textId="77777777" w:rsidR="0079789B" w:rsidRDefault="00000000">
            <w:pPr>
              <w:pStyle w:val="TableBody"/>
            </w:pPr>
            <w:r>
              <w:lastRenderedPageBreak/>
              <w:t xml:space="preserve">Kinetics vary with matrix; bioassays challenge assumptions about </w:t>
            </w:r>
            <w:r>
              <w:lastRenderedPageBreak/>
              <w:t>detoxification.</w:t>
            </w:r>
          </w:p>
        </w:tc>
        <w:tc>
          <w:tcPr>
            <w:tcW w:w="1930" w:type="dxa"/>
            <w:tcMar>
              <w:top w:w="85" w:type="dxa"/>
              <w:left w:w="90" w:type="dxa"/>
              <w:bottom w:w="85" w:type="dxa"/>
              <w:right w:w="90" w:type="dxa"/>
            </w:tcMar>
            <w:vAlign w:val="center"/>
          </w:tcPr>
          <w:p w14:paraId="1FA18C2D" w14:textId="77777777" w:rsidR="0079789B" w:rsidRDefault="00000000">
            <w:pPr>
              <w:pStyle w:val="TableBody"/>
            </w:pPr>
            <w:r>
              <w:lastRenderedPageBreak/>
              <w:t>(Calza et al., 2021; Gornik et al., 2020; Jiménez-</w:t>
            </w:r>
            <w:r>
              <w:lastRenderedPageBreak/>
              <w:t>Holgado et al., 2021)</w:t>
            </w:r>
          </w:p>
        </w:tc>
      </w:tr>
      <w:tr w:rsidR="0079789B" w14:paraId="0BE20E84" w14:textId="77777777">
        <w:trPr>
          <w:jc w:val="center"/>
        </w:trPr>
        <w:tc>
          <w:tcPr>
            <w:tcW w:w="2189" w:type="dxa"/>
            <w:tcMar>
              <w:top w:w="85" w:type="dxa"/>
              <w:left w:w="90" w:type="dxa"/>
              <w:bottom w:w="85" w:type="dxa"/>
              <w:right w:w="90" w:type="dxa"/>
            </w:tcMar>
            <w:vAlign w:val="center"/>
          </w:tcPr>
          <w:p w14:paraId="668257CA" w14:textId="77777777" w:rsidR="0079789B" w:rsidRDefault="00000000">
            <w:pPr>
              <w:pStyle w:val="TableBody"/>
            </w:pPr>
            <w:r>
              <w:lastRenderedPageBreak/>
              <w:t>Other antidepressants: fluoxetine, paroxetine and venlafaxine</w:t>
            </w:r>
          </w:p>
        </w:tc>
        <w:tc>
          <w:tcPr>
            <w:tcW w:w="2923" w:type="dxa"/>
            <w:tcMar>
              <w:top w:w="85" w:type="dxa"/>
              <w:left w:w="90" w:type="dxa"/>
              <w:bottom w:w="85" w:type="dxa"/>
              <w:right w:w="90" w:type="dxa"/>
            </w:tcMar>
            <w:vAlign w:val="center"/>
          </w:tcPr>
          <w:p w14:paraId="316EDAAB" w14:textId="77777777" w:rsidR="0079789B" w:rsidRDefault="00000000">
            <w:pPr>
              <w:pStyle w:val="TableBody"/>
            </w:pPr>
            <w:r>
              <w:t>UV oxidation rates differ by compound and water chemistry.</w:t>
            </w:r>
          </w:p>
        </w:tc>
        <w:tc>
          <w:tcPr>
            <w:tcW w:w="2923" w:type="dxa"/>
            <w:tcMar>
              <w:top w:w="85" w:type="dxa"/>
              <w:left w:w="90" w:type="dxa"/>
              <w:bottom w:w="85" w:type="dxa"/>
              <w:right w:w="90" w:type="dxa"/>
            </w:tcMar>
            <w:vAlign w:val="center"/>
          </w:tcPr>
          <w:p w14:paraId="04C79662" w14:textId="77777777" w:rsidR="0079789B" w:rsidRDefault="00000000">
            <w:pPr>
              <w:pStyle w:val="TableBody"/>
            </w:pPr>
            <w:r>
              <w:t xml:space="preserve">Comparative rankings are method-specific and cannot be </w:t>
            </w:r>
            <w:proofErr w:type="spellStart"/>
            <w:r>
              <w:t>generalised</w:t>
            </w:r>
            <w:proofErr w:type="spellEnd"/>
            <w:r>
              <w:t xml:space="preserve"> to natural sunlight.</w:t>
            </w:r>
          </w:p>
        </w:tc>
        <w:tc>
          <w:tcPr>
            <w:tcW w:w="1930" w:type="dxa"/>
            <w:tcMar>
              <w:top w:w="85" w:type="dxa"/>
              <w:left w:w="90" w:type="dxa"/>
              <w:bottom w:w="85" w:type="dxa"/>
              <w:right w:w="90" w:type="dxa"/>
            </w:tcMar>
            <w:vAlign w:val="center"/>
          </w:tcPr>
          <w:p w14:paraId="77E0F348" w14:textId="77777777" w:rsidR="0079789B" w:rsidRDefault="00000000">
            <w:pPr>
              <w:pStyle w:val="TableBody"/>
            </w:pPr>
            <w:r>
              <w:t>(Guo et al., 2022; W. Lin et al., 2022; Spina et al., 2021)</w:t>
            </w:r>
          </w:p>
        </w:tc>
      </w:tr>
      <w:tr w:rsidR="0079789B" w14:paraId="52635FF8" w14:textId="77777777">
        <w:trPr>
          <w:jc w:val="center"/>
        </w:trPr>
        <w:tc>
          <w:tcPr>
            <w:tcW w:w="2189" w:type="dxa"/>
            <w:tcMar>
              <w:top w:w="85" w:type="dxa"/>
              <w:left w:w="90" w:type="dxa"/>
              <w:bottom w:w="85" w:type="dxa"/>
              <w:right w:w="90" w:type="dxa"/>
            </w:tcMar>
            <w:vAlign w:val="center"/>
          </w:tcPr>
          <w:p w14:paraId="7A538D14" w14:textId="77777777" w:rsidR="0079789B" w:rsidRDefault="00000000">
            <w:pPr>
              <w:pStyle w:val="TableBody"/>
            </w:pPr>
            <w:r>
              <w:t xml:space="preserve">Carbamazepine (neuroactive anticonvulsant/mood </w:t>
            </w:r>
            <w:proofErr w:type="spellStart"/>
            <w:r>
              <w:t>stabiliser</w:t>
            </w:r>
            <w:proofErr w:type="spellEnd"/>
            <w:r>
              <w:t>)</w:t>
            </w:r>
          </w:p>
        </w:tc>
        <w:tc>
          <w:tcPr>
            <w:tcW w:w="2923" w:type="dxa"/>
            <w:tcMar>
              <w:top w:w="85" w:type="dxa"/>
              <w:left w:w="90" w:type="dxa"/>
              <w:bottom w:w="85" w:type="dxa"/>
              <w:right w:w="90" w:type="dxa"/>
            </w:tcMar>
            <w:vAlign w:val="center"/>
          </w:tcPr>
          <w:p w14:paraId="72584222" w14:textId="77777777" w:rsidR="0079789B" w:rsidRDefault="00000000">
            <w:pPr>
              <w:pStyle w:val="TableBody"/>
            </w:pPr>
            <w:r>
              <w:t>Direct photolysis may be slow; activated systems remove parent but can form acridine species.</w:t>
            </w:r>
          </w:p>
        </w:tc>
        <w:tc>
          <w:tcPr>
            <w:tcW w:w="2923" w:type="dxa"/>
            <w:tcMar>
              <w:top w:w="85" w:type="dxa"/>
              <w:left w:w="90" w:type="dxa"/>
              <w:bottom w:w="85" w:type="dxa"/>
              <w:right w:w="90" w:type="dxa"/>
            </w:tcMar>
            <w:vAlign w:val="center"/>
          </w:tcPr>
          <w:p w14:paraId="3EEDF495" w14:textId="77777777" w:rsidR="0079789B" w:rsidRDefault="00000000">
            <w:pPr>
              <w:pStyle w:val="TableBody"/>
            </w:pPr>
            <w:r>
              <w:t>Well-studied benchmark is not representative of all psychotropics.</w:t>
            </w:r>
          </w:p>
        </w:tc>
        <w:tc>
          <w:tcPr>
            <w:tcW w:w="1930" w:type="dxa"/>
            <w:tcMar>
              <w:top w:w="85" w:type="dxa"/>
              <w:left w:w="90" w:type="dxa"/>
              <w:bottom w:w="85" w:type="dxa"/>
              <w:right w:w="90" w:type="dxa"/>
            </w:tcMar>
            <w:vAlign w:val="center"/>
          </w:tcPr>
          <w:p w14:paraId="49CCD710" w14:textId="77777777" w:rsidR="0079789B" w:rsidRDefault="00000000">
            <w:pPr>
              <w:pStyle w:val="TableBody"/>
            </w:pPr>
            <w:r>
              <w:t>(De Laurentiis et al., 2012; Donner et al., 2013; Pan et al., 2017)</w:t>
            </w:r>
          </w:p>
        </w:tc>
      </w:tr>
      <w:tr w:rsidR="0079789B" w14:paraId="32C813F8" w14:textId="77777777">
        <w:trPr>
          <w:jc w:val="center"/>
        </w:trPr>
        <w:tc>
          <w:tcPr>
            <w:tcW w:w="2189" w:type="dxa"/>
            <w:tcMar>
              <w:top w:w="85" w:type="dxa"/>
              <w:left w:w="90" w:type="dxa"/>
              <w:bottom w:w="85" w:type="dxa"/>
              <w:right w:w="90" w:type="dxa"/>
            </w:tcMar>
            <w:vAlign w:val="center"/>
          </w:tcPr>
          <w:p w14:paraId="4965A128" w14:textId="77777777" w:rsidR="0079789B" w:rsidRDefault="00000000">
            <w:pPr>
              <w:pStyle w:val="TableBody"/>
            </w:pPr>
            <w:r>
              <w:t>Phenothiazine antipsychotics</w:t>
            </w:r>
          </w:p>
        </w:tc>
        <w:tc>
          <w:tcPr>
            <w:tcW w:w="2923" w:type="dxa"/>
            <w:tcMar>
              <w:top w:w="85" w:type="dxa"/>
              <w:left w:w="90" w:type="dxa"/>
              <w:bottom w:w="85" w:type="dxa"/>
              <w:right w:w="90" w:type="dxa"/>
            </w:tcMar>
            <w:vAlign w:val="center"/>
          </w:tcPr>
          <w:p w14:paraId="5AE4633B" w14:textId="77777777" w:rsidR="0079789B" w:rsidRDefault="00000000">
            <w:pPr>
              <w:pStyle w:val="TableBody"/>
            </w:pPr>
            <w:r>
              <w:t>Chlorpromazine undergoes photoinduced radical chemistry and has experimentally documented phototoxic potential.</w:t>
            </w:r>
          </w:p>
        </w:tc>
        <w:tc>
          <w:tcPr>
            <w:tcW w:w="2923" w:type="dxa"/>
            <w:tcMar>
              <w:top w:w="85" w:type="dxa"/>
              <w:left w:w="90" w:type="dxa"/>
              <w:bottom w:w="85" w:type="dxa"/>
              <w:right w:w="90" w:type="dxa"/>
            </w:tcMar>
            <w:vAlign w:val="center"/>
          </w:tcPr>
          <w:p w14:paraId="06BFB743" w14:textId="77777777" w:rsidR="0079789B" w:rsidRDefault="00000000">
            <w:pPr>
              <w:pStyle w:val="TableBody"/>
            </w:pPr>
            <w:r>
              <w:t>Patient safety, formulation stability and environmental disappearance are different endpoints.</w:t>
            </w:r>
          </w:p>
        </w:tc>
        <w:tc>
          <w:tcPr>
            <w:tcW w:w="1930" w:type="dxa"/>
            <w:tcMar>
              <w:top w:w="85" w:type="dxa"/>
              <w:left w:w="90" w:type="dxa"/>
              <w:bottom w:w="85" w:type="dxa"/>
              <w:right w:w="90" w:type="dxa"/>
            </w:tcMar>
            <w:vAlign w:val="center"/>
          </w:tcPr>
          <w:p w14:paraId="03E63D3E" w14:textId="77777777" w:rsidR="0079789B" w:rsidRDefault="00000000">
            <w:pPr>
              <w:pStyle w:val="TableBody"/>
            </w:pPr>
            <w:r>
              <w:t xml:space="preserve">(Chignell et al., 1985; </w:t>
            </w:r>
            <w:proofErr w:type="spellStart"/>
            <w:r>
              <w:t>Nałecz-Jawecki</w:t>
            </w:r>
            <w:proofErr w:type="spellEnd"/>
            <w:r>
              <w:t xml:space="preserve"> et al., 2008)</w:t>
            </w:r>
          </w:p>
        </w:tc>
      </w:tr>
      <w:tr w:rsidR="0079789B" w14:paraId="09D5ADC6" w14:textId="77777777">
        <w:trPr>
          <w:jc w:val="center"/>
        </w:trPr>
        <w:tc>
          <w:tcPr>
            <w:tcW w:w="2189" w:type="dxa"/>
            <w:tcMar>
              <w:top w:w="85" w:type="dxa"/>
              <w:left w:w="90" w:type="dxa"/>
              <w:bottom w:w="85" w:type="dxa"/>
              <w:right w:w="90" w:type="dxa"/>
            </w:tcMar>
            <w:vAlign w:val="center"/>
          </w:tcPr>
          <w:p w14:paraId="40B2DD85" w14:textId="77777777" w:rsidR="0079789B" w:rsidRDefault="00000000">
            <w:pPr>
              <w:pStyle w:val="TableBody"/>
            </w:pPr>
            <w:r>
              <w:t>Cocaine and major wastewater markers</w:t>
            </w:r>
          </w:p>
        </w:tc>
        <w:tc>
          <w:tcPr>
            <w:tcW w:w="2923" w:type="dxa"/>
            <w:tcMar>
              <w:top w:w="85" w:type="dxa"/>
              <w:left w:w="90" w:type="dxa"/>
              <w:bottom w:w="85" w:type="dxa"/>
              <w:right w:w="90" w:type="dxa"/>
            </w:tcMar>
            <w:vAlign w:val="center"/>
          </w:tcPr>
          <w:p w14:paraId="28E91BA6" w14:textId="77777777" w:rsidR="0079789B" w:rsidRDefault="00000000">
            <w:pPr>
              <w:pStyle w:val="TableBody"/>
            </w:pPr>
            <w:r>
              <w:t xml:space="preserve">Sunlight/UV and chlorination produce distinct </w:t>
            </w:r>
            <w:proofErr w:type="spellStart"/>
            <w:r>
              <w:t>degradates</w:t>
            </w:r>
            <w:proofErr w:type="spellEnd"/>
            <w:r>
              <w:t>; sewer stability differs across analytes.</w:t>
            </w:r>
          </w:p>
        </w:tc>
        <w:tc>
          <w:tcPr>
            <w:tcW w:w="2923" w:type="dxa"/>
            <w:tcMar>
              <w:top w:w="85" w:type="dxa"/>
              <w:left w:w="90" w:type="dxa"/>
              <w:bottom w:w="85" w:type="dxa"/>
              <w:right w:w="90" w:type="dxa"/>
            </w:tcMar>
            <w:vAlign w:val="center"/>
          </w:tcPr>
          <w:p w14:paraId="11D66B1A" w14:textId="77777777" w:rsidR="0079789B" w:rsidRDefault="00000000">
            <w:pPr>
              <w:pStyle w:val="TableBody"/>
            </w:pPr>
            <w:r>
              <w:t>Forensic products can reflect either metabolism or environmental chemistry.</w:t>
            </w:r>
          </w:p>
        </w:tc>
        <w:tc>
          <w:tcPr>
            <w:tcW w:w="1930" w:type="dxa"/>
            <w:tcMar>
              <w:top w:w="85" w:type="dxa"/>
              <w:left w:w="90" w:type="dxa"/>
              <w:bottom w:w="85" w:type="dxa"/>
              <w:right w:w="90" w:type="dxa"/>
            </w:tcMar>
            <w:vAlign w:val="center"/>
          </w:tcPr>
          <w:p w14:paraId="69D775F8" w14:textId="77777777" w:rsidR="0079789B" w:rsidRDefault="00000000">
            <w:pPr>
              <w:pStyle w:val="TableBody"/>
            </w:pPr>
            <w:r>
              <w:t>(Bijlsma et al., 2013; McCall et al., 2016; Thai et al., 2014)</w:t>
            </w:r>
          </w:p>
        </w:tc>
      </w:tr>
    </w:tbl>
    <w:p w14:paraId="65783003" w14:textId="77777777" w:rsidR="0079789B" w:rsidRDefault="00000000">
      <w:pPr>
        <w:pStyle w:val="TableNote"/>
      </w:pPr>
      <w:r>
        <w:t>Note. This table is selective and analytical, not a complete enumeration of the literature.</w:t>
      </w:r>
    </w:p>
    <w:p w14:paraId="4ED6CDF0" w14:textId="77777777" w:rsidR="0079789B" w:rsidRDefault="00000000">
      <w:pPr>
        <w:pStyle w:val="Heading1"/>
      </w:pPr>
      <w:r>
        <w:t>6. Engineered Photochemical Treatment: From Reaction to Implementable Process</w:t>
      </w:r>
    </w:p>
    <w:p w14:paraId="21A74AC7" w14:textId="77777777" w:rsidR="0079789B" w:rsidRDefault="00000000">
      <w:pPr>
        <w:pStyle w:val="Heading2"/>
      </w:pPr>
      <w:r>
        <w:t>6.1 Direct irradiation and chemical-assisted oxidation</w:t>
      </w:r>
    </w:p>
    <w:p w14:paraId="29EC7EEC" w14:textId="77777777" w:rsidR="0079789B" w:rsidRDefault="00000000">
      <w:pPr>
        <w:pStyle w:val="BodyText"/>
      </w:pPr>
      <w:r>
        <w:t>Direct ultraviolet irradiation is attractive for its conceptual simplicity: the target absorbs photons and undergoes transformation without requiring an added catalyst. In practice, the applicability of this mechanism is strongly compound-dependent. For drug molecules with limited absorption within the operating spectrum or very low reactive quantum yields, high doses may be required, while susceptible compounds may disappear under lower exposures. Direct photolysis should therefore be considered a baseline condition against which chemical-assisted treatment is tested, rather than a universally sufficient technology (Calisto et al., 2011; Dai et al., 2012).</w:t>
      </w:r>
    </w:p>
    <w:p w14:paraId="70CDFA46" w14:textId="77777777" w:rsidR="0079789B" w:rsidRDefault="00000000">
      <w:pPr>
        <w:pStyle w:val="BodyText"/>
      </w:pPr>
      <w:r>
        <w:t xml:space="preserve">The addition of hydrogen peroxide, persulphate or other oxidant precursors introduces routes to reactive species beyond direct excitation of the parent. </w:t>
      </w:r>
      <w:proofErr w:type="spellStart"/>
      <w:r>
        <w:t>Drossou</w:t>
      </w:r>
      <w:proofErr w:type="spellEnd"/>
      <w:r>
        <w:t xml:space="preserve"> et al. (2022) investigated sertraline using ultraviolet C irradiation alone and in combination with oxidants, demonstrating the value of comparing defined systems within one experimental framework. Interpretation still requires caution: radical concentration depends on oxidant conversion, water matrix and competing reactions. Excess oxidant need not improve performance if it scavenges radicals, affects downstream water quality or increases the chemical burden of treatment. A meaningful comparison reports not only removal at a fixed time but delivered photons, added chemicals and residual products.</w:t>
      </w:r>
    </w:p>
    <w:p w14:paraId="290747C4" w14:textId="77777777" w:rsidR="0079789B" w:rsidRDefault="00000000">
      <w:pPr>
        <w:pStyle w:val="BodyText"/>
      </w:pPr>
      <w:r>
        <w:t xml:space="preserve">Ultraviolet/hydrogen peroxide studies with carbamazepine demonstrate why the endpoint must extend beyond concentration. </w:t>
      </w:r>
      <w:proofErr w:type="spellStart"/>
      <w:r>
        <w:t>Vogna</w:t>
      </w:r>
      <w:proofErr w:type="spellEnd"/>
      <w:r>
        <w:t xml:space="preserve"> et al. (2004) measured both substantial parent depletion and incomplete organic carbon removal. The chemical treatment had demonstrable oxidation capacity, but it would be erroneous to describe the parent peak disappearing as complete </w:t>
      </w:r>
      <w:proofErr w:type="spellStart"/>
      <w:r>
        <w:t>mineralisation</w:t>
      </w:r>
      <w:proofErr w:type="spellEnd"/>
      <w:r>
        <w:t>. For applications involving mixtures, the remaining organic load includes both untargeted background matter and transformation products. This does not mean total organic carbon alone can identify toxicity, only that it is an indispensable complementary measure in a whole-process assessment.</w:t>
      </w:r>
    </w:p>
    <w:p w14:paraId="1758F941" w14:textId="77777777" w:rsidR="0079789B" w:rsidRDefault="00000000">
      <w:pPr>
        <w:pStyle w:val="BodyText"/>
      </w:pPr>
      <w:r>
        <w:t xml:space="preserve">Ultraviolet/chlorine and analogous systems have particular strengths and hazards. Chlorine-containing oxidants can be readily integrated into some established treatment infrastructure, but photoactivated chlorine chemistry is sensitive to pH, chloride and dissolved organic matter and may create chlorinated transformation products. Carbamazepine experiments show a complex mixture of reactive species and </w:t>
      </w:r>
      <w:r>
        <w:lastRenderedPageBreak/>
        <w:t>intermediates with changing toxicity through treatment time (Pan et al., 2017). It is therefore insufficient to report that an ultraviolet/chlorine train improves removal relative to ultraviolet irradiation alone. The relevant comparison is whether the final water meets a pre-specified chemical and toxicological objective without imposing a new by-product burden.</w:t>
      </w:r>
    </w:p>
    <w:p w14:paraId="4B5EFE4A" w14:textId="77777777" w:rsidR="0079789B" w:rsidRDefault="00000000">
      <w:pPr>
        <w:pStyle w:val="Heading2"/>
      </w:pPr>
      <w:r>
        <w:t>6.2 Photo-Fenton systems and operational compromises</w:t>
      </w:r>
    </w:p>
    <w:p w14:paraId="164E4842" w14:textId="77777777" w:rsidR="0079789B" w:rsidRDefault="00000000">
      <w:pPr>
        <w:pStyle w:val="BodyText"/>
      </w:pPr>
      <w:r>
        <w:t xml:space="preserve">Photo-Fenton chemistry uses iron-mediated reactions and light to generate </w:t>
      </w:r>
      <w:proofErr w:type="spellStart"/>
      <w:r>
        <w:t>oxidising</w:t>
      </w:r>
      <w:proofErr w:type="spellEnd"/>
      <w:r>
        <w:t xml:space="preserve"> species, potentially overcoming the resistance of compounds that undergo little direct photolysis. Controlled experiments demonstrate degradation of benzodiazepines and fluoxetine, and the coupling of design-of-experiments </w:t>
      </w:r>
      <w:proofErr w:type="spellStart"/>
      <w:r>
        <w:t>optimisation</w:t>
      </w:r>
      <w:proofErr w:type="spellEnd"/>
      <w:r>
        <w:t xml:space="preserve"> with product analysis improves mechanistic interpretability (</w:t>
      </w:r>
      <w:proofErr w:type="spellStart"/>
      <w:r>
        <w:t>Mitsika</w:t>
      </w:r>
      <w:proofErr w:type="spellEnd"/>
      <w:r>
        <w:t xml:space="preserve"> et al., 2021; Perini et al., 2017). Yet the approach involves operational decisions about iron speciation, oxidant dose, pH and separation of solids. Conditions optimal for radical generation may not align with the influent chemistry or discharge requirements of a specific plant.</w:t>
      </w:r>
    </w:p>
    <w:p w14:paraId="5436CA9E" w14:textId="77777777" w:rsidR="0079789B" w:rsidRDefault="00000000">
      <w:pPr>
        <w:pStyle w:val="BodyText"/>
      </w:pPr>
      <w:r>
        <w:t xml:space="preserve">A key translation challenge is the difference between chemically </w:t>
      </w:r>
      <w:proofErr w:type="spellStart"/>
      <w:r>
        <w:t>favourable</w:t>
      </w:r>
      <w:proofErr w:type="spellEnd"/>
      <w:r>
        <w:t xml:space="preserve"> and operationally convenient conditions. Acidic operation may help sustain some classical Fenton pathways, but pH adjustment creates reagent and energy demands and may complicate downstream </w:t>
      </w:r>
      <w:proofErr w:type="spellStart"/>
      <w:r>
        <w:t>neutralisation</w:t>
      </w:r>
      <w:proofErr w:type="spellEnd"/>
      <w:r>
        <w:t>. Iron-complex strategies can change the effective pH window, while also introducing chemistry that may consume light or affect product distribution. In hospital effluent work, the presence of organic and inorganic constituents reduced fluoxetine degradation relative to simpler expectations, illustrating the limitations of using pure-water performance to prescribe treatment for complex effluent (Perini et al., 2017).</w:t>
      </w:r>
    </w:p>
    <w:p w14:paraId="5507E38B" w14:textId="77777777" w:rsidR="0079789B" w:rsidRDefault="00000000">
      <w:pPr>
        <w:pStyle w:val="BodyText"/>
      </w:pPr>
      <w:r>
        <w:t>Treatment trains combining biological steps with light-assisted oxidation may be more plausible than stand-alone oxidation of raw wastewater. Biological removal can lower bulk carbon loads and improve optical transmission, leaving recalcitrant trace compounds for photochemical polishing. On the other hand, upstream processes may form metabolites that interact differently with oxidants, and the final treatment still requires toxicity testing. Majumder et al. (2024) evaluated a pilot-scale system involving biological treatment and photocatalysis for hospital wastewater. Its importance lies in demonstrating a more realistic integrated system boundary. It remains one study in one engineering context, and cannot support a universal claim of plant-scale superiority.</w:t>
      </w:r>
    </w:p>
    <w:p w14:paraId="2AB124AA" w14:textId="77777777" w:rsidR="0079789B" w:rsidRDefault="00000000">
      <w:pPr>
        <w:pStyle w:val="Heading2"/>
      </w:pPr>
      <w:r>
        <w:t>6.3 Semiconductor photocatalysis: benefits and unresolved liabilities</w:t>
      </w:r>
    </w:p>
    <w:p w14:paraId="68D84713" w14:textId="77777777" w:rsidR="0079789B" w:rsidRDefault="00000000">
      <w:pPr>
        <w:pStyle w:val="BodyText"/>
      </w:pPr>
      <w:r>
        <w:t xml:space="preserve">Titanium dioxide has provided a durable experimental model for heterogeneous photocatalytic removal. Comparisons of materials indicate that activity depends on catalyst characteristics as well as the target compound. Doll and Frimmel (2004) documented contrasting performance among titanium dioxide materials for different pharmaceutical substrates, while </w:t>
      </w:r>
      <w:proofErr w:type="spellStart"/>
      <w:r>
        <w:t>Im</w:t>
      </w:r>
      <w:proofErr w:type="spellEnd"/>
      <w:r>
        <w:t xml:space="preserve"> et al. (2012) found that irradiation combined with titanium dioxide outperformed simple ultraviolet exposure in their carbamazepine system. These studies show how photogenerated charge carriers can create additional oxidation pathways. They also demonstrate that the best-performing material for one compound need not be best for another.</w:t>
      </w:r>
    </w:p>
    <w:p w14:paraId="4C2BA262" w14:textId="77777777" w:rsidR="0079789B" w:rsidRDefault="00000000">
      <w:pPr>
        <w:pStyle w:val="BodyText"/>
      </w:pPr>
      <w:r>
        <w:t>Catalyst engineering has progressively expanded towards modified oxides, carbonaceous composites and materials that harvest portions of visible light. The appeal is understandable: lower dependence on short-wavelength lamps might reduce energy demand in some designs. However, visible-light absorption is only the beginning of the performance chain. Quantum efficiency, charge recombination, sorption, exposed surface, reactor shading and catalyst lifetime determine whether absorbed photons result in useful chemical transformation. Recent sertraline nanocomposite work provides an example of material-level promise, but further evidence is needed on catalyst leaching, recovery, reusability under genuine effluent matrices and product toxicity (Hosseini, 2025; Srivastava, 2024).</w:t>
      </w:r>
    </w:p>
    <w:p w14:paraId="41015475" w14:textId="77777777" w:rsidR="0079789B" w:rsidRDefault="00000000">
      <w:pPr>
        <w:pStyle w:val="BodyText"/>
      </w:pPr>
      <w:r>
        <w:lastRenderedPageBreak/>
        <w:t xml:space="preserve">An unresolved practical trade-off concerns suspended versus </w:t>
      </w:r>
      <w:proofErr w:type="spellStart"/>
      <w:r>
        <w:t>immobilised</w:t>
      </w:r>
      <w:proofErr w:type="spellEnd"/>
      <w:r>
        <w:t xml:space="preserve"> catalysts. Suspensions </w:t>
      </w:r>
      <w:proofErr w:type="spellStart"/>
      <w:r>
        <w:t>maximise</w:t>
      </w:r>
      <w:proofErr w:type="spellEnd"/>
      <w:r>
        <w:t xml:space="preserve"> exposed surface but require physical recovery to prevent material discharge and may scatter or block incoming light. </w:t>
      </w:r>
      <w:proofErr w:type="spellStart"/>
      <w:r>
        <w:t>Immobilised</w:t>
      </w:r>
      <w:proofErr w:type="spellEnd"/>
      <w:r>
        <w:t xml:space="preserve"> structures simplify separation but can reduce accessible reactive area, alter hydrodynamics and become fouled. Their performance cannot be compared by apparent reaction constants alone. Evaluations should record light exposure at the reactive surface, hydraulic </w:t>
      </w:r>
      <w:proofErr w:type="spellStart"/>
      <w:r>
        <w:t>behaviour</w:t>
      </w:r>
      <w:proofErr w:type="spellEnd"/>
      <w:r>
        <w:t xml:space="preserve">, cleaning requirements and any material released to the effluent. The challenge is not merely to </w:t>
      </w:r>
      <w:proofErr w:type="spellStart"/>
      <w:r>
        <w:t>synthesise</w:t>
      </w:r>
      <w:proofErr w:type="spellEnd"/>
      <w:r>
        <w:t xml:space="preserve"> a catalyst that is active on the day of preparation, but to maintain reproducible treatment under months of variable operation (Friedmann, 2022; </w:t>
      </w:r>
      <w:proofErr w:type="spellStart"/>
      <w:r>
        <w:t>Navidpour</w:t>
      </w:r>
      <w:proofErr w:type="spellEnd"/>
      <w:r>
        <w:t xml:space="preserve"> et al., 2024).</w:t>
      </w:r>
    </w:p>
    <w:p w14:paraId="6B11D196" w14:textId="77777777" w:rsidR="0079789B" w:rsidRDefault="00000000">
      <w:pPr>
        <w:pStyle w:val="BodyText"/>
      </w:pPr>
      <w:r>
        <w:t xml:space="preserve">The repeated </w:t>
      </w:r>
      <w:proofErr w:type="spellStart"/>
      <w:r>
        <w:t>optimisation</w:t>
      </w:r>
      <w:proofErr w:type="spellEnd"/>
      <w:r>
        <w:t xml:space="preserve"> of a single benchmark drug may also distort technology selection. Carbamazepine is chemically convenient and environmentally important, but a plant must treat mixtures of pharmaceuticals, metabolites, organic matter and inorganic solutes. Competitive adsorption and radical scavenging can make catalyst rankings change with influent composition. A credible demonstration should include a chemically diverse target panel and authentic effluent rather than relying on one compound under ideal conditions. Mechanistically useful material papers should be </w:t>
      </w:r>
      <w:proofErr w:type="spellStart"/>
      <w:r>
        <w:t>recognised</w:t>
      </w:r>
      <w:proofErr w:type="spellEnd"/>
      <w:r>
        <w:t xml:space="preserve"> as feasibility evidence without being promoted as completed engineering validation.</w:t>
      </w:r>
    </w:p>
    <w:p w14:paraId="25A25377" w14:textId="77777777" w:rsidR="0079789B" w:rsidRDefault="00000000">
      <w:pPr>
        <w:pStyle w:val="Heading2"/>
      </w:pPr>
      <w:r>
        <w:t>6.4 Comparative performance and the scale-up evidence gap</w:t>
      </w:r>
    </w:p>
    <w:p w14:paraId="5F68CC54" w14:textId="77777777" w:rsidR="0079789B" w:rsidRDefault="00000000">
      <w:pPr>
        <w:pStyle w:val="BodyText"/>
      </w:pPr>
      <w:r>
        <w:t>Published studies often compare treatments by the percentage of one parent drug removed after a fixed illumination time. This is not a neutral basis for ranking technologies. Lamp power may differ, solution volume and irradiated area may be unreported, substrate concentration may change by orders of magnitude, and scavengers may vary. A high-removal experiment under intense ultraviolet exposure may consume more energy than a slower process receiving sunlight or a biologically supported treatment train. The valid comparison is an explicitly stated functional unit, such as energy and reagent demand for achieving a specified reduction in measured hazard per volume of real wastewater (Dai et al., 2012; Friedmann, 2022).</w:t>
      </w:r>
    </w:p>
    <w:p w14:paraId="52739306" w14:textId="77777777" w:rsidR="0079789B" w:rsidRDefault="00000000">
      <w:pPr>
        <w:pStyle w:val="BodyText"/>
      </w:pPr>
      <w:r>
        <w:t xml:space="preserve">Pilot investigations offer stronger external relevance but require replication. Flow variation, suspended solids, climate, light-source maintenance and catalyst fouling can all change actual performance. A demonstration of target removal at one site should be followed by repeated trials across influent regimes and with cumulative operating data. The evidence base reviewed here establishes technical feasibility for several systems, yet provides much less certainty about comparative operational cost, life-cycle impact and regulatory acceptability than the number of laboratory studies might suggest (Majumder et al., 2024; </w:t>
      </w:r>
      <w:proofErr w:type="spellStart"/>
      <w:r>
        <w:t>Navidpour</w:t>
      </w:r>
      <w:proofErr w:type="spellEnd"/>
      <w:r>
        <w:t xml:space="preserve"> et al., 2024; Srivastava, 2024).</w:t>
      </w:r>
    </w:p>
    <w:p w14:paraId="36DC2539" w14:textId="77777777" w:rsidR="0079789B" w:rsidRDefault="00000000">
      <w:pPr>
        <w:pStyle w:val="BodyText"/>
      </w:pPr>
      <w:r>
        <w:t>Table 4 groups technologies by their best-supported capability and principal implementation risk. The key comparison is not a numerical ranking drawn from incompatible experiments but the extent to which each approach addresses the chemical and operational endpoints relevant to actual water treatment.</w:t>
      </w:r>
    </w:p>
    <w:p w14:paraId="368CBF98" w14:textId="77777777" w:rsidR="0079789B" w:rsidRDefault="00000000">
      <w:pPr>
        <w:pStyle w:val="TableCaption"/>
      </w:pPr>
      <w:r>
        <w:t>Table 4. Comparative appraisal of light-assisted treatment approaches</w:t>
      </w:r>
    </w:p>
    <w:tbl>
      <w:tblPr>
        <w:tblW w:w="0" w:type="auto"/>
        <w:jc w:val="center"/>
        <w:tblLayout w:type="fixed"/>
        <w:tblLook w:val="04A0" w:firstRow="1" w:lastRow="0" w:firstColumn="1" w:lastColumn="0" w:noHBand="0" w:noVBand="1"/>
      </w:tblPr>
      <w:tblGrid>
        <w:gridCol w:w="2232"/>
        <w:gridCol w:w="2779"/>
        <w:gridCol w:w="2966"/>
        <w:gridCol w:w="1944"/>
      </w:tblGrid>
      <w:tr w:rsidR="0079789B" w14:paraId="1EB0C3E6" w14:textId="77777777">
        <w:trPr>
          <w:tblHeader/>
          <w:jc w:val="center"/>
        </w:trPr>
        <w:tc>
          <w:tcPr>
            <w:tcW w:w="2232" w:type="dxa"/>
            <w:shd w:val="clear" w:color="auto" w:fill="EDEFF2"/>
            <w:tcMar>
              <w:top w:w="85" w:type="dxa"/>
              <w:left w:w="90" w:type="dxa"/>
              <w:bottom w:w="85" w:type="dxa"/>
              <w:right w:w="90" w:type="dxa"/>
            </w:tcMar>
          </w:tcPr>
          <w:p w14:paraId="509EF36C" w14:textId="77777777" w:rsidR="0079789B" w:rsidRDefault="00000000">
            <w:pPr>
              <w:pStyle w:val="TableBody"/>
            </w:pPr>
            <w:r>
              <w:rPr>
                <w:b/>
              </w:rPr>
              <w:t>Treatment approach</w:t>
            </w:r>
          </w:p>
        </w:tc>
        <w:tc>
          <w:tcPr>
            <w:tcW w:w="2779" w:type="dxa"/>
            <w:shd w:val="clear" w:color="auto" w:fill="EDEFF2"/>
            <w:tcMar>
              <w:top w:w="85" w:type="dxa"/>
              <w:left w:w="90" w:type="dxa"/>
              <w:bottom w:w="85" w:type="dxa"/>
              <w:right w:w="90" w:type="dxa"/>
            </w:tcMar>
          </w:tcPr>
          <w:p w14:paraId="7CED61D4" w14:textId="77777777" w:rsidR="0079789B" w:rsidRDefault="00000000">
            <w:pPr>
              <w:pStyle w:val="TableBody"/>
            </w:pPr>
            <w:r>
              <w:rPr>
                <w:b/>
              </w:rPr>
              <w:t>Strength in reviewed studies</w:t>
            </w:r>
          </w:p>
        </w:tc>
        <w:tc>
          <w:tcPr>
            <w:tcW w:w="2966" w:type="dxa"/>
            <w:shd w:val="clear" w:color="auto" w:fill="EDEFF2"/>
            <w:tcMar>
              <w:top w:w="85" w:type="dxa"/>
              <w:left w:w="90" w:type="dxa"/>
              <w:bottom w:w="85" w:type="dxa"/>
              <w:right w:w="90" w:type="dxa"/>
            </w:tcMar>
          </w:tcPr>
          <w:p w14:paraId="39CEFBED" w14:textId="77777777" w:rsidR="0079789B" w:rsidRDefault="00000000">
            <w:pPr>
              <w:pStyle w:val="TableBody"/>
            </w:pPr>
            <w:r>
              <w:rPr>
                <w:b/>
              </w:rPr>
              <w:t>Most relevant limitation</w:t>
            </w:r>
          </w:p>
        </w:tc>
        <w:tc>
          <w:tcPr>
            <w:tcW w:w="1944" w:type="dxa"/>
            <w:shd w:val="clear" w:color="auto" w:fill="EDEFF2"/>
            <w:tcMar>
              <w:top w:w="85" w:type="dxa"/>
              <w:left w:w="90" w:type="dxa"/>
              <w:bottom w:w="85" w:type="dxa"/>
              <w:right w:w="90" w:type="dxa"/>
            </w:tcMar>
          </w:tcPr>
          <w:p w14:paraId="54A37AF4" w14:textId="77777777" w:rsidR="0079789B" w:rsidRDefault="00000000">
            <w:pPr>
              <w:pStyle w:val="TableBody"/>
            </w:pPr>
            <w:r>
              <w:rPr>
                <w:b/>
              </w:rPr>
              <w:t>Supporting references</w:t>
            </w:r>
          </w:p>
        </w:tc>
      </w:tr>
      <w:tr w:rsidR="0079789B" w14:paraId="678AA69C" w14:textId="77777777">
        <w:trPr>
          <w:jc w:val="center"/>
        </w:trPr>
        <w:tc>
          <w:tcPr>
            <w:tcW w:w="2232" w:type="dxa"/>
            <w:tcMar>
              <w:top w:w="85" w:type="dxa"/>
              <w:left w:w="90" w:type="dxa"/>
              <w:bottom w:w="85" w:type="dxa"/>
              <w:right w:w="90" w:type="dxa"/>
            </w:tcMar>
            <w:vAlign w:val="center"/>
          </w:tcPr>
          <w:p w14:paraId="7E581F8C" w14:textId="77777777" w:rsidR="0079789B" w:rsidRDefault="00000000">
            <w:pPr>
              <w:pStyle w:val="TableBody"/>
            </w:pPr>
            <w:r>
              <w:t>Direct solar or UV photolysis</w:t>
            </w:r>
          </w:p>
        </w:tc>
        <w:tc>
          <w:tcPr>
            <w:tcW w:w="2779" w:type="dxa"/>
            <w:tcMar>
              <w:top w:w="85" w:type="dxa"/>
              <w:left w:w="90" w:type="dxa"/>
              <w:bottom w:w="85" w:type="dxa"/>
              <w:right w:w="90" w:type="dxa"/>
            </w:tcMar>
            <w:vAlign w:val="center"/>
          </w:tcPr>
          <w:p w14:paraId="15BF4BA0" w14:textId="77777777" w:rsidR="0079789B" w:rsidRDefault="00000000">
            <w:pPr>
              <w:pStyle w:val="TableBody"/>
            </w:pPr>
            <w:r>
              <w:t>Minimal chemical input and useful compound-specific fate information.</w:t>
            </w:r>
          </w:p>
        </w:tc>
        <w:tc>
          <w:tcPr>
            <w:tcW w:w="2966" w:type="dxa"/>
            <w:tcMar>
              <w:top w:w="85" w:type="dxa"/>
              <w:left w:w="90" w:type="dxa"/>
              <w:bottom w:w="85" w:type="dxa"/>
              <w:right w:w="90" w:type="dxa"/>
            </w:tcMar>
            <w:vAlign w:val="center"/>
          </w:tcPr>
          <w:p w14:paraId="66C50613" w14:textId="77777777" w:rsidR="0079789B" w:rsidRDefault="00000000">
            <w:pPr>
              <w:pStyle w:val="TableBody"/>
            </w:pPr>
            <w:r>
              <w:t>Variable and sometimes negligible removal; incomplete control of products.</w:t>
            </w:r>
          </w:p>
        </w:tc>
        <w:tc>
          <w:tcPr>
            <w:tcW w:w="1944" w:type="dxa"/>
            <w:tcMar>
              <w:top w:w="85" w:type="dxa"/>
              <w:left w:w="90" w:type="dxa"/>
              <w:bottom w:w="85" w:type="dxa"/>
              <w:right w:w="90" w:type="dxa"/>
            </w:tcMar>
            <w:vAlign w:val="center"/>
          </w:tcPr>
          <w:p w14:paraId="2F86F5A6" w14:textId="77777777" w:rsidR="0079789B" w:rsidRDefault="00000000">
            <w:pPr>
              <w:pStyle w:val="TableBody"/>
            </w:pPr>
            <w:r>
              <w:t>(Calisto et al., 2011; Dong et al., 2015)</w:t>
            </w:r>
          </w:p>
        </w:tc>
      </w:tr>
      <w:tr w:rsidR="0079789B" w14:paraId="34ECC5E5" w14:textId="77777777">
        <w:trPr>
          <w:jc w:val="center"/>
        </w:trPr>
        <w:tc>
          <w:tcPr>
            <w:tcW w:w="2232" w:type="dxa"/>
            <w:tcMar>
              <w:top w:w="85" w:type="dxa"/>
              <w:left w:w="90" w:type="dxa"/>
              <w:bottom w:w="85" w:type="dxa"/>
              <w:right w:w="90" w:type="dxa"/>
            </w:tcMar>
            <w:vAlign w:val="center"/>
          </w:tcPr>
          <w:p w14:paraId="4D26AF8C" w14:textId="77777777" w:rsidR="0079789B" w:rsidRDefault="00000000">
            <w:pPr>
              <w:pStyle w:val="TableBody"/>
            </w:pPr>
            <w:r>
              <w:t>UV/H₂O₂ and UV/persulphate</w:t>
            </w:r>
          </w:p>
        </w:tc>
        <w:tc>
          <w:tcPr>
            <w:tcW w:w="2779" w:type="dxa"/>
            <w:tcMar>
              <w:top w:w="85" w:type="dxa"/>
              <w:left w:w="90" w:type="dxa"/>
              <w:bottom w:w="85" w:type="dxa"/>
              <w:right w:w="90" w:type="dxa"/>
            </w:tcMar>
            <w:vAlign w:val="center"/>
          </w:tcPr>
          <w:p w14:paraId="602977E2" w14:textId="77777777" w:rsidR="0079789B" w:rsidRDefault="00000000">
            <w:pPr>
              <w:pStyle w:val="TableBody"/>
            </w:pPr>
            <w:r>
              <w:t>Defined radical systems can accelerate degradation of selected antidepressants.</w:t>
            </w:r>
          </w:p>
        </w:tc>
        <w:tc>
          <w:tcPr>
            <w:tcW w:w="2966" w:type="dxa"/>
            <w:tcMar>
              <w:top w:w="85" w:type="dxa"/>
              <w:left w:w="90" w:type="dxa"/>
              <w:bottom w:w="85" w:type="dxa"/>
              <w:right w:w="90" w:type="dxa"/>
            </w:tcMar>
            <w:vAlign w:val="center"/>
          </w:tcPr>
          <w:p w14:paraId="31E8F3C4" w14:textId="77777777" w:rsidR="0079789B" w:rsidRDefault="00000000">
            <w:pPr>
              <w:pStyle w:val="TableBody"/>
            </w:pPr>
            <w:r>
              <w:t xml:space="preserve">Scavenging, chemical demand and photoproduct toxicity complicate </w:t>
            </w:r>
            <w:proofErr w:type="spellStart"/>
            <w:r>
              <w:t>optimisation</w:t>
            </w:r>
            <w:proofErr w:type="spellEnd"/>
            <w:r>
              <w:t>.</w:t>
            </w:r>
          </w:p>
        </w:tc>
        <w:tc>
          <w:tcPr>
            <w:tcW w:w="1944" w:type="dxa"/>
            <w:tcMar>
              <w:top w:w="85" w:type="dxa"/>
              <w:left w:w="90" w:type="dxa"/>
              <w:bottom w:w="85" w:type="dxa"/>
              <w:right w:w="90" w:type="dxa"/>
            </w:tcMar>
            <w:vAlign w:val="center"/>
          </w:tcPr>
          <w:p w14:paraId="50DC77CD" w14:textId="77777777" w:rsidR="0079789B" w:rsidRDefault="00000000">
            <w:pPr>
              <w:pStyle w:val="TableBody"/>
            </w:pPr>
            <w:r>
              <w:t>(</w:t>
            </w:r>
            <w:proofErr w:type="spellStart"/>
            <w:r>
              <w:t>Drossou</w:t>
            </w:r>
            <w:proofErr w:type="spellEnd"/>
            <w:r>
              <w:t xml:space="preserve"> et al., 2022; Spina et al., 2021; </w:t>
            </w:r>
            <w:proofErr w:type="spellStart"/>
            <w:r>
              <w:t>Vogna</w:t>
            </w:r>
            <w:proofErr w:type="spellEnd"/>
            <w:r>
              <w:t xml:space="preserve"> et al., 2004)</w:t>
            </w:r>
          </w:p>
        </w:tc>
      </w:tr>
      <w:tr w:rsidR="0079789B" w14:paraId="7CBDBC1C" w14:textId="77777777">
        <w:trPr>
          <w:jc w:val="center"/>
        </w:trPr>
        <w:tc>
          <w:tcPr>
            <w:tcW w:w="2232" w:type="dxa"/>
            <w:tcMar>
              <w:top w:w="85" w:type="dxa"/>
              <w:left w:w="90" w:type="dxa"/>
              <w:bottom w:w="85" w:type="dxa"/>
              <w:right w:w="90" w:type="dxa"/>
            </w:tcMar>
            <w:vAlign w:val="center"/>
          </w:tcPr>
          <w:p w14:paraId="7A70B489" w14:textId="77777777" w:rsidR="0079789B" w:rsidRDefault="00000000">
            <w:pPr>
              <w:pStyle w:val="TableBody"/>
            </w:pPr>
            <w:r>
              <w:t>UV/chlorine</w:t>
            </w:r>
          </w:p>
        </w:tc>
        <w:tc>
          <w:tcPr>
            <w:tcW w:w="2779" w:type="dxa"/>
            <w:tcMar>
              <w:top w:w="85" w:type="dxa"/>
              <w:left w:w="90" w:type="dxa"/>
              <w:bottom w:w="85" w:type="dxa"/>
              <w:right w:w="90" w:type="dxa"/>
            </w:tcMar>
            <w:vAlign w:val="center"/>
          </w:tcPr>
          <w:p w14:paraId="50CADD83" w14:textId="77777777" w:rsidR="0079789B" w:rsidRDefault="00000000">
            <w:pPr>
              <w:pStyle w:val="TableBody"/>
            </w:pPr>
            <w:r>
              <w:t>Can remove carbamazepine while permitting targeted mechanistic work.</w:t>
            </w:r>
          </w:p>
        </w:tc>
        <w:tc>
          <w:tcPr>
            <w:tcW w:w="2966" w:type="dxa"/>
            <w:tcMar>
              <w:top w:w="85" w:type="dxa"/>
              <w:left w:w="90" w:type="dxa"/>
              <w:bottom w:w="85" w:type="dxa"/>
              <w:right w:w="90" w:type="dxa"/>
            </w:tcMar>
            <w:vAlign w:val="center"/>
          </w:tcPr>
          <w:p w14:paraId="11A0BA3E" w14:textId="77777777" w:rsidR="0079789B" w:rsidRDefault="00000000">
            <w:pPr>
              <w:pStyle w:val="TableBody"/>
            </w:pPr>
            <w:r>
              <w:t>Chlorinated intermediates and initial toxicity peaks require control.</w:t>
            </w:r>
          </w:p>
        </w:tc>
        <w:tc>
          <w:tcPr>
            <w:tcW w:w="1944" w:type="dxa"/>
            <w:tcMar>
              <w:top w:w="85" w:type="dxa"/>
              <w:left w:w="90" w:type="dxa"/>
              <w:bottom w:w="85" w:type="dxa"/>
              <w:right w:w="90" w:type="dxa"/>
            </w:tcMar>
            <w:vAlign w:val="center"/>
          </w:tcPr>
          <w:p w14:paraId="5E159338" w14:textId="77777777" w:rsidR="0079789B" w:rsidRDefault="00000000">
            <w:pPr>
              <w:pStyle w:val="TableBody"/>
            </w:pPr>
            <w:r>
              <w:t>(Pan et al., 2017)</w:t>
            </w:r>
          </w:p>
        </w:tc>
      </w:tr>
      <w:tr w:rsidR="0079789B" w14:paraId="5D6A5EE3" w14:textId="77777777">
        <w:trPr>
          <w:jc w:val="center"/>
        </w:trPr>
        <w:tc>
          <w:tcPr>
            <w:tcW w:w="2232" w:type="dxa"/>
            <w:tcMar>
              <w:top w:w="85" w:type="dxa"/>
              <w:left w:w="90" w:type="dxa"/>
              <w:bottom w:w="85" w:type="dxa"/>
              <w:right w:w="90" w:type="dxa"/>
            </w:tcMar>
            <w:vAlign w:val="center"/>
          </w:tcPr>
          <w:p w14:paraId="15E6662D" w14:textId="77777777" w:rsidR="0079789B" w:rsidRDefault="00000000">
            <w:pPr>
              <w:pStyle w:val="TableBody"/>
            </w:pPr>
            <w:r>
              <w:lastRenderedPageBreak/>
              <w:t>Photo-Fenton and photoelectrochemical variants</w:t>
            </w:r>
          </w:p>
        </w:tc>
        <w:tc>
          <w:tcPr>
            <w:tcW w:w="2779" w:type="dxa"/>
            <w:tcMar>
              <w:top w:w="85" w:type="dxa"/>
              <w:left w:w="90" w:type="dxa"/>
              <w:bottom w:w="85" w:type="dxa"/>
              <w:right w:w="90" w:type="dxa"/>
            </w:tcMar>
            <w:vAlign w:val="center"/>
          </w:tcPr>
          <w:p w14:paraId="42EA8452" w14:textId="77777777" w:rsidR="0079789B" w:rsidRDefault="00000000">
            <w:pPr>
              <w:pStyle w:val="TableBody"/>
            </w:pPr>
            <w:r>
              <w:t>Iron cycling and hydroxyl-radical chemistry can be effective in conditioned effluent.</w:t>
            </w:r>
          </w:p>
        </w:tc>
        <w:tc>
          <w:tcPr>
            <w:tcW w:w="2966" w:type="dxa"/>
            <w:tcMar>
              <w:top w:w="85" w:type="dxa"/>
              <w:left w:w="90" w:type="dxa"/>
              <w:bottom w:w="85" w:type="dxa"/>
              <w:right w:w="90" w:type="dxa"/>
            </w:tcMar>
            <w:vAlign w:val="center"/>
          </w:tcPr>
          <w:p w14:paraId="39E30B91" w14:textId="77777777" w:rsidR="0079789B" w:rsidRDefault="00000000">
            <w:pPr>
              <w:pStyle w:val="TableBody"/>
            </w:pPr>
            <w:r>
              <w:t>pH, matrix inhibition, sludge/iron management and added system complexity.</w:t>
            </w:r>
          </w:p>
        </w:tc>
        <w:tc>
          <w:tcPr>
            <w:tcW w:w="1944" w:type="dxa"/>
            <w:tcMar>
              <w:top w:w="85" w:type="dxa"/>
              <w:left w:w="90" w:type="dxa"/>
              <w:bottom w:w="85" w:type="dxa"/>
              <w:right w:w="90" w:type="dxa"/>
            </w:tcMar>
            <w:vAlign w:val="center"/>
          </w:tcPr>
          <w:p w14:paraId="563F81FB" w14:textId="77777777" w:rsidR="0079789B" w:rsidRDefault="00000000">
            <w:pPr>
              <w:pStyle w:val="TableBody"/>
            </w:pPr>
            <w:r>
              <w:t xml:space="preserve">(Dai et al., 2012; </w:t>
            </w:r>
            <w:proofErr w:type="spellStart"/>
            <w:r>
              <w:t>Mitsika</w:t>
            </w:r>
            <w:proofErr w:type="spellEnd"/>
            <w:r>
              <w:t xml:space="preserve"> et al., 2021; Perini et al., 2017)</w:t>
            </w:r>
          </w:p>
        </w:tc>
      </w:tr>
      <w:tr w:rsidR="0079789B" w14:paraId="1282EBDE" w14:textId="77777777">
        <w:trPr>
          <w:jc w:val="center"/>
        </w:trPr>
        <w:tc>
          <w:tcPr>
            <w:tcW w:w="2232" w:type="dxa"/>
            <w:tcMar>
              <w:top w:w="85" w:type="dxa"/>
              <w:left w:w="90" w:type="dxa"/>
              <w:bottom w:w="85" w:type="dxa"/>
              <w:right w:w="90" w:type="dxa"/>
            </w:tcMar>
            <w:vAlign w:val="center"/>
          </w:tcPr>
          <w:p w14:paraId="54C70919" w14:textId="77777777" w:rsidR="0079789B" w:rsidRDefault="00000000">
            <w:pPr>
              <w:pStyle w:val="TableBody"/>
            </w:pPr>
            <w:r>
              <w:t xml:space="preserve">Suspended or </w:t>
            </w:r>
            <w:proofErr w:type="spellStart"/>
            <w:r>
              <w:t>immobilised</w:t>
            </w:r>
            <w:proofErr w:type="spellEnd"/>
            <w:r>
              <w:t xml:space="preserve"> photocatalysts</w:t>
            </w:r>
          </w:p>
        </w:tc>
        <w:tc>
          <w:tcPr>
            <w:tcW w:w="2779" w:type="dxa"/>
            <w:tcMar>
              <w:top w:w="85" w:type="dxa"/>
              <w:left w:w="90" w:type="dxa"/>
              <w:bottom w:w="85" w:type="dxa"/>
              <w:right w:w="90" w:type="dxa"/>
            </w:tcMar>
            <w:vAlign w:val="center"/>
          </w:tcPr>
          <w:p w14:paraId="72B4EDBA" w14:textId="77777777" w:rsidR="0079789B" w:rsidRDefault="00000000">
            <w:pPr>
              <w:pStyle w:val="TableBody"/>
            </w:pPr>
            <w:r>
              <w:t>Catalyst-assisted removal in laboratory and pilot-linked treatment trains.</w:t>
            </w:r>
          </w:p>
        </w:tc>
        <w:tc>
          <w:tcPr>
            <w:tcW w:w="2966" w:type="dxa"/>
            <w:tcMar>
              <w:top w:w="85" w:type="dxa"/>
              <w:left w:w="90" w:type="dxa"/>
              <w:bottom w:w="85" w:type="dxa"/>
              <w:right w:w="90" w:type="dxa"/>
            </w:tcMar>
            <w:vAlign w:val="center"/>
          </w:tcPr>
          <w:p w14:paraId="2210FD1F" w14:textId="77777777" w:rsidR="0079789B" w:rsidRDefault="00000000">
            <w:pPr>
              <w:pStyle w:val="TableBody"/>
            </w:pPr>
            <w:r>
              <w:t>Recovery, ageing, shading, byproducts and field-scale cost.</w:t>
            </w:r>
          </w:p>
        </w:tc>
        <w:tc>
          <w:tcPr>
            <w:tcW w:w="1944" w:type="dxa"/>
            <w:tcMar>
              <w:top w:w="85" w:type="dxa"/>
              <w:left w:w="90" w:type="dxa"/>
              <w:bottom w:w="85" w:type="dxa"/>
              <w:right w:w="90" w:type="dxa"/>
            </w:tcMar>
            <w:vAlign w:val="center"/>
          </w:tcPr>
          <w:p w14:paraId="00CB4E2E" w14:textId="77777777" w:rsidR="0079789B" w:rsidRDefault="00000000">
            <w:pPr>
              <w:pStyle w:val="TableBody"/>
            </w:pPr>
            <w:r>
              <w:t xml:space="preserve">(Friedmann, 2022; Majumder et al., 2024; </w:t>
            </w:r>
            <w:proofErr w:type="spellStart"/>
            <w:r>
              <w:t>Navidpour</w:t>
            </w:r>
            <w:proofErr w:type="spellEnd"/>
            <w:r>
              <w:t xml:space="preserve"> et al., 2024)</w:t>
            </w:r>
          </w:p>
        </w:tc>
      </w:tr>
      <w:tr w:rsidR="0079789B" w14:paraId="7ADA7F85" w14:textId="77777777">
        <w:trPr>
          <w:jc w:val="center"/>
        </w:trPr>
        <w:tc>
          <w:tcPr>
            <w:tcW w:w="2232" w:type="dxa"/>
            <w:tcMar>
              <w:top w:w="85" w:type="dxa"/>
              <w:left w:w="90" w:type="dxa"/>
              <w:bottom w:w="85" w:type="dxa"/>
              <w:right w:w="90" w:type="dxa"/>
            </w:tcMar>
            <w:vAlign w:val="center"/>
          </w:tcPr>
          <w:p w14:paraId="439F5D1F" w14:textId="77777777" w:rsidR="0079789B" w:rsidRDefault="00000000">
            <w:pPr>
              <w:pStyle w:val="TableBody"/>
            </w:pPr>
            <w:r>
              <w:t>Visible-light nanocomposites</w:t>
            </w:r>
          </w:p>
        </w:tc>
        <w:tc>
          <w:tcPr>
            <w:tcW w:w="2779" w:type="dxa"/>
            <w:tcMar>
              <w:top w:w="85" w:type="dxa"/>
              <w:left w:w="90" w:type="dxa"/>
              <w:bottom w:w="85" w:type="dxa"/>
              <w:right w:w="90" w:type="dxa"/>
            </w:tcMar>
            <w:vAlign w:val="center"/>
          </w:tcPr>
          <w:p w14:paraId="53C43974" w14:textId="77777777" w:rsidR="0079789B" w:rsidRDefault="00000000">
            <w:pPr>
              <w:pStyle w:val="TableBody"/>
            </w:pPr>
            <w:r>
              <w:t>Recent materials extend absorption to visible light in targeted tests.</w:t>
            </w:r>
          </w:p>
        </w:tc>
        <w:tc>
          <w:tcPr>
            <w:tcW w:w="2966" w:type="dxa"/>
            <w:tcMar>
              <w:top w:w="85" w:type="dxa"/>
              <w:left w:w="90" w:type="dxa"/>
              <w:bottom w:w="85" w:type="dxa"/>
              <w:right w:w="90" w:type="dxa"/>
            </w:tcMar>
            <w:vAlign w:val="center"/>
          </w:tcPr>
          <w:p w14:paraId="29DCE85D" w14:textId="77777777" w:rsidR="0079789B" w:rsidRDefault="00000000">
            <w:pPr>
              <w:pStyle w:val="TableBody"/>
            </w:pPr>
            <w:r>
              <w:t>Proof-of-concept performance does not establish lifetime, safety or scale.</w:t>
            </w:r>
          </w:p>
        </w:tc>
        <w:tc>
          <w:tcPr>
            <w:tcW w:w="1944" w:type="dxa"/>
            <w:tcMar>
              <w:top w:w="85" w:type="dxa"/>
              <w:left w:w="90" w:type="dxa"/>
              <w:bottom w:w="85" w:type="dxa"/>
              <w:right w:w="90" w:type="dxa"/>
            </w:tcMar>
            <w:vAlign w:val="center"/>
          </w:tcPr>
          <w:p w14:paraId="1ACB0DBB" w14:textId="77777777" w:rsidR="0079789B" w:rsidRDefault="00000000">
            <w:pPr>
              <w:pStyle w:val="TableBody"/>
            </w:pPr>
            <w:r>
              <w:t>(Hosseini, 2025; Srivastava, 2024)</w:t>
            </w:r>
          </w:p>
        </w:tc>
      </w:tr>
    </w:tbl>
    <w:p w14:paraId="2B5B0130" w14:textId="77777777" w:rsidR="0079789B" w:rsidRDefault="00000000">
      <w:pPr>
        <w:pStyle w:val="TableNote"/>
      </w:pPr>
      <w:r>
        <w:t>Note. This table is selective and analytical, not a complete enumeration of the literature.</w:t>
      </w:r>
    </w:p>
    <w:p w14:paraId="5D494941" w14:textId="77777777" w:rsidR="0079789B" w:rsidRDefault="00000000">
      <w:pPr>
        <w:pStyle w:val="Heading1"/>
      </w:pPr>
      <w:r>
        <w:t>7. Transformation Products, Ecotoxicity and the Meaning of Successful Treatment</w:t>
      </w:r>
    </w:p>
    <w:p w14:paraId="5F8C3301" w14:textId="77777777" w:rsidR="0079789B" w:rsidRDefault="00000000">
      <w:pPr>
        <w:pStyle w:val="Heading2"/>
      </w:pPr>
      <w:r>
        <w:t>7.1 Why disappearance of an active pharmaceutical ingredient is insufficient</w:t>
      </w:r>
    </w:p>
    <w:p w14:paraId="208D98E3" w14:textId="77777777" w:rsidR="0079789B" w:rsidRDefault="00000000">
      <w:pPr>
        <w:pStyle w:val="BodyText"/>
      </w:pPr>
      <w:r>
        <w:t>Photochemical treatment converts an analytical problem into a chemical and toxicological problem. The initial substrate may become less abundant, while its carbon, nitrogen and halogen atoms remain distributed among intermediates with altered polarity, persistence or biological activity. Some products can undergo further oxidation to less complex molecules; others accumulate temporarily or bind to natural organic matter. Whether this change constitutes management success depends on what happens after the sampled illumination interval, including the effects of mixing, dilution and discharge. The absence of a parent peak cannot, by itself, distinguish detoxification from redistribution of hazard (Donner et al., 2013; Pan et al., 2017; Raeke et al., 2017).</w:t>
      </w:r>
    </w:p>
    <w:p w14:paraId="732F090A" w14:textId="77777777" w:rsidR="0079789B" w:rsidRDefault="00000000">
      <w:pPr>
        <w:pStyle w:val="BodyText"/>
      </w:pPr>
      <w:r>
        <w:t xml:space="preserve">Carbamazepine provides a particularly instructive case because its photoproducts have been examined beyond a single mass-spectrometric screen. Donner et al. (2013) assessed aquatic ecotoxicity associated with the parent compound and ultraviolet photolysis products, establishing that product formation must be evaluated as an outcome in its own right. Subsequent mechanistic work and ultraviolet/chlorine studies identified competing product pathways that depend on irradiation and co-reactants, including species associated with the transformation of the tricyclic molecular framework (Novikov et al., 2023; Pan et al., 2017). These studies do not imply that every advanced oxidation process invariably produces the same toxic products. Rather, they invalidate the practice of </w:t>
      </w:r>
      <w:proofErr w:type="spellStart"/>
      <w:r>
        <w:t>generalising</w:t>
      </w:r>
      <w:proofErr w:type="spellEnd"/>
      <w:r>
        <w:t xml:space="preserve"> a chemically specific intermediate profile across dissimilar light sources, oxidants and water matrices.</w:t>
      </w:r>
    </w:p>
    <w:p w14:paraId="6E7AB6E5" w14:textId="77777777" w:rsidR="0079789B" w:rsidRDefault="00000000">
      <w:pPr>
        <w:pStyle w:val="BodyText"/>
      </w:pPr>
      <w:r>
        <w:t>A second complication is the temporal profile of risk. Intermediate abundance can peak at a point when parent degradation appears impressive and subsequently decline if treatment continues. Conversely, termination at an operationally convenient endpoint may release the mixture during its most reactive period. Time-resolved sampling is therefore more informative than a comparison of untreated water with one final sample. For compounds with reactive amino, aromatic or heterocyclic groups, parallel measurements of identifiable products and bulk biological responses help reveal whether a temporary hazard maximum occurs. Studies incorporating ecotoxicity alongside antidepressant degradation demonstrate the value of this approach, although their test species and endpoints are not automatically transferable to full aquatic communities (</w:t>
      </w:r>
      <w:proofErr w:type="spellStart"/>
      <w:r>
        <w:t>Drossou</w:t>
      </w:r>
      <w:proofErr w:type="spellEnd"/>
      <w:r>
        <w:t xml:space="preserve"> et al., 2022; Spina et al., 2021).</w:t>
      </w:r>
    </w:p>
    <w:p w14:paraId="74C76F8A" w14:textId="77777777" w:rsidR="0079789B" w:rsidRDefault="00000000">
      <w:pPr>
        <w:pStyle w:val="Heading2"/>
      </w:pPr>
      <w:r>
        <w:t>7.2 Bioassay evidence: indispensable but not self-interpreting</w:t>
      </w:r>
    </w:p>
    <w:p w14:paraId="220F072F" w14:textId="77777777" w:rsidR="0079789B" w:rsidRDefault="00000000">
      <w:pPr>
        <w:pStyle w:val="BodyText"/>
      </w:pPr>
      <w:r>
        <w:t xml:space="preserve">Chemical analysis and bioassays answer different questions. Targeted methods show the concentration of selected parent drugs and known products. High-resolution non-target analysis reveals possible transformation networks but is limited by </w:t>
      </w:r>
      <w:proofErr w:type="spellStart"/>
      <w:r>
        <w:t>ionisation</w:t>
      </w:r>
      <w:proofErr w:type="spellEnd"/>
      <w:r>
        <w:t xml:space="preserve">, extraction recovery and structure-identification confidence. Biological tests integrate the activities of compounds actually present in the sample, including </w:t>
      </w:r>
      <w:r>
        <w:lastRenderedPageBreak/>
        <w:t>unidentified substances. A decline in one bioassay endpoint may therefore coexist with a rise in another, because algal growth, bacterial luminescence, invertebrate survival and chronic developmental outcomes are governed by different sensitivities (Donner et al., 2013; Jelic et al., 2013; Spina et al., 2021).</w:t>
      </w:r>
    </w:p>
    <w:p w14:paraId="359347E7" w14:textId="77777777" w:rsidR="0079789B" w:rsidRDefault="00000000">
      <w:pPr>
        <w:pStyle w:val="BodyText"/>
      </w:pPr>
      <w:r>
        <w:t>An experimentally observed change in toxicity also requires cautious attribution. Residual hydrogen peroxide, chlorine-derived oxidants, dissolved metals, catalyst particles or changes in pH can affect assay organisms independently of drug-derived photoproducts. Such interference is particularly relevant when a potent treatment mixture is transferred directly into an aquatic bioassay. Controls should include treated blank matrix, residual-oxidant quenching where methodologically appropriate and verification that quenching reagents themselves do not change the outcome. Without these controls, a reported increase in acute toxicity could reflect the operational chemistry rather than an intrinsic property of the drug transformation products; a decrease could reflect assay interference or dilution instead of true detoxification (</w:t>
      </w:r>
      <w:proofErr w:type="spellStart"/>
      <w:r>
        <w:t>Mitsika</w:t>
      </w:r>
      <w:proofErr w:type="spellEnd"/>
      <w:r>
        <w:t xml:space="preserve"> et al., 2021; Spina et al., 2021).</w:t>
      </w:r>
    </w:p>
    <w:p w14:paraId="6E3A3ABD" w14:textId="77777777" w:rsidR="0079789B" w:rsidRDefault="00000000">
      <w:pPr>
        <w:pStyle w:val="BodyText"/>
      </w:pPr>
      <w:r>
        <w:t xml:space="preserve">The appropriate interpretation is endpoint-specific. Laboratory toxicity tests can establish biological effects under the exposure conditions tested, but they do not establish an environmental no-effect concentration, human-health threshold or regulatory discharge standard. Mixtures of psychotropics may also interact through mechanisms that are not captured by assays conducted on one isolated drug. Where neurological activity is a concern, chemical structural alerts alone offer an incomplete basis for ecological assessment. Whole-mixture assessment, targeted product analysis and longer-duration endpoints are best regarded as complementary evidence streams rather than interchangeable substitutes (Donner et al., 2013; </w:t>
      </w:r>
      <w:proofErr w:type="spellStart"/>
      <w:r>
        <w:t>Nałecz-Jawecki</w:t>
      </w:r>
      <w:proofErr w:type="spellEnd"/>
      <w:r>
        <w:t xml:space="preserve"> et al., 2008).</w:t>
      </w:r>
    </w:p>
    <w:p w14:paraId="4AEC4BFC" w14:textId="77777777" w:rsidR="0079789B" w:rsidRDefault="00000000">
      <w:pPr>
        <w:pStyle w:val="Heading2"/>
      </w:pPr>
      <w:r>
        <w:t>7.3 From molecular hazard to environmental exposure</w:t>
      </w:r>
    </w:p>
    <w:p w14:paraId="662BEEF7" w14:textId="77777777" w:rsidR="0079789B" w:rsidRDefault="00000000">
      <w:pPr>
        <w:pStyle w:val="BodyText"/>
      </w:pPr>
      <w:r>
        <w:t>A complete assessment must connect the intrinsic hazard of products with realistic exposure. Sunlit-water photochemistry alters not only molecular identity but also solubility, partitioning and association with natural organic matter. Raeke et al. (2017) demonstrated photochemically induced association of carbamazepine-derived material with dissolved organic matter, which challenges a simple dissolved-parent mass balance. The consequence is not automatically either safer sequestration or greater ecological risk. Bound residues may be analytically underestimated, may differ in bioavailability and may respond to changing water chemistry. Their environmental relevance requires measurement rather than assumptions based solely on lower dissolved parent concentration.</w:t>
      </w:r>
    </w:p>
    <w:p w14:paraId="3E7B7390" w14:textId="77777777" w:rsidR="0079789B" w:rsidRDefault="00000000">
      <w:pPr>
        <w:pStyle w:val="BodyText"/>
      </w:pPr>
      <w:r>
        <w:t>Photochemical reactors have a related boundary problem. A short experiment that reports near-complete parent conversion can omit post-treatment biodegradation, oxidant carry-over, mixing with receiving water and possible transformation during storage. A wastewater treatment assessment should therefore define its discharge scenario, sampling interval and biologically relevant fraction. Particularly for coastal or low-transparency waters, rates measured in laboratory vessels cannot be carried into the environment without accounting for depth, particulate shielding and hydrological residence time (De Laurentiis et al., 2012; Gornik et al., 2020).</w:t>
      </w:r>
    </w:p>
    <w:p w14:paraId="210D427E" w14:textId="77777777" w:rsidR="0079789B" w:rsidRDefault="00000000">
      <w:pPr>
        <w:pStyle w:val="BodyText"/>
      </w:pPr>
      <w:r>
        <w:t xml:space="preserve">There is no universal toxicological endpoint for the chemically broad category of psychoactive drugs. Carbamazepine-derived products, antidepressant photooxidation mixtures and phenothiazine radical chemistry differ in structure and likely biological targets. A claim that one oxidation technology is “safe” cannot be inferred from a </w:t>
      </w:r>
      <w:proofErr w:type="spellStart"/>
      <w:r>
        <w:t>favourable</w:t>
      </w:r>
      <w:proofErr w:type="spellEnd"/>
      <w:r>
        <w:t xml:space="preserve"> response in an unrelated chemical class. The defensible management endpoint is a predeclared set of chemical and biological measures evaluated on the treated matrix, accompanied by uncertainty about products below detection or outside the assay's sensitivity range. This shift from nominal removal to residual hazard is the principal prerequisite for translating laboratory photochemistry into environmental protection.</w:t>
      </w:r>
    </w:p>
    <w:p w14:paraId="14BC93D3" w14:textId="77777777" w:rsidR="0079789B" w:rsidRDefault="00000000">
      <w:pPr>
        <w:pStyle w:val="Heading1"/>
      </w:pPr>
      <w:r>
        <w:lastRenderedPageBreak/>
        <w:t>8. Monitoring, Exposure Prevention and Governance</w:t>
      </w:r>
    </w:p>
    <w:p w14:paraId="217FB409" w14:textId="77777777" w:rsidR="0079789B" w:rsidRDefault="00000000">
      <w:pPr>
        <w:pStyle w:val="Heading2"/>
      </w:pPr>
      <w:r>
        <w:t>8.1 Wastewater surveillance and the preservation of source information</w:t>
      </w:r>
    </w:p>
    <w:p w14:paraId="3B2A8174" w14:textId="77777777" w:rsidR="0079789B" w:rsidRDefault="00000000">
      <w:pPr>
        <w:pStyle w:val="BodyText"/>
      </w:pPr>
      <w:r>
        <w:t xml:space="preserve">In wastewater-based surveillance, the target is often not removal but preservation of interpretable information about community drug consumption. Parent compounds and metabolites may enter sewer networks at different ratios and transform during transport. The measured concentration at a treatment-plant inlet reflects consumption, excretion, disposal, dilution, sewer residence time and chemical or biological degradation. Photoreaction can contribute after water or samples encounter sunlight; in many enclosed sewers, other pathways may dominate. Studies of in-sewer stability and sample storage reveal why a monitoring </w:t>
      </w:r>
      <w:proofErr w:type="spellStart"/>
      <w:r>
        <w:t>programme</w:t>
      </w:r>
      <w:proofErr w:type="spellEnd"/>
      <w:r>
        <w:t xml:space="preserve"> cannot assume that the molecule observed at the sampling point is identical to the molecule originally excreted (McCall et al., 2016; Thai et al., 2014).</w:t>
      </w:r>
    </w:p>
    <w:p w14:paraId="68B52437" w14:textId="77777777" w:rsidR="0079789B" w:rsidRDefault="00000000">
      <w:pPr>
        <w:pStyle w:val="BodyText"/>
      </w:pPr>
      <w:r>
        <w:t>Cocaine provides a clear illustration of the difference between chemical evidence and epidemiological inference. Investigations of cocaine and benzoylecgonine transformation have documented products formed under aquatic environmental conditions, while studies of illicit-drug stability show that not all target markers are conserved during transport or storage (Bijlsma et al., 2013; Thai et al., 2014). A degradation product is therefore not automatically a unique biomarker of consumption. Conversely, disappearance of one precursor can distort apparent relative use if the correction model assumes identical stability across drugs. Accurate interpretation requires attention to compound-specific chemistry and to the conditions between excretion, sampling and analysis.</w:t>
      </w:r>
    </w:p>
    <w:p w14:paraId="083B5376" w14:textId="77777777" w:rsidR="0079789B" w:rsidRDefault="00000000">
      <w:pPr>
        <w:pStyle w:val="BodyText"/>
      </w:pPr>
      <w:r>
        <w:t>Field protocols should protect samples from unintended irradiation when the analytical purpose is to quantify intact compounds. Cold storage, appropriate preservation, containers with suitable light transmission properties and control of holding time must be validated for each panel rather than copied without testing from an unrelated chemical class. X. Lin et al. (2021) systematically assessed stability of selected pharmaceuticals, illicit drugs and metabolites in wastewater samples and highlighted the importance of sample-specific stability evaluation. These results support validated preservation procedures; they do not supply universal decay factors for all sewage types. The distinction between in-sewer reactions and reactions occurring after collection should be retained in analytical quality assurance (X. Lin et al., 2021; McCall et al., 2016).</w:t>
      </w:r>
    </w:p>
    <w:p w14:paraId="66FD848C" w14:textId="77777777" w:rsidR="0079789B" w:rsidRDefault="00000000">
      <w:pPr>
        <w:pStyle w:val="BodyText"/>
      </w:pPr>
      <w:r>
        <w:t>A related issue arises when effluent photodegradation is used to infer treatment performance from measured marker concentrations. Lower concentrations downstream of an ultraviolet system could reflect transformation of the target, yet monitoring instruments may fail to measure the corresponding products. If the question is environmental risk, the surveillance panel should include a subset of structurally informative products and biological endpoints. If the question is community consumption, the preferred strategy is to sample at an appropriate upstream point before treatment and preserve the chemical signal. These are distinct measurement designs even when the same analytical platform is used (Bijlsma et al., 2013; McCall et al., 2016).</w:t>
      </w:r>
    </w:p>
    <w:p w14:paraId="26D2CEEB" w14:textId="77777777" w:rsidR="0079789B" w:rsidRDefault="00000000">
      <w:pPr>
        <w:pStyle w:val="Heading2"/>
      </w:pPr>
      <w:r>
        <w:t>8.2 Medicinal products, phototoxicity and prevention rather than treatment</w:t>
      </w:r>
    </w:p>
    <w:p w14:paraId="0058E1F8" w14:textId="77777777" w:rsidR="0079789B" w:rsidRDefault="00000000">
      <w:pPr>
        <w:pStyle w:val="BodyText"/>
      </w:pPr>
      <w:r>
        <w:t xml:space="preserve">Pharmaceutical photostability and patient photosensitivity represent another domain in which reducing unwanted light exposure may be more beneficial than promoting a photoreaction. Early experimental work on chlorpromazine and related phenothiazines identified photoinduced radicals and biological effects associated with illuminated drug molecules, providing mechanistic evidence that photochemistry can initiate rather than eliminate hazard (Chignell et al., 1985). Studies of phenothiazine metabolites also reported differential phototoxic responses, implying that the molecular products of light exposure cannot be assumed </w:t>
      </w:r>
      <w:r>
        <w:lastRenderedPageBreak/>
        <w:t>equivalent to the parent drug (Ljunggren &amp; Möller, 1977). These are experimental observations rather than estimates of population-level adverse-event rates.</w:t>
      </w:r>
    </w:p>
    <w:p w14:paraId="6CE19D57" w14:textId="77777777" w:rsidR="0079789B" w:rsidRDefault="00000000">
      <w:pPr>
        <w:pStyle w:val="BodyText"/>
      </w:pPr>
      <w:r>
        <w:t xml:space="preserve">The practical relevance is to distinguish the locations and objectives of intervention. Storage controls and suitable packaging protect pharmaceutical quality. Clinical recognition of photosensitivity concerns a different exposure pathway, governed by drug dose, skin concentration, radiation spectrum and individual susceptibility. Environmental oxidation systems address residues after use. A reactor result cannot establish how a packaged medicine should be stored, and an in-vitro phototoxicity finding cannot quantify the risk faced by a particular patient. The evidence should be carried only as far as its original experimental system permits (Chignell et al., 1985; </w:t>
      </w:r>
      <w:proofErr w:type="spellStart"/>
      <w:r>
        <w:t>Nałecz-Jawecki</w:t>
      </w:r>
      <w:proofErr w:type="spellEnd"/>
      <w:r>
        <w:t xml:space="preserve"> et al., 2008).</w:t>
      </w:r>
    </w:p>
    <w:p w14:paraId="265DFFEE" w14:textId="77777777" w:rsidR="0079789B" w:rsidRDefault="00000000">
      <w:pPr>
        <w:pStyle w:val="BodyText"/>
      </w:pPr>
      <w:r>
        <w:t xml:space="preserve">Psychoactive compounds also differ in their probability of direct light absorption within the relevant environment. A label based solely on therapeutic class would conceal that diversity. Product-specific stability studies, validated analytical impurity profiles and clinically appropriate risk-management procedures are therefore necessary before making actionable patient or formulation recommendations. Environmental photochemistry offers mechanistic insights but is not itself a substitute for pharmaceutical stability regulation or clinical evidence (Calisto et al., 2011; </w:t>
      </w:r>
      <w:proofErr w:type="spellStart"/>
      <w:r>
        <w:t>Trawiński</w:t>
      </w:r>
      <w:proofErr w:type="spellEnd"/>
      <w:r>
        <w:t xml:space="preserve"> &amp; </w:t>
      </w:r>
      <w:proofErr w:type="spellStart"/>
      <w:r>
        <w:t>Skibiński</w:t>
      </w:r>
      <w:proofErr w:type="spellEnd"/>
      <w:r>
        <w:t>, 2017).</w:t>
      </w:r>
    </w:p>
    <w:p w14:paraId="7F300FEB" w14:textId="77777777" w:rsidR="0079789B" w:rsidRDefault="00000000">
      <w:pPr>
        <w:pStyle w:val="Heading2"/>
      </w:pPr>
      <w:r>
        <w:t>8.3 Evidence requirements for regulatory and infrastructure choices</w:t>
      </w:r>
    </w:p>
    <w:p w14:paraId="71DFAEFE" w14:textId="77777777" w:rsidR="0079789B" w:rsidRDefault="00000000">
      <w:pPr>
        <w:pStyle w:val="BodyText"/>
      </w:pPr>
      <w:r>
        <w:t xml:space="preserve">For wastewater operators and regulators, the central task is to translate chemical possibility into reproducible performance. A technology should not be ranked as preferable merely because it achieves higher percentage removal of one psychotropic medicine under artificial irradiation. Valid comparison requires a functional treatment objective: a defined influent, treatment rate and discharge target, combined with residual hazard, energy, reagent and maintenance burdens. If no legally applicable threshold exists for a particular product mixture, the limitation should be stated rather than replaced by an invented numerical standard. Literature on ultraviolet oxidation and photocatalysis indicates substantial promise, but reproducibility across operating conditions is less established than bench-scale effectiveness (Friedmann, 2022; </w:t>
      </w:r>
      <w:proofErr w:type="spellStart"/>
      <w:r>
        <w:t>Navidpour</w:t>
      </w:r>
      <w:proofErr w:type="spellEnd"/>
      <w:r>
        <w:t xml:space="preserve"> et al., 2024; Srivastava, 2024).</w:t>
      </w:r>
    </w:p>
    <w:p w14:paraId="2D493398" w14:textId="77777777" w:rsidR="0079789B" w:rsidRDefault="00000000">
      <w:pPr>
        <w:pStyle w:val="BodyText"/>
      </w:pPr>
      <w:r>
        <w:t>The circularity of proposed treatment solutions should also be tested. Catalyst manufacture, frequent lamp replacement, iron sludge production, chemical storage and energy demand carry environmental impacts of their own. A more powerful oxidation step may reduce target residues while increasing upstream material and energy burdens; a solar process may use fewer electrical photons but require more land and experience weather-dependent throughput. These trade-offs cannot be resolved from a single degradation rate. Integrated biological–photochemical pilots help define a credible system boundary, but a pilot operated at one facility remains evidence of site-specific feasibility rather than a complete life-cycle comparison (Majumder et al., 2024; Zou et al., 2020).</w:t>
      </w:r>
    </w:p>
    <w:p w14:paraId="6C4D28A8" w14:textId="77777777" w:rsidR="0079789B" w:rsidRDefault="00000000">
      <w:pPr>
        <w:pStyle w:val="BodyText"/>
      </w:pPr>
      <w:r>
        <w:t>Meaningful performance reporting would couple parent loss with selected product concentrations, residual toxicity, identifiable oxidant or catalyst emissions and documented operating requirements. Long-term monitoring is particularly important when influent composition varies by season, hospital activity or changes in pharmaceutical consumption. Where operation depends on natural sunlight, seasonal light budgets and changes in weather must be made explicit. Technology acceptance should follow repeated observations under a stated treatment objective, not an unqualified label of “green” or “complete” degradation (Dai et al., 2012; Friedmann, 2022).</w:t>
      </w:r>
    </w:p>
    <w:p w14:paraId="671D9816" w14:textId="77777777" w:rsidR="0079789B" w:rsidRDefault="00000000">
      <w:pPr>
        <w:pStyle w:val="BodyText"/>
      </w:pPr>
      <w:r>
        <w:t xml:space="preserve">Table 5 </w:t>
      </w:r>
      <w:proofErr w:type="spellStart"/>
      <w:r>
        <w:t>synthesises</w:t>
      </w:r>
      <w:proofErr w:type="spellEnd"/>
      <w:r>
        <w:t xml:space="preserve"> how measurement objectives shape suitable controls and what kind of claim each monitoring </w:t>
      </w:r>
      <w:proofErr w:type="spellStart"/>
      <w:r>
        <w:t>programme</w:t>
      </w:r>
      <w:proofErr w:type="spellEnd"/>
      <w:r>
        <w:t xml:space="preserve"> can defend. Its central implication is that neither the most sophisticated instrument nor the highest parent-removal rate compensates for a poorly defined endpoint.</w:t>
      </w:r>
    </w:p>
    <w:p w14:paraId="756062EC" w14:textId="77777777" w:rsidR="0079789B" w:rsidRDefault="00000000">
      <w:pPr>
        <w:pStyle w:val="TableCaption"/>
      </w:pPr>
      <w:r>
        <w:lastRenderedPageBreak/>
        <w:t>Table 5. Priority research and implementation decisions</w:t>
      </w:r>
    </w:p>
    <w:tbl>
      <w:tblPr>
        <w:tblW w:w="0" w:type="auto"/>
        <w:jc w:val="center"/>
        <w:tblLayout w:type="fixed"/>
        <w:tblLook w:val="04A0" w:firstRow="1" w:lastRow="0" w:firstColumn="1" w:lastColumn="0" w:noHBand="0" w:noVBand="1"/>
      </w:tblPr>
      <w:tblGrid>
        <w:gridCol w:w="2016"/>
        <w:gridCol w:w="3816"/>
        <w:gridCol w:w="2981"/>
        <w:gridCol w:w="1973"/>
      </w:tblGrid>
      <w:tr w:rsidR="0079789B" w14:paraId="6A03A53D" w14:textId="77777777">
        <w:trPr>
          <w:tblHeader/>
          <w:jc w:val="center"/>
        </w:trPr>
        <w:tc>
          <w:tcPr>
            <w:tcW w:w="2016" w:type="dxa"/>
            <w:shd w:val="clear" w:color="auto" w:fill="EDEFF2"/>
            <w:tcMar>
              <w:top w:w="85" w:type="dxa"/>
              <w:left w:w="90" w:type="dxa"/>
              <w:bottom w:w="85" w:type="dxa"/>
              <w:right w:w="90" w:type="dxa"/>
            </w:tcMar>
          </w:tcPr>
          <w:p w14:paraId="0DBFFD43" w14:textId="77777777" w:rsidR="0079789B" w:rsidRDefault="00000000">
            <w:pPr>
              <w:pStyle w:val="TableBody"/>
            </w:pPr>
            <w:r>
              <w:rPr>
                <w:b/>
              </w:rPr>
              <w:t>Priority</w:t>
            </w:r>
          </w:p>
        </w:tc>
        <w:tc>
          <w:tcPr>
            <w:tcW w:w="3816" w:type="dxa"/>
            <w:shd w:val="clear" w:color="auto" w:fill="EDEFF2"/>
            <w:tcMar>
              <w:top w:w="85" w:type="dxa"/>
              <w:left w:w="90" w:type="dxa"/>
              <w:bottom w:w="85" w:type="dxa"/>
              <w:right w:w="90" w:type="dxa"/>
            </w:tcMar>
          </w:tcPr>
          <w:p w14:paraId="19639AD4" w14:textId="77777777" w:rsidR="0079789B" w:rsidRDefault="00000000">
            <w:pPr>
              <w:pStyle w:val="TableBody"/>
            </w:pPr>
            <w:r>
              <w:rPr>
                <w:b/>
              </w:rPr>
              <w:t>Study design / comparison needed</w:t>
            </w:r>
          </w:p>
        </w:tc>
        <w:tc>
          <w:tcPr>
            <w:tcW w:w="2981" w:type="dxa"/>
            <w:shd w:val="clear" w:color="auto" w:fill="EDEFF2"/>
            <w:tcMar>
              <w:top w:w="85" w:type="dxa"/>
              <w:left w:w="90" w:type="dxa"/>
              <w:bottom w:w="85" w:type="dxa"/>
              <w:right w:w="90" w:type="dxa"/>
            </w:tcMar>
          </w:tcPr>
          <w:p w14:paraId="1D37864B" w14:textId="77777777" w:rsidR="0079789B" w:rsidRDefault="00000000">
            <w:pPr>
              <w:pStyle w:val="TableBody"/>
            </w:pPr>
            <w:r>
              <w:rPr>
                <w:b/>
              </w:rPr>
              <w:t>Decision-relevant outcome</w:t>
            </w:r>
          </w:p>
        </w:tc>
        <w:tc>
          <w:tcPr>
            <w:tcW w:w="1973" w:type="dxa"/>
            <w:shd w:val="clear" w:color="auto" w:fill="EDEFF2"/>
            <w:tcMar>
              <w:top w:w="85" w:type="dxa"/>
              <w:left w:w="90" w:type="dxa"/>
              <w:bottom w:w="85" w:type="dxa"/>
              <w:right w:w="90" w:type="dxa"/>
            </w:tcMar>
          </w:tcPr>
          <w:p w14:paraId="7627A576" w14:textId="77777777" w:rsidR="0079789B" w:rsidRDefault="00000000">
            <w:pPr>
              <w:pStyle w:val="TableBody"/>
            </w:pPr>
            <w:r>
              <w:rPr>
                <w:b/>
              </w:rPr>
              <w:t>Supporting references</w:t>
            </w:r>
          </w:p>
        </w:tc>
      </w:tr>
      <w:tr w:rsidR="0079789B" w14:paraId="0E106637" w14:textId="77777777">
        <w:trPr>
          <w:jc w:val="center"/>
        </w:trPr>
        <w:tc>
          <w:tcPr>
            <w:tcW w:w="2016" w:type="dxa"/>
            <w:tcMar>
              <w:top w:w="85" w:type="dxa"/>
              <w:left w:w="90" w:type="dxa"/>
              <w:bottom w:w="85" w:type="dxa"/>
              <w:right w:w="90" w:type="dxa"/>
            </w:tcMar>
            <w:vAlign w:val="center"/>
          </w:tcPr>
          <w:p w14:paraId="28E6FB4A" w14:textId="77777777" w:rsidR="0079789B" w:rsidRDefault="00000000">
            <w:pPr>
              <w:pStyle w:val="TableBody"/>
            </w:pPr>
            <w:r>
              <w:t>Transformation-product safety</w:t>
            </w:r>
          </w:p>
        </w:tc>
        <w:tc>
          <w:tcPr>
            <w:tcW w:w="3816" w:type="dxa"/>
            <w:tcMar>
              <w:top w:w="85" w:type="dxa"/>
              <w:left w:w="90" w:type="dxa"/>
              <w:bottom w:w="85" w:type="dxa"/>
              <w:right w:w="90" w:type="dxa"/>
            </w:tcMar>
            <w:vAlign w:val="center"/>
          </w:tcPr>
          <w:p w14:paraId="40430F76" w14:textId="77777777" w:rsidR="0079789B" w:rsidRDefault="00000000">
            <w:pPr>
              <w:pStyle w:val="TableBody"/>
            </w:pPr>
            <w:r>
              <w:t>Time-resolved high-resolution MS plus mixture bioassays in authentic effluent.</w:t>
            </w:r>
          </w:p>
        </w:tc>
        <w:tc>
          <w:tcPr>
            <w:tcW w:w="2981" w:type="dxa"/>
            <w:tcMar>
              <w:top w:w="85" w:type="dxa"/>
              <w:left w:w="90" w:type="dxa"/>
              <w:bottom w:w="85" w:type="dxa"/>
              <w:right w:w="90" w:type="dxa"/>
            </w:tcMar>
            <w:vAlign w:val="center"/>
          </w:tcPr>
          <w:p w14:paraId="67B509F1" w14:textId="77777777" w:rsidR="0079789B" w:rsidRDefault="00000000">
            <w:pPr>
              <w:pStyle w:val="TableBody"/>
            </w:pPr>
            <w:r>
              <w:t>Toxicity-weighted product profile and residual hazard at discharge.</w:t>
            </w:r>
          </w:p>
        </w:tc>
        <w:tc>
          <w:tcPr>
            <w:tcW w:w="1973" w:type="dxa"/>
            <w:tcMar>
              <w:top w:w="85" w:type="dxa"/>
              <w:left w:w="90" w:type="dxa"/>
              <w:bottom w:w="85" w:type="dxa"/>
              <w:right w:w="90" w:type="dxa"/>
            </w:tcMar>
            <w:vAlign w:val="center"/>
          </w:tcPr>
          <w:p w14:paraId="274B47DB" w14:textId="77777777" w:rsidR="0079789B" w:rsidRDefault="00000000">
            <w:pPr>
              <w:pStyle w:val="TableBody"/>
            </w:pPr>
            <w:r>
              <w:t>(Donner et al., 2013; Jiménez-Holgado et al., 2021; Pan et al., 2017)</w:t>
            </w:r>
          </w:p>
        </w:tc>
      </w:tr>
      <w:tr w:rsidR="0079789B" w14:paraId="429805A5" w14:textId="77777777">
        <w:trPr>
          <w:jc w:val="center"/>
        </w:trPr>
        <w:tc>
          <w:tcPr>
            <w:tcW w:w="2016" w:type="dxa"/>
            <w:tcMar>
              <w:top w:w="85" w:type="dxa"/>
              <w:left w:w="90" w:type="dxa"/>
              <w:bottom w:w="85" w:type="dxa"/>
              <w:right w:w="90" w:type="dxa"/>
            </w:tcMar>
            <w:vAlign w:val="center"/>
          </w:tcPr>
          <w:p w14:paraId="262E14AA" w14:textId="77777777" w:rsidR="0079789B" w:rsidRDefault="00000000">
            <w:pPr>
              <w:pStyle w:val="TableBody"/>
            </w:pPr>
            <w:r>
              <w:t>Environmental realism</w:t>
            </w:r>
          </w:p>
        </w:tc>
        <w:tc>
          <w:tcPr>
            <w:tcW w:w="3816" w:type="dxa"/>
            <w:tcMar>
              <w:top w:w="85" w:type="dxa"/>
              <w:left w:w="90" w:type="dxa"/>
              <w:bottom w:w="85" w:type="dxa"/>
              <w:right w:w="90" w:type="dxa"/>
            </w:tcMar>
            <w:vAlign w:val="center"/>
          </w:tcPr>
          <w:p w14:paraId="50DB7893" w14:textId="77777777" w:rsidR="0079789B" w:rsidRDefault="00000000">
            <w:pPr>
              <w:pStyle w:val="TableBody"/>
            </w:pPr>
            <w:r>
              <w:t>Parallel sunlit microcosms and dark controls across seasons and water types.</w:t>
            </w:r>
          </w:p>
        </w:tc>
        <w:tc>
          <w:tcPr>
            <w:tcW w:w="2981" w:type="dxa"/>
            <w:tcMar>
              <w:top w:w="85" w:type="dxa"/>
              <w:left w:w="90" w:type="dxa"/>
              <w:bottom w:w="85" w:type="dxa"/>
              <w:right w:w="90" w:type="dxa"/>
            </w:tcMar>
            <w:vAlign w:val="center"/>
          </w:tcPr>
          <w:p w14:paraId="0EAD8FCC" w14:textId="77777777" w:rsidR="0079789B" w:rsidRDefault="00000000">
            <w:pPr>
              <w:pStyle w:val="TableBody"/>
            </w:pPr>
            <w:r>
              <w:t>Transportable half-life estimates and validated model uncertainty.</w:t>
            </w:r>
          </w:p>
        </w:tc>
        <w:tc>
          <w:tcPr>
            <w:tcW w:w="1973" w:type="dxa"/>
            <w:tcMar>
              <w:top w:w="85" w:type="dxa"/>
              <w:left w:w="90" w:type="dxa"/>
              <w:bottom w:w="85" w:type="dxa"/>
              <w:right w:w="90" w:type="dxa"/>
            </w:tcMar>
            <w:vAlign w:val="center"/>
          </w:tcPr>
          <w:p w14:paraId="33724A45" w14:textId="77777777" w:rsidR="0079789B" w:rsidRDefault="00000000">
            <w:pPr>
              <w:pStyle w:val="TableBody"/>
            </w:pPr>
            <w:r>
              <w:t>(De Laurentiis et al., 2012; Guo et al., 2022)</w:t>
            </w:r>
          </w:p>
        </w:tc>
      </w:tr>
      <w:tr w:rsidR="0079789B" w14:paraId="65039358" w14:textId="77777777">
        <w:trPr>
          <w:jc w:val="center"/>
        </w:trPr>
        <w:tc>
          <w:tcPr>
            <w:tcW w:w="2016" w:type="dxa"/>
            <w:tcMar>
              <w:top w:w="85" w:type="dxa"/>
              <w:left w:w="90" w:type="dxa"/>
              <w:bottom w:w="85" w:type="dxa"/>
              <w:right w:w="90" w:type="dxa"/>
            </w:tcMar>
            <w:vAlign w:val="center"/>
          </w:tcPr>
          <w:p w14:paraId="5D1D56D8" w14:textId="77777777" w:rsidR="0079789B" w:rsidRDefault="00000000">
            <w:pPr>
              <w:pStyle w:val="TableBody"/>
            </w:pPr>
            <w:r>
              <w:t>Process benchmarking</w:t>
            </w:r>
          </w:p>
        </w:tc>
        <w:tc>
          <w:tcPr>
            <w:tcW w:w="3816" w:type="dxa"/>
            <w:tcMar>
              <w:top w:w="85" w:type="dxa"/>
              <w:left w:w="90" w:type="dxa"/>
              <w:bottom w:w="85" w:type="dxa"/>
              <w:right w:w="90" w:type="dxa"/>
            </w:tcMar>
            <w:vAlign w:val="center"/>
          </w:tcPr>
          <w:p w14:paraId="49997662" w14:textId="77777777" w:rsidR="0079789B" w:rsidRDefault="00000000">
            <w:pPr>
              <w:pStyle w:val="TableBody"/>
            </w:pPr>
            <w:r>
              <w:t>Matched flow-through pilots under realistic matrix and dose loads.</w:t>
            </w:r>
          </w:p>
        </w:tc>
        <w:tc>
          <w:tcPr>
            <w:tcW w:w="2981" w:type="dxa"/>
            <w:tcMar>
              <w:top w:w="85" w:type="dxa"/>
              <w:left w:w="90" w:type="dxa"/>
              <w:bottom w:w="85" w:type="dxa"/>
              <w:right w:w="90" w:type="dxa"/>
            </w:tcMar>
            <w:vAlign w:val="center"/>
          </w:tcPr>
          <w:p w14:paraId="1F5F663E" w14:textId="77777777" w:rsidR="0079789B" w:rsidRDefault="00000000">
            <w:pPr>
              <w:pStyle w:val="TableBody"/>
            </w:pPr>
            <w:r>
              <w:t>Energy and reagent consumption per safely removed contaminant.</w:t>
            </w:r>
          </w:p>
        </w:tc>
        <w:tc>
          <w:tcPr>
            <w:tcW w:w="1973" w:type="dxa"/>
            <w:tcMar>
              <w:top w:w="85" w:type="dxa"/>
              <w:left w:w="90" w:type="dxa"/>
              <w:bottom w:w="85" w:type="dxa"/>
              <w:right w:w="90" w:type="dxa"/>
            </w:tcMar>
            <w:vAlign w:val="center"/>
          </w:tcPr>
          <w:p w14:paraId="29E22DCB" w14:textId="77777777" w:rsidR="0079789B" w:rsidRDefault="00000000">
            <w:pPr>
              <w:pStyle w:val="TableBody"/>
            </w:pPr>
            <w:r>
              <w:t xml:space="preserve">(Majumder et al., 2024; </w:t>
            </w:r>
            <w:proofErr w:type="spellStart"/>
            <w:r>
              <w:t>Navidpour</w:t>
            </w:r>
            <w:proofErr w:type="spellEnd"/>
            <w:r>
              <w:t xml:space="preserve"> et al., 2024)</w:t>
            </w:r>
          </w:p>
        </w:tc>
      </w:tr>
      <w:tr w:rsidR="0079789B" w14:paraId="7E3A79B8" w14:textId="77777777">
        <w:trPr>
          <w:jc w:val="center"/>
        </w:trPr>
        <w:tc>
          <w:tcPr>
            <w:tcW w:w="2016" w:type="dxa"/>
            <w:tcMar>
              <w:top w:w="85" w:type="dxa"/>
              <w:left w:w="90" w:type="dxa"/>
              <w:bottom w:w="85" w:type="dxa"/>
              <w:right w:w="90" w:type="dxa"/>
            </w:tcMar>
            <w:vAlign w:val="center"/>
          </w:tcPr>
          <w:p w14:paraId="55388590" w14:textId="77777777" w:rsidR="0079789B" w:rsidRDefault="00000000">
            <w:pPr>
              <w:pStyle w:val="TableBody"/>
            </w:pPr>
            <w:r>
              <w:t>Psychoactive marker integrity</w:t>
            </w:r>
          </w:p>
        </w:tc>
        <w:tc>
          <w:tcPr>
            <w:tcW w:w="3816" w:type="dxa"/>
            <w:tcMar>
              <w:top w:w="85" w:type="dxa"/>
              <w:left w:w="90" w:type="dxa"/>
              <w:bottom w:w="85" w:type="dxa"/>
              <w:right w:w="90" w:type="dxa"/>
            </w:tcMar>
            <w:vAlign w:val="center"/>
          </w:tcPr>
          <w:p w14:paraId="7468C30B" w14:textId="77777777" w:rsidR="0079789B" w:rsidRDefault="00000000">
            <w:pPr>
              <w:pStyle w:val="TableBody"/>
            </w:pPr>
            <w:r>
              <w:t>Matched in-sewer, in-bottle and irradiated-sample preservation experiments.</w:t>
            </w:r>
          </w:p>
        </w:tc>
        <w:tc>
          <w:tcPr>
            <w:tcW w:w="2981" w:type="dxa"/>
            <w:tcMar>
              <w:top w:w="85" w:type="dxa"/>
              <w:left w:w="90" w:type="dxa"/>
              <w:bottom w:w="85" w:type="dxa"/>
              <w:right w:w="90" w:type="dxa"/>
            </w:tcMar>
            <w:vAlign w:val="center"/>
          </w:tcPr>
          <w:p w14:paraId="720F861D" w14:textId="77777777" w:rsidR="0079789B" w:rsidRDefault="00000000">
            <w:pPr>
              <w:pStyle w:val="TableBody"/>
            </w:pPr>
            <w:r>
              <w:t>Uncertainty bounds for wastewater consumption estimates.</w:t>
            </w:r>
          </w:p>
        </w:tc>
        <w:tc>
          <w:tcPr>
            <w:tcW w:w="1973" w:type="dxa"/>
            <w:tcMar>
              <w:top w:w="85" w:type="dxa"/>
              <w:left w:w="90" w:type="dxa"/>
              <w:bottom w:w="85" w:type="dxa"/>
              <w:right w:w="90" w:type="dxa"/>
            </w:tcMar>
            <w:vAlign w:val="center"/>
          </w:tcPr>
          <w:p w14:paraId="5898EFF5" w14:textId="77777777" w:rsidR="0079789B" w:rsidRDefault="00000000">
            <w:pPr>
              <w:pStyle w:val="TableBody"/>
            </w:pPr>
            <w:r>
              <w:t>(X. Lin et al., 2021; McCall et al., 2016)</w:t>
            </w:r>
          </w:p>
        </w:tc>
      </w:tr>
      <w:tr w:rsidR="0079789B" w14:paraId="6AC9F50F" w14:textId="77777777">
        <w:trPr>
          <w:jc w:val="center"/>
        </w:trPr>
        <w:tc>
          <w:tcPr>
            <w:tcW w:w="2016" w:type="dxa"/>
            <w:tcMar>
              <w:top w:w="85" w:type="dxa"/>
              <w:left w:w="90" w:type="dxa"/>
              <w:bottom w:w="85" w:type="dxa"/>
              <w:right w:w="90" w:type="dxa"/>
            </w:tcMar>
            <w:vAlign w:val="center"/>
          </w:tcPr>
          <w:p w14:paraId="245C8161" w14:textId="77777777" w:rsidR="0079789B" w:rsidRDefault="00000000">
            <w:pPr>
              <w:pStyle w:val="TableBody"/>
            </w:pPr>
            <w:r>
              <w:t>Human phototoxicity</w:t>
            </w:r>
          </w:p>
        </w:tc>
        <w:tc>
          <w:tcPr>
            <w:tcW w:w="3816" w:type="dxa"/>
            <w:tcMar>
              <w:top w:w="85" w:type="dxa"/>
              <w:left w:w="90" w:type="dxa"/>
              <w:bottom w:w="85" w:type="dxa"/>
              <w:right w:w="90" w:type="dxa"/>
            </w:tcMar>
            <w:vAlign w:val="center"/>
          </w:tcPr>
          <w:p w14:paraId="0BDC31B2" w14:textId="77777777" w:rsidR="0079789B" w:rsidRDefault="00000000">
            <w:pPr>
              <w:pStyle w:val="TableBody"/>
            </w:pPr>
            <w:r>
              <w:t>Clinical-quality pharmacovigilance linked with wavelength-aware laboratory testing.</w:t>
            </w:r>
          </w:p>
        </w:tc>
        <w:tc>
          <w:tcPr>
            <w:tcW w:w="2981" w:type="dxa"/>
            <w:tcMar>
              <w:top w:w="85" w:type="dxa"/>
              <w:left w:w="90" w:type="dxa"/>
              <w:bottom w:w="85" w:type="dxa"/>
              <w:right w:w="90" w:type="dxa"/>
            </w:tcMar>
            <w:vAlign w:val="center"/>
          </w:tcPr>
          <w:p w14:paraId="196B29C5" w14:textId="77777777" w:rsidR="0079789B" w:rsidRDefault="00000000">
            <w:pPr>
              <w:pStyle w:val="TableBody"/>
            </w:pPr>
            <w:r>
              <w:t>Risk-stratified counselling and formulation protection without overclaiming efficacy.</w:t>
            </w:r>
          </w:p>
        </w:tc>
        <w:tc>
          <w:tcPr>
            <w:tcW w:w="1973" w:type="dxa"/>
            <w:tcMar>
              <w:top w:w="85" w:type="dxa"/>
              <w:left w:w="90" w:type="dxa"/>
              <w:bottom w:w="85" w:type="dxa"/>
              <w:right w:w="90" w:type="dxa"/>
            </w:tcMar>
            <w:vAlign w:val="center"/>
          </w:tcPr>
          <w:p w14:paraId="3F2E3592" w14:textId="77777777" w:rsidR="0079789B" w:rsidRDefault="00000000">
            <w:pPr>
              <w:pStyle w:val="TableBody"/>
            </w:pPr>
            <w:r>
              <w:t>(Chignell et al., 1985; Ljunggren &amp; Möller, 1977)</w:t>
            </w:r>
          </w:p>
        </w:tc>
      </w:tr>
    </w:tbl>
    <w:p w14:paraId="60CB242D" w14:textId="77777777" w:rsidR="0079789B" w:rsidRDefault="00000000">
      <w:pPr>
        <w:pStyle w:val="TableNote"/>
      </w:pPr>
      <w:r>
        <w:t>Note. This table is selective and analytical, not a complete enumeration of the literature.</w:t>
      </w:r>
    </w:p>
    <w:p w14:paraId="6C37C98E" w14:textId="77777777" w:rsidR="0079789B" w:rsidRDefault="00000000">
      <w:pPr>
        <w:pStyle w:val="Heading1"/>
      </w:pPr>
      <w:r>
        <w:t>9. Future Directions</w:t>
      </w:r>
    </w:p>
    <w:p w14:paraId="333C4C6A" w14:textId="77777777" w:rsidR="0079789B" w:rsidRDefault="00000000">
      <w:pPr>
        <w:pStyle w:val="Heading2"/>
      </w:pPr>
      <w:r>
        <w:t>9.1 Replace benchmark-only removal studies with outcome-linked experiments</w:t>
      </w:r>
    </w:p>
    <w:p w14:paraId="2B4C53DA" w14:textId="77777777" w:rsidR="0079789B" w:rsidRDefault="00000000">
      <w:pPr>
        <w:pStyle w:val="BodyText"/>
      </w:pPr>
      <w:r>
        <w:t xml:space="preserve">The most immediate research priority is to connect parent-concentration change with the chemical and biological state of the entire treated mixture. Carbamazepine remains useful for mechanistic continuity, but an evidence base dominated by one neuroactive benchmark cannot establish the performance of technologies against antidepressants, benzodiazepines, phenothiazines and mixed wastewater residues. Comparative experiments should select compounds representing different absorption spectra, acid–base </w:t>
      </w:r>
      <w:proofErr w:type="spellStart"/>
      <w:r>
        <w:t>behaviour</w:t>
      </w:r>
      <w:proofErr w:type="spellEnd"/>
      <w:r>
        <w:t xml:space="preserve"> and oxidation pathways, and report whether those compounds are present at environmentally or operationally meaningful levels. Experiments should follow reaction kinetics beyond the first loss of parent, collect time-resolved high-resolution mass spectra and include a small but defensible array of acute and longer-term biological endpoints. The central outcome should be reduction in a predefined exposure or hazard measure rather than the largest attainable removal percentage (Donner et al., 2013; Gornik et al., 2020; Spina et al., 2021).</w:t>
      </w:r>
    </w:p>
    <w:p w14:paraId="2A39A7C4" w14:textId="77777777" w:rsidR="0079789B" w:rsidRDefault="00000000">
      <w:pPr>
        <w:pStyle w:val="BodyText"/>
      </w:pPr>
      <w:r>
        <w:t xml:space="preserve">Mechanistic work should also make the uncertainty of structure assignment transparent. Transformation pathways supported by exact mass and plausible fragmentation should be described as proposed when authentic standards or independent structural confirmation are absent. Laboratories could </w:t>
      </w:r>
      <w:proofErr w:type="spellStart"/>
      <w:r>
        <w:t>prioritise</w:t>
      </w:r>
      <w:proofErr w:type="spellEnd"/>
      <w:r>
        <w:t xml:space="preserve"> the synthesis or purchase of standards for products repeatedly detected across studies, especially those associated with persistent or increased bioactivity. Interlaboratory comparison of carefully </w:t>
      </w:r>
      <w:proofErr w:type="spellStart"/>
      <w:r>
        <w:t>characterised</w:t>
      </w:r>
      <w:proofErr w:type="spellEnd"/>
      <w:r>
        <w:t xml:space="preserve"> mixtures would establish whether product networks are reproducible, or whether apparent disagreement reflects extraction and </w:t>
      </w:r>
      <w:proofErr w:type="spellStart"/>
      <w:r>
        <w:t>ionisation</w:t>
      </w:r>
      <w:proofErr w:type="spellEnd"/>
      <w:r>
        <w:t xml:space="preserve"> bias. Such studies would make a direct contribution to treatment criteria and analytical surveillance rather than merely expanding the number of reported molecular formulae (Bijlsma et al., 2013; Novikov et al., 2023; Pan et al., 2017).</w:t>
      </w:r>
    </w:p>
    <w:p w14:paraId="00E5CE51" w14:textId="77777777" w:rsidR="0079789B" w:rsidRDefault="00000000">
      <w:pPr>
        <w:pStyle w:val="Heading2"/>
      </w:pPr>
      <w:r>
        <w:t>9.2 Establish comparable photochemical dose and matrix protocols</w:t>
      </w:r>
    </w:p>
    <w:p w14:paraId="0B28B12D" w14:textId="77777777" w:rsidR="0079789B" w:rsidRDefault="00000000">
      <w:pPr>
        <w:pStyle w:val="BodyText"/>
      </w:pPr>
      <w:r>
        <w:t xml:space="preserve">A second immediate priority is improved comparability of exposure conditions. Photochemical studies should report radiation spectrum, irradiance at the solution, optical path, reactor geometry, treatment volume, light exposure and relevant solution absorbance. Where feasible, incident and absorbed photon metrics should be distinguished. The description of dissolved organic matter should go beyond a single bulk concentration when optical character or </w:t>
      </w:r>
      <w:proofErr w:type="spellStart"/>
      <w:r>
        <w:t>sensitising</w:t>
      </w:r>
      <w:proofErr w:type="spellEnd"/>
      <w:r>
        <w:t xml:space="preserve"> capacity is material to the mechanism. Control arms </w:t>
      </w:r>
      <w:r>
        <w:lastRenderedPageBreak/>
        <w:t>should distinguish direct photolysis, dark sorption, photolysis of added oxidants and biologically mediated losses. This would allow genuine comparison of rates within compatible reaction systems without creating misleading league tables of pseudo-first-order constants (De Laurentiis et al., 2012; Guo et al., 2022; Raeke et al., 2017).</w:t>
      </w:r>
    </w:p>
    <w:p w14:paraId="3321C438" w14:textId="77777777" w:rsidR="0079789B" w:rsidRDefault="00000000">
      <w:pPr>
        <w:pStyle w:val="BodyText"/>
      </w:pPr>
      <w:r>
        <w:t>Real-water validation should become an expectation rather than a late-stage optional demonstration. A feasible design would compare a well-</w:t>
      </w:r>
      <w:proofErr w:type="spellStart"/>
      <w:r>
        <w:t>characterised</w:t>
      </w:r>
      <w:proofErr w:type="spellEnd"/>
      <w:r>
        <w:t xml:space="preserve"> reagent-water system, a secondary effluent and an additional challenging matrix using the same chemically diverse target panel. Repeated sampling across seasonal or operational variation would reveal whether observed efficiency is robust or contingent on unusually </w:t>
      </w:r>
      <w:proofErr w:type="spellStart"/>
      <w:r>
        <w:t>favourable</w:t>
      </w:r>
      <w:proofErr w:type="spellEnd"/>
      <w:r>
        <w:t xml:space="preserve"> optical transmission. For photocatalysts, matched experiments should assess recovery, reusability, fouling, constituent leaching and the contribution of adsorption under dark conditions. Data should be made sufficient for reproducible mass and operational balances (Doll &amp; Frimmel, 2004; </w:t>
      </w:r>
      <w:proofErr w:type="spellStart"/>
      <w:r>
        <w:t>Navidpour</w:t>
      </w:r>
      <w:proofErr w:type="spellEnd"/>
      <w:r>
        <w:t xml:space="preserve"> et al., 2024).</w:t>
      </w:r>
    </w:p>
    <w:p w14:paraId="31717884" w14:textId="77777777" w:rsidR="0079789B" w:rsidRDefault="00000000">
      <w:pPr>
        <w:pStyle w:val="Heading2"/>
      </w:pPr>
      <w:r>
        <w:t>9.3 Advance from single-reactor demonstrations to treatment-train comparisons</w:t>
      </w:r>
    </w:p>
    <w:p w14:paraId="69292BD1" w14:textId="77777777" w:rsidR="0079789B" w:rsidRDefault="00000000">
      <w:pPr>
        <w:pStyle w:val="BodyText"/>
      </w:pPr>
      <w:r>
        <w:t xml:space="preserve">Engineering studies should compare complete treatment trains rather than isolated reaction vessels. Relevant alternatives include biological pretreatment followed by ultraviolet/oxidant polishing, iron-mediated treatment, </w:t>
      </w:r>
      <w:proofErr w:type="spellStart"/>
      <w:r>
        <w:t>immobilised</w:t>
      </w:r>
      <w:proofErr w:type="spellEnd"/>
      <w:r>
        <w:t xml:space="preserve"> photocatalysis or other site-appropriate combinations. Prospective pilot studies would specify design flow, influent variability, residual drug and product targets, toxicity outcomes, electricity and chemical demand, maintenance and by-product handling. A run long enough to capture ageing of catalysts and lamps is more informative than a one-day demonstration. </w:t>
      </w:r>
      <w:proofErr w:type="spellStart"/>
      <w:r>
        <w:t>Optimisation</w:t>
      </w:r>
      <w:proofErr w:type="spellEnd"/>
      <w:r>
        <w:t xml:space="preserve"> must also consider failure modes: changes in turbidity, inadequate oxidant contact, temporary power disruption and residual chemicals entering the receiving water (Majumder et al., 2024; Perini et al., 2017; Zou et al., 2020).</w:t>
      </w:r>
    </w:p>
    <w:p w14:paraId="6B82DA89" w14:textId="77777777" w:rsidR="0079789B" w:rsidRDefault="00000000">
      <w:pPr>
        <w:pStyle w:val="BodyText"/>
      </w:pPr>
      <w:r>
        <w:t xml:space="preserve">Environmental and economic comparisons should be </w:t>
      </w:r>
      <w:proofErr w:type="spellStart"/>
      <w:r>
        <w:t>normalised</w:t>
      </w:r>
      <w:proofErr w:type="spellEnd"/>
      <w:r>
        <w:t xml:space="preserve"> to a defensible service unit rather than reported only as cost per unit of parent compound removed. Appropriate measures could consider a specified treated-water volume meeting a defined set of chemical and biological quality criteria, with transparent assumptions about energy sources, reagent production and disposal. This approach may reveal that modest oxidation integrated with existing treatment achieves a better balance than the strongest laboratory process. It may also identify sites where untreated persistence or particular hazardous products justify more intensive treatment. Both possibilities should remain open until supported by comparable performance and life-cycle data (Friedmann, 2022; Srivastava, 2024).</w:t>
      </w:r>
    </w:p>
    <w:p w14:paraId="1606A79E" w14:textId="77777777" w:rsidR="0079789B" w:rsidRDefault="00000000">
      <w:pPr>
        <w:pStyle w:val="Heading2"/>
      </w:pPr>
      <w:r>
        <w:t>9.4 Integrate analytical uncertainty into surveillance and product stewardship</w:t>
      </w:r>
    </w:p>
    <w:p w14:paraId="185916F7" w14:textId="77777777" w:rsidR="0079789B" w:rsidRDefault="00000000">
      <w:pPr>
        <w:pStyle w:val="BodyText"/>
      </w:pPr>
      <w:r>
        <w:t xml:space="preserve">Research on wastewater-based epidemiology should distinguish loss occurring in sewers, photoreaction during sample handling and intentional treatment downstream of collection. Controlled stability experiments need to include relevant residence times, variable temperatures and matrix compositions, and validated light-exposure conditions. Correction factors should be associated with uncertainty intervals and should not be exported uncritically between catchments or drug </w:t>
      </w:r>
      <w:proofErr w:type="spellStart"/>
      <w:r>
        <w:t>markers</w:t>
      </w:r>
      <w:proofErr w:type="spellEnd"/>
      <w:r>
        <w:t>. Better preservation standards and strategically selected transformation-product tracers could improve confidence in surveillance estimates without confusing environmental products with human metabolites (X. Lin et al., 2021; McCall et al., 2016; Thai et al., 2014).</w:t>
      </w:r>
    </w:p>
    <w:p w14:paraId="2CD2CEE8" w14:textId="77777777" w:rsidR="0079789B" w:rsidRDefault="00000000">
      <w:pPr>
        <w:pStyle w:val="BodyText"/>
      </w:pPr>
      <w:r>
        <w:t xml:space="preserve">Parallel research on photostability and phototoxicity should retain a separate decision pathway. The question for pharmaceutical products is whether light exposure creates unacceptable instability or biological risk under realistic storage and use conditions. Research designs may require validated stability-indicating assays, exposure-appropriate irradiation and biological models chosen for a specific adverse-effect mechanism. The laboratory demonstration of a light-generated radical should not be promoted into an </w:t>
      </w:r>
      <w:r>
        <w:lastRenderedPageBreak/>
        <w:t>estimate of clinical incidence, and aquatic removal evidence should not be treated as a dosing or treatment recommendation. The phenothiazine work remains a useful mechanistic foundation, but contemporary product-specific investigations are necessary to support any new medical claims (Chignell et al., 1985; Ljunggren &amp; Möller, 1977).</w:t>
      </w:r>
    </w:p>
    <w:p w14:paraId="2E587792" w14:textId="77777777" w:rsidR="0079789B" w:rsidRDefault="00000000">
      <w:pPr>
        <w:pStyle w:val="Heading2"/>
      </w:pPr>
      <w:r>
        <w:t>9.5 Build decision rules around uncertainty rather than universal rankings</w:t>
      </w:r>
    </w:p>
    <w:p w14:paraId="12EFD4FD" w14:textId="77777777" w:rsidR="0079789B" w:rsidRDefault="00000000">
      <w:pPr>
        <w:pStyle w:val="BodyText"/>
      </w:pPr>
      <w:r>
        <w:t>Over the longer term, field studies and mechanistic models should be joined in decision-support frameworks that preserve uncertainty. A site-specific assessment would account for light availability, water optical properties, influent mixture, residual oxidants, transformation-product fate and receiving-water characteristics. Models should be externally checked against independent environmental or pilot observations; sensitivity analysis should identify which poorly constrained factors most affect the decision. Such work could help determine when an engineered photochemical step has an advantage over alternative removal, source reduction or conventional management, rather than assuming that any addition of light is beneficial (De Laurentiis et al., 2012; Friedmann, 2022).</w:t>
      </w:r>
    </w:p>
    <w:p w14:paraId="15CAA330" w14:textId="77777777" w:rsidR="0079789B" w:rsidRDefault="00000000">
      <w:pPr>
        <w:pStyle w:val="BodyText"/>
      </w:pPr>
      <w:r>
        <w:t>The most consequential research gap is therefore evaluative rather than merely technological. There is no shortage of reported candidate oxidants, catalysts and product structures, but relatively little integrated evidence connecting them to durable reductions in environmental hazard at a comparable operational cost. Future progress should be assessed by independent replication, realistic matrices, product-aware toxicology and transparent system boundaries. That standard would support the rational use of photochemical treatment when justified and equally support the choice not to use it when a safer, simpler or more verifiable alternative exists.</w:t>
      </w:r>
    </w:p>
    <w:p w14:paraId="19E32189" w14:textId="77777777" w:rsidR="0079789B" w:rsidRDefault="00000000">
      <w:pPr>
        <w:pStyle w:val="Heading1"/>
      </w:pPr>
      <w:r>
        <w:t>10. Conclusions</w:t>
      </w:r>
    </w:p>
    <w:p w14:paraId="398A47FB" w14:textId="77777777" w:rsidR="0079789B" w:rsidRDefault="00000000">
      <w:pPr>
        <w:pStyle w:val="BodyText"/>
      </w:pPr>
      <w:r>
        <w:t xml:space="preserve">Photochemistry has several legitimate but fundamentally different roles in the management of psychoactive drugs. In medicines and patients, unwanted light exposure can create stability or photosensitivity concerns. In surface waters, irradiation influences chemical persistence and transforms the mixtures to which organisms may be exposed. In engineered wastewater treatment, light-assisted oxidation can accelerate the disappearance of selected psychotropics. In analytical surveillance, uncontrolled transformations can compromise the interpretation of measured drug </w:t>
      </w:r>
      <w:proofErr w:type="spellStart"/>
      <w:r>
        <w:t>markers</w:t>
      </w:r>
      <w:proofErr w:type="spellEnd"/>
      <w:r>
        <w:t>. These contexts should not be merged into a claim that photochemistry is uniformly beneficial.</w:t>
      </w:r>
    </w:p>
    <w:p w14:paraId="08F83F67" w14:textId="77777777" w:rsidR="0079789B" w:rsidRDefault="00000000">
      <w:pPr>
        <w:pStyle w:val="BodyText"/>
      </w:pPr>
      <w:r>
        <w:t xml:space="preserve">The strongest evidence establishes compound-specific photoreaction pathways and the feasibility of several treatment approaches under defined laboratory conditions. Confidence is substantially lower in statements about comparative field performance, complete detoxification, long-term economic superiority and ecological benefit across drug mixtures. The contrasting </w:t>
      </w:r>
      <w:proofErr w:type="spellStart"/>
      <w:r>
        <w:t>behaviour</w:t>
      </w:r>
      <w:proofErr w:type="spellEnd"/>
      <w:r>
        <w:t xml:space="preserve"> of benzodiazepines, antidepressants, carbamazepine and phenothiazines demonstrates why neither therapeutic class nor parent-removal efficiency supplies a sufficient basis for </w:t>
      </w:r>
      <w:proofErr w:type="spellStart"/>
      <w:r>
        <w:t>generalisation</w:t>
      </w:r>
      <w:proofErr w:type="spellEnd"/>
      <w:r>
        <w:t>. Product formation and residual biological activity are central outcomes rather than secondary analytical details.</w:t>
      </w:r>
    </w:p>
    <w:p w14:paraId="36A51661" w14:textId="77777777" w:rsidR="0079789B" w:rsidRDefault="00000000">
      <w:pPr>
        <w:pStyle w:val="BodyText"/>
      </w:pPr>
      <w:r>
        <w:t xml:space="preserve">A defensible framework requires the objective to be stated before the photochemical method is chosen. For effluent management, the objective is not simply disappearance of a target compound but a measurable reduction in relevant exposure or hazard without unacceptable operational burdens. For surveillance, preserving interpretable chemical markers is paramount; for medicinal products, preventing unintended photochemical change may be the proper intervention. The field is most likely to advance through reproducible photochemical dosimetry, realistic wastewater evaluation, transparent identification of </w:t>
      </w:r>
      <w:r>
        <w:lastRenderedPageBreak/>
        <w:t>transformation products and evidence that links chemical conversion to meaningful biological and operational outcomes.</w:t>
      </w:r>
    </w:p>
    <w:p w14:paraId="76585769" w14:textId="77777777" w:rsidR="0079789B" w:rsidRDefault="00000000">
      <w:pPr>
        <w:pStyle w:val="Heading1"/>
      </w:pPr>
      <w:r>
        <w:t>11. Limitations</w:t>
      </w:r>
    </w:p>
    <w:p w14:paraId="361E3E9F" w14:textId="77777777" w:rsidR="0079789B" w:rsidRDefault="00000000">
      <w:pPr>
        <w:pStyle w:val="BodyText"/>
      </w:pPr>
      <w:r>
        <w:t>As a critical narrative review, this synthesis remains vulnerable to selection and interpretive bias despite an explicitly described search and appraisal approach. It was not designed to enumerate all published records, calculate a pooled effect or assign formal risk-of-bias scores. Restriction to accessible, verifiable material and the predominance of English-language evidence may have excluded useful studies. Bibliographic identification and full experimental verification were not equally possible for every paper, and the text distinguishes mechanistic evidence from claims that require more detailed study information.</w:t>
      </w:r>
    </w:p>
    <w:p w14:paraId="41552DC2" w14:textId="77777777" w:rsidR="0079789B" w:rsidRDefault="00000000">
      <w:pPr>
        <w:pStyle w:val="BodyText"/>
      </w:pPr>
      <w:r>
        <w:t>The primary literature also limits inference. Irradiation spectra, experimental concentrations, reactor geometries, water matrices, endpoints and analytical methods vary enough to prevent reliable comparison of most published removal percentages. Some findings concern model solutions rather than authentic effluent, while pilot evidence is concentrated in relatively few installations. Transformation products may be incompletely identified, and short-term biological assays do not capture all chronic or mixture-level effects. These limitations mean that the present review cannot assign universal technology rankings, assert comprehensive ecological safety or estimate comparative clinical phototoxicity risk. Its conclusions are accordingly restricted to patterns and uncertainties supported by the accessible research.</w:t>
      </w:r>
    </w:p>
    <w:p w14:paraId="56AFB80A" w14:textId="77777777" w:rsidR="00DC7C2B" w:rsidRPr="00DC7C2B" w:rsidRDefault="00DC7C2B" w:rsidP="00DC7C2B">
      <w:pPr>
        <w:spacing w:after="200" w:line="276" w:lineRule="auto"/>
        <w:rPr>
          <w:rFonts w:ascii="Calibri" w:eastAsia="Calibri" w:hAnsi="Calibri" w:cs="Times New Roman"/>
          <w:color w:val="auto"/>
          <w:sz w:val="22"/>
        </w:rPr>
      </w:pPr>
    </w:p>
    <w:p w14:paraId="2E3442C8" w14:textId="77777777" w:rsidR="00DC7C2B" w:rsidRPr="00DC7C2B" w:rsidRDefault="00DC7C2B" w:rsidP="00DC7C2B">
      <w:pPr>
        <w:spacing w:after="0" w:line="240" w:lineRule="auto"/>
        <w:rPr>
          <w:rFonts w:ascii="Times New Roman" w:eastAsia="Calibri" w:hAnsi="Times New Roman" w:cs="Times New Roman"/>
          <w:b/>
          <w:color w:val="auto"/>
          <w:sz w:val="22"/>
        </w:rPr>
      </w:pPr>
      <w:r w:rsidRPr="00DC7C2B">
        <w:rPr>
          <w:rFonts w:ascii="Times New Roman" w:eastAsia="Calibri" w:hAnsi="Times New Roman" w:cs="Times New Roman"/>
          <w:b/>
          <w:color w:val="auto"/>
          <w:sz w:val="22"/>
        </w:rPr>
        <w:t>Declaration of AI Use</w:t>
      </w:r>
    </w:p>
    <w:p w14:paraId="25F2C2C2" w14:textId="77777777" w:rsidR="00DC7C2B" w:rsidRPr="00DC7C2B" w:rsidRDefault="00DC7C2B" w:rsidP="00DC7C2B">
      <w:pPr>
        <w:spacing w:after="0" w:line="240" w:lineRule="auto"/>
        <w:rPr>
          <w:rFonts w:ascii="Times New Roman" w:eastAsia="Calibri" w:hAnsi="Times New Roman" w:cs="Times New Roman"/>
          <w:b/>
          <w:color w:val="auto"/>
          <w:sz w:val="22"/>
        </w:rPr>
      </w:pPr>
    </w:p>
    <w:p w14:paraId="6D26469E" w14:textId="77777777" w:rsidR="00DC7C2B" w:rsidRPr="00DC7C2B" w:rsidRDefault="00DC7C2B" w:rsidP="00DC7C2B">
      <w:pPr>
        <w:spacing w:after="0" w:line="240" w:lineRule="auto"/>
        <w:rPr>
          <w:rFonts w:ascii="Arial" w:eastAsia="Calibri" w:hAnsi="Arial" w:cs="Arial"/>
          <w:color w:val="auto"/>
          <w:sz w:val="20"/>
          <w:szCs w:val="20"/>
        </w:rPr>
      </w:pPr>
      <w:r w:rsidRPr="00DC7C2B">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71DDC2" w14:textId="77777777" w:rsidR="00DC7C2B" w:rsidRDefault="00DC7C2B">
      <w:pPr>
        <w:pStyle w:val="BodyText"/>
      </w:pPr>
    </w:p>
    <w:p w14:paraId="7BC936B4" w14:textId="77777777" w:rsidR="0079789B" w:rsidRDefault="00000000">
      <w:pPr>
        <w:pStyle w:val="Heading1"/>
      </w:pPr>
      <w:r>
        <w:t>References</w:t>
      </w:r>
    </w:p>
    <w:p w14:paraId="71447F50" w14:textId="4251AC3E" w:rsidR="0079789B" w:rsidRDefault="00000000">
      <w:pPr>
        <w:pStyle w:val="ReferenceEntry"/>
      </w:pPr>
      <w:proofErr w:type="spellStart"/>
      <w:r>
        <w:t>Baethge</w:t>
      </w:r>
      <w:proofErr w:type="spellEnd"/>
      <w:r>
        <w:t xml:space="preserve">, C., Goldbeck-Wood, S., &amp; Mertens, S. (2019). SANRA—a scale for the quality assessment of narrative review articles. </w:t>
      </w:r>
      <w:r>
        <w:rPr>
          <w:i/>
        </w:rPr>
        <w:t>Research Integrity and Peer Review, 4</w:t>
      </w:r>
      <w:r>
        <w:t xml:space="preserve">, 5. </w:t>
      </w:r>
      <w:r>
        <w:rPr>
          <w:color w:val="14315E"/>
        </w:rPr>
        <w:t>https://doi.org/10.1186/s41073-019-0064-8</w:t>
      </w:r>
    </w:p>
    <w:p w14:paraId="6BD51DDD" w14:textId="16DD227F" w:rsidR="0079789B" w:rsidRDefault="00000000">
      <w:pPr>
        <w:pStyle w:val="ReferenceEntry"/>
      </w:pPr>
      <w:r>
        <w:t xml:space="preserve">Bijlsma, L., Boix, C., Niessen, W. M. A., Ibáñez, M., Sancho, J. V., &amp; Hernández, F. (2013). Investigation of degradation products of cocaine and benzoylecgonine in the aquatic environment. </w:t>
      </w:r>
      <w:r>
        <w:rPr>
          <w:i/>
        </w:rPr>
        <w:t>Science of the Total Environment, 443</w:t>
      </w:r>
      <w:r>
        <w:t xml:space="preserve">, 200–208. </w:t>
      </w:r>
      <w:r>
        <w:rPr>
          <w:color w:val="14315E"/>
        </w:rPr>
        <w:t>https://doi.org/10.1016/j.scitotenv.2012.11.006</w:t>
      </w:r>
    </w:p>
    <w:p w14:paraId="69E7A696" w14:textId="4CF8DA83" w:rsidR="0079789B" w:rsidRDefault="00000000">
      <w:pPr>
        <w:pStyle w:val="ReferenceEntry"/>
      </w:pPr>
      <w:r>
        <w:t xml:space="preserve">Calisto, V., Domingues, M. R. M., &amp; Esteves, V. I. (2011). Photodegradation of psychiatric pharmaceuticals in aquatic environments—Kinetics and photodegradation products. </w:t>
      </w:r>
      <w:r>
        <w:rPr>
          <w:i/>
        </w:rPr>
        <w:t>Water Research, 45</w:t>
      </w:r>
      <w:r>
        <w:t xml:space="preserve">(18), 6097–6106. </w:t>
      </w:r>
      <w:r>
        <w:rPr>
          <w:color w:val="14315E"/>
        </w:rPr>
        <w:t>https://doi.org/10.1016/j.watres.2011.09.008</w:t>
      </w:r>
    </w:p>
    <w:p w14:paraId="76EEB9B5" w14:textId="30014B69" w:rsidR="0079789B" w:rsidRDefault="00000000">
      <w:pPr>
        <w:pStyle w:val="ReferenceEntry"/>
      </w:pPr>
      <w:r>
        <w:t xml:space="preserve">Calza, P., Jiménez-Holgado, C., </w:t>
      </w:r>
      <w:proofErr w:type="spellStart"/>
      <w:r>
        <w:t>Coha</w:t>
      </w:r>
      <w:proofErr w:type="spellEnd"/>
      <w:r>
        <w:t xml:space="preserve">, M., </w:t>
      </w:r>
      <w:proofErr w:type="spellStart"/>
      <w:r>
        <w:t>Chrimatopoulos</w:t>
      </w:r>
      <w:proofErr w:type="spellEnd"/>
      <w:r>
        <w:t xml:space="preserve">, C., Dal Bello, F., Medana, C., &amp; Sakkas, V. (2021). Study of the photoinduced transformations of sertraline in aqueous media. </w:t>
      </w:r>
      <w:r>
        <w:rPr>
          <w:i/>
        </w:rPr>
        <w:t>Science of the Total Environment, 756</w:t>
      </w:r>
      <w:r>
        <w:t xml:space="preserve">, 143805. </w:t>
      </w:r>
      <w:r>
        <w:rPr>
          <w:color w:val="14315E"/>
        </w:rPr>
        <w:t>https://doi.org/10.1016/j.scitotenv.2020.143805</w:t>
      </w:r>
    </w:p>
    <w:p w14:paraId="3F574034" w14:textId="5CCD8C22" w:rsidR="0079789B" w:rsidRDefault="00000000">
      <w:pPr>
        <w:pStyle w:val="ReferenceEntry"/>
      </w:pPr>
      <w:r>
        <w:t xml:space="preserve">Chignell, C. F., Motten, A. G., &amp; Buettner, G. R. (1985). Photoinduced free radicals from chlorpromazine and related phenothiazines: Relationship to phenothiazine-induced photosensitization. </w:t>
      </w:r>
      <w:r>
        <w:rPr>
          <w:i/>
        </w:rPr>
        <w:t>Environmental Health Perspectives, 64</w:t>
      </w:r>
      <w:r>
        <w:t xml:space="preserve">, 103–110. </w:t>
      </w:r>
      <w:r>
        <w:rPr>
          <w:color w:val="14315E"/>
        </w:rPr>
        <w:t>https://doi.org/10.1289/ehp.8564103</w:t>
      </w:r>
    </w:p>
    <w:p w14:paraId="1146D0A7" w14:textId="6C5136A6" w:rsidR="0079789B" w:rsidRDefault="00000000">
      <w:pPr>
        <w:pStyle w:val="ReferenceEntry"/>
      </w:pPr>
      <w:r>
        <w:t xml:space="preserve">Constantin, M. A., Chiriac, F. L., Gheorghe, S., &amp; Constantin, L. A. (2022). Degradation of carbamazepine from aqueous solutions via </w:t>
      </w:r>
      <w:proofErr w:type="spellStart"/>
      <w:r>
        <w:t>TiO</w:t>
      </w:r>
      <w:proofErr w:type="spellEnd"/>
      <w:r>
        <w:t xml:space="preserve">₂-assisted photo catalyze. </w:t>
      </w:r>
      <w:r>
        <w:rPr>
          <w:i/>
        </w:rPr>
        <w:t>Toxics, 10</w:t>
      </w:r>
      <w:r>
        <w:t xml:space="preserve">(4), 168. </w:t>
      </w:r>
      <w:r>
        <w:rPr>
          <w:color w:val="14315E"/>
        </w:rPr>
        <w:t>https://doi.org/10.3390/toxics10040168</w:t>
      </w:r>
    </w:p>
    <w:p w14:paraId="64BF4E43" w14:textId="250A1B81" w:rsidR="0079789B" w:rsidRDefault="00000000">
      <w:pPr>
        <w:pStyle w:val="ReferenceEntry"/>
      </w:pPr>
      <w:r>
        <w:lastRenderedPageBreak/>
        <w:t xml:space="preserve">Dai, C.-M., Zhou, X.-F., Zhang, Y.-L., Duan, Y.-P., Qiang, Z.-M., &amp; Zhang, T. C. (2012). Comparative study of the degradation of carbamazepine in water by advanced oxidation processes. </w:t>
      </w:r>
      <w:r>
        <w:rPr>
          <w:i/>
        </w:rPr>
        <w:t>Environmental Technology, 33</w:t>
      </w:r>
      <w:r>
        <w:t xml:space="preserve">(10), 1101–1109. </w:t>
      </w:r>
      <w:r>
        <w:rPr>
          <w:color w:val="14315E"/>
        </w:rPr>
        <w:t>https://doi.org/10.1080/09593330.2011.610359</w:t>
      </w:r>
    </w:p>
    <w:p w14:paraId="1A2A5801" w14:textId="1EDF5487" w:rsidR="0079789B" w:rsidRDefault="00000000">
      <w:pPr>
        <w:pStyle w:val="ReferenceEntry"/>
      </w:pPr>
      <w:r>
        <w:t xml:space="preserve">De Laurentiis, E., Chiron, S., Kouras-Hadef, S., Richard, C., Minella, M., Maurino, V., Minero, C., &amp; Vione, D. (2012). Photochemical fate of carbamazepine in surface freshwaters: Laboratory measures and modeling. </w:t>
      </w:r>
      <w:r>
        <w:rPr>
          <w:i/>
        </w:rPr>
        <w:t>Environmental Science &amp; Technology, 46</w:t>
      </w:r>
      <w:r>
        <w:t xml:space="preserve">(15), 8164–8173. </w:t>
      </w:r>
      <w:r>
        <w:rPr>
          <w:color w:val="14315E"/>
        </w:rPr>
        <w:t>https://doi.org/10.1021/es3015887</w:t>
      </w:r>
    </w:p>
    <w:p w14:paraId="657ED4E9" w14:textId="36D5EFC7" w:rsidR="0079789B" w:rsidRDefault="00000000">
      <w:pPr>
        <w:pStyle w:val="ReferenceEntry"/>
      </w:pPr>
      <w:r>
        <w:t xml:space="preserve">Doll, T. E., &amp; Frimmel, F. H. (2004). Kinetic study of photocatalytic degradation of carbamazepine, </w:t>
      </w:r>
      <w:proofErr w:type="spellStart"/>
      <w:r>
        <w:t>clofibric</w:t>
      </w:r>
      <w:proofErr w:type="spellEnd"/>
      <w:r>
        <w:t xml:space="preserve"> acid, </w:t>
      </w:r>
      <w:proofErr w:type="spellStart"/>
      <w:r>
        <w:t>iomeprol</w:t>
      </w:r>
      <w:proofErr w:type="spellEnd"/>
      <w:r>
        <w:t xml:space="preserve"> and </w:t>
      </w:r>
      <w:proofErr w:type="spellStart"/>
      <w:r>
        <w:t>iopromide</w:t>
      </w:r>
      <w:proofErr w:type="spellEnd"/>
      <w:r>
        <w:t xml:space="preserve"> assisted by different </w:t>
      </w:r>
      <w:proofErr w:type="spellStart"/>
      <w:r>
        <w:t>TiO</w:t>
      </w:r>
      <w:proofErr w:type="spellEnd"/>
      <w:r>
        <w:t xml:space="preserve">₂ materials—Determination of intermediates and reaction pathways. </w:t>
      </w:r>
      <w:r>
        <w:rPr>
          <w:i/>
        </w:rPr>
        <w:t>Water Research, 38</w:t>
      </w:r>
      <w:r>
        <w:t xml:space="preserve">(4), 955–964. </w:t>
      </w:r>
      <w:r>
        <w:rPr>
          <w:color w:val="14315E"/>
        </w:rPr>
        <w:t>https://doi.org/10.1016/j.watres.2003.11.009</w:t>
      </w:r>
    </w:p>
    <w:p w14:paraId="4DBAD179" w14:textId="696E5484" w:rsidR="0079789B" w:rsidRDefault="00000000">
      <w:pPr>
        <w:pStyle w:val="ReferenceEntry"/>
      </w:pPr>
      <w:r>
        <w:t xml:space="preserve">Dong, M. M., Trenholm, R., &amp; Rosario-Ortiz, F. L. (2015). Photochemical degradation of atenolol, carbamazepine, meprobamate, phenytoin and primidone in wastewater effluents. </w:t>
      </w:r>
      <w:r>
        <w:rPr>
          <w:i/>
        </w:rPr>
        <w:t>Journal of Hazardous Materials, 282</w:t>
      </w:r>
      <w:r>
        <w:t xml:space="preserve">, 216–223. </w:t>
      </w:r>
      <w:r>
        <w:rPr>
          <w:color w:val="14315E"/>
        </w:rPr>
        <w:t>https://doi.org/10.1016/j.jhazmat.2014.04.028</w:t>
      </w:r>
    </w:p>
    <w:p w14:paraId="1302FF34" w14:textId="1ECC6B07" w:rsidR="0079789B" w:rsidRDefault="00000000">
      <w:pPr>
        <w:pStyle w:val="ReferenceEntry"/>
      </w:pPr>
      <w:r>
        <w:t xml:space="preserve">Donner, E., </w:t>
      </w:r>
      <w:proofErr w:type="spellStart"/>
      <w:r>
        <w:t>Kosjek</w:t>
      </w:r>
      <w:proofErr w:type="spellEnd"/>
      <w:r>
        <w:t xml:space="preserve">, T., Qualmann, S., Kusk, K. O., Heath, E., </w:t>
      </w:r>
      <w:proofErr w:type="spellStart"/>
      <w:r>
        <w:t>Revitt</w:t>
      </w:r>
      <w:proofErr w:type="spellEnd"/>
      <w:r>
        <w:t xml:space="preserve">, D. M., Ledin, A., &amp; Andersen, H. R. (2013). Ecotoxicity of carbamazepine and its UV photolysis transformation products. </w:t>
      </w:r>
      <w:r>
        <w:rPr>
          <w:i/>
        </w:rPr>
        <w:t>Science of the Total Environment, 443</w:t>
      </w:r>
      <w:r>
        <w:t xml:space="preserve">, 870–876. </w:t>
      </w:r>
      <w:r>
        <w:rPr>
          <w:color w:val="14315E"/>
        </w:rPr>
        <w:t>https://doi.org/10.1016/j.scitotenv.2012.11.059</w:t>
      </w:r>
    </w:p>
    <w:p w14:paraId="7505251C" w14:textId="006B1AB2" w:rsidR="0079789B" w:rsidRDefault="00000000">
      <w:pPr>
        <w:pStyle w:val="ReferenceEntry"/>
      </w:pPr>
      <w:r>
        <w:t xml:space="preserve">Drossou, C., Petrakis, Y., </w:t>
      </w:r>
      <w:proofErr w:type="spellStart"/>
      <w:r>
        <w:t>Tyrovola</w:t>
      </w:r>
      <w:proofErr w:type="spellEnd"/>
      <w:r>
        <w:t xml:space="preserve">, K., &amp; </w:t>
      </w:r>
      <w:proofErr w:type="spellStart"/>
      <w:r>
        <w:t>Xekoukoulotakis</w:t>
      </w:r>
      <w:proofErr w:type="spellEnd"/>
      <w:r>
        <w:t xml:space="preserve">, N. P. (2022). Photochemical degradation of the antidepressant sertraline in aqueous solutions by UVC, UVC/H₂O₂, and UVC/S₂O₈²⁻. </w:t>
      </w:r>
      <w:r>
        <w:rPr>
          <w:i/>
        </w:rPr>
        <w:t>Water Research, 217</w:t>
      </w:r>
      <w:r>
        <w:t xml:space="preserve">, 118442. </w:t>
      </w:r>
      <w:r>
        <w:rPr>
          <w:color w:val="14315E"/>
        </w:rPr>
        <w:t>https://doi.org/10.1016/j.watres.2022.118442</w:t>
      </w:r>
    </w:p>
    <w:p w14:paraId="616D9E5A" w14:textId="7757A280" w:rsidR="0079789B" w:rsidRDefault="00000000">
      <w:pPr>
        <w:pStyle w:val="ReferenceEntry"/>
      </w:pPr>
      <w:r>
        <w:t xml:space="preserve">Friedmann, D. (2022). A general overview of heterogeneous photocatalysis as a remediation technology for wastewaters containing pharmaceutical compounds. </w:t>
      </w:r>
      <w:r>
        <w:rPr>
          <w:i/>
        </w:rPr>
        <w:t>Water, 14</w:t>
      </w:r>
      <w:r>
        <w:t xml:space="preserve">(21), 3588. </w:t>
      </w:r>
      <w:r>
        <w:rPr>
          <w:color w:val="14315E"/>
        </w:rPr>
        <w:t>https://doi.org/10.3390/w14213588</w:t>
      </w:r>
    </w:p>
    <w:p w14:paraId="4560D436" w14:textId="2D94B170" w:rsidR="0079789B" w:rsidRDefault="00000000">
      <w:pPr>
        <w:pStyle w:val="ReferenceEntry"/>
      </w:pPr>
      <w:r>
        <w:t xml:space="preserve">Gornik, T., </w:t>
      </w:r>
      <w:proofErr w:type="spellStart"/>
      <w:r>
        <w:t>Vozic</w:t>
      </w:r>
      <w:proofErr w:type="spellEnd"/>
      <w:r>
        <w:t xml:space="preserve">, A., Heath, E., </w:t>
      </w:r>
      <w:proofErr w:type="spellStart"/>
      <w:r>
        <w:t>Trontelj</w:t>
      </w:r>
      <w:proofErr w:type="spellEnd"/>
      <w:r>
        <w:t xml:space="preserve">, J., </w:t>
      </w:r>
      <w:proofErr w:type="spellStart"/>
      <w:r>
        <w:t>Roskar</w:t>
      </w:r>
      <w:proofErr w:type="spellEnd"/>
      <w:r>
        <w:t xml:space="preserve">, R., </w:t>
      </w:r>
      <w:proofErr w:type="spellStart"/>
      <w:r>
        <w:t>Zigon</w:t>
      </w:r>
      <w:proofErr w:type="spellEnd"/>
      <w:r>
        <w:t xml:space="preserve">, D., Vione, D., &amp; </w:t>
      </w:r>
      <w:proofErr w:type="spellStart"/>
      <w:r>
        <w:t>Kosjek</w:t>
      </w:r>
      <w:proofErr w:type="spellEnd"/>
      <w:r>
        <w:t xml:space="preserve">, T. (2020). Determination and photodegradation of sertraline residues in aqueous environment. </w:t>
      </w:r>
      <w:r>
        <w:rPr>
          <w:i/>
        </w:rPr>
        <w:t>Environmental Pollution, 256</w:t>
      </w:r>
      <w:r>
        <w:t xml:space="preserve">, 113431. </w:t>
      </w:r>
      <w:r>
        <w:rPr>
          <w:color w:val="14315E"/>
        </w:rPr>
        <w:t>https://doi.org/10.1016/j.envpol.2019.113431</w:t>
      </w:r>
    </w:p>
    <w:p w14:paraId="2EB9FC93" w14:textId="65D10968" w:rsidR="0079789B" w:rsidRDefault="00000000">
      <w:pPr>
        <w:pStyle w:val="ReferenceEntry"/>
      </w:pPr>
      <w:r>
        <w:t xml:space="preserve">Guo, Y., Guo, Z., Wang, J., Ye, Z., Zhang, L., &amp; Niu, J. (2022). Photodegradation of three antidepressants in natural waters: Important roles of dissolved organic matter and nitrate. </w:t>
      </w:r>
      <w:r>
        <w:rPr>
          <w:i/>
        </w:rPr>
        <w:t>Science of the Total Environment, 802</w:t>
      </w:r>
      <w:r>
        <w:t xml:space="preserve">, 149825. </w:t>
      </w:r>
      <w:r>
        <w:rPr>
          <w:color w:val="14315E"/>
        </w:rPr>
        <w:t>https://doi.org/10.1016/j.scitotenv.2021.149825</w:t>
      </w:r>
    </w:p>
    <w:p w14:paraId="301B6EE4" w14:textId="339D27DB" w:rsidR="0079789B" w:rsidRDefault="00000000">
      <w:pPr>
        <w:pStyle w:val="ReferenceEntry"/>
      </w:pPr>
      <w:r>
        <w:t xml:space="preserve">Hosseini, M. (2025). Visible-light-assisted decontamination of sertraline in water using a </w:t>
      </w:r>
      <w:proofErr w:type="spellStart"/>
      <w:r>
        <w:t>Co₃O</w:t>
      </w:r>
      <w:proofErr w:type="spellEnd"/>
      <w:r>
        <w:t xml:space="preserve">₄/g-C₃N₄ nanocomposite photocatalyst. </w:t>
      </w:r>
      <w:r>
        <w:rPr>
          <w:i/>
        </w:rPr>
        <w:t>Environmental Science and Pollution Research, 32</w:t>
      </w:r>
      <w:r>
        <w:t xml:space="preserve">(34), 20441–20460. </w:t>
      </w:r>
      <w:r>
        <w:rPr>
          <w:color w:val="14315E"/>
        </w:rPr>
        <w:t>https://doi.org/10.1007/s11356-025-36848-9</w:t>
      </w:r>
    </w:p>
    <w:p w14:paraId="2779F25A" w14:textId="742111B5" w:rsidR="0079789B" w:rsidRDefault="00000000">
      <w:pPr>
        <w:pStyle w:val="ReferenceEntry"/>
      </w:pPr>
      <w:proofErr w:type="spellStart"/>
      <w:r>
        <w:t>Im</w:t>
      </w:r>
      <w:proofErr w:type="spellEnd"/>
      <w:r>
        <w:t xml:space="preserve">, J.-K., Son, H.-S., Kang, Y.-M., &amp; Zoh, K.-D. (2012). Carbamazepine degradation by photolysis and titanium dioxide photocatalysis. </w:t>
      </w:r>
      <w:r>
        <w:rPr>
          <w:i/>
        </w:rPr>
        <w:t>Water Environment Research, 84</w:t>
      </w:r>
      <w:r>
        <w:t xml:space="preserve">(7), 554–561. </w:t>
      </w:r>
      <w:r>
        <w:rPr>
          <w:color w:val="14315E"/>
        </w:rPr>
        <w:t>https://doi.org/10.2175/106143012X13373550427273</w:t>
      </w:r>
    </w:p>
    <w:p w14:paraId="0C533227" w14:textId="2F4D74A7" w:rsidR="0079789B" w:rsidRDefault="00000000">
      <w:pPr>
        <w:pStyle w:val="ReferenceEntry"/>
      </w:pPr>
      <w:r>
        <w:t xml:space="preserve">Jelic, A., Michael, I., </w:t>
      </w:r>
      <w:proofErr w:type="spellStart"/>
      <w:r>
        <w:t>Achilleos</w:t>
      </w:r>
      <w:proofErr w:type="spellEnd"/>
      <w:r>
        <w:t xml:space="preserve">, A., </w:t>
      </w:r>
      <w:proofErr w:type="spellStart"/>
      <w:r>
        <w:t>Hapeshi</w:t>
      </w:r>
      <w:proofErr w:type="spellEnd"/>
      <w:r>
        <w:t xml:space="preserve">, E., </w:t>
      </w:r>
      <w:proofErr w:type="spellStart"/>
      <w:r>
        <w:t>Lambropoulou</w:t>
      </w:r>
      <w:proofErr w:type="spellEnd"/>
      <w:r>
        <w:t xml:space="preserve">, D., Perez, S., Petrovic, M., Fatta-Kassinos, D., &amp; Barceló, D. (2013). Transformation products and reaction pathways of carbamazepine during photocatalytic and </w:t>
      </w:r>
      <w:proofErr w:type="spellStart"/>
      <w:r>
        <w:t>sonophotocatalytic</w:t>
      </w:r>
      <w:proofErr w:type="spellEnd"/>
      <w:r>
        <w:t xml:space="preserve"> treatment. </w:t>
      </w:r>
      <w:r>
        <w:rPr>
          <w:i/>
        </w:rPr>
        <w:t>Journal of Hazardous Materials, 263</w:t>
      </w:r>
      <w:r>
        <w:t xml:space="preserve">(Part 1), 177–186. </w:t>
      </w:r>
      <w:r>
        <w:rPr>
          <w:color w:val="14315E"/>
        </w:rPr>
        <w:t>https://doi.org/10.1016/j.jhazmat.2013.07.068</w:t>
      </w:r>
    </w:p>
    <w:p w14:paraId="6EB7B245" w14:textId="5CBFD19A" w:rsidR="0079789B" w:rsidRDefault="00000000">
      <w:pPr>
        <w:pStyle w:val="ReferenceEntry"/>
      </w:pPr>
      <w:r>
        <w:t xml:space="preserve">Jiménez-Holgado, C., Calza, P., Fabbri, D., Dal Bello, F., Medana, C., &amp; Sakkas, V. (2021). Investigation of the aquatic photolytic and photocatalytic degradation of citalopram. </w:t>
      </w:r>
      <w:r>
        <w:rPr>
          <w:i/>
        </w:rPr>
        <w:t>Molecules, 26</w:t>
      </w:r>
      <w:r>
        <w:t xml:space="preserve">(17), 5331. </w:t>
      </w:r>
      <w:r>
        <w:rPr>
          <w:color w:val="14315E"/>
        </w:rPr>
        <w:t>https://doi.org/10.3390/molecules26175331</w:t>
      </w:r>
    </w:p>
    <w:p w14:paraId="183EF270" w14:textId="37633800" w:rsidR="0079789B" w:rsidRDefault="00000000">
      <w:pPr>
        <w:pStyle w:val="ReferenceEntry"/>
      </w:pPr>
      <w:r>
        <w:t xml:space="preserve">Lin, W., Huang, Z., Gao, S., Luo, Z., An, W., Li, P., Ping, S., &amp; Ren, Y. (2021). Evaluating the stability of prescription drugs in municipal wastewater and sewers based on wastewater-based epidemiology. </w:t>
      </w:r>
      <w:r>
        <w:rPr>
          <w:i/>
        </w:rPr>
        <w:t>Science of the Total Environment, 754</w:t>
      </w:r>
      <w:r>
        <w:t xml:space="preserve">, 142414. </w:t>
      </w:r>
      <w:r>
        <w:rPr>
          <w:color w:val="14315E"/>
        </w:rPr>
        <w:t>https://doi.org/10.1016/j.scitotenv.2020.142414</w:t>
      </w:r>
    </w:p>
    <w:p w14:paraId="41E75F6B" w14:textId="467E0843" w:rsidR="0079789B" w:rsidRDefault="00000000">
      <w:pPr>
        <w:pStyle w:val="ReferenceEntry"/>
      </w:pPr>
      <w:r>
        <w:t xml:space="preserve">Lin, W., Zhao, B., Ping, S., Zhang, X., Ji, Y., &amp; Ren, Y. (2022). Ultraviolet oxidative degradation of typical antidepressants: Pathway, product toxicity, and DFT theoretical calculation. </w:t>
      </w:r>
      <w:r>
        <w:rPr>
          <w:i/>
        </w:rPr>
        <w:t>Chemosphere, 305</w:t>
      </w:r>
      <w:r>
        <w:t xml:space="preserve">, 135440. </w:t>
      </w:r>
      <w:r>
        <w:rPr>
          <w:color w:val="14315E"/>
        </w:rPr>
        <w:t>https://doi.org/10.1016/j.chemosphere.2022.135440</w:t>
      </w:r>
    </w:p>
    <w:p w14:paraId="64447691" w14:textId="2E83F69A" w:rsidR="0079789B" w:rsidRDefault="00000000">
      <w:pPr>
        <w:pStyle w:val="ReferenceEntry"/>
      </w:pPr>
      <w:r>
        <w:t xml:space="preserve">Lin, X., Choi, P. M., Thompson, J., Reeks, T., Verhagen, R., </w:t>
      </w:r>
      <w:proofErr w:type="spellStart"/>
      <w:r>
        <w:t>Tscharke</w:t>
      </w:r>
      <w:proofErr w:type="spellEnd"/>
      <w:r>
        <w:t xml:space="preserve">, B. J., O’Malley, E., Shimko, K. M., Guo, X., Thomas, K. V., &amp; O’Brien, J. W. (2021). Systematic evaluation of the in-sample stability of selected pharmaceuticals, illicit drugs, and their metabolites in wastewater. </w:t>
      </w:r>
      <w:r>
        <w:rPr>
          <w:i/>
        </w:rPr>
        <w:t>Environmental Science &amp; Technology, 55</w:t>
      </w:r>
      <w:r>
        <w:t xml:space="preserve">(11), 7418–7429. </w:t>
      </w:r>
      <w:r>
        <w:rPr>
          <w:color w:val="14315E"/>
        </w:rPr>
        <w:t>https://doi.org/10.1021/acs.est.1c00396</w:t>
      </w:r>
    </w:p>
    <w:p w14:paraId="31858BB1" w14:textId="1DA819C0" w:rsidR="0079789B" w:rsidRDefault="00000000">
      <w:pPr>
        <w:pStyle w:val="ReferenceEntry"/>
      </w:pPr>
      <w:r>
        <w:t xml:space="preserve">Ljunggren, B., &amp; Möller, H. (1977). Phenothiazine phototoxicity: An experimental study on chlorpromazine and its metabolites. </w:t>
      </w:r>
      <w:r>
        <w:rPr>
          <w:i/>
        </w:rPr>
        <w:t>Journal of Investigative Dermatology, 68</w:t>
      </w:r>
      <w:r>
        <w:t xml:space="preserve">(5), 313–317. </w:t>
      </w:r>
      <w:r>
        <w:rPr>
          <w:color w:val="14315E"/>
        </w:rPr>
        <w:t>https://doi.org/10.1111/1523-1747.ep12494582</w:t>
      </w:r>
    </w:p>
    <w:p w14:paraId="6B4CD82B" w14:textId="0B71B1ED" w:rsidR="0079789B" w:rsidRDefault="00000000">
      <w:pPr>
        <w:pStyle w:val="ReferenceEntry"/>
      </w:pPr>
      <w:r>
        <w:t xml:space="preserve">Majumder, A., Otter, P., </w:t>
      </w:r>
      <w:proofErr w:type="spellStart"/>
      <w:r>
        <w:t>Röher</w:t>
      </w:r>
      <w:proofErr w:type="spellEnd"/>
      <w:r>
        <w:t xml:space="preserve">, D., Bhatnagar, A., Khalil, N., Gupta, A. K., Bresciani, R., &amp; Arias, C. A. (2024). Combination of advanced biological systems and photocatalysis for the treatment of real hospital wastewater spiked with carbamazepine: A pilot-scale study. </w:t>
      </w:r>
      <w:r>
        <w:rPr>
          <w:i/>
        </w:rPr>
        <w:t>Journal of Environmental Management, 351</w:t>
      </w:r>
      <w:r>
        <w:t xml:space="preserve">, 119672. </w:t>
      </w:r>
      <w:r>
        <w:rPr>
          <w:color w:val="14315E"/>
        </w:rPr>
        <w:t>https://doi.org/10.1016/j.jenvman.2023.119672</w:t>
      </w:r>
    </w:p>
    <w:p w14:paraId="7E0DE5C6" w14:textId="3AD011FF" w:rsidR="0079789B" w:rsidRDefault="00000000">
      <w:pPr>
        <w:pStyle w:val="ReferenceEntry"/>
      </w:pPr>
      <w:r>
        <w:lastRenderedPageBreak/>
        <w:t xml:space="preserve">McCall, A.-K., Bade, R., Kinyua, J., Lai, F. Y., Thai, P. K., Covaci, A., Bijlsma, L., van Nuijs, A. L. N., &amp; Ort, C. (2016). Critical review on the stability of illicit drugs in sewers and wastewater samples. </w:t>
      </w:r>
      <w:r>
        <w:rPr>
          <w:i/>
        </w:rPr>
        <w:t>Water Research, 88</w:t>
      </w:r>
      <w:r>
        <w:t xml:space="preserve">, 933–947. </w:t>
      </w:r>
      <w:r>
        <w:rPr>
          <w:color w:val="14315E"/>
        </w:rPr>
        <w:t>https://doi.org/10.1016/j.watres.2015.10.040</w:t>
      </w:r>
    </w:p>
    <w:p w14:paraId="7634DC61" w14:textId="0F5C1735" w:rsidR="0079789B" w:rsidRDefault="00000000">
      <w:pPr>
        <w:pStyle w:val="ReferenceEntry"/>
      </w:pPr>
      <w:proofErr w:type="spellStart"/>
      <w:r>
        <w:t>Mitsika</w:t>
      </w:r>
      <w:proofErr w:type="spellEnd"/>
      <w:r>
        <w:t xml:space="preserve">, E. E., </w:t>
      </w:r>
      <w:proofErr w:type="spellStart"/>
      <w:r>
        <w:t>Christophoridis</w:t>
      </w:r>
      <w:proofErr w:type="spellEnd"/>
      <w:r>
        <w:t xml:space="preserve">, C., Kouinoglou, N., Lazaridis, N., Zacharis, C. K., &amp; </w:t>
      </w:r>
      <w:proofErr w:type="spellStart"/>
      <w:r>
        <w:t>Fytianos</w:t>
      </w:r>
      <w:proofErr w:type="spellEnd"/>
      <w:r>
        <w:t xml:space="preserve">, K. (2021). Optimized photo-Fenton degradation of psychoactive pharmaceuticals alprazolam and diazepam using a chemometric approach—Structure and toxicity of transformation products. </w:t>
      </w:r>
      <w:r>
        <w:rPr>
          <w:i/>
        </w:rPr>
        <w:t>Journal of Hazardous Materials, 403</w:t>
      </w:r>
      <w:r>
        <w:t xml:space="preserve">, 123819. </w:t>
      </w:r>
      <w:r>
        <w:rPr>
          <w:color w:val="14315E"/>
        </w:rPr>
        <w:t>https://doi.org/10.1016/j.jhazmat.2020.123819</w:t>
      </w:r>
    </w:p>
    <w:p w14:paraId="64F77464" w14:textId="2B7FFB51" w:rsidR="0079789B" w:rsidRDefault="00000000">
      <w:pPr>
        <w:pStyle w:val="ReferenceEntry"/>
      </w:pPr>
      <w:proofErr w:type="spellStart"/>
      <w:r>
        <w:t>Mohamadpour</w:t>
      </w:r>
      <w:proofErr w:type="spellEnd"/>
      <w:r>
        <w:t xml:space="preserve">, F., &amp; </w:t>
      </w:r>
      <w:proofErr w:type="spellStart"/>
      <w:r>
        <w:t>Mohamadpour</w:t>
      </w:r>
      <w:proofErr w:type="spellEnd"/>
      <w:r>
        <w:t xml:space="preserve">, F. (2024). Photodegradation of six selected </w:t>
      </w:r>
      <w:proofErr w:type="spellStart"/>
      <w:r>
        <w:t>antipsychiatric</w:t>
      </w:r>
      <w:proofErr w:type="spellEnd"/>
      <w:r>
        <w:t xml:space="preserve"> drugs; carbamazepine, sertraline, amisulpride, amitriptyline, diazepam, and alprazolam in environment: Efficiency, pathway, and mechanism—A review. </w:t>
      </w:r>
      <w:r>
        <w:rPr>
          <w:i/>
        </w:rPr>
        <w:t>Sustainable Environment Research, 34</w:t>
      </w:r>
      <w:r>
        <w:t xml:space="preserve">, 8. </w:t>
      </w:r>
      <w:r>
        <w:rPr>
          <w:color w:val="14315E"/>
        </w:rPr>
        <w:t>https://doi.org/10.1186/s42834-024-00214-0</w:t>
      </w:r>
    </w:p>
    <w:p w14:paraId="0439039D" w14:textId="0FEDED53" w:rsidR="0079789B" w:rsidRDefault="00000000">
      <w:pPr>
        <w:pStyle w:val="ReferenceEntry"/>
      </w:pPr>
      <w:proofErr w:type="spellStart"/>
      <w:r>
        <w:t>Nałecz-Jawecki</w:t>
      </w:r>
      <w:proofErr w:type="spellEnd"/>
      <w:r>
        <w:t xml:space="preserve">, G., Hajnas, A., &amp; Sawicki, J. (2008). Photodegradation and phototoxicity of thioridazine and chlorpromazine evaluated with chemical analysis and aquatic organisms. </w:t>
      </w:r>
      <w:r>
        <w:rPr>
          <w:i/>
        </w:rPr>
        <w:t>Ecotoxicology, 17</w:t>
      </w:r>
      <w:r>
        <w:t xml:space="preserve">(1), 13–20. </w:t>
      </w:r>
      <w:r>
        <w:rPr>
          <w:color w:val="14315E"/>
        </w:rPr>
        <w:t>https://doi.org/10.1007/s10646-007-0171-z</w:t>
      </w:r>
    </w:p>
    <w:p w14:paraId="1A4C4500" w14:textId="21507CA2" w:rsidR="0079789B" w:rsidRDefault="00000000">
      <w:pPr>
        <w:pStyle w:val="ReferenceEntry"/>
      </w:pPr>
      <w:proofErr w:type="spellStart"/>
      <w:r>
        <w:t>Navidpour</w:t>
      </w:r>
      <w:proofErr w:type="spellEnd"/>
      <w:r>
        <w:t xml:space="preserve">, A. H., Ahmed, M. B., &amp; Zhou, J. L. (2024). Photocatalytic degradation of pharmaceutical residues from water and sewage effluent using different </w:t>
      </w:r>
      <w:proofErr w:type="spellStart"/>
      <w:r>
        <w:t>TiO</w:t>
      </w:r>
      <w:proofErr w:type="spellEnd"/>
      <w:r>
        <w:t xml:space="preserve">₂ nanomaterials. </w:t>
      </w:r>
      <w:r>
        <w:rPr>
          <w:i/>
        </w:rPr>
        <w:t>Nanomaterials, 14</w:t>
      </w:r>
      <w:r>
        <w:t xml:space="preserve">(2), 135. </w:t>
      </w:r>
      <w:r>
        <w:rPr>
          <w:color w:val="14315E"/>
        </w:rPr>
        <w:t>https://doi.org/10.3390/nano14020135</w:t>
      </w:r>
    </w:p>
    <w:p w14:paraId="7AFFD5DB" w14:textId="2E5D82C2" w:rsidR="0079789B" w:rsidRDefault="00000000">
      <w:pPr>
        <w:pStyle w:val="ReferenceEntry"/>
      </w:pPr>
      <w:r>
        <w:t xml:space="preserve">Novikov, M. V., Snytnikova, O. A., Fedunov, R. G., </w:t>
      </w:r>
      <w:proofErr w:type="spellStart"/>
      <w:r>
        <w:t>Yanshole</w:t>
      </w:r>
      <w:proofErr w:type="spellEnd"/>
      <w:r>
        <w:t xml:space="preserve">, V. V., Grivin, V. P., </w:t>
      </w:r>
      <w:proofErr w:type="spellStart"/>
      <w:r>
        <w:t>Plyusnin</w:t>
      </w:r>
      <w:proofErr w:type="spellEnd"/>
      <w:r>
        <w:t xml:space="preserve">, V. F., Xu, J., &amp; Pozdnyakov, I. P. (2023). A new view on the mechanism of UV photodegradation of the tricyclic antidepressant carbamazepine in aqueous solutions. </w:t>
      </w:r>
      <w:r>
        <w:rPr>
          <w:i/>
        </w:rPr>
        <w:t>Chemosphere, 329</w:t>
      </w:r>
      <w:r>
        <w:t xml:space="preserve">, 138652. </w:t>
      </w:r>
      <w:r>
        <w:rPr>
          <w:color w:val="14315E"/>
        </w:rPr>
        <w:t>https://doi.org/10.1016/j.chemosphere.2023.138652</w:t>
      </w:r>
    </w:p>
    <w:p w14:paraId="43BC2FFD" w14:textId="31B14A0A" w:rsidR="0079789B" w:rsidRDefault="00000000">
      <w:pPr>
        <w:pStyle w:val="ReferenceEntry"/>
      </w:pPr>
      <w:r>
        <w:t xml:space="preserve">Pan, Y., Cheng, S., Yang, X., Ren, J., Fang, J., Shang, C., Song, W., Lian, L., &amp; Zhang, X. (2017). UV/chlorine treatment of carbamazepine: Transformation products and their formation kinetics. </w:t>
      </w:r>
      <w:r>
        <w:rPr>
          <w:i/>
        </w:rPr>
        <w:t>Water Research, 116</w:t>
      </w:r>
      <w:r>
        <w:t xml:space="preserve">, 254–265. </w:t>
      </w:r>
      <w:r>
        <w:rPr>
          <w:color w:val="14315E"/>
        </w:rPr>
        <w:t>https://doi.org/10.1016/j.watres.2017.03.033</w:t>
      </w:r>
    </w:p>
    <w:p w14:paraId="2589D973" w14:textId="71DF39F9" w:rsidR="0079789B" w:rsidRDefault="00000000">
      <w:pPr>
        <w:pStyle w:val="ReferenceEntry"/>
      </w:pPr>
      <w:r>
        <w:t xml:space="preserve">Perini, J. A. L., Silva, B. C. E., Tonetti, A. L., &amp; Nogueira, R. F. P. (2017). Photo-Fenton degradation of the pharmaceuticals ciprofloxacin and fluoxetine after anaerobic pre-treatment of hospital effluent. </w:t>
      </w:r>
      <w:r>
        <w:rPr>
          <w:i/>
        </w:rPr>
        <w:t>Environmental Science and Pollution Research, 24</w:t>
      </w:r>
      <w:r>
        <w:t xml:space="preserve">(7), 6233–6240. </w:t>
      </w:r>
      <w:r>
        <w:rPr>
          <w:color w:val="14315E"/>
        </w:rPr>
        <w:t>https://doi.org/10.1007/s11356-016-7416-4</w:t>
      </w:r>
    </w:p>
    <w:p w14:paraId="3467D0C4" w14:textId="03B4D3D5" w:rsidR="0079789B" w:rsidRDefault="00000000">
      <w:pPr>
        <w:pStyle w:val="ReferenceEntry"/>
      </w:pPr>
      <w:r>
        <w:t xml:space="preserve">Raeke, J., </w:t>
      </w:r>
      <w:proofErr w:type="spellStart"/>
      <w:r>
        <w:t>Lechtenfeld</w:t>
      </w:r>
      <w:proofErr w:type="spellEnd"/>
      <w:r>
        <w:t xml:space="preserve">, O. J., Seiwert, B., Meier, T., Riemenschneider, C., &amp; Reemtsma, T. (2017). Photochemically induced bound residue formation of carbamazepine with dissolved organic matter. </w:t>
      </w:r>
      <w:r>
        <w:rPr>
          <w:i/>
        </w:rPr>
        <w:t>Environmental Science &amp; Technology, 51</w:t>
      </w:r>
      <w:r>
        <w:t xml:space="preserve">(10), 5523–5530. </w:t>
      </w:r>
      <w:r>
        <w:rPr>
          <w:color w:val="14315E"/>
        </w:rPr>
        <w:t>https://doi.org/10.1021/acs.est.7b00823</w:t>
      </w:r>
    </w:p>
    <w:p w14:paraId="0DC0CDB1" w14:textId="6C6A4CAC" w:rsidR="0079789B" w:rsidRDefault="00000000">
      <w:pPr>
        <w:pStyle w:val="ReferenceEntry"/>
      </w:pPr>
      <w:r>
        <w:t xml:space="preserve">Spina, M., Venâncio, W., Rodrigues-Silva, C., </w:t>
      </w:r>
      <w:proofErr w:type="spellStart"/>
      <w:r>
        <w:t>Pivetta</w:t>
      </w:r>
      <w:proofErr w:type="spellEnd"/>
      <w:r>
        <w:t xml:space="preserve">, R. C., Diniz, V., Rath, S., &amp; Guimarães, J. R. (2021). Degradation of antidepressant pharmaceuticals by </w:t>
      </w:r>
      <w:proofErr w:type="spellStart"/>
      <w:r>
        <w:t>photoperoxidation</w:t>
      </w:r>
      <w:proofErr w:type="spellEnd"/>
      <w:r>
        <w:t xml:space="preserve"> in diverse water matrices: A highlight in the evaluation of acute and chronic toxicity. </w:t>
      </w:r>
      <w:r>
        <w:rPr>
          <w:i/>
        </w:rPr>
        <w:t>Environmental Science and Pollution Research, 28</w:t>
      </w:r>
      <w:r>
        <w:t xml:space="preserve">(19), 24034–24045. </w:t>
      </w:r>
      <w:r>
        <w:rPr>
          <w:color w:val="14315E"/>
        </w:rPr>
        <w:t>https://doi.org/10.1007/s11356-020-11657-4</w:t>
      </w:r>
    </w:p>
    <w:p w14:paraId="389FB4A7" w14:textId="32C06FD8" w:rsidR="0079789B" w:rsidRDefault="00000000">
      <w:pPr>
        <w:pStyle w:val="ReferenceEntry"/>
      </w:pPr>
      <w:r>
        <w:t xml:space="preserve">Srivastava, S. K. (2024). Recent advances in removal of pharmaceutical pollutants in wastewater using metal oxides and carbonaceous materials as photocatalysts: A review. </w:t>
      </w:r>
      <w:r>
        <w:rPr>
          <w:i/>
        </w:rPr>
        <w:t>RSC Applied Interfaces, 1</w:t>
      </w:r>
      <w:r>
        <w:t xml:space="preserve">(3), 340–429. </w:t>
      </w:r>
      <w:r>
        <w:rPr>
          <w:color w:val="14315E"/>
        </w:rPr>
        <w:t>https://doi.org/10.1039/D3LF00142C</w:t>
      </w:r>
    </w:p>
    <w:p w14:paraId="61E22ABB" w14:textId="6F15F4EF" w:rsidR="0079789B" w:rsidRDefault="00000000">
      <w:pPr>
        <w:pStyle w:val="ReferenceEntry"/>
      </w:pPr>
      <w:r>
        <w:t xml:space="preserve">Thai, P. K., Jiang, G., </w:t>
      </w:r>
      <w:proofErr w:type="spellStart"/>
      <w:r>
        <w:t>Gernjak</w:t>
      </w:r>
      <w:proofErr w:type="spellEnd"/>
      <w:r>
        <w:t xml:space="preserve">, W., Yuan, Z., Lai, F. Y., &amp; Mueller, J. F. (2014). Effects of sewer conditions on the degradation of selected illicit drug residues in wastewater. </w:t>
      </w:r>
      <w:r>
        <w:rPr>
          <w:i/>
        </w:rPr>
        <w:t>Water Research, 48</w:t>
      </w:r>
      <w:r>
        <w:t xml:space="preserve">, 538–547. </w:t>
      </w:r>
      <w:r>
        <w:rPr>
          <w:color w:val="14315E"/>
        </w:rPr>
        <w:t>https://doi.org/10.1016/j.watres.2013.10.019</w:t>
      </w:r>
    </w:p>
    <w:p w14:paraId="3C8E2D63" w14:textId="37954D92" w:rsidR="0079789B" w:rsidRDefault="00000000">
      <w:pPr>
        <w:pStyle w:val="ReferenceEntry"/>
      </w:pPr>
      <w:proofErr w:type="spellStart"/>
      <w:r>
        <w:t>Trawiński</w:t>
      </w:r>
      <w:proofErr w:type="spellEnd"/>
      <w:r>
        <w:t xml:space="preserve">, J., &amp; </w:t>
      </w:r>
      <w:proofErr w:type="spellStart"/>
      <w:r>
        <w:t>Skibiński</w:t>
      </w:r>
      <w:proofErr w:type="spellEnd"/>
      <w:r>
        <w:t xml:space="preserve">, R. (2017). Studies on photodegradation process of psychotropic drugs: A review. </w:t>
      </w:r>
      <w:r>
        <w:rPr>
          <w:i/>
        </w:rPr>
        <w:t>Environmental Science and Pollution Research, 24</w:t>
      </w:r>
      <w:r>
        <w:t xml:space="preserve">(2), 1152–1199. </w:t>
      </w:r>
      <w:r>
        <w:rPr>
          <w:color w:val="14315E"/>
        </w:rPr>
        <w:t>https://doi.org/10.1007/s11356-016-7727-5</w:t>
      </w:r>
    </w:p>
    <w:p w14:paraId="3570068F" w14:textId="447D7B8E" w:rsidR="0079789B" w:rsidRDefault="00000000">
      <w:pPr>
        <w:pStyle w:val="ReferenceEntry"/>
      </w:pPr>
      <w:proofErr w:type="spellStart"/>
      <w:r>
        <w:t>Vogna</w:t>
      </w:r>
      <w:proofErr w:type="spellEnd"/>
      <w:r>
        <w:t xml:space="preserve">, D., Marotta, R., Andreozzi, R., Napolitano, A., &amp; </w:t>
      </w:r>
      <w:proofErr w:type="spellStart"/>
      <w:r>
        <w:t>d’Ischia</w:t>
      </w:r>
      <w:proofErr w:type="spellEnd"/>
      <w:r>
        <w:t xml:space="preserve">, M. (2004). Kinetic and chemical assessment of the UV/H₂O₂ treatment of antiepileptic drug carbamazepine. </w:t>
      </w:r>
      <w:r>
        <w:rPr>
          <w:i/>
        </w:rPr>
        <w:t>Chemosphere, 54</w:t>
      </w:r>
      <w:r>
        <w:t xml:space="preserve">(4), 497–505. </w:t>
      </w:r>
      <w:r>
        <w:rPr>
          <w:color w:val="14315E"/>
        </w:rPr>
        <w:t>https://doi.org/10.1016/S0045-6535(03)00757-4</w:t>
      </w:r>
    </w:p>
    <w:p w14:paraId="25B85C64" w14:textId="72FE5077" w:rsidR="0079789B" w:rsidRDefault="00000000">
      <w:pPr>
        <w:pStyle w:val="ReferenceEntry"/>
      </w:pPr>
      <w:r>
        <w:t xml:space="preserve">Zou, R., Tang, K., </w:t>
      </w:r>
      <w:proofErr w:type="spellStart"/>
      <w:r>
        <w:t>Angelidaki</w:t>
      </w:r>
      <w:proofErr w:type="spellEnd"/>
      <w:r>
        <w:t xml:space="preserve">, I., Andersen, H. R., &amp; Zhang, Y. (2020). An innovative microbial electrochemical ultraviolet photolysis cell (MEUC) for efficient degradation of carbamazepine. </w:t>
      </w:r>
      <w:r>
        <w:rPr>
          <w:i/>
        </w:rPr>
        <w:t>Water Research, 187</w:t>
      </w:r>
      <w:r>
        <w:t xml:space="preserve">, 116451. </w:t>
      </w:r>
      <w:r>
        <w:rPr>
          <w:color w:val="14315E"/>
        </w:rPr>
        <w:t>https://doi.org/10.1016/j.watres.2020.116451</w:t>
      </w:r>
    </w:p>
    <w:sectPr w:rsidR="0079789B" w:rsidSect="00034616">
      <w:headerReference w:type="even" r:id="rId8"/>
      <w:headerReference w:type="default" r:id="rId9"/>
      <w:footerReference w:type="even" r:id="rId10"/>
      <w:footerReference w:type="default" r:id="rId11"/>
      <w:headerReference w:type="first" r:id="rId12"/>
      <w:footerReference w:type="first" r:id="rId13"/>
      <w:pgSz w:w="12240" w:h="15840"/>
      <w:pgMar w:top="1181" w:right="1195" w:bottom="1123" w:left="11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EB55" w14:textId="77777777" w:rsidR="000B041F" w:rsidRDefault="000B041F">
      <w:pPr>
        <w:spacing w:after="0" w:line="240" w:lineRule="auto"/>
      </w:pPr>
      <w:r>
        <w:separator/>
      </w:r>
    </w:p>
  </w:endnote>
  <w:endnote w:type="continuationSeparator" w:id="0">
    <w:p w14:paraId="26A18AD2" w14:textId="77777777" w:rsidR="000B041F" w:rsidRDefault="000B0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6B0B" w14:textId="77777777" w:rsidR="00741F58" w:rsidRDefault="00741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03BC2" w14:textId="77777777" w:rsidR="0079789B" w:rsidRDefault="00000000">
    <w:pPr>
      <w:pStyle w:val="Footer"/>
      <w:jc w:val="center"/>
    </w:pPr>
    <w:r>
      <w:fldChar w:fldCharType="begin"/>
    </w:r>
    <w:r>
      <w:instrText>PAGE</w:instrText>
    </w:r>
    <w:r>
      <w:fldChar w:fldCharType="separate"/>
    </w:r>
    <w:r w:rsidR="001A32C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EE42" w14:textId="77777777" w:rsidR="00741F58" w:rsidRDefault="00741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02BD7" w14:textId="77777777" w:rsidR="000B041F" w:rsidRDefault="000B041F">
      <w:pPr>
        <w:spacing w:after="0" w:line="240" w:lineRule="auto"/>
      </w:pPr>
      <w:r>
        <w:separator/>
      </w:r>
    </w:p>
  </w:footnote>
  <w:footnote w:type="continuationSeparator" w:id="0">
    <w:p w14:paraId="10EB7FF5" w14:textId="77777777" w:rsidR="000B041F" w:rsidRDefault="000B0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61E2A" w14:textId="7547C50A" w:rsidR="00741F58" w:rsidRDefault="00741F58">
    <w:pPr>
      <w:pStyle w:val="Header"/>
    </w:pPr>
    <w:r>
      <w:rPr>
        <w:noProof/>
      </w:rPr>
      <w:pict w14:anchorId="6C7F93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87657" o:spid="_x0000_s1026" type="#_x0000_t136" style="position:absolute;margin-left:0;margin-top:0;width:617.15pt;height:77.1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3356" w14:textId="256FC5E7" w:rsidR="00741F58" w:rsidRDefault="00741F58">
    <w:pPr>
      <w:pStyle w:val="Header"/>
    </w:pPr>
    <w:r>
      <w:rPr>
        <w:noProof/>
      </w:rPr>
      <w:pict w14:anchorId="64978F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87658" o:spid="_x0000_s1027" type="#_x0000_t136" style="position:absolute;margin-left:0;margin-top:0;width:617.15pt;height:77.1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986A" w14:textId="19AA53F9" w:rsidR="00741F58" w:rsidRDefault="00741F58">
    <w:pPr>
      <w:pStyle w:val="Header"/>
    </w:pPr>
    <w:r>
      <w:rPr>
        <w:noProof/>
      </w:rPr>
      <w:pict w14:anchorId="7A6898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87656" o:spid="_x0000_s1025" type="#_x0000_t136" style="position:absolute;margin-left:0;margin-top:0;width:617.15pt;height:77.1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7765706">
    <w:abstractNumId w:val="8"/>
  </w:num>
  <w:num w:numId="2" w16cid:durableId="974213940">
    <w:abstractNumId w:val="6"/>
  </w:num>
  <w:num w:numId="3" w16cid:durableId="1117064794">
    <w:abstractNumId w:val="5"/>
  </w:num>
  <w:num w:numId="4" w16cid:durableId="22555088">
    <w:abstractNumId w:val="4"/>
  </w:num>
  <w:num w:numId="5" w16cid:durableId="1715539900">
    <w:abstractNumId w:val="7"/>
  </w:num>
  <w:num w:numId="6" w16cid:durableId="490100651">
    <w:abstractNumId w:val="3"/>
  </w:num>
  <w:num w:numId="7" w16cid:durableId="508759214">
    <w:abstractNumId w:val="2"/>
  </w:num>
  <w:num w:numId="8" w16cid:durableId="1722241100">
    <w:abstractNumId w:val="1"/>
  </w:num>
  <w:num w:numId="9" w16cid:durableId="123446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41F"/>
    <w:rsid w:val="0015074B"/>
    <w:rsid w:val="001A32C7"/>
    <w:rsid w:val="0029639D"/>
    <w:rsid w:val="00326F90"/>
    <w:rsid w:val="003D39F7"/>
    <w:rsid w:val="00414D96"/>
    <w:rsid w:val="004520EF"/>
    <w:rsid w:val="00741F58"/>
    <w:rsid w:val="0079789B"/>
    <w:rsid w:val="00A4348C"/>
    <w:rsid w:val="00A964EA"/>
    <w:rsid w:val="00AA1D8D"/>
    <w:rsid w:val="00B47730"/>
    <w:rsid w:val="00C912D0"/>
    <w:rsid w:val="00CB0664"/>
    <w:rsid w:val="00DC7C2B"/>
    <w:rsid w:val="00E722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41842B"/>
  <w14:defaultImageDpi w14:val="300"/>
  <w15:docId w15:val="{ACC647CB-0ACF-446C-965D-7789DB63E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pPr>
    <w:rPr>
      <w:rFonts w:ascii="Cambria" w:hAnsi="Cambria"/>
      <w:color w:val="1C242D"/>
      <w:sz w:val="21"/>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color w:val="1A344D"/>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03E5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b/>
      <w:color w:val="17365D" w:themeColor="text2" w:themeShade="BF"/>
      <w:spacing w:val="5"/>
      <w:kern w:val="28"/>
      <w:sz w:val="3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ind w:firstLine="259"/>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basedOn w:val="Normal"/>
    <w:pPr>
      <w:keepNext/>
      <w:spacing w:before="200" w:after="100"/>
    </w:pPr>
    <w:rPr>
      <w:b/>
      <w:sz w:val="19"/>
    </w:rPr>
  </w:style>
  <w:style w:type="paragraph" w:customStyle="1" w:styleId="TableBody">
    <w:name w:val="Table Body"/>
    <w:basedOn w:val="Normal"/>
    <w:pPr>
      <w:spacing w:after="0" w:line="254" w:lineRule="auto"/>
    </w:pPr>
    <w:rPr>
      <w:sz w:val="16"/>
    </w:rPr>
  </w:style>
  <w:style w:type="paragraph" w:customStyle="1" w:styleId="TableNote">
    <w:name w:val="Table Note"/>
    <w:basedOn w:val="Normal"/>
    <w:rPr>
      <w:i/>
      <w:sz w:val="16"/>
    </w:rPr>
  </w:style>
  <w:style w:type="paragraph" w:customStyle="1" w:styleId="Keywords">
    <w:name w:val="Keywords"/>
    <w:basedOn w:val="Normal"/>
    <w:pPr>
      <w:spacing w:after="220"/>
    </w:pPr>
  </w:style>
  <w:style w:type="paragraph" w:customStyle="1" w:styleId="ReferenceEntry">
    <w:name w:val="Reference Entry"/>
    <w:basedOn w:val="Normal"/>
    <w:pPr>
      <w:spacing w:after="100" w:line="264" w:lineRule="auto"/>
      <w:ind w:left="346" w:hanging="346"/>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16421</Words>
  <Characters>93606</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Photochemical transformations in the management of psychoactive drug residues: A critical narrative review</dc:title>
  <dc:subject>Environmental photochemistry, psychotropic compounds, transformation products and risk assessment</dc:subject>
  <dc:creator/>
  <cp:keywords/>
  <dc:description>generated by python-docx</dc:description>
  <cp:lastModifiedBy>SDI 1084</cp:lastModifiedBy>
  <cp:revision>6</cp:revision>
  <dcterms:created xsi:type="dcterms:W3CDTF">2013-12-23T23:15:00Z</dcterms:created>
  <dcterms:modified xsi:type="dcterms:W3CDTF">2026-11-02T13:56:00Z</dcterms:modified>
  <cp:category/>
</cp:coreProperties>
</file>