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A7B6E" w14:textId="77777777" w:rsidR="00110DD1" w:rsidRPr="00110DD1" w:rsidRDefault="00110DD1" w:rsidP="00110DD1">
      <w:pPr>
        <w:pStyle w:val="Title"/>
        <w:spacing w:after="240"/>
        <w:rPr>
          <w:rFonts w:ascii="Arial" w:eastAsia="Arial" w:hAnsi="Arial" w:cs="Arial"/>
          <w:bCs/>
          <w:i/>
          <w:iCs/>
          <w:u w:val="single"/>
        </w:rPr>
      </w:pPr>
      <w:r w:rsidRPr="00110DD1">
        <w:rPr>
          <w:rFonts w:ascii="Arial" w:eastAsia="Arial" w:hAnsi="Arial" w:cs="Arial"/>
          <w:bCs/>
          <w:i/>
          <w:iCs/>
          <w:u w:val="single"/>
        </w:rPr>
        <w:t>Original Research Article</w:t>
      </w:r>
    </w:p>
    <w:p w14:paraId="7C3E31D4" w14:textId="77777777" w:rsidR="007A1019" w:rsidRPr="00B91AE6" w:rsidRDefault="00000000" w:rsidP="00B91AE6">
      <w:pPr>
        <w:pStyle w:val="Title"/>
        <w:spacing w:after="240"/>
        <w:rPr>
          <w:rFonts w:ascii="Arial" w:hAnsi="Arial" w:cs="Arial"/>
        </w:rPr>
      </w:pPr>
      <w:r w:rsidRPr="00B91AE6">
        <w:rPr>
          <w:rFonts w:ascii="Arial" w:eastAsia="Arial" w:hAnsi="Arial" w:cs="Arial"/>
        </w:rPr>
        <w:t xml:space="preserve">Exploiting potential </w:t>
      </w:r>
      <w:r w:rsidRPr="00B91AE6">
        <w:rPr>
          <w:rFonts w:ascii="Arial" w:eastAsia="Arial" w:hAnsi="Arial" w:cs="Arial"/>
          <w:i/>
        </w:rPr>
        <w:t>Solanum</w:t>
      </w:r>
      <w:r w:rsidRPr="00B91AE6">
        <w:rPr>
          <w:rFonts w:ascii="Arial" w:eastAsia="Arial" w:hAnsi="Arial" w:cs="Arial"/>
        </w:rPr>
        <w:t xml:space="preserve"> rootstocks for the management of </w:t>
      </w:r>
      <w:r w:rsidRPr="00B91AE6">
        <w:rPr>
          <w:rFonts w:ascii="Arial" w:eastAsia="Arial" w:hAnsi="Arial" w:cs="Arial"/>
          <w:i/>
        </w:rPr>
        <w:t>Meloidogyne</w:t>
      </w:r>
      <w:r w:rsidRPr="00B91AE6">
        <w:rPr>
          <w:rFonts w:ascii="Arial" w:eastAsia="Arial" w:hAnsi="Arial" w:cs="Arial"/>
        </w:rPr>
        <w:t xml:space="preserve"> </w:t>
      </w:r>
      <w:r w:rsidRPr="00B91AE6">
        <w:rPr>
          <w:rFonts w:ascii="Arial" w:eastAsia="Arial" w:hAnsi="Arial" w:cs="Arial"/>
          <w:i/>
        </w:rPr>
        <w:t>incognita</w:t>
      </w:r>
      <w:r w:rsidRPr="00B91AE6">
        <w:rPr>
          <w:rFonts w:ascii="Arial" w:eastAsia="Arial" w:hAnsi="Arial" w:cs="Arial"/>
        </w:rPr>
        <w:t xml:space="preserve"> in tomato through grafting</w:t>
      </w:r>
    </w:p>
    <w:p w14:paraId="790A906B" w14:textId="77777777" w:rsidR="00A01317" w:rsidRPr="00B91AE6" w:rsidRDefault="00A01317" w:rsidP="00E748B3">
      <w:pPr>
        <w:pBdr>
          <w:bottom w:val="single" w:sz="10" w:space="1" w:color="000000"/>
        </w:pBdr>
        <w:spacing w:before="80" w:after="100"/>
        <w:rPr>
          <w:rFonts w:ascii="Arial" w:hAnsi="Arial" w:cs="Arial"/>
        </w:rPr>
      </w:pPr>
    </w:p>
    <w:p w14:paraId="25534332" w14:textId="77777777" w:rsidR="007A1019" w:rsidRPr="00B91AE6" w:rsidRDefault="00000000">
      <w:pPr>
        <w:pStyle w:val="AbstHead"/>
        <w:rPr>
          <w:rFonts w:ascii="Arial" w:hAnsi="Arial" w:cs="Arial"/>
        </w:rPr>
      </w:pPr>
      <w:r w:rsidRPr="00B91AE6">
        <w:rPr>
          <w:rFonts w:ascii="Arial" w:eastAsia="Arial" w:hAnsi="Arial" w:cs="Arial"/>
        </w:rPr>
        <w:t>ABSTRACT</w:t>
      </w:r>
    </w:p>
    <w:p w14:paraId="5F8B5AE4" w14:textId="77777777" w:rsidR="0028227E" w:rsidRDefault="0028227E" w:rsidP="0028227E">
      <w:pPr>
        <w:pStyle w:val="NormalWeb"/>
      </w:pPr>
      <w:r>
        <w:rPr>
          <w:rStyle w:val="Emphasis"/>
        </w:rPr>
        <w:t>Meloidogyne incognita</w:t>
      </w:r>
      <w:r>
        <w:t xml:space="preserve"> constrains tomato production and can increase reliance on chemical nematicides. This study evaluated graft compatibility and the performance of susceptible tomato cultivars grafted onto selected resistant </w:t>
      </w:r>
      <w:r>
        <w:rPr>
          <w:rStyle w:val="Emphasis"/>
        </w:rPr>
        <w:t>Solanum</w:t>
      </w:r>
      <w:r>
        <w:t xml:space="preserve"> rootstocks under nematode-infested field conditions in Assam. The susceptible cultivars Arka Samrat and Dona-55 were grafted onto </w:t>
      </w:r>
      <w:r>
        <w:rPr>
          <w:rStyle w:val="Emphasis"/>
        </w:rPr>
        <w:t xml:space="preserve">S. </w:t>
      </w:r>
      <w:proofErr w:type="spellStart"/>
      <w:r>
        <w:rPr>
          <w:rStyle w:val="Emphasis"/>
        </w:rPr>
        <w:t>torvum</w:t>
      </w:r>
      <w:proofErr w:type="spellEnd"/>
      <w:r>
        <w:t xml:space="preserve"> or </w:t>
      </w:r>
      <w:r>
        <w:rPr>
          <w:rStyle w:val="Emphasis"/>
        </w:rPr>
        <w:t xml:space="preserve">S. </w:t>
      </w:r>
      <w:proofErr w:type="spellStart"/>
      <w:r>
        <w:rPr>
          <w:rStyle w:val="Emphasis"/>
        </w:rPr>
        <w:t>lycopersicum</w:t>
      </w:r>
      <w:proofErr w:type="spellEnd"/>
      <w:r>
        <w:t xml:space="preserve"> cv. Hisar Lalit using the cleft-grafting technique. A </w:t>
      </w:r>
      <w:proofErr w:type="spellStart"/>
      <w:r>
        <w:t>randomised</w:t>
      </w:r>
      <w:proofErr w:type="spellEnd"/>
      <w:r>
        <w:t xml:space="preserve"> block design with six treatments and four replications was used in 2023. Graft success, plant height, days to flowering and fruiting, fruit yield and nematode-related parameters were assessed. The highest graft success was recorded for Arka Samrat grafted onto </w:t>
      </w:r>
      <w:r>
        <w:rPr>
          <w:rStyle w:val="Emphasis"/>
        </w:rPr>
        <w:t xml:space="preserve">S. </w:t>
      </w:r>
      <w:proofErr w:type="spellStart"/>
      <w:r>
        <w:rPr>
          <w:rStyle w:val="Emphasis"/>
        </w:rPr>
        <w:t>torvum</w:t>
      </w:r>
      <w:proofErr w:type="spellEnd"/>
      <w:r>
        <w:t xml:space="preserve"> (67.90%), followed by Dona-55 grafted onto </w:t>
      </w:r>
      <w:r>
        <w:rPr>
          <w:rStyle w:val="Emphasis"/>
        </w:rPr>
        <w:t xml:space="preserve">S. </w:t>
      </w:r>
      <w:proofErr w:type="spellStart"/>
      <w:r>
        <w:rPr>
          <w:rStyle w:val="Emphasis"/>
        </w:rPr>
        <w:t>torvum</w:t>
      </w:r>
      <w:proofErr w:type="spellEnd"/>
      <w:r>
        <w:t xml:space="preserve"> (66.66%). Arka Samrat grafted onto </w:t>
      </w:r>
      <w:r>
        <w:rPr>
          <w:rStyle w:val="Emphasis"/>
        </w:rPr>
        <w:t xml:space="preserve">S. </w:t>
      </w:r>
      <w:proofErr w:type="spellStart"/>
      <w:r>
        <w:rPr>
          <w:rStyle w:val="Emphasis"/>
        </w:rPr>
        <w:t>torvum</w:t>
      </w:r>
      <w:proofErr w:type="spellEnd"/>
      <w:r>
        <w:t xml:space="preserve"> also produced the greatest number of fruits per plant (20.50), the highest average fruit weight (118.38 g) and the highest total fruit yield (628.00 q/ha). This combination had the fewest galls (7.00) and egg masses (2.75) per root system, the lowest final soil nematode population (120.00 per 200 cc) and the lowest reproduction rate (0.49). Grafted plants generally flowered and fruited later than non-grafted plants but showed improved yield and reduced nematode multiplication. Under the conditions studied, </w:t>
      </w:r>
      <w:r>
        <w:rPr>
          <w:rStyle w:val="Emphasis"/>
        </w:rPr>
        <w:t xml:space="preserve">S. </w:t>
      </w:r>
      <w:proofErr w:type="spellStart"/>
      <w:r>
        <w:rPr>
          <w:rStyle w:val="Emphasis"/>
        </w:rPr>
        <w:t>torvum</w:t>
      </w:r>
      <w:proofErr w:type="spellEnd"/>
      <w:r>
        <w:t xml:space="preserve"> was the more promising rootstock for the evaluated tomato cultivars.</w:t>
      </w:r>
    </w:p>
    <w:p w14:paraId="67B885B1" w14:textId="008BBA3D" w:rsidR="0028227E" w:rsidRPr="0028227E" w:rsidRDefault="00000000" w:rsidP="0028227E">
      <w:pPr>
        <w:pStyle w:val="Body"/>
        <w:spacing w:before="100" w:after="160"/>
        <w:rPr>
          <w:rFonts w:ascii="Arial" w:hAnsi="Arial" w:cs="Arial"/>
          <w:i/>
        </w:rPr>
      </w:pPr>
      <w:r w:rsidRPr="00B91AE6">
        <w:rPr>
          <w:rFonts w:ascii="Arial" w:hAnsi="Arial" w:cs="Arial"/>
          <w:i/>
        </w:rPr>
        <w:t xml:space="preserve">Keywords: </w:t>
      </w:r>
      <w:r w:rsidR="0028227E" w:rsidRPr="0028227E">
        <w:rPr>
          <w:rFonts w:ascii="Arial" w:hAnsi="Arial" w:cs="Arial"/>
          <w:i/>
        </w:rPr>
        <w:t xml:space="preserve">Tomato grafting; Solanum </w:t>
      </w:r>
      <w:proofErr w:type="spellStart"/>
      <w:r w:rsidR="0028227E" w:rsidRPr="0028227E">
        <w:rPr>
          <w:rFonts w:ascii="Arial" w:hAnsi="Arial" w:cs="Arial"/>
          <w:i/>
        </w:rPr>
        <w:t>torvum</w:t>
      </w:r>
      <w:proofErr w:type="spellEnd"/>
      <w:r w:rsidR="0028227E" w:rsidRPr="0028227E">
        <w:rPr>
          <w:rFonts w:ascii="Arial" w:hAnsi="Arial" w:cs="Arial"/>
          <w:i/>
        </w:rPr>
        <w:t xml:space="preserve">; Solanum </w:t>
      </w:r>
      <w:proofErr w:type="spellStart"/>
      <w:r w:rsidR="0028227E" w:rsidRPr="0028227E">
        <w:rPr>
          <w:rFonts w:ascii="Arial" w:hAnsi="Arial" w:cs="Arial"/>
          <w:i/>
        </w:rPr>
        <w:t>lycopersicum</w:t>
      </w:r>
      <w:proofErr w:type="spellEnd"/>
      <w:r w:rsidR="0028227E" w:rsidRPr="0028227E">
        <w:rPr>
          <w:rFonts w:ascii="Arial" w:hAnsi="Arial" w:cs="Arial"/>
          <w:i/>
        </w:rPr>
        <w:t>; Meloidogyne incognita; nematode reproduction; fruit yield.</w:t>
      </w:r>
    </w:p>
    <w:p w14:paraId="2CEDBC4E" w14:textId="77777777" w:rsidR="0028227E" w:rsidRPr="0028227E" w:rsidRDefault="0028227E" w:rsidP="0028227E">
      <w:pPr>
        <w:pStyle w:val="Body"/>
        <w:spacing w:before="100" w:after="160"/>
        <w:rPr>
          <w:rFonts w:ascii="Arial" w:hAnsi="Arial" w:cs="Arial"/>
          <w:i/>
        </w:rPr>
      </w:pPr>
    </w:p>
    <w:p w14:paraId="38E79B97" w14:textId="375DD07B" w:rsidR="007A1019" w:rsidRPr="00B91AE6" w:rsidRDefault="0028227E" w:rsidP="0028227E">
      <w:pPr>
        <w:pStyle w:val="Body"/>
        <w:spacing w:before="100" w:after="160"/>
        <w:jc w:val="left"/>
        <w:rPr>
          <w:rFonts w:ascii="Arial" w:hAnsi="Arial" w:cs="Arial"/>
        </w:rPr>
      </w:pPr>
      <w:r w:rsidRPr="0028227E">
        <w:rPr>
          <w:rFonts w:ascii="Arial" w:hAnsi="Arial" w:cs="Arial"/>
          <w:i/>
        </w:rPr>
        <w:t>Abstract</w:t>
      </w:r>
    </w:p>
    <w:p w14:paraId="2848BFA8" w14:textId="77777777" w:rsidR="007A1019" w:rsidRPr="00B91AE6" w:rsidRDefault="00000000">
      <w:pPr>
        <w:pStyle w:val="Head1"/>
        <w:spacing w:before="160" w:after="100"/>
        <w:rPr>
          <w:rFonts w:ascii="Arial" w:hAnsi="Arial" w:cs="Arial"/>
        </w:rPr>
      </w:pPr>
      <w:r w:rsidRPr="00B91AE6">
        <w:rPr>
          <w:rFonts w:ascii="Arial" w:eastAsia="Arial" w:hAnsi="Arial" w:cs="Arial"/>
        </w:rPr>
        <w:t>1. INTRODUCTION</w:t>
      </w:r>
    </w:p>
    <w:p w14:paraId="09ED54AB" w14:textId="77777777" w:rsidR="007A1019" w:rsidRPr="00B91AE6" w:rsidRDefault="00000000">
      <w:pPr>
        <w:spacing w:after="120" w:line="360" w:lineRule="auto"/>
        <w:ind w:firstLine="317"/>
        <w:jc w:val="both"/>
        <w:rPr>
          <w:rFonts w:ascii="Arial" w:hAnsi="Arial" w:cs="Arial"/>
        </w:rPr>
      </w:pPr>
      <w:r>
        <w:rPr>
          <w:rFonts w:ascii="Arial" w:hAnsi="Arial" w:cs="Arial"/>
        </w:rPr>
        <w:tab/>
        <w:t>Tomato (</w:t>
      </w:r>
      <w:r>
        <w:rPr>
          <w:rFonts w:ascii="Arial" w:hAnsi="Arial" w:cs="Arial"/>
          <w:i/>
        </w:rPr>
        <w:t xml:space="preserve">Solanum lycopersicum </w:t>
      </w:r>
      <w:r>
        <w:rPr>
          <w:rFonts w:ascii="Arial" w:hAnsi="Arial" w:cs="Arial"/>
        </w:rPr>
        <w:t xml:space="preserve">L.), belonging to the Solanaceae family, is an extensively cultivated vegetable crop worldwide due to its economic importance, nutritional value and wide adaptability to diverse agro-climatic conditions (Maurya </w:t>
      </w:r>
      <w:r>
        <w:rPr>
          <w:rFonts w:ascii="Arial" w:hAnsi="Arial" w:cs="Arial"/>
          <w:i/>
        </w:rPr>
        <w:t>et al</w:t>
      </w:r>
      <w:r>
        <w:rPr>
          <w:rFonts w:ascii="Arial" w:hAnsi="Arial" w:cs="Arial"/>
        </w:rPr>
        <w:t xml:space="preserve">., 2025; Ahmed </w:t>
      </w:r>
      <w:r>
        <w:rPr>
          <w:rFonts w:ascii="Arial" w:hAnsi="Arial" w:cs="Arial"/>
          <w:i/>
        </w:rPr>
        <w:t>et al</w:t>
      </w:r>
      <w:r>
        <w:rPr>
          <w:rFonts w:ascii="Arial" w:hAnsi="Arial" w:cs="Arial"/>
        </w:rPr>
        <w:t xml:space="preserve">., 2026). After potato, </w:t>
      </w:r>
      <w:r>
        <w:rPr>
          <w:rFonts w:ascii="Arial" w:hAnsi="Arial" w:cs="Arial"/>
          <w:highlight w:val="yellow"/>
        </w:rPr>
        <w:t>t</w:t>
      </w:r>
      <w:r>
        <w:rPr>
          <w:rFonts w:ascii="Arial" w:hAnsi="Arial" w:cs="Arial"/>
        </w:rPr>
        <w:t xml:space="preserve">omato is the second most important vegetable crop in the world (Athulya </w:t>
      </w:r>
      <w:r>
        <w:rPr>
          <w:rFonts w:ascii="Arial" w:hAnsi="Arial" w:cs="Arial"/>
          <w:i/>
        </w:rPr>
        <w:t>et al</w:t>
      </w:r>
      <w:r>
        <w:rPr>
          <w:rFonts w:ascii="Arial" w:hAnsi="Arial" w:cs="Arial"/>
        </w:rPr>
        <w:t xml:space="preserve">., 2023; Das </w:t>
      </w:r>
      <w:r>
        <w:rPr>
          <w:rFonts w:ascii="Arial" w:hAnsi="Arial" w:cs="Arial"/>
          <w:i/>
        </w:rPr>
        <w:t>et al</w:t>
      </w:r>
      <w:r>
        <w:rPr>
          <w:rFonts w:ascii="Arial" w:hAnsi="Arial" w:cs="Arial"/>
        </w:rPr>
        <w:t>., 2024). T</w:t>
      </w:r>
      <w:r>
        <w:rPr>
          <w:rFonts w:ascii="Arial" w:hAnsi="Arial" w:cs="Arial"/>
          <w:highlight w:val="yellow"/>
        </w:rPr>
        <w:t>omato</w:t>
      </w:r>
      <w:r>
        <w:rPr>
          <w:rFonts w:ascii="Arial" w:hAnsi="Arial" w:cs="Arial"/>
        </w:rPr>
        <w:t>e</w:t>
      </w:r>
      <w:r>
        <w:rPr>
          <w:rFonts w:ascii="Arial" w:hAnsi="Arial" w:cs="Arial"/>
          <w:highlight w:val="yellow"/>
        </w:rPr>
        <w:t>s</w:t>
      </w:r>
      <w:r>
        <w:rPr>
          <w:rFonts w:ascii="Arial" w:hAnsi="Arial" w:cs="Arial"/>
        </w:rPr>
        <w:t xml:space="preserve"> are considered</w:t>
      </w:r>
      <w:r>
        <w:rPr>
          <w:rFonts w:ascii="Arial" w:hAnsi="Arial" w:cs="Arial"/>
          <w:highlight w:val="yellow"/>
        </w:rPr>
        <w:t xml:space="preserve"> a</w:t>
      </w:r>
      <w:r>
        <w:rPr>
          <w:rFonts w:ascii="Arial" w:hAnsi="Arial" w:cs="Arial"/>
        </w:rPr>
        <w:t xml:space="preserve"> rich source of essential nutrients, including vitamins A and C, potassium and antioxidants such as lycopene (Collins </w:t>
      </w:r>
      <w:r>
        <w:rPr>
          <w:rFonts w:ascii="Arial" w:hAnsi="Arial" w:cs="Arial"/>
          <w:i/>
        </w:rPr>
        <w:lastRenderedPageBreak/>
        <w:t>et al</w:t>
      </w:r>
      <w:r>
        <w:rPr>
          <w:rFonts w:ascii="Arial" w:hAnsi="Arial" w:cs="Arial"/>
        </w:rPr>
        <w:t>., 2022). These characteristics make tomatoes a staple in various culinary traditions worldwide.</w:t>
      </w:r>
    </w:p>
    <w:p w14:paraId="70D5E648"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Globally, tomato production is vital for food security and economic stability, with millions of farmers relying on it as a primary source of income. </w:t>
      </w:r>
      <w:r>
        <w:rPr>
          <w:rFonts w:ascii="Arial" w:hAnsi="Arial" w:cs="Arial"/>
          <w:highlight w:val="yellow"/>
        </w:rPr>
        <w:t>G</w:t>
      </w:r>
      <w:r>
        <w:rPr>
          <w:rFonts w:ascii="Arial" w:hAnsi="Arial" w:cs="Arial"/>
        </w:rPr>
        <w:t xml:space="preserve">lobal tomato production reached 188.5 million tonnes in 2024, </w:t>
      </w:r>
      <w:r>
        <w:rPr>
          <w:rFonts w:ascii="Arial" w:hAnsi="Arial" w:cs="Arial"/>
          <w:highlight w:val="yellow"/>
        </w:rPr>
        <w:t xml:space="preserve">across a </w:t>
      </w:r>
      <w:r>
        <w:rPr>
          <w:rFonts w:ascii="Arial" w:hAnsi="Arial" w:cs="Arial"/>
        </w:rPr>
        <w:t>cultivat</w:t>
      </w:r>
      <w:r>
        <w:rPr>
          <w:rFonts w:ascii="Arial" w:hAnsi="Arial" w:cs="Arial"/>
          <w:highlight w:val="yellow"/>
        </w:rPr>
        <w:t>ed</w:t>
      </w:r>
      <w:r>
        <w:rPr>
          <w:rFonts w:ascii="Arial" w:hAnsi="Arial" w:cs="Arial"/>
        </w:rPr>
        <w:t xml:space="preserve"> area of 5.12 million hectares with an average yield of 36.8 tonnes per hectare (F</w:t>
      </w:r>
      <w:r>
        <w:rPr>
          <w:rFonts w:ascii="Arial" w:hAnsi="Arial" w:cs="Arial"/>
          <w:highlight w:val="yellow"/>
        </w:rPr>
        <w:t xml:space="preserve">ood and </w:t>
      </w:r>
      <w:r>
        <w:rPr>
          <w:rFonts w:ascii="Arial" w:hAnsi="Arial" w:cs="Arial"/>
        </w:rPr>
        <w:t>A</w:t>
      </w:r>
      <w:r>
        <w:rPr>
          <w:rFonts w:ascii="Arial" w:hAnsi="Arial" w:cs="Arial"/>
          <w:highlight w:val="yellow"/>
        </w:rPr>
        <w:t xml:space="preserve">griculture </w:t>
      </w:r>
      <w:r>
        <w:rPr>
          <w:rFonts w:ascii="Arial" w:hAnsi="Arial" w:cs="Arial"/>
        </w:rPr>
        <w:t>O</w:t>
      </w:r>
      <w:r>
        <w:rPr>
          <w:rFonts w:ascii="Arial" w:hAnsi="Arial" w:cs="Arial"/>
          <w:highlight w:val="yellow"/>
        </w:rPr>
        <w:t>rganization of the United Nations</w:t>
      </w:r>
      <w:r>
        <w:rPr>
          <w:rFonts w:ascii="Arial" w:hAnsi="Arial" w:cs="Arial"/>
        </w:rPr>
        <w:t xml:space="preserve">, 2026). Tomato production in India </w:t>
      </w:r>
      <w:r>
        <w:rPr>
          <w:rFonts w:ascii="Arial" w:hAnsi="Arial" w:cs="Arial"/>
          <w:highlight w:val="yellow"/>
        </w:rPr>
        <w:t>wa</w:t>
      </w:r>
      <w:r>
        <w:rPr>
          <w:rFonts w:ascii="Arial" w:hAnsi="Arial" w:cs="Arial"/>
        </w:rPr>
        <w:t xml:space="preserve">s approximately 20.60 million tonnes in 2024-25, </w:t>
      </w:r>
      <w:r>
        <w:rPr>
          <w:rFonts w:ascii="Arial" w:hAnsi="Arial" w:cs="Arial"/>
          <w:highlight w:val="yellow"/>
        </w:rPr>
        <w:t xml:space="preserve">across a </w:t>
      </w:r>
      <w:r>
        <w:rPr>
          <w:rFonts w:ascii="Arial" w:hAnsi="Arial" w:cs="Arial"/>
        </w:rPr>
        <w:t>cultivated area of 0.81 million hectares with a productivity of 25.43 tonnes per hectare (Ministry of Agriculture and Farmers Welfare, 202</w:t>
      </w:r>
      <w:r>
        <w:rPr>
          <w:rFonts w:ascii="Arial" w:hAnsi="Arial" w:cs="Arial"/>
          <w:highlight w:val="yellow"/>
        </w:rPr>
        <w:t>5</w:t>
      </w:r>
      <w:r>
        <w:rPr>
          <w:rFonts w:ascii="Arial" w:hAnsi="Arial" w:cs="Arial"/>
        </w:rPr>
        <w:t xml:space="preserve">). In Assam, tomato production is estimated to reach around 396.024 thousand MT, grown across an area of 18.28 thousand hectares (Sarmah </w:t>
      </w:r>
      <w:r>
        <w:rPr>
          <w:rFonts w:ascii="Arial" w:hAnsi="Arial" w:cs="Arial"/>
          <w:i/>
        </w:rPr>
        <w:t>et al</w:t>
      </w:r>
      <w:r>
        <w:rPr>
          <w:rFonts w:ascii="Arial" w:hAnsi="Arial" w:cs="Arial"/>
        </w:rPr>
        <w:t>., 2024).</w:t>
      </w:r>
    </w:p>
    <w:p w14:paraId="00582114" w14:textId="7A611415" w:rsidR="00F1121C" w:rsidRPr="0028227E" w:rsidRDefault="00000000" w:rsidP="0028227E">
      <w:pPr>
        <w:spacing w:after="120" w:line="360" w:lineRule="auto"/>
        <w:ind w:firstLine="317"/>
        <w:jc w:val="both"/>
        <w:rPr>
          <w:rFonts w:ascii="Arial" w:hAnsi="Arial" w:cs="Arial"/>
        </w:rPr>
      </w:pPr>
      <w:r>
        <w:rPr>
          <w:rFonts w:ascii="Arial" w:hAnsi="Arial" w:cs="Arial"/>
        </w:rPr>
        <w:t xml:space="preserve">Despite </w:t>
      </w:r>
      <w:r>
        <w:rPr>
          <w:rFonts w:ascii="Arial" w:hAnsi="Arial" w:cs="Arial"/>
          <w:highlight w:val="yellow"/>
        </w:rPr>
        <w:t>i</w:t>
      </w:r>
      <w:r>
        <w:rPr>
          <w:rFonts w:ascii="Arial" w:hAnsi="Arial" w:cs="Arial"/>
        </w:rPr>
        <w:t>t</w:t>
      </w:r>
      <w:r>
        <w:rPr>
          <w:rFonts w:ascii="Arial" w:hAnsi="Arial" w:cs="Arial"/>
          <w:highlight w:val="yellow"/>
        </w:rPr>
        <w:t>s</w:t>
      </w:r>
      <w:r>
        <w:rPr>
          <w:rFonts w:ascii="Arial" w:hAnsi="Arial" w:cs="Arial"/>
        </w:rPr>
        <w:t xml:space="preserve"> importance, tomato </w:t>
      </w:r>
      <w:proofErr w:type="gramStart"/>
      <w:r>
        <w:rPr>
          <w:rFonts w:ascii="Arial" w:hAnsi="Arial" w:cs="Arial"/>
        </w:rPr>
        <w:t>are</w:t>
      </w:r>
      <w:proofErr w:type="gramEnd"/>
      <w:r>
        <w:rPr>
          <w:rFonts w:ascii="Arial" w:hAnsi="Arial" w:cs="Arial"/>
        </w:rPr>
        <w:t xml:space="preserve"> attacked by a wide range of pests (Sadashiva </w:t>
      </w:r>
      <w:r>
        <w:rPr>
          <w:rFonts w:ascii="Arial" w:hAnsi="Arial" w:cs="Arial"/>
          <w:i/>
        </w:rPr>
        <w:t>et al</w:t>
      </w:r>
      <w:r>
        <w:rPr>
          <w:rFonts w:ascii="Arial" w:hAnsi="Arial" w:cs="Arial"/>
        </w:rPr>
        <w:t xml:space="preserve">., 2017; Das </w:t>
      </w:r>
      <w:r>
        <w:rPr>
          <w:rFonts w:ascii="Arial" w:hAnsi="Arial" w:cs="Arial"/>
          <w:i/>
        </w:rPr>
        <w:t>et al</w:t>
      </w:r>
      <w:r>
        <w:rPr>
          <w:rFonts w:ascii="Arial" w:hAnsi="Arial" w:cs="Arial"/>
        </w:rPr>
        <w:t xml:space="preserve">., 2024). </w:t>
      </w:r>
      <w:r>
        <w:rPr>
          <w:rFonts w:ascii="Arial" w:hAnsi="Arial" w:cs="Arial"/>
          <w:i/>
        </w:rPr>
        <w:t>Meloidogyne incognita</w:t>
      </w:r>
      <w:r>
        <w:rPr>
          <w:rFonts w:ascii="Arial" w:hAnsi="Arial" w:cs="Arial"/>
        </w:rPr>
        <w:t xml:space="preserve"> is one of the most destructive plant-parasitic nematodes (PPN</w:t>
      </w:r>
      <w:r>
        <w:rPr>
          <w:rFonts w:ascii="Arial" w:hAnsi="Arial" w:cs="Arial"/>
          <w:highlight w:val="yellow"/>
        </w:rPr>
        <w:t>s</w:t>
      </w:r>
      <w:r>
        <w:rPr>
          <w:rFonts w:ascii="Arial" w:hAnsi="Arial" w:cs="Arial"/>
        </w:rPr>
        <w:t xml:space="preserve">) </w:t>
      </w:r>
      <w:r>
        <w:rPr>
          <w:rFonts w:ascii="Arial" w:hAnsi="Arial" w:cs="Arial"/>
          <w:highlight w:val="yellow"/>
        </w:rPr>
        <w:t>and</w:t>
      </w:r>
      <w:r>
        <w:rPr>
          <w:rFonts w:ascii="Arial" w:hAnsi="Arial" w:cs="Arial"/>
        </w:rPr>
        <w:t xml:space="preserve"> causes considerable yield losses in crops worldwide (Tapia-Vázquez </w:t>
      </w:r>
      <w:r>
        <w:rPr>
          <w:rFonts w:ascii="Arial" w:hAnsi="Arial" w:cs="Arial"/>
          <w:i/>
        </w:rPr>
        <w:t>et al</w:t>
      </w:r>
      <w:r>
        <w:rPr>
          <w:rFonts w:ascii="Arial" w:hAnsi="Arial" w:cs="Arial"/>
        </w:rPr>
        <w:t xml:space="preserve">., 2022; Khan </w:t>
      </w:r>
      <w:r>
        <w:rPr>
          <w:rFonts w:ascii="Arial" w:hAnsi="Arial" w:cs="Arial"/>
          <w:i/>
        </w:rPr>
        <w:t>et al</w:t>
      </w:r>
      <w:r>
        <w:rPr>
          <w:rFonts w:ascii="Arial" w:hAnsi="Arial" w:cs="Arial"/>
        </w:rPr>
        <w:t xml:space="preserve">., 2023; Das </w:t>
      </w:r>
      <w:r>
        <w:rPr>
          <w:rFonts w:ascii="Arial" w:hAnsi="Arial" w:cs="Arial"/>
          <w:i/>
        </w:rPr>
        <w:t>et al</w:t>
      </w:r>
      <w:r>
        <w:rPr>
          <w:rFonts w:ascii="Arial" w:hAnsi="Arial" w:cs="Arial"/>
        </w:rPr>
        <w:t xml:space="preserve">., 2024). </w:t>
      </w:r>
      <w:r>
        <w:rPr>
          <w:rFonts w:ascii="Arial" w:hAnsi="Arial" w:cs="Arial"/>
          <w:highlight w:val="yellow"/>
        </w:rPr>
        <w:t>The u</w:t>
      </w:r>
      <w:r>
        <w:rPr>
          <w:rFonts w:ascii="Arial" w:hAnsi="Arial" w:cs="Arial"/>
        </w:rPr>
        <w:t xml:space="preserve">se of chemical nematicides is the most common management practice adopted by farmers in fields infested with </w:t>
      </w:r>
      <w:r>
        <w:rPr>
          <w:rFonts w:ascii="Arial" w:hAnsi="Arial" w:cs="Arial"/>
          <w:i/>
        </w:rPr>
        <w:t>M. incognita</w:t>
      </w:r>
      <w:r>
        <w:rPr>
          <w:rFonts w:ascii="Arial" w:hAnsi="Arial" w:cs="Arial"/>
        </w:rPr>
        <w:t xml:space="preserve"> to reduce crop losses (Das </w:t>
      </w:r>
      <w:r>
        <w:rPr>
          <w:rFonts w:ascii="Arial" w:hAnsi="Arial" w:cs="Arial"/>
          <w:i/>
        </w:rPr>
        <w:t>et al</w:t>
      </w:r>
      <w:r>
        <w:rPr>
          <w:rFonts w:ascii="Arial" w:hAnsi="Arial" w:cs="Arial"/>
        </w:rPr>
        <w:t xml:space="preserve">., 2024). However, the use of nematicides can have adverse effects on the environment, contributing to environmental pollution and posing health hazards (Tapia-Vázquez </w:t>
      </w:r>
      <w:r>
        <w:rPr>
          <w:rFonts w:ascii="Arial" w:hAnsi="Arial" w:cs="Arial"/>
          <w:i/>
        </w:rPr>
        <w:t>et al</w:t>
      </w:r>
      <w:r>
        <w:rPr>
          <w:rFonts w:ascii="Arial" w:hAnsi="Arial" w:cs="Arial"/>
        </w:rPr>
        <w:t xml:space="preserve">., 2022; Das </w:t>
      </w:r>
      <w:r>
        <w:rPr>
          <w:rFonts w:ascii="Arial" w:hAnsi="Arial" w:cs="Arial"/>
          <w:i/>
        </w:rPr>
        <w:t>et al</w:t>
      </w:r>
      <w:r>
        <w:rPr>
          <w:rFonts w:ascii="Arial" w:hAnsi="Arial" w:cs="Arial"/>
        </w:rPr>
        <w:t xml:space="preserve">., 2024). </w:t>
      </w:r>
      <w:r>
        <w:rPr>
          <w:rFonts w:ascii="Arial" w:hAnsi="Arial" w:cs="Arial"/>
          <w:highlight w:val="yellow"/>
        </w:rPr>
        <w:t>R</w:t>
      </w:r>
      <w:r>
        <w:rPr>
          <w:rFonts w:ascii="Arial" w:hAnsi="Arial" w:cs="Arial"/>
        </w:rPr>
        <w:t xml:space="preserve">esistant cultivars offer a sustainable alternative (Forghani and Hajihassani, 2020; Polimera </w:t>
      </w:r>
      <w:r>
        <w:rPr>
          <w:rFonts w:ascii="Arial" w:hAnsi="Arial" w:cs="Arial"/>
          <w:i/>
        </w:rPr>
        <w:t>et al</w:t>
      </w:r>
      <w:r>
        <w:rPr>
          <w:rFonts w:ascii="Arial" w:hAnsi="Arial" w:cs="Arial"/>
        </w:rPr>
        <w:t xml:space="preserve">., 2022; Das </w:t>
      </w:r>
      <w:r>
        <w:rPr>
          <w:rFonts w:ascii="Arial" w:hAnsi="Arial" w:cs="Arial"/>
          <w:i/>
        </w:rPr>
        <w:t>et al</w:t>
      </w:r>
      <w:r>
        <w:rPr>
          <w:rFonts w:ascii="Arial" w:hAnsi="Arial" w:cs="Arial"/>
        </w:rPr>
        <w:t xml:space="preserve">., 2024), but the availability of tomato cultivars with resistance to </w:t>
      </w:r>
      <w:r>
        <w:rPr>
          <w:rFonts w:ascii="Arial" w:hAnsi="Arial" w:cs="Arial"/>
          <w:i/>
        </w:rPr>
        <w:t xml:space="preserve">M. incognita </w:t>
      </w:r>
      <w:r>
        <w:rPr>
          <w:rFonts w:ascii="Arial" w:hAnsi="Arial" w:cs="Arial"/>
        </w:rPr>
        <w:t xml:space="preserve">remains limited, restricting the widespread adoption of resistant cultivars for the management of this destructive root-knot nematode species (Saucet </w:t>
      </w:r>
      <w:r>
        <w:rPr>
          <w:rFonts w:ascii="Arial" w:hAnsi="Arial" w:cs="Arial"/>
          <w:i/>
        </w:rPr>
        <w:t>et al</w:t>
      </w:r>
      <w:r>
        <w:rPr>
          <w:rFonts w:ascii="Arial" w:hAnsi="Arial" w:cs="Arial"/>
        </w:rPr>
        <w:t xml:space="preserve">., 2016; Das </w:t>
      </w:r>
      <w:r>
        <w:rPr>
          <w:rFonts w:ascii="Arial" w:hAnsi="Arial" w:cs="Arial"/>
          <w:i/>
        </w:rPr>
        <w:t>et al</w:t>
      </w:r>
      <w:r>
        <w:rPr>
          <w:rFonts w:ascii="Arial" w:hAnsi="Arial" w:cs="Arial"/>
        </w:rPr>
        <w:t xml:space="preserve">., 2024). </w:t>
      </w:r>
      <w:r>
        <w:rPr>
          <w:rFonts w:ascii="Arial" w:hAnsi="Arial" w:cs="Arial"/>
          <w:highlight w:val="yellow"/>
        </w:rPr>
        <w:t>Recent</w:t>
      </w:r>
      <w:r>
        <w:rPr>
          <w:rFonts w:ascii="Arial" w:hAnsi="Arial" w:cs="Arial"/>
        </w:rPr>
        <w:t>l</w:t>
      </w:r>
      <w:r>
        <w:rPr>
          <w:rFonts w:ascii="Arial" w:hAnsi="Arial" w:cs="Arial"/>
          <w:highlight w:val="yellow"/>
        </w:rPr>
        <w:t>y</w:t>
      </w:r>
      <w:r>
        <w:rPr>
          <w:rFonts w:ascii="Arial" w:hAnsi="Arial" w:cs="Arial"/>
        </w:rPr>
        <w:t>, grafting has gained attention as an effective technique that offers a practical strategy for the management of</w:t>
      </w:r>
      <w:r>
        <w:rPr>
          <w:rFonts w:ascii="Arial" w:hAnsi="Arial" w:cs="Arial"/>
          <w:i/>
        </w:rPr>
        <w:t xml:space="preserve"> M. incognita</w:t>
      </w:r>
      <w:r>
        <w:rPr>
          <w:rFonts w:ascii="Arial" w:hAnsi="Arial" w:cs="Arial"/>
        </w:rPr>
        <w:t xml:space="preserve"> (Thangamani </w:t>
      </w:r>
      <w:r>
        <w:rPr>
          <w:rFonts w:ascii="Arial" w:hAnsi="Arial" w:cs="Arial"/>
          <w:i/>
        </w:rPr>
        <w:t>et al</w:t>
      </w:r>
      <w:r>
        <w:rPr>
          <w:rFonts w:ascii="Arial" w:hAnsi="Arial" w:cs="Arial"/>
        </w:rPr>
        <w:t xml:space="preserve">., 2018; Phani </w:t>
      </w:r>
      <w:r>
        <w:rPr>
          <w:rFonts w:ascii="Arial" w:hAnsi="Arial" w:cs="Arial"/>
          <w:i/>
        </w:rPr>
        <w:t>et al.,</w:t>
      </w:r>
      <w:r>
        <w:rPr>
          <w:rFonts w:ascii="Arial" w:hAnsi="Arial" w:cs="Arial"/>
        </w:rPr>
        <w:t xml:space="preserve"> 2024). Currently, grafted plants contribute nearly 20-40% of global tomato production (Phani </w:t>
      </w:r>
      <w:r>
        <w:rPr>
          <w:rFonts w:ascii="Arial" w:hAnsi="Arial" w:cs="Arial"/>
          <w:i/>
        </w:rPr>
        <w:t>et al</w:t>
      </w:r>
      <w:r>
        <w:rPr>
          <w:rFonts w:ascii="Arial" w:hAnsi="Arial" w:cs="Arial"/>
        </w:rPr>
        <w:t xml:space="preserve">., 2024). </w:t>
      </w:r>
      <w:r w:rsidR="0028227E">
        <w:rPr>
          <w:rFonts w:ascii="Arial" w:hAnsi="Arial" w:cs="Arial"/>
        </w:rPr>
        <w:t xml:space="preserve"> </w:t>
      </w:r>
      <w:r w:rsidRPr="0028227E">
        <w:rPr>
          <w:rFonts w:ascii="Arial" w:hAnsi="Arial"/>
          <w:bCs/>
          <w:highlight w:val="yellow"/>
        </w:rPr>
        <w:t xml:space="preserve">Experimental evidence indicates that grafting tomatoes onto </w:t>
      </w:r>
      <w:r w:rsidRPr="0028227E">
        <w:rPr>
          <w:rFonts w:ascii="Arial" w:hAnsi="Arial"/>
          <w:bCs/>
          <w:i/>
          <w:highlight w:val="yellow"/>
        </w:rPr>
        <w:t>Solanum torvum</w:t>
      </w:r>
      <w:r w:rsidRPr="0028227E">
        <w:rPr>
          <w:rFonts w:ascii="Arial" w:hAnsi="Arial"/>
          <w:bCs/>
          <w:highlight w:val="yellow"/>
        </w:rPr>
        <w:t xml:space="preserve"> can reduce root-knot nematode multiplication under certain growing conditions, although responses may differ across experimental settings (Fullana et al., 2024). Field evaluations of grafted tomato have also shown that the response to </w:t>
      </w:r>
      <w:r w:rsidRPr="0028227E">
        <w:rPr>
          <w:rFonts w:ascii="Arial" w:hAnsi="Arial"/>
          <w:bCs/>
          <w:i/>
          <w:highlight w:val="yellow"/>
        </w:rPr>
        <w:t>M. incognita</w:t>
      </w:r>
      <w:r w:rsidRPr="0028227E">
        <w:rPr>
          <w:rFonts w:ascii="Arial" w:hAnsi="Arial"/>
          <w:bCs/>
          <w:highlight w:val="yellow"/>
        </w:rPr>
        <w:t xml:space="preserve"> and the associated crop performance vary according to the selected rootstock (Nagachandrabose et al., 2025).</w:t>
      </w:r>
      <w:r w:rsidR="0028227E">
        <w:rPr>
          <w:rFonts w:ascii="Arial" w:hAnsi="Arial" w:cs="Arial"/>
        </w:rPr>
        <w:t xml:space="preserve"> </w:t>
      </w:r>
      <w:r w:rsidRPr="0028227E">
        <w:rPr>
          <w:rFonts w:ascii="Arial" w:hAnsi="Arial"/>
          <w:bCs/>
          <w:highlight w:val="yellow"/>
        </w:rPr>
        <w:t xml:space="preserve">Other non-chemical approaches, including the use of microbial antagonists, have been assessed for managing </w:t>
      </w:r>
      <w:r w:rsidRPr="0028227E">
        <w:rPr>
          <w:rFonts w:ascii="Arial" w:hAnsi="Arial"/>
          <w:bCs/>
          <w:i/>
          <w:highlight w:val="yellow"/>
        </w:rPr>
        <w:t>M. incognita</w:t>
      </w:r>
      <w:r w:rsidRPr="0028227E">
        <w:rPr>
          <w:rFonts w:ascii="Arial" w:hAnsi="Arial"/>
          <w:bCs/>
          <w:highlight w:val="yellow"/>
        </w:rPr>
        <w:t xml:space="preserve"> in tomato under pot conditions (Muter et al., 2026). A recent review has also emphasised challenges surrounding the durability and deployment of resistance to </w:t>
      </w:r>
      <w:r w:rsidRPr="0028227E">
        <w:rPr>
          <w:rFonts w:ascii="Arial" w:hAnsi="Arial"/>
          <w:bCs/>
          <w:highlight w:val="yellow"/>
        </w:rPr>
        <w:lastRenderedPageBreak/>
        <w:t>nematodes in tomato, indicating the importance of examining available resistance sources (Singh et al., 2026).</w:t>
      </w:r>
    </w:p>
    <w:p w14:paraId="4FF999B6" w14:textId="77777777" w:rsidR="00F1121C" w:rsidRPr="0028227E" w:rsidRDefault="00000000">
      <w:pPr>
        <w:spacing w:after="120" w:line="360" w:lineRule="auto"/>
        <w:ind w:firstLine="317"/>
        <w:rPr>
          <w:bCs/>
        </w:rPr>
      </w:pPr>
      <w:r w:rsidRPr="0028227E">
        <w:rPr>
          <w:rFonts w:ascii="Arial" w:hAnsi="Arial"/>
          <w:bCs/>
          <w:highlight w:val="yellow"/>
        </w:rPr>
        <w:t xml:space="preserve">However, the relative graft compatibility, suppression of </w:t>
      </w:r>
      <w:r w:rsidRPr="0028227E">
        <w:rPr>
          <w:rFonts w:ascii="Arial" w:hAnsi="Arial"/>
          <w:bCs/>
          <w:i/>
          <w:highlight w:val="yellow"/>
        </w:rPr>
        <w:t>M. incognita</w:t>
      </w:r>
      <w:r w:rsidRPr="0028227E">
        <w:rPr>
          <w:rFonts w:ascii="Arial" w:hAnsi="Arial"/>
          <w:bCs/>
          <w:highlight w:val="yellow"/>
        </w:rPr>
        <w:t xml:space="preserve"> and fruit yield of the selected combinations involving </w:t>
      </w:r>
      <w:r w:rsidRPr="0028227E">
        <w:rPr>
          <w:rFonts w:ascii="Arial" w:hAnsi="Arial"/>
          <w:bCs/>
          <w:i/>
          <w:highlight w:val="yellow"/>
        </w:rPr>
        <w:t>Solanum torvum</w:t>
      </w:r>
      <w:r w:rsidRPr="0028227E">
        <w:rPr>
          <w:rFonts w:ascii="Arial" w:hAnsi="Arial"/>
          <w:bCs/>
          <w:highlight w:val="yellow"/>
        </w:rPr>
        <w:t xml:space="preserve">, </w:t>
      </w:r>
      <w:r w:rsidRPr="0028227E">
        <w:rPr>
          <w:rFonts w:ascii="Arial" w:hAnsi="Arial"/>
          <w:bCs/>
          <w:i/>
          <w:highlight w:val="yellow"/>
        </w:rPr>
        <w:t>S. lycopersicum</w:t>
      </w:r>
      <w:r w:rsidRPr="0028227E">
        <w:rPr>
          <w:rFonts w:ascii="Arial" w:hAnsi="Arial"/>
          <w:bCs/>
          <w:highlight w:val="yellow"/>
        </w:rPr>
        <w:t xml:space="preserve"> cv. Hisar Lalit, Arka Samrat and Dona-55 require evaluation under the nematode-infested field conditions in Assam examined in the present study.</w:t>
      </w:r>
    </w:p>
    <w:p w14:paraId="358AC3B8"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Considering these aspects, the present investigation was </w:t>
      </w:r>
      <w:r>
        <w:rPr>
          <w:rFonts w:ascii="Arial" w:hAnsi="Arial" w:cs="Arial"/>
          <w:highlight w:val="yellow"/>
        </w:rPr>
        <w:t>undert</w:t>
      </w:r>
      <w:r>
        <w:rPr>
          <w:rFonts w:ascii="Arial" w:hAnsi="Arial" w:cs="Arial"/>
        </w:rPr>
        <w:t>a</w:t>
      </w:r>
      <w:r>
        <w:rPr>
          <w:rFonts w:ascii="Arial" w:hAnsi="Arial" w:cs="Arial"/>
          <w:highlight w:val="yellow"/>
        </w:rPr>
        <w:t>k</w:t>
      </w:r>
      <w:r>
        <w:rPr>
          <w:rFonts w:ascii="Arial" w:hAnsi="Arial" w:cs="Arial"/>
        </w:rPr>
        <w:t>e</w:t>
      </w:r>
      <w:r>
        <w:rPr>
          <w:rFonts w:ascii="Arial" w:hAnsi="Arial" w:cs="Arial"/>
          <w:highlight w:val="yellow"/>
        </w:rPr>
        <w:t>n</w:t>
      </w:r>
      <w:r>
        <w:rPr>
          <w:rFonts w:ascii="Arial" w:hAnsi="Arial" w:cs="Arial"/>
        </w:rPr>
        <w:t xml:space="preserve"> to </w:t>
      </w:r>
      <w:r>
        <w:rPr>
          <w:rFonts w:ascii="Arial" w:hAnsi="Arial" w:cs="Arial"/>
          <w:highlight w:val="yellow"/>
        </w:rPr>
        <w:t>eval</w:t>
      </w:r>
      <w:r>
        <w:rPr>
          <w:rFonts w:ascii="Arial" w:hAnsi="Arial" w:cs="Arial"/>
        </w:rPr>
        <w:t>u</w:t>
      </w:r>
      <w:r>
        <w:rPr>
          <w:rFonts w:ascii="Arial" w:hAnsi="Arial" w:cs="Arial"/>
          <w:highlight w:val="yellow"/>
        </w:rPr>
        <w:t>a</w:t>
      </w:r>
      <w:r>
        <w:rPr>
          <w:rFonts w:ascii="Arial" w:hAnsi="Arial" w:cs="Arial"/>
        </w:rPr>
        <w:t xml:space="preserve">te </w:t>
      </w:r>
      <w:r>
        <w:rPr>
          <w:rFonts w:ascii="Arial" w:hAnsi="Arial" w:cs="Arial"/>
          <w:i/>
        </w:rPr>
        <w:t>M. incognita</w:t>
      </w:r>
      <w:r>
        <w:rPr>
          <w:rFonts w:ascii="Arial" w:hAnsi="Arial" w:cs="Arial"/>
          <w:highlight w:val="yellow"/>
        </w:rPr>
        <w:t>-</w:t>
      </w:r>
      <w:r>
        <w:rPr>
          <w:rFonts w:ascii="Arial" w:hAnsi="Arial" w:cs="Arial"/>
        </w:rPr>
        <w:t>resistant rootstocks, assess graft compatibility between the</w:t>
      </w:r>
      <w:r>
        <w:rPr>
          <w:rFonts w:ascii="Arial" w:hAnsi="Arial" w:cs="Arial"/>
          <w:highlight w:val="yellow"/>
        </w:rPr>
        <w:t>s</w:t>
      </w:r>
      <w:r>
        <w:rPr>
          <w:rFonts w:ascii="Arial" w:hAnsi="Arial" w:cs="Arial"/>
        </w:rPr>
        <w:t>e rootstocks and susceptible tomato cultivars popular a</w:t>
      </w:r>
      <w:r>
        <w:rPr>
          <w:rFonts w:ascii="Arial" w:hAnsi="Arial" w:cs="Arial"/>
          <w:highlight w:val="yellow"/>
        </w:rPr>
        <w:t>mo</w:t>
      </w:r>
      <w:r>
        <w:rPr>
          <w:rFonts w:ascii="Arial" w:hAnsi="Arial" w:cs="Arial"/>
        </w:rPr>
        <w:t>n</w:t>
      </w:r>
      <w:r>
        <w:rPr>
          <w:rFonts w:ascii="Arial" w:hAnsi="Arial" w:cs="Arial"/>
          <w:highlight w:val="yellow"/>
        </w:rPr>
        <w:t>g</w:t>
      </w:r>
      <w:r>
        <w:rPr>
          <w:rFonts w:ascii="Arial" w:hAnsi="Arial" w:cs="Arial"/>
        </w:rPr>
        <w:t xml:space="preserve"> farmers</w:t>
      </w:r>
      <w:r>
        <w:rPr>
          <w:rFonts w:ascii="Arial" w:hAnsi="Arial" w:cs="Arial"/>
          <w:highlight w:val="yellow"/>
        </w:rPr>
        <w:t>,</w:t>
      </w:r>
      <w:r>
        <w:rPr>
          <w:rFonts w:ascii="Arial" w:hAnsi="Arial" w:cs="Arial"/>
        </w:rPr>
        <w:t xml:space="preserve"> and estimate the yield performance of grafted plants </w:t>
      </w:r>
      <w:r>
        <w:rPr>
          <w:rFonts w:ascii="Arial" w:hAnsi="Arial" w:cs="Arial"/>
          <w:highlight w:val="yellow"/>
        </w:rPr>
        <w:t>u</w:t>
      </w:r>
      <w:r>
        <w:rPr>
          <w:rFonts w:ascii="Arial" w:hAnsi="Arial" w:cs="Arial"/>
        </w:rPr>
        <w:t>n</w:t>
      </w:r>
      <w:r>
        <w:rPr>
          <w:rFonts w:ascii="Arial" w:hAnsi="Arial" w:cs="Arial"/>
          <w:highlight w:val="yellow"/>
        </w:rPr>
        <w:t>d</w:t>
      </w:r>
      <w:r>
        <w:rPr>
          <w:rFonts w:ascii="Arial" w:hAnsi="Arial" w:cs="Arial"/>
        </w:rPr>
        <w:t>e</w:t>
      </w:r>
      <w:r>
        <w:rPr>
          <w:rFonts w:ascii="Arial" w:hAnsi="Arial" w:cs="Arial"/>
          <w:highlight w:val="yellow"/>
        </w:rPr>
        <w:t>r</w:t>
      </w:r>
      <w:r>
        <w:rPr>
          <w:rFonts w:ascii="Arial" w:hAnsi="Arial" w:cs="Arial"/>
        </w:rPr>
        <w:t xml:space="preserve"> field</w:t>
      </w:r>
      <w:r>
        <w:rPr>
          <w:rFonts w:ascii="Arial" w:hAnsi="Arial" w:cs="Arial"/>
          <w:highlight w:val="yellow"/>
        </w:rPr>
        <w:t xml:space="preserve"> conditions</w:t>
      </w:r>
      <w:r>
        <w:rPr>
          <w:rFonts w:ascii="Arial" w:hAnsi="Arial" w:cs="Arial"/>
        </w:rPr>
        <w:t>.</w:t>
      </w:r>
    </w:p>
    <w:p w14:paraId="27834196" w14:textId="77777777" w:rsidR="007A1019" w:rsidRPr="00B91AE6" w:rsidRDefault="00000000">
      <w:pPr>
        <w:pStyle w:val="Head1"/>
        <w:spacing w:before="160" w:after="100"/>
        <w:rPr>
          <w:rFonts w:ascii="Arial" w:hAnsi="Arial" w:cs="Arial"/>
        </w:rPr>
      </w:pPr>
      <w:r w:rsidRPr="00B91AE6">
        <w:rPr>
          <w:rFonts w:ascii="Arial" w:eastAsia="Arial" w:hAnsi="Arial" w:cs="Arial"/>
        </w:rPr>
        <w:t>2. MATERIALS AND METHODS</w:t>
      </w:r>
    </w:p>
    <w:p w14:paraId="7177E5DD" w14:textId="77777777" w:rsidR="007A1019" w:rsidRPr="00B91AE6" w:rsidRDefault="00000000">
      <w:pPr>
        <w:spacing w:after="120" w:line="360" w:lineRule="auto"/>
        <w:ind w:firstLine="317"/>
        <w:jc w:val="both"/>
        <w:rPr>
          <w:rFonts w:ascii="Arial" w:hAnsi="Arial" w:cs="Arial"/>
        </w:rPr>
      </w:pPr>
      <w:r>
        <w:rPr>
          <w:rFonts w:ascii="Arial" w:hAnsi="Arial" w:cs="Arial"/>
        </w:rPr>
        <w:t>The experiment was conducted during 2023 at the Experimental Farm of the Department of Horticulture, Assam Agricultur</w:t>
      </w:r>
      <w:r>
        <w:rPr>
          <w:rFonts w:ascii="Arial" w:hAnsi="Arial" w:cs="Arial"/>
          <w:highlight w:val="yellow"/>
        </w:rPr>
        <w:t>al</w:t>
      </w:r>
      <w:r>
        <w:rPr>
          <w:rFonts w:ascii="Arial" w:hAnsi="Arial" w:cs="Arial"/>
        </w:rPr>
        <w:t xml:space="preserve"> University, Jorhat. The study aimed to evaluate the compatibility of selected resistant </w:t>
      </w:r>
      <w:r>
        <w:rPr>
          <w:rFonts w:ascii="Arial" w:hAnsi="Arial" w:cs="Arial"/>
          <w:i/>
        </w:rPr>
        <w:t>Solanum</w:t>
      </w:r>
      <w:r>
        <w:rPr>
          <w:rFonts w:ascii="Arial" w:hAnsi="Arial" w:cs="Arial"/>
        </w:rPr>
        <w:t xml:space="preserve"> rootstocks with susceptible tomato cultivars through grafting and to assess their effectiveness in managing </w:t>
      </w:r>
      <w:r>
        <w:rPr>
          <w:rFonts w:ascii="Arial" w:hAnsi="Arial" w:cs="Arial"/>
          <w:i/>
        </w:rPr>
        <w:t>M. incognita</w:t>
      </w:r>
      <w:r>
        <w:rPr>
          <w:rFonts w:ascii="Arial" w:hAnsi="Arial" w:cs="Arial"/>
        </w:rPr>
        <w:t xml:space="preserve"> under field conditions.</w:t>
      </w:r>
    </w:p>
    <w:p w14:paraId="1FBA4F57"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Two resistant rootstocks, </w:t>
      </w:r>
      <w:r>
        <w:rPr>
          <w:rFonts w:ascii="Arial" w:hAnsi="Arial" w:cs="Arial"/>
          <w:i/>
        </w:rPr>
        <w:t>Solanum torvum</w:t>
      </w:r>
      <w:r>
        <w:rPr>
          <w:rFonts w:ascii="Arial" w:hAnsi="Arial" w:cs="Arial"/>
        </w:rPr>
        <w:t xml:space="preserve"> and </w:t>
      </w:r>
      <w:r>
        <w:rPr>
          <w:rFonts w:ascii="Arial" w:hAnsi="Arial" w:cs="Arial"/>
          <w:i/>
        </w:rPr>
        <w:t xml:space="preserve">S. lycopersicum cv. </w:t>
      </w:r>
      <w:r>
        <w:rPr>
          <w:rFonts w:ascii="Arial" w:hAnsi="Arial" w:cs="Arial"/>
        </w:rPr>
        <w:t>Hisar Lalit, which showed resistan</w:t>
      </w:r>
      <w:r>
        <w:rPr>
          <w:rFonts w:ascii="Arial" w:hAnsi="Arial" w:cs="Arial"/>
          <w:highlight w:val="yellow"/>
        </w:rPr>
        <w:t xml:space="preserve">ce </w:t>
      </w:r>
      <w:r>
        <w:rPr>
          <w:rFonts w:ascii="Arial" w:hAnsi="Arial" w:cs="Arial"/>
        </w:rPr>
        <w:t xml:space="preserve">to </w:t>
      </w:r>
      <w:r>
        <w:rPr>
          <w:rFonts w:ascii="Arial" w:hAnsi="Arial" w:cs="Arial"/>
          <w:i/>
        </w:rPr>
        <w:t>M. incognita</w:t>
      </w:r>
      <w:r>
        <w:rPr>
          <w:rFonts w:ascii="Arial" w:hAnsi="Arial" w:cs="Arial"/>
          <w:highlight w:val="yellow"/>
        </w:rPr>
        <w:t>,</w:t>
      </w:r>
      <w:r>
        <w:rPr>
          <w:rFonts w:ascii="Arial" w:hAnsi="Arial" w:cs="Arial"/>
        </w:rPr>
        <w:t xml:space="preserve"> were selected </w:t>
      </w:r>
      <w:r>
        <w:rPr>
          <w:rFonts w:ascii="Arial" w:hAnsi="Arial" w:cs="Arial"/>
          <w:highlight w:val="yellow"/>
        </w:rPr>
        <w:t xml:space="preserve">on the </w:t>
      </w:r>
      <w:r>
        <w:rPr>
          <w:rFonts w:ascii="Arial" w:hAnsi="Arial" w:cs="Arial"/>
        </w:rPr>
        <w:t>bas</w:t>
      </w:r>
      <w:r>
        <w:rPr>
          <w:rFonts w:ascii="Arial" w:hAnsi="Arial" w:cs="Arial"/>
          <w:highlight w:val="yellow"/>
        </w:rPr>
        <w:t>is</w:t>
      </w:r>
      <w:r>
        <w:rPr>
          <w:rFonts w:ascii="Arial" w:hAnsi="Arial" w:cs="Arial"/>
        </w:rPr>
        <w:t xml:space="preserve"> o</w:t>
      </w:r>
      <w:r>
        <w:rPr>
          <w:rFonts w:ascii="Arial" w:hAnsi="Arial" w:cs="Arial"/>
          <w:highlight w:val="yellow"/>
        </w:rPr>
        <w:t>f a</w:t>
      </w:r>
      <w:r>
        <w:rPr>
          <w:rFonts w:ascii="Arial" w:hAnsi="Arial" w:cs="Arial"/>
        </w:rPr>
        <w:t xml:space="preserve">n earlier screening trial conducted by Das </w:t>
      </w:r>
      <w:r>
        <w:rPr>
          <w:rFonts w:ascii="Arial" w:hAnsi="Arial" w:cs="Arial"/>
          <w:i/>
        </w:rPr>
        <w:t>et al</w:t>
      </w:r>
      <w:r>
        <w:rPr>
          <w:rFonts w:ascii="Arial" w:hAnsi="Arial" w:cs="Arial"/>
        </w:rPr>
        <w:t xml:space="preserve">. (2024). The highly susceptible tomato cultivars Dona-55 and Arka Samrat were selected as scions </w:t>
      </w:r>
      <w:r>
        <w:rPr>
          <w:rFonts w:ascii="Arial" w:hAnsi="Arial" w:cs="Arial"/>
          <w:highlight w:val="yellow"/>
        </w:rPr>
        <w:t>because o</w:t>
      </w:r>
      <w:r>
        <w:rPr>
          <w:rFonts w:ascii="Arial" w:hAnsi="Arial" w:cs="Arial"/>
        </w:rPr>
        <w:t xml:space="preserve">f their acceptability and popularity among farmers </w:t>
      </w:r>
      <w:r>
        <w:rPr>
          <w:rFonts w:ascii="Arial" w:hAnsi="Arial" w:cs="Arial"/>
          <w:highlight w:val="yellow"/>
        </w:rPr>
        <w:t>in</w:t>
      </w:r>
      <w:r>
        <w:rPr>
          <w:rFonts w:ascii="Arial" w:hAnsi="Arial" w:cs="Arial"/>
        </w:rPr>
        <w:t xml:space="preserve"> Assam. The seeds were soaked in gibberellic acid (GA</w:t>
      </w:r>
      <w:r>
        <w:rPr>
          <w:rFonts w:ascii="Arial" w:hAnsi="Arial" w:cs="Arial"/>
          <w:vertAlign w:val="subscript"/>
        </w:rPr>
        <w:t>3</w:t>
      </w:r>
      <w:r>
        <w:rPr>
          <w:rFonts w:ascii="Arial" w:hAnsi="Arial" w:cs="Arial"/>
        </w:rPr>
        <w:t xml:space="preserve">) solution </w:t>
      </w:r>
      <w:r>
        <w:rPr>
          <w:rFonts w:ascii="Arial" w:hAnsi="Arial" w:cs="Arial"/>
          <w:highlight w:val="yellow"/>
        </w:rPr>
        <w:t>at</w:t>
      </w:r>
      <w:r>
        <w:rPr>
          <w:rFonts w:ascii="Arial" w:hAnsi="Arial" w:cs="Arial"/>
        </w:rPr>
        <w:t xml:space="preserve"> 100 ppm for 24 hours prior to sowing to promote </w:t>
      </w:r>
      <w:r>
        <w:rPr>
          <w:rFonts w:ascii="Arial" w:hAnsi="Arial" w:cs="Arial"/>
          <w:highlight w:val="yellow"/>
        </w:rPr>
        <w:t>early</w:t>
      </w:r>
      <w:r>
        <w:rPr>
          <w:rFonts w:ascii="Arial" w:hAnsi="Arial" w:cs="Arial"/>
        </w:rPr>
        <w:t xml:space="preserve"> and </w:t>
      </w:r>
      <w:r>
        <w:rPr>
          <w:rFonts w:ascii="Arial" w:hAnsi="Arial" w:cs="Arial"/>
          <w:highlight w:val="yellow"/>
        </w:rPr>
        <w:t>unifo</w:t>
      </w:r>
      <w:r>
        <w:rPr>
          <w:rFonts w:ascii="Arial" w:hAnsi="Arial" w:cs="Arial"/>
        </w:rPr>
        <w:t>r</w:t>
      </w:r>
      <w:r>
        <w:rPr>
          <w:rFonts w:ascii="Arial" w:hAnsi="Arial" w:cs="Arial"/>
          <w:highlight w:val="yellow"/>
        </w:rPr>
        <w:t>m</w:t>
      </w:r>
      <w:r>
        <w:rPr>
          <w:rFonts w:ascii="Arial" w:hAnsi="Arial" w:cs="Arial"/>
        </w:rPr>
        <w:t xml:space="preserve"> germination. The seeds of the rootstocks were sown 4 weeks before sowing the seeds of the scions. Seedling</w:t>
      </w:r>
      <w:r>
        <w:rPr>
          <w:rFonts w:ascii="Arial" w:hAnsi="Arial" w:cs="Arial"/>
          <w:highlight w:val="yellow"/>
        </w:rPr>
        <w:t>s</w:t>
      </w:r>
      <w:r>
        <w:rPr>
          <w:rFonts w:ascii="Arial" w:hAnsi="Arial" w:cs="Arial"/>
        </w:rPr>
        <w:t xml:space="preserve"> were raised in plastic pro-trays filled with a mixture of coco-peat and vermicompost in </w:t>
      </w:r>
      <w:r>
        <w:rPr>
          <w:rFonts w:ascii="Arial" w:hAnsi="Arial" w:cs="Arial"/>
          <w:highlight w:val="yellow"/>
        </w:rPr>
        <w:t xml:space="preserve">a </w:t>
      </w:r>
      <w:r>
        <w:rPr>
          <w:rFonts w:ascii="Arial" w:hAnsi="Arial" w:cs="Arial"/>
        </w:rPr>
        <w:t xml:space="preserve">1:1 ratio and later transplanted into polybags. </w:t>
      </w:r>
    </w:p>
    <w:p w14:paraId="4982806A" w14:textId="77777777" w:rsidR="007A1019" w:rsidRPr="00B91AE6" w:rsidRDefault="00000000">
      <w:pPr>
        <w:spacing w:after="120" w:line="360" w:lineRule="auto"/>
        <w:ind w:firstLine="317"/>
        <w:jc w:val="both"/>
        <w:rPr>
          <w:rFonts w:ascii="Arial" w:hAnsi="Arial" w:cs="Arial"/>
        </w:rPr>
      </w:pPr>
      <w:r>
        <w:rPr>
          <w:rFonts w:ascii="Arial" w:hAnsi="Arial" w:cs="Arial"/>
        </w:rPr>
        <w:t>The scions, Dona-55 and Arka Samrat</w:t>
      </w:r>
      <w:r>
        <w:rPr>
          <w:rFonts w:ascii="Arial" w:hAnsi="Arial" w:cs="Arial"/>
          <w:highlight w:val="yellow"/>
        </w:rPr>
        <w:t>,</w:t>
      </w:r>
      <w:r>
        <w:rPr>
          <w:rFonts w:ascii="Arial" w:hAnsi="Arial" w:cs="Arial"/>
        </w:rPr>
        <w:t xml:space="preserve"> were grafted onto the rootstocks </w:t>
      </w:r>
      <w:r>
        <w:rPr>
          <w:rFonts w:ascii="Arial" w:hAnsi="Arial" w:cs="Arial"/>
          <w:i/>
        </w:rPr>
        <w:t>S. torvum</w:t>
      </w:r>
      <w:r>
        <w:rPr>
          <w:rFonts w:ascii="Arial" w:hAnsi="Arial" w:cs="Arial"/>
        </w:rPr>
        <w:t xml:space="preserve"> and </w:t>
      </w:r>
      <w:r>
        <w:rPr>
          <w:rFonts w:ascii="Arial" w:hAnsi="Arial" w:cs="Arial"/>
          <w:i/>
        </w:rPr>
        <w:t>S. lycopersicum cv.</w:t>
      </w:r>
      <w:r>
        <w:rPr>
          <w:rFonts w:ascii="Arial" w:hAnsi="Arial" w:cs="Arial"/>
        </w:rPr>
        <w:t xml:space="preserve"> Hisar Lalit </w:t>
      </w:r>
      <w:r>
        <w:rPr>
          <w:rFonts w:ascii="Arial" w:hAnsi="Arial" w:cs="Arial"/>
          <w:highlight w:val="yellow"/>
        </w:rPr>
        <w:t>us</w:t>
      </w:r>
      <w:r>
        <w:rPr>
          <w:rFonts w:ascii="Arial" w:hAnsi="Arial" w:cs="Arial"/>
        </w:rPr>
        <w:t>ing</w:t>
      </w:r>
      <w:r>
        <w:rPr>
          <w:rFonts w:ascii="Arial" w:hAnsi="Arial" w:cs="Arial"/>
          <w:highlight w:val="yellow"/>
        </w:rPr>
        <w:t xml:space="preserve"> the</w:t>
      </w:r>
      <w:r>
        <w:rPr>
          <w:rFonts w:ascii="Arial" w:hAnsi="Arial" w:cs="Arial"/>
        </w:rPr>
        <w:t xml:space="preserve"> cleft</w:t>
      </w:r>
      <w:r>
        <w:rPr>
          <w:rFonts w:ascii="Arial" w:hAnsi="Arial" w:cs="Arial"/>
          <w:highlight w:val="yellow"/>
        </w:rPr>
        <w:t>-</w:t>
      </w:r>
      <w:r>
        <w:rPr>
          <w:rFonts w:ascii="Arial" w:hAnsi="Arial" w:cs="Arial"/>
        </w:rPr>
        <w:t xml:space="preserve">grafting technique in different combinations. At the time of grafting, the rootstock seedlings </w:t>
      </w:r>
      <w:r>
        <w:rPr>
          <w:rFonts w:ascii="Arial" w:hAnsi="Arial" w:cs="Arial"/>
          <w:highlight w:val="yellow"/>
        </w:rPr>
        <w:t>h</w:t>
      </w:r>
      <w:r>
        <w:rPr>
          <w:rFonts w:ascii="Arial" w:hAnsi="Arial" w:cs="Arial"/>
        </w:rPr>
        <w:t>a</w:t>
      </w:r>
      <w:r>
        <w:rPr>
          <w:rFonts w:ascii="Arial" w:hAnsi="Arial" w:cs="Arial"/>
          <w:highlight w:val="yellow"/>
        </w:rPr>
        <w:t>d re</w:t>
      </w:r>
      <w:r>
        <w:rPr>
          <w:rFonts w:ascii="Arial" w:hAnsi="Arial" w:cs="Arial"/>
        </w:rPr>
        <w:t>a</w:t>
      </w:r>
      <w:r>
        <w:rPr>
          <w:rFonts w:ascii="Arial" w:hAnsi="Arial" w:cs="Arial"/>
          <w:highlight w:val="yellow"/>
        </w:rPr>
        <w:t>ch</w:t>
      </w:r>
      <w:r>
        <w:rPr>
          <w:rFonts w:ascii="Arial" w:hAnsi="Arial" w:cs="Arial"/>
        </w:rPr>
        <w:t xml:space="preserve">ed </w:t>
      </w:r>
      <w:r>
        <w:rPr>
          <w:rFonts w:ascii="Arial" w:hAnsi="Arial" w:cs="Arial"/>
          <w:highlight w:val="yellow"/>
        </w:rPr>
        <w:t xml:space="preserve">the </w:t>
      </w:r>
      <w:r>
        <w:rPr>
          <w:rFonts w:ascii="Arial" w:hAnsi="Arial" w:cs="Arial"/>
        </w:rPr>
        <w:t>4</w:t>
      </w:r>
      <w:r>
        <w:rPr>
          <w:rFonts w:ascii="Arial" w:hAnsi="Arial" w:cs="Arial"/>
          <w:highlight w:val="yellow"/>
        </w:rPr>
        <w:t>–5</w:t>
      </w:r>
      <w:r>
        <w:rPr>
          <w:rFonts w:ascii="Arial" w:hAnsi="Arial" w:cs="Arial"/>
        </w:rPr>
        <w:t>-leaf stage (50-60 days), wh</w:t>
      </w:r>
      <w:r>
        <w:rPr>
          <w:rFonts w:ascii="Arial" w:hAnsi="Arial" w:cs="Arial"/>
          <w:highlight w:val="yellow"/>
        </w:rPr>
        <w:t>ereas th</w:t>
      </w:r>
      <w:r>
        <w:rPr>
          <w:rFonts w:ascii="Arial" w:hAnsi="Arial" w:cs="Arial"/>
        </w:rPr>
        <w:t>e scion</w:t>
      </w:r>
      <w:r>
        <w:rPr>
          <w:rFonts w:ascii="Arial" w:hAnsi="Arial" w:cs="Arial"/>
          <w:highlight w:val="yellow"/>
        </w:rPr>
        <w:t>s</w:t>
      </w:r>
      <w:r>
        <w:rPr>
          <w:rFonts w:ascii="Arial" w:hAnsi="Arial" w:cs="Arial"/>
        </w:rPr>
        <w:t xml:space="preserve"> were at the 2</w:t>
      </w:r>
      <w:r>
        <w:rPr>
          <w:rFonts w:ascii="Arial" w:hAnsi="Arial" w:cs="Arial"/>
          <w:highlight w:val="yellow"/>
        </w:rPr>
        <w:t>–3</w:t>
      </w:r>
      <w:r>
        <w:rPr>
          <w:rFonts w:ascii="Arial" w:hAnsi="Arial" w:cs="Arial"/>
        </w:rPr>
        <w:t>-true</w:t>
      </w:r>
      <w:r>
        <w:rPr>
          <w:rFonts w:ascii="Arial" w:hAnsi="Arial" w:cs="Arial"/>
          <w:highlight w:val="yellow"/>
        </w:rPr>
        <w:t>-</w:t>
      </w:r>
      <w:r>
        <w:rPr>
          <w:rFonts w:ascii="Arial" w:hAnsi="Arial" w:cs="Arial"/>
        </w:rPr>
        <w:t>leaf stage (20-25 days). Grafting was performed by cutting the scions and rootstocks at an angle of 45</w:t>
      </w:r>
      <w:r>
        <w:rPr>
          <w:rFonts w:ascii="Arial" w:hAnsi="Arial" w:cs="Arial"/>
          <w:highlight w:val="yellow"/>
          <w:vertAlign w:val="superscript"/>
        </w:rPr>
        <w:t>°</w:t>
      </w:r>
      <w:r>
        <w:rPr>
          <w:rFonts w:ascii="Arial" w:hAnsi="Arial" w:cs="Arial"/>
          <w:vertAlign w:val="superscript"/>
        </w:rPr>
        <w:t xml:space="preserve"> </w:t>
      </w:r>
      <w:r>
        <w:rPr>
          <w:rFonts w:ascii="Arial" w:hAnsi="Arial" w:cs="Arial"/>
        </w:rPr>
        <w:t>and joining them with grafting tape. The following formula was used to estimate the rate of success (%):</w:t>
      </w:r>
    </w:p>
    <w:p w14:paraId="2E854B1C" w14:textId="77777777" w:rsidR="007A1019" w:rsidRPr="00B91AE6" w:rsidRDefault="00000000">
      <w:pPr>
        <w:spacing w:after="120" w:line="360" w:lineRule="auto"/>
        <w:jc w:val="center"/>
        <w:rPr>
          <w:rFonts w:ascii="Arial" w:hAnsi="Arial" w:cs="Arial"/>
        </w:rPr>
      </w:pPr>
      <w:r w:rsidRPr="00B91AE6">
        <w:rPr>
          <w:rFonts w:ascii="Arial" w:hAnsi="Arial" w:cs="Arial"/>
        </w:rPr>
        <w:t>Graft success (%) = (Successful grafted seedlings / Total number of seedlings grafted) × 100</w:t>
      </w:r>
    </w:p>
    <w:p w14:paraId="4A9F3A87" w14:textId="77777777" w:rsidR="007A1019" w:rsidRPr="00B91AE6" w:rsidRDefault="00000000">
      <w:pPr>
        <w:spacing w:after="120" w:line="360" w:lineRule="auto"/>
        <w:ind w:firstLine="317"/>
        <w:jc w:val="both"/>
        <w:rPr>
          <w:rFonts w:ascii="Arial" w:hAnsi="Arial" w:cs="Arial"/>
        </w:rPr>
      </w:pPr>
      <w:r>
        <w:rPr>
          <w:rFonts w:ascii="Arial" w:hAnsi="Arial" w:cs="Arial"/>
        </w:rPr>
        <w:lastRenderedPageBreak/>
        <w:t>For the field evaluation, two</w:t>
      </w:r>
      <w:r>
        <w:rPr>
          <w:rFonts w:ascii="Arial" w:hAnsi="Arial" w:cs="Arial"/>
          <w:highlight w:val="yellow"/>
        </w:rPr>
        <w:t>-</w:t>
      </w:r>
      <w:r>
        <w:rPr>
          <w:rFonts w:ascii="Arial" w:hAnsi="Arial" w:cs="Arial"/>
        </w:rPr>
        <w:t>week</w:t>
      </w:r>
      <w:r>
        <w:rPr>
          <w:rFonts w:ascii="Arial" w:hAnsi="Arial" w:cs="Arial"/>
          <w:highlight w:val="yellow"/>
        </w:rPr>
        <w:t>-</w:t>
      </w:r>
      <w:r>
        <w:rPr>
          <w:rFonts w:ascii="Arial" w:hAnsi="Arial" w:cs="Arial"/>
        </w:rPr>
        <w:t xml:space="preserve">old grafted plants were used. A rectangular, medium-upland plot of land infested with </w:t>
      </w:r>
      <w:r>
        <w:rPr>
          <w:rFonts w:ascii="Arial" w:hAnsi="Arial" w:cs="Arial"/>
          <w:i/>
        </w:rPr>
        <w:t>M. incognita</w:t>
      </w:r>
      <w:r>
        <w:rPr>
          <w:rFonts w:ascii="Arial" w:hAnsi="Arial" w:cs="Arial"/>
        </w:rPr>
        <w:t xml:space="preserve"> was selected for the study. Before preparing the layout of the experiment, </w:t>
      </w:r>
      <w:r>
        <w:rPr>
          <w:rFonts w:ascii="Arial" w:hAnsi="Arial" w:cs="Arial"/>
          <w:highlight w:val="yellow"/>
        </w:rPr>
        <w:t xml:space="preserve">the </w:t>
      </w:r>
      <w:r>
        <w:rPr>
          <w:rFonts w:ascii="Arial" w:hAnsi="Arial" w:cs="Arial"/>
        </w:rPr>
        <w:t xml:space="preserve">initial population of </w:t>
      </w:r>
      <w:r>
        <w:rPr>
          <w:rFonts w:ascii="Arial" w:hAnsi="Arial" w:cs="Arial"/>
          <w:i/>
        </w:rPr>
        <w:t>M. incognita</w:t>
      </w:r>
      <w:r>
        <w:rPr>
          <w:rFonts w:ascii="Arial" w:hAnsi="Arial" w:cs="Arial"/>
        </w:rPr>
        <w:t xml:space="preserve"> juveniles (J</w:t>
      </w:r>
      <w:r>
        <w:rPr>
          <w:rFonts w:ascii="Arial" w:hAnsi="Arial" w:cs="Arial"/>
          <w:vertAlign w:val="subscript"/>
        </w:rPr>
        <w:t>2</w:t>
      </w:r>
      <w:r>
        <w:rPr>
          <w:rFonts w:ascii="Arial" w:hAnsi="Arial" w:cs="Arial"/>
        </w:rPr>
        <w:t>) in the soil was recorded as 245 J</w:t>
      </w:r>
      <w:r>
        <w:rPr>
          <w:rFonts w:ascii="Arial" w:hAnsi="Arial" w:cs="Arial"/>
          <w:vertAlign w:val="subscript"/>
        </w:rPr>
        <w:t>2</w:t>
      </w:r>
      <w:r>
        <w:rPr>
          <w:rFonts w:ascii="Arial" w:hAnsi="Arial" w:cs="Arial"/>
        </w:rPr>
        <w:t xml:space="preserve">/200 cc of soil. The experiment was arranged in a randomized block design (RBD) with </w:t>
      </w:r>
      <w:r>
        <w:rPr>
          <w:rFonts w:ascii="Arial" w:hAnsi="Arial" w:cs="Arial"/>
          <w:highlight w:val="yellow"/>
        </w:rPr>
        <w:t>six</w:t>
      </w:r>
      <w:r>
        <w:rPr>
          <w:rFonts w:ascii="Arial" w:hAnsi="Arial" w:cs="Arial"/>
        </w:rPr>
        <w:t xml:space="preserve"> treatments and </w:t>
      </w:r>
      <w:r>
        <w:rPr>
          <w:rFonts w:ascii="Arial" w:hAnsi="Arial" w:cs="Arial"/>
          <w:highlight w:val="yellow"/>
        </w:rPr>
        <w:t>four</w:t>
      </w:r>
      <w:r>
        <w:rPr>
          <w:rFonts w:ascii="Arial" w:hAnsi="Arial" w:cs="Arial"/>
        </w:rPr>
        <w:t xml:space="preserve"> replications.</w:t>
      </w:r>
    </w:p>
    <w:p w14:paraId="59952036"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Details of the treatments are as follows:</w:t>
      </w:r>
    </w:p>
    <w:p w14:paraId="4901A948"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1</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Dona-55 grafted onto </w:t>
      </w:r>
      <w:r w:rsidRPr="00B91AE6">
        <w:rPr>
          <w:rFonts w:ascii="Arial" w:hAnsi="Arial" w:cs="Arial"/>
          <w:i/>
        </w:rPr>
        <w:t xml:space="preserve">S. </w:t>
      </w:r>
      <w:proofErr w:type="spellStart"/>
      <w:r w:rsidRPr="00B91AE6">
        <w:rPr>
          <w:rFonts w:ascii="Arial" w:hAnsi="Arial" w:cs="Arial"/>
          <w:i/>
        </w:rPr>
        <w:t>torvum</w:t>
      </w:r>
      <w:proofErr w:type="spellEnd"/>
    </w:p>
    <w:p w14:paraId="5FC81E0C" w14:textId="77777777" w:rsidR="007A1019" w:rsidRPr="00B91AE6" w:rsidRDefault="00000000">
      <w:pPr>
        <w:spacing w:after="40" w:line="360" w:lineRule="auto"/>
        <w:ind w:left="317" w:hanging="317"/>
        <w:rPr>
          <w:rFonts w:ascii="Arial" w:hAnsi="Arial" w:cs="Arial"/>
        </w:rPr>
      </w:pPr>
      <w:r>
        <w:rPr>
          <w:rFonts w:ascii="Arial" w:hAnsi="Arial" w:cs="Arial"/>
        </w:rPr>
        <w:t>T</w:t>
      </w:r>
      <w:r>
        <w:rPr>
          <w:rFonts w:ascii="Arial" w:hAnsi="Arial" w:cs="Arial"/>
          <w:vertAlign w:val="subscript"/>
        </w:rPr>
        <w:t>2</w:t>
      </w:r>
      <w:r>
        <w:rPr>
          <w:rFonts w:ascii="Arial" w:hAnsi="Arial" w:cs="Arial"/>
        </w:rPr>
        <w:t xml:space="preserve">= </w:t>
      </w:r>
      <w:r>
        <w:rPr>
          <w:rFonts w:ascii="Arial" w:hAnsi="Arial" w:cs="Arial"/>
          <w:i/>
        </w:rPr>
        <w:t>S. lycopersicum cv.</w:t>
      </w:r>
      <w:r>
        <w:rPr>
          <w:rFonts w:ascii="Arial" w:hAnsi="Arial" w:cs="Arial"/>
        </w:rPr>
        <w:t xml:space="preserve"> Dona-55 grafted onto </w:t>
      </w:r>
      <w:r>
        <w:rPr>
          <w:rFonts w:ascii="Arial" w:hAnsi="Arial" w:cs="Arial"/>
          <w:i/>
        </w:rPr>
        <w:t xml:space="preserve">S. </w:t>
      </w:r>
      <w:r>
        <w:rPr>
          <w:rFonts w:ascii="Arial" w:hAnsi="Arial" w:cs="Arial"/>
          <w:i/>
          <w:highlight w:val="yellow"/>
        </w:rPr>
        <w:t>l</w:t>
      </w:r>
      <w:r>
        <w:rPr>
          <w:rFonts w:ascii="Arial" w:hAnsi="Arial" w:cs="Arial"/>
          <w:i/>
        </w:rPr>
        <w:t>ycopersicum cv.</w:t>
      </w:r>
      <w:r>
        <w:rPr>
          <w:rFonts w:ascii="Arial" w:hAnsi="Arial" w:cs="Arial"/>
        </w:rPr>
        <w:t xml:space="preserve"> Hisar Lalit </w:t>
      </w:r>
    </w:p>
    <w:p w14:paraId="1B35ABF8"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3</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p>
    <w:p w14:paraId="75131B5D"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4</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w:t>
      </w:r>
    </w:p>
    <w:p w14:paraId="790DA98E"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5</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Dona-55 (scion-1)</w:t>
      </w:r>
    </w:p>
    <w:p w14:paraId="1C2EA6A6"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6</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(scion-2)</w:t>
      </w:r>
    </w:p>
    <w:p w14:paraId="44BBDDBC"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Field operations </w:t>
      </w:r>
      <w:r>
        <w:rPr>
          <w:rFonts w:ascii="Arial" w:hAnsi="Arial" w:cs="Arial"/>
          <w:highlight w:val="yellow"/>
        </w:rPr>
        <w:t>such as</w:t>
      </w:r>
      <w:r>
        <w:rPr>
          <w:rFonts w:ascii="Arial" w:hAnsi="Arial" w:cs="Arial"/>
        </w:rPr>
        <w:t xml:space="preserve"> weeding, application of manure, fertilizers, insecticides, irrigation and harvesting were carried out according to</w:t>
      </w:r>
      <w:r>
        <w:rPr>
          <w:rFonts w:ascii="Arial" w:hAnsi="Arial" w:cs="Arial"/>
          <w:highlight w:val="yellow"/>
        </w:rPr>
        <w:t xml:space="preserve"> the</w:t>
      </w:r>
      <w:r>
        <w:rPr>
          <w:rFonts w:ascii="Arial" w:hAnsi="Arial" w:cs="Arial"/>
        </w:rPr>
        <w:t xml:space="preserve"> package of practices given by AAU, Jorhat. Observations were recorded on plant growth parameters like days to flowering and fruiting, fruits per plant, fruit yield per plant (kg), average fruit weight (g), total fruit yield (q/ha), and nematode</w:t>
      </w:r>
      <w:r>
        <w:rPr>
          <w:rFonts w:ascii="Arial" w:hAnsi="Arial" w:cs="Arial"/>
          <w:highlight w:val="yellow"/>
        </w:rPr>
        <w:t>-</w:t>
      </w:r>
      <w:r>
        <w:rPr>
          <w:rFonts w:ascii="Arial" w:hAnsi="Arial" w:cs="Arial"/>
        </w:rPr>
        <w:t>related traits including number of galls, egg masses, reproduction</w:t>
      </w:r>
      <w:r>
        <w:rPr>
          <w:rFonts w:ascii="Arial" w:hAnsi="Arial" w:cs="Arial"/>
          <w:highlight w:val="yellow"/>
        </w:rPr>
        <w:t xml:space="preserve"> rate</w:t>
      </w:r>
      <w:r>
        <w:rPr>
          <w:rFonts w:ascii="Arial" w:hAnsi="Arial" w:cs="Arial"/>
        </w:rPr>
        <w:t xml:space="preserve"> and final nematode population. Furthermore, plant height (cm) was recorded at 30, 60 and 90 days after planting (DAP).</w:t>
      </w:r>
    </w:p>
    <w:p w14:paraId="76364E4F"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The collected data were analysed statistically using Fisher's analysis of variance. </w:t>
      </w:r>
      <w:r>
        <w:rPr>
          <w:rFonts w:ascii="Arial" w:hAnsi="Arial" w:cs="Arial"/>
          <w:highlight w:val="yellow"/>
        </w:rPr>
        <w:t>The s</w:t>
      </w:r>
      <w:r>
        <w:rPr>
          <w:rFonts w:ascii="Arial" w:hAnsi="Arial" w:cs="Arial"/>
        </w:rPr>
        <w:t xml:space="preserve">ignificance of </w:t>
      </w:r>
      <w:r>
        <w:rPr>
          <w:rFonts w:ascii="Arial" w:hAnsi="Arial" w:cs="Arial"/>
          <w:highlight w:val="yellow"/>
        </w:rPr>
        <w:t>diffe</w:t>
      </w:r>
      <w:r>
        <w:rPr>
          <w:rFonts w:ascii="Arial" w:hAnsi="Arial" w:cs="Arial"/>
        </w:rPr>
        <w:t>r</w:t>
      </w:r>
      <w:r>
        <w:rPr>
          <w:rFonts w:ascii="Arial" w:hAnsi="Arial" w:cs="Arial"/>
          <w:highlight w:val="yellow"/>
        </w:rPr>
        <w:t>e</w:t>
      </w:r>
      <w:r>
        <w:rPr>
          <w:rFonts w:ascii="Arial" w:hAnsi="Arial" w:cs="Arial"/>
        </w:rPr>
        <w:t>nce</w:t>
      </w:r>
      <w:r>
        <w:rPr>
          <w:rFonts w:ascii="Arial" w:hAnsi="Arial" w:cs="Arial"/>
          <w:highlight w:val="yellow"/>
        </w:rPr>
        <w:t>s</w:t>
      </w:r>
      <w:r>
        <w:rPr>
          <w:rFonts w:ascii="Arial" w:hAnsi="Arial" w:cs="Arial"/>
        </w:rPr>
        <w:t xml:space="preserve"> among the data w</w:t>
      </w:r>
      <w:r>
        <w:rPr>
          <w:rFonts w:ascii="Arial" w:hAnsi="Arial" w:cs="Arial"/>
          <w:highlight w:val="yellow"/>
        </w:rPr>
        <w:t>as</w:t>
      </w:r>
      <w:r>
        <w:rPr>
          <w:rFonts w:ascii="Arial" w:hAnsi="Arial" w:cs="Arial"/>
        </w:rPr>
        <w:t xml:space="preserve"> determined by calculating the "F" value and comparing it with tabulated </w:t>
      </w:r>
      <w:r>
        <w:rPr>
          <w:rFonts w:ascii="Arial" w:hAnsi="Arial" w:cs="Arial"/>
          <w:highlight w:val="yellow"/>
        </w:rPr>
        <w:t>F-</w:t>
      </w:r>
      <w:r>
        <w:rPr>
          <w:rFonts w:ascii="Arial" w:hAnsi="Arial" w:cs="Arial"/>
        </w:rPr>
        <w:t xml:space="preserve">value at </w:t>
      </w:r>
      <w:r>
        <w:rPr>
          <w:rFonts w:ascii="Arial" w:hAnsi="Arial" w:cs="Arial"/>
          <w:highlight w:val="yellow"/>
        </w:rPr>
        <w:t xml:space="preserve">the </w:t>
      </w:r>
      <w:r>
        <w:rPr>
          <w:rFonts w:ascii="Arial" w:hAnsi="Arial" w:cs="Arial"/>
        </w:rPr>
        <w:t>5% probability</w:t>
      </w:r>
      <w:r>
        <w:rPr>
          <w:rFonts w:ascii="Arial" w:hAnsi="Arial" w:cs="Arial"/>
          <w:highlight w:val="yellow"/>
        </w:rPr>
        <w:t xml:space="preserve"> level</w:t>
      </w:r>
      <w:r>
        <w:rPr>
          <w:rFonts w:ascii="Arial" w:hAnsi="Arial" w:cs="Arial"/>
        </w:rPr>
        <w:t>. Additionally, mean comparison</w:t>
      </w:r>
      <w:r>
        <w:rPr>
          <w:rFonts w:ascii="Arial" w:hAnsi="Arial" w:cs="Arial"/>
          <w:highlight w:val="yellow"/>
        </w:rPr>
        <w:t>s</w:t>
      </w:r>
      <w:r>
        <w:rPr>
          <w:rFonts w:ascii="Arial" w:hAnsi="Arial" w:cs="Arial"/>
        </w:rPr>
        <w:t xml:space="preserve"> were performed by calculating critical difference (CD) at </w:t>
      </w:r>
      <w:r>
        <w:rPr>
          <w:rFonts w:ascii="Arial" w:hAnsi="Arial" w:cs="Arial"/>
          <w:highlight w:val="yellow"/>
        </w:rPr>
        <w:t xml:space="preserve">the </w:t>
      </w:r>
      <w:r>
        <w:rPr>
          <w:rFonts w:ascii="Arial" w:hAnsi="Arial" w:cs="Arial"/>
        </w:rPr>
        <w:t>5% probabilit</w:t>
      </w:r>
      <w:r>
        <w:rPr>
          <w:rFonts w:ascii="Arial" w:hAnsi="Arial" w:cs="Arial"/>
          <w:highlight w:val="yellow"/>
        </w:rPr>
        <w:t>y l</w:t>
      </w:r>
      <w:r>
        <w:rPr>
          <w:rFonts w:ascii="Arial" w:hAnsi="Arial" w:cs="Arial"/>
        </w:rPr>
        <w:t>e</w:t>
      </w:r>
      <w:r>
        <w:rPr>
          <w:rFonts w:ascii="Arial" w:hAnsi="Arial" w:cs="Arial"/>
          <w:highlight w:val="yellow"/>
        </w:rPr>
        <w:t>vel</w:t>
      </w:r>
      <w:r>
        <w:rPr>
          <w:rFonts w:ascii="Arial" w:hAnsi="Arial" w:cs="Arial"/>
        </w:rPr>
        <w:t xml:space="preserve"> by using Duncan's multiple range test (DMRT).</w:t>
      </w:r>
    </w:p>
    <w:p w14:paraId="1C6724D0" w14:textId="77777777" w:rsidR="007A1019" w:rsidRPr="00B91AE6" w:rsidRDefault="00000000">
      <w:pPr>
        <w:pStyle w:val="Head1"/>
        <w:spacing w:before="160" w:after="100"/>
        <w:rPr>
          <w:rFonts w:ascii="Arial" w:hAnsi="Arial" w:cs="Arial"/>
        </w:rPr>
      </w:pPr>
      <w:r w:rsidRPr="00B91AE6">
        <w:rPr>
          <w:rFonts w:ascii="Arial" w:eastAsia="Arial" w:hAnsi="Arial" w:cs="Arial"/>
        </w:rPr>
        <w:t>3. RESULTS AND DISCUSSION</w:t>
      </w:r>
    </w:p>
    <w:p w14:paraId="3BFBF9A2"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The highest </w:t>
      </w:r>
      <w:r>
        <w:rPr>
          <w:rFonts w:ascii="Arial" w:hAnsi="Arial" w:cs="Arial"/>
          <w:highlight w:val="yellow"/>
        </w:rPr>
        <w:t>graft-</w:t>
      </w:r>
      <w:r>
        <w:rPr>
          <w:rFonts w:ascii="Arial" w:hAnsi="Arial" w:cs="Arial"/>
        </w:rPr>
        <w:t>success rate</w:t>
      </w:r>
      <w:r>
        <w:rPr>
          <w:rFonts w:ascii="Arial" w:hAnsi="Arial" w:cs="Arial"/>
          <w:highlight w:val="yellow"/>
        </w:rPr>
        <w:t xml:space="preserve"> (Table 1)</w:t>
      </w:r>
      <w:r>
        <w:rPr>
          <w:rFonts w:ascii="Arial" w:hAnsi="Arial" w:cs="Arial"/>
        </w:rPr>
        <w:t xml:space="preserve"> was observed in </w:t>
      </w:r>
      <w:r>
        <w:rPr>
          <w:rFonts w:ascii="Arial" w:hAnsi="Arial" w:cs="Arial"/>
          <w:i/>
        </w:rPr>
        <w:t xml:space="preserve">S. lycopersicum cv. </w:t>
      </w:r>
      <w:r>
        <w:rPr>
          <w:rFonts w:ascii="Arial" w:hAnsi="Arial" w:cs="Arial"/>
        </w:rPr>
        <w:t xml:space="preserve">Arka Samrat grafted onto </w:t>
      </w:r>
      <w:r>
        <w:rPr>
          <w:rFonts w:ascii="Arial" w:hAnsi="Arial" w:cs="Arial"/>
          <w:i/>
        </w:rPr>
        <w:t>S. torvum</w:t>
      </w:r>
      <w:r>
        <w:rPr>
          <w:rFonts w:ascii="Arial" w:hAnsi="Arial" w:cs="Arial"/>
        </w:rPr>
        <w:t xml:space="preserve"> (67.90%)</w:t>
      </w:r>
      <w:r>
        <w:rPr>
          <w:rFonts w:ascii="Arial" w:hAnsi="Arial" w:cs="Arial"/>
          <w:highlight w:val="yellow"/>
        </w:rPr>
        <w:t>,</w:t>
      </w:r>
      <w:r>
        <w:rPr>
          <w:rFonts w:ascii="Arial" w:hAnsi="Arial" w:cs="Arial"/>
        </w:rPr>
        <w:t xml:space="preserve"> followed by </w:t>
      </w:r>
      <w:r>
        <w:rPr>
          <w:rFonts w:ascii="Arial" w:hAnsi="Arial" w:cs="Arial"/>
          <w:i/>
        </w:rPr>
        <w:t xml:space="preserve">S. lycopersicum cv. </w:t>
      </w:r>
      <w:r>
        <w:rPr>
          <w:rFonts w:ascii="Arial" w:hAnsi="Arial" w:cs="Arial"/>
        </w:rPr>
        <w:t xml:space="preserve">Dona-55 grafted onto </w:t>
      </w:r>
      <w:r>
        <w:rPr>
          <w:rFonts w:ascii="Arial" w:hAnsi="Arial" w:cs="Arial"/>
          <w:i/>
        </w:rPr>
        <w:t xml:space="preserve">S. torvum </w:t>
      </w:r>
      <w:r>
        <w:rPr>
          <w:rFonts w:ascii="Arial" w:hAnsi="Arial" w:cs="Arial"/>
        </w:rPr>
        <w:t xml:space="preserve">(66.66%). </w:t>
      </w:r>
      <w:r>
        <w:rPr>
          <w:rFonts w:ascii="Arial" w:hAnsi="Arial" w:cs="Arial"/>
          <w:highlight w:val="yellow"/>
        </w:rPr>
        <w:t>T</w:t>
      </w:r>
      <w:r>
        <w:rPr>
          <w:rFonts w:ascii="Arial" w:hAnsi="Arial" w:cs="Arial"/>
        </w:rPr>
        <w:t>he l</w:t>
      </w:r>
      <w:r>
        <w:rPr>
          <w:rFonts w:ascii="Arial" w:hAnsi="Arial" w:cs="Arial"/>
          <w:highlight w:val="yellow"/>
        </w:rPr>
        <w:t>ow</w:t>
      </w:r>
      <w:r>
        <w:rPr>
          <w:rFonts w:ascii="Arial" w:hAnsi="Arial" w:cs="Arial"/>
        </w:rPr>
        <w:t xml:space="preserve">est success rate was recorded </w:t>
      </w:r>
      <w:r>
        <w:rPr>
          <w:rFonts w:ascii="Arial" w:hAnsi="Arial" w:cs="Arial"/>
          <w:highlight w:val="yellow"/>
        </w:rPr>
        <w:t>f</w:t>
      </w:r>
      <w:r>
        <w:rPr>
          <w:rFonts w:ascii="Arial" w:hAnsi="Arial" w:cs="Arial"/>
        </w:rPr>
        <w:t>o</w:t>
      </w:r>
      <w:r>
        <w:rPr>
          <w:rFonts w:ascii="Arial" w:hAnsi="Arial" w:cs="Arial"/>
          <w:highlight w:val="yellow"/>
        </w:rPr>
        <w:t>r</w:t>
      </w:r>
      <w:r>
        <w:rPr>
          <w:rFonts w:ascii="Arial" w:hAnsi="Arial" w:cs="Arial"/>
        </w:rPr>
        <w:t xml:space="preserve"> </w:t>
      </w:r>
      <w:r>
        <w:rPr>
          <w:rFonts w:ascii="Arial" w:hAnsi="Arial" w:cs="Arial"/>
          <w:i/>
        </w:rPr>
        <w:t>S. lycopersicum cv.</w:t>
      </w:r>
      <w:r>
        <w:rPr>
          <w:rFonts w:ascii="Arial" w:hAnsi="Arial" w:cs="Arial"/>
        </w:rPr>
        <w:t xml:space="preserve"> Arka Samrat grafted onto </w:t>
      </w:r>
      <w:r>
        <w:rPr>
          <w:rFonts w:ascii="Arial" w:hAnsi="Arial" w:cs="Arial"/>
          <w:i/>
        </w:rPr>
        <w:t>S. lycopersicum cv.</w:t>
      </w:r>
      <w:r>
        <w:rPr>
          <w:rFonts w:ascii="Arial" w:hAnsi="Arial" w:cs="Arial"/>
        </w:rPr>
        <w:t xml:space="preserve"> Hisar Lalit (59.52%). Kumar </w:t>
      </w:r>
      <w:r>
        <w:rPr>
          <w:rFonts w:ascii="Arial" w:hAnsi="Arial" w:cs="Arial"/>
          <w:i/>
        </w:rPr>
        <w:t>et al</w:t>
      </w:r>
      <w:r>
        <w:rPr>
          <w:rFonts w:ascii="Arial" w:hAnsi="Arial" w:cs="Arial"/>
        </w:rPr>
        <w:t xml:space="preserve">. (2017) observed compatibility rates of 67.50% and 66.50% when tomato cultivars Pusa hybrid-6 and Pusa Shyamala were grafted onto </w:t>
      </w:r>
      <w:r>
        <w:rPr>
          <w:rFonts w:ascii="Arial" w:hAnsi="Arial" w:cs="Arial"/>
          <w:highlight w:val="yellow"/>
        </w:rPr>
        <w:t xml:space="preserve">the </w:t>
      </w:r>
      <w:r>
        <w:rPr>
          <w:rFonts w:ascii="Arial" w:hAnsi="Arial" w:cs="Arial"/>
        </w:rPr>
        <w:t xml:space="preserve">rootstock </w:t>
      </w:r>
      <w:r>
        <w:rPr>
          <w:rFonts w:ascii="Arial" w:hAnsi="Arial" w:cs="Arial"/>
          <w:i/>
        </w:rPr>
        <w:t>S. torvum.</w:t>
      </w:r>
      <w:r>
        <w:rPr>
          <w:rFonts w:ascii="Arial" w:hAnsi="Arial" w:cs="Arial"/>
        </w:rPr>
        <w:t xml:space="preserve"> Polimera </w:t>
      </w:r>
      <w:r>
        <w:rPr>
          <w:rFonts w:ascii="Arial" w:hAnsi="Arial" w:cs="Arial"/>
          <w:i/>
        </w:rPr>
        <w:t>et al</w:t>
      </w:r>
      <w:r>
        <w:rPr>
          <w:rFonts w:ascii="Arial" w:hAnsi="Arial" w:cs="Arial"/>
        </w:rPr>
        <w:t xml:space="preserve">. (2022) also recorded success rates of 65.29% and 63.88% in brinjal hybrids Liliya and Kokila grafted onto </w:t>
      </w:r>
      <w:r>
        <w:rPr>
          <w:rFonts w:ascii="Arial" w:hAnsi="Arial" w:cs="Arial"/>
          <w:highlight w:val="yellow"/>
        </w:rPr>
        <w:t xml:space="preserve">the </w:t>
      </w:r>
      <w:r>
        <w:rPr>
          <w:rFonts w:ascii="Arial" w:hAnsi="Arial" w:cs="Arial"/>
        </w:rPr>
        <w:t xml:space="preserve">rootstock </w:t>
      </w:r>
      <w:r>
        <w:rPr>
          <w:rFonts w:ascii="Arial" w:hAnsi="Arial" w:cs="Arial"/>
          <w:i/>
        </w:rPr>
        <w:t xml:space="preserve">S. torvum </w:t>
      </w:r>
      <w:r>
        <w:rPr>
          <w:rFonts w:ascii="Arial" w:hAnsi="Arial" w:cs="Arial"/>
        </w:rPr>
        <w:t>respectively. These findings align with those of the present investigation.</w:t>
      </w:r>
    </w:p>
    <w:p w14:paraId="4CA48CEC" w14:textId="77777777" w:rsidR="007A1019" w:rsidRPr="00B91AE6" w:rsidRDefault="00000000">
      <w:pPr>
        <w:spacing w:before="60" w:after="60"/>
        <w:rPr>
          <w:rFonts w:ascii="Arial" w:hAnsi="Arial" w:cs="Arial"/>
        </w:rPr>
      </w:pPr>
      <w:r w:rsidRPr="00B91AE6">
        <w:rPr>
          <w:rFonts w:ascii="Arial" w:eastAsia="Arial" w:hAnsi="Arial" w:cs="Arial"/>
          <w:b/>
        </w:rPr>
        <w:lastRenderedPageBreak/>
        <w:t>Table 1. Success rate of grafting tomato hybrids on Solanum rootstocks (%)</w:t>
      </w:r>
    </w:p>
    <w:tbl>
      <w:tblPr>
        <w:tblStyle w:val="TableGrid"/>
        <w:tblW w:w="0" w:type="auto"/>
        <w:jc w:val="center"/>
        <w:tblLayout w:type="fixed"/>
        <w:tblLook w:val="04A0" w:firstRow="1" w:lastRow="0" w:firstColumn="1" w:lastColumn="0" w:noHBand="0" w:noVBand="1"/>
      </w:tblPr>
      <w:tblGrid>
        <w:gridCol w:w="2232"/>
        <w:gridCol w:w="1800"/>
        <w:gridCol w:w="1800"/>
        <w:gridCol w:w="2376"/>
      </w:tblGrid>
      <w:tr w:rsidR="00B91AE6" w:rsidRPr="00B91AE6" w14:paraId="1558C856" w14:textId="77777777" w:rsidTr="00B91AE6">
        <w:trPr>
          <w:jc w:val="center"/>
        </w:trPr>
        <w:tc>
          <w:tcPr>
            <w:tcW w:w="2232" w:type="dxa"/>
            <w:vMerge w:val="restart"/>
            <w:vAlign w:val="center"/>
          </w:tcPr>
          <w:p w14:paraId="5FBF281A"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Tomato Hybrids</w:t>
            </w:r>
          </w:p>
        </w:tc>
        <w:tc>
          <w:tcPr>
            <w:tcW w:w="5976" w:type="dxa"/>
            <w:gridSpan w:val="3"/>
            <w:vAlign w:val="center"/>
          </w:tcPr>
          <w:p w14:paraId="43725CA4"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Solanum Rootstocks</w:t>
            </w:r>
          </w:p>
        </w:tc>
      </w:tr>
      <w:tr w:rsidR="00B91AE6" w:rsidRPr="00B91AE6" w14:paraId="56EE3A78" w14:textId="77777777" w:rsidTr="00B91AE6">
        <w:trPr>
          <w:tblHeader/>
          <w:jc w:val="center"/>
        </w:trPr>
        <w:tc>
          <w:tcPr>
            <w:tcW w:w="2232" w:type="dxa"/>
            <w:vMerge/>
            <w:vAlign w:val="center"/>
          </w:tcPr>
          <w:p w14:paraId="0A0A4D08" w14:textId="77777777" w:rsidR="00B91AE6" w:rsidRPr="003B44E3" w:rsidRDefault="00B91AE6" w:rsidP="00B91AE6">
            <w:pPr>
              <w:spacing w:line="480" w:lineRule="auto"/>
              <w:jc w:val="center"/>
              <w:rPr>
                <w:rFonts w:ascii="Arial" w:hAnsi="Arial" w:cs="Arial"/>
                <w:sz w:val="20"/>
                <w:szCs w:val="20"/>
              </w:rPr>
            </w:pPr>
          </w:p>
        </w:tc>
        <w:tc>
          <w:tcPr>
            <w:tcW w:w="1800" w:type="dxa"/>
            <w:vAlign w:val="bottom"/>
          </w:tcPr>
          <w:p w14:paraId="4839F1D0"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Solanum </w:t>
            </w:r>
            <w:proofErr w:type="spellStart"/>
            <w:r w:rsidRPr="003B44E3">
              <w:rPr>
                <w:rFonts w:ascii="Arial" w:eastAsia="Times New Roman" w:hAnsi="Arial" w:cs="Arial"/>
                <w:b/>
                <w:sz w:val="20"/>
                <w:szCs w:val="20"/>
              </w:rPr>
              <w:t>torvum</w:t>
            </w:r>
            <w:proofErr w:type="spellEnd"/>
          </w:p>
        </w:tc>
        <w:tc>
          <w:tcPr>
            <w:tcW w:w="1800" w:type="dxa"/>
            <w:vAlign w:val="bottom"/>
          </w:tcPr>
          <w:p w14:paraId="71FEA475"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Hisar Lalit</w:t>
            </w:r>
          </w:p>
        </w:tc>
        <w:tc>
          <w:tcPr>
            <w:tcW w:w="2376" w:type="dxa"/>
            <w:vAlign w:val="bottom"/>
          </w:tcPr>
          <w:p w14:paraId="50F80BEC"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Mean (%)</w:t>
            </w:r>
          </w:p>
        </w:tc>
      </w:tr>
      <w:tr w:rsidR="007A1019" w:rsidRPr="00B91AE6" w14:paraId="67A8063A" w14:textId="77777777" w:rsidTr="00B91AE6">
        <w:trPr>
          <w:jc w:val="center"/>
        </w:trPr>
        <w:tc>
          <w:tcPr>
            <w:tcW w:w="2232" w:type="dxa"/>
            <w:vAlign w:val="center"/>
          </w:tcPr>
          <w:p w14:paraId="0C45F05A"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Dona-55</w:t>
            </w:r>
          </w:p>
        </w:tc>
        <w:tc>
          <w:tcPr>
            <w:tcW w:w="1800" w:type="dxa"/>
            <w:vAlign w:val="bottom"/>
          </w:tcPr>
          <w:p w14:paraId="72226F9B"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66.66</w:t>
            </w:r>
          </w:p>
        </w:tc>
        <w:tc>
          <w:tcPr>
            <w:tcW w:w="1800" w:type="dxa"/>
            <w:vAlign w:val="bottom"/>
          </w:tcPr>
          <w:p w14:paraId="2E206F04"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60.60</w:t>
            </w:r>
          </w:p>
        </w:tc>
        <w:tc>
          <w:tcPr>
            <w:tcW w:w="2376" w:type="dxa"/>
            <w:vAlign w:val="bottom"/>
          </w:tcPr>
          <w:p w14:paraId="2D4FC0E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63.63</w:t>
            </w:r>
          </w:p>
        </w:tc>
      </w:tr>
      <w:tr w:rsidR="007A1019" w:rsidRPr="00B91AE6" w14:paraId="14DB4A74" w14:textId="77777777" w:rsidTr="00B91AE6">
        <w:trPr>
          <w:jc w:val="center"/>
        </w:trPr>
        <w:tc>
          <w:tcPr>
            <w:tcW w:w="2232" w:type="dxa"/>
            <w:vAlign w:val="center"/>
          </w:tcPr>
          <w:p w14:paraId="3403D4A2"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Arka Samrat</w:t>
            </w:r>
          </w:p>
        </w:tc>
        <w:tc>
          <w:tcPr>
            <w:tcW w:w="1800" w:type="dxa"/>
            <w:vAlign w:val="bottom"/>
          </w:tcPr>
          <w:p w14:paraId="12012478"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67.90</w:t>
            </w:r>
          </w:p>
        </w:tc>
        <w:tc>
          <w:tcPr>
            <w:tcW w:w="1800" w:type="dxa"/>
            <w:vAlign w:val="bottom"/>
          </w:tcPr>
          <w:p w14:paraId="50E0CC5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59.52</w:t>
            </w:r>
          </w:p>
        </w:tc>
        <w:tc>
          <w:tcPr>
            <w:tcW w:w="2376" w:type="dxa"/>
            <w:vAlign w:val="bottom"/>
          </w:tcPr>
          <w:p w14:paraId="5B0CCB2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63.71</w:t>
            </w:r>
          </w:p>
        </w:tc>
      </w:tr>
      <w:tr w:rsidR="007A1019" w:rsidRPr="00B91AE6" w14:paraId="1F2A7E59" w14:textId="77777777" w:rsidTr="00B91AE6">
        <w:trPr>
          <w:jc w:val="center"/>
        </w:trPr>
        <w:tc>
          <w:tcPr>
            <w:tcW w:w="2232" w:type="dxa"/>
            <w:vAlign w:val="center"/>
          </w:tcPr>
          <w:p w14:paraId="3BC3F418"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Mean (%)</w:t>
            </w:r>
          </w:p>
        </w:tc>
        <w:tc>
          <w:tcPr>
            <w:tcW w:w="1800" w:type="dxa"/>
            <w:vAlign w:val="bottom"/>
          </w:tcPr>
          <w:p w14:paraId="6778202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67.28</w:t>
            </w:r>
          </w:p>
        </w:tc>
        <w:tc>
          <w:tcPr>
            <w:tcW w:w="1800" w:type="dxa"/>
            <w:vAlign w:val="bottom"/>
          </w:tcPr>
          <w:p w14:paraId="06762D12"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60.06</w:t>
            </w:r>
          </w:p>
        </w:tc>
        <w:tc>
          <w:tcPr>
            <w:tcW w:w="2376" w:type="dxa"/>
            <w:vAlign w:val="bottom"/>
          </w:tcPr>
          <w:p w14:paraId="7EABC827"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63.67</w:t>
            </w:r>
          </w:p>
        </w:tc>
      </w:tr>
    </w:tbl>
    <w:p w14:paraId="3C3DF1AD"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The field experiment </w:t>
      </w:r>
      <w:r>
        <w:rPr>
          <w:rFonts w:ascii="Arial" w:hAnsi="Arial" w:cs="Arial"/>
          <w:highlight w:val="yellow"/>
        </w:rPr>
        <w:t>s</w:t>
      </w:r>
      <w:r>
        <w:rPr>
          <w:rFonts w:ascii="Arial" w:hAnsi="Arial" w:cs="Arial"/>
        </w:rPr>
        <w:t>h</w:t>
      </w:r>
      <w:r>
        <w:rPr>
          <w:rFonts w:ascii="Arial" w:hAnsi="Arial" w:cs="Arial"/>
          <w:highlight w:val="yellow"/>
        </w:rPr>
        <w:t>o</w:t>
      </w:r>
      <w:r>
        <w:rPr>
          <w:rFonts w:ascii="Arial" w:hAnsi="Arial" w:cs="Arial"/>
        </w:rPr>
        <w:t>we</w:t>
      </w:r>
      <w:r>
        <w:rPr>
          <w:rFonts w:ascii="Arial" w:hAnsi="Arial" w:cs="Arial"/>
          <w:highlight w:val="yellow"/>
        </w:rPr>
        <w:t>d</w:t>
      </w:r>
      <w:r>
        <w:rPr>
          <w:rFonts w:ascii="Arial" w:hAnsi="Arial" w:cs="Arial"/>
        </w:rPr>
        <w:t xml:space="preserve"> differences in plant height (Table 2) among the various treatments throughout the observation periods at 30, 60 and 90 </w:t>
      </w:r>
      <w:proofErr w:type="gramStart"/>
      <w:r>
        <w:rPr>
          <w:rFonts w:ascii="Arial" w:hAnsi="Arial" w:cs="Arial"/>
        </w:rPr>
        <w:t>DAP</w:t>
      </w:r>
      <w:proofErr w:type="gramEnd"/>
      <w:r>
        <w:rPr>
          <w:rFonts w:ascii="Arial" w:hAnsi="Arial" w:cs="Arial"/>
        </w:rPr>
        <w:t xml:space="preserve">. Grafted plants consistently showed higher rates of growth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non-grafted </w:t>
      </w:r>
      <w:r>
        <w:rPr>
          <w:rFonts w:ascii="Arial" w:hAnsi="Arial" w:cs="Arial"/>
          <w:highlight w:val="yellow"/>
        </w:rPr>
        <w:t>pla</w:t>
      </w:r>
      <w:r>
        <w:rPr>
          <w:rFonts w:ascii="Arial" w:hAnsi="Arial" w:cs="Arial"/>
        </w:rPr>
        <w:t>n</w:t>
      </w:r>
      <w:r>
        <w:rPr>
          <w:rFonts w:ascii="Arial" w:hAnsi="Arial" w:cs="Arial"/>
          <w:highlight w:val="yellow"/>
        </w:rPr>
        <w:t>t</w:t>
      </w:r>
      <w:r>
        <w:rPr>
          <w:rFonts w:ascii="Arial" w:hAnsi="Arial" w:cs="Arial"/>
        </w:rPr>
        <w:t xml:space="preserve">s. The </w:t>
      </w:r>
      <w:r>
        <w:rPr>
          <w:rFonts w:ascii="Arial" w:hAnsi="Arial" w:cs="Arial"/>
          <w:highlight w:val="yellow"/>
        </w:rPr>
        <w:t>gre</w:t>
      </w:r>
      <w:r>
        <w:rPr>
          <w:rFonts w:ascii="Arial" w:hAnsi="Arial" w:cs="Arial"/>
        </w:rPr>
        <w:t>a</w:t>
      </w:r>
      <w:r>
        <w:rPr>
          <w:rFonts w:ascii="Arial" w:hAnsi="Arial" w:cs="Arial"/>
          <w:highlight w:val="yellow"/>
        </w:rPr>
        <w:t>test</w:t>
      </w:r>
      <w:r>
        <w:rPr>
          <w:rFonts w:ascii="Arial" w:hAnsi="Arial" w:cs="Arial"/>
        </w:rPr>
        <w:t xml:space="preserve"> plant heights were observed in T</w:t>
      </w:r>
      <w:r>
        <w:rPr>
          <w:rFonts w:ascii="Arial" w:hAnsi="Arial" w:cs="Arial"/>
          <w:vertAlign w:val="subscript"/>
        </w:rPr>
        <w:t>3</w:t>
      </w:r>
      <w:r>
        <w:rPr>
          <w:rFonts w:ascii="Arial" w:hAnsi="Arial" w:cs="Arial"/>
        </w:rPr>
        <w:t xml:space="preserve"> (</w:t>
      </w:r>
      <w:r>
        <w:rPr>
          <w:rFonts w:ascii="Arial" w:hAnsi="Arial" w:cs="Arial"/>
          <w:i/>
        </w:rPr>
        <w:t>S. lycopersicum</w:t>
      </w:r>
      <w:r>
        <w:rPr>
          <w:rFonts w:ascii="Arial" w:hAnsi="Arial" w:cs="Arial"/>
        </w:rPr>
        <w:t xml:space="preserve"> </w:t>
      </w:r>
      <w:r>
        <w:rPr>
          <w:rFonts w:ascii="Arial" w:hAnsi="Arial" w:cs="Arial"/>
          <w:i/>
        </w:rPr>
        <w:t>cv</w:t>
      </w:r>
      <w:r>
        <w:rPr>
          <w:rFonts w:ascii="Arial" w:hAnsi="Arial" w:cs="Arial"/>
        </w:rPr>
        <w:t xml:space="preserve">. Arka Samrat grafted onto </w:t>
      </w:r>
      <w:r>
        <w:rPr>
          <w:rFonts w:ascii="Arial" w:hAnsi="Arial" w:cs="Arial"/>
          <w:i/>
        </w:rPr>
        <w:t>S. torvum</w:t>
      </w:r>
      <w:r>
        <w:rPr>
          <w:rFonts w:ascii="Arial" w:hAnsi="Arial" w:cs="Arial"/>
        </w:rPr>
        <w:t>) at 30 DAP (39.71 cm), 60 DAP (63.56 cm) and 90 DAP (93.36 cm). Conversely, the minimum plant heights were recorded in T</w:t>
      </w:r>
      <w:r>
        <w:rPr>
          <w:rFonts w:ascii="Arial" w:hAnsi="Arial" w:cs="Arial"/>
          <w:vertAlign w:val="subscript"/>
        </w:rPr>
        <w:t>6</w:t>
      </w:r>
      <w:r>
        <w:rPr>
          <w:rFonts w:ascii="Arial" w:hAnsi="Arial" w:cs="Arial"/>
        </w:rPr>
        <w:t xml:space="preserve"> (non-grafted plant Arka Samrat) at 30 DAP (30.41 cm), 60 DAP (54.61 cm) and 90 DAP (83.67 cm). The reduc</w:t>
      </w:r>
      <w:r>
        <w:rPr>
          <w:rFonts w:ascii="Arial" w:hAnsi="Arial" w:cs="Arial"/>
          <w:highlight w:val="yellow"/>
        </w:rPr>
        <w:t>ed</w:t>
      </w:r>
      <w:r>
        <w:rPr>
          <w:rFonts w:ascii="Arial" w:hAnsi="Arial" w:cs="Arial"/>
        </w:rPr>
        <w:t xml:space="preserve"> growth </w:t>
      </w:r>
      <w:r>
        <w:rPr>
          <w:rFonts w:ascii="Arial" w:hAnsi="Arial" w:cs="Arial"/>
          <w:highlight w:val="yellow"/>
        </w:rPr>
        <w:t>of</w:t>
      </w:r>
      <w:r>
        <w:rPr>
          <w:rFonts w:ascii="Arial" w:hAnsi="Arial" w:cs="Arial"/>
        </w:rPr>
        <w:t xml:space="preserve"> non-grafted plants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be attributed to the hindered absorption of water and nutrients from the soil through the vascular tissues disrupted </w:t>
      </w:r>
      <w:r>
        <w:rPr>
          <w:rFonts w:ascii="Arial" w:hAnsi="Arial" w:cs="Arial"/>
          <w:highlight w:val="yellow"/>
        </w:rPr>
        <w:t>by</w:t>
      </w:r>
      <w:r>
        <w:rPr>
          <w:rFonts w:ascii="Arial" w:hAnsi="Arial" w:cs="Arial"/>
        </w:rPr>
        <w:t xml:space="preserve"> severe galling</w:t>
      </w:r>
      <w:r>
        <w:rPr>
          <w:rFonts w:ascii="Arial" w:hAnsi="Arial" w:cs="Arial"/>
          <w:highlight w:val="yellow"/>
        </w:rPr>
        <w:t xml:space="preserve"> caused</w:t>
      </w:r>
      <w:r>
        <w:rPr>
          <w:rFonts w:ascii="Arial" w:hAnsi="Arial" w:cs="Arial"/>
        </w:rPr>
        <w:t xml:space="preserve"> by </w:t>
      </w:r>
      <w:r>
        <w:rPr>
          <w:rFonts w:ascii="Arial" w:hAnsi="Arial" w:cs="Arial"/>
          <w:i/>
        </w:rPr>
        <w:t>M. incognita</w:t>
      </w:r>
      <w:r>
        <w:rPr>
          <w:rFonts w:ascii="Arial" w:hAnsi="Arial" w:cs="Arial"/>
        </w:rPr>
        <w:t xml:space="preserve">. These findings are </w:t>
      </w:r>
      <w:r>
        <w:rPr>
          <w:rFonts w:ascii="Arial" w:hAnsi="Arial" w:cs="Arial"/>
          <w:highlight w:val="yellow"/>
        </w:rPr>
        <w:t>cons</w:t>
      </w:r>
      <w:r>
        <w:rPr>
          <w:rFonts w:ascii="Arial" w:hAnsi="Arial" w:cs="Arial"/>
        </w:rPr>
        <w:t>i</w:t>
      </w:r>
      <w:r>
        <w:rPr>
          <w:rFonts w:ascii="Arial" w:hAnsi="Arial" w:cs="Arial"/>
          <w:highlight w:val="yellow"/>
        </w:rPr>
        <w:t>ste</w:t>
      </w:r>
      <w:r>
        <w:rPr>
          <w:rFonts w:ascii="Arial" w:hAnsi="Arial" w:cs="Arial"/>
        </w:rPr>
        <w:t>n</w:t>
      </w:r>
      <w:r>
        <w:rPr>
          <w:rFonts w:ascii="Arial" w:hAnsi="Arial" w:cs="Arial"/>
          <w:highlight w:val="yellow"/>
        </w:rPr>
        <w:t>t</w:t>
      </w:r>
      <w:r>
        <w:rPr>
          <w:rFonts w:ascii="Arial" w:hAnsi="Arial" w:cs="Arial"/>
        </w:rPr>
        <w:t xml:space="preserve"> with th</w:t>
      </w:r>
      <w:r>
        <w:rPr>
          <w:rFonts w:ascii="Arial" w:hAnsi="Arial" w:cs="Arial"/>
          <w:highlight w:val="yellow"/>
        </w:rPr>
        <w:t>os</w:t>
      </w:r>
      <w:r>
        <w:rPr>
          <w:rFonts w:ascii="Arial" w:hAnsi="Arial" w:cs="Arial"/>
        </w:rPr>
        <w:t xml:space="preserve">e </w:t>
      </w:r>
      <w:r>
        <w:rPr>
          <w:rFonts w:ascii="Arial" w:hAnsi="Arial" w:cs="Arial"/>
          <w:highlight w:val="yellow"/>
        </w:rPr>
        <w:t>rep</w:t>
      </w:r>
      <w:r>
        <w:rPr>
          <w:rFonts w:ascii="Arial" w:hAnsi="Arial" w:cs="Arial"/>
        </w:rPr>
        <w:t xml:space="preserve">orted by Jones </w:t>
      </w:r>
      <w:r>
        <w:rPr>
          <w:rFonts w:ascii="Arial" w:hAnsi="Arial" w:cs="Arial"/>
          <w:i/>
        </w:rPr>
        <w:t>et al.</w:t>
      </w:r>
      <w:r>
        <w:rPr>
          <w:rFonts w:ascii="Arial" w:hAnsi="Arial" w:cs="Arial"/>
        </w:rPr>
        <w:t xml:space="preserve"> (2013), Karssen </w:t>
      </w:r>
      <w:r>
        <w:rPr>
          <w:rFonts w:ascii="Arial" w:hAnsi="Arial" w:cs="Arial"/>
          <w:i/>
        </w:rPr>
        <w:t>et al.</w:t>
      </w:r>
      <w:r>
        <w:rPr>
          <w:rFonts w:ascii="Arial" w:hAnsi="Arial" w:cs="Arial"/>
        </w:rPr>
        <w:t xml:space="preserve"> (2013) and Kepenekci </w:t>
      </w:r>
      <w:r>
        <w:rPr>
          <w:rFonts w:ascii="Arial" w:hAnsi="Arial" w:cs="Arial"/>
          <w:i/>
        </w:rPr>
        <w:t>et al.</w:t>
      </w:r>
      <w:r>
        <w:rPr>
          <w:rFonts w:ascii="Arial" w:hAnsi="Arial" w:cs="Arial"/>
        </w:rPr>
        <w:t xml:space="preserve"> (2018). The robust root system of the rootstock can absorb more water and nutrients from the soil than the root system of the scion </w:t>
      </w:r>
      <w:r>
        <w:rPr>
          <w:rFonts w:ascii="Arial" w:hAnsi="Arial" w:cs="Arial"/>
          <w:highlight w:val="yellow"/>
        </w:rPr>
        <w:t>th</w:t>
      </w:r>
      <w:r>
        <w:rPr>
          <w:rFonts w:ascii="Arial" w:hAnsi="Arial" w:cs="Arial"/>
        </w:rPr>
        <w:t>e</w:t>
      </w:r>
      <w:r>
        <w:rPr>
          <w:rFonts w:ascii="Arial" w:hAnsi="Arial" w:cs="Arial"/>
          <w:highlight w:val="yellow"/>
        </w:rPr>
        <w:t>reby support</w:t>
      </w:r>
      <w:r>
        <w:rPr>
          <w:rFonts w:ascii="Arial" w:hAnsi="Arial" w:cs="Arial"/>
        </w:rPr>
        <w:t>ing better growth of the grafted plants (Young, 1989). Similarly, Lee (1994) and Ioannou (2001) observed better plant growth and vigour in grafted plants compar</w:t>
      </w:r>
      <w:r>
        <w:rPr>
          <w:rFonts w:ascii="Arial" w:hAnsi="Arial" w:cs="Arial"/>
          <w:highlight w:val="yellow"/>
        </w:rPr>
        <w:t>ed w</w:t>
      </w:r>
      <w:r>
        <w:rPr>
          <w:rFonts w:ascii="Arial" w:hAnsi="Arial" w:cs="Arial"/>
        </w:rPr>
        <w:t>it</w:t>
      </w:r>
      <w:r>
        <w:rPr>
          <w:rFonts w:ascii="Arial" w:hAnsi="Arial" w:cs="Arial"/>
          <w:highlight w:val="yellow"/>
        </w:rPr>
        <w:t>h</w:t>
      </w:r>
      <w:r>
        <w:rPr>
          <w:rFonts w:ascii="Arial" w:hAnsi="Arial" w:cs="Arial"/>
        </w:rPr>
        <w:t xml:space="preserve"> non-grafted plants.</w:t>
      </w:r>
    </w:p>
    <w:p w14:paraId="2F6D4F6B" w14:textId="77777777" w:rsidR="007A1019" w:rsidRPr="00B91AE6" w:rsidRDefault="00000000">
      <w:pPr>
        <w:spacing w:before="60" w:after="60"/>
        <w:rPr>
          <w:rFonts w:ascii="Arial" w:hAnsi="Arial" w:cs="Arial"/>
        </w:rPr>
      </w:pPr>
      <w:r w:rsidRPr="00B91AE6">
        <w:rPr>
          <w:rFonts w:ascii="Arial" w:eastAsia="Arial" w:hAnsi="Arial" w:cs="Arial"/>
          <w:b/>
        </w:rPr>
        <w:t>Table 2. Plant height in grafted and non-grafted plants</w:t>
      </w:r>
    </w:p>
    <w:tbl>
      <w:tblPr>
        <w:tblStyle w:val="TableGrid"/>
        <w:tblW w:w="0" w:type="auto"/>
        <w:jc w:val="center"/>
        <w:tblLayout w:type="fixed"/>
        <w:tblLook w:val="04A0" w:firstRow="1" w:lastRow="0" w:firstColumn="1" w:lastColumn="0" w:noHBand="0" w:noVBand="1"/>
      </w:tblPr>
      <w:tblGrid>
        <w:gridCol w:w="2232"/>
        <w:gridCol w:w="1800"/>
        <w:gridCol w:w="1800"/>
        <w:gridCol w:w="2376"/>
      </w:tblGrid>
      <w:tr w:rsidR="00B91AE6" w:rsidRPr="003B44E3" w14:paraId="2AC3827B" w14:textId="77777777" w:rsidTr="00B91AE6">
        <w:trPr>
          <w:jc w:val="center"/>
        </w:trPr>
        <w:tc>
          <w:tcPr>
            <w:tcW w:w="2232" w:type="dxa"/>
            <w:vMerge w:val="restart"/>
            <w:vAlign w:val="center"/>
          </w:tcPr>
          <w:p w14:paraId="0F8C7FFC"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5976" w:type="dxa"/>
            <w:gridSpan w:val="3"/>
            <w:vAlign w:val="center"/>
          </w:tcPr>
          <w:p w14:paraId="1C169E4C"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Plant height (in cm)</w:t>
            </w:r>
          </w:p>
        </w:tc>
      </w:tr>
      <w:tr w:rsidR="00B91AE6" w:rsidRPr="003B44E3" w14:paraId="7BE9D2A3" w14:textId="77777777">
        <w:trPr>
          <w:tblHeader/>
          <w:jc w:val="center"/>
        </w:trPr>
        <w:tc>
          <w:tcPr>
            <w:tcW w:w="2232" w:type="dxa"/>
            <w:vMerge/>
            <w:vAlign w:val="center"/>
          </w:tcPr>
          <w:p w14:paraId="29717D5B" w14:textId="77777777" w:rsidR="00B91AE6" w:rsidRPr="003B44E3" w:rsidRDefault="00B91AE6">
            <w:pPr>
              <w:spacing w:line="480" w:lineRule="auto"/>
              <w:rPr>
                <w:rFonts w:ascii="Arial" w:hAnsi="Arial" w:cs="Arial"/>
                <w:sz w:val="20"/>
                <w:szCs w:val="20"/>
              </w:rPr>
            </w:pPr>
          </w:p>
        </w:tc>
        <w:tc>
          <w:tcPr>
            <w:tcW w:w="1800" w:type="dxa"/>
            <w:vAlign w:val="center"/>
          </w:tcPr>
          <w:p w14:paraId="01E2C947"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30 </w:t>
            </w:r>
            <w:proofErr w:type="gramStart"/>
            <w:r w:rsidRPr="003B44E3">
              <w:rPr>
                <w:rFonts w:ascii="Arial" w:eastAsia="Times New Roman" w:hAnsi="Arial" w:cs="Arial"/>
                <w:b/>
                <w:sz w:val="20"/>
                <w:szCs w:val="20"/>
              </w:rPr>
              <w:t>DAP</w:t>
            </w:r>
            <w:proofErr w:type="gramEnd"/>
          </w:p>
        </w:tc>
        <w:tc>
          <w:tcPr>
            <w:tcW w:w="1800" w:type="dxa"/>
            <w:vAlign w:val="center"/>
          </w:tcPr>
          <w:p w14:paraId="74506BA0"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60 </w:t>
            </w:r>
            <w:proofErr w:type="gramStart"/>
            <w:r w:rsidRPr="003B44E3">
              <w:rPr>
                <w:rFonts w:ascii="Arial" w:eastAsia="Times New Roman" w:hAnsi="Arial" w:cs="Arial"/>
                <w:b/>
                <w:sz w:val="20"/>
                <w:szCs w:val="20"/>
              </w:rPr>
              <w:t>DAP</w:t>
            </w:r>
            <w:proofErr w:type="gramEnd"/>
          </w:p>
        </w:tc>
        <w:tc>
          <w:tcPr>
            <w:tcW w:w="2376" w:type="dxa"/>
            <w:vAlign w:val="center"/>
          </w:tcPr>
          <w:p w14:paraId="4C3DDA3A"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90 </w:t>
            </w:r>
            <w:proofErr w:type="gramStart"/>
            <w:r w:rsidRPr="003B44E3">
              <w:rPr>
                <w:rFonts w:ascii="Arial" w:eastAsia="Times New Roman" w:hAnsi="Arial" w:cs="Arial"/>
                <w:b/>
                <w:sz w:val="20"/>
                <w:szCs w:val="20"/>
              </w:rPr>
              <w:t>DAP</w:t>
            </w:r>
            <w:proofErr w:type="gramEnd"/>
          </w:p>
        </w:tc>
      </w:tr>
      <w:tr w:rsidR="007A1019" w:rsidRPr="003B44E3" w14:paraId="4EB0BF94" w14:textId="77777777" w:rsidTr="00B91AE6">
        <w:trPr>
          <w:jc w:val="center"/>
        </w:trPr>
        <w:tc>
          <w:tcPr>
            <w:tcW w:w="2232" w:type="dxa"/>
            <w:vAlign w:val="center"/>
          </w:tcPr>
          <w:p w14:paraId="5442A2D0"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800" w:type="dxa"/>
            <w:vAlign w:val="center"/>
          </w:tcPr>
          <w:p w14:paraId="1B6CD91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38.02</w:t>
            </w:r>
          </w:p>
        </w:tc>
        <w:tc>
          <w:tcPr>
            <w:tcW w:w="1800" w:type="dxa"/>
            <w:vAlign w:val="center"/>
          </w:tcPr>
          <w:p w14:paraId="39D1CEF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60.41</w:t>
            </w:r>
          </w:p>
        </w:tc>
        <w:tc>
          <w:tcPr>
            <w:tcW w:w="2376" w:type="dxa"/>
            <w:vAlign w:val="center"/>
          </w:tcPr>
          <w:p w14:paraId="40FD40E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93.35</w:t>
            </w:r>
          </w:p>
        </w:tc>
      </w:tr>
      <w:tr w:rsidR="007A1019" w:rsidRPr="003B44E3" w14:paraId="0BE578D7" w14:textId="77777777" w:rsidTr="00B91AE6">
        <w:trPr>
          <w:jc w:val="center"/>
        </w:trPr>
        <w:tc>
          <w:tcPr>
            <w:tcW w:w="2232" w:type="dxa"/>
            <w:vAlign w:val="center"/>
          </w:tcPr>
          <w:p w14:paraId="6DB277CA"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800" w:type="dxa"/>
            <w:vAlign w:val="center"/>
          </w:tcPr>
          <w:p w14:paraId="72AA773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35.24</w:t>
            </w:r>
          </w:p>
        </w:tc>
        <w:tc>
          <w:tcPr>
            <w:tcW w:w="1800" w:type="dxa"/>
            <w:vAlign w:val="center"/>
          </w:tcPr>
          <w:p w14:paraId="10AC7C7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58.59</w:t>
            </w:r>
          </w:p>
        </w:tc>
        <w:tc>
          <w:tcPr>
            <w:tcW w:w="2376" w:type="dxa"/>
            <w:vAlign w:val="center"/>
          </w:tcPr>
          <w:p w14:paraId="44304C2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88.37</w:t>
            </w:r>
          </w:p>
        </w:tc>
      </w:tr>
      <w:tr w:rsidR="007A1019" w:rsidRPr="003B44E3" w14:paraId="71C4F7E6" w14:textId="77777777" w:rsidTr="00B91AE6">
        <w:trPr>
          <w:jc w:val="center"/>
        </w:trPr>
        <w:tc>
          <w:tcPr>
            <w:tcW w:w="2232" w:type="dxa"/>
            <w:vAlign w:val="center"/>
          </w:tcPr>
          <w:p w14:paraId="7D598454"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800" w:type="dxa"/>
            <w:vAlign w:val="center"/>
          </w:tcPr>
          <w:p w14:paraId="6E367B8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39.71</w:t>
            </w:r>
          </w:p>
        </w:tc>
        <w:tc>
          <w:tcPr>
            <w:tcW w:w="1800" w:type="dxa"/>
            <w:vAlign w:val="center"/>
          </w:tcPr>
          <w:p w14:paraId="3B2D00C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63.56</w:t>
            </w:r>
          </w:p>
        </w:tc>
        <w:tc>
          <w:tcPr>
            <w:tcW w:w="2376" w:type="dxa"/>
            <w:vAlign w:val="center"/>
          </w:tcPr>
          <w:p w14:paraId="4883579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93.36</w:t>
            </w:r>
          </w:p>
        </w:tc>
      </w:tr>
      <w:tr w:rsidR="007A1019" w:rsidRPr="003B44E3" w14:paraId="7212198A" w14:textId="77777777" w:rsidTr="00B91AE6">
        <w:trPr>
          <w:jc w:val="center"/>
        </w:trPr>
        <w:tc>
          <w:tcPr>
            <w:tcW w:w="2232" w:type="dxa"/>
            <w:vAlign w:val="center"/>
          </w:tcPr>
          <w:p w14:paraId="2C6738E7"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00B91AE6" w:rsidRPr="003B44E3">
              <w:rPr>
                <w:rFonts w:ascii="Arial" w:eastAsia="Times New Roman" w:hAnsi="Arial" w:cs="Arial"/>
                <w:sz w:val="20"/>
                <w:szCs w:val="20"/>
                <w:vertAlign w:val="subscript"/>
              </w:rPr>
              <w:t>4</w:t>
            </w:r>
          </w:p>
        </w:tc>
        <w:tc>
          <w:tcPr>
            <w:tcW w:w="1800" w:type="dxa"/>
            <w:vAlign w:val="center"/>
          </w:tcPr>
          <w:p w14:paraId="0EFEC39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35.94</w:t>
            </w:r>
          </w:p>
        </w:tc>
        <w:tc>
          <w:tcPr>
            <w:tcW w:w="1800" w:type="dxa"/>
            <w:vAlign w:val="center"/>
          </w:tcPr>
          <w:p w14:paraId="5EA36C1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59.98</w:t>
            </w:r>
          </w:p>
        </w:tc>
        <w:tc>
          <w:tcPr>
            <w:tcW w:w="2376" w:type="dxa"/>
            <w:vAlign w:val="center"/>
          </w:tcPr>
          <w:p w14:paraId="3E76E3E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90.80</w:t>
            </w:r>
          </w:p>
        </w:tc>
      </w:tr>
      <w:tr w:rsidR="007A1019" w:rsidRPr="003B44E3" w14:paraId="2C8C0263" w14:textId="77777777" w:rsidTr="00B91AE6">
        <w:trPr>
          <w:jc w:val="center"/>
        </w:trPr>
        <w:tc>
          <w:tcPr>
            <w:tcW w:w="2232" w:type="dxa"/>
            <w:vAlign w:val="center"/>
          </w:tcPr>
          <w:p w14:paraId="3B6AB04E"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800" w:type="dxa"/>
            <w:vAlign w:val="center"/>
          </w:tcPr>
          <w:p w14:paraId="06FA6CD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32.99</w:t>
            </w:r>
          </w:p>
        </w:tc>
        <w:tc>
          <w:tcPr>
            <w:tcW w:w="1800" w:type="dxa"/>
            <w:vAlign w:val="center"/>
          </w:tcPr>
          <w:p w14:paraId="502E390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56.74</w:t>
            </w:r>
          </w:p>
        </w:tc>
        <w:tc>
          <w:tcPr>
            <w:tcW w:w="2376" w:type="dxa"/>
            <w:vAlign w:val="center"/>
          </w:tcPr>
          <w:p w14:paraId="184F12A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86.94</w:t>
            </w:r>
          </w:p>
        </w:tc>
      </w:tr>
      <w:tr w:rsidR="007A1019" w:rsidRPr="003B44E3" w14:paraId="24B4CAB7" w14:textId="77777777" w:rsidTr="00B91AE6">
        <w:trPr>
          <w:jc w:val="center"/>
        </w:trPr>
        <w:tc>
          <w:tcPr>
            <w:tcW w:w="2232" w:type="dxa"/>
            <w:vAlign w:val="center"/>
          </w:tcPr>
          <w:p w14:paraId="124468C2"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800" w:type="dxa"/>
            <w:vAlign w:val="center"/>
          </w:tcPr>
          <w:p w14:paraId="6573975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30.41</w:t>
            </w:r>
          </w:p>
        </w:tc>
        <w:tc>
          <w:tcPr>
            <w:tcW w:w="1800" w:type="dxa"/>
            <w:vAlign w:val="center"/>
          </w:tcPr>
          <w:p w14:paraId="1E80EB2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54.61</w:t>
            </w:r>
          </w:p>
        </w:tc>
        <w:tc>
          <w:tcPr>
            <w:tcW w:w="2376" w:type="dxa"/>
            <w:vAlign w:val="center"/>
          </w:tcPr>
          <w:p w14:paraId="52C9D9C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83.67</w:t>
            </w:r>
          </w:p>
        </w:tc>
      </w:tr>
      <w:tr w:rsidR="007A1019" w:rsidRPr="003B44E3" w14:paraId="06B2DF5A" w14:textId="77777777" w:rsidTr="00B91AE6">
        <w:trPr>
          <w:jc w:val="center"/>
        </w:trPr>
        <w:tc>
          <w:tcPr>
            <w:tcW w:w="2232" w:type="dxa"/>
            <w:vAlign w:val="center"/>
          </w:tcPr>
          <w:p w14:paraId="46D18806"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800" w:type="dxa"/>
            <w:vAlign w:val="center"/>
          </w:tcPr>
          <w:p w14:paraId="6F5C3B3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1.39</w:t>
            </w:r>
          </w:p>
        </w:tc>
        <w:tc>
          <w:tcPr>
            <w:tcW w:w="1800" w:type="dxa"/>
            <w:vAlign w:val="center"/>
          </w:tcPr>
          <w:p w14:paraId="4057F86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2.34</w:t>
            </w:r>
          </w:p>
        </w:tc>
        <w:tc>
          <w:tcPr>
            <w:tcW w:w="2376" w:type="dxa"/>
            <w:vAlign w:val="center"/>
          </w:tcPr>
          <w:p w14:paraId="09E08DF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2.06</w:t>
            </w:r>
          </w:p>
        </w:tc>
      </w:tr>
      <w:tr w:rsidR="007A1019" w:rsidRPr="003B44E3" w14:paraId="10907420" w14:textId="77777777" w:rsidTr="00B91AE6">
        <w:trPr>
          <w:jc w:val="center"/>
        </w:trPr>
        <w:tc>
          <w:tcPr>
            <w:tcW w:w="2232" w:type="dxa"/>
            <w:vAlign w:val="center"/>
          </w:tcPr>
          <w:p w14:paraId="172F3007"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lastRenderedPageBreak/>
              <w:t>CD0.05</w:t>
            </w:r>
          </w:p>
        </w:tc>
        <w:tc>
          <w:tcPr>
            <w:tcW w:w="1800" w:type="dxa"/>
            <w:vAlign w:val="center"/>
          </w:tcPr>
          <w:p w14:paraId="0852361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2.96</w:t>
            </w:r>
          </w:p>
        </w:tc>
        <w:tc>
          <w:tcPr>
            <w:tcW w:w="1800" w:type="dxa"/>
            <w:vAlign w:val="center"/>
          </w:tcPr>
          <w:p w14:paraId="54F1D70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4.98</w:t>
            </w:r>
          </w:p>
        </w:tc>
        <w:tc>
          <w:tcPr>
            <w:tcW w:w="2376" w:type="dxa"/>
            <w:vAlign w:val="center"/>
          </w:tcPr>
          <w:p w14:paraId="5CD272F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4.39</w:t>
            </w:r>
          </w:p>
        </w:tc>
      </w:tr>
    </w:tbl>
    <w:p w14:paraId="10C3AAAC"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Data </w:t>
      </w:r>
      <w:r>
        <w:rPr>
          <w:rFonts w:ascii="Arial" w:hAnsi="Arial" w:cs="Arial"/>
          <w:highlight w:val="yellow"/>
        </w:rPr>
        <w:t>o</w:t>
      </w:r>
      <w:r>
        <w:rPr>
          <w:rFonts w:ascii="Arial" w:hAnsi="Arial" w:cs="Arial"/>
        </w:rPr>
        <w:t>n days to flowering and fruiting reveal</w:t>
      </w:r>
      <w:r>
        <w:rPr>
          <w:rFonts w:ascii="Arial" w:hAnsi="Arial" w:cs="Arial"/>
          <w:highlight w:val="yellow"/>
        </w:rPr>
        <w:t>ed</w:t>
      </w:r>
      <w:r>
        <w:rPr>
          <w:rFonts w:ascii="Arial" w:hAnsi="Arial" w:cs="Arial"/>
        </w:rPr>
        <w:t xml:space="preserve"> that non-grafted plants flowered and fruit</w:t>
      </w:r>
      <w:r>
        <w:rPr>
          <w:rFonts w:ascii="Arial" w:hAnsi="Arial" w:cs="Arial"/>
          <w:highlight w:val="yellow"/>
        </w:rPr>
        <w:t>ed</w:t>
      </w:r>
      <w:r>
        <w:rPr>
          <w:rFonts w:ascii="Arial" w:hAnsi="Arial" w:cs="Arial"/>
        </w:rPr>
        <w:t xml:space="preserve"> earl</w:t>
      </w:r>
      <w:r>
        <w:rPr>
          <w:rFonts w:ascii="Arial" w:hAnsi="Arial" w:cs="Arial"/>
          <w:highlight w:val="yellow"/>
        </w:rPr>
        <w:t>ie</w:t>
      </w:r>
      <w:r>
        <w:rPr>
          <w:rFonts w:ascii="Arial" w:hAnsi="Arial" w:cs="Arial"/>
        </w:rPr>
        <w:t>r th</w:t>
      </w:r>
      <w:r>
        <w:rPr>
          <w:rFonts w:ascii="Arial" w:hAnsi="Arial" w:cs="Arial"/>
          <w:highlight w:val="yellow"/>
        </w:rPr>
        <w:t>an</w:t>
      </w:r>
      <w:r>
        <w:rPr>
          <w:rFonts w:ascii="Arial" w:hAnsi="Arial" w:cs="Arial"/>
        </w:rPr>
        <w:t xml:space="preserve"> grafted </w:t>
      </w:r>
      <w:r>
        <w:rPr>
          <w:rFonts w:ascii="Arial" w:hAnsi="Arial" w:cs="Arial"/>
          <w:highlight w:val="yellow"/>
        </w:rPr>
        <w:t>pla</w:t>
      </w:r>
      <w:r>
        <w:rPr>
          <w:rFonts w:ascii="Arial" w:hAnsi="Arial" w:cs="Arial"/>
        </w:rPr>
        <w:t>n</w:t>
      </w:r>
      <w:r>
        <w:rPr>
          <w:rFonts w:ascii="Arial" w:hAnsi="Arial" w:cs="Arial"/>
          <w:highlight w:val="yellow"/>
        </w:rPr>
        <w:t>t</w:t>
      </w:r>
      <w:r>
        <w:rPr>
          <w:rFonts w:ascii="Arial" w:hAnsi="Arial" w:cs="Arial"/>
        </w:rPr>
        <w:t xml:space="preserve">s (Table 3). Among the grafted plants, the </w:t>
      </w:r>
      <w:r>
        <w:rPr>
          <w:rFonts w:ascii="Arial" w:hAnsi="Arial" w:cs="Arial"/>
          <w:highlight w:val="yellow"/>
        </w:rPr>
        <w:t>few</w:t>
      </w:r>
      <w:r>
        <w:rPr>
          <w:rFonts w:ascii="Arial" w:hAnsi="Arial" w:cs="Arial"/>
        </w:rPr>
        <w:t>est days to flowering (50.50) and fruiting (65.75) w</w:t>
      </w:r>
      <w:r>
        <w:rPr>
          <w:rFonts w:ascii="Arial" w:hAnsi="Arial" w:cs="Arial"/>
          <w:highlight w:val="yellow"/>
        </w:rPr>
        <w:t>ere</w:t>
      </w:r>
      <w:r>
        <w:rPr>
          <w:rFonts w:ascii="Arial" w:hAnsi="Arial" w:cs="Arial"/>
        </w:rPr>
        <w:t xml:space="preserve"> observed in T</w:t>
      </w:r>
      <w:r>
        <w:rPr>
          <w:rFonts w:ascii="Arial" w:hAnsi="Arial" w:cs="Arial"/>
          <w:vertAlign w:val="subscript"/>
        </w:rPr>
        <w:t xml:space="preserve">2 </w:t>
      </w:r>
      <w:r>
        <w:rPr>
          <w:rFonts w:ascii="Arial" w:hAnsi="Arial" w:cs="Arial"/>
        </w:rPr>
        <w:t>(</w:t>
      </w:r>
      <w:r>
        <w:rPr>
          <w:rFonts w:ascii="Arial" w:hAnsi="Arial" w:cs="Arial"/>
          <w:i/>
        </w:rPr>
        <w:t xml:space="preserve">S. lycopersicum cv. </w:t>
      </w:r>
      <w:r>
        <w:rPr>
          <w:rFonts w:ascii="Arial" w:hAnsi="Arial" w:cs="Arial"/>
        </w:rPr>
        <w:t xml:space="preserve">Dona-55 grafted onto Hisar Lalit). </w:t>
      </w:r>
      <w:r>
        <w:rPr>
          <w:rFonts w:ascii="Arial" w:hAnsi="Arial" w:cs="Arial"/>
          <w:highlight w:val="yellow"/>
        </w:rPr>
        <w:t>T</w:t>
      </w:r>
      <w:r>
        <w:rPr>
          <w:rFonts w:ascii="Arial" w:hAnsi="Arial" w:cs="Arial"/>
        </w:rPr>
        <w:t>he g</w:t>
      </w:r>
      <w:r>
        <w:rPr>
          <w:rFonts w:ascii="Arial" w:hAnsi="Arial" w:cs="Arial"/>
          <w:highlight w:val="yellow"/>
        </w:rPr>
        <w:t>reat</w:t>
      </w:r>
      <w:r>
        <w:rPr>
          <w:rFonts w:ascii="Arial" w:hAnsi="Arial" w:cs="Arial"/>
        </w:rPr>
        <w:t>est</w:t>
      </w:r>
      <w:r>
        <w:rPr>
          <w:rFonts w:ascii="Arial" w:hAnsi="Arial" w:cs="Arial"/>
          <w:highlight w:val="yellow"/>
        </w:rPr>
        <w:t xml:space="preserve"> number of</w:t>
      </w:r>
      <w:r>
        <w:rPr>
          <w:rFonts w:ascii="Arial" w:hAnsi="Arial" w:cs="Arial"/>
        </w:rPr>
        <w:t xml:space="preserve"> days to flowering (56.75) and fruiting (67.25) was recorded in T</w:t>
      </w:r>
      <w:r>
        <w:rPr>
          <w:rFonts w:ascii="Arial" w:hAnsi="Arial" w:cs="Arial"/>
          <w:vertAlign w:val="subscript"/>
        </w:rPr>
        <w:t>3</w:t>
      </w:r>
      <w:r>
        <w:rPr>
          <w:rFonts w:ascii="Arial" w:hAnsi="Arial" w:cs="Arial"/>
        </w:rPr>
        <w:t xml:space="preserve"> (</w:t>
      </w:r>
      <w:r>
        <w:rPr>
          <w:rFonts w:ascii="Arial" w:hAnsi="Arial" w:cs="Arial"/>
          <w:i/>
        </w:rPr>
        <w:t xml:space="preserve">S. lycopersicum cv. </w:t>
      </w:r>
      <w:r>
        <w:rPr>
          <w:rFonts w:ascii="Arial" w:hAnsi="Arial" w:cs="Arial"/>
        </w:rPr>
        <w:t xml:space="preserve">Arka Samrat grafted onto </w:t>
      </w:r>
      <w:r>
        <w:rPr>
          <w:rFonts w:ascii="Arial" w:hAnsi="Arial" w:cs="Arial"/>
          <w:i/>
        </w:rPr>
        <w:t>S. torvum</w:t>
      </w:r>
      <w:r>
        <w:rPr>
          <w:rFonts w:ascii="Arial" w:hAnsi="Arial" w:cs="Arial"/>
        </w:rPr>
        <w:t xml:space="preserve">). The establishment of a proper graft union between the rootstock and scion, which is crucial for </w:t>
      </w:r>
      <w:r>
        <w:rPr>
          <w:rFonts w:ascii="Arial" w:hAnsi="Arial" w:cs="Arial"/>
          <w:highlight w:val="yellow"/>
        </w:rPr>
        <w:t xml:space="preserve">nutrient </w:t>
      </w:r>
      <w:r>
        <w:rPr>
          <w:rFonts w:ascii="Arial" w:hAnsi="Arial" w:cs="Arial"/>
        </w:rPr>
        <w:t>transport from the root system to the upper parts</w:t>
      </w:r>
      <w:r>
        <w:rPr>
          <w:rFonts w:ascii="Arial" w:hAnsi="Arial" w:cs="Arial"/>
          <w:highlight w:val="yellow"/>
        </w:rPr>
        <w:t xml:space="preserve"> of the plant,</w:t>
      </w:r>
      <w:r>
        <w:rPr>
          <w:rFonts w:ascii="Arial" w:hAnsi="Arial" w:cs="Arial"/>
        </w:rPr>
        <w:t xml:space="preserve"> was delayed by approximately a week in grafted plants. This delay in graft union </w:t>
      </w:r>
      <w:r>
        <w:rPr>
          <w:rFonts w:ascii="Arial" w:hAnsi="Arial" w:cs="Arial"/>
          <w:highlight w:val="yellow"/>
        </w:rPr>
        <w:t>was associat</w:t>
      </w:r>
      <w:r>
        <w:rPr>
          <w:rFonts w:ascii="Arial" w:hAnsi="Arial" w:cs="Arial"/>
        </w:rPr>
        <w:t xml:space="preserve">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w:t>
      </w:r>
      <w:r>
        <w:rPr>
          <w:rFonts w:ascii="Arial" w:hAnsi="Arial" w:cs="Arial"/>
          <w:highlight w:val="yellow"/>
        </w:rPr>
        <w:t>del</w:t>
      </w:r>
      <w:r>
        <w:rPr>
          <w:rFonts w:ascii="Arial" w:hAnsi="Arial" w:cs="Arial"/>
        </w:rPr>
        <w:t>a</w:t>
      </w:r>
      <w:r>
        <w:rPr>
          <w:rFonts w:ascii="Arial" w:hAnsi="Arial" w:cs="Arial"/>
          <w:highlight w:val="yellow"/>
        </w:rPr>
        <w:t>y</w:t>
      </w:r>
      <w:r>
        <w:rPr>
          <w:rFonts w:ascii="Arial" w:hAnsi="Arial" w:cs="Arial"/>
        </w:rPr>
        <w:t>e</w:t>
      </w:r>
      <w:r>
        <w:rPr>
          <w:rFonts w:ascii="Arial" w:hAnsi="Arial" w:cs="Arial"/>
          <w:highlight w:val="yellow"/>
        </w:rPr>
        <w:t>d</w:t>
      </w:r>
      <w:r>
        <w:rPr>
          <w:rFonts w:ascii="Arial" w:hAnsi="Arial" w:cs="Arial"/>
        </w:rPr>
        <w:t xml:space="preserve"> flowering and fruiting in the grafted plants. Furthermore, due to this delay in graft union, the scions of grafted plants </w:t>
      </w:r>
      <w:r>
        <w:rPr>
          <w:rFonts w:ascii="Arial" w:hAnsi="Arial" w:cs="Arial"/>
          <w:highlight w:val="yellow"/>
        </w:rPr>
        <w:t>took longe</w:t>
      </w:r>
      <w:r>
        <w:rPr>
          <w:rFonts w:ascii="Arial" w:hAnsi="Arial" w:cs="Arial"/>
        </w:rPr>
        <w:t xml:space="preserve">r to flower and produce fruit (Rahman </w:t>
      </w:r>
      <w:r>
        <w:rPr>
          <w:rFonts w:ascii="Arial" w:hAnsi="Arial" w:cs="Arial"/>
          <w:i/>
        </w:rPr>
        <w:t>et al</w:t>
      </w:r>
      <w:r>
        <w:rPr>
          <w:rFonts w:ascii="Arial" w:hAnsi="Arial" w:cs="Arial"/>
        </w:rPr>
        <w:t xml:space="preserve">., 2002). Similar results of delayed flowering and fruiting in grafted plants were reported by Matsuzoe </w:t>
      </w:r>
      <w:r>
        <w:rPr>
          <w:rFonts w:ascii="Arial" w:hAnsi="Arial" w:cs="Arial"/>
          <w:i/>
        </w:rPr>
        <w:t>et al.</w:t>
      </w:r>
      <w:r>
        <w:rPr>
          <w:rFonts w:ascii="Arial" w:hAnsi="Arial" w:cs="Arial"/>
        </w:rPr>
        <w:t xml:space="preserve"> (1993) in tomato, Suthar </w:t>
      </w:r>
      <w:r>
        <w:rPr>
          <w:rFonts w:ascii="Arial" w:hAnsi="Arial" w:cs="Arial"/>
          <w:i/>
        </w:rPr>
        <w:t>et al.</w:t>
      </w:r>
      <w:r>
        <w:rPr>
          <w:rFonts w:ascii="Arial" w:hAnsi="Arial" w:cs="Arial"/>
        </w:rPr>
        <w:t xml:space="preserve"> (2005) and Polimera </w:t>
      </w:r>
      <w:r>
        <w:rPr>
          <w:rFonts w:ascii="Arial" w:hAnsi="Arial" w:cs="Arial"/>
          <w:i/>
        </w:rPr>
        <w:t>et al.</w:t>
      </w:r>
      <w:r>
        <w:rPr>
          <w:rFonts w:ascii="Arial" w:hAnsi="Arial" w:cs="Arial"/>
        </w:rPr>
        <w:t xml:space="preserve"> (2022) in brinjal.</w:t>
      </w:r>
    </w:p>
    <w:p w14:paraId="3D77410E" w14:textId="77777777" w:rsidR="007A1019" w:rsidRPr="00B91AE6" w:rsidRDefault="00000000">
      <w:pPr>
        <w:spacing w:before="60" w:after="60"/>
        <w:rPr>
          <w:rFonts w:ascii="Arial" w:hAnsi="Arial" w:cs="Arial"/>
        </w:rPr>
      </w:pPr>
      <w:r w:rsidRPr="00B91AE6">
        <w:rPr>
          <w:rFonts w:ascii="Arial" w:eastAsia="Arial" w:hAnsi="Arial" w:cs="Arial"/>
          <w:b/>
        </w:rPr>
        <w:t>Table 3. Days to flowering and fruiting in grafted and non-grafted plants</w:t>
      </w:r>
    </w:p>
    <w:tbl>
      <w:tblPr>
        <w:tblStyle w:val="TableGrid"/>
        <w:tblW w:w="0" w:type="auto"/>
        <w:jc w:val="center"/>
        <w:tblLayout w:type="fixed"/>
        <w:tblLook w:val="04A0" w:firstRow="1" w:lastRow="0" w:firstColumn="1" w:lastColumn="0" w:noHBand="0" w:noVBand="1"/>
      </w:tblPr>
      <w:tblGrid>
        <w:gridCol w:w="3240"/>
        <w:gridCol w:w="2448"/>
        <w:gridCol w:w="2448"/>
      </w:tblGrid>
      <w:tr w:rsidR="00B91AE6" w:rsidRPr="003B44E3" w14:paraId="0460E532" w14:textId="77777777" w:rsidTr="00B91AE6">
        <w:trPr>
          <w:jc w:val="center"/>
        </w:trPr>
        <w:tc>
          <w:tcPr>
            <w:tcW w:w="3240" w:type="dxa"/>
            <w:vMerge w:val="restart"/>
            <w:vAlign w:val="center"/>
          </w:tcPr>
          <w:p w14:paraId="2307953F"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4896" w:type="dxa"/>
            <w:gridSpan w:val="2"/>
            <w:vAlign w:val="center"/>
          </w:tcPr>
          <w:p w14:paraId="74F55F96"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Days to</w:t>
            </w:r>
          </w:p>
        </w:tc>
      </w:tr>
      <w:tr w:rsidR="00B91AE6" w:rsidRPr="003B44E3" w14:paraId="0162F15C" w14:textId="77777777" w:rsidTr="00B91AE6">
        <w:trPr>
          <w:tblHeader/>
          <w:jc w:val="center"/>
        </w:trPr>
        <w:tc>
          <w:tcPr>
            <w:tcW w:w="3240" w:type="dxa"/>
            <w:vMerge/>
            <w:vAlign w:val="center"/>
          </w:tcPr>
          <w:p w14:paraId="144571A1" w14:textId="77777777" w:rsidR="00B91AE6" w:rsidRPr="003B44E3" w:rsidRDefault="00B91AE6" w:rsidP="00B91AE6">
            <w:pPr>
              <w:spacing w:line="480" w:lineRule="auto"/>
              <w:jc w:val="center"/>
              <w:rPr>
                <w:rFonts w:ascii="Arial" w:hAnsi="Arial" w:cs="Arial"/>
                <w:sz w:val="20"/>
                <w:szCs w:val="20"/>
              </w:rPr>
            </w:pPr>
          </w:p>
        </w:tc>
        <w:tc>
          <w:tcPr>
            <w:tcW w:w="2448" w:type="dxa"/>
            <w:vAlign w:val="center"/>
          </w:tcPr>
          <w:p w14:paraId="4724E562"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Flowering</w:t>
            </w:r>
          </w:p>
        </w:tc>
        <w:tc>
          <w:tcPr>
            <w:tcW w:w="2448" w:type="dxa"/>
            <w:vAlign w:val="center"/>
          </w:tcPr>
          <w:p w14:paraId="6D80CDC5"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Fruiting</w:t>
            </w:r>
          </w:p>
        </w:tc>
      </w:tr>
      <w:tr w:rsidR="007A1019" w:rsidRPr="003B44E3" w14:paraId="2908C5B2" w14:textId="77777777" w:rsidTr="00B91AE6">
        <w:trPr>
          <w:jc w:val="center"/>
        </w:trPr>
        <w:tc>
          <w:tcPr>
            <w:tcW w:w="3240" w:type="dxa"/>
            <w:vAlign w:val="center"/>
          </w:tcPr>
          <w:p w14:paraId="4BD21463"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2448" w:type="dxa"/>
            <w:vAlign w:val="center"/>
          </w:tcPr>
          <w:p w14:paraId="5564FC1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51.50</w:t>
            </w:r>
          </w:p>
        </w:tc>
        <w:tc>
          <w:tcPr>
            <w:tcW w:w="2448" w:type="dxa"/>
            <w:vAlign w:val="center"/>
          </w:tcPr>
          <w:p w14:paraId="1E29149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65.75</w:t>
            </w:r>
          </w:p>
        </w:tc>
      </w:tr>
      <w:tr w:rsidR="007A1019" w:rsidRPr="003B44E3" w14:paraId="7DE98557" w14:textId="77777777" w:rsidTr="00B91AE6">
        <w:trPr>
          <w:jc w:val="center"/>
        </w:trPr>
        <w:tc>
          <w:tcPr>
            <w:tcW w:w="3240" w:type="dxa"/>
            <w:vAlign w:val="center"/>
          </w:tcPr>
          <w:p w14:paraId="5094FE67"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2448" w:type="dxa"/>
            <w:vAlign w:val="center"/>
          </w:tcPr>
          <w:p w14:paraId="7EF08CD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50.50</w:t>
            </w:r>
          </w:p>
        </w:tc>
        <w:tc>
          <w:tcPr>
            <w:tcW w:w="2448" w:type="dxa"/>
            <w:vAlign w:val="center"/>
          </w:tcPr>
          <w:p w14:paraId="6D58ACC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65.75</w:t>
            </w:r>
          </w:p>
        </w:tc>
      </w:tr>
      <w:tr w:rsidR="007A1019" w:rsidRPr="003B44E3" w14:paraId="273D2096" w14:textId="77777777" w:rsidTr="00B91AE6">
        <w:trPr>
          <w:jc w:val="center"/>
        </w:trPr>
        <w:tc>
          <w:tcPr>
            <w:tcW w:w="3240" w:type="dxa"/>
            <w:vAlign w:val="center"/>
          </w:tcPr>
          <w:p w14:paraId="02AD5139"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2448" w:type="dxa"/>
            <w:vAlign w:val="center"/>
          </w:tcPr>
          <w:p w14:paraId="4E11998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56.75</w:t>
            </w:r>
          </w:p>
        </w:tc>
        <w:tc>
          <w:tcPr>
            <w:tcW w:w="2448" w:type="dxa"/>
            <w:vAlign w:val="center"/>
          </w:tcPr>
          <w:p w14:paraId="143A9A4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67.25</w:t>
            </w:r>
          </w:p>
        </w:tc>
      </w:tr>
      <w:tr w:rsidR="007A1019" w:rsidRPr="003B44E3" w14:paraId="05D4D169" w14:textId="77777777" w:rsidTr="00B91AE6">
        <w:trPr>
          <w:jc w:val="center"/>
        </w:trPr>
        <w:tc>
          <w:tcPr>
            <w:tcW w:w="3240" w:type="dxa"/>
            <w:vAlign w:val="center"/>
          </w:tcPr>
          <w:p w14:paraId="6F17D3F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2448" w:type="dxa"/>
            <w:vAlign w:val="center"/>
          </w:tcPr>
          <w:p w14:paraId="002B6A6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52.25</w:t>
            </w:r>
          </w:p>
        </w:tc>
        <w:tc>
          <w:tcPr>
            <w:tcW w:w="2448" w:type="dxa"/>
            <w:vAlign w:val="center"/>
          </w:tcPr>
          <w:p w14:paraId="1C9E73F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66.75</w:t>
            </w:r>
          </w:p>
        </w:tc>
      </w:tr>
      <w:tr w:rsidR="007A1019" w:rsidRPr="003B44E3" w14:paraId="02625159" w14:textId="77777777" w:rsidTr="00B91AE6">
        <w:trPr>
          <w:jc w:val="center"/>
        </w:trPr>
        <w:tc>
          <w:tcPr>
            <w:tcW w:w="3240" w:type="dxa"/>
            <w:vAlign w:val="center"/>
          </w:tcPr>
          <w:p w14:paraId="50726DDA"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2448" w:type="dxa"/>
            <w:vAlign w:val="center"/>
          </w:tcPr>
          <w:p w14:paraId="50ED33B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49.50</w:t>
            </w:r>
          </w:p>
        </w:tc>
        <w:tc>
          <w:tcPr>
            <w:tcW w:w="2448" w:type="dxa"/>
            <w:vAlign w:val="center"/>
          </w:tcPr>
          <w:p w14:paraId="36E4CB9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65.00</w:t>
            </w:r>
          </w:p>
        </w:tc>
      </w:tr>
      <w:tr w:rsidR="007A1019" w:rsidRPr="003B44E3" w14:paraId="77EEAC0E" w14:textId="77777777" w:rsidTr="00B91AE6">
        <w:trPr>
          <w:jc w:val="center"/>
        </w:trPr>
        <w:tc>
          <w:tcPr>
            <w:tcW w:w="3240" w:type="dxa"/>
            <w:vAlign w:val="center"/>
          </w:tcPr>
          <w:p w14:paraId="10D76461"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2448" w:type="dxa"/>
            <w:vAlign w:val="center"/>
          </w:tcPr>
          <w:p w14:paraId="323294B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45.75</w:t>
            </w:r>
          </w:p>
        </w:tc>
        <w:tc>
          <w:tcPr>
            <w:tcW w:w="2448" w:type="dxa"/>
            <w:vAlign w:val="center"/>
          </w:tcPr>
          <w:p w14:paraId="597EFE4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62.25</w:t>
            </w:r>
          </w:p>
        </w:tc>
      </w:tr>
      <w:tr w:rsidR="007A1019" w:rsidRPr="003B44E3" w14:paraId="7958DE94" w14:textId="77777777" w:rsidTr="00B91AE6">
        <w:trPr>
          <w:jc w:val="center"/>
        </w:trPr>
        <w:tc>
          <w:tcPr>
            <w:tcW w:w="3240" w:type="dxa"/>
            <w:vAlign w:val="center"/>
          </w:tcPr>
          <w:p w14:paraId="1A4B9E5B"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2448" w:type="dxa"/>
            <w:vAlign w:val="center"/>
          </w:tcPr>
          <w:p w14:paraId="6206D9E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0.70</w:t>
            </w:r>
          </w:p>
        </w:tc>
        <w:tc>
          <w:tcPr>
            <w:tcW w:w="2448" w:type="dxa"/>
            <w:vAlign w:val="center"/>
          </w:tcPr>
          <w:p w14:paraId="3BE272B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0.95</w:t>
            </w:r>
          </w:p>
        </w:tc>
      </w:tr>
      <w:tr w:rsidR="007A1019" w:rsidRPr="003B44E3" w14:paraId="4E9DFE2C" w14:textId="77777777" w:rsidTr="00B91AE6">
        <w:trPr>
          <w:jc w:val="center"/>
        </w:trPr>
        <w:tc>
          <w:tcPr>
            <w:tcW w:w="3240" w:type="dxa"/>
            <w:vAlign w:val="center"/>
          </w:tcPr>
          <w:p w14:paraId="615FC1C2"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2448" w:type="dxa"/>
            <w:vAlign w:val="center"/>
          </w:tcPr>
          <w:p w14:paraId="3199223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1.49</w:t>
            </w:r>
          </w:p>
        </w:tc>
        <w:tc>
          <w:tcPr>
            <w:tcW w:w="2448" w:type="dxa"/>
            <w:vAlign w:val="center"/>
          </w:tcPr>
          <w:p w14:paraId="5AC18F2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2.03</w:t>
            </w:r>
          </w:p>
        </w:tc>
      </w:tr>
    </w:tbl>
    <w:p w14:paraId="1E2CB581"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Yield-related traits such as the number of fruits per plant, average fruit weight and fruit yield </w:t>
      </w:r>
      <w:r>
        <w:rPr>
          <w:rFonts w:ascii="Arial" w:hAnsi="Arial" w:cs="Arial"/>
          <w:highlight w:val="yellow"/>
        </w:rPr>
        <w:t xml:space="preserve">were </w:t>
      </w:r>
      <w:r>
        <w:rPr>
          <w:rFonts w:ascii="Arial" w:hAnsi="Arial" w:cs="Arial"/>
        </w:rPr>
        <w:t xml:space="preserve">consistently higher in grafted </w:t>
      </w:r>
      <w:r>
        <w:rPr>
          <w:rFonts w:ascii="Arial" w:hAnsi="Arial" w:cs="Arial"/>
          <w:highlight w:val="yellow"/>
        </w:rPr>
        <w:t>th</w:t>
      </w:r>
      <w:r>
        <w:rPr>
          <w:rFonts w:ascii="Arial" w:hAnsi="Arial" w:cs="Arial"/>
        </w:rPr>
        <w:t>an i</w:t>
      </w:r>
      <w:r>
        <w:rPr>
          <w:rFonts w:ascii="Arial" w:hAnsi="Arial" w:cs="Arial"/>
          <w:highlight w:val="yellow"/>
        </w:rPr>
        <w:t>n</w:t>
      </w:r>
      <w:r>
        <w:rPr>
          <w:rFonts w:ascii="Arial" w:hAnsi="Arial" w:cs="Arial"/>
        </w:rPr>
        <w:t xml:space="preserve"> non-grafted plants (Table 4). Among the treatments, the combination of Arka Samrat grafted onto </w:t>
      </w:r>
      <w:r>
        <w:rPr>
          <w:rFonts w:ascii="Arial" w:hAnsi="Arial" w:cs="Arial"/>
          <w:i/>
        </w:rPr>
        <w:t>S. torvum</w:t>
      </w:r>
      <w:r>
        <w:rPr>
          <w:rFonts w:ascii="Arial" w:hAnsi="Arial" w:cs="Arial"/>
        </w:rPr>
        <w:t xml:space="preserve"> (T</w:t>
      </w:r>
      <w:r>
        <w:rPr>
          <w:rFonts w:ascii="Arial" w:hAnsi="Arial" w:cs="Arial"/>
          <w:vertAlign w:val="subscript"/>
        </w:rPr>
        <w:t>3</w:t>
      </w:r>
      <w:r>
        <w:rPr>
          <w:rFonts w:ascii="Arial" w:hAnsi="Arial" w:cs="Arial"/>
        </w:rPr>
        <w:t xml:space="preserve">) produced the maximum number of fruits per plant (20.50) with the highest recorded fruit weight (118.38 g). </w:t>
      </w:r>
      <w:r>
        <w:rPr>
          <w:rFonts w:ascii="Arial" w:hAnsi="Arial" w:cs="Arial"/>
          <w:highlight w:val="yellow"/>
        </w:rPr>
        <w:t>I</w:t>
      </w:r>
      <w:r>
        <w:rPr>
          <w:rFonts w:ascii="Arial" w:hAnsi="Arial" w:cs="Arial"/>
        </w:rPr>
        <w:t xml:space="preserve">n </w:t>
      </w:r>
      <w:r>
        <w:rPr>
          <w:rFonts w:ascii="Arial" w:hAnsi="Arial" w:cs="Arial"/>
          <w:highlight w:val="yellow"/>
        </w:rPr>
        <w:t>con</w:t>
      </w:r>
      <w:r>
        <w:rPr>
          <w:rFonts w:ascii="Arial" w:hAnsi="Arial" w:cs="Arial"/>
        </w:rPr>
        <w:t>t</w:t>
      </w:r>
      <w:r>
        <w:rPr>
          <w:rFonts w:ascii="Arial" w:hAnsi="Arial" w:cs="Arial"/>
          <w:highlight w:val="yellow"/>
        </w:rPr>
        <w:t>ras</w:t>
      </w:r>
      <w:r>
        <w:rPr>
          <w:rFonts w:ascii="Arial" w:hAnsi="Arial" w:cs="Arial"/>
        </w:rPr>
        <w:t>t, T</w:t>
      </w:r>
      <w:r>
        <w:rPr>
          <w:rFonts w:ascii="Arial" w:hAnsi="Arial" w:cs="Arial"/>
          <w:vertAlign w:val="subscript"/>
        </w:rPr>
        <w:t>5</w:t>
      </w:r>
      <w:r>
        <w:rPr>
          <w:rFonts w:ascii="Arial" w:hAnsi="Arial" w:cs="Arial"/>
        </w:rPr>
        <w:t xml:space="preserve"> (non-grafted Dona-55) produced the lowest number of fruits (11.00) and the lowest fruit weight (82.66 g) was observed in T</w:t>
      </w:r>
      <w:r>
        <w:rPr>
          <w:rFonts w:ascii="Arial" w:hAnsi="Arial" w:cs="Arial"/>
          <w:vertAlign w:val="subscript"/>
        </w:rPr>
        <w:t>6</w:t>
      </w:r>
      <w:r>
        <w:rPr>
          <w:rFonts w:ascii="Arial" w:hAnsi="Arial" w:cs="Arial"/>
        </w:rPr>
        <w:t xml:space="preserve"> (non-grafted Arka Samrat). The </w:t>
      </w:r>
      <w:r>
        <w:rPr>
          <w:rFonts w:ascii="Arial" w:hAnsi="Arial" w:cs="Arial"/>
          <w:highlight w:val="yellow"/>
        </w:rPr>
        <w:t>g</w:t>
      </w:r>
      <w:r>
        <w:rPr>
          <w:rFonts w:ascii="Arial" w:hAnsi="Arial" w:cs="Arial"/>
        </w:rPr>
        <w:t>rea</w:t>
      </w:r>
      <w:r>
        <w:rPr>
          <w:rFonts w:ascii="Arial" w:hAnsi="Arial" w:cs="Arial"/>
          <w:highlight w:val="yellow"/>
        </w:rPr>
        <w:t>t</w:t>
      </w:r>
      <w:r>
        <w:rPr>
          <w:rFonts w:ascii="Arial" w:hAnsi="Arial" w:cs="Arial"/>
        </w:rPr>
        <w:t>e</w:t>
      </w:r>
      <w:r>
        <w:rPr>
          <w:rFonts w:ascii="Arial" w:hAnsi="Arial" w:cs="Arial"/>
          <w:highlight w:val="yellow"/>
        </w:rPr>
        <w:t>r</w:t>
      </w:r>
      <w:r>
        <w:rPr>
          <w:rFonts w:ascii="Arial" w:hAnsi="Arial" w:cs="Arial"/>
        </w:rPr>
        <w:t xml:space="preserve"> n</w:t>
      </w:r>
      <w:r>
        <w:rPr>
          <w:rFonts w:ascii="Arial" w:hAnsi="Arial" w:cs="Arial"/>
          <w:highlight w:val="yellow"/>
        </w:rPr>
        <w:t>umber of</w:t>
      </w:r>
      <w:r>
        <w:rPr>
          <w:rFonts w:ascii="Arial" w:hAnsi="Arial" w:cs="Arial"/>
        </w:rPr>
        <w:t xml:space="preserve"> marketable fruits in grafted plants compare</w:t>
      </w:r>
      <w:r>
        <w:rPr>
          <w:rFonts w:ascii="Arial" w:hAnsi="Arial" w:cs="Arial"/>
          <w:highlight w:val="yellow"/>
        </w:rPr>
        <w:t>d</w:t>
      </w:r>
      <w:r>
        <w:rPr>
          <w:rFonts w:ascii="Arial" w:hAnsi="Arial" w:cs="Arial"/>
        </w:rPr>
        <w:t xml:space="preserve">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non-grafted </w:t>
      </w:r>
      <w:r>
        <w:rPr>
          <w:rFonts w:ascii="Arial" w:hAnsi="Arial" w:cs="Arial"/>
          <w:highlight w:val="yellow"/>
        </w:rPr>
        <w:t>pla</w:t>
      </w:r>
      <w:r>
        <w:rPr>
          <w:rFonts w:ascii="Arial" w:hAnsi="Arial" w:cs="Arial"/>
        </w:rPr>
        <w:t>n</w:t>
      </w:r>
      <w:r>
        <w:rPr>
          <w:rFonts w:ascii="Arial" w:hAnsi="Arial" w:cs="Arial"/>
          <w:highlight w:val="yellow"/>
        </w:rPr>
        <w:t>t</w:t>
      </w:r>
      <w:r>
        <w:rPr>
          <w:rFonts w:ascii="Arial" w:hAnsi="Arial" w:cs="Arial"/>
        </w:rPr>
        <w:t xml:space="preserve">s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be a</w:t>
      </w:r>
      <w:r>
        <w:rPr>
          <w:rFonts w:ascii="Arial" w:hAnsi="Arial" w:cs="Arial"/>
          <w:highlight w:val="yellow"/>
        </w:rPr>
        <w:t>ssoc</w:t>
      </w:r>
      <w:r>
        <w:rPr>
          <w:rFonts w:ascii="Arial" w:hAnsi="Arial" w:cs="Arial"/>
        </w:rPr>
        <w:t>i</w:t>
      </w:r>
      <w:r>
        <w:rPr>
          <w:rFonts w:ascii="Arial" w:hAnsi="Arial" w:cs="Arial"/>
          <w:highlight w:val="yellow"/>
        </w:rPr>
        <w:t>a</w:t>
      </w:r>
      <w:r>
        <w:rPr>
          <w:rFonts w:ascii="Arial" w:hAnsi="Arial" w:cs="Arial"/>
        </w:rPr>
        <w:t xml:space="preserve">ted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the u</w:t>
      </w:r>
      <w:r>
        <w:rPr>
          <w:rFonts w:ascii="Arial" w:hAnsi="Arial" w:cs="Arial"/>
          <w:highlight w:val="yellow"/>
        </w:rPr>
        <w:t>se</w:t>
      </w:r>
      <w:r>
        <w:rPr>
          <w:rFonts w:ascii="Arial" w:hAnsi="Arial" w:cs="Arial"/>
        </w:rPr>
        <w:t xml:space="preserve"> of </w:t>
      </w:r>
      <w:r>
        <w:rPr>
          <w:rFonts w:ascii="Arial" w:hAnsi="Arial" w:cs="Arial"/>
          <w:highlight w:val="yellow"/>
        </w:rPr>
        <w:t>vigo</w:t>
      </w:r>
      <w:r>
        <w:rPr>
          <w:rFonts w:ascii="Arial" w:hAnsi="Arial" w:cs="Arial"/>
        </w:rPr>
        <w:t>rous rootstocks and t</w:t>
      </w:r>
      <w:r>
        <w:rPr>
          <w:rFonts w:ascii="Arial" w:hAnsi="Arial" w:cs="Arial"/>
          <w:highlight w:val="yellow"/>
        </w:rPr>
        <w:t>heir</w:t>
      </w:r>
      <w:r>
        <w:rPr>
          <w:rFonts w:ascii="Arial" w:hAnsi="Arial" w:cs="Arial"/>
        </w:rPr>
        <w:t xml:space="preserve"> </w:t>
      </w:r>
      <w:r>
        <w:rPr>
          <w:rFonts w:ascii="Arial" w:hAnsi="Arial" w:cs="Arial"/>
          <w:highlight w:val="yellow"/>
        </w:rPr>
        <w:t>i</w:t>
      </w:r>
      <w:r>
        <w:rPr>
          <w:rFonts w:ascii="Arial" w:hAnsi="Arial" w:cs="Arial"/>
        </w:rPr>
        <w:t>n</w:t>
      </w:r>
      <w:r>
        <w:rPr>
          <w:rFonts w:ascii="Arial" w:hAnsi="Arial" w:cs="Arial"/>
          <w:highlight w:val="yellow"/>
        </w:rPr>
        <w:t>flu</w:t>
      </w:r>
      <w:r>
        <w:rPr>
          <w:rFonts w:ascii="Arial" w:hAnsi="Arial" w:cs="Arial"/>
        </w:rPr>
        <w:t xml:space="preserve">ence </w:t>
      </w:r>
      <w:r>
        <w:rPr>
          <w:rFonts w:ascii="Arial" w:hAnsi="Arial" w:cs="Arial"/>
          <w:highlight w:val="yellow"/>
        </w:rPr>
        <w:t>o</w:t>
      </w:r>
      <w:r>
        <w:rPr>
          <w:rFonts w:ascii="Arial" w:hAnsi="Arial" w:cs="Arial"/>
        </w:rPr>
        <w:t xml:space="preserve">n cytokinin content in the </w:t>
      </w:r>
      <w:r>
        <w:rPr>
          <w:rFonts w:ascii="Arial" w:hAnsi="Arial" w:cs="Arial"/>
        </w:rPr>
        <w:lastRenderedPageBreak/>
        <w:t>scion</w:t>
      </w:r>
      <w:r>
        <w:rPr>
          <w:rFonts w:ascii="Arial" w:hAnsi="Arial" w:cs="Arial"/>
          <w:highlight w:val="yellow"/>
        </w:rPr>
        <w:t>,</w:t>
      </w:r>
      <w:r>
        <w:rPr>
          <w:rFonts w:ascii="Arial" w:hAnsi="Arial" w:cs="Arial"/>
        </w:rPr>
        <w:t xml:space="preserve"> </w:t>
      </w:r>
      <w:r>
        <w:rPr>
          <w:rFonts w:ascii="Arial" w:hAnsi="Arial" w:cs="Arial"/>
          <w:highlight w:val="yellow"/>
        </w:rPr>
        <w:t>potent</w:t>
      </w:r>
      <w:r>
        <w:rPr>
          <w:rFonts w:ascii="Arial" w:hAnsi="Arial" w:cs="Arial"/>
        </w:rPr>
        <w:t>i</w:t>
      </w:r>
      <w:r>
        <w:rPr>
          <w:rFonts w:ascii="Arial" w:hAnsi="Arial" w:cs="Arial"/>
          <w:highlight w:val="yellow"/>
        </w:rPr>
        <w:t>ally</w:t>
      </w:r>
      <w:r>
        <w:rPr>
          <w:rFonts w:ascii="Arial" w:hAnsi="Arial" w:cs="Arial"/>
        </w:rPr>
        <w:t xml:space="preserve"> </w:t>
      </w:r>
      <w:r>
        <w:rPr>
          <w:rFonts w:ascii="Arial" w:hAnsi="Arial" w:cs="Arial"/>
          <w:highlight w:val="yellow"/>
        </w:rPr>
        <w:t>support</w:t>
      </w:r>
      <w:r>
        <w:rPr>
          <w:rFonts w:ascii="Arial" w:hAnsi="Arial" w:cs="Arial"/>
        </w:rPr>
        <w:t>in</w:t>
      </w:r>
      <w:r>
        <w:rPr>
          <w:rFonts w:ascii="Arial" w:hAnsi="Arial" w:cs="Arial"/>
          <w:highlight w:val="yellow"/>
        </w:rPr>
        <w:t>g</w:t>
      </w:r>
      <w:r>
        <w:rPr>
          <w:rFonts w:ascii="Arial" w:hAnsi="Arial" w:cs="Arial"/>
        </w:rPr>
        <w:t xml:space="preserve"> a greater fruit load. These findings align with </w:t>
      </w:r>
      <w:r>
        <w:rPr>
          <w:rFonts w:ascii="Arial" w:hAnsi="Arial" w:cs="Arial"/>
          <w:highlight w:val="yellow"/>
        </w:rPr>
        <w:t>fi</w:t>
      </w:r>
      <w:r>
        <w:rPr>
          <w:rFonts w:ascii="Arial" w:hAnsi="Arial" w:cs="Arial"/>
        </w:rPr>
        <w:t>n</w:t>
      </w:r>
      <w:r>
        <w:rPr>
          <w:rFonts w:ascii="Arial" w:hAnsi="Arial" w:cs="Arial"/>
          <w:highlight w:val="yellow"/>
        </w:rPr>
        <w:t>d</w:t>
      </w:r>
      <w:r>
        <w:rPr>
          <w:rFonts w:ascii="Arial" w:hAnsi="Arial" w:cs="Arial"/>
        </w:rPr>
        <w:t>in</w:t>
      </w:r>
      <w:r>
        <w:rPr>
          <w:rFonts w:ascii="Arial" w:hAnsi="Arial" w:cs="Arial"/>
          <w:highlight w:val="yellow"/>
        </w:rPr>
        <w:t>g</w:t>
      </w:r>
      <w:r>
        <w:rPr>
          <w:rFonts w:ascii="Arial" w:hAnsi="Arial" w:cs="Arial"/>
        </w:rPr>
        <w:t>s r</w:t>
      </w:r>
      <w:r>
        <w:rPr>
          <w:rFonts w:ascii="Arial" w:hAnsi="Arial" w:cs="Arial"/>
          <w:highlight w:val="yellow"/>
        </w:rPr>
        <w:t>epo</w:t>
      </w:r>
      <w:r>
        <w:rPr>
          <w:rFonts w:ascii="Arial" w:hAnsi="Arial" w:cs="Arial"/>
        </w:rPr>
        <w:t xml:space="preserve">rted by Leal-Fernández </w:t>
      </w:r>
      <w:r>
        <w:rPr>
          <w:rFonts w:ascii="Arial" w:hAnsi="Arial" w:cs="Arial"/>
          <w:i/>
        </w:rPr>
        <w:t>et al.</w:t>
      </w:r>
      <w:r>
        <w:rPr>
          <w:rFonts w:ascii="Arial" w:hAnsi="Arial" w:cs="Arial"/>
        </w:rPr>
        <w:t xml:space="preserve"> (2013) in sweet pepper; Rahmatian </w:t>
      </w:r>
      <w:r>
        <w:rPr>
          <w:rFonts w:ascii="Arial" w:hAnsi="Arial" w:cs="Arial"/>
          <w:i/>
        </w:rPr>
        <w:t>et al.</w:t>
      </w:r>
      <w:r>
        <w:rPr>
          <w:rFonts w:ascii="Arial" w:hAnsi="Arial" w:cs="Arial"/>
        </w:rPr>
        <w:t xml:space="preserve"> (2014) in tomato; Velkov and Pevicharova (2016) in cucumber; Kumar </w:t>
      </w:r>
      <w:r>
        <w:rPr>
          <w:rFonts w:ascii="Arial" w:hAnsi="Arial" w:cs="Arial"/>
          <w:i/>
        </w:rPr>
        <w:t>et al</w:t>
      </w:r>
      <w:r>
        <w:rPr>
          <w:rFonts w:ascii="Arial" w:hAnsi="Arial" w:cs="Arial"/>
        </w:rPr>
        <w:t xml:space="preserve">. (2017) in tomato and Ahmed </w:t>
      </w:r>
      <w:r>
        <w:rPr>
          <w:rFonts w:ascii="Arial" w:hAnsi="Arial" w:cs="Arial"/>
          <w:i/>
        </w:rPr>
        <w:t>et al</w:t>
      </w:r>
      <w:r>
        <w:rPr>
          <w:rFonts w:ascii="Arial" w:hAnsi="Arial" w:cs="Arial"/>
        </w:rPr>
        <w:t xml:space="preserve">. (2026) in tomato. The higher average fruit weight observed in grafted plants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be attributed to interactions between the rootstocks and scions, which </w:t>
      </w:r>
      <w:r>
        <w:rPr>
          <w:rFonts w:ascii="Arial" w:hAnsi="Arial" w:cs="Arial"/>
          <w:highlight w:val="yellow"/>
        </w:rPr>
        <w:t xml:space="preserve">may have </w:t>
      </w:r>
      <w:r>
        <w:rPr>
          <w:rFonts w:ascii="Arial" w:hAnsi="Arial" w:cs="Arial"/>
        </w:rPr>
        <w:t xml:space="preserve">enhanced the uptake of minerals, water and nutrients throughout the plant (Leal-Fernández </w:t>
      </w:r>
      <w:r>
        <w:rPr>
          <w:rFonts w:ascii="Arial" w:hAnsi="Arial" w:cs="Arial"/>
          <w:i/>
        </w:rPr>
        <w:t>et al</w:t>
      </w:r>
      <w:r>
        <w:rPr>
          <w:rFonts w:ascii="Arial" w:hAnsi="Arial" w:cs="Arial"/>
        </w:rPr>
        <w:t xml:space="preserve">., 2013; Moncada </w:t>
      </w:r>
      <w:r>
        <w:rPr>
          <w:rFonts w:ascii="Arial" w:hAnsi="Arial" w:cs="Arial"/>
          <w:i/>
        </w:rPr>
        <w:t>et al</w:t>
      </w:r>
      <w:r>
        <w:rPr>
          <w:rFonts w:ascii="Arial" w:hAnsi="Arial" w:cs="Arial"/>
        </w:rPr>
        <w:t xml:space="preserve">., 2013; Rahmatian </w:t>
      </w:r>
      <w:r>
        <w:rPr>
          <w:rFonts w:ascii="Arial" w:hAnsi="Arial" w:cs="Arial"/>
          <w:i/>
        </w:rPr>
        <w:t>et al</w:t>
      </w:r>
      <w:r>
        <w:rPr>
          <w:rFonts w:ascii="Arial" w:hAnsi="Arial" w:cs="Arial"/>
        </w:rPr>
        <w:t>., 2014; Riga, 2015). Moreover, the highest fruit yield per plot (30.14 kg) and total fruit yield (628.00 q/ha) were recorded in T</w:t>
      </w:r>
      <w:r>
        <w:rPr>
          <w:rFonts w:ascii="Arial" w:hAnsi="Arial" w:cs="Arial"/>
          <w:vertAlign w:val="subscript"/>
        </w:rPr>
        <w:t>3</w:t>
      </w:r>
      <w:r>
        <w:rPr>
          <w:rFonts w:ascii="Arial" w:hAnsi="Arial" w:cs="Arial"/>
        </w:rPr>
        <w:t xml:space="preserve"> (Arka Samrat grafted onto </w:t>
      </w:r>
      <w:r>
        <w:rPr>
          <w:rFonts w:ascii="Arial" w:hAnsi="Arial" w:cs="Arial"/>
          <w:i/>
        </w:rPr>
        <w:t>S. torvum</w:t>
      </w:r>
      <w:r>
        <w:rPr>
          <w:rFonts w:ascii="Arial" w:hAnsi="Arial" w:cs="Arial"/>
        </w:rPr>
        <w:t>). The lowest fruit yield per plot (25.34 kg) and total fruit yield (528.00 q/ha) were recorded in T</w:t>
      </w:r>
      <w:r>
        <w:rPr>
          <w:rFonts w:ascii="Arial" w:hAnsi="Arial" w:cs="Arial"/>
          <w:vertAlign w:val="subscript"/>
        </w:rPr>
        <w:t>5</w:t>
      </w:r>
      <w:r>
        <w:rPr>
          <w:rFonts w:ascii="Arial" w:hAnsi="Arial" w:cs="Arial"/>
        </w:rPr>
        <w:t xml:space="preserve"> (Dona-55). The enhanced yield in grafted plants </w:t>
      </w:r>
      <w:r>
        <w:rPr>
          <w:rFonts w:ascii="Arial" w:hAnsi="Arial" w:cs="Arial"/>
          <w:highlight w:val="yellow"/>
        </w:rPr>
        <w:t>may</w:t>
      </w:r>
      <w:r>
        <w:rPr>
          <w:rFonts w:ascii="Arial" w:hAnsi="Arial" w:cs="Arial"/>
        </w:rPr>
        <w:t xml:space="preserve"> be attributed to resistance provided by rootstocks against </w:t>
      </w:r>
      <w:r>
        <w:rPr>
          <w:rFonts w:ascii="Arial" w:hAnsi="Arial" w:cs="Arial"/>
          <w:i/>
        </w:rPr>
        <w:t>M. incognita</w:t>
      </w:r>
      <w:r>
        <w:rPr>
          <w:rFonts w:ascii="Arial" w:hAnsi="Arial" w:cs="Arial"/>
        </w:rPr>
        <w:t xml:space="preserve">, as well as the improved absorption and translocation of essential nutrients such as phosphorus, nitrogen, magnesium, and calcium, resulting in improved nutrient uptake in the rootstocks (Lee,1994; Pulgar </w:t>
      </w:r>
      <w:r>
        <w:rPr>
          <w:rFonts w:ascii="Arial" w:hAnsi="Arial" w:cs="Arial"/>
          <w:i/>
        </w:rPr>
        <w:t>et al</w:t>
      </w:r>
      <w:r>
        <w:rPr>
          <w:rFonts w:ascii="Arial" w:hAnsi="Arial" w:cs="Arial"/>
        </w:rPr>
        <w:t xml:space="preserve">., 2000; Bletsos </w:t>
      </w:r>
      <w:r>
        <w:rPr>
          <w:rFonts w:ascii="Arial" w:hAnsi="Arial" w:cs="Arial"/>
          <w:i/>
        </w:rPr>
        <w:t>et al</w:t>
      </w:r>
      <w:r>
        <w:rPr>
          <w:rFonts w:ascii="Arial" w:hAnsi="Arial" w:cs="Arial"/>
        </w:rPr>
        <w:t xml:space="preserve">., 2003; Kacjan-Maršić and Osvald, 2004; Aloni </w:t>
      </w:r>
      <w:r>
        <w:rPr>
          <w:rFonts w:ascii="Arial" w:hAnsi="Arial" w:cs="Arial"/>
          <w:i/>
        </w:rPr>
        <w:t>et al</w:t>
      </w:r>
      <w:r>
        <w:rPr>
          <w:rFonts w:ascii="Arial" w:hAnsi="Arial" w:cs="Arial"/>
        </w:rPr>
        <w:t>., 2010; Bogoescu and Doltu, 2015).</w:t>
      </w:r>
    </w:p>
    <w:p w14:paraId="343BCF56" w14:textId="77777777" w:rsidR="007A1019" w:rsidRPr="00B91AE6" w:rsidRDefault="00000000">
      <w:pPr>
        <w:spacing w:before="60" w:after="60"/>
        <w:rPr>
          <w:rFonts w:ascii="Arial" w:hAnsi="Arial" w:cs="Arial"/>
        </w:rPr>
      </w:pPr>
      <w:r w:rsidRPr="00B91AE6">
        <w:rPr>
          <w:rFonts w:ascii="Arial" w:eastAsia="Arial" w:hAnsi="Arial" w:cs="Arial"/>
          <w:b/>
        </w:rPr>
        <w:t>Table 4. Fruit parameters in grafted and non-grafted plant</w:t>
      </w:r>
    </w:p>
    <w:tbl>
      <w:tblPr>
        <w:tblStyle w:val="TableGrid"/>
        <w:tblW w:w="0" w:type="auto"/>
        <w:jc w:val="center"/>
        <w:tblLayout w:type="fixed"/>
        <w:tblLook w:val="04A0" w:firstRow="1" w:lastRow="0" w:firstColumn="1" w:lastColumn="0" w:noHBand="0" w:noVBand="1"/>
      </w:tblPr>
      <w:tblGrid>
        <w:gridCol w:w="2268"/>
        <w:gridCol w:w="1701"/>
        <w:gridCol w:w="1661"/>
        <w:gridCol w:w="1411"/>
        <w:gridCol w:w="1166"/>
      </w:tblGrid>
      <w:tr w:rsidR="007A1019" w:rsidRPr="003B44E3" w14:paraId="413BBE4D" w14:textId="77777777" w:rsidTr="003B44E3">
        <w:trPr>
          <w:tblHeader/>
          <w:jc w:val="center"/>
        </w:trPr>
        <w:tc>
          <w:tcPr>
            <w:tcW w:w="2268" w:type="dxa"/>
            <w:vAlign w:val="center"/>
          </w:tcPr>
          <w:p w14:paraId="758DD5EE"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1701" w:type="dxa"/>
            <w:vAlign w:val="center"/>
          </w:tcPr>
          <w:p w14:paraId="5D54F46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Fruits per plant*</w:t>
            </w:r>
          </w:p>
        </w:tc>
        <w:tc>
          <w:tcPr>
            <w:tcW w:w="1661" w:type="dxa"/>
            <w:vAlign w:val="center"/>
          </w:tcPr>
          <w:p w14:paraId="1F32329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 weight* (g)</w:t>
            </w:r>
          </w:p>
        </w:tc>
        <w:tc>
          <w:tcPr>
            <w:tcW w:w="1411" w:type="dxa"/>
            <w:vAlign w:val="center"/>
          </w:tcPr>
          <w:p w14:paraId="63CBDD1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 yield per plot (kg)</w:t>
            </w:r>
          </w:p>
        </w:tc>
        <w:tc>
          <w:tcPr>
            <w:tcW w:w="1166" w:type="dxa"/>
            <w:vAlign w:val="center"/>
          </w:tcPr>
          <w:p w14:paraId="1EEE90F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Total fruit yield (q/ha)</w:t>
            </w:r>
          </w:p>
        </w:tc>
      </w:tr>
      <w:tr w:rsidR="007A1019" w:rsidRPr="003B44E3" w14:paraId="7D357622" w14:textId="77777777" w:rsidTr="003B44E3">
        <w:trPr>
          <w:jc w:val="center"/>
        </w:trPr>
        <w:tc>
          <w:tcPr>
            <w:tcW w:w="2268" w:type="dxa"/>
            <w:vAlign w:val="center"/>
          </w:tcPr>
          <w:p w14:paraId="2C006BC3"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701" w:type="dxa"/>
            <w:vAlign w:val="center"/>
          </w:tcPr>
          <w:p w14:paraId="2732DEE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19.25</w:t>
            </w:r>
          </w:p>
        </w:tc>
        <w:tc>
          <w:tcPr>
            <w:tcW w:w="1661" w:type="dxa"/>
            <w:vAlign w:val="center"/>
          </w:tcPr>
          <w:p w14:paraId="659CF25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116.17</w:t>
            </w:r>
          </w:p>
        </w:tc>
        <w:tc>
          <w:tcPr>
            <w:tcW w:w="1411" w:type="dxa"/>
            <w:vAlign w:val="center"/>
          </w:tcPr>
          <w:p w14:paraId="5109F1E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29.05</w:t>
            </w:r>
          </w:p>
        </w:tc>
        <w:tc>
          <w:tcPr>
            <w:tcW w:w="1166" w:type="dxa"/>
            <w:vAlign w:val="center"/>
          </w:tcPr>
          <w:p w14:paraId="0593411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605.25</w:t>
            </w:r>
          </w:p>
        </w:tc>
      </w:tr>
      <w:tr w:rsidR="007A1019" w:rsidRPr="003B44E3" w14:paraId="2115FBD1" w14:textId="77777777" w:rsidTr="003B44E3">
        <w:trPr>
          <w:jc w:val="center"/>
        </w:trPr>
        <w:tc>
          <w:tcPr>
            <w:tcW w:w="2268" w:type="dxa"/>
            <w:vAlign w:val="center"/>
          </w:tcPr>
          <w:p w14:paraId="0701E194"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701" w:type="dxa"/>
            <w:vAlign w:val="center"/>
          </w:tcPr>
          <w:p w14:paraId="6E379B8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13.75</w:t>
            </w:r>
          </w:p>
        </w:tc>
        <w:tc>
          <w:tcPr>
            <w:tcW w:w="1661" w:type="dxa"/>
            <w:vAlign w:val="center"/>
          </w:tcPr>
          <w:p w14:paraId="665706D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105.81</w:t>
            </w:r>
          </w:p>
        </w:tc>
        <w:tc>
          <w:tcPr>
            <w:tcW w:w="1411" w:type="dxa"/>
            <w:vAlign w:val="center"/>
          </w:tcPr>
          <w:p w14:paraId="33AEADA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27.18</w:t>
            </w:r>
          </w:p>
        </w:tc>
        <w:tc>
          <w:tcPr>
            <w:tcW w:w="1166" w:type="dxa"/>
            <w:vAlign w:val="center"/>
          </w:tcPr>
          <w:p w14:paraId="4F483B4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566.25</w:t>
            </w:r>
          </w:p>
        </w:tc>
      </w:tr>
      <w:tr w:rsidR="007A1019" w:rsidRPr="003B44E3" w14:paraId="2D86276C" w14:textId="77777777" w:rsidTr="003B44E3">
        <w:trPr>
          <w:jc w:val="center"/>
        </w:trPr>
        <w:tc>
          <w:tcPr>
            <w:tcW w:w="2268" w:type="dxa"/>
            <w:vAlign w:val="center"/>
          </w:tcPr>
          <w:p w14:paraId="636A342D"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701" w:type="dxa"/>
            <w:vAlign w:val="center"/>
          </w:tcPr>
          <w:p w14:paraId="7C60857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20.50</w:t>
            </w:r>
          </w:p>
        </w:tc>
        <w:tc>
          <w:tcPr>
            <w:tcW w:w="1661" w:type="dxa"/>
            <w:vAlign w:val="center"/>
          </w:tcPr>
          <w:p w14:paraId="1DED7F1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118.38</w:t>
            </w:r>
          </w:p>
        </w:tc>
        <w:tc>
          <w:tcPr>
            <w:tcW w:w="1411" w:type="dxa"/>
            <w:vAlign w:val="center"/>
          </w:tcPr>
          <w:p w14:paraId="3B30C92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30.14</w:t>
            </w:r>
          </w:p>
        </w:tc>
        <w:tc>
          <w:tcPr>
            <w:tcW w:w="1166" w:type="dxa"/>
            <w:vAlign w:val="center"/>
          </w:tcPr>
          <w:p w14:paraId="59A1C16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628.00</w:t>
            </w:r>
          </w:p>
        </w:tc>
      </w:tr>
      <w:tr w:rsidR="007A1019" w:rsidRPr="003B44E3" w14:paraId="3030B2E2" w14:textId="77777777" w:rsidTr="003B44E3">
        <w:trPr>
          <w:jc w:val="center"/>
        </w:trPr>
        <w:tc>
          <w:tcPr>
            <w:tcW w:w="2268" w:type="dxa"/>
            <w:vAlign w:val="center"/>
          </w:tcPr>
          <w:p w14:paraId="0EA33640"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1701" w:type="dxa"/>
            <w:vAlign w:val="center"/>
          </w:tcPr>
          <w:p w14:paraId="2664EAD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18.00</w:t>
            </w:r>
          </w:p>
        </w:tc>
        <w:tc>
          <w:tcPr>
            <w:tcW w:w="1661" w:type="dxa"/>
            <w:vAlign w:val="center"/>
          </w:tcPr>
          <w:p w14:paraId="089175A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112.13</w:t>
            </w:r>
          </w:p>
        </w:tc>
        <w:tc>
          <w:tcPr>
            <w:tcW w:w="1411" w:type="dxa"/>
            <w:vAlign w:val="center"/>
          </w:tcPr>
          <w:p w14:paraId="4F5A2DD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28.18</w:t>
            </w:r>
          </w:p>
        </w:tc>
        <w:tc>
          <w:tcPr>
            <w:tcW w:w="1166" w:type="dxa"/>
            <w:vAlign w:val="center"/>
          </w:tcPr>
          <w:p w14:paraId="519DDCE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587.00</w:t>
            </w:r>
          </w:p>
        </w:tc>
      </w:tr>
      <w:tr w:rsidR="007A1019" w:rsidRPr="003B44E3" w14:paraId="52FD14C3" w14:textId="77777777" w:rsidTr="003B44E3">
        <w:trPr>
          <w:jc w:val="center"/>
        </w:trPr>
        <w:tc>
          <w:tcPr>
            <w:tcW w:w="2268" w:type="dxa"/>
            <w:vAlign w:val="center"/>
          </w:tcPr>
          <w:p w14:paraId="574B5294"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701" w:type="dxa"/>
            <w:vAlign w:val="center"/>
          </w:tcPr>
          <w:p w14:paraId="7FABE6B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11.00</w:t>
            </w:r>
          </w:p>
        </w:tc>
        <w:tc>
          <w:tcPr>
            <w:tcW w:w="1661" w:type="dxa"/>
            <w:vAlign w:val="center"/>
          </w:tcPr>
          <w:p w14:paraId="00BF948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102.94</w:t>
            </w:r>
          </w:p>
        </w:tc>
        <w:tc>
          <w:tcPr>
            <w:tcW w:w="1411" w:type="dxa"/>
            <w:vAlign w:val="center"/>
          </w:tcPr>
          <w:p w14:paraId="50B133B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25.34</w:t>
            </w:r>
          </w:p>
        </w:tc>
        <w:tc>
          <w:tcPr>
            <w:tcW w:w="1166" w:type="dxa"/>
            <w:vAlign w:val="center"/>
          </w:tcPr>
          <w:p w14:paraId="391AC4C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528.00</w:t>
            </w:r>
          </w:p>
        </w:tc>
      </w:tr>
      <w:tr w:rsidR="007A1019" w:rsidRPr="003B44E3" w14:paraId="511147C6" w14:textId="77777777" w:rsidTr="003B44E3">
        <w:trPr>
          <w:jc w:val="center"/>
        </w:trPr>
        <w:tc>
          <w:tcPr>
            <w:tcW w:w="2268" w:type="dxa"/>
            <w:vAlign w:val="center"/>
          </w:tcPr>
          <w:p w14:paraId="52125554"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701" w:type="dxa"/>
            <w:vAlign w:val="center"/>
          </w:tcPr>
          <w:p w14:paraId="2460653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13.00</w:t>
            </w:r>
          </w:p>
        </w:tc>
        <w:tc>
          <w:tcPr>
            <w:tcW w:w="1661" w:type="dxa"/>
            <w:vAlign w:val="center"/>
          </w:tcPr>
          <w:p w14:paraId="21179F7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82.66</w:t>
            </w:r>
          </w:p>
        </w:tc>
        <w:tc>
          <w:tcPr>
            <w:tcW w:w="1411" w:type="dxa"/>
            <w:vAlign w:val="center"/>
          </w:tcPr>
          <w:p w14:paraId="224D395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25.67</w:t>
            </w:r>
          </w:p>
        </w:tc>
        <w:tc>
          <w:tcPr>
            <w:tcW w:w="1166" w:type="dxa"/>
            <w:vAlign w:val="center"/>
          </w:tcPr>
          <w:p w14:paraId="079DF01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534.75</w:t>
            </w:r>
          </w:p>
        </w:tc>
      </w:tr>
      <w:tr w:rsidR="007A1019" w:rsidRPr="003B44E3" w14:paraId="248D43CB" w14:textId="77777777" w:rsidTr="003B44E3">
        <w:trPr>
          <w:jc w:val="center"/>
        </w:trPr>
        <w:tc>
          <w:tcPr>
            <w:tcW w:w="2268" w:type="dxa"/>
            <w:vAlign w:val="center"/>
          </w:tcPr>
          <w:p w14:paraId="1EFB5C76"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701" w:type="dxa"/>
            <w:vAlign w:val="center"/>
          </w:tcPr>
          <w:p w14:paraId="2C16D31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0.99</w:t>
            </w:r>
          </w:p>
        </w:tc>
        <w:tc>
          <w:tcPr>
            <w:tcW w:w="1661" w:type="dxa"/>
            <w:vAlign w:val="center"/>
          </w:tcPr>
          <w:p w14:paraId="02ABEF7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1.21</w:t>
            </w:r>
          </w:p>
        </w:tc>
        <w:tc>
          <w:tcPr>
            <w:tcW w:w="1411" w:type="dxa"/>
            <w:vAlign w:val="center"/>
          </w:tcPr>
          <w:p w14:paraId="190F971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0.05</w:t>
            </w:r>
          </w:p>
        </w:tc>
        <w:tc>
          <w:tcPr>
            <w:tcW w:w="1166" w:type="dxa"/>
            <w:vAlign w:val="center"/>
          </w:tcPr>
          <w:p w14:paraId="0623C01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1.02</w:t>
            </w:r>
          </w:p>
        </w:tc>
      </w:tr>
      <w:tr w:rsidR="007A1019" w:rsidRPr="003B44E3" w14:paraId="43A0CBBC" w14:textId="77777777" w:rsidTr="003B44E3">
        <w:trPr>
          <w:jc w:val="center"/>
        </w:trPr>
        <w:tc>
          <w:tcPr>
            <w:tcW w:w="2268" w:type="dxa"/>
            <w:vAlign w:val="center"/>
          </w:tcPr>
          <w:p w14:paraId="5A6E8BE0"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1701" w:type="dxa"/>
            <w:vAlign w:val="center"/>
          </w:tcPr>
          <w:p w14:paraId="5DF8F50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2.12</w:t>
            </w:r>
          </w:p>
        </w:tc>
        <w:tc>
          <w:tcPr>
            <w:tcW w:w="1661" w:type="dxa"/>
            <w:vAlign w:val="center"/>
          </w:tcPr>
          <w:p w14:paraId="32DBFF0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2.58</w:t>
            </w:r>
          </w:p>
        </w:tc>
        <w:tc>
          <w:tcPr>
            <w:tcW w:w="1411" w:type="dxa"/>
            <w:vAlign w:val="center"/>
          </w:tcPr>
          <w:p w14:paraId="3CD39D5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0.11</w:t>
            </w:r>
          </w:p>
        </w:tc>
        <w:tc>
          <w:tcPr>
            <w:tcW w:w="1166" w:type="dxa"/>
            <w:vAlign w:val="center"/>
          </w:tcPr>
          <w:p w14:paraId="1D46E3E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2.17</w:t>
            </w:r>
          </w:p>
        </w:tc>
      </w:tr>
    </w:tbl>
    <w:p w14:paraId="0AB4D074" w14:textId="77777777" w:rsidR="007A1019" w:rsidRPr="00B91AE6" w:rsidRDefault="00000000">
      <w:pPr>
        <w:spacing w:after="100"/>
        <w:rPr>
          <w:rFonts w:ascii="Arial" w:hAnsi="Arial" w:cs="Arial"/>
        </w:rPr>
      </w:pPr>
      <w:r w:rsidRPr="00B91AE6">
        <w:rPr>
          <w:rFonts w:ascii="Arial" w:hAnsi="Arial" w:cs="Arial"/>
          <w:i/>
          <w:sz w:val="17"/>
        </w:rPr>
        <w:t>*Mean of four plants per plot</w:t>
      </w:r>
    </w:p>
    <w:p w14:paraId="55ADADDC" w14:textId="5BFB0CD9" w:rsidR="007A1019" w:rsidRPr="00B91AE6" w:rsidRDefault="00000000">
      <w:pPr>
        <w:spacing w:after="120" w:line="360" w:lineRule="auto"/>
        <w:ind w:firstLine="317"/>
        <w:jc w:val="both"/>
        <w:rPr>
          <w:rFonts w:ascii="Arial" w:hAnsi="Arial" w:cs="Arial"/>
        </w:rPr>
      </w:pPr>
      <w:r>
        <w:rPr>
          <w:rFonts w:ascii="Arial" w:hAnsi="Arial" w:cs="Arial"/>
        </w:rPr>
        <w:t>The current study re</w:t>
      </w:r>
      <w:r>
        <w:rPr>
          <w:rFonts w:ascii="Arial" w:hAnsi="Arial" w:cs="Arial"/>
          <w:highlight w:val="yellow"/>
        </w:rPr>
        <w:t>c</w:t>
      </w:r>
      <w:r>
        <w:rPr>
          <w:rFonts w:ascii="Arial" w:hAnsi="Arial" w:cs="Arial"/>
        </w:rPr>
        <w:t>or</w:t>
      </w:r>
      <w:r>
        <w:rPr>
          <w:rFonts w:ascii="Arial" w:hAnsi="Arial" w:cs="Arial"/>
          <w:highlight w:val="yellow"/>
        </w:rPr>
        <w:t>d</w:t>
      </w:r>
      <w:r>
        <w:rPr>
          <w:rFonts w:ascii="Arial" w:hAnsi="Arial" w:cs="Arial"/>
        </w:rPr>
        <w:t>ed reduction</w:t>
      </w:r>
      <w:r>
        <w:rPr>
          <w:rFonts w:ascii="Arial" w:hAnsi="Arial" w:cs="Arial"/>
          <w:highlight w:val="yellow"/>
        </w:rPr>
        <w:t>s</w:t>
      </w:r>
      <w:r>
        <w:rPr>
          <w:rFonts w:ascii="Arial" w:hAnsi="Arial" w:cs="Arial"/>
        </w:rPr>
        <w:t xml:space="preserve"> in</w:t>
      </w:r>
      <w:r>
        <w:rPr>
          <w:rFonts w:ascii="Arial" w:hAnsi="Arial" w:cs="Arial"/>
          <w:highlight w:val="yellow"/>
        </w:rPr>
        <w:t xml:space="preserve"> the</w:t>
      </w:r>
      <w:r>
        <w:rPr>
          <w:rFonts w:ascii="Arial" w:hAnsi="Arial" w:cs="Arial"/>
        </w:rPr>
        <w:t xml:space="preserve"> number of galls and egg masses per root system in the treatments involving grafted plants compared with non-grafted plants (Table 5). The highest number of galls (89.75) and egg masses (42.00) per root system were recorded in T</w:t>
      </w:r>
      <w:r>
        <w:rPr>
          <w:rFonts w:ascii="Arial" w:hAnsi="Arial" w:cs="Arial"/>
          <w:vertAlign w:val="subscript"/>
        </w:rPr>
        <w:t>5</w:t>
      </w:r>
      <w:r>
        <w:rPr>
          <w:rFonts w:ascii="Arial" w:hAnsi="Arial" w:cs="Arial"/>
        </w:rPr>
        <w:t xml:space="preserve"> (Dona-55). </w:t>
      </w:r>
      <w:r>
        <w:rPr>
          <w:rFonts w:ascii="Arial" w:hAnsi="Arial" w:cs="Arial"/>
          <w:highlight w:val="yellow"/>
        </w:rPr>
        <w:t>In c</w:t>
      </w:r>
      <w:r>
        <w:rPr>
          <w:rFonts w:ascii="Arial" w:hAnsi="Arial" w:cs="Arial"/>
        </w:rPr>
        <w:t>o</w:t>
      </w:r>
      <w:r>
        <w:rPr>
          <w:rFonts w:ascii="Arial" w:hAnsi="Arial" w:cs="Arial"/>
          <w:highlight w:val="yellow"/>
        </w:rPr>
        <w:t>nt</w:t>
      </w:r>
      <w:r>
        <w:rPr>
          <w:rFonts w:ascii="Arial" w:hAnsi="Arial" w:cs="Arial"/>
        </w:rPr>
        <w:t>r</w:t>
      </w:r>
      <w:r>
        <w:rPr>
          <w:rFonts w:ascii="Arial" w:hAnsi="Arial" w:cs="Arial"/>
          <w:highlight w:val="yellow"/>
        </w:rPr>
        <w:t>ast</w:t>
      </w:r>
      <w:r>
        <w:rPr>
          <w:rFonts w:ascii="Arial" w:hAnsi="Arial" w:cs="Arial"/>
        </w:rPr>
        <w:t>, the l</w:t>
      </w:r>
      <w:r>
        <w:rPr>
          <w:rFonts w:ascii="Arial" w:hAnsi="Arial" w:cs="Arial"/>
          <w:highlight w:val="yellow"/>
        </w:rPr>
        <w:t>ow</w:t>
      </w:r>
      <w:r>
        <w:rPr>
          <w:rFonts w:ascii="Arial" w:hAnsi="Arial" w:cs="Arial"/>
        </w:rPr>
        <w:t>est number</w:t>
      </w:r>
      <w:r>
        <w:rPr>
          <w:rFonts w:ascii="Arial" w:hAnsi="Arial" w:cs="Arial"/>
          <w:highlight w:val="yellow"/>
        </w:rPr>
        <w:t>s</w:t>
      </w:r>
      <w:r>
        <w:rPr>
          <w:rFonts w:ascii="Arial" w:hAnsi="Arial" w:cs="Arial"/>
        </w:rPr>
        <w:t xml:space="preserve"> of galls (7.00) and egg masses </w:t>
      </w:r>
      <w:r>
        <w:rPr>
          <w:rFonts w:ascii="Arial" w:hAnsi="Arial" w:cs="Arial"/>
        </w:rPr>
        <w:lastRenderedPageBreak/>
        <w:t>(2.75) per root system were recorded in the treatment T</w:t>
      </w:r>
      <w:r>
        <w:rPr>
          <w:rFonts w:ascii="Arial" w:hAnsi="Arial" w:cs="Arial"/>
          <w:vertAlign w:val="subscript"/>
        </w:rPr>
        <w:t>3</w:t>
      </w:r>
      <w:r>
        <w:rPr>
          <w:rFonts w:ascii="Arial" w:hAnsi="Arial" w:cs="Arial"/>
        </w:rPr>
        <w:t xml:space="preserve"> (Arka Samrat grafted onto </w:t>
      </w:r>
      <w:r>
        <w:rPr>
          <w:rFonts w:ascii="Arial" w:hAnsi="Arial" w:cs="Arial"/>
          <w:i/>
        </w:rPr>
        <w:t>S. torvum</w:t>
      </w:r>
      <w:r>
        <w:rPr>
          <w:rFonts w:ascii="Arial" w:hAnsi="Arial" w:cs="Arial"/>
        </w:rPr>
        <w:t xml:space="preserve">). Polimera </w:t>
      </w:r>
      <w:r>
        <w:rPr>
          <w:rFonts w:ascii="Arial" w:hAnsi="Arial" w:cs="Arial"/>
          <w:i/>
        </w:rPr>
        <w:t>et al</w:t>
      </w:r>
      <w:r>
        <w:rPr>
          <w:rFonts w:ascii="Arial" w:hAnsi="Arial" w:cs="Arial"/>
        </w:rPr>
        <w:t>. (2022) also observed that grafting susceptible brinjal cultivars onto resistant rootstocks c</w:t>
      </w:r>
      <w:r>
        <w:rPr>
          <w:rFonts w:ascii="Arial" w:hAnsi="Arial" w:cs="Arial"/>
          <w:highlight w:val="yellow"/>
        </w:rPr>
        <w:t>an h</w:t>
      </w:r>
      <w:r>
        <w:rPr>
          <w:rFonts w:ascii="Arial" w:hAnsi="Arial" w:cs="Arial"/>
        </w:rPr>
        <w:t>el</w:t>
      </w:r>
      <w:r>
        <w:rPr>
          <w:rFonts w:ascii="Arial" w:hAnsi="Arial" w:cs="Arial"/>
          <w:highlight w:val="yellow"/>
        </w:rPr>
        <w:t>p</w:t>
      </w:r>
      <w:r>
        <w:rPr>
          <w:rFonts w:ascii="Arial" w:hAnsi="Arial" w:cs="Arial"/>
        </w:rPr>
        <w:t xml:space="preserve"> manage </w:t>
      </w:r>
      <w:r>
        <w:rPr>
          <w:rFonts w:ascii="Arial" w:hAnsi="Arial" w:cs="Arial"/>
          <w:i/>
        </w:rPr>
        <w:t>M. incognita</w:t>
      </w:r>
      <w:r>
        <w:rPr>
          <w:rFonts w:ascii="Arial" w:hAnsi="Arial" w:cs="Arial"/>
        </w:rPr>
        <w:t xml:space="preserve">. Highly susceptible </w:t>
      </w:r>
      <w:r>
        <w:rPr>
          <w:rFonts w:ascii="Arial" w:hAnsi="Arial" w:cs="Arial"/>
          <w:highlight w:val="yellow"/>
        </w:rPr>
        <w:t>hos</w:t>
      </w:r>
      <w:r>
        <w:rPr>
          <w:rFonts w:ascii="Arial" w:hAnsi="Arial" w:cs="Arial"/>
        </w:rPr>
        <w:t xml:space="preserve">t </w:t>
      </w:r>
      <w:r>
        <w:rPr>
          <w:rFonts w:ascii="Arial" w:hAnsi="Arial" w:cs="Arial"/>
          <w:i/>
          <w:highlight w:val="yellow"/>
        </w:rPr>
        <w:t>pla</w:t>
      </w:r>
      <w:r>
        <w:rPr>
          <w:rFonts w:ascii="Arial" w:hAnsi="Arial" w:cs="Arial"/>
          <w:i/>
        </w:rPr>
        <w:t>nt</w:t>
      </w:r>
      <w:r>
        <w:rPr>
          <w:rFonts w:ascii="Arial" w:hAnsi="Arial" w:cs="Arial"/>
          <w:i/>
          <w:highlight w:val="yellow"/>
        </w:rPr>
        <w:t>s</w:t>
      </w:r>
      <w:r>
        <w:rPr>
          <w:rFonts w:ascii="Arial" w:hAnsi="Arial" w:cs="Arial"/>
        </w:rPr>
        <w:t xml:space="preserve"> allowed the juveniles to penetrate the roots, mature and produce eggs while the resistant plants hindered their development and prevented reproduction within the</w:t>
      </w:r>
      <w:r>
        <w:rPr>
          <w:rFonts w:ascii="Arial" w:hAnsi="Arial" w:cs="Arial"/>
          <w:highlight w:val="yellow"/>
        </w:rPr>
        <w:t>ir</w:t>
      </w:r>
      <w:r>
        <w:rPr>
          <w:rFonts w:ascii="Arial" w:hAnsi="Arial" w:cs="Arial"/>
        </w:rPr>
        <w:t xml:space="preserve"> host</w:t>
      </w:r>
      <w:r>
        <w:rPr>
          <w:rFonts w:ascii="Arial" w:hAnsi="Arial" w:cs="Arial"/>
          <w:highlight w:val="yellow"/>
        </w:rPr>
        <w:t>s</w:t>
      </w:r>
      <w:r>
        <w:rPr>
          <w:rFonts w:ascii="Arial" w:hAnsi="Arial" w:cs="Arial"/>
        </w:rPr>
        <w:t xml:space="preserve"> (Karssen and Moens, 2006). Rahman </w:t>
      </w:r>
      <w:r>
        <w:rPr>
          <w:rFonts w:ascii="Arial" w:hAnsi="Arial" w:cs="Arial"/>
          <w:i/>
        </w:rPr>
        <w:t>et al</w:t>
      </w:r>
      <w:r>
        <w:rPr>
          <w:rFonts w:ascii="Arial" w:hAnsi="Arial" w:cs="Arial"/>
        </w:rPr>
        <w:t xml:space="preserve">. (2002) recorded 7.8 galls/gm of root system and 5.56 galls/gm of root system in the rootstocks, </w:t>
      </w:r>
      <w:r>
        <w:rPr>
          <w:rFonts w:ascii="Arial" w:hAnsi="Arial" w:cs="Arial"/>
          <w:i/>
        </w:rPr>
        <w:t>S. torvum</w:t>
      </w:r>
      <w:r>
        <w:rPr>
          <w:rFonts w:ascii="Arial" w:hAnsi="Arial" w:cs="Arial"/>
        </w:rPr>
        <w:t xml:space="preserve"> and </w:t>
      </w:r>
      <w:r>
        <w:rPr>
          <w:rFonts w:ascii="Arial" w:hAnsi="Arial" w:cs="Arial"/>
          <w:i/>
        </w:rPr>
        <w:t>S. sisymbriifolium</w:t>
      </w:r>
      <w:r>
        <w:rPr>
          <w:rFonts w:ascii="Arial" w:hAnsi="Arial" w:cs="Arial"/>
        </w:rPr>
        <w:t xml:space="preserve">, respectively. </w:t>
      </w:r>
      <w:r>
        <w:rPr>
          <w:rFonts w:ascii="Arial" w:hAnsi="Arial" w:cs="Arial"/>
          <w:i/>
        </w:rPr>
        <w:t xml:space="preserve">M. incognita </w:t>
      </w:r>
      <w:r>
        <w:rPr>
          <w:rFonts w:ascii="Arial" w:hAnsi="Arial" w:cs="Arial"/>
        </w:rPr>
        <w:t xml:space="preserve">egg masses develop poorly on resistant cultivars compared to susceptible ones (Cousins and Walker, </w:t>
      </w:r>
      <w:r w:rsidR="00266AB3">
        <w:rPr>
          <w:rFonts w:ascii="Arial" w:hAnsi="Arial" w:cs="Arial"/>
        </w:rPr>
        <w:t>2000</w:t>
      </w:r>
      <w:r>
        <w:rPr>
          <w:rFonts w:ascii="Arial" w:hAnsi="Arial" w:cs="Arial"/>
        </w:rPr>
        <w:t xml:space="preserve">). </w:t>
      </w:r>
      <w:r>
        <w:rPr>
          <w:rFonts w:ascii="Arial" w:hAnsi="Arial" w:cs="Arial"/>
          <w:highlight w:val="yellow"/>
        </w:rPr>
        <w:t>Çü</w:t>
      </w:r>
      <w:r>
        <w:rPr>
          <w:rFonts w:ascii="Arial" w:hAnsi="Arial" w:cs="Arial"/>
        </w:rPr>
        <w:t>r</w:t>
      </w:r>
      <w:r>
        <w:rPr>
          <w:rFonts w:ascii="Arial" w:hAnsi="Arial" w:cs="Arial"/>
          <w:highlight w:val="yellow"/>
        </w:rPr>
        <w:t>ü</w:t>
      </w:r>
      <w:r>
        <w:rPr>
          <w:rFonts w:ascii="Arial" w:hAnsi="Arial" w:cs="Arial"/>
        </w:rPr>
        <w:t xml:space="preserve">k </w:t>
      </w:r>
      <w:r>
        <w:rPr>
          <w:rFonts w:ascii="Arial" w:hAnsi="Arial" w:cs="Arial"/>
          <w:i/>
        </w:rPr>
        <w:t>et al.</w:t>
      </w:r>
      <w:r>
        <w:rPr>
          <w:rFonts w:ascii="Arial" w:hAnsi="Arial" w:cs="Arial"/>
        </w:rPr>
        <w:t xml:space="preserve"> (2009) investigated the effect of grafting </w:t>
      </w:r>
      <w:r>
        <w:rPr>
          <w:rFonts w:ascii="Arial" w:hAnsi="Arial" w:cs="Arial"/>
          <w:highlight w:val="yellow"/>
        </w:rPr>
        <w:t xml:space="preserve">on </w:t>
      </w:r>
      <w:r>
        <w:rPr>
          <w:rFonts w:ascii="Arial" w:hAnsi="Arial" w:cs="Arial"/>
        </w:rPr>
        <w:t xml:space="preserve">eggplant </w:t>
      </w:r>
      <w:r>
        <w:rPr>
          <w:rFonts w:ascii="Arial" w:hAnsi="Arial" w:cs="Arial"/>
          <w:highlight w:val="yellow"/>
        </w:rPr>
        <w:t>respo</w:t>
      </w:r>
      <w:r>
        <w:rPr>
          <w:rFonts w:ascii="Arial" w:hAnsi="Arial" w:cs="Arial"/>
        </w:rPr>
        <w:t>ns</w:t>
      </w:r>
      <w:r>
        <w:rPr>
          <w:rFonts w:ascii="Arial" w:hAnsi="Arial" w:cs="Arial"/>
          <w:highlight w:val="yellow"/>
        </w:rPr>
        <w:t xml:space="preserve">es </w:t>
      </w:r>
      <w:r>
        <w:rPr>
          <w:rFonts w:ascii="Arial" w:hAnsi="Arial" w:cs="Arial"/>
        </w:rPr>
        <w:t>t</w:t>
      </w:r>
      <w:r>
        <w:rPr>
          <w:rFonts w:ascii="Arial" w:hAnsi="Arial" w:cs="Arial"/>
          <w:highlight w:val="yellow"/>
        </w:rPr>
        <w:t>o</w:t>
      </w:r>
      <w:r>
        <w:rPr>
          <w:rFonts w:ascii="Arial" w:hAnsi="Arial" w:cs="Arial"/>
        </w:rPr>
        <w:t xml:space="preserve"> </w:t>
      </w:r>
      <w:r>
        <w:rPr>
          <w:rFonts w:ascii="Arial" w:hAnsi="Arial" w:cs="Arial"/>
          <w:i/>
        </w:rPr>
        <w:t>M. incognita</w:t>
      </w:r>
      <w:r>
        <w:rPr>
          <w:rFonts w:ascii="Arial" w:hAnsi="Arial" w:cs="Arial"/>
        </w:rPr>
        <w:t xml:space="preserve"> and observed that eggplant cultivar Faselis when grafted onto the resistant rootstock </w:t>
      </w:r>
      <w:r>
        <w:rPr>
          <w:rFonts w:ascii="Arial" w:hAnsi="Arial" w:cs="Arial"/>
          <w:i/>
        </w:rPr>
        <w:t>S. torvum</w:t>
      </w:r>
      <w:r>
        <w:rPr>
          <w:rFonts w:ascii="Arial" w:hAnsi="Arial" w:cs="Arial"/>
        </w:rPr>
        <w:t xml:space="preserve">, provided </w:t>
      </w:r>
      <w:r>
        <w:rPr>
          <w:rFonts w:ascii="Arial" w:hAnsi="Arial" w:cs="Arial"/>
          <w:highlight w:val="yellow"/>
        </w:rPr>
        <w:t>gr</w:t>
      </w:r>
      <w:r>
        <w:rPr>
          <w:rFonts w:ascii="Arial" w:hAnsi="Arial" w:cs="Arial"/>
        </w:rPr>
        <w:t>ea</w:t>
      </w:r>
      <w:r>
        <w:rPr>
          <w:rFonts w:ascii="Arial" w:hAnsi="Arial" w:cs="Arial"/>
          <w:highlight w:val="yellow"/>
        </w:rPr>
        <w:t>t</w:t>
      </w:r>
      <w:r>
        <w:rPr>
          <w:rFonts w:ascii="Arial" w:hAnsi="Arial" w:cs="Arial"/>
        </w:rPr>
        <w:t>e</w:t>
      </w:r>
      <w:r>
        <w:rPr>
          <w:rFonts w:ascii="Arial" w:hAnsi="Arial" w:cs="Arial"/>
          <w:highlight w:val="yellow"/>
        </w:rPr>
        <w:t>r</w:t>
      </w:r>
      <w:r>
        <w:rPr>
          <w:rFonts w:ascii="Arial" w:hAnsi="Arial" w:cs="Arial"/>
        </w:rPr>
        <w:t xml:space="preserve"> protection against </w:t>
      </w:r>
      <w:r>
        <w:rPr>
          <w:rFonts w:ascii="Arial" w:hAnsi="Arial" w:cs="Arial"/>
          <w:i/>
        </w:rPr>
        <w:t>M. incognita</w:t>
      </w:r>
      <w:r>
        <w:rPr>
          <w:rFonts w:ascii="Arial" w:hAnsi="Arial" w:cs="Arial"/>
        </w:rPr>
        <w:t xml:space="preserve"> infestations.</w:t>
      </w:r>
    </w:p>
    <w:p w14:paraId="02F3A1D9" w14:textId="77777777" w:rsidR="007A1019" w:rsidRPr="00B91AE6" w:rsidRDefault="00000000">
      <w:pPr>
        <w:spacing w:before="60" w:after="60"/>
        <w:rPr>
          <w:rFonts w:ascii="Arial" w:hAnsi="Arial" w:cs="Arial"/>
        </w:rPr>
      </w:pPr>
      <w:r w:rsidRPr="00B91AE6">
        <w:rPr>
          <w:rFonts w:ascii="Arial" w:eastAsia="Arial" w:hAnsi="Arial" w:cs="Arial"/>
          <w:b/>
        </w:rPr>
        <w:t>Table 5. Host infection and multiplication in grafted and non-grafted Solanum species</w:t>
      </w:r>
    </w:p>
    <w:tbl>
      <w:tblPr>
        <w:tblStyle w:val="TableGrid"/>
        <w:tblW w:w="0" w:type="auto"/>
        <w:jc w:val="center"/>
        <w:tblLayout w:type="fixed"/>
        <w:tblLook w:val="04A0" w:firstRow="1" w:lastRow="0" w:firstColumn="1" w:lastColumn="0" w:noHBand="0" w:noVBand="1"/>
      </w:tblPr>
      <w:tblGrid>
        <w:gridCol w:w="3384"/>
        <w:gridCol w:w="1123"/>
        <w:gridCol w:w="1123"/>
        <w:gridCol w:w="1411"/>
        <w:gridCol w:w="1166"/>
      </w:tblGrid>
      <w:tr w:rsidR="007A1019" w:rsidRPr="003B44E3" w14:paraId="498B0128" w14:textId="77777777" w:rsidTr="00B91AE6">
        <w:trPr>
          <w:tblHeader/>
          <w:jc w:val="center"/>
        </w:trPr>
        <w:tc>
          <w:tcPr>
            <w:tcW w:w="3384" w:type="dxa"/>
            <w:vAlign w:val="center"/>
          </w:tcPr>
          <w:p w14:paraId="5794BBE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1123" w:type="dxa"/>
            <w:vAlign w:val="center"/>
          </w:tcPr>
          <w:p w14:paraId="7FF95DF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No. of galls</w:t>
            </w:r>
          </w:p>
        </w:tc>
        <w:tc>
          <w:tcPr>
            <w:tcW w:w="1123" w:type="dxa"/>
            <w:vAlign w:val="center"/>
          </w:tcPr>
          <w:p w14:paraId="1C97B84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No. of egg masses</w:t>
            </w:r>
          </w:p>
        </w:tc>
        <w:tc>
          <w:tcPr>
            <w:tcW w:w="1411" w:type="dxa"/>
            <w:vAlign w:val="center"/>
          </w:tcPr>
          <w:p w14:paraId="0385884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Final nematode population (200 cc soil)</w:t>
            </w:r>
          </w:p>
        </w:tc>
        <w:tc>
          <w:tcPr>
            <w:tcW w:w="1166" w:type="dxa"/>
            <w:vAlign w:val="center"/>
          </w:tcPr>
          <w:p w14:paraId="34CA221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Rate of reproduction</w:t>
            </w:r>
          </w:p>
        </w:tc>
      </w:tr>
      <w:tr w:rsidR="007A1019" w:rsidRPr="003B44E3" w14:paraId="61136EEA" w14:textId="77777777" w:rsidTr="00B91AE6">
        <w:trPr>
          <w:jc w:val="center"/>
        </w:trPr>
        <w:tc>
          <w:tcPr>
            <w:tcW w:w="3384" w:type="dxa"/>
            <w:vAlign w:val="center"/>
          </w:tcPr>
          <w:p w14:paraId="74B840D5"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123" w:type="dxa"/>
            <w:vAlign w:val="center"/>
          </w:tcPr>
          <w:p w14:paraId="5B9C1B6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7.25</w:t>
            </w:r>
          </w:p>
        </w:tc>
        <w:tc>
          <w:tcPr>
            <w:tcW w:w="1123" w:type="dxa"/>
            <w:vAlign w:val="center"/>
          </w:tcPr>
          <w:p w14:paraId="0ED3E0D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3.25</w:t>
            </w:r>
          </w:p>
        </w:tc>
        <w:tc>
          <w:tcPr>
            <w:tcW w:w="1411" w:type="dxa"/>
            <w:vAlign w:val="center"/>
          </w:tcPr>
          <w:p w14:paraId="71644D5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128.25</w:t>
            </w:r>
          </w:p>
        </w:tc>
        <w:tc>
          <w:tcPr>
            <w:tcW w:w="1166" w:type="dxa"/>
            <w:vAlign w:val="center"/>
          </w:tcPr>
          <w:p w14:paraId="2FF83B9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0.52</w:t>
            </w:r>
          </w:p>
        </w:tc>
      </w:tr>
      <w:tr w:rsidR="007A1019" w:rsidRPr="003B44E3" w14:paraId="1C250D41" w14:textId="77777777" w:rsidTr="00B91AE6">
        <w:trPr>
          <w:jc w:val="center"/>
        </w:trPr>
        <w:tc>
          <w:tcPr>
            <w:tcW w:w="3384" w:type="dxa"/>
            <w:vAlign w:val="center"/>
          </w:tcPr>
          <w:p w14:paraId="4192FD65"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123" w:type="dxa"/>
            <w:vAlign w:val="center"/>
          </w:tcPr>
          <w:p w14:paraId="3F0FE53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8.00</w:t>
            </w:r>
          </w:p>
        </w:tc>
        <w:tc>
          <w:tcPr>
            <w:tcW w:w="1123" w:type="dxa"/>
            <w:vAlign w:val="center"/>
          </w:tcPr>
          <w:p w14:paraId="5FD9E49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6.25</w:t>
            </w:r>
          </w:p>
        </w:tc>
        <w:tc>
          <w:tcPr>
            <w:tcW w:w="1411" w:type="dxa"/>
            <w:vAlign w:val="center"/>
          </w:tcPr>
          <w:p w14:paraId="4523851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163.75</w:t>
            </w:r>
          </w:p>
        </w:tc>
        <w:tc>
          <w:tcPr>
            <w:tcW w:w="1166" w:type="dxa"/>
            <w:vAlign w:val="center"/>
          </w:tcPr>
          <w:p w14:paraId="7EB5B67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0.67</w:t>
            </w:r>
          </w:p>
        </w:tc>
      </w:tr>
      <w:tr w:rsidR="007A1019" w:rsidRPr="003B44E3" w14:paraId="6BA7D063" w14:textId="77777777" w:rsidTr="00B91AE6">
        <w:trPr>
          <w:jc w:val="center"/>
        </w:trPr>
        <w:tc>
          <w:tcPr>
            <w:tcW w:w="3384" w:type="dxa"/>
            <w:vAlign w:val="center"/>
          </w:tcPr>
          <w:p w14:paraId="547A485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123" w:type="dxa"/>
            <w:vAlign w:val="center"/>
          </w:tcPr>
          <w:p w14:paraId="7236D1C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7.00</w:t>
            </w:r>
          </w:p>
        </w:tc>
        <w:tc>
          <w:tcPr>
            <w:tcW w:w="1123" w:type="dxa"/>
            <w:vAlign w:val="center"/>
          </w:tcPr>
          <w:p w14:paraId="3C1AAFC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2.75</w:t>
            </w:r>
          </w:p>
        </w:tc>
        <w:tc>
          <w:tcPr>
            <w:tcW w:w="1411" w:type="dxa"/>
            <w:vAlign w:val="center"/>
          </w:tcPr>
          <w:p w14:paraId="66D5980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120.00</w:t>
            </w:r>
          </w:p>
        </w:tc>
        <w:tc>
          <w:tcPr>
            <w:tcW w:w="1166" w:type="dxa"/>
            <w:vAlign w:val="center"/>
          </w:tcPr>
          <w:p w14:paraId="2B36AD6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0.49</w:t>
            </w:r>
          </w:p>
        </w:tc>
      </w:tr>
      <w:tr w:rsidR="007A1019" w:rsidRPr="003B44E3" w14:paraId="44E71663" w14:textId="77777777" w:rsidTr="00B91AE6">
        <w:trPr>
          <w:jc w:val="center"/>
        </w:trPr>
        <w:tc>
          <w:tcPr>
            <w:tcW w:w="3384" w:type="dxa"/>
            <w:vAlign w:val="center"/>
          </w:tcPr>
          <w:p w14:paraId="1FF26319"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1123" w:type="dxa"/>
            <w:vAlign w:val="center"/>
          </w:tcPr>
          <w:p w14:paraId="30D076B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8.25</w:t>
            </w:r>
          </w:p>
        </w:tc>
        <w:tc>
          <w:tcPr>
            <w:tcW w:w="1123" w:type="dxa"/>
            <w:vAlign w:val="center"/>
          </w:tcPr>
          <w:p w14:paraId="48684DD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7.25</w:t>
            </w:r>
          </w:p>
        </w:tc>
        <w:tc>
          <w:tcPr>
            <w:tcW w:w="1411" w:type="dxa"/>
            <w:vAlign w:val="center"/>
          </w:tcPr>
          <w:p w14:paraId="647FCDE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158.75</w:t>
            </w:r>
          </w:p>
        </w:tc>
        <w:tc>
          <w:tcPr>
            <w:tcW w:w="1166" w:type="dxa"/>
            <w:vAlign w:val="center"/>
          </w:tcPr>
          <w:p w14:paraId="160B271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0.65</w:t>
            </w:r>
          </w:p>
        </w:tc>
      </w:tr>
      <w:tr w:rsidR="007A1019" w:rsidRPr="003B44E3" w14:paraId="12D2D4C7" w14:textId="77777777" w:rsidTr="00B91AE6">
        <w:trPr>
          <w:jc w:val="center"/>
        </w:trPr>
        <w:tc>
          <w:tcPr>
            <w:tcW w:w="3384" w:type="dxa"/>
            <w:vAlign w:val="center"/>
          </w:tcPr>
          <w:p w14:paraId="7052B1E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123" w:type="dxa"/>
            <w:vAlign w:val="center"/>
          </w:tcPr>
          <w:p w14:paraId="2F80A26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89.75</w:t>
            </w:r>
          </w:p>
        </w:tc>
        <w:tc>
          <w:tcPr>
            <w:tcW w:w="1123" w:type="dxa"/>
            <w:vAlign w:val="center"/>
          </w:tcPr>
          <w:p w14:paraId="74E2D9A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42.00</w:t>
            </w:r>
          </w:p>
        </w:tc>
        <w:tc>
          <w:tcPr>
            <w:tcW w:w="1411" w:type="dxa"/>
            <w:vAlign w:val="center"/>
          </w:tcPr>
          <w:p w14:paraId="3DC5ABA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690.25</w:t>
            </w:r>
          </w:p>
        </w:tc>
        <w:tc>
          <w:tcPr>
            <w:tcW w:w="1166" w:type="dxa"/>
            <w:vAlign w:val="center"/>
          </w:tcPr>
          <w:p w14:paraId="6356C51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2.82</w:t>
            </w:r>
          </w:p>
        </w:tc>
      </w:tr>
      <w:tr w:rsidR="007A1019" w:rsidRPr="003B44E3" w14:paraId="3829610D" w14:textId="77777777" w:rsidTr="00B91AE6">
        <w:trPr>
          <w:jc w:val="center"/>
        </w:trPr>
        <w:tc>
          <w:tcPr>
            <w:tcW w:w="3384" w:type="dxa"/>
            <w:vAlign w:val="center"/>
          </w:tcPr>
          <w:p w14:paraId="3D39813A"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123" w:type="dxa"/>
            <w:vAlign w:val="center"/>
          </w:tcPr>
          <w:p w14:paraId="621F6AF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87.00</w:t>
            </w:r>
          </w:p>
        </w:tc>
        <w:tc>
          <w:tcPr>
            <w:tcW w:w="1123" w:type="dxa"/>
            <w:vAlign w:val="center"/>
          </w:tcPr>
          <w:p w14:paraId="6A58020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44.00</w:t>
            </w:r>
          </w:p>
        </w:tc>
        <w:tc>
          <w:tcPr>
            <w:tcW w:w="1411" w:type="dxa"/>
            <w:vAlign w:val="center"/>
          </w:tcPr>
          <w:p w14:paraId="4D521D5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650.75</w:t>
            </w:r>
          </w:p>
        </w:tc>
        <w:tc>
          <w:tcPr>
            <w:tcW w:w="1166" w:type="dxa"/>
            <w:vAlign w:val="center"/>
          </w:tcPr>
          <w:p w14:paraId="623C237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2.66</w:t>
            </w:r>
          </w:p>
        </w:tc>
      </w:tr>
      <w:tr w:rsidR="007A1019" w:rsidRPr="003B44E3" w14:paraId="73B855A7" w14:textId="77777777" w:rsidTr="00B91AE6">
        <w:trPr>
          <w:jc w:val="center"/>
        </w:trPr>
        <w:tc>
          <w:tcPr>
            <w:tcW w:w="3384" w:type="dxa"/>
            <w:vAlign w:val="center"/>
          </w:tcPr>
          <w:p w14:paraId="267CFAE1"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123" w:type="dxa"/>
            <w:vAlign w:val="center"/>
          </w:tcPr>
          <w:p w14:paraId="23B1445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0.22</w:t>
            </w:r>
          </w:p>
        </w:tc>
        <w:tc>
          <w:tcPr>
            <w:tcW w:w="1123" w:type="dxa"/>
            <w:vAlign w:val="center"/>
          </w:tcPr>
          <w:p w14:paraId="62974C5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0.14</w:t>
            </w:r>
          </w:p>
        </w:tc>
        <w:tc>
          <w:tcPr>
            <w:tcW w:w="1411" w:type="dxa"/>
            <w:vAlign w:val="center"/>
          </w:tcPr>
          <w:p w14:paraId="615983A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0.48</w:t>
            </w:r>
          </w:p>
        </w:tc>
        <w:tc>
          <w:tcPr>
            <w:tcW w:w="1166" w:type="dxa"/>
            <w:vAlign w:val="center"/>
          </w:tcPr>
          <w:p w14:paraId="421D28F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w:t>
            </w:r>
          </w:p>
        </w:tc>
      </w:tr>
      <w:tr w:rsidR="007A1019" w:rsidRPr="003B44E3" w14:paraId="267EE0AC" w14:textId="77777777" w:rsidTr="00B91AE6">
        <w:trPr>
          <w:jc w:val="center"/>
        </w:trPr>
        <w:tc>
          <w:tcPr>
            <w:tcW w:w="3384" w:type="dxa"/>
            <w:vAlign w:val="center"/>
          </w:tcPr>
          <w:p w14:paraId="01BAD90A"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1123" w:type="dxa"/>
            <w:vAlign w:val="center"/>
          </w:tcPr>
          <w:p w14:paraId="7825015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0.47</w:t>
            </w:r>
          </w:p>
        </w:tc>
        <w:tc>
          <w:tcPr>
            <w:tcW w:w="1123" w:type="dxa"/>
            <w:vAlign w:val="center"/>
          </w:tcPr>
          <w:p w14:paraId="3EB2377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0.29</w:t>
            </w:r>
          </w:p>
        </w:tc>
        <w:tc>
          <w:tcPr>
            <w:tcW w:w="1411" w:type="dxa"/>
            <w:vAlign w:val="center"/>
          </w:tcPr>
          <w:p w14:paraId="560773C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1.03</w:t>
            </w:r>
          </w:p>
        </w:tc>
        <w:tc>
          <w:tcPr>
            <w:tcW w:w="1166" w:type="dxa"/>
            <w:vAlign w:val="center"/>
          </w:tcPr>
          <w:p w14:paraId="76F16A1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w:t>
            </w:r>
          </w:p>
        </w:tc>
      </w:tr>
    </w:tbl>
    <w:p w14:paraId="6C7DFFDF" w14:textId="77777777" w:rsidR="007A1019" w:rsidRPr="00B91AE6" w:rsidRDefault="00000000">
      <w:pPr>
        <w:spacing w:after="120" w:line="360" w:lineRule="auto"/>
        <w:ind w:firstLine="317"/>
        <w:jc w:val="both"/>
        <w:rPr>
          <w:rFonts w:ascii="Arial" w:hAnsi="Arial" w:cs="Arial"/>
        </w:rPr>
      </w:pPr>
      <w:r>
        <w:rPr>
          <w:rFonts w:ascii="Arial" w:hAnsi="Arial" w:cs="Arial"/>
        </w:rPr>
        <w:t xml:space="preserve">In the present investigation, the </w:t>
      </w:r>
      <w:r>
        <w:rPr>
          <w:rFonts w:ascii="Arial" w:hAnsi="Arial" w:cs="Arial"/>
          <w:highlight w:val="yellow"/>
        </w:rPr>
        <w:t xml:space="preserve">soil </w:t>
      </w:r>
      <w:r>
        <w:rPr>
          <w:rFonts w:ascii="Arial" w:hAnsi="Arial" w:cs="Arial"/>
        </w:rPr>
        <w:t xml:space="preserve">nematode population and reproduction rate were significantly </w:t>
      </w:r>
      <w:r>
        <w:rPr>
          <w:rFonts w:ascii="Arial" w:hAnsi="Arial" w:cs="Arial"/>
          <w:highlight w:val="yellow"/>
        </w:rPr>
        <w:t>lower in gr</w:t>
      </w:r>
      <w:r>
        <w:rPr>
          <w:rFonts w:ascii="Arial" w:hAnsi="Arial" w:cs="Arial"/>
        </w:rPr>
        <w:t>a</w:t>
      </w:r>
      <w:r>
        <w:rPr>
          <w:rFonts w:ascii="Arial" w:hAnsi="Arial" w:cs="Arial"/>
          <w:highlight w:val="yellow"/>
        </w:rPr>
        <w:t>ft</w:t>
      </w:r>
      <w:r>
        <w:rPr>
          <w:rFonts w:ascii="Arial" w:hAnsi="Arial" w:cs="Arial"/>
        </w:rPr>
        <w:t>ed th</w:t>
      </w:r>
      <w:r>
        <w:rPr>
          <w:rFonts w:ascii="Arial" w:hAnsi="Arial" w:cs="Arial"/>
          <w:highlight w:val="yellow"/>
        </w:rPr>
        <w:t>an</w:t>
      </w:r>
      <w:r>
        <w:rPr>
          <w:rFonts w:ascii="Arial" w:hAnsi="Arial" w:cs="Arial"/>
        </w:rPr>
        <w:t xml:space="preserve"> in non-grafted plants. Treatment T</w:t>
      </w:r>
      <w:r>
        <w:rPr>
          <w:rFonts w:ascii="Arial" w:hAnsi="Arial" w:cs="Arial"/>
          <w:vertAlign w:val="subscript"/>
        </w:rPr>
        <w:t>5</w:t>
      </w:r>
      <w:r>
        <w:rPr>
          <w:rFonts w:ascii="Arial" w:hAnsi="Arial" w:cs="Arial"/>
        </w:rPr>
        <w:t xml:space="preserve"> (Dona-55) showed the highest final nematode population (690.25) and reproduction rate (2.82). </w:t>
      </w:r>
      <w:r>
        <w:rPr>
          <w:rFonts w:ascii="Arial" w:hAnsi="Arial" w:cs="Arial"/>
          <w:highlight w:val="yellow"/>
        </w:rPr>
        <w:t>In cont</w:t>
      </w:r>
      <w:r>
        <w:rPr>
          <w:rFonts w:ascii="Arial" w:hAnsi="Arial" w:cs="Arial"/>
        </w:rPr>
        <w:t>ras</w:t>
      </w:r>
      <w:r>
        <w:rPr>
          <w:rFonts w:ascii="Arial" w:hAnsi="Arial" w:cs="Arial"/>
          <w:highlight w:val="yellow"/>
        </w:rPr>
        <w:t>t</w:t>
      </w:r>
      <w:r>
        <w:rPr>
          <w:rFonts w:ascii="Arial" w:hAnsi="Arial" w:cs="Arial"/>
        </w:rPr>
        <w:t>, T</w:t>
      </w:r>
      <w:r>
        <w:rPr>
          <w:rFonts w:ascii="Arial" w:hAnsi="Arial" w:cs="Arial"/>
          <w:vertAlign w:val="subscript"/>
        </w:rPr>
        <w:t>3</w:t>
      </w:r>
      <w:r>
        <w:rPr>
          <w:rFonts w:ascii="Arial" w:hAnsi="Arial" w:cs="Arial"/>
        </w:rPr>
        <w:t xml:space="preserve"> (Arka Samrat grafted onto </w:t>
      </w:r>
      <w:r>
        <w:rPr>
          <w:rFonts w:ascii="Arial" w:hAnsi="Arial" w:cs="Arial"/>
          <w:i/>
        </w:rPr>
        <w:t>S. torvum</w:t>
      </w:r>
      <w:r>
        <w:rPr>
          <w:rFonts w:ascii="Arial" w:hAnsi="Arial" w:cs="Arial"/>
        </w:rPr>
        <w:t xml:space="preserve">) showed the lowest final nematode population in soil (120.00) and rate of reproduction (0.49). Owusu </w:t>
      </w:r>
      <w:r>
        <w:rPr>
          <w:rFonts w:ascii="Arial" w:hAnsi="Arial" w:cs="Arial"/>
          <w:i/>
        </w:rPr>
        <w:t>et al.</w:t>
      </w:r>
      <w:r>
        <w:rPr>
          <w:rFonts w:ascii="Arial" w:hAnsi="Arial" w:cs="Arial"/>
        </w:rPr>
        <w:t xml:space="preserve"> (2016) also reported a decrease in nematode reproduction in resistant rootstocks as compared to susceptible cultivars. Similarly, Okorley </w:t>
      </w:r>
      <w:r>
        <w:rPr>
          <w:rFonts w:ascii="Arial" w:hAnsi="Arial" w:cs="Arial"/>
          <w:i/>
        </w:rPr>
        <w:t>et al.</w:t>
      </w:r>
      <w:r>
        <w:rPr>
          <w:rFonts w:ascii="Arial" w:hAnsi="Arial" w:cs="Arial"/>
        </w:rPr>
        <w:t xml:space="preserve"> (2018) observed reproduction factors of </w:t>
      </w:r>
      <w:r>
        <w:rPr>
          <w:rFonts w:ascii="Arial" w:hAnsi="Arial" w:cs="Arial"/>
          <w:i/>
        </w:rPr>
        <w:t xml:space="preserve">M. incognita </w:t>
      </w:r>
      <w:r>
        <w:rPr>
          <w:rFonts w:ascii="Arial" w:hAnsi="Arial" w:cs="Arial"/>
        </w:rPr>
        <w:t xml:space="preserve">from 0.07 to </w:t>
      </w:r>
      <w:r>
        <w:rPr>
          <w:rFonts w:ascii="Arial" w:hAnsi="Arial" w:cs="Arial"/>
        </w:rPr>
        <w:lastRenderedPageBreak/>
        <w:t xml:space="preserve">0.64 in resistant and tolerant </w:t>
      </w:r>
      <w:r>
        <w:rPr>
          <w:rFonts w:ascii="Arial" w:hAnsi="Arial" w:cs="Arial"/>
          <w:i/>
        </w:rPr>
        <w:t>Solanum</w:t>
      </w:r>
      <w:r>
        <w:rPr>
          <w:rFonts w:ascii="Arial" w:hAnsi="Arial" w:cs="Arial"/>
        </w:rPr>
        <w:t xml:space="preserve"> rootstocks, namely</w:t>
      </w:r>
      <w:r>
        <w:rPr>
          <w:rFonts w:ascii="Arial" w:hAnsi="Arial" w:cs="Arial"/>
          <w:i/>
        </w:rPr>
        <w:t xml:space="preserve"> S. macrocarpon, S. aethiopicum, S. lycopersicum</w:t>
      </w:r>
      <w:r>
        <w:rPr>
          <w:rFonts w:ascii="Arial" w:hAnsi="Arial" w:cs="Arial"/>
        </w:rPr>
        <w:t xml:space="preserve"> "Mongal F1" and </w:t>
      </w:r>
      <w:r>
        <w:rPr>
          <w:rFonts w:ascii="Arial" w:hAnsi="Arial" w:cs="Arial"/>
          <w:i/>
        </w:rPr>
        <w:t>S. lycopersicum</w:t>
      </w:r>
      <w:r>
        <w:rPr>
          <w:rFonts w:ascii="Arial" w:hAnsi="Arial" w:cs="Arial"/>
        </w:rPr>
        <w:t xml:space="preserve"> "Samrudhi F1". Likewise, </w:t>
      </w:r>
      <w:r>
        <w:rPr>
          <w:rFonts w:ascii="Arial" w:hAnsi="Arial" w:cs="Arial"/>
          <w:highlight w:val="yellow"/>
        </w:rPr>
        <w:t>Öç</w:t>
      </w:r>
      <w:r>
        <w:rPr>
          <w:rFonts w:ascii="Arial" w:hAnsi="Arial" w:cs="Arial"/>
        </w:rPr>
        <w:t xml:space="preserve">al and Devran (2019) reported a reproduction factor of 0.03 for </w:t>
      </w:r>
      <w:r>
        <w:rPr>
          <w:rFonts w:ascii="Arial" w:hAnsi="Arial" w:cs="Arial"/>
          <w:i/>
        </w:rPr>
        <w:t>M. incognita</w:t>
      </w:r>
      <w:r>
        <w:rPr>
          <w:rFonts w:ascii="Arial" w:hAnsi="Arial" w:cs="Arial"/>
        </w:rPr>
        <w:t xml:space="preserve"> in </w:t>
      </w:r>
      <w:r>
        <w:rPr>
          <w:rFonts w:ascii="Arial" w:hAnsi="Arial" w:cs="Arial"/>
          <w:i/>
        </w:rPr>
        <w:t>S. torvum</w:t>
      </w:r>
      <w:r>
        <w:rPr>
          <w:rFonts w:ascii="Arial" w:hAnsi="Arial" w:cs="Arial"/>
        </w:rPr>
        <w:t xml:space="preserve"> </w:t>
      </w:r>
      <w:r>
        <w:rPr>
          <w:rFonts w:ascii="Arial" w:hAnsi="Arial" w:cs="Arial"/>
          <w:i/>
        </w:rPr>
        <w:t>cv</w:t>
      </w:r>
      <w:r>
        <w:rPr>
          <w:rFonts w:ascii="Arial" w:hAnsi="Arial" w:cs="Arial"/>
        </w:rPr>
        <w:t xml:space="preserve">. Hawk. Sigüenza </w:t>
      </w:r>
      <w:r>
        <w:rPr>
          <w:rFonts w:ascii="Arial" w:hAnsi="Arial" w:cs="Arial"/>
          <w:i/>
        </w:rPr>
        <w:t>et al</w:t>
      </w:r>
      <w:r>
        <w:rPr>
          <w:rFonts w:ascii="Arial" w:hAnsi="Arial" w:cs="Arial"/>
        </w:rPr>
        <w:t xml:space="preserve">. (2005) found that grafting altered the plant's reaction from susceptible to tolerant but not to resistant. Peng and Moens (2003) and Mahmoud </w:t>
      </w:r>
      <w:r>
        <w:rPr>
          <w:rFonts w:ascii="Arial" w:hAnsi="Arial" w:cs="Arial"/>
          <w:i/>
        </w:rPr>
        <w:t>et al</w:t>
      </w:r>
      <w:r>
        <w:rPr>
          <w:rFonts w:ascii="Arial" w:hAnsi="Arial" w:cs="Arial"/>
        </w:rPr>
        <w:t xml:space="preserve">. (2026) </w:t>
      </w:r>
      <w:r>
        <w:rPr>
          <w:rFonts w:ascii="Arial" w:hAnsi="Arial" w:cs="Arial"/>
          <w:highlight w:val="yellow"/>
        </w:rPr>
        <w:t>repor</w:t>
      </w:r>
      <w:r>
        <w:rPr>
          <w:rFonts w:ascii="Arial" w:hAnsi="Arial" w:cs="Arial"/>
        </w:rPr>
        <w:t>ted that host resistance to nematodes is characteri</w:t>
      </w:r>
      <w:r>
        <w:rPr>
          <w:rFonts w:ascii="Arial" w:hAnsi="Arial" w:cs="Arial"/>
          <w:highlight w:val="yellow"/>
        </w:rPr>
        <w:t>s</w:t>
      </w:r>
      <w:r>
        <w:rPr>
          <w:rFonts w:ascii="Arial" w:hAnsi="Arial" w:cs="Arial"/>
        </w:rPr>
        <w:t xml:space="preserve">ed by </w:t>
      </w:r>
      <w:r>
        <w:rPr>
          <w:rFonts w:ascii="Arial" w:hAnsi="Arial" w:cs="Arial"/>
          <w:highlight w:val="yellow"/>
        </w:rPr>
        <w:t>low</w:t>
      </w:r>
      <w:r>
        <w:rPr>
          <w:rFonts w:ascii="Arial" w:hAnsi="Arial" w:cs="Arial"/>
        </w:rPr>
        <w:t xml:space="preserve">er nematode reproduction in soil and </w:t>
      </w:r>
      <w:r>
        <w:rPr>
          <w:rFonts w:ascii="Arial" w:hAnsi="Arial" w:cs="Arial"/>
          <w:highlight w:val="yellow"/>
        </w:rPr>
        <w:t xml:space="preserve">fewer </w:t>
      </w:r>
      <w:r>
        <w:rPr>
          <w:rFonts w:ascii="Arial" w:hAnsi="Arial" w:cs="Arial"/>
        </w:rPr>
        <w:t xml:space="preserve">egg masses </w:t>
      </w:r>
      <w:r>
        <w:rPr>
          <w:rFonts w:ascii="Arial" w:hAnsi="Arial" w:cs="Arial"/>
          <w:highlight w:val="yellow"/>
        </w:rPr>
        <w:t>o</w:t>
      </w:r>
      <w:r>
        <w:rPr>
          <w:rFonts w:ascii="Arial" w:hAnsi="Arial" w:cs="Arial"/>
        </w:rPr>
        <w:t>n roots</w:t>
      </w:r>
      <w:r>
        <w:rPr>
          <w:rFonts w:ascii="Arial" w:hAnsi="Arial" w:cs="Arial"/>
          <w:highlight w:val="yellow"/>
        </w:rPr>
        <w:t>,</w:t>
      </w:r>
      <w:r>
        <w:rPr>
          <w:rFonts w:ascii="Arial" w:hAnsi="Arial" w:cs="Arial"/>
        </w:rPr>
        <w:t xml:space="preserve"> </w:t>
      </w:r>
      <w:r>
        <w:rPr>
          <w:rFonts w:ascii="Arial" w:hAnsi="Arial" w:cs="Arial"/>
          <w:highlight w:val="yellow"/>
        </w:rPr>
        <w:t>resu</w:t>
      </w:r>
      <w:r>
        <w:rPr>
          <w:rFonts w:ascii="Arial" w:hAnsi="Arial" w:cs="Arial"/>
        </w:rPr>
        <w:t>l</w:t>
      </w:r>
      <w:r>
        <w:rPr>
          <w:rFonts w:ascii="Arial" w:hAnsi="Arial" w:cs="Arial"/>
          <w:highlight w:val="yellow"/>
        </w:rPr>
        <w:t>t</w:t>
      </w:r>
      <w:r>
        <w:rPr>
          <w:rFonts w:ascii="Arial" w:hAnsi="Arial" w:cs="Arial"/>
        </w:rPr>
        <w:t xml:space="preserve">ing </w:t>
      </w:r>
      <w:r>
        <w:rPr>
          <w:rFonts w:ascii="Arial" w:hAnsi="Arial" w:cs="Arial"/>
          <w:highlight w:val="yellow"/>
        </w:rPr>
        <w:t>in</w:t>
      </w:r>
      <w:r>
        <w:rPr>
          <w:rFonts w:ascii="Arial" w:hAnsi="Arial" w:cs="Arial"/>
        </w:rPr>
        <w:t xml:space="preserve"> lower nematode population densities </w:t>
      </w:r>
      <w:r>
        <w:rPr>
          <w:rFonts w:ascii="Arial" w:hAnsi="Arial" w:cs="Arial"/>
          <w:highlight w:val="yellow"/>
        </w:rPr>
        <w:t>th</w:t>
      </w:r>
      <w:r>
        <w:rPr>
          <w:rFonts w:ascii="Arial" w:hAnsi="Arial" w:cs="Arial"/>
        </w:rPr>
        <w:t>a</w:t>
      </w:r>
      <w:r>
        <w:rPr>
          <w:rFonts w:ascii="Arial" w:hAnsi="Arial" w:cs="Arial"/>
          <w:highlight w:val="yellow"/>
        </w:rPr>
        <w:t>n</w:t>
      </w:r>
      <w:r>
        <w:rPr>
          <w:rFonts w:ascii="Arial" w:hAnsi="Arial" w:cs="Arial"/>
        </w:rPr>
        <w:t xml:space="preserve"> </w:t>
      </w:r>
      <w:r>
        <w:rPr>
          <w:rFonts w:ascii="Arial" w:hAnsi="Arial" w:cs="Arial"/>
          <w:highlight w:val="yellow"/>
        </w:rPr>
        <w:t>in</w:t>
      </w:r>
      <w:r>
        <w:rPr>
          <w:rFonts w:ascii="Arial" w:hAnsi="Arial" w:cs="Arial"/>
        </w:rPr>
        <w:t xml:space="preserve"> susceptible plants, co</w:t>
      </w:r>
      <w:r>
        <w:rPr>
          <w:rFonts w:ascii="Arial" w:hAnsi="Arial" w:cs="Arial"/>
          <w:highlight w:val="yellow"/>
        </w:rPr>
        <w:t>nsis</w:t>
      </w:r>
      <w:r>
        <w:rPr>
          <w:rFonts w:ascii="Arial" w:hAnsi="Arial" w:cs="Arial"/>
        </w:rPr>
        <w:t>t</w:t>
      </w:r>
      <w:r>
        <w:rPr>
          <w:rFonts w:ascii="Arial" w:hAnsi="Arial" w:cs="Arial"/>
          <w:highlight w:val="yellow"/>
        </w:rPr>
        <w:t>ent w</w:t>
      </w:r>
      <w:r>
        <w:rPr>
          <w:rFonts w:ascii="Arial" w:hAnsi="Arial" w:cs="Arial"/>
        </w:rPr>
        <w:t>i</w:t>
      </w:r>
      <w:r>
        <w:rPr>
          <w:rFonts w:ascii="Arial" w:hAnsi="Arial" w:cs="Arial"/>
          <w:highlight w:val="yellow"/>
        </w:rPr>
        <w:t>th</w:t>
      </w:r>
      <w:r>
        <w:rPr>
          <w:rFonts w:ascii="Arial" w:hAnsi="Arial" w:cs="Arial"/>
        </w:rPr>
        <w:t xml:space="preserve"> the results of the present investigation.</w:t>
      </w:r>
    </w:p>
    <w:p w14:paraId="38CE029A" w14:textId="77777777" w:rsidR="007A1019" w:rsidRPr="00B91AE6" w:rsidRDefault="00000000">
      <w:pPr>
        <w:pStyle w:val="Head1"/>
        <w:spacing w:before="160" w:after="100"/>
        <w:rPr>
          <w:rFonts w:ascii="Arial" w:hAnsi="Arial" w:cs="Arial"/>
        </w:rPr>
      </w:pPr>
      <w:r w:rsidRPr="00B91AE6">
        <w:rPr>
          <w:rFonts w:ascii="Arial" w:eastAsia="Arial" w:hAnsi="Arial" w:cs="Arial"/>
        </w:rPr>
        <w:t>4. CONCLUSION</w:t>
      </w:r>
    </w:p>
    <w:p w14:paraId="524699B2" w14:textId="788CD712" w:rsidR="007A1019" w:rsidRDefault="00000000">
      <w:pPr>
        <w:spacing w:after="120" w:line="360" w:lineRule="auto"/>
        <w:ind w:firstLine="317"/>
        <w:jc w:val="both"/>
        <w:rPr>
          <w:rFonts w:ascii="Arial" w:hAnsi="Arial" w:cs="Arial"/>
        </w:rPr>
      </w:pPr>
      <w:r>
        <w:rPr>
          <w:rFonts w:ascii="Arial" w:hAnsi="Arial" w:cs="Arial"/>
        </w:rPr>
        <w:t xml:space="preserve">The susceptible cultivated tomato cultivars Arka Samrat and Dona-55 were grafted onto the resistant rootstocks </w:t>
      </w:r>
      <w:r>
        <w:rPr>
          <w:rFonts w:ascii="Arial" w:hAnsi="Arial" w:cs="Arial"/>
          <w:i/>
        </w:rPr>
        <w:t>S. torvum</w:t>
      </w:r>
      <w:r>
        <w:rPr>
          <w:rFonts w:ascii="Arial" w:hAnsi="Arial" w:cs="Arial"/>
        </w:rPr>
        <w:t xml:space="preserve"> and </w:t>
      </w:r>
      <w:r>
        <w:rPr>
          <w:rFonts w:ascii="Arial" w:hAnsi="Arial" w:cs="Arial"/>
          <w:i/>
        </w:rPr>
        <w:t>S. lycopersicum</w:t>
      </w:r>
      <w:r>
        <w:rPr>
          <w:rFonts w:ascii="Arial" w:hAnsi="Arial" w:cs="Arial"/>
        </w:rPr>
        <w:t xml:space="preserve"> </w:t>
      </w:r>
      <w:r>
        <w:rPr>
          <w:rFonts w:ascii="Arial" w:hAnsi="Arial" w:cs="Arial"/>
          <w:i/>
        </w:rPr>
        <w:t>cv.</w:t>
      </w:r>
      <w:r>
        <w:rPr>
          <w:rFonts w:ascii="Arial" w:hAnsi="Arial" w:cs="Arial"/>
        </w:rPr>
        <w:t xml:space="preserve"> Hisar Lalit in different combinations. The </w:t>
      </w:r>
      <w:r>
        <w:rPr>
          <w:rFonts w:ascii="Arial" w:hAnsi="Arial" w:cs="Arial"/>
          <w:highlight w:val="yellow"/>
        </w:rPr>
        <w:t>graft-</w:t>
      </w:r>
      <w:r>
        <w:rPr>
          <w:rFonts w:ascii="Arial" w:hAnsi="Arial" w:cs="Arial"/>
        </w:rPr>
        <w:t xml:space="preserve">success rate was highest for </w:t>
      </w:r>
      <w:r>
        <w:rPr>
          <w:rFonts w:ascii="Arial" w:hAnsi="Arial" w:cs="Arial"/>
          <w:i/>
        </w:rPr>
        <w:t>S. lycopersicum</w:t>
      </w:r>
      <w:r>
        <w:rPr>
          <w:rFonts w:ascii="Arial" w:hAnsi="Arial" w:cs="Arial"/>
        </w:rPr>
        <w:t xml:space="preserve"> </w:t>
      </w:r>
      <w:r>
        <w:rPr>
          <w:rFonts w:ascii="Arial" w:hAnsi="Arial" w:cs="Arial"/>
          <w:i/>
        </w:rPr>
        <w:t>cv</w:t>
      </w:r>
      <w:r>
        <w:rPr>
          <w:rFonts w:ascii="Arial" w:hAnsi="Arial" w:cs="Arial"/>
        </w:rPr>
        <w:t xml:space="preserve">. Arka Samrat grafted onto </w:t>
      </w:r>
      <w:r>
        <w:rPr>
          <w:rFonts w:ascii="Arial" w:hAnsi="Arial" w:cs="Arial"/>
          <w:i/>
        </w:rPr>
        <w:t>S. torvum</w:t>
      </w:r>
      <w:r>
        <w:rPr>
          <w:rFonts w:ascii="Arial" w:hAnsi="Arial" w:cs="Arial"/>
        </w:rPr>
        <w:t xml:space="preserve">, followed by </w:t>
      </w:r>
      <w:r>
        <w:rPr>
          <w:rFonts w:ascii="Arial" w:hAnsi="Arial" w:cs="Arial"/>
          <w:i/>
        </w:rPr>
        <w:t>S. lycopersicum</w:t>
      </w:r>
      <w:r>
        <w:rPr>
          <w:rFonts w:ascii="Arial" w:hAnsi="Arial" w:cs="Arial"/>
        </w:rPr>
        <w:t xml:space="preserve"> </w:t>
      </w:r>
      <w:r>
        <w:rPr>
          <w:rFonts w:ascii="Arial" w:hAnsi="Arial" w:cs="Arial"/>
          <w:i/>
        </w:rPr>
        <w:t>cv</w:t>
      </w:r>
      <w:r>
        <w:rPr>
          <w:rFonts w:ascii="Arial" w:hAnsi="Arial" w:cs="Arial"/>
        </w:rPr>
        <w:t xml:space="preserve">. Dona-55 grafted onto </w:t>
      </w:r>
      <w:r>
        <w:rPr>
          <w:rFonts w:ascii="Arial" w:hAnsi="Arial" w:cs="Arial"/>
          <w:i/>
        </w:rPr>
        <w:t>S. torvum</w:t>
      </w:r>
      <w:r>
        <w:rPr>
          <w:rFonts w:ascii="Arial" w:hAnsi="Arial" w:cs="Arial"/>
        </w:rPr>
        <w:t xml:space="preserve">. These </w:t>
      </w:r>
      <w:r>
        <w:rPr>
          <w:rFonts w:ascii="Arial" w:hAnsi="Arial" w:cs="Arial"/>
          <w:highlight w:val="yellow"/>
        </w:rPr>
        <w:t xml:space="preserve">graft </w:t>
      </w:r>
      <w:r>
        <w:rPr>
          <w:rFonts w:ascii="Arial" w:hAnsi="Arial" w:cs="Arial"/>
        </w:rPr>
        <w:t xml:space="preserve">combinations showed significant reductions in galls per root system, egg masses per root system, final nematode population and rate of reproduction. </w:t>
      </w:r>
      <w:r>
        <w:rPr>
          <w:rFonts w:ascii="Arial" w:hAnsi="Arial" w:cs="Arial"/>
          <w:highlight w:val="yellow"/>
        </w:rPr>
        <w:t>T</w:t>
      </w:r>
      <w:r>
        <w:rPr>
          <w:rFonts w:ascii="Arial" w:hAnsi="Arial" w:cs="Arial"/>
        </w:rPr>
        <w:t>hey</w:t>
      </w:r>
      <w:r>
        <w:rPr>
          <w:rFonts w:ascii="Arial" w:hAnsi="Arial" w:cs="Arial"/>
          <w:highlight w:val="yellow"/>
        </w:rPr>
        <w:t xml:space="preserve"> also</w:t>
      </w:r>
      <w:r>
        <w:rPr>
          <w:rFonts w:ascii="Arial" w:hAnsi="Arial" w:cs="Arial"/>
        </w:rPr>
        <w:t xml:space="preserve"> showed increase</w:t>
      </w:r>
      <w:r>
        <w:rPr>
          <w:rFonts w:ascii="Arial" w:hAnsi="Arial" w:cs="Arial"/>
          <w:highlight w:val="yellow"/>
        </w:rPr>
        <w:t>s</w:t>
      </w:r>
      <w:r>
        <w:rPr>
          <w:rFonts w:ascii="Arial" w:hAnsi="Arial" w:cs="Arial"/>
        </w:rPr>
        <w:t xml:space="preserve"> in the number of fruits per plant, average fruit weight, fruit yield per plot and total fruit yield per hectare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other grafted</w:t>
      </w:r>
      <w:r>
        <w:rPr>
          <w:rFonts w:ascii="Arial" w:hAnsi="Arial" w:cs="Arial"/>
          <w:i/>
        </w:rPr>
        <w:t xml:space="preserve"> </w:t>
      </w:r>
      <w:r>
        <w:rPr>
          <w:rFonts w:ascii="Arial" w:hAnsi="Arial" w:cs="Arial"/>
        </w:rPr>
        <w:t>a</w:t>
      </w:r>
      <w:r>
        <w:rPr>
          <w:rFonts w:ascii="Arial" w:hAnsi="Arial" w:cs="Arial"/>
          <w:highlight w:val="yellow"/>
        </w:rPr>
        <w:t>nd</w:t>
      </w:r>
      <w:r>
        <w:rPr>
          <w:rFonts w:ascii="Arial" w:hAnsi="Arial" w:cs="Arial"/>
        </w:rPr>
        <w:t xml:space="preserve"> non-grafted plants. </w:t>
      </w:r>
      <w:r>
        <w:rPr>
          <w:rFonts w:ascii="Arial" w:hAnsi="Arial" w:cs="Arial"/>
          <w:highlight w:val="yellow"/>
        </w:rPr>
        <w:t>F</w:t>
      </w:r>
      <w:r>
        <w:rPr>
          <w:rFonts w:ascii="Arial" w:hAnsi="Arial" w:cs="Arial"/>
        </w:rPr>
        <w:t xml:space="preserve">lowering and fruiting were </w:t>
      </w:r>
      <w:r>
        <w:rPr>
          <w:rFonts w:ascii="Arial" w:hAnsi="Arial" w:cs="Arial"/>
          <w:highlight w:val="yellow"/>
        </w:rPr>
        <w:t>d</w:t>
      </w:r>
      <w:r>
        <w:rPr>
          <w:rFonts w:ascii="Arial" w:hAnsi="Arial" w:cs="Arial"/>
        </w:rPr>
        <w:t>e</w:t>
      </w:r>
      <w:r>
        <w:rPr>
          <w:rFonts w:ascii="Arial" w:hAnsi="Arial" w:cs="Arial"/>
          <w:highlight w:val="yellow"/>
        </w:rPr>
        <w:t>lay</w:t>
      </w:r>
      <w:r>
        <w:rPr>
          <w:rFonts w:ascii="Arial" w:hAnsi="Arial" w:cs="Arial"/>
        </w:rPr>
        <w:t>ed in grafted plants</w:t>
      </w:r>
      <w:r>
        <w:rPr>
          <w:rFonts w:ascii="Arial" w:hAnsi="Arial" w:cs="Arial"/>
          <w:highlight w:val="yellow"/>
        </w:rPr>
        <w:t xml:space="preserve"> compared with non-grafted plants</w:t>
      </w:r>
      <w:r>
        <w:rPr>
          <w:rFonts w:ascii="Arial" w:hAnsi="Arial" w:cs="Arial"/>
        </w:rPr>
        <w:t xml:space="preserve">. </w:t>
      </w:r>
      <w:r>
        <w:rPr>
          <w:rFonts w:ascii="Arial" w:hAnsi="Arial" w:cs="Arial"/>
          <w:highlight w:val="yellow"/>
        </w:rPr>
        <w:t>A</w:t>
      </w:r>
      <w:r>
        <w:rPr>
          <w:rFonts w:ascii="Arial" w:hAnsi="Arial" w:cs="Arial"/>
        </w:rPr>
        <w:t xml:space="preserve">s pest management </w:t>
      </w:r>
      <w:r>
        <w:rPr>
          <w:rFonts w:ascii="Arial" w:hAnsi="Arial" w:cs="Arial"/>
          <w:highlight w:val="yellow"/>
        </w:rPr>
        <w:t>incre</w:t>
      </w:r>
      <w:r>
        <w:rPr>
          <w:rFonts w:ascii="Arial" w:hAnsi="Arial" w:cs="Arial"/>
        </w:rPr>
        <w:t>as</w:t>
      </w:r>
      <w:r>
        <w:rPr>
          <w:rFonts w:ascii="Arial" w:hAnsi="Arial" w:cs="Arial"/>
          <w:highlight w:val="yellow"/>
        </w:rPr>
        <w:t>ingly</w:t>
      </w:r>
      <w:r>
        <w:rPr>
          <w:rFonts w:ascii="Arial" w:hAnsi="Arial" w:cs="Arial"/>
        </w:rPr>
        <w:t xml:space="preserve"> </w:t>
      </w:r>
      <w:r>
        <w:rPr>
          <w:rFonts w:ascii="Arial" w:hAnsi="Arial" w:cs="Arial"/>
          <w:highlight w:val="yellow"/>
        </w:rPr>
        <w:t>incorpora</w:t>
      </w:r>
      <w:r>
        <w:rPr>
          <w:rFonts w:ascii="Arial" w:hAnsi="Arial" w:cs="Arial"/>
        </w:rPr>
        <w:t xml:space="preserve">tes non-chemical </w:t>
      </w:r>
      <w:r>
        <w:rPr>
          <w:rFonts w:ascii="Arial" w:hAnsi="Arial" w:cs="Arial"/>
          <w:highlight w:val="yellow"/>
        </w:rPr>
        <w:t>approach</w:t>
      </w:r>
      <w:r>
        <w:rPr>
          <w:rFonts w:ascii="Arial" w:hAnsi="Arial" w:cs="Arial"/>
        </w:rPr>
        <w:t xml:space="preserve">es, </w:t>
      </w:r>
      <w:r>
        <w:rPr>
          <w:rFonts w:ascii="Arial" w:hAnsi="Arial" w:cs="Arial"/>
          <w:highlight w:val="yellow"/>
        </w:rPr>
        <w:t xml:space="preserve">grafting susceptible cultivated tomato varieties or hybrids </w:t>
      </w:r>
      <w:r>
        <w:rPr>
          <w:rFonts w:ascii="Arial" w:hAnsi="Arial" w:cs="Arial"/>
        </w:rPr>
        <w:t>on</w:t>
      </w:r>
      <w:r>
        <w:rPr>
          <w:rFonts w:ascii="Arial" w:hAnsi="Arial" w:cs="Arial"/>
          <w:highlight w:val="yellow"/>
        </w:rPr>
        <w:t>to M. incognita-r</w:t>
      </w:r>
      <w:r>
        <w:rPr>
          <w:rFonts w:ascii="Arial" w:hAnsi="Arial" w:cs="Arial"/>
        </w:rPr>
        <w:t>e</w:t>
      </w:r>
      <w:r>
        <w:rPr>
          <w:rFonts w:ascii="Arial" w:hAnsi="Arial" w:cs="Arial"/>
          <w:highlight w:val="yellow"/>
        </w:rPr>
        <w:t>sistant rootstocks represents a</w:t>
      </w:r>
      <w:r>
        <w:rPr>
          <w:rFonts w:ascii="Arial" w:hAnsi="Arial" w:cs="Arial"/>
        </w:rPr>
        <w:t xml:space="preserve"> potentially environmentally friendly </w:t>
      </w:r>
      <w:r>
        <w:rPr>
          <w:rFonts w:ascii="Arial" w:hAnsi="Arial" w:cs="Arial"/>
          <w:highlight w:val="yellow"/>
        </w:rPr>
        <w:t>str</w:t>
      </w:r>
      <w:r>
        <w:rPr>
          <w:rFonts w:ascii="Arial" w:hAnsi="Arial" w:cs="Arial"/>
        </w:rPr>
        <w:t>a</w:t>
      </w:r>
      <w:r>
        <w:rPr>
          <w:rFonts w:ascii="Arial" w:hAnsi="Arial" w:cs="Arial"/>
          <w:highlight w:val="yellow"/>
        </w:rPr>
        <w:t>tegy</w:t>
      </w:r>
      <w:r>
        <w:rPr>
          <w:rFonts w:ascii="Arial" w:hAnsi="Arial" w:cs="Arial"/>
        </w:rPr>
        <w:t xml:space="preserve"> for </w:t>
      </w:r>
      <w:r>
        <w:rPr>
          <w:rFonts w:ascii="Arial" w:hAnsi="Arial" w:cs="Arial"/>
          <w:highlight w:val="yellow"/>
        </w:rPr>
        <w:t>suppress</w:t>
      </w:r>
      <w:r>
        <w:rPr>
          <w:rFonts w:ascii="Arial" w:hAnsi="Arial" w:cs="Arial"/>
        </w:rPr>
        <w:t xml:space="preserve">ing </w:t>
      </w:r>
      <w:r>
        <w:rPr>
          <w:rFonts w:ascii="Arial" w:hAnsi="Arial" w:cs="Arial"/>
          <w:i/>
          <w:highlight w:val="yellow"/>
        </w:rPr>
        <w:t>the</w:t>
      </w:r>
      <w:r>
        <w:rPr>
          <w:rFonts w:ascii="Arial" w:hAnsi="Arial" w:cs="Arial"/>
          <w:i/>
        </w:rPr>
        <w:t xml:space="preserve"> n</w:t>
      </w:r>
      <w:r>
        <w:rPr>
          <w:rFonts w:ascii="Arial" w:hAnsi="Arial" w:cs="Arial"/>
          <w:i/>
          <w:highlight w:val="yellow"/>
        </w:rPr>
        <w:t>e</w:t>
      </w:r>
      <w:r>
        <w:rPr>
          <w:rFonts w:ascii="Arial" w:hAnsi="Arial" w:cs="Arial"/>
        </w:rPr>
        <w:t>mato</w:t>
      </w:r>
      <w:r>
        <w:rPr>
          <w:rFonts w:ascii="Arial" w:hAnsi="Arial" w:cs="Arial"/>
          <w:highlight w:val="yellow"/>
        </w:rPr>
        <w:t>de</w:t>
      </w:r>
      <w:r>
        <w:rPr>
          <w:rFonts w:ascii="Arial" w:hAnsi="Arial" w:cs="Arial"/>
        </w:rPr>
        <w:t xml:space="preserve"> </w:t>
      </w:r>
      <w:r>
        <w:rPr>
          <w:rFonts w:ascii="Arial" w:hAnsi="Arial" w:cs="Arial"/>
          <w:highlight w:val="yellow"/>
        </w:rPr>
        <w:t>wh</w:t>
      </w:r>
      <w:r>
        <w:rPr>
          <w:rFonts w:ascii="Arial" w:hAnsi="Arial" w:cs="Arial"/>
        </w:rPr>
        <w:t xml:space="preserve">ile </w:t>
      </w:r>
      <w:r>
        <w:rPr>
          <w:rFonts w:ascii="Arial" w:hAnsi="Arial" w:cs="Arial"/>
          <w:highlight w:val="yellow"/>
        </w:rPr>
        <w:t>m</w:t>
      </w:r>
      <w:r>
        <w:rPr>
          <w:rFonts w:ascii="Arial" w:hAnsi="Arial" w:cs="Arial"/>
        </w:rPr>
        <w:t>ai</w:t>
      </w:r>
      <w:r>
        <w:rPr>
          <w:rFonts w:ascii="Arial" w:hAnsi="Arial" w:cs="Arial"/>
          <w:highlight w:val="yellow"/>
        </w:rPr>
        <w:t>n</w:t>
      </w:r>
      <w:r>
        <w:rPr>
          <w:rFonts w:ascii="Arial" w:hAnsi="Arial" w:cs="Arial"/>
        </w:rPr>
        <w:t>t</w:t>
      </w:r>
      <w:r>
        <w:rPr>
          <w:rFonts w:ascii="Arial" w:hAnsi="Arial" w:cs="Arial"/>
          <w:highlight w:val="yellow"/>
        </w:rPr>
        <w:t>a</w:t>
      </w:r>
      <w:r>
        <w:rPr>
          <w:rFonts w:ascii="Arial" w:hAnsi="Arial" w:cs="Arial"/>
        </w:rPr>
        <w:t>i</w:t>
      </w:r>
      <w:r>
        <w:rPr>
          <w:rFonts w:ascii="Arial" w:hAnsi="Arial" w:cs="Arial"/>
          <w:highlight w:val="yellow"/>
        </w:rPr>
        <w:t>n</w:t>
      </w:r>
      <w:r>
        <w:rPr>
          <w:rFonts w:ascii="Arial" w:hAnsi="Arial" w:cs="Arial"/>
        </w:rPr>
        <w:t>i</w:t>
      </w:r>
      <w:r>
        <w:rPr>
          <w:rFonts w:ascii="Arial" w:hAnsi="Arial" w:cs="Arial"/>
          <w:highlight w:val="yellow"/>
        </w:rPr>
        <w:t>ng</w:t>
      </w:r>
      <w:r>
        <w:rPr>
          <w:rFonts w:ascii="Arial" w:hAnsi="Arial" w:cs="Arial"/>
        </w:rPr>
        <w:t xml:space="preserve"> or increas</w:t>
      </w:r>
      <w:r>
        <w:rPr>
          <w:rFonts w:ascii="Arial" w:hAnsi="Arial" w:cs="Arial"/>
          <w:highlight w:val="yellow"/>
        </w:rPr>
        <w:t>ing</w:t>
      </w:r>
      <w:r>
        <w:rPr>
          <w:rFonts w:ascii="Arial" w:hAnsi="Arial" w:cs="Arial"/>
        </w:rPr>
        <w:t xml:space="preserve"> yield. However, </w:t>
      </w:r>
      <w:r>
        <w:rPr>
          <w:rFonts w:ascii="Arial" w:hAnsi="Arial" w:cs="Arial"/>
          <w:highlight w:val="yellow"/>
        </w:rPr>
        <w:t>becau</w:t>
      </w:r>
      <w:r>
        <w:rPr>
          <w:rFonts w:ascii="Arial" w:hAnsi="Arial" w:cs="Arial"/>
        </w:rPr>
        <w:t>s</w:t>
      </w:r>
      <w:r>
        <w:rPr>
          <w:rFonts w:ascii="Arial" w:hAnsi="Arial" w:cs="Arial"/>
          <w:highlight w:val="yellow"/>
        </w:rPr>
        <w:t>e sour</w:t>
      </w:r>
      <w:r>
        <w:rPr>
          <w:rFonts w:ascii="Arial" w:hAnsi="Arial" w:cs="Arial"/>
        </w:rPr>
        <w:t>ce</w:t>
      </w:r>
      <w:r>
        <w:rPr>
          <w:rFonts w:ascii="Arial" w:hAnsi="Arial" w:cs="Arial"/>
          <w:highlight w:val="yellow"/>
        </w:rPr>
        <w:t>s</w:t>
      </w:r>
      <w:r>
        <w:rPr>
          <w:rFonts w:ascii="Arial" w:hAnsi="Arial" w:cs="Arial"/>
        </w:rPr>
        <w:t xml:space="preserve"> of resistance </w:t>
      </w:r>
      <w:r>
        <w:rPr>
          <w:rFonts w:ascii="Arial" w:hAnsi="Arial" w:cs="Arial"/>
          <w:highlight w:val="yellow"/>
        </w:rPr>
        <w:t>remain limited, f</w:t>
      </w:r>
      <w:r>
        <w:rPr>
          <w:rFonts w:ascii="Arial" w:hAnsi="Arial" w:cs="Arial"/>
        </w:rPr>
        <w:t>urther</w:t>
      </w:r>
      <w:r>
        <w:rPr>
          <w:rFonts w:ascii="Arial" w:hAnsi="Arial" w:cs="Arial"/>
          <w:highlight w:val="yellow"/>
        </w:rPr>
        <w:t xml:space="preserve"> id</w:t>
      </w:r>
      <w:r>
        <w:rPr>
          <w:rFonts w:ascii="Arial" w:hAnsi="Arial" w:cs="Arial"/>
        </w:rPr>
        <w:t>en</w:t>
      </w:r>
      <w:r>
        <w:rPr>
          <w:rFonts w:ascii="Arial" w:hAnsi="Arial" w:cs="Arial"/>
          <w:highlight w:val="yellow"/>
        </w:rPr>
        <w:t>t</w:t>
      </w:r>
      <w:r>
        <w:rPr>
          <w:rFonts w:ascii="Arial" w:hAnsi="Arial" w:cs="Arial"/>
        </w:rPr>
        <w:t>i</w:t>
      </w:r>
      <w:r>
        <w:rPr>
          <w:rFonts w:ascii="Arial" w:hAnsi="Arial" w:cs="Arial"/>
          <w:highlight w:val="yellow"/>
        </w:rPr>
        <w:t>f</w:t>
      </w:r>
      <w:r>
        <w:rPr>
          <w:rFonts w:ascii="Arial" w:hAnsi="Arial" w:cs="Arial"/>
        </w:rPr>
        <w:t>ic</w:t>
      </w:r>
      <w:r>
        <w:rPr>
          <w:rFonts w:ascii="Arial" w:hAnsi="Arial" w:cs="Arial"/>
          <w:highlight w:val="yellow"/>
        </w:rPr>
        <w:t>ation</w:t>
      </w:r>
      <w:r>
        <w:rPr>
          <w:rFonts w:ascii="Arial" w:hAnsi="Arial" w:cs="Arial"/>
        </w:rPr>
        <w:t xml:space="preserve"> of suitable resistant rootstocks </w:t>
      </w:r>
      <w:r>
        <w:rPr>
          <w:rFonts w:ascii="Arial" w:hAnsi="Arial" w:cs="Arial"/>
          <w:highlight w:val="yellow"/>
        </w:rPr>
        <w:t>is</w:t>
      </w:r>
      <w:r>
        <w:rPr>
          <w:rFonts w:ascii="Arial" w:hAnsi="Arial" w:cs="Arial"/>
        </w:rPr>
        <w:t xml:space="preserve"> ne</w:t>
      </w:r>
      <w:r>
        <w:rPr>
          <w:rFonts w:ascii="Arial" w:hAnsi="Arial" w:cs="Arial"/>
          <w:highlight w:val="yellow"/>
        </w:rPr>
        <w:t>ed</w:t>
      </w:r>
      <w:r>
        <w:rPr>
          <w:rFonts w:ascii="Arial" w:hAnsi="Arial" w:cs="Arial"/>
        </w:rPr>
        <w:t xml:space="preserve">ed </w:t>
      </w:r>
      <w:r>
        <w:rPr>
          <w:rFonts w:ascii="Arial" w:hAnsi="Arial" w:cs="Arial"/>
          <w:highlight w:val="yellow"/>
        </w:rPr>
        <w:t>t</w:t>
      </w:r>
      <w:r>
        <w:rPr>
          <w:rFonts w:ascii="Arial" w:hAnsi="Arial" w:cs="Arial"/>
        </w:rPr>
        <w:t>o</w:t>
      </w:r>
      <w:r>
        <w:rPr>
          <w:rFonts w:ascii="Arial" w:hAnsi="Arial" w:cs="Arial"/>
          <w:highlight w:val="yellow"/>
        </w:rPr>
        <w:t xml:space="preserve"> expand</w:t>
      </w:r>
      <w:r>
        <w:rPr>
          <w:rFonts w:ascii="Arial" w:hAnsi="Arial" w:cs="Arial"/>
        </w:rPr>
        <w:t xml:space="preserve"> grafting o</w:t>
      </w:r>
      <w:r>
        <w:rPr>
          <w:rFonts w:ascii="Arial" w:hAnsi="Arial" w:cs="Arial"/>
          <w:highlight w:val="yellow"/>
        </w:rPr>
        <w:t>ptio</w:t>
      </w:r>
      <w:r>
        <w:rPr>
          <w:rFonts w:ascii="Arial" w:hAnsi="Arial" w:cs="Arial"/>
        </w:rPr>
        <w:t>n</w:t>
      </w:r>
      <w:r>
        <w:rPr>
          <w:rFonts w:ascii="Arial" w:hAnsi="Arial" w:cs="Arial"/>
          <w:highlight w:val="yellow"/>
        </w:rPr>
        <w:t>s f</w:t>
      </w:r>
      <w:r>
        <w:rPr>
          <w:rFonts w:ascii="Arial" w:hAnsi="Arial" w:cs="Arial"/>
        </w:rPr>
        <w:t>o</w:t>
      </w:r>
      <w:r>
        <w:rPr>
          <w:rFonts w:ascii="Arial" w:hAnsi="Arial" w:cs="Arial"/>
          <w:highlight w:val="yellow"/>
        </w:rPr>
        <w:t>r</w:t>
      </w:r>
      <w:r>
        <w:rPr>
          <w:rFonts w:ascii="Arial" w:hAnsi="Arial" w:cs="Arial"/>
        </w:rPr>
        <w:t xml:space="preserve"> </w:t>
      </w:r>
      <w:r>
        <w:rPr>
          <w:rFonts w:ascii="Arial" w:hAnsi="Arial" w:cs="Arial"/>
          <w:i/>
        </w:rPr>
        <w:t>M. incognita</w:t>
      </w:r>
      <w:r>
        <w:rPr>
          <w:rFonts w:ascii="Arial" w:hAnsi="Arial" w:cs="Arial"/>
          <w:highlight w:val="yellow"/>
        </w:rPr>
        <w:t>-</w:t>
      </w:r>
      <w:r>
        <w:rPr>
          <w:rFonts w:ascii="Arial" w:hAnsi="Arial" w:cs="Arial"/>
        </w:rPr>
        <w:t>susceptible tomato cultivars.</w:t>
      </w:r>
      <w:r w:rsidR="0028227E">
        <w:rPr>
          <w:rFonts w:ascii="Arial" w:hAnsi="Arial" w:cs="Arial"/>
        </w:rPr>
        <w:t xml:space="preserve">  </w:t>
      </w:r>
    </w:p>
    <w:p w14:paraId="38575007" w14:textId="77777777" w:rsidR="0028227E" w:rsidRPr="0028227E" w:rsidRDefault="0028227E" w:rsidP="0028227E">
      <w:pPr>
        <w:spacing w:before="100" w:beforeAutospacing="1" w:after="100" w:afterAutospacing="1"/>
        <w:outlineLvl w:val="2"/>
        <w:rPr>
          <w:rFonts w:ascii="Times New Roman" w:hAnsi="Times New Roman"/>
          <w:b/>
          <w:bCs/>
          <w:sz w:val="27"/>
          <w:szCs w:val="27"/>
        </w:rPr>
      </w:pPr>
      <w:r w:rsidRPr="0028227E">
        <w:rPr>
          <w:rFonts w:ascii="Times New Roman" w:hAnsi="Times New Roman"/>
          <w:b/>
          <w:bCs/>
          <w:sz w:val="27"/>
          <w:szCs w:val="27"/>
        </w:rPr>
        <w:t>Limitations</w:t>
      </w:r>
    </w:p>
    <w:p w14:paraId="08A5F543" w14:textId="28BD4F81" w:rsidR="0028227E" w:rsidRPr="0028227E" w:rsidRDefault="0028227E" w:rsidP="0028227E">
      <w:pPr>
        <w:spacing w:before="100" w:beforeAutospacing="1" w:after="100" w:afterAutospacing="1"/>
        <w:rPr>
          <w:rFonts w:ascii="Times New Roman" w:hAnsi="Times New Roman"/>
          <w:sz w:val="24"/>
          <w:szCs w:val="24"/>
        </w:rPr>
      </w:pPr>
      <w:r w:rsidRPr="0028227E">
        <w:rPr>
          <w:rFonts w:ascii="Times New Roman" w:hAnsi="Times New Roman"/>
          <w:sz w:val="24"/>
          <w:szCs w:val="24"/>
        </w:rPr>
        <w:t xml:space="preserve">The investigation was conducted during a single cropping year at one nematode-infested field site in Assam, using two susceptible tomato cultivars and two resistant rootstocks. Consequently, the findings may not represent performance under different soils, weather conditions, nematode pressures or cultivation systems. The </w:t>
      </w:r>
      <w:r>
        <w:rPr>
          <w:rFonts w:ascii="Times New Roman" w:hAnsi="Times New Roman"/>
          <w:sz w:val="24"/>
          <w:szCs w:val="24"/>
        </w:rPr>
        <w:t>study</w:t>
      </w:r>
      <w:r w:rsidRPr="0028227E">
        <w:rPr>
          <w:rFonts w:ascii="Times New Roman" w:hAnsi="Times New Roman"/>
          <w:sz w:val="24"/>
          <w:szCs w:val="24"/>
        </w:rPr>
        <w:t xml:space="preserve"> does not report an economic assessment of grafting or multi-season comparisons. Although yield and nematode-related measurements were recorded, the study cannot establish the mechanisms underlying changes in growth or fruiting. Further replicated evaluations across sites and seasons would help establish the consistency of graft compatibility, nematode suppression and yield responses.</w:t>
      </w:r>
    </w:p>
    <w:p w14:paraId="501CE950" w14:textId="77777777" w:rsidR="0028227E" w:rsidRPr="00B91AE6" w:rsidRDefault="0028227E">
      <w:pPr>
        <w:spacing w:after="120" w:line="360" w:lineRule="auto"/>
        <w:ind w:firstLine="317"/>
        <w:jc w:val="both"/>
        <w:rPr>
          <w:rFonts w:ascii="Arial" w:hAnsi="Arial" w:cs="Arial"/>
        </w:rPr>
      </w:pPr>
    </w:p>
    <w:p w14:paraId="79833400" w14:textId="77777777" w:rsidR="007A1019" w:rsidRDefault="00000000">
      <w:pPr>
        <w:pStyle w:val="ReferHead"/>
        <w:rPr>
          <w:rFonts w:ascii="Arial" w:eastAsia="Arial" w:hAnsi="Arial" w:cs="Arial"/>
        </w:rPr>
      </w:pPr>
      <w:r w:rsidRPr="00B91AE6">
        <w:rPr>
          <w:rFonts w:ascii="Arial" w:eastAsia="Arial" w:hAnsi="Arial" w:cs="Arial"/>
        </w:rPr>
        <w:lastRenderedPageBreak/>
        <w:t>COMPETING INTERESTS</w:t>
      </w:r>
    </w:p>
    <w:p w14:paraId="396EEB3F" w14:textId="77777777" w:rsidR="003B44E3" w:rsidRDefault="003D7DD4" w:rsidP="008C1A72">
      <w:pPr>
        <w:pStyle w:val="ReferHead"/>
        <w:jc w:val="both"/>
        <w:rPr>
          <w:rFonts w:ascii="Arial" w:hAnsi="Arial" w:cs="Arial"/>
          <w:b w:val="0"/>
          <w:bCs/>
          <w:caps w:val="0"/>
          <w:sz w:val="20"/>
          <w:szCs w:val="18"/>
        </w:rPr>
      </w:pPr>
      <w:r w:rsidRPr="003D7DD4">
        <w:rPr>
          <w:rFonts w:ascii="Arial" w:hAnsi="Arial" w:cs="Arial"/>
          <w:b w:val="0"/>
          <w:bCs/>
          <w:caps w:val="0"/>
          <w:sz w:val="20"/>
          <w:szCs w:val="18"/>
        </w:rPr>
        <w:t xml:space="preserve">Authors have declared that </w:t>
      </w:r>
      <w:r>
        <w:rPr>
          <w:rFonts w:ascii="Arial" w:hAnsi="Arial" w:cs="Arial"/>
          <w:b w:val="0"/>
          <w:bCs/>
          <w:caps w:val="0"/>
          <w:sz w:val="20"/>
          <w:szCs w:val="18"/>
        </w:rPr>
        <w:t>t</w:t>
      </w:r>
      <w:r w:rsidRPr="003D7DD4">
        <w:rPr>
          <w:rFonts w:ascii="Arial" w:hAnsi="Arial" w:cs="Arial"/>
          <w:b w:val="0"/>
          <w:bCs/>
          <w:caps w:val="0"/>
          <w:sz w:val="20"/>
          <w:szCs w:val="18"/>
        </w:rPr>
        <w:t>hey have no known competing interests</w:t>
      </w:r>
      <w:r>
        <w:rPr>
          <w:rFonts w:ascii="Arial" w:hAnsi="Arial" w:cs="Arial"/>
          <w:b w:val="0"/>
          <w:bCs/>
          <w:caps w:val="0"/>
          <w:sz w:val="20"/>
          <w:szCs w:val="18"/>
        </w:rPr>
        <w:t xml:space="preserve"> </w:t>
      </w:r>
      <w:r w:rsidRPr="003D7DD4">
        <w:rPr>
          <w:rFonts w:ascii="Arial" w:hAnsi="Arial" w:cs="Arial"/>
          <w:b w:val="0"/>
          <w:bCs/>
          <w:caps w:val="0"/>
          <w:sz w:val="20"/>
          <w:szCs w:val="18"/>
        </w:rPr>
        <w:t>that could have appeared to influence the work reported in this paper.</w:t>
      </w:r>
    </w:p>
    <w:p w14:paraId="6F43A47A" w14:textId="77777777" w:rsidR="00142920" w:rsidRDefault="00142920" w:rsidP="00142920">
      <w:pPr>
        <w:rPr>
          <w:rFonts w:ascii="Times New Roman" w:hAnsi="Times New Roman"/>
          <w:b/>
        </w:rPr>
      </w:pPr>
      <w:r w:rsidRPr="000839CE">
        <w:rPr>
          <w:rFonts w:ascii="Times New Roman" w:hAnsi="Times New Roman"/>
          <w:b/>
        </w:rPr>
        <w:t>Declaration of AI Use</w:t>
      </w:r>
    </w:p>
    <w:p w14:paraId="1109DF4C" w14:textId="77777777" w:rsidR="00142920" w:rsidRDefault="00142920" w:rsidP="00142920">
      <w:pPr>
        <w:rPr>
          <w:rFonts w:ascii="Times New Roman" w:hAnsi="Times New Roman"/>
          <w:b/>
        </w:rPr>
      </w:pPr>
    </w:p>
    <w:p w14:paraId="42C82D91" w14:textId="77777777" w:rsidR="00142920" w:rsidRDefault="00142920" w:rsidP="00142920">
      <w:pPr>
        <w:rPr>
          <w:rFonts w:ascii="Times New Roman" w:hAnsi="Times New Roman"/>
          <w:b/>
        </w:rPr>
      </w:pPr>
    </w:p>
    <w:p w14:paraId="1488EE0B" w14:textId="77777777" w:rsidR="00142920" w:rsidRDefault="00142920" w:rsidP="00142920">
      <w:pPr>
        <w:rPr>
          <w:rFonts w:ascii="Times New Roman" w:hAnsi="Times New Roman"/>
          <w:b/>
        </w:rPr>
      </w:pPr>
    </w:p>
    <w:p w14:paraId="6420D1B8" w14:textId="77777777" w:rsidR="00142920" w:rsidRPr="002D08AC" w:rsidRDefault="00142920" w:rsidP="00142920">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A1A62BF" w14:textId="77777777" w:rsidR="00142920" w:rsidRPr="008C1A72" w:rsidRDefault="00142920" w:rsidP="008C1A72">
      <w:pPr>
        <w:pStyle w:val="ReferHead"/>
        <w:jc w:val="both"/>
        <w:rPr>
          <w:rFonts w:ascii="Arial" w:hAnsi="Arial" w:cs="Arial"/>
          <w:b w:val="0"/>
          <w:bCs/>
          <w:sz w:val="20"/>
          <w:szCs w:val="18"/>
        </w:rPr>
      </w:pPr>
    </w:p>
    <w:p w14:paraId="414B3099" w14:textId="77777777" w:rsidR="007A1019" w:rsidRDefault="00000000">
      <w:pPr>
        <w:pStyle w:val="ReferHead"/>
        <w:rPr>
          <w:rFonts w:ascii="Arial" w:eastAsia="Arial" w:hAnsi="Arial" w:cs="Arial"/>
        </w:rPr>
      </w:pPr>
      <w:r w:rsidRPr="00B91AE6">
        <w:rPr>
          <w:rFonts w:ascii="Arial" w:eastAsia="Arial" w:hAnsi="Arial" w:cs="Arial"/>
        </w:rPr>
        <w:t>REFERENCES</w:t>
      </w:r>
    </w:p>
    <w:p w14:paraId="5BA7B5A9"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Ahmed, N., Murshed, R., &amp; Najla, S. (2026). Physiological and biochemical responses of grafted tomato plants to salinity stress: Evidence from the Syrian coast [Preprint]. bioRxiv. </w:t>
      </w:r>
      <w:hyperlink r:id="rId8" w:history="1">
        <w:r w:rsidRPr="00266AB3">
          <w:rPr>
            <w:rFonts w:ascii="Times New Roman" w:hAnsi="Times New Roman"/>
            <w:color w:val="0000FF"/>
            <w:sz w:val="24"/>
            <w:szCs w:val="24"/>
            <w:u w:val="single"/>
          </w:rPr>
          <w:t>https://doi.org/10.64898/2026.06.02.729545</w:t>
        </w:r>
      </w:hyperlink>
    </w:p>
    <w:p w14:paraId="4BF100A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Aloni, B., Cohen, R., Karni, L., Aktas, H., &amp; Edelstein, M. (2010). Hormonal signaling in rootstock–scion interactions. Scientia </w:t>
      </w:r>
      <w:proofErr w:type="spellStart"/>
      <w:r w:rsidRPr="00266AB3">
        <w:rPr>
          <w:rFonts w:ascii="Times New Roman" w:hAnsi="Times New Roman"/>
          <w:sz w:val="24"/>
          <w:szCs w:val="24"/>
        </w:rPr>
        <w:t>Horticulturae</w:t>
      </w:r>
      <w:proofErr w:type="spellEnd"/>
      <w:r w:rsidRPr="00266AB3">
        <w:rPr>
          <w:rFonts w:ascii="Times New Roman" w:hAnsi="Times New Roman"/>
          <w:sz w:val="24"/>
          <w:szCs w:val="24"/>
        </w:rPr>
        <w:t xml:space="preserve">, 127(2), 119–126. </w:t>
      </w:r>
      <w:hyperlink r:id="rId9" w:history="1">
        <w:r w:rsidRPr="00266AB3">
          <w:rPr>
            <w:rFonts w:ascii="Times New Roman" w:hAnsi="Times New Roman"/>
            <w:color w:val="0000FF"/>
            <w:sz w:val="24"/>
            <w:szCs w:val="24"/>
            <w:u w:val="single"/>
          </w:rPr>
          <w:t>https://doi.org/10.1016/j.scienta.2010.09.003</w:t>
        </w:r>
      </w:hyperlink>
    </w:p>
    <w:p w14:paraId="77B365A7"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Athulya, M. P., Anitha, P., Pradeepkumar, T., Sangeeta Kutty, M., </w:t>
      </w:r>
      <w:proofErr w:type="spellStart"/>
      <w:r w:rsidRPr="00266AB3">
        <w:rPr>
          <w:rFonts w:ascii="Times New Roman" w:hAnsi="Times New Roman"/>
          <w:sz w:val="24"/>
          <w:szCs w:val="24"/>
        </w:rPr>
        <w:t>Sainamole</w:t>
      </w:r>
      <w:proofErr w:type="spellEnd"/>
      <w:r w:rsidRPr="00266AB3">
        <w:rPr>
          <w:rFonts w:ascii="Times New Roman" w:hAnsi="Times New Roman"/>
          <w:sz w:val="24"/>
          <w:szCs w:val="24"/>
        </w:rPr>
        <w:t xml:space="preserve"> Kurian, P., &amp; </w:t>
      </w:r>
      <w:proofErr w:type="spellStart"/>
      <w:r w:rsidRPr="00266AB3">
        <w:rPr>
          <w:rFonts w:ascii="Times New Roman" w:hAnsi="Times New Roman"/>
          <w:sz w:val="24"/>
          <w:szCs w:val="24"/>
        </w:rPr>
        <w:t>Sindhumole</w:t>
      </w:r>
      <w:proofErr w:type="spellEnd"/>
      <w:r w:rsidRPr="00266AB3">
        <w:rPr>
          <w:rFonts w:ascii="Times New Roman" w:hAnsi="Times New Roman"/>
          <w:sz w:val="24"/>
          <w:szCs w:val="24"/>
        </w:rPr>
        <w:t xml:space="preserve">, P. (2023). Genetic diversity and screening for bacterial wilt in tomato (Lycopersicon esculentum). Journal of Horticultural Sciences, 18(1), 40–45. </w:t>
      </w:r>
      <w:hyperlink r:id="rId10" w:history="1">
        <w:r w:rsidRPr="00266AB3">
          <w:rPr>
            <w:rFonts w:ascii="Times New Roman" w:hAnsi="Times New Roman"/>
            <w:color w:val="0000FF"/>
            <w:sz w:val="24"/>
            <w:szCs w:val="24"/>
            <w:u w:val="single"/>
          </w:rPr>
          <w:t>https://doi.org/10.24154/jhs.v18i1.2141</w:t>
        </w:r>
      </w:hyperlink>
    </w:p>
    <w:p w14:paraId="384FA716"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Bletsos</w:t>
      </w:r>
      <w:proofErr w:type="spellEnd"/>
      <w:r w:rsidRPr="00266AB3">
        <w:rPr>
          <w:rFonts w:ascii="Times New Roman" w:hAnsi="Times New Roman"/>
          <w:sz w:val="24"/>
          <w:szCs w:val="24"/>
        </w:rPr>
        <w:t xml:space="preserve">, F., </w:t>
      </w:r>
      <w:proofErr w:type="spellStart"/>
      <w:r w:rsidRPr="00266AB3">
        <w:rPr>
          <w:rFonts w:ascii="Times New Roman" w:hAnsi="Times New Roman"/>
          <w:sz w:val="24"/>
          <w:szCs w:val="24"/>
        </w:rPr>
        <w:t>Thanassoulopoulos</w:t>
      </w:r>
      <w:proofErr w:type="spellEnd"/>
      <w:r w:rsidRPr="00266AB3">
        <w:rPr>
          <w:rFonts w:ascii="Times New Roman" w:hAnsi="Times New Roman"/>
          <w:sz w:val="24"/>
          <w:szCs w:val="24"/>
        </w:rPr>
        <w:t xml:space="preserve">, C., &amp; </w:t>
      </w:r>
      <w:proofErr w:type="spellStart"/>
      <w:r w:rsidRPr="00266AB3">
        <w:rPr>
          <w:rFonts w:ascii="Times New Roman" w:hAnsi="Times New Roman"/>
          <w:sz w:val="24"/>
          <w:szCs w:val="24"/>
        </w:rPr>
        <w:t>Roupakias</w:t>
      </w:r>
      <w:proofErr w:type="spellEnd"/>
      <w:r w:rsidRPr="00266AB3">
        <w:rPr>
          <w:rFonts w:ascii="Times New Roman" w:hAnsi="Times New Roman"/>
          <w:sz w:val="24"/>
          <w:szCs w:val="24"/>
        </w:rPr>
        <w:t xml:space="preserve">, D. (2003). Effect of grafting on growth, yield, and Verticillium wilt of eggplant. </w:t>
      </w:r>
      <w:proofErr w:type="spellStart"/>
      <w:r w:rsidRPr="00266AB3">
        <w:rPr>
          <w:rFonts w:ascii="Times New Roman" w:hAnsi="Times New Roman"/>
          <w:sz w:val="24"/>
          <w:szCs w:val="24"/>
        </w:rPr>
        <w:t>HortScience</w:t>
      </w:r>
      <w:proofErr w:type="spellEnd"/>
      <w:r w:rsidRPr="00266AB3">
        <w:rPr>
          <w:rFonts w:ascii="Times New Roman" w:hAnsi="Times New Roman"/>
          <w:sz w:val="24"/>
          <w:szCs w:val="24"/>
        </w:rPr>
        <w:t xml:space="preserve">, 38(2), 183–186. </w:t>
      </w:r>
      <w:hyperlink r:id="rId11" w:history="1">
        <w:r w:rsidRPr="00266AB3">
          <w:rPr>
            <w:rFonts w:ascii="Times New Roman" w:hAnsi="Times New Roman"/>
            <w:color w:val="0000FF"/>
            <w:sz w:val="24"/>
            <w:szCs w:val="24"/>
            <w:u w:val="single"/>
          </w:rPr>
          <w:t>https://doi.org/10.21273/HORTSCI.38.2.183</w:t>
        </w:r>
      </w:hyperlink>
    </w:p>
    <w:p w14:paraId="62C9D4B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Bogoescu, M., &amp; Doltu, M. (2015). Effect of grafting eggplant (Solanum melongena L.) on its selected useful characters. Bulletin of University of Agricultural Sciences and Veterinary Medicine Cluj-Napoca. Horticulture, 72(2), 318–326. </w:t>
      </w:r>
      <w:hyperlink r:id="rId12" w:history="1">
        <w:r w:rsidRPr="00266AB3">
          <w:rPr>
            <w:rFonts w:ascii="Times New Roman" w:hAnsi="Times New Roman"/>
            <w:color w:val="0000FF"/>
            <w:sz w:val="24"/>
            <w:szCs w:val="24"/>
            <w:u w:val="single"/>
          </w:rPr>
          <w:t>https://doi.org/10.15835/buasvmcn-hort:11349</w:t>
        </w:r>
      </w:hyperlink>
    </w:p>
    <w:p w14:paraId="73F2C653"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Collins, E. J., Bowyer, C., Tsouza, A., &amp; Chopra, M. (2022). Tomatoes: An extensive review of the associated health impacts of tomatoes and factors that can affect their cultivation. Biology, 11(2), Article 239. </w:t>
      </w:r>
      <w:hyperlink r:id="rId13" w:history="1">
        <w:r w:rsidRPr="00266AB3">
          <w:rPr>
            <w:rFonts w:ascii="Times New Roman" w:hAnsi="Times New Roman"/>
            <w:color w:val="0000FF"/>
            <w:sz w:val="24"/>
            <w:szCs w:val="24"/>
            <w:u w:val="single"/>
          </w:rPr>
          <w:t>https://doi.org/10.3390/biology11020239</w:t>
        </w:r>
      </w:hyperlink>
    </w:p>
    <w:p w14:paraId="43AF476D"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lastRenderedPageBreak/>
        <w:t xml:space="preserve">Cousins, P., &amp; Walker, M. A. (2000). Improved techniques for evaluating root-knot nematode resistance in Vitis rootstocks. Acta </w:t>
      </w:r>
      <w:proofErr w:type="spellStart"/>
      <w:r w:rsidRPr="00266AB3">
        <w:rPr>
          <w:rFonts w:ascii="Times New Roman" w:hAnsi="Times New Roman"/>
          <w:sz w:val="24"/>
          <w:szCs w:val="24"/>
        </w:rPr>
        <w:t>Horticulturae</w:t>
      </w:r>
      <w:proofErr w:type="spellEnd"/>
      <w:r w:rsidRPr="00266AB3">
        <w:rPr>
          <w:rFonts w:ascii="Times New Roman" w:hAnsi="Times New Roman"/>
          <w:sz w:val="24"/>
          <w:szCs w:val="24"/>
        </w:rPr>
        <w:t xml:space="preserve">, 528, 575–577. </w:t>
      </w:r>
      <w:hyperlink r:id="rId14" w:history="1">
        <w:r w:rsidRPr="00266AB3">
          <w:rPr>
            <w:rFonts w:ascii="Times New Roman" w:hAnsi="Times New Roman"/>
            <w:color w:val="0000FF"/>
            <w:sz w:val="24"/>
            <w:szCs w:val="24"/>
            <w:u w:val="single"/>
          </w:rPr>
          <w:t>https://doi.org/10.17660/ActaHortic.2000.528.84</w:t>
        </w:r>
      </w:hyperlink>
    </w:p>
    <w:p w14:paraId="4FEC1EA6"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Çürük</w:t>
      </w:r>
      <w:proofErr w:type="spellEnd"/>
      <w:r w:rsidRPr="00266AB3">
        <w:rPr>
          <w:rFonts w:ascii="Times New Roman" w:hAnsi="Times New Roman"/>
          <w:sz w:val="24"/>
          <w:szCs w:val="24"/>
        </w:rPr>
        <w:t xml:space="preserve">, S., </w:t>
      </w:r>
      <w:proofErr w:type="spellStart"/>
      <w:r w:rsidRPr="00266AB3">
        <w:rPr>
          <w:rFonts w:ascii="Times New Roman" w:hAnsi="Times New Roman"/>
          <w:sz w:val="24"/>
          <w:szCs w:val="24"/>
        </w:rPr>
        <w:t>Dasgan</w:t>
      </w:r>
      <w:proofErr w:type="spellEnd"/>
      <w:r w:rsidRPr="00266AB3">
        <w:rPr>
          <w:rFonts w:ascii="Times New Roman" w:hAnsi="Times New Roman"/>
          <w:sz w:val="24"/>
          <w:szCs w:val="24"/>
        </w:rPr>
        <w:t xml:space="preserve">, H. Y., </w:t>
      </w:r>
      <w:proofErr w:type="spellStart"/>
      <w:r w:rsidRPr="00266AB3">
        <w:rPr>
          <w:rFonts w:ascii="Times New Roman" w:hAnsi="Times New Roman"/>
          <w:sz w:val="24"/>
          <w:szCs w:val="24"/>
        </w:rPr>
        <w:t>Mansuroğlu</w:t>
      </w:r>
      <w:proofErr w:type="spellEnd"/>
      <w:r w:rsidRPr="00266AB3">
        <w:rPr>
          <w:rFonts w:ascii="Times New Roman" w:hAnsi="Times New Roman"/>
          <w:sz w:val="24"/>
          <w:szCs w:val="24"/>
        </w:rPr>
        <w:t xml:space="preserve">, S., Kurt, Ş., </w:t>
      </w:r>
      <w:proofErr w:type="spellStart"/>
      <w:r w:rsidRPr="00266AB3">
        <w:rPr>
          <w:rFonts w:ascii="Times New Roman" w:hAnsi="Times New Roman"/>
          <w:sz w:val="24"/>
          <w:szCs w:val="24"/>
        </w:rPr>
        <w:t>Mazmanoğlu</w:t>
      </w:r>
      <w:proofErr w:type="spellEnd"/>
      <w:r w:rsidRPr="00266AB3">
        <w:rPr>
          <w:rFonts w:ascii="Times New Roman" w:hAnsi="Times New Roman"/>
          <w:sz w:val="24"/>
          <w:szCs w:val="24"/>
        </w:rPr>
        <w:t xml:space="preserve">, M., </w:t>
      </w:r>
      <w:proofErr w:type="spellStart"/>
      <w:r w:rsidRPr="00266AB3">
        <w:rPr>
          <w:rFonts w:ascii="Times New Roman" w:hAnsi="Times New Roman"/>
          <w:sz w:val="24"/>
          <w:szCs w:val="24"/>
        </w:rPr>
        <w:t>Antaklı</w:t>
      </w:r>
      <w:proofErr w:type="spellEnd"/>
      <w:r w:rsidRPr="00266AB3">
        <w:rPr>
          <w:rFonts w:ascii="Times New Roman" w:hAnsi="Times New Roman"/>
          <w:sz w:val="24"/>
          <w:szCs w:val="24"/>
        </w:rPr>
        <w:t xml:space="preserve">, Ö., &amp; Tarla, G. (2009). Grafted eggplant yield, quality and growth in infested soil with Verticillium </w:t>
      </w:r>
      <w:proofErr w:type="spellStart"/>
      <w:r w:rsidRPr="00266AB3">
        <w:rPr>
          <w:rFonts w:ascii="Times New Roman" w:hAnsi="Times New Roman"/>
          <w:sz w:val="24"/>
          <w:szCs w:val="24"/>
        </w:rPr>
        <w:t>dahliae</w:t>
      </w:r>
      <w:proofErr w:type="spellEnd"/>
      <w:r w:rsidRPr="00266AB3">
        <w:rPr>
          <w:rFonts w:ascii="Times New Roman" w:hAnsi="Times New Roman"/>
          <w:sz w:val="24"/>
          <w:szCs w:val="24"/>
        </w:rPr>
        <w:t xml:space="preserve"> and Meloidogyne incognita. Pesquisa </w:t>
      </w:r>
      <w:proofErr w:type="spellStart"/>
      <w:r w:rsidRPr="00266AB3">
        <w:rPr>
          <w:rFonts w:ascii="Times New Roman" w:hAnsi="Times New Roman"/>
          <w:sz w:val="24"/>
          <w:szCs w:val="24"/>
        </w:rPr>
        <w:t>Agropecuária</w:t>
      </w:r>
      <w:proofErr w:type="spellEnd"/>
      <w:r w:rsidRPr="00266AB3">
        <w:rPr>
          <w:rFonts w:ascii="Times New Roman" w:hAnsi="Times New Roman"/>
          <w:sz w:val="24"/>
          <w:szCs w:val="24"/>
        </w:rPr>
        <w:t xml:space="preserve"> Brasileira, 44(12), 1673–1681. </w:t>
      </w:r>
      <w:hyperlink r:id="rId15" w:history="1">
        <w:r w:rsidRPr="00266AB3">
          <w:rPr>
            <w:rFonts w:ascii="Times New Roman" w:hAnsi="Times New Roman"/>
            <w:color w:val="0000FF"/>
            <w:sz w:val="24"/>
            <w:szCs w:val="24"/>
            <w:u w:val="single"/>
          </w:rPr>
          <w:t>https://doi.org/10.1590/S0100-204X2009001200017</w:t>
        </w:r>
      </w:hyperlink>
    </w:p>
    <w:p w14:paraId="3060B739"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Das, N., </w:t>
      </w:r>
      <w:proofErr w:type="spellStart"/>
      <w:r w:rsidRPr="00266AB3">
        <w:rPr>
          <w:rFonts w:ascii="Times New Roman" w:hAnsi="Times New Roman"/>
          <w:sz w:val="24"/>
          <w:szCs w:val="24"/>
        </w:rPr>
        <w:t>Bhagawati</w:t>
      </w:r>
      <w:proofErr w:type="spellEnd"/>
      <w:r w:rsidRPr="00266AB3">
        <w:rPr>
          <w:rFonts w:ascii="Times New Roman" w:hAnsi="Times New Roman"/>
          <w:sz w:val="24"/>
          <w:szCs w:val="24"/>
        </w:rPr>
        <w:t xml:space="preserve">, B., Borgohain, N., </w:t>
      </w:r>
      <w:proofErr w:type="spellStart"/>
      <w:r w:rsidRPr="00266AB3">
        <w:rPr>
          <w:rFonts w:ascii="Times New Roman" w:hAnsi="Times New Roman"/>
          <w:sz w:val="24"/>
          <w:szCs w:val="24"/>
        </w:rPr>
        <w:t>Haloi</w:t>
      </w:r>
      <w:proofErr w:type="spellEnd"/>
      <w:r w:rsidRPr="00266AB3">
        <w:rPr>
          <w:rFonts w:ascii="Times New Roman" w:hAnsi="Times New Roman"/>
          <w:sz w:val="24"/>
          <w:szCs w:val="24"/>
        </w:rPr>
        <w:t xml:space="preserve">, D., &amp; Kurulkar, U. (2024). Screening and evaluation of Solanum species to observe potential rootstocks for the management of Meloidogyne incognita in tomato. Plant Archives, 24(2), 2789–2793. </w:t>
      </w:r>
      <w:hyperlink r:id="rId16" w:history="1">
        <w:r w:rsidRPr="00266AB3">
          <w:rPr>
            <w:rFonts w:ascii="Times New Roman" w:hAnsi="Times New Roman"/>
            <w:color w:val="0000FF"/>
            <w:sz w:val="24"/>
            <w:szCs w:val="24"/>
            <w:u w:val="single"/>
          </w:rPr>
          <w:t>https://doi.org/10.51470/PLANTARCHIVES.2024.v24.no.2.239</w:t>
        </w:r>
      </w:hyperlink>
    </w:p>
    <w:p w14:paraId="0961D549"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Food and Agriculture Organization of the United Nations. (2026). FAOSTAT: Crops and livestock products [Data set]. </w:t>
      </w:r>
      <w:hyperlink r:id="rId17" w:anchor="data/QCL" w:history="1">
        <w:r w:rsidRPr="00266AB3">
          <w:rPr>
            <w:rFonts w:ascii="Times New Roman" w:hAnsi="Times New Roman"/>
            <w:color w:val="0000FF"/>
            <w:sz w:val="24"/>
            <w:szCs w:val="24"/>
            <w:u w:val="single"/>
          </w:rPr>
          <w:t>https://www.fao.org/faostat/en/#data/QCL</w:t>
        </w:r>
      </w:hyperlink>
    </w:p>
    <w:p w14:paraId="09400141"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Forghani, F., &amp; </w:t>
      </w:r>
      <w:proofErr w:type="spellStart"/>
      <w:r w:rsidRPr="00266AB3">
        <w:rPr>
          <w:rFonts w:ascii="Times New Roman" w:hAnsi="Times New Roman"/>
          <w:sz w:val="24"/>
          <w:szCs w:val="24"/>
        </w:rPr>
        <w:t>Hajihassani</w:t>
      </w:r>
      <w:proofErr w:type="spellEnd"/>
      <w:r w:rsidRPr="00266AB3">
        <w:rPr>
          <w:rFonts w:ascii="Times New Roman" w:hAnsi="Times New Roman"/>
          <w:sz w:val="24"/>
          <w:szCs w:val="24"/>
        </w:rPr>
        <w:t xml:space="preserve">, A. (2020). Recent advances in the development of environmentally benign treatments to control root-knot nematodes. Frontiers in Plant Science, 11, Article 1125. </w:t>
      </w:r>
      <w:hyperlink r:id="rId18" w:history="1">
        <w:r w:rsidRPr="00266AB3">
          <w:rPr>
            <w:rFonts w:ascii="Times New Roman" w:hAnsi="Times New Roman"/>
            <w:color w:val="0000FF"/>
            <w:sz w:val="24"/>
            <w:szCs w:val="24"/>
            <w:u w:val="single"/>
          </w:rPr>
          <w:t>https://doi.org/10.3389/fpls.2020.01125</w:t>
        </w:r>
      </w:hyperlink>
    </w:p>
    <w:p w14:paraId="777CC2C6"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Fullana</w:t>
      </w:r>
      <w:proofErr w:type="spellEnd"/>
      <w:r w:rsidRPr="00266AB3">
        <w:rPr>
          <w:rFonts w:ascii="Times New Roman" w:hAnsi="Times New Roman"/>
          <w:sz w:val="24"/>
          <w:szCs w:val="24"/>
        </w:rPr>
        <w:t xml:space="preserve">, A. M., </w:t>
      </w:r>
      <w:proofErr w:type="spellStart"/>
      <w:r w:rsidRPr="00266AB3">
        <w:rPr>
          <w:rFonts w:ascii="Times New Roman" w:hAnsi="Times New Roman"/>
          <w:sz w:val="24"/>
          <w:szCs w:val="24"/>
        </w:rPr>
        <w:t>Expósito</w:t>
      </w:r>
      <w:proofErr w:type="spellEnd"/>
      <w:r w:rsidRPr="00266AB3">
        <w:rPr>
          <w:rFonts w:ascii="Times New Roman" w:hAnsi="Times New Roman"/>
          <w:sz w:val="24"/>
          <w:szCs w:val="24"/>
        </w:rPr>
        <w:t xml:space="preserve">, A., </w:t>
      </w:r>
      <w:proofErr w:type="spellStart"/>
      <w:r w:rsidRPr="00266AB3">
        <w:rPr>
          <w:rFonts w:ascii="Times New Roman" w:hAnsi="Times New Roman"/>
          <w:sz w:val="24"/>
          <w:szCs w:val="24"/>
        </w:rPr>
        <w:t>Pujolà</w:t>
      </w:r>
      <w:proofErr w:type="spellEnd"/>
      <w:r w:rsidRPr="00266AB3">
        <w:rPr>
          <w:rFonts w:ascii="Times New Roman" w:hAnsi="Times New Roman"/>
          <w:sz w:val="24"/>
          <w:szCs w:val="24"/>
        </w:rPr>
        <w:t xml:space="preserve">, M., </w:t>
      </w:r>
      <w:proofErr w:type="spellStart"/>
      <w:r w:rsidRPr="00266AB3">
        <w:rPr>
          <w:rFonts w:ascii="Times New Roman" w:hAnsi="Times New Roman"/>
          <w:sz w:val="24"/>
          <w:szCs w:val="24"/>
        </w:rPr>
        <w:t>Achaerandio</w:t>
      </w:r>
      <w:proofErr w:type="spellEnd"/>
      <w:r w:rsidRPr="00266AB3">
        <w:rPr>
          <w:rFonts w:ascii="Times New Roman" w:hAnsi="Times New Roman"/>
          <w:sz w:val="24"/>
          <w:szCs w:val="24"/>
        </w:rPr>
        <w:t xml:space="preserve">, I., </w:t>
      </w:r>
      <w:proofErr w:type="spellStart"/>
      <w:r w:rsidRPr="00266AB3">
        <w:rPr>
          <w:rFonts w:ascii="Times New Roman" w:hAnsi="Times New Roman"/>
          <w:sz w:val="24"/>
          <w:szCs w:val="24"/>
        </w:rPr>
        <w:t>Cunquero</w:t>
      </w:r>
      <w:proofErr w:type="spellEnd"/>
      <w:r w:rsidRPr="00266AB3">
        <w:rPr>
          <w:rFonts w:ascii="Times New Roman" w:hAnsi="Times New Roman"/>
          <w:sz w:val="24"/>
          <w:szCs w:val="24"/>
        </w:rPr>
        <w:t xml:space="preserve">, M., Loza-Alvarez, P., Giné, A., &amp; </w:t>
      </w:r>
      <w:proofErr w:type="spellStart"/>
      <w:r w:rsidRPr="00266AB3">
        <w:rPr>
          <w:rFonts w:ascii="Times New Roman" w:hAnsi="Times New Roman"/>
          <w:sz w:val="24"/>
          <w:szCs w:val="24"/>
        </w:rPr>
        <w:t>Sorribas</w:t>
      </w:r>
      <w:proofErr w:type="spellEnd"/>
      <w:r w:rsidRPr="00266AB3">
        <w:rPr>
          <w:rFonts w:ascii="Times New Roman" w:hAnsi="Times New Roman"/>
          <w:sz w:val="24"/>
          <w:szCs w:val="24"/>
        </w:rPr>
        <w:t xml:space="preserve">, F. J. (2024). Effect of grafting tomato onto Solanum </w:t>
      </w:r>
      <w:proofErr w:type="spellStart"/>
      <w:r w:rsidRPr="00266AB3">
        <w:rPr>
          <w:rFonts w:ascii="Times New Roman" w:hAnsi="Times New Roman"/>
          <w:sz w:val="24"/>
          <w:szCs w:val="24"/>
        </w:rPr>
        <w:t>torvum</w:t>
      </w:r>
      <w:proofErr w:type="spellEnd"/>
      <w:r w:rsidRPr="00266AB3">
        <w:rPr>
          <w:rFonts w:ascii="Times New Roman" w:hAnsi="Times New Roman"/>
          <w:sz w:val="24"/>
          <w:szCs w:val="24"/>
        </w:rPr>
        <w:t xml:space="preserve"> on the population dynamics of Meloidogyne incognita and M. javanica and crop yield losses. Plant Pathology, 73(9), 2477–2489. </w:t>
      </w:r>
      <w:hyperlink r:id="rId19" w:history="1">
        <w:r w:rsidRPr="00266AB3">
          <w:rPr>
            <w:rFonts w:ascii="Times New Roman" w:hAnsi="Times New Roman"/>
            <w:color w:val="0000FF"/>
            <w:sz w:val="24"/>
            <w:szCs w:val="24"/>
            <w:u w:val="single"/>
          </w:rPr>
          <w:t>https://doi.org/10.1111/ppa.13991</w:t>
        </w:r>
      </w:hyperlink>
    </w:p>
    <w:p w14:paraId="08490D8F"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Ioannou, N. (2001). Integrating soil solarization with grafting on resistant rootstocks for management of soil-borne pathogens of eggplant. The Journal of Horticultural Science and Biotechnology, 76(4), 396–401. </w:t>
      </w:r>
      <w:hyperlink r:id="rId20" w:history="1">
        <w:r w:rsidRPr="00266AB3">
          <w:rPr>
            <w:rFonts w:ascii="Times New Roman" w:hAnsi="Times New Roman"/>
            <w:color w:val="0000FF"/>
            <w:sz w:val="24"/>
            <w:szCs w:val="24"/>
            <w:u w:val="single"/>
          </w:rPr>
          <w:t>https://doi.org/10.1080/14620316.2001.11511383</w:t>
        </w:r>
      </w:hyperlink>
    </w:p>
    <w:p w14:paraId="7599E284"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Jones, J. T., </w:t>
      </w:r>
      <w:proofErr w:type="spellStart"/>
      <w:r w:rsidRPr="00266AB3">
        <w:rPr>
          <w:rFonts w:ascii="Times New Roman" w:hAnsi="Times New Roman"/>
          <w:sz w:val="24"/>
          <w:szCs w:val="24"/>
        </w:rPr>
        <w:t>Haegeman</w:t>
      </w:r>
      <w:proofErr w:type="spellEnd"/>
      <w:r w:rsidRPr="00266AB3">
        <w:rPr>
          <w:rFonts w:ascii="Times New Roman" w:hAnsi="Times New Roman"/>
          <w:sz w:val="24"/>
          <w:szCs w:val="24"/>
        </w:rPr>
        <w:t xml:space="preserve">, A., </w:t>
      </w:r>
      <w:proofErr w:type="spellStart"/>
      <w:r w:rsidRPr="00266AB3">
        <w:rPr>
          <w:rFonts w:ascii="Times New Roman" w:hAnsi="Times New Roman"/>
          <w:sz w:val="24"/>
          <w:szCs w:val="24"/>
        </w:rPr>
        <w:t>Danchin</w:t>
      </w:r>
      <w:proofErr w:type="spellEnd"/>
      <w:r w:rsidRPr="00266AB3">
        <w:rPr>
          <w:rFonts w:ascii="Times New Roman" w:hAnsi="Times New Roman"/>
          <w:sz w:val="24"/>
          <w:szCs w:val="24"/>
        </w:rPr>
        <w:t xml:space="preserve">, E. G. J., Gaur, H. S., Helder, J., Jones, M. G. K., Kikuchi, T., Manzanilla-López, R., Palomares-Rius, J. E., </w:t>
      </w:r>
      <w:proofErr w:type="spellStart"/>
      <w:r w:rsidRPr="00266AB3">
        <w:rPr>
          <w:rFonts w:ascii="Times New Roman" w:hAnsi="Times New Roman"/>
          <w:sz w:val="24"/>
          <w:szCs w:val="24"/>
        </w:rPr>
        <w:t>Wesemael</w:t>
      </w:r>
      <w:proofErr w:type="spellEnd"/>
      <w:r w:rsidRPr="00266AB3">
        <w:rPr>
          <w:rFonts w:ascii="Times New Roman" w:hAnsi="Times New Roman"/>
          <w:sz w:val="24"/>
          <w:szCs w:val="24"/>
        </w:rPr>
        <w:t xml:space="preserve">, W. M. L., &amp; Perry, R. N. (2013). Top 10 plant-parasitic nematodes in molecular plant pathology. Molecular Plant Pathology, 14(9), 946–961. </w:t>
      </w:r>
      <w:hyperlink r:id="rId21" w:history="1">
        <w:r w:rsidRPr="00266AB3">
          <w:rPr>
            <w:rFonts w:ascii="Times New Roman" w:hAnsi="Times New Roman"/>
            <w:color w:val="0000FF"/>
            <w:sz w:val="24"/>
            <w:szCs w:val="24"/>
            <w:u w:val="single"/>
          </w:rPr>
          <w:t>https://doi.org/10.1111/mpp.12057</w:t>
        </w:r>
      </w:hyperlink>
    </w:p>
    <w:p w14:paraId="2B93CB4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Kacjan-Maršić, N., &amp; Osvald, J. (2004). The influence of grafting on yield of two tomato cultivars (Lycopersicon esculentum Mill.) grown in a plastic house. Acta </w:t>
      </w:r>
      <w:proofErr w:type="spellStart"/>
      <w:r w:rsidRPr="00266AB3">
        <w:rPr>
          <w:rFonts w:ascii="Times New Roman" w:hAnsi="Times New Roman"/>
          <w:sz w:val="24"/>
          <w:szCs w:val="24"/>
        </w:rPr>
        <w:t>Agriculturae</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Slovenica</w:t>
      </w:r>
      <w:proofErr w:type="spellEnd"/>
      <w:r w:rsidRPr="00266AB3">
        <w:rPr>
          <w:rFonts w:ascii="Times New Roman" w:hAnsi="Times New Roman"/>
          <w:sz w:val="24"/>
          <w:szCs w:val="24"/>
        </w:rPr>
        <w:t xml:space="preserve">, 83(2), 243–249. </w:t>
      </w:r>
      <w:hyperlink r:id="rId22" w:history="1">
        <w:r w:rsidRPr="00266AB3">
          <w:rPr>
            <w:rFonts w:ascii="Times New Roman" w:hAnsi="Times New Roman"/>
            <w:color w:val="0000FF"/>
            <w:sz w:val="24"/>
            <w:szCs w:val="24"/>
            <w:u w:val="single"/>
          </w:rPr>
          <w:t>https://doi.org/10.14720/aas.2004.83.2.15428</w:t>
        </w:r>
      </w:hyperlink>
    </w:p>
    <w:p w14:paraId="5FEB31CC"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lastRenderedPageBreak/>
        <w:t xml:space="preserve">Karssen, G., &amp; Moens, M. (2006). Root-knot nematodes. In R. N. Perry &amp; M. Moens (Eds.), Plant nematology (pp. 59–90). CABI. </w:t>
      </w:r>
      <w:hyperlink r:id="rId23" w:history="1">
        <w:r w:rsidRPr="00266AB3">
          <w:rPr>
            <w:rFonts w:ascii="Times New Roman" w:hAnsi="Times New Roman"/>
            <w:color w:val="0000FF"/>
            <w:sz w:val="24"/>
            <w:szCs w:val="24"/>
            <w:u w:val="single"/>
          </w:rPr>
          <w:t>https://doi.org/10.1079/9781845930561.0059</w:t>
        </w:r>
      </w:hyperlink>
    </w:p>
    <w:p w14:paraId="5CE23D5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Karssen, G., </w:t>
      </w:r>
      <w:proofErr w:type="spellStart"/>
      <w:r w:rsidRPr="00266AB3">
        <w:rPr>
          <w:rFonts w:ascii="Times New Roman" w:hAnsi="Times New Roman"/>
          <w:sz w:val="24"/>
          <w:szCs w:val="24"/>
        </w:rPr>
        <w:t>Wesemael</w:t>
      </w:r>
      <w:proofErr w:type="spellEnd"/>
      <w:r w:rsidRPr="00266AB3">
        <w:rPr>
          <w:rFonts w:ascii="Times New Roman" w:hAnsi="Times New Roman"/>
          <w:sz w:val="24"/>
          <w:szCs w:val="24"/>
        </w:rPr>
        <w:t xml:space="preserve">, W. M. L., &amp; Moens, M. (2013). Root-knot nematodes. In R. N. Perry &amp; M. Moens (Eds.), Plant nematology (2nd ed., pp. 73–108). CABI. </w:t>
      </w:r>
      <w:hyperlink r:id="rId24" w:history="1">
        <w:r w:rsidRPr="00266AB3">
          <w:rPr>
            <w:rFonts w:ascii="Times New Roman" w:hAnsi="Times New Roman"/>
            <w:color w:val="0000FF"/>
            <w:sz w:val="24"/>
            <w:szCs w:val="24"/>
            <w:u w:val="single"/>
          </w:rPr>
          <w:t>https://doi.org/10.1079/9781780641515.0073</w:t>
        </w:r>
      </w:hyperlink>
    </w:p>
    <w:p w14:paraId="6E592C51"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Kepenekci</w:t>
      </w:r>
      <w:proofErr w:type="spellEnd"/>
      <w:r w:rsidRPr="00266AB3">
        <w:rPr>
          <w:rFonts w:ascii="Times New Roman" w:hAnsi="Times New Roman"/>
          <w:sz w:val="24"/>
          <w:szCs w:val="24"/>
        </w:rPr>
        <w:t xml:space="preserve">, I., Hazir, S., </w:t>
      </w:r>
      <w:proofErr w:type="spellStart"/>
      <w:r w:rsidRPr="00266AB3">
        <w:rPr>
          <w:rFonts w:ascii="Times New Roman" w:hAnsi="Times New Roman"/>
          <w:sz w:val="24"/>
          <w:szCs w:val="24"/>
        </w:rPr>
        <w:t>Oksal</w:t>
      </w:r>
      <w:proofErr w:type="spellEnd"/>
      <w:r w:rsidRPr="00266AB3">
        <w:rPr>
          <w:rFonts w:ascii="Times New Roman" w:hAnsi="Times New Roman"/>
          <w:sz w:val="24"/>
          <w:szCs w:val="24"/>
        </w:rPr>
        <w:t xml:space="preserve">, E., &amp; Lewis, E. E. (2018). Application methods of Steinernema </w:t>
      </w:r>
      <w:proofErr w:type="spellStart"/>
      <w:r w:rsidRPr="00266AB3">
        <w:rPr>
          <w:rFonts w:ascii="Times New Roman" w:hAnsi="Times New Roman"/>
          <w:sz w:val="24"/>
          <w:szCs w:val="24"/>
        </w:rPr>
        <w:t>feltiae</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Xenorhabdus</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bovienii</w:t>
      </w:r>
      <w:proofErr w:type="spellEnd"/>
      <w:r w:rsidRPr="00266AB3">
        <w:rPr>
          <w:rFonts w:ascii="Times New Roman" w:hAnsi="Times New Roman"/>
          <w:sz w:val="24"/>
          <w:szCs w:val="24"/>
        </w:rPr>
        <w:t xml:space="preserve"> and </w:t>
      </w:r>
      <w:proofErr w:type="spellStart"/>
      <w:r w:rsidRPr="00266AB3">
        <w:rPr>
          <w:rFonts w:ascii="Times New Roman" w:hAnsi="Times New Roman"/>
          <w:sz w:val="24"/>
          <w:szCs w:val="24"/>
        </w:rPr>
        <w:t>Purpureocillium</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lilacinum</w:t>
      </w:r>
      <w:proofErr w:type="spellEnd"/>
      <w:r w:rsidRPr="00266AB3">
        <w:rPr>
          <w:rFonts w:ascii="Times New Roman" w:hAnsi="Times New Roman"/>
          <w:sz w:val="24"/>
          <w:szCs w:val="24"/>
        </w:rPr>
        <w:t xml:space="preserve"> to control root-knot nematodes in greenhouse tomato systems. Crop Protection, 108, 31–38. </w:t>
      </w:r>
      <w:hyperlink r:id="rId25" w:history="1">
        <w:r w:rsidRPr="00266AB3">
          <w:rPr>
            <w:rFonts w:ascii="Times New Roman" w:hAnsi="Times New Roman"/>
            <w:color w:val="0000FF"/>
            <w:sz w:val="24"/>
            <w:szCs w:val="24"/>
            <w:u w:val="single"/>
          </w:rPr>
          <w:t>https://doi.org/10.1016/j.cropro.2018.02.009</w:t>
        </w:r>
      </w:hyperlink>
    </w:p>
    <w:p w14:paraId="6E061237"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Khan, A., Khan, A., Ali, A., Fatima, S., &amp; Siddiqui, M. A. (2023). Root-knot nematodes (Meloidogyne spp.): Biology, plant-nematode interactions and their environmentally benign management strategies. </w:t>
      </w:r>
      <w:proofErr w:type="spellStart"/>
      <w:r w:rsidRPr="00266AB3">
        <w:rPr>
          <w:rFonts w:ascii="Times New Roman" w:hAnsi="Times New Roman"/>
          <w:sz w:val="24"/>
          <w:szCs w:val="24"/>
        </w:rPr>
        <w:t>Gesunde</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Pflanzen</w:t>
      </w:r>
      <w:proofErr w:type="spellEnd"/>
      <w:r w:rsidRPr="00266AB3">
        <w:rPr>
          <w:rFonts w:ascii="Times New Roman" w:hAnsi="Times New Roman"/>
          <w:sz w:val="24"/>
          <w:szCs w:val="24"/>
        </w:rPr>
        <w:t xml:space="preserve">, 75(6), 2187–2205. </w:t>
      </w:r>
      <w:hyperlink r:id="rId26" w:history="1">
        <w:r w:rsidRPr="00266AB3">
          <w:rPr>
            <w:rFonts w:ascii="Times New Roman" w:hAnsi="Times New Roman"/>
            <w:color w:val="0000FF"/>
            <w:sz w:val="24"/>
            <w:szCs w:val="24"/>
            <w:u w:val="single"/>
          </w:rPr>
          <w:t>https://doi.org/10.1007/s10343-023-00886-5</w:t>
        </w:r>
      </w:hyperlink>
    </w:p>
    <w:p w14:paraId="79F5AC4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Kumar, P., Sharma, P., &amp; Vats, B. (2017). Effect of grafting tomato on different rootstocks under protected environment in mid hills of NW Himalayan region. Agricultural Science Digest, 37(1), 81–82. </w:t>
      </w:r>
      <w:hyperlink r:id="rId27" w:history="1">
        <w:r w:rsidRPr="00266AB3">
          <w:rPr>
            <w:rFonts w:ascii="Times New Roman" w:hAnsi="Times New Roman"/>
            <w:color w:val="0000FF"/>
            <w:sz w:val="24"/>
            <w:szCs w:val="24"/>
            <w:u w:val="single"/>
          </w:rPr>
          <w:t>https://doi.org/10.18805/asd.v0iOF.7323</w:t>
        </w:r>
      </w:hyperlink>
    </w:p>
    <w:p w14:paraId="60E034E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Leal-Fernández, C., Godoy-Hernández, H., Núñez-</w:t>
      </w:r>
      <w:proofErr w:type="spellStart"/>
      <w:r w:rsidRPr="00266AB3">
        <w:rPr>
          <w:rFonts w:ascii="Times New Roman" w:hAnsi="Times New Roman"/>
          <w:sz w:val="24"/>
          <w:szCs w:val="24"/>
        </w:rPr>
        <w:t>Colín</w:t>
      </w:r>
      <w:proofErr w:type="spellEnd"/>
      <w:r w:rsidRPr="00266AB3">
        <w:rPr>
          <w:rFonts w:ascii="Times New Roman" w:hAnsi="Times New Roman"/>
          <w:sz w:val="24"/>
          <w:szCs w:val="24"/>
        </w:rPr>
        <w:t xml:space="preserve">, C. A., Anaya-López, J. L., Villalobos-Reyes, S., &amp; Castellanos, J. Z. (2013). Morphological response and fruit yield of sweet pepper (Capsicum annuum L.) grafted onto different commercial rootstocks. Biological Agriculture &amp; Horticulture, 29(1), 1–11. </w:t>
      </w:r>
      <w:hyperlink r:id="rId28" w:history="1">
        <w:r w:rsidRPr="00266AB3">
          <w:rPr>
            <w:rFonts w:ascii="Times New Roman" w:hAnsi="Times New Roman"/>
            <w:color w:val="0000FF"/>
            <w:sz w:val="24"/>
            <w:szCs w:val="24"/>
            <w:u w:val="single"/>
          </w:rPr>
          <w:t>https://doi.org/10.1080/01448765.2012.746063</w:t>
        </w:r>
      </w:hyperlink>
    </w:p>
    <w:p w14:paraId="145B6D66"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Lee, J. M. (1994). Cultivation of grafted vegetables I. Current status, grafting methods, and benefits. </w:t>
      </w:r>
      <w:proofErr w:type="spellStart"/>
      <w:r w:rsidRPr="00266AB3">
        <w:rPr>
          <w:rFonts w:ascii="Times New Roman" w:hAnsi="Times New Roman"/>
          <w:sz w:val="24"/>
          <w:szCs w:val="24"/>
        </w:rPr>
        <w:t>HortScience</w:t>
      </w:r>
      <w:proofErr w:type="spellEnd"/>
      <w:r w:rsidRPr="00266AB3">
        <w:rPr>
          <w:rFonts w:ascii="Times New Roman" w:hAnsi="Times New Roman"/>
          <w:sz w:val="24"/>
          <w:szCs w:val="24"/>
        </w:rPr>
        <w:t xml:space="preserve">, 29(4), 235–239. </w:t>
      </w:r>
      <w:hyperlink r:id="rId29" w:history="1">
        <w:r w:rsidRPr="00266AB3">
          <w:rPr>
            <w:rFonts w:ascii="Times New Roman" w:hAnsi="Times New Roman"/>
            <w:color w:val="0000FF"/>
            <w:sz w:val="24"/>
            <w:szCs w:val="24"/>
            <w:u w:val="single"/>
          </w:rPr>
          <w:t>https://doi.org/10.21273/HORTSCI.29.4.235</w:t>
        </w:r>
      </w:hyperlink>
    </w:p>
    <w:p w14:paraId="12809AD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Mahmoud, A. M. A., Osman, N. H., El-</w:t>
      </w:r>
      <w:proofErr w:type="spellStart"/>
      <w:r w:rsidRPr="00266AB3">
        <w:rPr>
          <w:rFonts w:ascii="Times New Roman" w:hAnsi="Times New Roman"/>
          <w:sz w:val="24"/>
          <w:szCs w:val="24"/>
        </w:rPr>
        <w:t>Eslamboly</w:t>
      </w:r>
      <w:proofErr w:type="spellEnd"/>
      <w:r w:rsidRPr="00266AB3">
        <w:rPr>
          <w:rFonts w:ascii="Times New Roman" w:hAnsi="Times New Roman"/>
          <w:sz w:val="24"/>
          <w:szCs w:val="24"/>
        </w:rPr>
        <w:t xml:space="preserve">, A. A. S. A., Adam, M., &amp; </w:t>
      </w:r>
      <w:proofErr w:type="spellStart"/>
      <w:r w:rsidRPr="00266AB3">
        <w:rPr>
          <w:rFonts w:ascii="Times New Roman" w:hAnsi="Times New Roman"/>
          <w:sz w:val="24"/>
          <w:szCs w:val="24"/>
        </w:rPr>
        <w:t>Maraey</w:t>
      </w:r>
      <w:proofErr w:type="spellEnd"/>
      <w:r w:rsidRPr="00266AB3">
        <w:rPr>
          <w:rFonts w:ascii="Times New Roman" w:hAnsi="Times New Roman"/>
          <w:sz w:val="24"/>
          <w:szCs w:val="24"/>
        </w:rPr>
        <w:t xml:space="preserve">, M. A. A. (2026). Integrated eco-friendly management of Meloidogyne incognita in greenhouse-grown tomato via grafting onto resistant rootstocks and bacterial bioagent seed coating. Plant Growth Regulation, 106, Article 46. </w:t>
      </w:r>
      <w:hyperlink r:id="rId30" w:history="1">
        <w:r w:rsidRPr="00266AB3">
          <w:rPr>
            <w:rFonts w:ascii="Times New Roman" w:hAnsi="Times New Roman"/>
            <w:color w:val="0000FF"/>
            <w:sz w:val="24"/>
            <w:szCs w:val="24"/>
            <w:u w:val="single"/>
          </w:rPr>
          <w:t>https://doi.org/10.1007/s10725-026-01447-2</w:t>
        </w:r>
      </w:hyperlink>
    </w:p>
    <w:p w14:paraId="6AC16AE5"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Matsuzoe</w:t>
      </w:r>
      <w:proofErr w:type="spellEnd"/>
      <w:r w:rsidRPr="00266AB3">
        <w:rPr>
          <w:rFonts w:ascii="Times New Roman" w:hAnsi="Times New Roman"/>
          <w:sz w:val="24"/>
          <w:szCs w:val="24"/>
        </w:rPr>
        <w:t xml:space="preserve">, N., Nakamura, H., Okubo, H., &amp; Fujieda, K. (1993). Growth and yield of tomato plants grafted on Solanum rootstocks. Journal of the Japanese Society for Horticultural Science, 61(4), 847–855. </w:t>
      </w:r>
      <w:hyperlink r:id="rId31" w:history="1">
        <w:r w:rsidRPr="00266AB3">
          <w:rPr>
            <w:rFonts w:ascii="Times New Roman" w:hAnsi="Times New Roman"/>
            <w:color w:val="0000FF"/>
            <w:sz w:val="24"/>
            <w:szCs w:val="24"/>
            <w:u w:val="single"/>
          </w:rPr>
          <w:t>https://doi.org/10.2503/jjshs.61.847</w:t>
        </w:r>
      </w:hyperlink>
    </w:p>
    <w:p w14:paraId="192EBAE5"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Maurya, H. K., Lata, R., Sundar, S., Mitra, D. S., Singh, H., &amp; Yadav, G. C. (2025). Scientific advances in tomato (Solanum </w:t>
      </w:r>
      <w:proofErr w:type="spellStart"/>
      <w:r w:rsidRPr="00266AB3">
        <w:rPr>
          <w:rFonts w:ascii="Times New Roman" w:hAnsi="Times New Roman"/>
          <w:sz w:val="24"/>
          <w:szCs w:val="24"/>
        </w:rPr>
        <w:t>lycopersicum</w:t>
      </w:r>
      <w:proofErr w:type="spellEnd"/>
      <w:r w:rsidRPr="00266AB3">
        <w:rPr>
          <w:rFonts w:ascii="Times New Roman" w:hAnsi="Times New Roman"/>
          <w:sz w:val="24"/>
          <w:szCs w:val="24"/>
        </w:rPr>
        <w:t xml:space="preserve"> L.) cultivation, agronomic </w:t>
      </w:r>
      <w:r w:rsidRPr="00266AB3">
        <w:rPr>
          <w:rFonts w:ascii="Times New Roman" w:hAnsi="Times New Roman"/>
          <w:sz w:val="24"/>
          <w:szCs w:val="24"/>
        </w:rPr>
        <w:lastRenderedPageBreak/>
        <w:t xml:space="preserve">innovation and genetic improvement: A comprehensive review. Journal of Advances in Biology &amp; Biotechnology, 28(10), 781–803. </w:t>
      </w:r>
      <w:hyperlink r:id="rId32" w:history="1">
        <w:r w:rsidRPr="00266AB3">
          <w:rPr>
            <w:rFonts w:ascii="Times New Roman" w:hAnsi="Times New Roman"/>
            <w:color w:val="0000FF"/>
            <w:sz w:val="24"/>
            <w:szCs w:val="24"/>
            <w:u w:val="single"/>
          </w:rPr>
          <w:t>https://doi.org/10.9734/jabb/2025/v28i103103</w:t>
        </w:r>
      </w:hyperlink>
    </w:p>
    <w:p w14:paraId="30C4A5A7"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Ministry of Agriculture and Farmers Welfare. (2025). Third advance estimates of area and production of horticultural crops for the year 2024–25. Government of India. </w:t>
      </w:r>
      <w:hyperlink r:id="rId33" w:history="1">
        <w:r w:rsidRPr="00266AB3">
          <w:rPr>
            <w:rFonts w:ascii="Times New Roman" w:hAnsi="Times New Roman"/>
            <w:color w:val="0000FF"/>
            <w:sz w:val="24"/>
            <w:szCs w:val="24"/>
            <w:u w:val="single"/>
          </w:rPr>
          <w:t>https://www.pib.gov.in/PressReleasePage.aspx?PRID=2194573</w:t>
        </w:r>
      </w:hyperlink>
    </w:p>
    <w:p w14:paraId="0313D5EF"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Moncada, A., Miceli, A., Vetrano, F., Mineo, V., Planeta, D., &amp; D’Anna, F. (2013). Effect of grafting on yield and quality of eggplant (Solanum melongena L.). Scientia </w:t>
      </w:r>
      <w:proofErr w:type="spellStart"/>
      <w:r w:rsidRPr="00266AB3">
        <w:rPr>
          <w:rFonts w:ascii="Times New Roman" w:hAnsi="Times New Roman"/>
          <w:sz w:val="24"/>
          <w:szCs w:val="24"/>
        </w:rPr>
        <w:t>Horticulturae</w:t>
      </w:r>
      <w:proofErr w:type="spellEnd"/>
      <w:r w:rsidRPr="00266AB3">
        <w:rPr>
          <w:rFonts w:ascii="Times New Roman" w:hAnsi="Times New Roman"/>
          <w:sz w:val="24"/>
          <w:szCs w:val="24"/>
        </w:rPr>
        <w:t xml:space="preserve">, 149, 108–114. </w:t>
      </w:r>
      <w:hyperlink r:id="rId34" w:history="1">
        <w:r w:rsidRPr="00266AB3">
          <w:rPr>
            <w:rFonts w:ascii="Times New Roman" w:hAnsi="Times New Roman"/>
            <w:color w:val="0000FF"/>
            <w:sz w:val="24"/>
            <w:szCs w:val="24"/>
            <w:u w:val="single"/>
          </w:rPr>
          <w:t>https://doi.org/10.1016/j.scienta.2012.06.015</w:t>
        </w:r>
      </w:hyperlink>
    </w:p>
    <w:p w14:paraId="2B02D245"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Muter, S. S., </w:t>
      </w:r>
      <w:proofErr w:type="spellStart"/>
      <w:r w:rsidRPr="00266AB3">
        <w:rPr>
          <w:rFonts w:ascii="Times New Roman" w:hAnsi="Times New Roman"/>
          <w:sz w:val="24"/>
          <w:szCs w:val="24"/>
        </w:rPr>
        <w:t>Abdalhamed</w:t>
      </w:r>
      <w:proofErr w:type="spellEnd"/>
      <w:r w:rsidRPr="00266AB3">
        <w:rPr>
          <w:rFonts w:ascii="Times New Roman" w:hAnsi="Times New Roman"/>
          <w:sz w:val="24"/>
          <w:szCs w:val="24"/>
        </w:rPr>
        <w:t xml:space="preserve">, E. H. M. A., &amp; </w:t>
      </w:r>
      <w:proofErr w:type="spellStart"/>
      <w:r w:rsidRPr="00266AB3">
        <w:rPr>
          <w:rFonts w:ascii="Times New Roman" w:hAnsi="Times New Roman"/>
          <w:sz w:val="24"/>
          <w:szCs w:val="24"/>
        </w:rPr>
        <w:t>Yaas</w:t>
      </w:r>
      <w:proofErr w:type="spellEnd"/>
      <w:r w:rsidRPr="00266AB3">
        <w:rPr>
          <w:rFonts w:ascii="Times New Roman" w:hAnsi="Times New Roman"/>
          <w:sz w:val="24"/>
          <w:szCs w:val="24"/>
        </w:rPr>
        <w:t xml:space="preserve">, S. T. A. (2026). Using Bacillus thuringiensis and Trichoderma </w:t>
      </w:r>
      <w:proofErr w:type="spellStart"/>
      <w:r w:rsidRPr="00266AB3">
        <w:rPr>
          <w:rFonts w:ascii="Times New Roman" w:hAnsi="Times New Roman"/>
          <w:sz w:val="24"/>
          <w:szCs w:val="24"/>
        </w:rPr>
        <w:t>harzianum</w:t>
      </w:r>
      <w:proofErr w:type="spellEnd"/>
      <w:r w:rsidRPr="00266AB3">
        <w:rPr>
          <w:rFonts w:ascii="Times New Roman" w:hAnsi="Times New Roman"/>
          <w:sz w:val="24"/>
          <w:szCs w:val="24"/>
        </w:rPr>
        <w:t xml:space="preserve"> in managing root-knot nematodes (Meloidogyne incognita) on tomato crop under pot conditions. Journal of Experimental Agriculture International, 48(2), 648–657. </w:t>
      </w:r>
      <w:hyperlink r:id="rId35" w:history="1">
        <w:r w:rsidRPr="00266AB3">
          <w:rPr>
            <w:rFonts w:ascii="Times New Roman" w:hAnsi="Times New Roman"/>
            <w:color w:val="0000FF"/>
            <w:sz w:val="24"/>
            <w:szCs w:val="24"/>
            <w:u w:val="single"/>
          </w:rPr>
          <w:t>https://doi.org/10.9734/jeai/2026/v48i24095</w:t>
        </w:r>
      </w:hyperlink>
    </w:p>
    <w:p w14:paraId="26496D7F"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Nagachandrabose</w:t>
      </w:r>
      <w:proofErr w:type="spellEnd"/>
      <w:r w:rsidRPr="00266AB3">
        <w:rPr>
          <w:rFonts w:ascii="Times New Roman" w:hAnsi="Times New Roman"/>
          <w:sz w:val="24"/>
          <w:szCs w:val="24"/>
        </w:rPr>
        <w:t xml:space="preserve">, S., Shanthi, M., Shanmugam, S. P., </w:t>
      </w:r>
      <w:proofErr w:type="spellStart"/>
      <w:r w:rsidRPr="00266AB3">
        <w:rPr>
          <w:rFonts w:ascii="Times New Roman" w:hAnsi="Times New Roman"/>
          <w:sz w:val="24"/>
          <w:szCs w:val="24"/>
        </w:rPr>
        <w:t>Elaiyabharathi</w:t>
      </w:r>
      <w:proofErr w:type="spellEnd"/>
      <w:r w:rsidRPr="00266AB3">
        <w:rPr>
          <w:rFonts w:ascii="Times New Roman" w:hAnsi="Times New Roman"/>
          <w:sz w:val="24"/>
          <w:szCs w:val="24"/>
        </w:rPr>
        <w:t xml:space="preserve">, T., Sharmila, R., </w:t>
      </w:r>
      <w:proofErr w:type="spellStart"/>
      <w:r w:rsidRPr="00266AB3">
        <w:rPr>
          <w:rFonts w:ascii="Times New Roman" w:hAnsi="Times New Roman"/>
          <w:sz w:val="24"/>
          <w:szCs w:val="24"/>
        </w:rPr>
        <w:t>Devrajan</w:t>
      </w:r>
      <w:proofErr w:type="spellEnd"/>
      <w:r w:rsidRPr="00266AB3">
        <w:rPr>
          <w:rFonts w:ascii="Times New Roman" w:hAnsi="Times New Roman"/>
          <w:sz w:val="24"/>
          <w:szCs w:val="24"/>
        </w:rPr>
        <w:t xml:space="preserve">, K., Manickam, R., &amp; Srinivasan, R. (2025). Integrating grafting and bio-inputs for sustainable management of root knot nematode, Meloidogyne incognita, in tomato cultivation. Frontiers in Plant Science, 16, Article 1623444. </w:t>
      </w:r>
      <w:hyperlink r:id="rId36" w:history="1">
        <w:r w:rsidRPr="00266AB3">
          <w:rPr>
            <w:rFonts w:ascii="Times New Roman" w:hAnsi="Times New Roman"/>
            <w:color w:val="0000FF"/>
            <w:sz w:val="24"/>
            <w:szCs w:val="24"/>
            <w:u w:val="single"/>
          </w:rPr>
          <w:t>https://doi.org/10.3389/fpls.2025.1623444</w:t>
        </w:r>
      </w:hyperlink>
    </w:p>
    <w:p w14:paraId="69FA761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Okorley, B. A., Agyeman, C., Amissah, N., &amp; </w:t>
      </w:r>
      <w:proofErr w:type="spellStart"/>
      <w:r w:rsidRPr="00266AB3">
        <w:rPr>
          <w:rFonts w:ascii="Times New Roman" w:hAnsi="Times New Roman"/>
          <w:sz w:val="24"/>
          <w:szCs w:val="24"/>
        </w:rPr>
        <w:t>Nyaku</w:t>
      </w:r>
      <w:proofErr w:type="spellEnd"/>
      <w:r w:rsidRPr="00266AB3">
        <w:rPr>
          <w:rFonts w:ascii="Times New Roman" w:hAnsi="Times New Roman"/>
          <w:sz w:val="24"/>
          <w:szCs w:val="24"/>
        </w:rPr>
        <w:t xml:space="preserve">, S. T. (2018). Screening selected Solanum plants as potential rootstocks for the management of root-knot nematodes (Meloidogyne incognita). International Journal of Agronomy, 2018, Article 6715909. </w:t>
      </w:r>
      <w:hyperlink r:id="rId37" w:history="1">
        <w:r w:rsidRPr="00266AB3">
          <w:rPr>
            <w:rFonts w:ascii="Times New Roman" w:hAnsi="Times New Roman"/>
            <w:color w:val="0000FF"/>
            <w:sz w:val="24"/>
            <w:szCs w:val="24"/>
            <w:u w:val="single"/>
          </w:rPr>
          <w:t>https://doi.org/10.1155/2018/6715909</w:t>
        </w:r>
      </w:hyperlink>
    </w:p>
    <w:p w14:paraId="4891C2E6"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Öçal</w:t>
      </w:r>
      <w:proofErr w:type="spellEnd"/>
      <w:r w:rsidRPr="00266AB3">
        <w:rPr>
          <w:rFonts w:ascii="Times New Roman" w:hAnsi="Times New Roman"/>
          <w:sz w:val="24"/>
          <w:szCs w:val="24"/>
        </w:rPr>
        <w:t>, S., &amp; Devran, Z. (2019). Response of eggplant genotypes to avirulent and virulent populations of Meloidogyne incognita (Kofoid and White, 1919) Chitwood, 1949 (</w:t>
      </w:r>
      <w:proofErr w:type="spellStart"/>
      <w:r w:rsidRPr="00266AB3">
        <w:rPr>
          <w:rFonts w:ascii="Times New Roman" w:hAnsi="Times New Roman"/>
          <w:sz w:val="24"/>
          <w:szCs w:val="24"/>
        </w:rPr>
        <w:t>Tylenchida</w:t>
      </w:r>
      <w:proofErr w:type="spellEnd"/>
      <w:r w:rsidRPr="00266AB3">
        <w:rPr>
          <w:rFonts w:ascii="Times New Roman" w:hAnsi="Times New Roman"/>
          <w:sz w:val="24"/>
          <w:szCs w:val="24"/>
        </w:rPr>
        <w:t xml:space="preserve">: </w:t>
      </w:r>
      <w:proofErr w:type="spellStart"/>
      <w:r w:rsidRPr="00266AB3">
        <w:rPr>
          <w:rFonts w:ascii="Times New Roman" w:hAnsi="Times New Roman"/>
          <w:sz w:val="24"/>
          <w:szCs w:val="24"/>
        </w:rPr>
        <w:t>Meloidogynidae</w:t>
      </w:r>
      <w:proofErr w:type="spellEnd"/>
      <w:r w:rsidRPr="00266AB3">
        <w:rPr>
          <w:rFonts w:ascii="Times New Roman" w:hAnsi="Times New Roman"/>
          <w:sz w:val="24"/>
          <w:szCs w:val="24"/>
        </w:rPr>
        <w:t xml:space="preserve">). Turkish Journal of Entomology, 43(3), 287–300. </w:t>
      </w:r>
      <w:hyperlink r:id="rId38" w:history="1">
        <w:r w:rsidRPr="00266AB3">
          <w:rPr>
            <w:rFonts w:ascii="Times New Roman" w:hAnsi="Times New Roman"/>
            <w:color w:val="0000FF"/>
            <w:sz w:val="24"/>
            <w:szCs w:val="24"/>
            <w:u w:val="single"/>
          </w:rPr>
          <w:t>https://doi.org/10.16970/entoted.562208</w:t>
        </w:r>
      </w:hyperlink>
    </w:p>
    <w:p w14:paraId="1AEECA46"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Owusu, S. B., </w:t>
      </w:r>
      <w:proofErr w:type="spellStart"/>
      <w:r w:rsidRPr="00266AB3">
        <w:rPr>
          <w:rFonts w:ascii="Times New Roman" w:hAnsi="Times New Roman"/>
          <w:sz w:val="24"/>
          <w:szCs w:val="24"/>
        </w:rPr>
        <w:t>Kwoseh</w:t>
      </w:r>
      <w:proofErr w:type="spellEnd"/>
      <w:r w:rsidRPr="00266AB3">
        <w:rPr>
          <w:rFonts w:ascii="Times New Roman" w:hAnsi="Times New Roman"/>
          <w:sz w:val="24"/>
          <w:szCs w:val="24"/>
        </w:rPr>
        <w:t xml:space="preserve">, C. K., Starr, J. L., &amp; Davies, F. T. (2016). Grafting for management of root-knot nematodes, Meloidogyne incognita, in tomato (Solanum </w:t>
      </w:r>
      <w:proofErr w:type="spellStart"/>
      <w:r w:rsidRPr="00266AB3">
        <w:rPr>
          <w:rFonts w:ascii="Times New Roman" w:hAnsi="Times New Roman"/>
          <w:sz w:val="24"/>
          <w:szCs w:val="24"/>
        </w:rPr>
        <w:t>lycopersicum</w:t>
      </w:r>
      <w:proofErr w:type="spellEnd"/>
      <w:r w:rsidRPr="00266AB3">
        <w:rPr>
          <w:rFonts w:ascii="Times New Roman" w:hAnsi="Times New Roman"/>
          <w:sz w:val="24"/>
          <w:szCs w:val="24"/>
        </w:rPr>
        <w:t xml:space="preserve"> L.). </w:t>
      </w:r>
      <w:proofErr w:type="spellStart"/>
      <w:r w:rsidRPr="00266AB3">
        <w:rPr>
          <w:rFonts w:ascii="Times New Roman" w:hAnsi="Times New Roman"/>
          <w:sz w:val="24"/>
          <w:szCs w:val="24"/>
        </w:rPr>
        <w:t>Nematropica</w:t>
      </w:r>
      <w:proofErr w:type="spellEnd"/>
      <w:r w:rsidRPr="00266AB3">
        <w:rPr>
          <w:rFonts w:ascii="Times New Roman" w:hAnsi="Times New Roman"/>
          <w:sz w:val="24"/>
          <w:szCs w:val="24"/>
        </w:rPr>
        <w:t xml:space="preserve">, 46(1), 14–21. </w:t>
      </w:r>
      <w:hyperlink r:id="rId39" w:history="1">
        <w:r w:rsidRPr="00266AB3">
          <w:rPr>
            <w:rFonts w:ascii="Times New Roman" w:hAnsi="Times New Roman"/>
            <w:color w:val="0000FF"/>
            <w:sz w:val="24"/>
            <w:szCs w:val="24"/>
            <w:u w:val="single"/>
          </w:rPr>
          <w:t>https://journals.flvc.org/nematropica/article/view/88169</w:t>
        </w:r>
      </w:hyperlink>
    </w:p>
    <w:p w14:paraId="55D2954D"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Peng, Y., &amp; Moens, M. (2003). Host resistance and tolerance to migratory plant-parasitic nematodes. Nematology, 5(2), 145–177. </w:t>
      </w:r>
      <w:hyperlink r:id="rId40" w:history="1">
        <w:r w:rsidRPr="00266AB3">
          <w:rPr>
            <w:rFonts w:ascii="Times New Roman" w:hAnsi="Times New Roman"/>
            <w:color w:val="0000FF"/>
            <w:sz w:val="24"/>
            <w:szCs w:val="24"/>
            <w:u w:val="single"/>
          </w:rPr>
          <w:t>https://doi.org/10.1163/156854103767139653</w:t>
        </w:r>
      </w:hyperlink>
    </w:p>
    <w:p w14:paraId="0AB69BD1"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lastRenderedPageBreak/>
        <w:t xml:space="preserve">Phani, V., Gowda, M. T., &amp; Dutta, T. K. (2024). Grafting vegetable crops to manage plant-parasitic nematodes: A review. Journal of Pest Science, 97(2), 539–560. </w:t>
      </w:r>
      <w:hyperlink r:id="rId41" w:history="1">
        <w:r w:rsidRPr="00266AB3">
          <w:rPr>
            <w:rFonts w:ascii="Times New Roman" w:hAnsi="Times New Roman"/>
            <w:color w:val="0000FF"/>
            <w:sz w:val="24"/>
            <w:szCs w:val="24"/>
            <w:u w:val="single"/>
          </w:rPr>
          <w:t>https://doi.org/10.1007/s10340-023-01658-w</w:t>
        </w:r>
      </w:hyperlink>
    </w:p>
    <w:p w14:paraId="1A846989"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Polimera</w:t>
      </w:r>
      <w:proofErr w:type="spellEnd"/>
      <w:r w:rsidRPr="00266AB3">
        <w:rPr>
          <w:rFonts w:ascii="Times New Roman" w:hAnsi="Times New Roman"/>
          <w:sz w:val="24"/>
          <w:szCs w:val="24"/>
        </w:rPr>
        <w:t xml:space="preserve">, P., Bhagawati, B., Kurulkar, U., Gogoi, S., &amp; Borah, P. K. (2022). Grafting for the management of Meloidogyne incognita in brinjal. Indian Journal of Nematology, 52(2), 141–148. </w:t>
      </w:r>
      <w:hyperlink r:id="rId42" w:history="1">
        <w:r w:rsidRPr="00266AB3">
          <w:rPr>
            <w:rFonts w:ascii="Times New Roman" w:hAnsi="Times New Roman"/>
            <w:color w:val="0000FF"/>
            <w:sz w:val="24"/>
            <w:szCs w:val="24"/>
            <w:u w:val="single"/>
          </w:rPr>
          <w:t>https://doi.org/10.5958/0974-4444.2022.00017.8</w:t>
        </w:r>
      </w:hyperlink>
    </w:p>
    <w:p w14:paraId="64D1609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Pulgar, G., </w:t>
      </w:r>
      <w:proofErr w:type="spellStart"/>
      <w:r w:rsidRPr="00266AB3">
        <w:rPr>
          <w:rFonts w:ascii="Times New Roman" w:hAnsi="Times New Roman"/>
          <w:sz w:val="24"/>
          <w:szCs w:val="24"/>
        </w:rPr>
        <w:t>Villora</w:t>
      </w:r>
      <w:proofErr w:type="spellEnd"/>
      <w:r w:rsidRPr="00266AB3">
        <w:rPr>
          <w:rFonts w:ascii="Times New Roman" w:hAnsi="Times New Roman"/>
          <w:sz w:val="24"/>
          <w:szCs w:val="24"/>
        </w:rPr>
        <w:t xml:space="preserve">, G., Moreno, D. A., &amp; Romero, L. (2000). Improving the mineral nutrition in grafted watermelon plants: Nitrogen metabolism. </w:t>
      </w:r>
      <w:proofErr w:type="spellStart"/>
      <w:r w:rsidRPr="00266AB3">
        <w:rPr>
          <w:rFonts w:ascii="Times New Roman" w:hAnsi="Times New Roman"/>
          <w:sz w:val="24"/>
          <w:szCs w:val="24"/>
        </w:rPr>
        <w:t>Biologia</w:t>
      </w:r>
      <w:proofErr w:type="spellEnd"/>
      <w:r w:rsidRPr="00266AB3">
        <w:rPr>
          <w:rFonts w:ascii="Times New Roman" w:hAnsi="Times New Roman"/>
          <w:sz w:val="24"/>
          <w:szCs w:val="24"/>
        </w:rPr>
        <w:t xml:space="preserve"> Plantarum, 43(4), 607–609. </w:t>
      </w:r>
      <w:hyperlink r:id="rId43" w:history="1">
        <w:r w:rsidRPr="00266AB3">
          <w:rPr>
            <w:rFonts w:ascii="Times New Roman" w:hAnsi="Times New Roman"/>
            <w:color w:val="0000FF"/>
            <w:sz w:val="24"/>
            <w:szCs w:val="24"/>
            <w:u w:val="single"/>
          </w:rPr>
          <w:t>https://doi.org/10.1023/A:1002856117053</w:t>
        </w:r>
      </w:hyperlink>
    </w:p>
    <w:p w14:paraId="4F7481E9"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Rahman, M. A., Rashid, M. A., Salam, M. A., Masud, M. A. T., Masum, A. S. M. H., &amp; Hossain, M. M. (2002). Performance of some grafted eggplant genotypes on wild Solanum root stocks against root-knot nematode. Journal of Biological Sciences, 2(7), 446–448. </w:t>
      </w:r>
      <w:hyperlink r:id="rId44" w:history="1">
        <w:r w:rsidRPr="00266AB3">
          <w:rPr>
            <w:rFonts w:ascii="Times New Roman" w:hAnsi="Times New Roman"/>
            <w:color w:val="0000FF"/>
            <w:sz w:val="24"/>
            <w:szCs w:val="24"/>
            <w:u w:val="single"/>
          </w:rPr>
          <w:t>https://doi.org/10.3923/jbs.2002.446.448</w:t>
        </w:r>
      </w:hyperlink>
    </w:p>
    <w:p w14:paraId="43A8B2CB"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Rahmatian, A., Delshad, M., &amp; Salehi, R. (2014). Effect of grafting on growth, yield and fruit quality of single and double stemmed tomato plants grown hydroponically. Horticulture, Environment, and Biotechnology, 55(2), 115–119. </w:t>
      </w:r>
      <w:hyperlink r:id="rId45" w:history="1">
        <w:r w:rsidRPr="00266AB3">
          <w:rPr>
            <w:rFonts w:ascii="Times New Roman" w:hAnsi="Times New Roman"/>
            <w:color w:val="0000FF"/>
            <w:sz w:val="24"/>
            <w:szCs w:val="24"/>
            <w:u w:val="single"/>
          </w:rPr>
          <w:t>https://doi.org/10.1007/s13580-014-0167-6</w:t>
        </w:r>
      </w:hyperlink>
    </w:p>
    <w:p w14:paraId="39DFE5D8"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Riga, P. (2015). Effect of rootstock on growth, fruit production and quality of tomato plants grown under low temperature and light conditions. Horticulture, Environment, and Biotechnology, 56(5), 626–638. </w:t>
      </w:r>
      <w:hyperlink r:id="rId46" w:history="1">
        <w:r w:rsidRPr="00266AB3">
          <w:rPr>
            <w:rFonts w:ascii="Times New Roman" w:hAnsi="Times New Roman"/>
            <w:color w:val="0000FF"/>
            <w:sz w:val="24"/>
            <w:szCs w:val="24"/>
            <w:u w:val="single"/>
          </w:rPr>
          <w:t>https://doi.org/10.1007/s13580-015-0042-0</w:t>
        </w:r>
      </w:hyperlink>
    </w:p>
    <w:p w14:paraId="5D816FF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Sadashiva, A. T., Hanson, P., Krishna Reddy, M., Ravishankar, K. V., Prasad, M., Prasanna, H. C., Madhavi Reddy, K., Singh, T. H., Saritha, R. K., Hussain, Z., Mythili, J. B., </w:t>
      </w:r>
      <w:proofErr w:type="spellStart"/>
      <w:r w:rsidRPr="00266AB3">
        <w:rPr>
          <w:rFonts w:ascii="Times New Roman" w:hAnsi="Times New Roman"/>
          <w:sz w:val="24"/>
          <w:szCs w:val="24"/>
        </w:rPr>
        <w:t>Shivashankara</w:t>
      </w:r>
      <w:proofErr w:type="spellEnd"/>
      <w:r w:rsidRPr="00266AB3">
        <w:rPr>
          <w:rFonts w:ascii="Times New Roman" w:hAnsi="Times New Roman"/>
          <w:sz w:val="24"/>
          <w:szCs w:val="24"/>
        </w:rPr>
        <w:t xml:space="preserve">, K. S., Bhatt, R. M., Laxman, R. H., Tiwari, R. B., Sridhar, V., Sowmya, V., Kumar, N. P., Kumar, M., . . . Bhat, L. (2017). Breeding tomato (Solanum </w:t>
      </w:r>
      <w:proofErr w:type="spellStart"/>
      <w:r w:rsidRPr="00266AB3">
        <w:rPr>
          <w:rFonts w:ascii="Times New Roman" w:hAnsi="Times New Roman"/>
          <w:sz w:val="24"/>
          <w:szCs w:val="24"/>
        </w:rPr>
        <w:t>lycopersicum</w:t>
      </w:r>
      <w:proofErr w:type="spellEnd"/>
      <w:r w:rsidRPr="00266AB3">
        <w:rPr>
          <w:rFonts w:ascii="Times New Roman" w:hAnsi="Times New Roman"/>
          <w:sz w:val="24"/>
          <w:szCs w:val="24"/>
        </w:rPr>
        <w:t xml:space="preserve"> L.) for resistance to biotic and abiotic stresses. Journal of Horticultural Sciences, 12(2), 91–105. </w:t>
      </w:r>
      <w:hyperlink r:id="rId47" w:history="1">
        <w:r w:rsidRPr="00266AB3">
          <w:rPr>
            <w:rFonts w:ascii="Times New Roman" w:hAnsi="Times New Roman"/>
            <w:color w:val="0000FF"/>
            <w:sz w:val="24"/>
            <w:szCs w:val="24"/>
            <w:u w:val="single"/>
          </w:rPr>
          <w:t>https://doi.org/10.24154/jhs.v12i2.2</w:t>
        </w:r>
      </w:hyperlink>
    </w:p>
    <w:p w14:paraId="49B1A1DC"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Sarmah, A., Basumatary, M., Neog, M., &amp; Saud, R. K. (2024). Performance evaluation of tomato hybrids under </w:t>
      </w:r>
      <w:proofErr w:type="spellStart"/>
      <w:r w:rsidRPr="00266AB3">
        <w:rPr>
          <w:rFonts w:ascii="Times New Roman" w:hAnsi="Times New Roman"/>
          <w:sz w:val="24"/>
          <w:szCs w:val="24"/>
        </w:rPr>
        <w:t>agro</w:t>
      </w:r>
      <w:proofErr w:type="spellEnd"/>
      <w:r w:rsidRPr="00266AB3">
        <w:rPr>
          <w:rFonts w:ascii="Times New Roman" w:hAnsi="Times New Roman"/>
          <w:sz w:val="24"/>
          <w:szCs w:val="24"/>
        </w:rPr>
        <w:t xml:space="preserve"> climatic conditions of </w:t>
      </w:r>
      <w:proofErr w:type="spellStart"/>
      <w:r w:rsidRPr="00266AB3">
        <w:rPr>
          <w:rFonts w:ascii="Times New Roman" w:hAnsi="Times New Roman"/>
          <w:sz w:val="24"/>
          <w:szCs w:val="24"/>
        </w:rPr>
        <w:t>Sonitpur</w:t>
      </w:r>
      <w:proofErr w:type="spellEnd"/>
      <w:r w:rsidRPr="00266AB3">
        <w:rPr>
          <w:rFonts w:ascii="Times New Roman" w:hAnsi="Times New Roman"/>
          <w:sz w:val="24"/>
          <w:szCs w:val="24"/>
        </w:rPr>
        <w:t xml:space="preserve"> district of Assam. International Journal of Research in Agronomy, 7(12), 788–790. </w:t>
      </w:r>
      <w:hyperlink r:id="rId48" w:history="1">
        <w:r w:rsidRPr="00266AB3">
          <w:rPr>
            <w:rFonts w:ascii="Times New Roman" w:hAnsi="Times New Roman"/>
            <w:color w:val="0000FF"/>
            <w:sz w:val="24"/>
            <w:szCs w:val="24"/>
            <w:u w:val="single"/>
          </w:rPr>
          <w:t>https://doi.org/10.33545/2618060X.2024.v7.i12j.2268</w:t>
        </w:r>
      </w:hyperlink>
    </w:p>
    <w:p w14:paraId="3E9B5F2C"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t>Saucet</w:t>
      </w:r>
      <w:proofErr w:type="spellEnd"/>
      <w:r w:rsidRPr="00266AB3">
        <w:rPr>
          <w:rFonts w:ascii="Times New Roman" w:hAnsi="Times New Roman"/>
          <w:sz w:val="24"/>
          <w:szCs w:val="24"/>
        </w:rPr>
        <w:t xml:space="preserve">, S. B., Van Ghelder, C., Abad, P., Duval, H., &amp; Esmenjaud, D. (2016). Resistance to root-knot nematodes, Meloidogyne spp., in woody plants. New Phytologist, 211(1), 41–56. </w:t>
      </w:r>
      <w:hyperlink r:id="rId49" w:history="1">
        <w:r w:rsidRPr="00266AB3">
          <w:rPr>
            <w:rFonts w:ascii="Times New Roman" w:hAnsi="Times New Roman"/>
            <w:color w:val="0000FF"/>
            <w:sz w:val="24"/>
            <w:szCs w:val="24"/>
            <w:u w:val="single"/>
          </w:rPr>
          <w:t>https://doi.org/10.1111/nph.13933</w:t>
        </w:r>
      </w:hyperlink>
    </w:p>
    <w:p w14:paraId="699EE430" w14:textId="77777777" w:rsidR="00266AB3" w:rsidRPr="00266AB3" w:rsidRDefault="00266AB3" w:rsidP="00266AB3">
      <w:pPr>
        <w:spacing w:before="100" w:beforeAutospacing="1" w:after="100" w:afterAutospacing="1"/>
        <w:rPr>
          <w:rFonts w:ascii="Times New Roman" w:hAnsi="Times New Roman"/>
          <w:sz w:val="24"/>
          <w:szCs w:val="24"/>
        </w:rPr>
      </w:pPr>
      <w:proofErr w:type="spellStart"/>
      <w:r w:rsidRPr="00266AB3">
        <w:rPr>
          <w:rFonts w:ascii="Times New Roman" w:hAnsi="Times New Roman"/>
          <w:sz w:val="24"/>
          <w:szCs w:val="24"/>
        </w:rPr>
        <w:lastRenderedPageBreak/>
        <w:t>Sigüenza</w:t>
      </w:r>
      <w:proofErr w:type="spellEnd"/>
      <w:r w:rsidRPr="00266AB3">
        <w:rPr>
          <w:rFonts w:ascii="Times New Roman" w:hAnsi="Times New Roman"/>
          <w:sz w:val="24"/>
          <w:szCs w:val="24"/>
        </w:rPr>
        <w:t xml:space="preserve">, C., </w:t>
      </w:r>
      <w:proofErr w:type="spellStart"/>
      <w:r w:rsidRPr="00266AB3">
        <w:rPr>
          <w:rFonts w:ascii="Times New Roman" w:hAnsi="Times New Roman"/>
          <w:sz w:val="24"/>
          <w:szCs w:val="24"/>
        </w:rPr>
        <w:t>Schochow</w:t>
      </w:r>
      <w:proofErr w:type="spellEnd"/>
      <w:r w:rsidRPr="00266AB3">
        <w:rPr>
          <w:rFonts w:ascii="Times New Roman" w:hAnsi="Times New Roman"/>
          <w:sz w:val="24"/>
          <w:szCs w:val="24"/>
        </w:rPr>
        <w:t xml:space="preserve">, M., Turini, T., &amp; Ploeg, A. (2005). Use of Cucumis </w:t>
      </w:r>
      <w:proofErr w:type="spellStart"/>
      <w:r w:rsidRPr="00266AB3">
        <w:rPr>
          <w:rFonts w:ascii="Times New Roman" w:hAnsi="Times New Roman"/>
          <w:sz w:val="24"/>
          <w:szCs w:val="24"/>
        </w:rPr>
        <w:t>metuliferus</w:t>
      </w:r>
      <w:proofErr w:type="spellEnd"/>
      <w:r w:rsidRPr="00266AB3">
        <w:rPr>
          <w:rFonts w:ascii="Times New Roman" w:hAnsi="Times New Roman"/>
          <w:sz w:val="24"/>
          <w:szCs w:val="24"/>
        </w:rPr>
        <w:t xml:space="preserve"> as a rootstock for melon to manage Meloidogyne incognita. Journal of Nematology, 37(3), 276–280. </w:t>
      </w:r>
      <w:hyperlink r:id="rId50" w:history="1">
        <w:r w:rsidRPr="00266AB3">
          <w:rPr>
            <w:rFonts w:ascii="Times New Roman" w:hAnsi="Times New Roman"/>
            <w:color w:val="0000FF"/>
            <w:sz w:val="24"/>
            <w:szCs w:val="24"/>
            <w:u w:val="single"/>
          </w:rPr>
          <w:t>https://pmc.ncbi.nlm.nih.gov/articles/PMC2620981/</w:t>
        </w:r>
      </w:hyperlink>
    </w:p>
    <w:p w14:paraId="0FA4F10A"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Singh, V., Tiwari, M., Kushwaha, D., Joshi, I., Shinde, G. R., Kumar, S., Usha, &amp; Yadav, S. (2026). Genomics-assisted improvement of resistance to insect pests, diseases and nematodes in tomato: A critical appraisal of discovery, durability and deployment. Uttar Pradesh Journal of Zoology, 47(17), 110–129. </w:t>
      </w:r>
      <w:hyperlink r:id="rId51" w:history="1">
        <w:r w:rsidRPr="00266AB3">
          <w:rPr>
            <w:rFonts w:ascii="Times New Roman" w:hAnsi="Times New Roman"/>
            <w:color w:val="0000FF"/>
            <w:sz w:val="24"/>
            <w:szCs w:val="24"/>
            <w:u w:val="single"/>
          </w:rPr>
          <w:t>https://doi.org/10.56557/upjoz/2026/v47i175836</w:t>
        </w:r>
      </w:hyperlink>
    </w:p>
    <w:p w14:paraId="45BFB9D1"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Suthar, M. R., Singh, G. P., Rana, M. K., &amp; Makhan-Lal. (2005). Growth and fruit yield of brinjal (Solanum melongena L.) as influenced by planting dates and fertility levels. Crop Research, 30(1), 77–79.</w:t>
      </w:r>
    </w:p>
    <w:p w14:paraId="5C00500B"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Tapia-Vázquez, I., Montoya-Martínez, A. C., De </w:t>
      </w:r>
      <w:proofErr w:type="spellStart"/>
      <w:r w:rsidRPr="00266AB3">
        <w:rPr>
          <w:rFonts w:ascii="Times New Roman" w:hAnsi="Times New Roman"/>
          <w:sz w:val="24"/>
          <w:szCs w:val="24"/>
        </w:rPr>
        <w:t>los</w:t>
      </w:r>
      <w:proofErr w:type="spellEnd"/>
      <w:r w:rsidRPr="00266AB3">
        <w:rPr>
          <w:rFonts w:ascii="Times New Roman" w:hAnsi="Times New Roman"/>
          <w:sz w:val="24"/>
          <w:szCs w:val="24"/>
        </w:rPr>
        <w:t xml:space="preserve"> Santos-Villalobos, S., Ek-Ramos, M. J., Montesinos-Matías, R., &amp; Martínez-Anaya, C. (2022). Root-knot nematodes (Meloidogyne spp.) a threat to agriculture in Mexico: Biology, current control strategies, and perspectives. World Journal of Microbiology and Biotechnology, 38(2), Article 26. </w:t>
      </w:r>
      <w:hyperlink r:id="rId52" w:history="1">
        <w:r w:rsidRPr="00266AB3">
          <w:rPr>
            <w:rFonts w:ascii="Times New Roman" w:hAnsi="Times New Roman"/>
            <w:color w:val="0000FF"/>
            <w:sz w:val="24"/>
            <w:szCs w:val="24"/>
            <w:u w:val="single"/>
          </w:rPr>
          <w:t>https://doi.org/10.1007/s11274-021-03211-2</w:t>
        </w:r>
      </w:hyperlink>
    </w:p>
    <w:p w14:paraId="130B8B1E"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Thangamani, C., Pugalendhi, L., &amp; </w:t>
      </w:r>
      <w:proofErr w:type="spellStart"/>
      <w:r w:rsidRPr="00266AB3">
        <w:rPr>
          <w:rFonts w:ascii="Times New Roman" w:hAnsi="Times New Roman"/>
          <w:sz w:val="24"/>
          <w:szCs w:val="24"/>
        </w:rPr>
        <w:t>Punithaveni</w:t>
      </w:r>
      <w:proofErr w:type="spellEnd"/>
      <w:r w:rsidRPr="00266AB3">
        <w:rPr>
          <w:rFonts w:ascii="Times New Roman" w:hAnsi="Times New Roman"/>
          <w:sz w:val="24"/>
          <w:szCs w:val="24"/>
        </w:rPr>
        <w:t xml:space="preserve">, V. (2018). Screening wild and cultivated cucurbits against root knot nematode to exploit as rootstocks for grafting in cucumber. Journal of Horticultural Sciences, 13(1), 32–41. </w:t>
      </w:r>
      <w:hyperlink r:id="rId53" w:history="1">
        <w:r w:rsidRPr="00266AB3">
          <w:rPr>
            <w:rFonts w:ascii="Times New Roman" w:hAnsi="Times New Roman"/>
            <w:color w:val="0000FF"/>
            <w:sz w:val="24"/>
            <w:szCs w:val="24"/>
            <w:u w:val="single"/>
          </w:rPr>
          <w:t>https://doi.org/10.24154/jhs.v13i1.28</w:t>
        </w:r>
      </w:hyperlink>
    </w:p>
    <w:p w14:paraId="3CE4BE90"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Velkov, N., &amp; </w:t>
      </w:r>
      <w:proofErr w:type="spellStart"/>
      <w:r w:rsidRPr="00266AB3">
        <w:rPr>
          <w:rFonts w:ascii="Times New Roman" w:hAnsi="Times New Roman"/>
          <w:sz w:val="24"/>
          <w:szCs w:val="24"/>
        </w:rPr>
        <w:t>Pevicharova</w:t>
      </w:r>
      <w:proofErr w:type="spellEnd"/>
      <w:r w:rsidRPr="00266AB3">
        <w:rPr>
          <w:rFonts w:ascii="Times New Roman" w:hAnsi="Times New Roman"/>
          <w:sz w:val="24"/>
          <w:szCs w:val="24"/>
        </w:rPr>
        <w:t>, G. (2016). Effects of cucumber grafting on yield and fruit sensory characteristics. Agriculture (</w:t>
      </w:r>
      <w:proofErr w:type="spellStart"/>
      <w:r w:rsidRPr="00266AB3">
        <w:rPr>
          <w:rFonts w:ascii="Times New Roman" w:hAnsi="Times New Roman"/>
          <w:sz w:val="24"/>
          <w:szCs w:val="24"/>
        </w:rPr>
        <w:t>Zemdirbyste</w:t>
      </w:r>
      <w:proofErr w:type="spellEnd"/>
      <w:r w:rsidRPr="00266AB3">
        <w:rPr>
          <w:rFonts w:ascii="Times New Roman" w:hAnsi="Times New Roman"/>
          <w:sz w:val="24"/>
          <w:szCs w:val="24"/>
        </w:rPr>
        <w:t xml:space="preserve">), 103(4), 405–410. </w:t>
      </w:r>
      <w:hyperlink r:id="rId54" w:history="1">
        <w:r w:rsidRPr="00266AB3">
          <w:rPr>
            <w:rFonts w:ascii="Times New Roman" w:hAnsi="Times New Roman"/>
            <w:color w:val="0000FF"/>
            <w:sz w:val="24"/>
            <w:szCs w:val="24"/>
            <w:u w:val="single"/>
          </w:rPr>
          <w:t>https://doi.org/10.13080/z-a.2016.103.052</w:t>
        </w:r>
      </w:hyperlink>
    </w:p>
    <w:p w14:paraId="2E6F6AC9" w14:textId="77777777" w:rsidR="00266AB3" w:rsidRPr="00266AB3" w:rsidRDefault="00266AB3" w:rsidP="00266AB3">
      <w:pPr>
        <w:spacing w:before="100" w:beforeAutospacing="1" w:after="100" w:afterAutospacing="1"/>
        <w:rPr>
          <w:rFonts w:ascii="Times New Roman" w:hAnsi="Times New Roman"/>
          <w:sz w:val="24"/>
          <w:szCs w:val="24"/>
        </w:rPr>
      </w:pPr>
      <w:r w:rsidRPr="00266AB3">
        <w:rPr>
          <w:rFonts w:ascii="Times New Roman" w:hAnsi="Times New Roman"/>
          <w:sz w:val="24"/>
          <w:szCs w:val="24"/>
        </w:rPr>
        <w:t xml:space="preserve">Young, E. (1989). Cytokinin and soluble carbohydrate concentrations in xylem sap of apple during dormancy and budbreak. Journal of the American Society for Horticultural Science, 114(2), 297–300. </w:t>
      </w:r>
      <w:hyperlink r:id="rId55" w:history="1">
        <w:r w:rsidRPr="00266AB3">
          <w:rPr>
            <w:rFonts w:ascii="Times New Roman" w:hAnsi="Times New Roman"/>
            <w:color w:val="0000FF"/>
            <w:sz w:val="24"/>
            <w:szCs w:val="24"/>
            <w:u w:val="single"/>
          </w:rPr>
          <w:t>https://doi.org/10.21273/JASHS.114.2.297</w:t>
        </w:r>
      </w:hyperlink>
    </w:p>
    <w:p w14:paraId="19F1CF54" w14:textId="77777777" w:rsidR="00266AB3" w:rsidRPr="00B91AE6" w:rsidRDefault="00266AB3">
      <w:pPr>
        <w:pStyle w:val="ReferHead"/>
        <w:rPr>
          <w:rFonts w:ascii="Arial" w:hAnsi="Arial" w:cs="Arial"/>
        </w:rPr>
      </w:pPr>
    </w:p>
    <w:sectPr w:rsidR="00266AB3" w:rsidRPr="00B91AE6" w:rsidSect="00D7328C">
      <w:headerReference w:type="even" r:id="rId56"/>
      <w:headerReference w:type="default" r:id="rId57"/>
      <w:footerReference w:type="even" r:id="rId58"/>
      <w:footerReference w:type="default" r:id="rId59"/>
      <w:headerReference w:type="first" r:id="rId60"/>
      <w:footerReference w:type="first" r:id="rId61"/>
      <w:type w:val="continuous"/>
      <w:pgSz w:w="12240" w:h="15840"/>
      <w:pgMar w:top="1440" w:right="2016" w:bottom="2016" w:left="2016" w:header="720" w:footer="112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FF384" w14:textId="77777777" w:rsidR="00F846C0" w:rsidRDefault="00F846C0" w:rsidP="00C37E61">
      <w:r>
        <w:separator/>
      </w:r>
    </w:p>
  </w:endnote>
  <w:endnote w:type="continuationSeparator" w:id="0">
    <w:p w14:paraId="2FC596E5" w14:textId="77777777" w:rsidR="00F846C0" w:rsidRDefault="00F846C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F2F0" w14:textId="77777777" w:rsidR="00D7328C" w:rsidRDefault="00D73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0DA8" w14:textId="77777777" w:rsidR="00D7328C" w:rsidRDefault="00D73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DA7C" w14:textId="77777777" w:rsidR="00B91AE6" w:rsidRDefault="00B91AE6" w:rsidP="00A01317">
    <w:pPr>
      <w:pStyle w:val="Footer"/>
      <w:tabs>
        <w:tab w:val="left" w:pos="35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24AF1" w14:textId="77777777" w:rsidR="00F846C0" w:rsidRDefault="00F846C0" w:rsidP="00C37E61">
      <w:r>
        <w:separator/>
      </w:r>
    </w:p>
  </w:footnote>
  <w:footnote w:type="continuationSeparator" w:id="0">
    <w:p w14:paraId="59A33921" w14:textId="77777777" w:rsidR="00F846C0" w:rsidRDefault="00F846C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7670" w14:textId="77777777" w:rsidR="00D7328C" w:rsidRDefault="00000000">
    <w:pPr>
      <w:pStyle w:val="Header"/>
    </w:pPr>
    <w:r>
      <w:rPr>
        <w:noProof/>
      </w:rPr>
      <w:pict w14:anchorId="25887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4D70" w14:textId="77777777" w:rsidR="00D7328C" w:rsidRDefault="00000000">
    <w:pPr>
      <w:pStyle w:val="Header"/>
    </w:pPr>
    <w:r>
      <w:rPr>
        <w:noProof/>
      </w:rPr>
      <w:pict w14:anchorId="38D7E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7872" w14:textId="77777777" w:rsidR="00D7328C" w:rsidRDefault="00000000">
    <w:pPr>
      <w:pStyle w:val="Header"/>
    </w:pPr>
    <w:r>
      <w:rPr>
        <w:noProof/>
      </w:rPr>
      <w:pict w14:anchorId="7FA4E6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5"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2051"/>
    <w:rsid w:val="00030174"/>
    <w:rsid w:val="0004579C"/>
    <w:rsid w:val="000A47FA"/>
    <w:rsid w:val="000A65D3"/>
    <w:rsid w:val="000B1E33"/>
    <w:rsid w:val="000C4496"/>
    <w:rsid w:val="000D689F"/>
    <w:rsid w:val="000E7B7B"/>
    <w:rsid w:val="000E7D62"/>
    <w:rsid w:val="00103357"/>
    <w:rsid w:val="00110DD1"/>
    <w:rsid w:val="00123C9F"/>
    <w:rsid w:val="00126190"/>
    <w:rsid w:val="00130F17"/>
    <w:rsid w:val="001320BF"/>
    <w:rsid w:val="00142920"/>
    <w:rsid w:val="00163BC4"/>
    <w:rsid w:val="00191062"/>
    <w:rsid w:val="00192B72"/>
    <w:rsid w:val="001A29D8"/>
    <w:rsid w:val="001A5CAA"/>
    <w:rsid w:val="001B0427"/>
    <w:rsid w:val="001B2E6A"/>
    <w:rsid w:val="001D3A51"/>
    <w:rsid w:val="001E10D2"/>
    <w:rsid w:val="001E25B4"/>
    <w:rsid w:val="001E44FE"/>
    <w:rsid w:val="001F4EA4"/>
    <w:rsid w:val="00200595"/>
    <w:rsid w:val="00204835"/>
    <w:rsid w:val="00220827"/>
    <w:rsid w:val="00231920"/>
    <w:rsid w:val="0023195C"/>
    <w:rsid w:val="0024282C"/>
    <w:rsid w:val="002460DC"/>
    <w:rsid w:val="00250985"/>
    <w:rsid w:val="002556F6"/>
    <w:rsid w:val="00266AB3"/>
    <w:rsid w:val="0028227E"/>
    <w:rsid w:val="00283105"/>
    <w:rsid w:val="00284C4C"/>
    <w:rsid w:val="00287E68"/>
    <w:rsid w:val="00296529"/>
    <w:rsid w:val="00297885"/>
    <w:rsid w:val="002B27FB"/>
    <w:rsid w:val="002B37E9"/>
    <w:rsid w:val="002B685A"/>
    <w:rsid w:val="002C57D2"/>
    <w:rsid w:val="002D6FE1"/>
    <w:rsid w:val="002E0D56"/>
    <w:rsid w:val="00315186"/>
    <w:rsid w:val="0033343E"/>
    <w:rsid w:val="00333E1A"/>
    <w:rsid w:val="003512C2"/>
    <w:rsid w:val="00371FB6"/>
    <w:rsid w:val="003755E0"/>
    <w:rsid w:val="003763C1"/>
    <w:rsid w:val="00376BBE"/>
    <w:rsid w:val="00380533"/>
    <w:rsid w:val="0039224F"/>
    <w:rsid w:val="003A43A4"/>
    <w:rsid w:val="003A7E18"/>
    <w:rsid w:val="003B44E3"/>
    <w:rsid w:val="003C4C86"/>
    <w:rsid w:val="003C6258"/>
    <w:rsid w:val="003D0973"/>
    <w:rsid w:val="003D7DD4"/>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34BAA"/>
    <w:rsid w:val="00554FDA"/>
    <w:rsid w:val="005C784C"/>
    <w:rsid w:val="005D17F6"/>
    <w:rsid w:val="005E5539"/>
    <w:rsid w:val="00602BF5"/>
    <w:rsid w:val="00617FDD"/>
    <w:rsid w:val="00624C5A"/>
    <w:rsid w:val="00633614"/>
    <w:rsid w:val="00633F68"/>
    <w:rsid w:val="00636EB2"/>
    <w:rsid w:val="006375B8"/>
    <w:rsid w:val="0066510A"/>
    <w:rsid w:val="00673F9F"/>
    <w:rsid w:val="00682396"/>
    <w:rsid w:val="00686953"/>
    <w:rsid w:val="00687DEA"/>
    <w:rsid w:val="00687E67"/>
    <w:rsid w:val="006967F7"/>
    <w:rsid w:val="006A250C"/>
    <w:rsid w:val="006B21D3"/>
    <w:rsid w:val="006B57D0"/>
    <w:rsid w:val="006D30FF"/>
    <w:rsid w:val="006D6940"/>
    <w:rsid w:val="006F11EC"/>
    <w:rsid w:val="0070082C"/>
    <w:rsid w:val="0070431A"/>
    <w:rsid w:val="007369E6"/>
    <w:rsid w:val="00746E59"/>
    <w:rsid w:val="00754C9A"/>
    <w:rsid w:val="0075599A"/>
    <w:rsid w:val="00760303"/>
    <w:rsid w:val="00761363"/>
    <w:rsid w:val="00761D52"/>
    <w:rsid w:val="0077749E"/>
    <w:rsid w:val="00790ADA"/>
    <w:rsid w:val="007A1019"/>
    <w:rsid w:val="007D2288"/>
    <w:rsid w:val="007E088F"/>
    <w:rsid w:val="007F7B32"/>
    <w:rsid w:val="00804BC2"/>
    <w:rsid w:val="0081431A"/>
    <w:rsid w:val="0083216F"/>
    <w:rsid w:val="00860000"/>
    <w:rsid w:val="00863BD3"/>
    <w:rsid w:val="008641ED"/>
    <w:rsid w:val="00866D66"/>
    <w:rsid w:val="008671C6"/>
    <w:rsid w:val="00873399"/>
    <w:rsid w:val="00875803"/>
    <w:rsid w:val="008B459E"/>
    <w:rsid w:val="008C1A72"/>
    <w:rsid w:val="008E13AE"/>
    <w:rsid w:val="008E1506"/>
    <w:rsid w:val="008E710C"/>
    <w:rsid w:val="008F69D6"/>
    <w:rsid w:val="00902823"/>
    <w:rsid w:val="00915CA6"/>
    <w:rsid w:val="00927834"/>
    <w:rsid w:val="0093085D"/>
    <w:rsid w:val="009500A6"/>
    <w:rsid w:val="00957C18"/>
    <w:rsid w:val="009659BA"/>
    <w:rsid w:val="00983040"/>
    <w:rsid w:val="00986C2C"/>
    <w:rsid w:val="009B3FB9"/>
    <w:rsid w:val="009C2465"/>
    <w:rsid w:val="009D35A0"/>
    <w:rsid w:val="009D7EB7"/>
    <w:rsid w:val="009E048A"/>
    <w:rsid w:val="009E08E9"/>
    <w:rsid w:val="009E3DB9"/>
    <w:rsid w:val="009E6E35"/>
    <w:rsid w:val="009F0EDA"/>
    <w:rsid w:val="00A01317"/>
    <w:rsid w:val="00A03B96"/>
    <w:rsid w:val="00A05B19"/>
    <w:rsid w:val="00A1134E"/>
    <w:rsid w:val="00A23644"/>
    <w:rsid w:val="00A24E7E"/>
    <w:rsid w:val="00A258C3"/>
    <w:rsid w:val="00A347C0"/>
    <w:rsid w:val="00A51431"/>
    <w:rsid w:val="00A539AD"/>
    <w:rsid w:val="00A94063"/>
    <w:rsid w:val="00AA446D"/>
    <w:rsid w:val="00AA6219"/>
    <w:rsid w:val="00AA74E0"/>
    <w:rsid w:val="00AB703F"/>
    <w:rsid w:val="00AC6BB8"/>
    <w:rsid w:val="00AE008F"/>
    <w:rsid w:val="00B01FCD"/>
    <w:rsid w:val="00B1776C"/>
    <w:rsid w:val="00B52583"/>
    <w:rsid w:val="00B52896"/>
    <w:rsid w:val="00B91AE6"/>
    <w:rsid w:val="00B95236"/>
    <w:rsid w:val="00B96BD9"/>
    <w:rsid w:val="00BA0EDE"/>
    <w:rsid w:val="00BA1B01"/>
    <w:rsid w:val="00BA2641"/>
    <w:rsid w:val="00BB37AA"/>
    <w:rsid w:val="00BC53A0"/>
    <w:rsid w:val="00BE1BAA"/>
    <w:rsid w:val="00BE62AD"/>
    <w:rsid w:val="00BF121F"/>
    <w:rsid w:val="00BF1F80"/>
    <w:rsid w:val="00BF74A7"/>
    <w:rsid w:val="00C166EF"/>
    <w:rsid w:val="00C17EB0"/>
    <w:rsid w:val="00C27F5F"/>
    <w:rsid w:val="00C30A0F"/>
    <w:rsid w:val="00C35603"/>
    <w:rsid w:val="00C37E61"/>
    <w:rsid w:val="00C70F1B"/>
    <w:rsid w:val="00C71A47"/>
    <w:rsid w:val="00C7464C"/>
    <w:rsid w:val="00C85588"/>
    <w:rsid w:val="00C93CAA"/>
    <w:rsid w:val="00CD6755"/>
    <w:rsid w:val="00CD6856"/>
    <w:rsid w:val="00CE0089"/>
    <w:rsid w:val="00CE793C"/>
    <w:rsid w:val="00CF193C"/>
    <w:rsid w:val="00D173F1"/>
    <w:rsid w:val="00D36784"/>
    <w:rsid w:val="00D7328C"/>
    <w:rsid w:val="00D74CB0"/>
    <w:rsid w:val="00D8295D"/>
    <w:rsid w:val="00D857E9"/>
    <w:rsid w:val="00DC2A65"/>
    <w:rsid w:val="00DE15F0"/>
    <w:rsid w:val="00DE5663"/>
    <w:rsid w:val="00DE78AA"/>
    <w:rsid w:val="00E053D0"/>
    <w:rsid w:val="00E15994"/>
    <w:rsid w:val="00E3114E"/>
    <w:rsid w:val="00E31A70"/>
    <w:rsid w:val="00E35B02"/>
    <w:rsid w:val="00E6582D"/>
    <w:rsid w:val="00E66496"/>
    <w:rsid w:val="00E66B35"/>
    <w:rsid w:val="00E66E10"/>
    <w:rsid w:val="00E748B3"/>
    <w:rsid w:val="00E769F6"/>
    <w:rsid w:val="00E8407C"/>
    <w:rsid w:val="00E84F3C"/>
    <w:rsid w:val="00EA012C"/>
    <w:rsid w:val="00EC6A55"/>
    <w:rsid w:val="00ED0288"/>
    <w:rsid w:val="00EE17F9"/>
    <w:rsid w:val="00EE52CB"/>
    <w:rsid w:val="00EF581D"/>
    <w:rsid w:val="00EF7FD8"/>
    <w:rsid w:val="00F06F59"/>
    <w:rsid w:val="00F1121C"/>
    <w:rsid w:val="00F17988"/>
    <w:rsid w:val="00F469F0"/>
    <w:rsid w:val="00F53273"/>
    <w:rsid w:val="00F755E4"/>
    <w:rsid w:val="00F77D02"/>
    <w:rsid w:val="00F846C0"/>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F22E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2822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28227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28227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biology11020239" TargetMode="External"/><Relationship Id="rId18" Type="http://schemas.openxmlformats.org/officeDocument/2006/relationships/hyperlink" Target="https://doi.org/10.3389/fpls.2020.01125" TargetMode="External"/><Relationship Id="rId26" Type="http://schemas.openxmlformats.org/officeDocument/2006/relationships/hyperlink" Target="https://doi.org/10.1007/s10343-023-00886-5" TargetMode="External"/><Relationship Id="rId39" Type="http://schemas.openxmlformats.org/officeDocument/2006/relationships/hyperlink" Target="https://journals.flvc.org/nematropica/article/view/88169" TargetMode="External"/><Relationship Id="rId21" Type="http://schemas.openxmlformats.org/officeDocument/2006/relationships/hyperlink" Target="https://doi.org/10.1111/mpp.12057" TargetMode="External"/><Relationship Id="rId34" Type="http://schemas.openxmlformats.org/officeDocument/2006/relationships/hyperlink" Target="https://doi.org/10.1016/j.scienta.2012.06.015" TargetMode="External"/><Relationship Id="rId42" Type="http://schemas.openxmlformats.org/officeDocument/2006/relationships/hyperlink" Target="https://doi.org/10.5958/0974-4444.2022.00017.8" TargetMode="External"/><Relationship Id="rId47" Type="http://schemas.openxmlformats.org/officeDocument/2006/relationships/hyperlink" Target="https://doi.org/10.24154/jhs.v12i2.2" TargetMode="External"/><Relationship Id="rId50" Type="http://schemas.openxmlformats.org/officeDocument/2006/relationships/hyperlink" Target="https://pmc.ncbi.nlm.nih.gov/articles/PMC2620981/" TargetMode="External"/><Relationship Id="rId55" Type="http://schemas.openxmlformats.org/officeDocument/2006/relationships/hyperlink" Target="https://doi.org/10.21273/JASHS.114.2.297"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1470/PLANTARCHIVES.2024.v24.no.2.239" TargetMode="External"/><Relationship Id="rId29" Type="http://schemas.openxmlformats.org/officeDocument/2006/relationships/hyperlink" Target="https://doi.org/10.21273/HORTSCI.29.4.235" TargetMode="External"/><Relationship Id="rId11" Type="http://schemas.openxmlformats.org/officeDocument/2006/relationships/hyperlink" Target="https://doi.org/10.21273/HORTSCI.38.2.183" TargetMode="External"/><Relationship Id="rId24" Type="http://schemas.openxmlformats.org/officeDocument/2006/relationships/hyperlink" Target="https://doi.org/10.1079/9781780641515.0073" TargetMode="External"/><Relationship Id="rId32" Type="http://schemas.openxmlformats.org/officeDocument/2006/relationships/hyperlink" Target="https://doi.org/10.9734/jabb/2025/v28i103103" TargetMode="External"/><Relationship Id="rId37" Type="http://schemas.openxmlformats.org/officeDocument/2006/relationships/hyperlink" Target="https://doi.org/10.1155/2018/6715909" TargetMode="External"/><Relationship Id="rId40" Type="http://schemas.openxmlformats.org/officeDocument/2006/relationships/hyperlink" Target="https://doi.org/10.1163/156854103767139653" TargetMode="External"/><Relationship Id="rId45" Type="http://schemas.openxmlformats.org/officeDocument/2006/relationships/hyperlink" Target="https://doi.org/10.1007/s13580-014-0167-6" TargetMode="External"/><Relationship Id="rId53" Type="http://schemas.openxmlformats.org/officeDocument/2006/relationships/hyperlink" Target="https://doi.org/10.24154/jhs.v13i1.28"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https://doi.org/10.1111/ppa.13991" TargetMode="External"/><Relationship Id="rId14" Type="http://schemas.openxmlformats.org/officeDocument/2006/relationships/hyperlink" Target="https://doi.org/10.17660/ActaHortic.2000.528.84" TargetMode="External"/><Relationship Id="rId22" Type="http://schemas.openxmlformats.org/officeDocument/2006/relationships/hyperlink" Target="https://doi.org/10.14720/aas.2004.83.2.15428" TargetMode="External"/><Relationship Id="rId27" Type="http://schemas.openxmlformats.org/officeDocument/2006/relationships/hyperlink" Target="https://doi.org/10.18805/asd.v0iOF.7323" TargetMode="External"/><Relationship Id="rId30" Type="http://schemas.openxmlformats.org/officeDocument/2006/relationships/hyperlink" Target="https://doi.org/10.1007/s10725-026-01447-2" TargetMode="External"/><Relationship Id="rId35" Type="http://schemas.openxmlformats.org/officeDocument/2006/relationships/hyperlink" Target="https://doi.org/10.9734/jeai/2026/v48i24095" TargetMode="External"/><Relationship Id="rId43" Type="http://schemas.openxmlformats.org/officeDocument/2006/relationships/hyperlink" Target="https://doi.org/10.1023/A:1002856117053" TargetMode="External"/><Relationship Id="rId48" Type="http://schemas.openxmlformats.org/officeDocument/2006/relationships/hyperlink" Target="https://doi.org/10.33545/2618060X.2024.v7.i12j.2268" TargetMode="External"/><Relationship Id="rId56" Type="http://schemas.openxmlformats.org/officeDocument/2006/relationships/header" Target="header1.xml"/><Relationship Id="rId8" Type="http://schemas.openxmlformats.org/officeDocument/2006/relationships/hyperlink" Target="https://doi.org/10.64898/2026.06.02.729545" TargetMode="External"/><Relationship Id="rId51" Type="http://schemas.openxmlformats.org/officeDocument/2006/relationships/hyperlink" Target="https://doi.org/10.56557/upjoz/2026/v47i175836" TargetMode="External"/><Relationship Id="rId3" Type="http://schemas.openxmlformats.org/officeDocument/2006/relationships/styles" Target="styles.xml"/><Relationship Id="rId12" Type="http://schemas.openxmlformats.org/officeDocument/2006/relationships/hyperlink" Target="https://doi.org/10.15835/buasvmcn-hort:11349" TargetMode="External"/><Relationship Id="rId17" Type="http://schemas.openxmlformats.org/officeDocument/2006/relationships/hyperlink" Target="https://www.fao.org/faostat/en/" TargetMode="External"/><Relationship Id="rId25" Type="http://schemas.openxmlformats.org/officeDocument/2006/relationships/hyperlink" Target="https://doi.org/10.1016/j.cropro.2018.02.009" TargetMode="External"/><Relationship Id="rId33" Type="http://schemas.openxmlformats.org/officeDocument/2006/relationships/hyperlink" Target="https://www.pib.gov.in/PressReleasePage.aspx?PRID=2194573" TargetMode="External"/><Relationship Id="rId38" Type="http://schemas.openxmlformats.org/officeDocument/2006/relationships/hyperlink" Target="https://doi.org/10.16970/entoted.562208" TargetMode="External"/><Relationship Id="rId46" Type="http://schemas.openxmlformats.org/officeDocument/2006/relationships/hyperlink" Target="https://doi.org/10.1007/s13580-015-0042-0" TargetMode="External"/><Relationship Id="rId59" Type="http://schemas.openxmlformats.org/officeDocument/2006/relationships/footer" Target="footer2.xml"/><Relationship Id="rId20" Type="http://schemas.openxmlformats.org/officeDocument/2006/relationships/hyperlink" Target="https://doi.org/10.1080/14620316.2001.11511383" TargetMode="External"/><Relationship Id="rId41" Type="http://schemas.openxmlformats.org/officeDocument/2006/relationships/hyperlink" Target="https://doi.org/10.1007/s10340-023-01658-w" TargetMode="External"/><Relationship Id="rId54" Type="http://schemas.openxmlformats.org/officeDocument/2006/relationships/hyperlink" Target="https://doi.org/10.13080/z-a.2016.103.052"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590/S0100-204X2009001200017" TargetMode="External"/><Relationship Id="rId23" Type="http://schemas.openxmlformats.org/officeDocument/2006/relationships/hyperlink" Target="https://doi.org/10.1079/9781845930561.0059" TargetMode="External"/><Relationship Id="rId28" Type="http://schemas.openxmlformats.org/officeDocument/2006/relationships/hyperlink" Target="https://doi.org/10.1080/01448765.2012.746063" TargetMode="External"/><Relationship Id="rId36" Type="http://schemas.openxmlformats.org/officeDocument/2006/relationships/hyperlink" Target="https://doi.org/10.3389/fpls.2025.1623444" TargetMode="External"/><Relationship Id="rId49" Type="http://schemas.openxmlformats.org/officeDocument/2006/relationships/hyperlink" Target="https://doi.org/10.1111/nph.13933" TargetMode="External"/><Relationship Id="rId57" Type="http://schemas.openxmlformats.org/officeDocument/2006/relationships/header" Target="header2.xml"/><Relationship Id="rId10" Type="http://schemas.openxmlformats.org/officeDocument/2006/relationships/hyperlink" Target="https://doi.org/10.24154/jhs.v18i1.2141" TargetMode="External"/><Relationship Id="rId31" Type="http://schemas.openxmlformats.org/officeDocument/2006/relationships/hyperlink" Target="https://doi.org/10.2503/jjshs.61.847" TargetMode="External"/><Relationship Id="rId44" Type="http://schemas.openxmlformats.org/officeDocument/2006/relationships/hyperlink" Target="https://doi.org/10.3923/jbs.2002.446.448" TargetMode="External"/><Relationship Id="rId52" Type="http://schemas.openxmlformats.org/officeDocument/2006/relationships/hyperlink" Target="https://doi.org/10.1007/s11274-021-03211-2"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16/j.scienta.2010.09.0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118</TotalTime>
  <Pages>15</Pages>
  <Words>5535</Words>
  <Characters>31556</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37017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41</cp:revision>
  <cp:lastPrinted>1999-07-06T11:00:00Z</cp:lastPrinted>
  <dcterms:created xsi:type="dcterms:W3CDTF">2014-10-25T14:34:00Z</dcterms:created>
  <dcterms:modified xsi:type="dcterms:W3CDTF">2026-10-10T05:26:00Z</dcterms:modified>
</cp:coreProperties>
</file>