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1A758" w14:textId="77777777" w:rsidR="0010650E" w:rsidRDefault="0010650E" w:rsidP="00181F83">
      <w:pPr>
        <w:spacing w:before="240" w:after="240" w:line="360" w:lineRule="auto"/>
        <w:jc w:val="right"/>
        <w:rPr>
          <w:rFonts w:ascii="Arial" w:hAnsi="Arial" w:cs="Arial"/>
          <w:b/>
          <w:sz w:val="36"/>
          <w:szCs w:val="36"/>
        </w:rPr>
      </w:pPr>
      <w:r w:rsidRPr="0010650E">
        <w:rPr>
          <w:rFonts w:ascii="Arial" w:hAnsi="Arial" w:cs="Arial"/>
          <w:b/>
          <w:sz w:val="36"/>
          <w:szCs w:val="36"/>
        </w:rPr>
        <w:t>Original Research Article</w:t>
      </w:r>
    </w:p>
    <w:p w14:paraId="57BDA72B" w14:textId="77777777" w:rsidR="00181F83" w:rsidRPr="00181F83" w:rsidRDefault="00181F83" w:rsidP="00181F83">
      <w:pPr>
        <w:spacing w:before="240" w:after="240" w:line="360" w:lineRule="auto"/>
        <w:jc w:val="right"/>
        <w:rPr>
          <w:rFonts w:ascii="Arial" w:hAnsi="Arial" w:cs="Arial"/>
          <w:b/>
          <w:sz w:val="36"/>
          <w:szCs w:val="36"/>
        </w:rPr>
      </w:pPr>
      <w:r w:rsidRPr="00181F83">
        <w:rPr>
          <w:rFonts w:ascii="Arial" w:hAnsi="Arial" w:cs="Arial"/>
          <w:b/>
          <w:sz w:val="36"/>
          <w:szCs w:val="36"/>
        </w:rPr>
        <w:t xml:space="preserve">Green Synthesis of Silver Nanoparticles Using Aqueous and Ethanolic Root Extracts of </w:t>
      </w:r>
      <w:r>
        <w:rPr>
          <w:rFonts w:ascii="Arial" w:hAnsi="Arial" w:cs="Arial"/>
          <w:b/>
          <w:i/>
          <w:iCs/>
          <w:sz w:val="36"/>
          <w:szCs w:val="36"/>
        </w:rPr>
        <w:t>Cyperus scariosus</w:t>
      </w:r>
      <w:r>
        <w:rPr>
          <w:rFonts w:ascii="Arial" w:hAnsi="Arial" w:cs="Arial"/>
          <w:b/>
          <w:sz w:val="36"/>
          <w:szCs w:val="36"/>
        </w:rPr>
        <w:t xml:space="preserve"> Their Characterization and Evaluation of Their Anthelmintic Activity</w:t>
      </w:r>
    </w:p>
    <w:p w14:paraId="21C31269" w14:textId="77777777" w:rsidR="00637F55" w:rsidRPr="007F6A36" w:rsidRDefault="00637F55" w:rsidP="007F6A36">
      <w:pPr>
        <w:spacing w:line="360" w:lineRule="auto"/>
        <w:jc w:val="right"/>
        <w:rPr>
          <w:rFonts w:ascii="Arial" w:hAnsi="Arial" w:cs="Arial"/>
          <w:i/>
          <w:iCs/>
        </w:rPr>
      </w:pPr>
    </w:p>
    <w:p w14:paraId="53A60E4D" w14:textId="77777777" w:rsidR="007F6A36" w:rsidRPr="007F6A36" w:rsidRDefault="007F6A36" w:rsidP="00441B6F">
      <w:pPr>
        <w:pStyle w:val="Title"/>
        <w:spacing w:after="0"/>
        <w:jc w:val="both"/>
        <w:rPr>
          <w:rFonts w:ascii="Arial" w:hAnsi="Arial" w:cs="Arial"/>
        </w:rPr>
      </w:pPr>
    </w:p>
    <w:p w14:paraId="247F76BE" w14:textId="77777777" w:rsidR="00B01FCD" w:rsidRPr="00FB3A86" w:rsidRDefault="00000000" w:rsidP="00441B6F">
      <w:pPr>
        <w:pStyle w:val="Copyright"/>
        <w:spacing w:after="0" w:line="240" w:lineRule="auto"/>
        <w:jc w:val="both"/>
        <w:rPr>
          <w:rFonts w:ascii="Arial" w:hAnsi="Arial" w:cs="Arial"/>
        </w:rPr>
        <w:sectPr w:rsidR="00B01FCD" w:rsidRPr="00FB3A86" w:rsidSect="008B529A">
          <w:headerReference w:type="even" r:id="rId8"/>
          <w:headerReference w:type="default" r:id="rId9"/>
          <w:footerReference w:type="even" r:id="rId10"/>
          <w:footerReference w:type="default" r:id="rId11"/>
          <w:headerReference w:type="first" r:id="rId12"/>
          <w:footerReference w:type="first" r:id="rId13"/>
          <w:pgSz w:w="12240" w:h="15840" w:code="1"/>
          <w:pgMar w:top="90" w:right="2016" w:bottom="2016" w:left="2016" w:header="96" w:footer="1296" w:gutter="0"/>
          <w:cols w:space="720"/>
          <w:titlePg/>
          <w:docGrid w:linePitch="272"/>
        </w:sectPr>
      </w:pPr>
      <w:r>
        <w:rPr>
          <w:rFonts w:ascii="Arial" w:hAnsi="Arial" w:cs="Arial"/>
        </w:rPr>
      </w:r>
      <w:r>
        <w:rPr>
          <w:rFonts w:ascii="Arial" w:hAnsi="Arial" w:cs="Arial"/>
        </w:rPr>
        <w:pict w14:anchorId="1E77B9D7">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48FB1789"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63C2CBAB"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136D1287" w14:textId="77777777" w:rsidTr="001E44FE">
        <w:tc>
          <w:tcPr>
            <w:tcW w:w="9576" w:type="dxa"/>
            <w:shd w:val="clear" w:color="auto" w:fill="F2F2F2"/>
          </w:tcPr>
          <w:p w14:paraId="430C4459" w14:textId="77777777" w:rsidR="00A03B96" w:rsidRDefault="00A03B96" w:rsidP="00441B6F">
            <w:pPr>
              <w:pStyle w:val="Body"/>
              <w:spacing w:after="0"/>
              <w:rPr>
                <w:rFonts w:ascii="Arial" w:eastAsia="Calibri" w:hAnsi="Arial" w:cs="Arial"/>
                <w:szCs w:val="22"/>
              </w:rPr>
            </w:pPr>
          </w:p>
          <w:p w14:paraId="48A6F362" w14:textId="77777777" w:rsidR="00093C31" w:rsidRDefault="00716FB8" w:rsidP="00BA7232">
            <w:pPr>
              <w:spacing w:line="360" w:lineRule="auto"/>
              <w:jc w:val="both"/>
              <w:rPr>
                <w:rFonts w:ascii="Arial" w:hAnsi="Arial" w:cs="Arial"/>
              </w:rPr>
            </w:pPr>
            <w:r>
              <w:rPr>
                <w:rFonts w:ascii="Arial" w:hAnsi="Arial" w:cs="Arial"/>
              </w:rPr>
              <w:t xml:space="preserve">Helminthiasis is a widespread disease affecting over a billion people globally. </w:t>
            </w:r>
            <w:r>
              <w:rPr>
                <w:rFonts w:ascii="Arial" w:hAnsi="Arial" w:cs="Arial"/>
                <w:highlight w:val="yellow"/>
              </w:rPr>
              <w:t>C</w:t>
            </w:r>
            <w:r>
              <w:rPr>
                <w:rFonts w:ascii="Arial" w:hAnsi="Arial" w:cs="Arial"/>
              </w:rPr>
              <w:t xml:space="preserve">urrent treatment measures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w:t>
            </w:r>
            <w:r>
              <w:rPr>
                <w:rFonts w:ascii="Arial" w:hAnsi="Arial" w:cs="Arial"/>
                <w:highlight w:val="yellow"/>
              </w:rPr>
              <w:t>h</w:t>
            </w:r>
            <w:r>
              <w:rPr>
                <w:rFonts w:ascii="Arial" w:hAnsi="Arial" w:cs="Arial"/>
              </w:rPr>
              <w:t>elminthiasis rel</w:t>
            </w:r>
            <w:r>
              <w:rPr>
                <w:rFonts w:ascii="Arial" w:hAnsi="Arial" w:cs="Arial"/>
                <w:highlight w:val="yellow"/>
              </w:rPr>
              <w:t>y</w:t>
            </w:r>
            <w:r>
              <w:rPr>
                <w:rFonts w:ascii="Arial" w:hAnsi="Arial" w:cs="Arial"/>
              </w:rPr>
              <w:t xml:space="preserve"> predominantly on antibiotics</w:t>
            </w:r>
            <w:r>
              <w:rPr>
                <w:rFonts w:ascii="Arial" w:hAnsi="Arial" w:cs="Arial"/>
                <w:highlight w:val="yellow"/>
              </w:rPr>
              <w:t>;</w:t>
            </w:r>
            <w:r>
              <w:rPr>
                <w:rFonts w:ascii="Arial" w:hAnsi="Arial" w:cs="Arial"/>
              </w:rPr>
              <w:t xml:space="preserve"> however</w:t>
            </w:r>
            <w:r>
              <w:rPr>
                <w:rFonts w:ascii="Arial" w:hAnsi="Arial" w:cs="Arial"/>
                <w:highlight w:val="yellow"/>
              </w:rPr>
              <w:t>,</w:t>
            </w:r>
            <w:r>
              <w:rPr>
                <w:rFonts w:ascii="Arial" w:hAnsi="Arial" w:cs="Arial"/>
              </w:rPr>
              <w:t xml:space="preserve"> growing anthelmintic drug resistance necessitates the inclusion of alternat</w:t>
            </w:r>
            <w:r>
              <w:rPr>
                <w:rFonts w:ascii="Arial" w:hAnsi="Arial" w:cs="Arial"/>
                <w:highlight w:val="yellow"/>
              </w:rPr>
              <w:t>iv</w:t>
            </w:r>
            <w:r>
              <w:rPr>
                <w:rFonts w:ascii="Arial" w:hAnsi="Arial" w:cs="Arial"/>
              </w:rPr>
              <w:t xml:space="preserve">e treatment measures. Thus, this study pursued </w:t>
            </w:r>
            <w:r>
              <w:rPr>
                <w:rFonts w:ascii="Arial" w:hAnsi="Arial" w:cs="Arial"/>
                <w:highlight w:val="yellow"/>
              </w:rPr>
              <w:t xml:space="preserve">a </w:t>
            </w:r>
            <w:r>
              <w:rPr>
                <w:rFonts w:ascii="Arial" w:hAnsi="Arial" w:cs="Arial"/>
              </w:rPr>
              <w:t xml:space="preserve">sustainable nanotechnology </w:t>
            </w:r>
            <w:r>
              <w:rPr>
                <w:rFonts w:ascii="Arial" w:hAnsi="Arial" w:cs="Arial"/>
                <w:highlight w:val="yellow"/>
              </w:rPr>
              <w:t xml:space="preserve">approach </w:t>
            </w:r>
            <w:r>
              <w:rPr>
                <w:rFonts w:ascii="Arial" w:hAnsi="Arial" w:cs="Arial"/>
              </w:rPr>
              <w:t>through</w:t>
            </w:r>
            <w:r>
              <w:rPr>
                <w:rFonts w:ascii="Arial" w:hAnsi="Arial" w:cs="Arial"/>
                <w:highlight w:val="yellow"/>
              </w:rPr>
              <w:t xml:space="preserve"> the</w:t>
            </w:r>
            <w:r>
              <w:rPr>
                <w:rFonts w:ascii="Arial" w:hAnsi="Arial" w:cs="Arial"/>
              </w:rPr>
              <w:t xml:space="preserve"> green synthesis of silver nanoparticles (AgNPs) using aqueous and ethanolic root extracts of </w:t>
            </w:r>
            <w:r>
              <w:rPr>
                <w:rFonts w:ascii="Arial" w:hAnsi="Arial" w:cs="Arial"/>
                <w:i/>
                <w:iCs/>
              </w:rPr>
              <w:t>Cyperus scariosus</w:t>
            </w:r>
            <w:r>
              <w:rPr>
                <w:rFonts w:ascii="Arial" w:hAnsi="Arial" w:cs="Arial"/>
              </w:rPr>
              <w:t xml:space="preserve">. </w:t>
            </w:r>
          </w:p>
          <w:p w14:paraId="47D3C367" w14:textId="77777777" w:rsidR="00716FB8" w:rsidRPr="001D014D" w:rsidRDefault="00716FB8" w:rsidP="00BA7232">
            <w:pPr>
              <w:spacing w:line="360" w:lineRule="auto"/>
              <w:jc w:val="both"/>
              <w:rPr>
                <w:rFonts w:ascii="Arial" w:hAnsi="Arial" w:cs="Arial"/>
              </w:rPr>
            </w:pPr>
            <w:r>
              <w:rPr>
                <w:rFonts w:ascii="Arial" w:hAnsi="Arial" w:cs="Arial"/>
              </w:rPr>
              <w:t>The extracts were evaluated for their phytochemical profile</w:t>
            </w:r>
            <w:r>
              <w:rPr>
                <w:rFonts w:ascii="Arial" w:hAnsi="Arial" w:cs="Arial"/>
                <w:highlight w:val="yellow"/>
              </w:rPr>
              <w:t>s</w:t>
            </w:r>
            <w:r>
              <w:rPr>
                <w:rFonts w:ascii="Arial" w:hAnsi="Arial" w:cs="Arial"/>
              </w:rPr>
              <w:t xml:space="preserve"> and utili</w:t>
            </w:r>
            <w:r>
              <w:rPr>
                <w:rFonts w:ascii="Arial" w:hAnsi="Arial" w:cs="Arial"/>
                <w:highlight w:val="yellow"/>
              </w:rPr>
              <w:t>s</w:t>
            </w:r>
            <w:r>
              <w:rPr>
                <w:rFonts w:ascii="Arial" w:hAnsi="Arial" w:cs="Arial"/>
              </w:rPr>
              <w:t>ed for the synthesis of AgNPs. The synthesi</w:t>
            </w:r>
            <w:r>
              <w:rPr>
                <w:rFonts w:ascii="Arial" w:hAnsi="Arial" w:cs="Arial"/>
                <w:highlight w:val="yellow"/>
              </w:rPr>
              <w:t>s</w:t>
            </w:r>
            <w:r>
              <w:rPr>
                <w:rFonts w:ascii="Arial" w:hAnsi="Arial" w:cs="Arial"/>
              </w:rPr>
              <w:t>ed AgNPs were characteri</w:t>
            </w:r>
            <w:r>
              <w:rPr>
                <w:rFonts w:ascii="Arial" w:hAnsi="Arial" w:cs="Arial"/>
                <w:highlight w:val="yellow"/>
              </w:rPr>
              <w:t>s</w:t>
            </w:r>
            <w:r>
              <w:rPr>
                <w:rFonts w:ascii="Arial" w:hAnsi="Arial" w:cs="Arial"/>
              </w:rPr>
              <w:t>ed by UV-</w:t>
            </w:r>
            <w:r>
              <w:rPr>
                <w:rFonts w:ascii="Arial" w:hAnsi="Arial" w:cs="Arial"/>
                <w:highlight w:val="yellow"/>
              </w:rPr>
              <w:t>v</w:t>
            </w:r>
            <w:r>
              <w:rPr>
                <w:rFonts w:ascii="Arial" w:hAnsi="Arial" w:cs="Arial"/>
              </w:rPr>
              <w:t xml:space="preserve">isible (UV-Vis) spectroscopy, </w:t>
            </w:r>
            <w:r>
              <w:rPr>
                <w:rFonts w:ascii="Arial" w:hAnsi="Arial" w:cs="Arial"/>
                <w:lang w:eastAsia="en-IN"/>
              </w:rPr>
              <w:t>Fourier transform infrared</w:t>
            </w:r>
            <w:r>
              <w:rPr>
                <w:rFonts w:ascii="Times New Roman" w:hAnsi="Times New Roman"/>
              </w:rPr>
              <w:t xml:space="preserve"> </w:t>
            </w:r>
            <w:r>
              <w:rPr>
                <w:rFonts w:ascii="Arial" w:hAnsi="Arial" w:cs="Arial"/>
              </w:rPr>
              <w:t>(FTIR) spectroscopy,</w:t>
            </w:r>
            <w:r>
              <w:rPr>
                <w:rFonts w:ascii="Times New Roman" w:hAnsi="Times New Roman"/>
              </w:rPr>
              <w:t xml:space="preserve"> </w:t>
            </w:r>
            <w:r>
              <w:rPr>
                <w:rFonts w:ascii="Arial" w:hAnsi="Arial" w:cs="Arial"/>
                <w:highlight w:val="yellow"/>
                <w:lang w:eastAsia="en-IN"/>
              </w:rPr>
              <w:t>t</w:t>
            </w:r>
            <w:r>
              <w:rPr>
                <w:rFonts w:ascii="Arial" w:hAnsi="Arial" w:cs="Arial"/>
                <w:lang w:eastAsia="en-IN"/>
              </w:rPr>
              <w:t>ransmission electron microscopy</w:t>
            </w:r>
            <w:r>
              <w:rPr>
                <w:rFonts w:ascii="Times New Roman" w:hAnsi="Times New Roman"/>
                <w:b/>
                <w:bCs/>
                <w:sz w:val="24"/>
                <w:szCs w:val="24"/>
                <w:lang w:eastAsia="en-IN"/>
              </w:rPr>
              <w:t xml:space="preserve"> (</w:t>
            </w:r>
            <w:r>
              <w:rPr>
                <w:rFonts w:ascii="Arial" w:hAnsi="Arial" w:cs="Arial"/>
              </w:rPr>
              <w:t xml:space="preserve">TEM), </w:t>
            </w:r>
            <w:r>
              <w:rPr>
                <w:rFonts w:ascii="Arial" w:hAnsi="Arial" w:cs="Arial"/>
                <w:highlight w:val="yellow"/>
              </w:rPr>
              <w:t>f</w:t>
            </w:r>
            <w:r>
              <w:rPr>
                <w:rFonts w:ascii="Arial" w:hAnsi="Arial" w:cs="Arial"/>
                <w:lang w:eastAsia="en-IN"/>
              </w:rPr>
              <w:t>ield</w:t>
            </w:r>
            <w:r>
              <w:rPr>
                <w:rFonts w:ascii="Arial" w:hAnsi="Arial" w:cs="Arial"/>
                <w:highlight w:val="yellow"/>
                <w:lang w:eastAsia="en-IN"/>
              </w:rPr>
              <w:t>-</w:t>
            </w:r>
            <w:r>
              <w:rPr>
                <w:rFonts w:ascii="Arial" w:hAnsi="Arial" w:cs="Arial"/>
                <w:lang w:eastAsia="en-IN"/>
              </w:rPr>
              <w:t>emission scanning electron microscopy (</w:t>
            </w:r>
            <w:r>
              <w:rPr>
                <w:rFonts w:ascii="Arial" w:hAnsi="Arial" w:cs="Arial"/>
              </w:rPr>
              <w:t>FESEM)</w:t>
            </w:r>
            <w:r>
              <w:rPr>
                <w:rFonts w:ascii="Arial" w:hAnsi="Arial" w:cs="Arial"/>
                <w:highlight w:val="yellow"/>
              </w:rPr>
              <w:t>,</w:t>
            </w:r>
            <w:r>
              <w:rPr>
                <w:rFonts w:ascii="Arial" w:hAnsi="Arial" w:cs="Arial"/>
              </w:rPr>
              <w:t xml:space="preserve"> and </w:t>
            </w:r>
            <w:r>
              <w:rPr>
                <w:rFonts w:ascii="Arial" w:hAnsi="Arial" w:cs="Arial"/>
                <w:highlight w:val="yellow"/>
              </w:rPr>
              <w:t>e</w:t>
            </w:r>
            <w:r>
              <w:rPr>
                <w:rFonts w:ascii="Arial" w:hAnsi="Arial" w:cs="Arial"/>
              </w:rPr>
              <w:t>nergy</w:t>
            </w:r>
            <w:r>
              <w:rPr>
                <w:rFonts w:ascii="Arial" w:hAnsi="Arial" w:cs="Arial"/>
                <w:highlight w:val="yellow"/>
              </w:rPr>
              <w:t>-</w:t>
            </w:r>
            <w:r>
              <w:rPr>
                <w:rFonts w:ascii="Arial" w:hAnsi="Arial" w:cs="Arial"/>
              </w:rPr>
              <w:t xml:space="preserve">dispersive X-ray </w:t>
            </w:r>
            <w:r>
              <w:rPr>
                <w:rFonts w:ascii="Arial" w:hAnsi="Arial" w:cs="Arial"/>
                <w:bCs/>
                <w:iCs/>
              </w:rPr>
              <w:t>(</w:t>
            </w:r>
            <w:r>
              <w:rPr>
                <w:rFonts w:ascii="Arial" w:hAnsi="Arial" w:cs="Arial"/>
              </w:rPr>
              <w:t xml:space="preserve">EDX) spectroscopy. Both plant extracts, </w:t>
            </w:r>
            <w:r>
              <w:rPr>
                <w:rFonts w:ascii="Arial" w:hAnsi="Arial" w:cs="Arial"/>
                <w:highlight w:val="yellow"/>
              </w:rPr>
              <w:t xml:space="preserve">the </w:t>
            </w:r>
            <w:r>
              <w:rPr>
                <w:rFonts w:ascii="Arial" w:hAnsi="Arial" w:cs="Arial"/>
              </w:rPr>
              <w:t>synthesi</w:t>
            </w:r>
            <w:r>
              <w:rPr>
                <w:rFonts w:ascii="Arial" w:hAnsi="Arial" w:cs="Arial"/>
                <w:highlight w:val="yellow"/>
              </w:rPr>
              <w:t>s</w:t>
            </w:r>
            <w:r>
              <w:rPr>
                <w:rFonts w:ascii="Arial" w:hAnsi="Arial" w:cs="Arial"/>
              </w:rPr>
              <w:t>ed AgNPs</w:t>
            </w:r>
            <w:r>
              <w:rPr>
                <w:rFonts w:ascii="Arial" w:hAnsi="Arial" w:cs="Arial"/>
                <w:highlight w:val="yellow"/>
              </w:rPr>
              <w:t>,</w:t>
            </w:r>
            <w:r>
              <w:rPr>
                <w:rFonts w:ascii="Arial" w:hAnsi="Arial" w:cs="Arial"/>
              </w:rPr>
              <w:t xml:space="preserve"> and</w:t>
            </w:r>
            <w:r>
              <w:rPr>
                <w:rFonts w:ascii="Arial" w:hAnsi="Arial" w:cs="Arial"/>
                <w:highlight w:val="yellow"/>
              </w:rPr>
              <w:t xml:space="preserve"> the</w:t>
            </w:r>
            <w:r>
              <w:rPr>
                <w:rFonts w:ascii="Arial" w:hAnsi="Arial" w:cs="Arial"/>
              </w:rPr>
              <w:t xml:space="preserve"> standard drug Albendazole were evaluated for their comparative anthelmintic potential against the earthworms </w:t>
            </w:r>
            <w:r>
              <w:rPr>
                <w:rFonts w:ascii="Arial" w:hAnsi="Arial" w:cs="Arial"/>
                <w:i/>
                <w:iCs/>
              </w:rPr>
              <w:t>Eisenia fetida</w:t>
            </w:r>
            <w:r>
              <w:rPr>
                <w:rFonts w:ascii="Times New Roman" w:hAnsi="Times New Roman"/>
                <w:i/>
                <w:iCs/>
                <w:sz w:val="24"/>
                <w:szCs w:val="24"/>
              </w:rPr>
              <w:t>.</w:t>
            </w:r>
          </w:p>
          <w:p w14:paraId="21FC273A" w14:textId="77777777" w:rsidR="001D014D" w:rsidRPr="001D014D" w:rsidRDefault="001C522F" w:rsidP="00BA7232">
            <w:pPr>
              <w:spacing w:line="360" w:lineRule="auto"/>
              <w:jc w:val="both"/>
              <w:rPr>
                <w:rFonts w:ascii="Arial" w:hAnsi="Arial" w:cs="Arial"/>
              </w:rPr>
            </w:pPr>
            <w:r>
              <w:rPr>
                <w:rFonts w:ascii="Arial" w:hAnsi="Arial" w:cs="Arial"/>
              </w:rPr>
              <w:t>Phytochemical screening revealed tannins, saponins, terpenoids, steroids, and phenols in the aqueous extract</w:t>
            </w:r>
            <w:r>
              <w:rPr>
                <w:rFonts w:ascii="Arial" w:hAnsi="Arial" w:cs="Arial"/>
                <w:highlight w:val="yellow"/>
              </w:rPr>
              <w:t>,</w:t>
            </w:r>
            <w:r>
              <w:rPr>
                <w:rFonts w:ascii="Arial" w:hAnsi="Arial" w:cs="Arial"/>
              </w:rPr>
              <w:t xml:space="preserve"> vis-a-vis alkaloids, tannins, terpenoids, steroids, and phenols in the ethanolic extract. UV-Vis spectroscopy confirmed AgNP formation</w:t>
            </w:r>
            <w:r>
              <w:rPr>
                <w:rFonts w:ascii="Arial" w:hAnsi="Arial" w:cs="Arial"/>
                <w:highlight w:val="yellow"/>
              </w:rPr>
              <w:t>,</w:t>
            </w:r>
            <w:r>
              <w:rPr>
                <w:rFonts w:ascii="Arial" w:hAnsi="Arial" w:cs="Arial"/>
              </w:rPr>
              <w:t xml:space="preserve"> with surface plasmon resonance peak</w:t>
            </w:r>
            <w:r>
              <w:rPr>
                <w:rFonts w:ascii="Arial" w:hAnsi="Arial" w:cs="Arial"/>
                <w:highlight w:val="yellow"/>
              </w:rPr>
              <w:t>s</w:t>
            </w:r>
            <w:r>
              <w:rPr>
                <w:rFonts w:ascii="Arial" w:hAnsi="Arial" w:cs="Arial"/>
              </w:rPr>
              <w:t xml:space="preserve"> obtained at 450 nm for aqueous AgNPs and 416 nm for ethanolic AgNPs. FTIR analysis exhibited eight peaks for aqueous </w:t>
            </w:r>
            <w:r>
              <w:rPr>
                <w:rFonts w:ascii="Arial" w:hAnsi="Arial" w:cs="Arial"/>
                <w:highlight w:val="yellow"/>
              </w:rPr>
              <w:t xml:space="preserve">AgNPs </w:t>
            </w:r>
            <w:r>
              <w:rPr>
                <w:rFonts w:ascii="Arial" w:hAnsi="Arial" w:cs="Arial"/>
              </w:rPr>
              <w:t>and five for ethanolic AgNPs</w:t>
            </w:r>
            <w:r>
              <w:rPr>
                <w:rFonts w:ascii="Arial" w:hAnsi="Arial" w:cs="Arial"/>
                <w:highlight w:val="yellow"/>
              </w:rPr>
              <w:t>,</w:t>
            </w:r>
            <w:r>
              <w:rPr>
                <w:rFonts w:ascii="Arial" w:hAnsi="Arial" w:cs="Arial"/>
              </w:rPr>
              <w:t xml:space="preserve"> </w:t>
            </w:r>
            <w:r>
              <w:rPr>
                <w:rFonts w:ascii="Arial" w:hAnsi="Arial" w:cs="Arial"/>
                <w:highlight w:val="yellow"/>
              </w:rPr>
              <w:lastRenderedPageBreak/>
              <w:t>in</w:t>
            </w:r>
            <w:r>
              <w:rPr>
                <w:rFonts w:ascii="Arial" w:hAnsi="Arial" w:cs="Arial"/>
              </w:rPr>
              <w:t>dic</w:t>
            </w:r>
            <w:r>
              <w:rPr>
                <w:rFonts w:ascii="Arial" w:hAnsi="Arial" w:cs="Arial"/>
                <w:highlight w:val="yellow"/>
              </w:rPr>
              <w:t>a</w:t>
            </w:r>
            <w:r>
              <w:rPr>
                <w:rFonts w:ascii="Arial" w:hAnsi="Arial" w:cs="Arial"/>
              </w:rPr>
              <w:t>ting the presence of varied functional groups. TEM analysis revealed quasi-spherical nanoparticles</w:t>
            </w:r>
            <w:r>
              <w:rPr>
                <w:rFonts w:ascii="Arial" w:hAnsi="Arial" w:cs="Arial"/>
                <w:highlight w:val="yellow"/>
              </w:rPr>
              <w:t>,</w:t>
            </w:r>
            <w:r>
              <w:rPr>
                <w:rFonts w:ascii="Arial" w:hAnsi="Arial" w:cs="Arial"/>
              </w:rPr>
              <w:t xml:space="preserve"> with the well</w:t>
            </w:r>
            <w:r>
              <w:rPr>
                <w:rFonts w:ascii="Arial" w:hAnsi="Arial" w:cs="Arial"/>
                <w:highlight w:val="yellow"/>
              </w:rPr>
              <w:t>-</w:t>
            </w:r>
            <w:r>
              <w:rPr>
                <w:rFonts w:ascii="Arial" w:hAnsi="Arial" w:cs="Arial"/>
              </w:rPr>
              <w:t>dispersed aqueous AgNPs averaging ~91 nm and the less</w:t>
            </w:r>
            <w:r>
              <w:rPr>
                <w:rFonts w:ascii="Arial" w:hAnsi="Arial" w:cs="Arial"/>
                <w:highlight w:val="yellow"/>
              </w:rPr>
              <w:t>-</w:t>
            </w:r>
            <w:r>
              <w:rPr>
                <w:rFonts w:ascii="Arial" w:hAnsi="Arial" w:cs="Arial"/>
              </w:rPr>
              <w:t xml:space="preserve">dispersed ethanolic AgNPs averaging ~24 nm. FESEM confirmed </w:t>
            </w:r>
            <w:r>
              <w:rPr>
                <w:rFonts w:ascii="Arial" w:hAnsi="Arial" w:cs="Arial"/>
                <w:highlight w:val="yellow"/>
              </w:rPr>
              <w:t xml:space="preserve">the </w:t>
            </w:r>
            <w:r>
              <w:rPr>
                <w:rFonts w:ascii="Arial" w:hAnsi="Arial" w:cs="Arial"/>
              </w:rPr>
              <w:t>surface morphology</w:t>
            </w:r>
            <w:r>
              <w:rPr>
                <w:rFonts w:ascii="Arial" w:hAnsi="Arial" w:cs="Arial"/>
                <w:highlight w:val="yellow"/>
              </w:rPr>
              <w:t>,</w:t>
            </w:r>
            <w:r>
              <w:rPr>
                <w:rFonts w:ascii="Arial" w:hAnsi="Arial" w:cs="Arial"/>
              </w:rPr>
              <w:t xml:space="preserve"> and EDX confirmed the silver content of both AgNP</w:t>
            </w:r>
            <w:r>
              <w:rPr>
                <w:rFonts w:ascii="Arial" w:hAnsi="Arial" w:cs="Arial"/>
                <w:highlight w:val="yellow"/>
              </w:rPr>
              <w:t xml:space="preserve"> preparation</w:t>
            </w:r>
            <w:r>
              <w:rPr>
                <w:rFonts w:ascii="Arial" w:hAnsi="Arial" w:cs="Arial"/>
              </w:rPr>
              <w:t>s</w:t>
            </w:r>
            <w:r>
              <w:rPr>
                <w:rFonts w:ascii="Arial" w:hAnsi="Arial" w:cs="Arial"/>
                <w:highlight w:val="yellow"/>
              </w:rPr>
              <w:t>,</w:t>
            </w:r>
            <w:r>
              <w:rPr>
                <w:rFonts w:ascii="Arial" w:hAnsi="Arial" w:cs="Arial"/>
              </w:rPr>
              <w:t xml:space="preserve"> with 47.72 weight % silver in aqueous AgNPs and 34.91 weight % in ethanolic</w:t>
            </w:r>
            <w:r>
              <w:rPr>
                <w:rFonts w:ascii="Times New Roman" w:hAnsi="Times New Roman"/>
                <w:sz w:val="24"/>
                <w:szCs w:val="24"/>
              </w:rPr>
              <w:t xml:space="preserve"> </w:t>
            </w:r>
            <w:r>
              <w:rPr>
                <w:rFonts w:ascii="Arial" w:hAnsi="Arial" w:cs="Arial"/>
              </w:rPr>
              <w:t xml:space="preserve">AgNPs. </w:t>
            </w:r>
            <w:r>
              <w:rPr>
                <w:rFonts w:ascii="Arial" w:hAnsi="Arial" w:cs="Arial"/>
                <w:highlight w:val="yellow"/>
              </w:rPr>
              <w:t>The a</w:t>
            </w:r>
            <w:r>
              <w:rPr>
                <w:rFonts w:ascii="Arial" w:hAnsi="Arial" w:cs="Arial"/>
              </w:rPr>
              <w:t>nthelmintic assay s</w:t>
            </w:r>
            <w:r>
              <w:rPr>
                <w:rFonts w:ascii="Arial" w:hAnsi="Arial" w:cs="Arial"/>
                <w:highlight w:val="yellow"/>
              </w:rPr>
              <w:t>how</w:t>
            </w:r>
            <w:r>
              <w:rPr>
                <w:rFonts w:ascii="Arial" w:hAnsi="Arial" w:cs="Arial"/>
              </w:rPr>
              <w:t xml:space="preserve">ed potent dose-dependent effects </w:t>
            </w:r>
            <w:r>
              <w:rPr>
                <w:rFonts w:ascii="Arial" w:hAnsi="Arial" w:cs="Arial"/>
                <w:highlight w:val="yellow"/>
              </w:rPr>
              <w:t>for</w:t>
            </w:r>
            <w:r>
              <w:rPr>
                <w:rFonts w:ascii="Arial" w:hAnsi="Arial" w:cs="Arial"/>
              </w:rPr>
              <w:t xml:space="preserve"> both aqueous and ethanolic AgNPs, surpassing the respective plant extracts and the standard drug Albendazole. </w:t>
            </w:r>
          </w:p>
          <w:p w14:paraId="6179A99F" w14:textId="77777777" w:rsidR="00505F06" w:rsidRPr="00BA749B" w:rsidRDefault="001C522F" w:rsidP="00BA7232">
            <w:pPr>
              <w:spacing w:line="360" w:lineRule="auto"/>
              <w:jc w:val="both"/>
              <w:rPr>
                <w:rFonts w:ascii="Arial" w:hAnsi="Arial" w:cs="Arial"/>
              </w:rPr>
            </w:pPr>
            <w:r>
              <w:rPr>
                <w:rFonts w:ascii="Arial" w:hAnsi="Arial" w:cs="Arial"/>
              </w:rPr>
              <w:t xml:space="preserve">Thus, </w:t>
            </w:r>
            <w:r>
              <w:rPr>
                <w:rFonts w:ascii="Arial" w:hAnsi="Arial" w:cs="Arial"/>
                <w:i/>
                <w:iCs/>
              </w:rPr>
              <w:t>Cyperus scariosus</w:t>
            </w:r>
            <w:r>
              <w:rPr>
                <w:rFonts w:ascii="Arial" w:hAnsi="Arial" w:cs="Arial"/>
              </w:rPr>
              <w:t xml:space="preserve"> root extracts (aqueous and ethanolic) serve as promising biogenic agents for AgNP synthesis</w:t>
            </w:r>
            <w:r>
              <w:rPr>
                <w:rFonts w:ascii="Arial" w:hAnsi="Arial" w:cs="Arial"/>
                <w:highlight w:val="yellow"/>
              </w:rPr>
              <w:t>,</w:t>
            </w:r>
            <w:r>
              <w:rPr>
                <w:rFonts w:ascii="Arial" w:hAnsi="Arial" w:cs="Arial"/>
              </w:rPr>
              <w:t xml:space="preserve"> with the synthesi</w:t>
            </w:r>
            <w:r>
              <w:rPr>
                <w:rFonts w:ascii="Arial" w:hAnsi="Arial" w:cs="Arial"/>
                <w:highlight w:val="yellow"/>
              </w:rPr>
              <w:t>s</w:t>
            </w:r>
            <w:r>
              <w:rPr>
                <w:rFonts w:ascii="Arial" w:hAnsi="Arial" w:cs="Arial"/>
              </w:rPr>
              <w:t xml:space="preserve">ed AgNPs </w:t>
            </w:r>
            <w:r>
              <w:rPr>
                <w:rFonts w:ascii="Arial" w:hAnsi="Arial" w:cs="Arial"/>
                <w:highlight w:val="yellow"/>
              </w:rPr>
              <w:t>s</w:t>
            </w:r>
            <w:r>
              <w:rPr>
                <w:rFonts w:ascii="Arial" w:hAnsi="Arial" w:cs="Arial"/>
              </w:rPr>
              <w:t>h</w:t>
            </w:r>
            <w:r>
              <w:rPr>
                <w:rFonts w:ascii="Arial" w:hAnsi="Arial" w:cs="Arial"/>
                <w:highlight w:val="yellow"/>
              </w:rPr>
              <w:t>ow</w:t>
            </w:r>
            <w:r>
              <w:rPr>
                <w:rFonts w:ascii="Arial" w:hAnsi="Arial" w:cs="Arial"/>
              </w:rPr>
              <w:t>ing potent therapeutic potential in anthelmintic applications.</w:t>
            </w:r>
          </w:p>
        </w:tc>
      </w:tr>
    </w:tbl>
    <w:p w14:paraId="5A6C8FBF" w14:textId="77777777" w:rsidR="00636EB2" w:rsidRDefault="00636EB2" w:rsidP="00441B6F">
      <w:pPr>
        <w:pStyle w:val="Body"/>
        <w:spacing w:after="0"/>
        <w:rPr>
          <w:rFonts w:ascii="Arial" w:hAnsi="Arial" w:cs="Arial"/>
          <w:i/>
        </w:rPr>
      </w:pPr>
    </w:p>
    <w:p w14:paraId="77789867" w14:textId="5D34A1BD" w:rsidR="0024282C" w:rsidRDefault="00A24E7E" w:rsidP="003533F6">
      <w:pPr>
        <w:pStyle w:val="Body"/>
        <w:spacing w:after="0" w:line="360" w:lineRule="auto"/>
        <w:rPr>
          <w:rFonts w:ascii="Arial" w:hAnsi="Arial" w:cs="Arial"/>
          <w:i/>
          <w:iCs/>
        </w:rPr>
      </w:pPr>
      <w:r>
        <w:rPr>
          <w:rFonts w:ascii="Arial" w:hAnsi="Arial" w:cs="Arial"/>
          <w:i/>
        </w:rPr>
        <w:t xml:space="preserve">Keywords: </w:t>
      </w:r>
      <w:r w:rsidR="00196E31" w:rsidRPr="00196E31">
        <w:rPr>
          <w:rFonts w:ascii="Arial" w:hAnsi="Arial" w:cs="Arial"/>
          <w:i/>
          <w:iCs/>
        </w:rPr>
        <w:t>Green synthesis; silver nanoparticles; Cyperus scariosus; root extracts; phytochemical screening; UV–Vis spectroscopy; FTIR; TEM; FESEM–EDX; anthelmintic activity; Eisenia fetida</w:t>
      </w:r>
    </w:p>
    <w:p w14:paraId="107E0AAC" w14:textId="77777777" w:rsidR="00196E31" w:rsidRDefault="00196E31" w:rsidP="003533F6">
      <w:pPr>
        <w:pStyle w:val="Body"/>
        <w:spacing w:after="0" w:line="360" w:lineRule="auto"/>
        <w:rPr>
          <w:rFonts w:ascii="Arial" w:hAnsi="Arial" w:cs="Arial"/>
          <w:i/>
          <w:sz w:val="18"/>
        </w:rPr>
      </w:pPr>
    </w:p>
    <w:p w14:paraId="687B9D0E" w14:textId="77777777" w:rsidR="007F7B32" w:rsidRDefault="00902823" w:rsidP="003533F6">
      <w:pPr>
        <w:pStyle w:val="AbstHead"/>
        <w:spacing w:after="0" w:line="360" w:lineRule="auto"/>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694502D1" w14:textId="77777777" w:rsidR="00737750" w:rsidRPr="009613CB" w:rsidRDefault="00737750" w:rsidP="003533F6">
      <w:pPr>
        <w:spacing w:before="240" w:after="240" w:line="360" w:lineRule="auto"/>
        <w:jc w:val="both"/>
        <w:rPr>
          <w:rFonts w:ascii="Arial" w:hAnsi="Arial" w:cs="Arial"/>
        </w:rPr>
      </w:pPr>
      <w:r>
        <w:rPr>
          <w:rFonts w:ascii="Arial" w:hAnsi="Arial" w:cs="Arial"/>
        </w:rPr>
        <w:t>Nanotechnology has evolved as one of the most transformative fields of science, with its unique ability to operate at molecular and atomic levels opening new opportunities across disciplines such as agriculture, energy, and especially biomedicine (Khan et al., 2019; Manjunatha et al., 2016). A major advancement in this field is the synthesis of nanoparticles</w:t>
      </w:r>
      <w:r>
        <w:rPr>
          <w:rFonts w:ascii="Arial" w:hAnsi="Arial" w:cs="Arial"/>
          <w:highlight w:val="yellow"/>
        </w:rPr>
        <w:t>,</w:t>
      </w:r>
      <w:r>
        <w:rPr>
          <w:rFonts w:ascii="Arial" w:hAnsi="Arial" w:cs="Arial"/>
        </w:rPr>
        <w:t xml:space="preserve"> whose extremely small size and high surface</w:t>
      </w:r>
      <w:r>
        <w:rPr>
          <w:rFonts w:ascii="Arial" w:hAnsi="Arial" w:cs="Arial"/>
          <w:highlight w:val="yellow"/>
        </w:rPr>
        <w:t>-</w:t>
      </w:r>
      <w:r>
        <w:rPr>
          <w:rFonts w:ascii="Arial" w:hAnsi="Arial" w:cs="Arial"/>
        </w:rPr>
        <w:t>area</w:t>
      </w:r>
      <w:r>
        <w:rPr>
          <w:rFonts w:ascii="Arial" w:hAnsi="Arial" w:cs="Arial"/>
          <w:highlight w:val="yellow"/>
        </w:rPr>
        <w:t>-</w:t>
      </w:r>
      <w:r>
        <w:rPr>
          <w:rFonts w:ascii="Arial" w:hAnsi="Arial" w:cs="Arial"/>
        </w:rPr>
        <w:t>to</w:t>
      </w:r>
      <w:r>
        <w:rPr>
          <w:rFonts w:ascii="Arial" w:hAnsi="Arial" w:cs="Arial"/>
          <w:highlight w:val="yellow"/>
        </w:rPr>
        <w:t>-</w:t>
      </w:r>
      <w:r>
        <w:rPr>
          <w:rFonts w:ascii="Arial" w:hAnsi="Arial" w:cs="Arial"/>
        </w:rPr>
        <w:t>volume ratio lead to</w:t>
      </w:r>
      <w:r>
        <w:rPr>
          <w:rFonts w:ascii="Arial" w:hAnsi="Arial" w:cs="Arial"/>
          <w:highlight w:val="yellow"/>
        </w:rPr>
        <w:t xml:space="preserve"> a</w:t>
      </w:r>
      <w:r>
        <w:rPr>
          <w:rFonts w:ascii="Arial" w:hAnsi="Arial" w:cs="Arial"/>
        </w:rPr>
        <w:t xml:space="preserve"> significant enhancement </w:t>
      </w:r>
      <w:r>
        <w:rPr>
          <w:rFonts w:ascii="Arial" w:hAnsi="Arial" w:cs="Arial"/>
          <w:highlight w:val="yellow"/>
        </w:rPr>
        <w:t>of</w:t>
      </w:r>
      <w:r>
        <w:rPr>
          <w:rFonts w:ascii="Arial" w:hAnsi="Arial" w:cs="Arial"/>
        </w:rPr>
        <w:t xml:space="preserve"> their chemical reactivity</w:t>
      </w:r>
      <w:r>
        <w:rPr>
          <w:rFonts w:ascii="Arial" w:hAnsi="Arial" w:cs="Arial"/>
          <w:highlight w:val="yellow"/>
        </w:rPr>
        <w:t>,</w:t>
      </w:r>
      <w:r>
        <w:rPr>
          <w:rFonts w:ascii="Arial" w:hAnsi="Arial" w:cs="Arial"/>
        </w:rPr>
        <w:t xml:space="preserve"> as eviden</w:t>
      </w:r>
      <w:r>
        <w:rPr>
          <w:rFonts w:ascii="Arial" w:hAnsi="Arial" w:cs="Arial"/>
          <w:highlight w:val="yellow"/>
        </w:rPr>
        <w:t>ced</w:t>
      </w:r>
      <w:r>
        <w:rPr>
          <w:rFonts w:ascii="Arial" w:hAnsi="Arial" w:cs="Arial"/>
        </w:rPr>
        <w:t xml:space="preserve"> </w:t>
      </w:r>
      <w:r>
        <w:rPr>
          <w:rFonts w:ascii="Arial" w:hAnsi="Arial" w:cs="Arial"/>
          <w:highlight w:val="yellow"/>
        </w:rPr>
        <w:t>by</w:t>
      </w:r>
      <w:r>
        <w:rPr>
          <w:rFonts w:ascii="Arial" w:hAnsi="Arial" w:cs="Arial"/>
        </w:rPr>
        <w:t xml:space="preserve"> their strong antimicrobial properties and improved interactions with microbial membranes (Khan et al., 2019).</w:t>
      </w:r>
    </w:p>
    <w:p w14:paraId="1789F8E0" w14:textId="77777777" w:rsidR="00737750" w:rsidRPr="009613CB" w:rsidRDefault="00737750" w:rsidP="00737750">
      <w:pPr>
        <w:spacing w:before="240" w:after="240" w:line="360" w:lineRule="auto"/>
        <w:jc w:val="both"/>
        <w:rPr>
          <w:rFonts w:ascii="Arial" w:hAnsi="Arial" w:cs="Arial"/>
        </w:rPr>
      </w:pPr>
      <w:r>
        <w:rPr>
          <w:rFonts w:ascii="Arial" w:hAnsi="Arial" w:cs="Arial"/>
        </w:rPr>
        <w:t>In recent years</w:t>
      </w:r>
      <w:r>
        <w:rPr>
          <w:rFonts w:ascii="Arial" w:hAnsi="Arial" w:cs="Arial"/>
          <w:highlight w:val="yellow"/>
        </w:rPr>
        <w:t>,</w:t>
      </w:r>
      <w:r>
        <w:rPr>
          <w:rFonts w:ascii="Arial" w:hAnsi="Arial" w:cs="Arial"/>
        </w:rPr>
        <w:t xml:space="preserve"> metallic nanoparticles have drawn considerable attention; gold, copper, zinc, platinum, and silver are some of the commonly used metals for the synthesis of nanoparticles (Jamkhande et al., 2019). Amongst them</w:t>
      </w:r>
      <w:r>
        <w:rPr>
          <w:rFonts w:ascii="Arial" w:hAnsi="Arial" w:cs="Arial"/>
          <w:highlight w:val="yellow"/>
        </w:rPr>
        <w:t>,</w:t>
      </w:r>
      <w:r>
        <w:rPr>
          <w:rFonts w:ascii="Arial" w:hAnsi="Arial" w:cs="Arial"/>
        </w:rPr>
        <w:t xml:space="preserve"> silver nanoparticles (AgNPs) are the most favoured owing to their high stability</w:t>
      </w:r>
      <w:r>
        <w:rPr>
          <w:rFonts w:ascii="Arial" w:hAnsi="Arial" w:cs="Arial"/>
          <w:highlight w:val="yellow"/>
        </w:rPr>
        <w:t>,</w:t>
      </w:r>
      <w:r>
        <w:rPr>
          <w:rFonts w:ascii="Arial" w:hAnsi="Arial" w:cs="Arial"/>
        </w:rPr>
        <w:t xml:space="preserve"> cost-effectiveness</w:t>
      </w:r>
      <w:r>
        <w:rPr>
          <w:rFonts w:ascii="Arial" w:hAnsi="Arial" w:cs="Arial"/>
          <w:highlight w:val="yellow"/>
        </w:rPr>
        <w:t>,</w:t>
      </w:r>
      <w:r>
        <w:rPr>
          <w:rFonts w:ascii="Arial" w:hAnsi="Arial" w:cs="Arial"/>
        </w:rPr>
        <w:t xml:space="preserve"> and well-established antimicrobial, antifungal, anti-angiogenic, anticancer, and catalytic properties at</w:t>
      </w:r>
      <w:r>
        <w:rPr>
          <w:rFonts w:ascii="Arial" w:hAnsi="Arial" w:cs="Arial"/>
          <w:highlight w:val="yellow"/>
        </w:rPr>
        <w:t xml:space="preserve"> the</w:t>
      </w:r>
      <w:r>
        <w:rPr>
          <w:rFonts w:ascii="Arial" w:hAnsi="Arial" w:cs="Arial"/>
        </w:rPr>
        <w:t xml:space="preserve"> nanoscale (Ahmed et al., 2016; Keat et al., 2015). AgNPs have also been extensively used in biomedical applications such as bone healing, as vaccine adjuvants</w:t>
      </w:r>
      <w:r>
        <w:rPr>
          <w:rFonts w:ascii="Arial" w:hAnsi="Arial" w:cs="Arial"/>
          <w:highlight w:val="yellow"/>
        </w:rPr>
        <w:t>,</w:t>
      </w:r>
      <w:r>
        <w:rPr>
          <w:rFonts w:ascii="Arial" w:hAnsi="Arial" w:cs="Arial"/>
        </w:rPr>
        <w:t xml:space="preserve"> and in dental care. Their mechanism of action involves </w:t>
      </w:r>
      <w:r>
        <w:rPr>
          <w:rFonts w:ascii="Arial" w:hAnsi="Arial" w:cs="Arial"/>
          <w:highlight w:val="yellow"/>
        </w:rPr>
        <w:t xml:space="preserve">the </w:t>
      </w:r>
      <w:r>
        <w:rPr>
          <w:rFonts w:ascii="Arial" w:hAnsi="Arial" w:cs="Arial"/>
        </w:rPr>
        <w:t>production of reactive oxygen species (ROS), DNA damage</w:t>
      </w:r>
      <w:r>
        <w:rPr>
          <w:rFonts w:ascii="Arial" w:hAnsi="Arial" w:cs="Arial"/>
          <w:highlight w:val="yellow"/>
        </w:rPr>
        <w:t>,</w:t>
      </w:r>
      <w:r>
        <w:rPr>
          <w:rFonts w:ascii="Arial" w:hAnsi="Arial" w:cs="Arial"/>
        </w:rPr>
        <w:t xml:space="preserve"> and enzyme inactivation</w:t>
      </w:r>
      <w:r>
        <w:rPr>
          <w:rFonts w:ascii="Arial" w:hAnsi="Arial" w:cs="Arial"/>
          <w:highlight w:val="yellow"/>
        </w:rPr>
        <w:t>,</w:t>
      </w:r>
      <w:r>
        <w:rPr>
          <w:rFonts w:ascii="Arial" w:hAnsi="Arial" w:cs="Arial"/>
        </w:rPr>
        <w:t xml:space="preserve"> which contribute to their antimicrobial and anti-cancer properties (Xu et al., 2020).</w:t>
      </w:r>
    </w:p>
    <w:p w14:paraId="60EFBC22" w14:textId="3CF701FA" w:rsidR="007B5B58" w:rsidRPr="00926F87" w:rsidRDefault="00737750">
      <w:pPr>
        <w:spacing w:before="240" w:after="240" w:line="360" w:lineRule="auto"/>
        <w:jc w:val="both"/>
        <w:rPr>
          <w:rFonts w:ascii="Arial" w:hAnsi="Arial" w:cs="Arial"/>
          <w:bCs/>
        </w:rPr>
      </w:pPr>
      <w:r>
        <w:rPr>
          <w:rFonts w:ascii="Arial" w:hAnsi="Arial" w:cs="Arial"/>
        </w:rPr>
        <w:lastRenderedPageBreak/>
        <w:t>Silver nanoparticles can be synthesi</w:t>
      </w:r>
      <w:r>
        <w:rPr>
          <w:rFonts w:ascii="Arial" w:hAnsi="Arial" w:cs="Arial"/>
          <w:highlight w:val="yellow"/>
        </w:rPr>
        <w:t>s</w:t>
      </w:r>
      <w:r>
        <w:rPr>
          <w:rFonts w:ascii="Arial" w:hAnsi="Arial" w:cs="Arial"/>
        </w:rPr>
        <w:t xml:space="preserve">ed via physical, chemical, and biological methods. While physical and chemical methods </w:t>
      </w:r>
      <w:r>
        <w:rPr>
          <w:rFonts w:ascii="Arial" w:hAnsi="Arial" w:cs="Arial"/>
          <w:highlight w:val="yellow"/>
        </w:rPr>
        <w:t>ca</w:t>
      </w:r>
      <w:r>
        <w:rPr>
          <w:rFonts w:ascii="Arial" w:hAnsi="Arial" w:cs="Arial"/>
        </w:rPr>
        <w:t>n</w:t>
      </w:r>
      <w:r>
        <w:rPr>
          <w:rFonts w:ascii="Arial" w:hAnsi="Arial" w:cs="Arial"/>
          <w:highlight w:val="yellow"/>
        </w:rPr>
        <w:t xml:space="preserve"> produc</w:t>
      </w:r>
      <w:r>
        <w:rPr>
          <w:rFonts w:ascii="Arial" w:hAnsi="Arial" w:cs="Arial"/>
        </w:rPr>
        <w:t>e highly pure and uniformly sized particles and are time-saving, high-yielding, and reliable, they often involve complex procedures</w:t>
      </w:r>
      <w:r>
        <w:rPr>
          <w:rFonts w:ascii="Arial" w:hAnsi="Arial" w:cs="Arial"/>
          <w:highlight w:val="yellow"/>
        </w:rPr>
        <w:t xml:space="preserve"> and</w:t>
      </w:r>
      <w:r>
        <w:rPr>
          <w:rFonts w:ascii="Arial" w:hAnsi="Arial" w:cs="Arial"/>
        </w:rPr>
        <w:t xml:space="preserve"> instruments, release toxic reagents, and</w:t>
      </w:r>
      <w:r>
        <w:rPr>
          <w:rFonts w:ascii="Arial" w:hAnsi="Arial" w:cs="Arial"/>
          <w:highlight w:val="yellow"/>
        </w:rPr>
        <w:t xml:space="preserve"> raise</w:t>
      </w:r>
      <w:r>
        <w:rPr>
          <w:rFonts w:ascii="Arial" w:hAnsi="Arial" w:cs="Arial"/>
        </w:rPr>
        <w:t xml:space="preserve"> environmental concerns (Xu et al., 2020). In contrast, green synthesis, a biological method, is commonly utili</w:t>
      </w:r>
      <w:r>
        <w:rPr>
          <w:rFonts w:ascii="Arial" w:hAnsi="Arial" w:cs="Arial"/>
          <w:highlight w:val="yellow"/>
        </w:rPr>
        <w:t>s</w:t>
      </w:r>
      <w:r>
        <w:rPr>
          <w:rFonts w:ascii="Arial" w:hAnsi="Arial" w:cs="Arial"/>
        </w:rPr>
        <w:t>ed for the synthesis of silver nanoparticles be</w:t>
      </w:r>
      <w:r>
        <w:rPr>
          <w:rFonts w:ascii="Arial" w:hAnsi="Arial" w:cs="Arial"/>
          <w:highlight w:val="yellow"/>
        </w:rPr>
        <w:t xml:space="preserve">cause </w:t>
      </w:r>
      <w:r>
        <w:rPr>
          <w:rFonts w:ascii="Arial" w:hAnsi="Arial" w:cs="Arial"/>
        </w:rPr>
        <w:t>i</w:t>
      </w:r>
      <w:r>
        <w:rPr>
          <w:rFonts w:ascii="Arial" w:hAnsi="Arial" w:cs="Arial"/>
          <w:highlight w:val="yellow"/>
        </w:rPr>
        <w:t>t is</w:t>
      </w:r>
      <w:r>
        <w:rPr>
          <w:rFonts w:ascii="Arial" w:hAnsi="Arial" w:cs="Arial"/>
        </w:rPr>
        <w:t xml:space="preserve"> simple, reliable, cost-effective, and environment</w:t>
      </w:r>
      <w:r>
        <w:rPr>
          <w:rFonts w:ascii="Arial" w:hAnsi="Arial" w:cs="Arial"/>
          <w:highlight w:val="yellow"/>
        </w:rPr>
        <w:t xml:space="preserve">ally </w:t>
      </w:r>
      <w:r>
        <w:rPr>
          <w:rFonts w:ascii="Arial" w:hAnsi="Arial" w:cs="Arial"/>
        </w:rPr>
        <w:t xml:space="preserve">friendly. A </w:t>
      </w:r>
      <w:r>
        <w:rPr>
          <w:rFonts w:ascii="Arial" w:hAnsi="Arial" w:cs="Arial"/>
          <w:highlight w:val="yellow"/>
        </w:rPr>
        <w:t>range</w:t>
      </w:r>
      <w:r>
        <w:rPr>
          <w:rFonts w:ascii="Arial" w:hAnsi="Arial" w:cs="Arial"/>
        </w:rPr>
        <w:t xml:space="preserve"> of biological agents</w:t>
      </w:r>
      <w:r>
        <w:rPr>
          <w:rFonts w:ascii="Arial" w:hAnsi="Arial" w:cs="Arial"/>
          <w:highlight w:val="yellow"/>
        </w:rPr>
        <w:t>,</w:t>
      </w:r>
      <w:r>
        <w:rPr>
          <w:rFonts w:ascii="Arial" w:hAnsi="Arial" w:cs="Arial"/>
        </w:rPr>
        <w:t xml:space="preserve"> such as bacteria, fungi, and plant extracts</w:t>
      </w:r>
      <w:r>
        <w:rPr>
          <w:rFonts w:ascii="Arial" w:hAnsi="Arial" w:cs="Arial"/>
          <w:highlight w:val="yellow"/>
        </w:rPr>
        <w:t>,</w:t>
      </w:r>
      <w:r>
        <w:rPr>
          <w:rFonts w:ascii="Arial" w:hAnsi="Arial" w:cs="Arial"/>
        </w:rPr>
        <w:t xml:space="preserve"> are used for the biosynthesis of silver nanoparticles (Siddiqi et al., 2018). Amongst the aforementioned agents, plant extracts derived from </w:t>
      </w:r>
      <w:r>
        <w:rPr>
          <w:rFonts w:ascii="Arial" w:hAnsi="Arial" w:cs="Arial"/>
          <w:highlight w:val="yellow"/>
        </w:rPr>
        <w:t xml:space="preserve">the </w:t>
      </w:r>
      <w:r>
        <w:rPr>
          <w:rFonts w:ascii="Arial" w:hAnsi="Arial" w:cs="Arial"/>
        </w:rPr>
        <w:t>seeds, leaves, flowers</w:t>
      </w:r>
      <w:r>
        <w:rPr>
          <w:rFonts w:ascii="Arial" w:hAnsi="Arial" w:cs="Arial"/>
          <w:highlight w:val="yellow"/>
        </w:rPr>
        <w:t>,</w:t>
      </w:r>
      <w:r>
        <w:rPr>
          <w:rFonts w:ascii="Arial" w:hAnsi="Arial" w:cs="Arial"/>
        </w:rPr>
        <w:t xml:space="preserve"> and roots of medicinal plants are highly favoured </w:t>
      </w:r>
      <w:r>
        <w:rPr>
          <w:rFonts w:ascii="Arial" w:hAnsi="Arial" w:cs="Arial"/>
          <w:highlight w:val="yellow"/>
        </w:rPr>
        <w:t>beca</w:t>
      </w:r>
      <w:r>
        <w:rPr>
          <w:rFonts w:ascii="Arial" w:hAnsi="Arial" w:cs="Arial"/>
        </w:rPr>
        <w:t>u</w:t>
      </w:r>
      <w:r>
        <w:rPr>
          <w:rFonts w:ascii="Arial" w:hAnsi="Arial" w:cs="Arial"/>
          <w:highlight w:val="yellow"/>
        </w:rPr>
        <w:t>s</w:t>
      </w:r>
      <w:r>
        <w:rPr>
          <w:rFonts w:ascii="Arial" w:hAnsi="Arial" w:cs="Arial"/>
        </w:rPr>
        <w:t>e o</w:t>
      </w:r>
      <w:r>
        <w:rPr>
          <w:rFonts w:ascii="Arial" w:hAnsi="Arial" w:cs="Arial"/>
          <w:highlight w:val="yellow"/>
        </w:rPr>
        <w:t>f</w:t>
      </w:r>
      <w:r>
        <w:rPr>
          <w:rFonts w:ascii="Arial" w:hAnsi="Arial" w:cs="Arial"/>
        </w:rPr>
        <w:t xml:space="preserve"> their rich phytochemical content and ease of availability (Majumdar </w:t>
      </w:r>
      <w:r>
        <w:rPr>
          <w:rFonts w:ascii="Arial" w:hAnsi="Arial" w:cs="Arial"/>
          <w:highlight w:val="yellow"/>
        </w:rPr>
        <w:t>&amp;</w:t>
      </w:r>
      <w:r>
        <w:rPr>
          <w:rFonts w:ascii="Arial" w:hAnsi="Arial" w:cs="Arial"/>
        </w:rPr>
        <w:t xml:space="preserve"> </w:t>
      </w:r>
      <w:r>
        <w:rPr>
          <w:rFonts w:ascii="Arial" w:hAnsi="Arial" w:cs="Arial"/>
          <w:highlight w:val="yellow"/>
        </w:rPr>
        <w:t>K</w:t>
      </w:r>
      <w:r>
        <w:rPr>
          <w:rFonts w:ascii="Arial" w:hAnsi="Arial" w:cs="Arial"/>
        </w:rPr>
        <w:t>a</w:t>
      </w:r>
      <w:r>
        <w:rPr>
          <w:rFonts w:ascii="Arial" w:hAnsi="Arial" w:cs="Arial"/>
          <w:highlight w:val="yellow"/>
        </w:rPr>
        <w:t>r</w:t>
      </w:r>
      <w:r>
        <w:rPr>
          <w:rFonts w:ascii="Arial" w:hAnsi="Arial" w:cs="Arial"/>
        </w:rPr>
        <w:t>, 2023; Shkryl et al., 201</w:t>
      </w:r>
      <w:r w:rsidR="005F7824">
        <w:rPr>
          <w:rFonts w:ascii="Arial" w:hAnsi="Arial" w:cs="Arial"/>
        </w:rPr>
        <w:t>8</w:t>
      </w:r>
      <w:r>
        <w:rPr>
          <w:rFonts w:ascii="Arial" w:hAnsi="Arial" w:cs="Arial"/>
        </w:rPr>
        <w:t>).</w:t>
      </w:r>
      <w:r w:rsidR="00926F87">
        <w:rPr>
          <w:rFonts w:ascii="Arial" w:hAnsi="Arial" w:cs="Arial"/>
        </w:rPr>
        <w:t xml:space="preserve"> </w:t>
      </w:r>
      <w:r w:rsidRPr="00926F87">
        <w:rPr>
          <w:rFonts w:ascii="Arial" w:eastAsia="Arial" w:hAnsi="Arial"/>
          <w:bCs/>
          <w:highlight w:val="yellow"/>
        </w:rPr>
        <w:t>Recent reviews continue to support plant-mediated AgNP synthesis as a green route in which plant-derived biomolecules can contribute to nanoparticle reduction, capping, and stabilisation while retaining relevance for biological applications (Thomas et al., 2024; Eker et al., 2025).</w:t>
      </w:r>
      <w:r w:rsidR="00926F87" w:rsidRPr="00926F87">
        <w:rPr>
          <w:rFonts w:ascii="Arial" w:hAnsi="Arial" w:cs="Arial"/>
          <w:bCs/>
        </w:rPr>
        <w:t xml:space="preserve"> </w:t>
      </w:r>
      <w:r w:rsidRPr="00926F87">
        <w:rPr>
          <w:rFonts w:ascii="Arial" w:eastAsia="Arial" w:hAnsi="Arial"/>
          <w:bCs/>
          <w:highlight w:val="yellow"/>
        </w:rPr>
        <w:t>Recent plant-based studies have similarly demonstrated successful AgNP synthesis and characterisation using medicinal-plant extracts, further supporting the suitability of phytochemical-rich extracts for biogenic AgNP production (Lakshmanan et al., 2023; Nandhini et al., 2026).</w:t>
      </w:r>
    </w:p>
    <w:p w14:paraId="681146CE" w14:textId="77777777" w:rsidR="00737750" w:rsidRPr="009613CB" w:rsidRDefault="00737750" w:rsidP="00737750">
      <w:pPr>
        <w:spacing w:before="240" w:after="240" w:line="360" w:lineRule="auto"/>
        <w:jc w:val="both"/>
        <w:rPr>
          <w:rFonts w:ascii="Arial" w:hAnsi="Arial" w:cs="Arial"/>
        </w:rPr>
      </w:pPr>
      <w:r>
        <w:rPr>
          <w:rFonts w:ascii="Arial" w:hAnsi="Arial" w:cs="Arial"/>
          <w:i/>
          <w:iCs/>
        </w:rPr>
        <w:t>Cyperus scariosus</w:t>
      </w:r>
      <w:r>
        <w:rPr>
          <w:rFonts w:ascii="Arial" w:hAnsi="Arial" w:cs="Arial"/>
          <w:highlight w:val="yellow"/>
        </w:rPr>
        <w:t>,</w:t>
      </w:r>
      <w:r>
        <w:rPr>
          <w:rFonts w:ascii="Arial" w:hAnsi="Arial" w:cs="Arial"/>
        </w:rPr>
        <w:t xml:space="preserve"> commonly known as Nagarmotha (Hindi) and Nutgrass (English)</w:t>
      </w:r>
      <w:r>
        <w:rPr>
          <w:rFonts w:ascii="Arial" w:hAnsi="Arial" w:cs="Arial"/>
          <w:highlight w:val="yellow"/>
        </w:rPr>
        <w:t>,</w:t>
      </w:r>
      <w:r>
        <w:rPr>
          <w:rFonts w:ascii="Arial" w:hAnsi="Arial" w:cs="Arial"/>
        </w:rPr>
        <w:t xml:space="preserve"> is a medicinal plant </w:t>
      </w:r>
      <w:r>
        <w:rPr>
          <w:rFonts w:ascii="Arial" w:hAnsi="Arial" w:cs="Arial"/>
          <w:highlight w:val="yellow"/>
        </w:rPr>
        <w:t>t</w:t>
      </w:r>
      <w:r>
        <w:rPr>
          <w:rFonts w:ascii="Arial" w:hAnsi="Arial" w:cs="Arial"/>
        </w:rPr>
        <w:t>h</w:t>
      </w:r>
      <w:r>
        <w:rPr>
          <w:rFonts w:ascii="Arial" w:hAnsi="Arial" w:cs="Arial"/>
          <w:highlight w:val="yellow"/>
        </w:rPr>
        <w:t>at</w:t>
      </w:r>
      <w:r>
        <w:rPr>
          <w:rFonts w:ascii="Arial" w:hAnsi="Arial" w:cs="Arial"/>
        </w:rPr>
        <w:t xml:space="preserve"> belongs to the Cyperaceae family and is native to India, thriving in tropical and subtropical regions, particularly in the state of Madhya Pradesh. The well-established bio-efficacy of </w:t>
      </w:r>
      <w:r>
        <w:rPr>
          <w:rFonts w:ascii="Arial" w:hAnsi="Arial" w:cs="Arial"/>
          <w:i/>
          <w:iCs/>
        </w:rPr>
        <w:t>C. scariosus</w:t>
      </w:r>
      <w:r>
        <w:rPr>
          <w:rFonts w:ascii="Arial" w:hAnsi="Arial" w:cs="Arial"/>
        </w:rPr>
        <w:t>, along with its rich phytochemical profile, including flavonoids, terpenoids, essential oils, and saponins, makes it an effective stabili</w:t>
      </w:r>
      <w:r>
        <w:rPr>
          <w:rFonts w:ascii="Arial" w:hAnsi="Arial" w:cs="Arial"/>
          <w:highlight w:val="yellow"/>
        </w:rPr>
        <w:t>s</w:t>
      </w:r>
      <w:r>
        <w:rPr>
          <w:rFonts w:ascii="Arial" w:hAnsi="Arial" w:cs="Arial"/>
        </w:rPr>
        <w:t>ing agent and a suitable candidate for the green synthesis of AgNPs (Gandhi et al., 2024). It is a perennial herb that is well</w:t>
      </w:r>
      <w:r>
        <w:rPr>
          <w:rFonts w:ascii="Arial" w:hAnsi="Arial" w:cs="Arial"/>
          <w:highlight w:val="yellow"/>
        </w:rPr>
        <w:t xml:space="preserve"> </w:t>
      </w:r>
      <w:r>
        <w:rPr>
          <w:rFonts w:ascii="Arial" w:hAnsi="Arial" w:cs="Arial"/>
        </w:rPr>
        <w:t>recogni</w:t>
      </w:r>
      <w:r>
        <w:rPr>
          <w:rFonts w:ascii="Arial" w:hAnsi="Arial" w:cs="Arial"/>
          <w:highlight w:val="yellow"/>
        </w:rPr>
        <w:t>s</w:t>
      </w:r>
      <w:r>
        <w:rPr>
          <w:rFonts w:ascii="Arial" w:hAnsi="Arial" w:cs="Arial"/>
        </w:rPr>
        <w:t>ed in Ayurveda for treating issues related to digestion, inflammation, and skin disorders (Gandhi et al., 2024; Bolatkyzy et al., 2025).</w:t>
      </w:r>
    </w:p>
    <w:p w14:paraId="79D64099" w14:textId="77777777" w:rsidR="00737750" w:rsidRPr="009613CB" w:rsidRDefault="00737750" w:rsidP="00737750">
      <w:pPr>
        <w:spacing w:before="240" w:after="240" w:line="360" w:lineRule="auto"/>
        <w:jc w:val="both"/>
        <w:rPr>
          <w:rFonts w:ascii="Arial" w:hAnsi="Arial" w:cs="Arial"/>
        </w:rPr>
      </w:pPr>
      <w:r>
        <w:rPr>
          <w:rFonts w:ascii="Arial" w:hAnsi="Arial" w:cs="Arial"/>
        </w:rPr>
        <w:t>However</w:t>
      </w:r>
      <w:r>
        <w:rPr>
          <w:rFonts w:ascii="Arial" w:hAnsi="Arial" w:cs="Arial"/>
          <w:highlight w:val="yellow"/>
        </w:rPr>
        <w:t>,</w:t>
      </w:r>
      <w:r>
        <w:rPr>
          <w:rFonts w:ascii="Arial" w:hAnsi="Arial" w:cs="Arial"/>
        </w:rPr>
        <w:t xml:space="preserve"> not all disorders are treated with </w:t>
      </w:r>
      <w:r>
        <w:rPr>
          <w:rFonts w:ascii="Arial" w:hAnsi="Arial" w:cs="Arial"/>
          <w:highlight w:val="yellow"/>
        </w:rPr>
        <w:t>A</w:t>
      </w:r>
      <w:r>
        <w:rPr>
          <w:rFonts w:ascii="Arial" w:hAnsi="Arial" w:cs="Arial"/>
        </w:rPr>
        <w:t>yurvedic medicines. Helminthiasis is an infection caused by parasitic worms known as helminths a</w:t>
      </w:r>
      <w:r>
        <w:rPr>
          <w:rFonts w:ascii="Arial" w:hAnsi="Arial" w:cs="Arial"/>
          <w:highlight w:val="yellow"/>
        </w:rPr>
        <w:t>nd a</w:t>
      </w:r>
      <w:r>
        <w:rPr>
          <w:rFonts w:ascii="Arial" w:hAnsi="Arial" w:cs="Arial"/>
        </w:rPr>
        <w:t>ffect</w:t>
      </w:r>
      <w:r>
        <w:rPr>
          <w:rFonts w:ascii="Arial" w:hAnsi="Arial" w:cs="Arial"/>
          <w:highlight w:val="yellow"/>
        </w:rPr>
        <w:t>s</w:t>
      </w:r>
      <w:r>
        <w:rPr>
          <w:rFonts w:ascii="Arial" w:hAnsi="Arial" w:cs="Arial"/>
        </w:rPr>
        <w:t xml:space="preserve"> a large number of people in developing countries</w:t>
      </w:r>
      <w:r>
        <w:rPr>
          <w:rFonts w:ascii="Arial" w:hAnsi="Arial" w:cs="Arial"/>
          <w:highlight w:val="yellow"/>
        </w:rPr>
        <w:t>,</w:t>
      </w:r>
      <w:r>
        <w:rPr>
          <w:rFonts w:ascii="Arial" w:hAnsi="Arial" w:cs="Arial"/>
        </w:rPr>
        <w:t xml:space="preserve"> especially children</w:t>
      </w:r>
      <w:r>
        <w:rPr>
          <w:rFonts w:ascii="Arial" w:hAnsi="Arial" w:cs="Arial"/>
          <w:highlight w:val="yellow"/>
        </w:rPr>
        <w:t>,</w:t>
      </w:r>
      <w:r>
        <w:rPr>
          <w:rFonts w:ascii="Arial" w:hAnsi="Arial" w:cs="Arial"/>
        </w:rPr>
        <w:t xml:space="preserve"> causing morbidity. The worms have developed resistance to some of the available drugs</w:t>
      </w:r>
      <w:r>
        <w:rPr>
          <w:rFonts w:ascii="Arial" w:hAnsi="Arial" w:cs="Arial"/>
          <w:highlight w:val="yellow"/>
        </w:rPr>
        <w:t>,</w:t>
      </w:r>
      <w:r>
        <w:rPr>
          <w:rFonts w:ascii="Arial" w:hAnsi="Arial" w:cs="Arial"/>
        </w:rPr>
        <w:t xml:space="preserve"> and </w:t>
      </w:r>
      <w:r>
        <w:rPr>
          <w:rFonts w:ascii="Arial" w:hAnsi="Arial" w:cs="Arial"/>
          <w:highlight w:val="yellow"/>
        </w:rPr>
        <w:t>limi</w:t>
      </w:r>
      <w:r>
        <w:rPr>
          <w:rFonts w:ascii="Arial" w:hAnsi="Arial" w:cs="Arial"/>
        </w:rPr>
        <w:t>t</w:t>
      </w:r>
      <w:r>
        <w:rPr>
          <w:rFonts w:ascii="Arial" w:hAnsi="Arial" w:cs="Arial"/>
          <w:highlight w:val="yellow"/>
        </w:rPr>
        <w:t>ed</w:t>
      </w:r>
      <w:r>
        <w:rPr>
          <w:rFonts w:ascii="Arial" w:hAnsi="Arial" w:cs="Arial"/>
        </w:rPr>
        <w:t xml:space="preserve"> attention </w:t>
      </w:r>
      <w:r>
        <w:rPr>
          <w:rFonts w:ascii="Arial" w:hAnsi="Arial" w:cs="Arial"/>
          <w:highlight w:val="yellow"/>
        </w:rPr>
        <w:t>ha</w:t>
      </w:r>
      <w:r>
        <w:rPr>
          <w:rFonts w:ascii="Arial" w:hAnsi="Arial" w:cs="Arial"/>
        </w:rPr>
        <w:t>s</w:t>
      </w:r>
      <w:r>
        <w:rPr>
          <w:rFonts w:ascii="Arial" w:hAnsi="Arial" w:cs="Arial"/>
          <w:highlight w:val="yellow"/>
        </w:rPr>
        <w:t xml:space="preserve"> been</w:t>
      </w:r>
      <w:r>
        <w:rPr>
          <w:rFonts w:ascii="Arial" w:hAnsi="Arial" w:cs="Arial"/>
        </w:rPr>
        <w:t xml:space="preserve"> given to using medicinal plants as an alternative form of treatment for the </w:t>
      </w:r>
      <w:r>
        <w:rPr>
          <w:rFonts w:ascii="Arial" w:hAnsi="Arial" w:cs="Arial"/>
          <w:highlight w:val="yellow"/>
        </w:rPr>
        <w:t>inf</w:t>
      </w:r>
      <w:r>
        <w:rPr>
          <w:rFonts w:ascii="Arial" w:hAnsi="Arial" w:cs="Arial"/>
        </w:rPr>
        <w:t>e</w:t>
      </w:r>
      <w:r>
        <w:rPr>
          <w:rFonts w:ascii="Arial" w:hAnsi="Arial" w:cs="Arial"/>
          <w:highlight w:val="yellow"/>
        </w:rPr>
        <w:t>ction</w:t>
      </w:r>
      <w:r>
        <w:rPr>
          <w:rFonts w:ascii="Arial" w:hAnsi="Arial" w:cs="Arial"/>
        </w:rPr>
        <w:t xml:space="preserve"> (Idris et al., 2019). Moreover, the utili</w:t>
      </w:r>
      <w:r>
        <w:rPr>
          <w:rFonts w:ascii="Arial" w:hAnsi="Arial" w:cs="Arial"/>
          <w:highlight w:val="yellow"/>
        </w:rPr>
        <w:t>s</w:t>
      </w:r>
      <w:r>
        <w:rPr>
          <w:rFonts w:ascii="Arial" w:hAnsi="Arial" w:cs="Arial"/>
        </w:rPr>
        <w:t xml:space="preserve">ation of </w:t>
      </w:r>
      <w:r>
        <w:rPr>
          <w:rFonts w:ascii="Arial" w:hAnsi="Arial" w:cs="Arial"/>
          <w:i/>
          <w:iCs/>
        </w:rPr>
        <w:t>C. scariosus</w:t>
      </w:r>
      <w:r>
        <w:rPr>
          <w:rFonts w:ascii="Arial" w:hAnsi="Arial" w:cs="Arial"/>
        </w:rPr>
        <w:t xml:space="preserve"> in</w:t>
      </w:r>
      <w:r>
        <w:rPr>
          <w:rFonts w:ascii="Arial" w:hAnsi="Arial" w:cs="Arial"/>
          <w:highlight w:val="yellow"/>
        </w:rPr>
        <w:t xml:space="preserve"> the</w:t>
      </w:r>
      <w:r>
        <w:rPr>
          <w:rFonts w:ascii="Arial" w:hAnsi="Arial" w:cs="Arial"/>
        </w:rPr>
        <w:t xml:space="preserve"> green synthesis of silver nanoparticles and its anthelmintic potential remain underexplored.</w:t>
      </w:r>
    </w:p>
    <w:p w14:paraId="2B791FC6" w14:textId="77777777" w:rsidR="00737750" w:rsidRPr="00737750" w:rsidRDefault="00737750" w:rsidP="00737750">
      <w:pPr>
        <w:spacing w:before="240" w:after="240" w:line="360" w:lineRule="auto"/>
        <w:jc w:val="both"/>
        <w:rPr>
          <w:rFonts w:ascii="Arial" w:hAnsi="Arial" w:cs="Arial"/>
        </w:rPr>
      </w:pPr>
      <w:r>
        <w:rPr>
          <w:rFonts w:ascii="Arial" w:hAnsi="Arial" w:cs="Arial"/>
        </w:rPr>
        <w:t xml:space="preserve">Thus, this study focused on the preparation and phytochemical analysis of aqueous and ethanolic root extracts of </w:t>
      </w:r>
      <w:r>
        <w:rPr>
          <w:rFonts w:ascii="Arial" w:hAnsi="Arial" w:cs="Arial"/>
          <w:i/>
          <w:iCs/>
        </w:rPr>
        <w:t>C. scariosus</w:t>
      </w:r>
      <w:r>
        <w:rPr>
          <w:rFonts w:ascii="Arial" w:hAnsi="Arial" w:cs="Arial"/>
          <w:highlight w:val="yellow"/>
        </w:rPr>
        <w:t>,</w:t>
      </w:r>
      <w:r>
        <w:rPr>
          <w:rFonts w:ascii="Arial" w:hAnsi="Arial" w:cs="Arial"/>
        </w:rPr>
        <w:t xml:space="preserve"> followed by their utili</w:t>
      </w:r>
      <w:r>
        <w:rPr>
          <w:rFonts w:ascii="Arial" w:hAnsi="Arial" w:cs="Arial"/>
          <w:highlight w:val="yellow"/>
        </w:rPr>
        <w:t>s</w:t>
      </w:r>
      <w:r>
        <w:rPr>
          <w:rFonts w:ascii="Arial" w:hAnsi="Arial" w:cs="Arial"/>
        </w:rPr>
        <w:t>ation for</w:t>
      </w:r>
      <w:r>
        <w:rPr>
          <w:rFonts w:ascii="Arial" w:hAnsi="Arial" w:cs="Arial"/>
          <w:highlight w:val="yellow"/>
        </w:rPr>
        <w:t xml:space="preserve"> the</w:t>
      </w:r>
      <w:r>
        <w:rPr>
          <w:rFonts w:ascii="Arial" w:hAnsi="Arial" w:cs="Arial"/>
        </w:rPr>
        <w:t xml:space="preserve"> synthesis of silver </w:t>
      </w:r>
      <w:r>
        <w:rPr>
          <w:rFonts w:ascii="Arial" w:hAnsi="Arial" w:cs="Arial"/>
        </w:rPr>
        <w:lastRenderedPageBreak/>
        <w:t xml:space="preserve">nanoparticles. </w:t>
      </w:r>
      <w:r>
        <w:rPr>
          <w:rFonts w:ascii="Arial" w:hAnsi="Arial" w:cs="Arial"/>
          <w:highlight w:val="yellow"/>
        </w:rPr>
        <w:t>C</w:t>
      </w:r>
      <w:r>
        <w:rPr>
          <w:rFonts w:ascii="Arial" w:hAnsi="Arial" w:cs="Arial"/>
        </w:rPr>
        <w:t>haracteri</w:t>
      </w:r>
      <w:r>
        <w:rPr>
          <w:rFonts w:ascii="Arial" w:hAnsi="Arial" w:cs="Arial"/>
          <w:highlight w:val="yellow"/>
        </w:rPr>
        <w:t>s</w:t>
      </w:r>
      <w:r>
        <w:rPr>
          <w:rFonts w:ascii="Arial" w:hAnsi="Arial" w:cs="Arial"/>
        </w:rPr>
        <w:t>ation of the synthesi</w:t>
      </w:r>
      <w:r>
        <w:rPr>
          <w:rFonts w:ascii="Arial" w:hAnsi="Arial" w:cs="Arial"/>
          <w:highlight w:val="yellow"/>
        </w:rPr>
        <w:t>s</w:t>
      </w:r>
      <w:r>
        <w:rPr>
          <w:rFonts w:ascii="Arial" w:hAnsi="Arial" w:cs="Arial"/>
        </w:rPr>
        <w:t xml:space="preserve">ed AgNPs was carried out </w:t>
      </w:r>
      <w:r>
        <w:rPr>
          <w:rFonts w:ascii="Arial" w:hAnsi="Arial" w:cs="Arial"/>
          <w:highlight w:val="yellow"/>
        </w:rPr>
        <w:t>using</w:t>
      </w:r>
      <w:r>
        <w:rPr>
          <w:rFonts w:ascii="Arial" w:hAnsi="Arial" w:cs="Arial"/>
        </w:rPr>
        <w:t xml:space="preserve"> UV-Vis </w:t>
      </w:r>
      <w:r>
        <w:rPr>
          <w:rFonts w:ascii="Arial" w:hAnsi="Arial" w:cs="Arial"/>
          <w:highlight w:val="yellow"/>
        </w:rPr>
        <w:t>s</w:t>
      </w:r>
      <w:r>
        <w:rPr>
          <w:rFonts w:ascii="Arial" w:hAnsi="Arial" w:cs="Arial"/>
        </w:rPr>
        <w:t>pectroscopy, FTIR, TEM, FESEM</w:t>
      </w:r>
      <w:r>
        <w:rPr>
          <w:rFonts w:ascii="Arial" w:hAnsi="Arial" w:cs="Arial"/>
          <w:highlight w:val="yellow"/>
        </w:rPr>
        <w:t>,</w:t>
      </w:r>
      <w:r>
        <w:rPr>
          <w:rFonts w:ascii="Arial" w:hAnsi="Arial" w:cs="Arial"/>
        </w:rPr>
        <w:t xml:space="preserve"> and EDX analysis. Additionally, the anthelmintic activity of both the synthesi</w:t>
      </w:r>
      <w:r>
        <w:rPr>
          <w:rFonts w:ascii="Arial" w:hAnsi="Arial" w:cs="Arial"/>
          <w:highlight w:val="yellow"/>
        </w:rPr>
        <w:t>s</w:t>
      </w:r>
      <w:r>
        <w:rPr>
          <w:rFonts w:ascii="Arial" w:hAnsi="Arial" w:cs="Arial"/>
        </w:rPr>
        <w:t xml:space="preserve">ed AgNPs and the aforementioned root extracts was evaluated against the earthworms - </w:t>
      </w:r>
      <w:r>
        <w:rPr>
          <w:rFonts w:ascii="Arial" w:hAnsi="Arial" w:cs="Arial"/>
          <w:i/>
          <w:iCs/>
        </w:rPr>
        <w:t>Eisenia fetida</w:t>
      </w:r>
      <w:r>
        <w:rPr>
          <w:rFonts w:ascii="Arial" w:hAnsi="Arial" w:cs="Arial"/>
        </w:rPr>
        <w:t xml:space="preserve"> using Albendazole as a positive control to assess their relative efficacy.</w:t>
      </w:r>
    </w:p>
    <w:p w14:paraId="60C4C1E0" w14:textId="77777777" w:rsidR="007F7B32" w:rsidRDefault="00902823" w:rsidP="00441B6F">
      <w:pPr>
        <w:pStyle w:val="AbstHead"/>
        <w:spacing w:after="0"/>
        <w:jc w:val="both"/>
        <w:rPr>
          <w:rFonts w:ascii="Arial" w:hAnsi="Arial" w:cs="Arial"/>
        </w:rPr>
      </w:pPr>
      <w:bookmarkStart w:id="0" w:name="_Hlk239967636"/>
      <w:r>
        <w:rPr>
          <w:rFonts w:ascii="Arial" w:hAnsi="Arial" w:cs="Arial"/>
        </w:rPr>
        <w:t>2. material and method</w:t>
      </w:r>
      <w:r w:rsidR="00000F8F">
        <w:rPr>
          <w:rFonts w:ascii="Arial" w:hAnsi="Arial" w:cs="Arial"/>
        </w:rPr>
        <w:t>s</w:t>
      </w:r>
      <w:r w:rsidR="007F7B32">
        <w:rPr>
          <w:rFonts w:ascii="Arial" w:hAnsi="Arial" w:cs="Arial"/>
        </w:rPr>
        <w:t xml:space="preserve"> </w:t>
      </w:r>
    </w:p>
    <w:p w14:paraId="774E8B22" w14:textId="77777777" w:rsidR="00790ADA" w:rsidRPr="00FB3A86" w:rsidRDefault="00790ADA" w:rsidP="00441B6F">
      <w:pPr>
        <w:pStyle w:val="AbstHead"/>
        <w:spacing w:after="0"/>
        <w:jc w:val="both"/>
        <w:rPr>
          <w:rFonts w:ascii="Arial" w:hAnsi="Arial" w:cs="Arial"/>
        </w:rPr>
      </w:pPr>
    </w:p>
    <w:p w14:paraId="1B3C929C" w14:textId="77777777" w:rsidR="008E3BDE" w:rsidRPr="00BC2F57" w:rsidRDefault="00E06117" w:rsidP="008E3BDE">
      <w:pPr>
        <w:spacing w:before="240" w:after="240" w:line="360" w:lineRule="auto"/>
        <w:rPr>
          <w:rFonts w:ascii="Arial" w:hAnsi="Arial" w:cs="Arial"/>
          <w:b/>
          <w:sz w:val="22"/>
          <w:szCs w:val="22"/>
        </w:rPr>
      </w:pPr>
      <w:r w:rsidRPr="00BC2F57">
        <w:rPr>
          <w:rFonts w:ascii="Arial" w:hAnsi="Arial" w:cs="Arial"/>
          <w:b/>
          <w:sz w:val="22"/>
          <w:szCs w:val="22"/>
        </w:rPr>
        <w:t xml:space="preserve">2.1 </w:t>
      </w:r>
      <w:r w:rsidR="008E3BDE" w:rsidRPr="00BC2F57">
        <w:rPr>
          <w:rFonts w:ascii="Arial" w:hAnsi="Arial" w:cs="Arial"/>
          <w:b/>
          <w:sz w:val="22"/>
          <w:szCs w:val="22"/>
        </w:rPr>
        <w:t>Materials</w:t>
      </w:r>
      <w:r w:rsidRPr="00BC2F57">
        <w:rPr>
          <w:rFonts w:ascii="Arial" w:hAnsi="Arial" w:cs="Arial"/>
          <w:b/>
          <w:sz w:val="22"/>
          <w:szCs w:val="22"/>
        </w:rPr>
        <w:t xml:space="preserve"> used</w:t>
      </w:r>
    </w:p>
    <w:p w14:paraId="7DD13CDD" w14:textId="77777777" w:rsidR="008E3BDE" w:rsidRPr="00D8530A" w:rsidRDefault="008E3BDE" w:rsidP="00BD470F">
      <w:pPr>
        <w:spacing w:before="240" w:after="240" w:line="360" w:lineRule="auto"/>
        <w:jc w:val="both"/>
        <w:rPr>
          <w:rFonts w:ascii="Arial" w:hAnsi="Arial" w:cs="Arial"/>
        </w:rPr>
      </w:pPr>
      <w:r>
        <w:rPr>
          <w:rFonts w:ascii="Arial" w:hAnsi="Arial" w:cs="Arial"/>
        </w:rPr>
        <w:t xml:space="preserve">Commercially available root powder of </w:t>
      </w:r>
      <w:r>
        <w:rPr>
          <w:rFonts w:ascii="Arial" w:hAnsi="Arial" w:cs="Arial"/>
          <w:i/>
          <w:iCs/>
        </w:rPr>
        <w:t>C. scariosus</w:t>
      </w:r>
      <w:r>
        <w:rPr>
          <w:rFonts w:ascii="Arial" w:hAnsi="Arial" w:cs="Arial"/>
        </w:rPr>
        <w:t>, of the Yuvika brand</w:t>
      </w:r>
      <w:r>
        <w:rPr>
          <w:rFonts w:ascii="Arial" w:hAnsi="Arial" w:cs="Arial"/>
          <w:highlight w:val="yellow"/>
        </w:rPr>
        <w:t xml:space="preserve"> and</w:t>
      </w:r>
      <w:r>
        <w:rPr>
          <w:rFonts w:ascii="Arial" w:hAnsi="Arial" w:cs="Arial"/>
        </w:rPr>
        <w:t xml:space="preserve"> made by Ishan Herbaceuticals, was used for the preparation of the aqueous and ethanolic extracts. A 100 gm</w:t>
      </w:r>
      <w:r>
        <w:rPr>
          <w:rFonts w:ascii="Arial" w:hAnsi="Arial" w:cs="Arial"/>
          <w:highlight w:val="yellow"/>
        </w:rPr>
        <w:t xml:space="preserve"> quantity</w:t>
      </w:r>
      <w:r>
        <w:rPr>
          <w:rFonts w:ascii="Arial" w:hAnsi="Arial" w:cs="Arial"/>
        </w:rPr>
        <w:t xml:space="preserve"> of powder was finely sieved and stored in an airtight container at room temperature in a dry, contamination-free environment. All chemicals used in the experiments were of analytical grade.</w:t>
      </w:r>
    </w:p>
    <w:p w14:paraId="5F18F474" w14:textId="77777777"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2.2 </w:t>
      </w:r>
      <w:r w:rsidR="008E3BDE" w:rsidRPr="00E06117">
        <w:rPr>
          <w:rFonts w:ascii="Arial" w:hAnsi="Arial" w:cs="Arial"/>
          <w:b/>
          <w:sz w:val="22"/>
          <w:szCs w:val="22"/>
        </w:rPr>
        <w:t>Preparation of Plant Extracts</w:t>
      </w:r>
    </w:p>
    <w:p w14:paraId="5B66DDE1" w14:textId="77777777" w:rsidR="008E3BDE" w:rsidRPr="00D8530A" w:rsidRDefault="008E3BDE" w:rsidP="00BD470F">
      <w:pPr>
        <w:spacing w:before="240" w:line="360" w:lineRule="auto"/>
        <w:jc w:val="both"/>
        <w:rPr>
          <w:rFonts w:ascii="Arial" w:hAnsi="Arial" w:cs="Arial"/>
        </w:rPr>
      </w:pPr>
      <w:r>
        <w:rPr>
          <w:rFonts w:ascii="Arial" w:hAnsi="Arial" w:cs="Arial"/>
        </w:rPr>
        <w:t xml:space="preserve">Aqueous and ethanolic root extracts of </w:t>
      </w:r>
      <w:r>
        <w:rPr>
          <w:rFonts w:ascii="Arial" w:hAnsi="Arial" w:cs="Arial"/>
          <w:i/>
          <w:iCs/>
        </w:rPr>
        <w:t>C. scariosus</w:t>
      </w:r>
      <w:r>
        <w:rPr>
          <w:rFonts w:ascii="Arial" w:hAnsi="Arial" w:cs="Arial"/>
        </w:rPr>
        <w:t xml:space="preserve"> were prepared following the method </w:t>
      </w:r>
      <w:r>
        <w:rPr>
          <w:rFonts w:ascii="Arial" w:hAnsi="Arial" w:cs="Arial"/>
          <w:highlight w:val="yellow"/>
        </w:rPr>
        <w:t>described</w:t>
      </w:r>
      <w:r>
        <w:rPr>
          <w:rFonts w:ascii="Arial" w:hAnsi="Arial" w:cs="Arial"/>
        </w:rPr>
        <w:t xml:space="preserve"> </w:t>
      </w:r>
      <w:r>
        <w:rPr>
          <w:rFonts w:ascii="Arial" w:hAnsi="Arial" w:cs="Arial"/>
          <w:highlight w:val="yellow"/>
        </w:rPr>
        <w:t xml:space="preserve">by </w:t>
      </w:r>
      <w:r>
        <w:rPr>
          <w:rFonts w:ascii="Arial" w:hAnsi="Arial" w:cs="Arial"/>
        </w:rPr>
        <w:t xml:space="preserve">Jindapunnapat et al. </w:t>
      </w:r>
      <w:r>
        <w:rPr>
          <w:rFonts w:ascii="Arial" w:hAnsi="Arial" w:cs="Arial"/>
          <w:highlight w:val="yellow"/>
        </w:rPr>
        <w:t>(</w:t>
      </w:r>
      <w:r>
        <w:rPr>
          <w:rFonts w:ascii="Arial" w:hAnsi="Arial" w:cs="Arial"/>
        </w:rPr>
        <w:t>2018)</w:t>
      </w:r>
      <w:r>
        <w:rPr>
          <w:rFonts w:ascii="Arial" w:hAnsi="Arial" w:cs="Arial"/>
          <w:highlight w:val="yellow"/>
        </w:rPr>
        <w:t>,</w:t>
      </w:r>
      <w:r>
        <w:rPr>
          <w:rFonts w:ascii="Arial" w:hAnsi="Arial" w:cs="Arial"/>
        </w:rPr>
        <w:t xml:space="preserve"> with some modifications. </w:t>
      </w:r>
      <w:r>
        <w:rPr>
          <w:rFonts w:ascii="Arial" w:hAnsi="Arial" w:cs="Arial"/>
          <w:highlight w:val="yellow"/>
        </w:rPr>
        <w:t xml:space="preserve">A </w:t>
      </w:r>
      <w:r>
        <w:rPr>
          <w:rFonts w:ascii="Arial" w:hAnsi="Arial" w:cs="Arial"/>
        </w:rPr>
        <w:t>40 gm</w:t>
      </w:r>
      <w:r>
        <w:rPr>
          <w:rFonts w:ascii="Arial" w:hAnsi="Arial" w:cs="Arial"/>
          <w:highlight w:val="yellow"/>
        </w:rPr>
        <w:t xml:space="preserve"> quantity</w:t>
      </w:r>
      <w:r>
        <w:rPr>
          <w:rFonts w:ascii="Arial" w:hAnsi="Arial" w:cs="Arial"/>
        </w:rPr>
        <w:t xml:space="preserve"> of </w:t>
      </w:r>
      <w:r>
        <w:rPr>
          <w:rFonts w:ascii="Arial" w:hAnsi="Arial" w:cs="Arial"/>
          <w:i/>
          <w:iCs/>
        </w:rPr>
        <w:t>C. scariosus</w:t>
      </w:r>
      <w:r>
        <w:rPr>
          <w:rFonts w:ascii="Arial" w:hAnsi="Arial" w:cs="Arial"/>
        </w:rPr>
        <w:t xml:space="preserve"> root powder was dissolved separately in 200 mL of distilled water and 80 % ethanol in </w:t>
      </w:r>
      <w:r>
        <w:rPr>
          <w:rFonts w:ascii="Arial" w:hAnsi="Arial" w:cs="Arial"/>
          <w:highlight w:val="yellow"/>
        </w:rPr>
        <w:t>separa</w:t>
      </w:r>
      <w:r>
        <w:rPr>
          <w:rFonts w:ascii="Arial" w:hAnsi="Arial" w:cs="Arial"/>
        </w:rPr>
        <w:t xml:space="preserve">te conical flasks. The mixtures were incubated at 37 °C for 24 hours </w:t>
      </w:r>
      <w:r>
        <w:rPr>
          <w:rFonts w:ascii="Arial" w:hAnsi="Arial" w:cs="Arial"/>
          <w:highlight w:val="yellow"/>
        </w:rPr>
        <w:t>i</w:t>
      </w:r>
      <w:r>
        <w:rPr>
          <w:rFonts w:ascii="Arial" w:hAnsi="Arial" w:cs="Arial"/>
        </w:rPr>
        <w:t>n a shaker incubator (NEOLAB) at 150 rpm. After incubation, the solutions were filtered through muslin cloth and Whatman No. 1 filter paper. Concentration of</w:t>
      </w:r>
      <w:r>
        <w:rPr>
          <w:rFonts w:ascii="Arial" w:hAnsi="Arial" w:cs="Arial"/>
          <w:highlight w:val="yellow"/>
        </w:rPr>
        <w:t xml:space="preserve"> the</w:t>
      </w:r>
      <w:r>
        <w:rPr>
          <w:rFonts w:ascii="Arial" w:hAnsi="Arial" w:cs="Arial"/>
        </w:rPr>
        <w:t xml:space="preserve"> filtrates was carried out using a rotary evaporator (SUPERFIT) at 90°C for the aqueous extract and 70 °C for the ethanolic extract until approximately 40 mL remained. The</w:t>
      </w:r>
      <w:r>
        <w:rPr>
          <w:rFonts w:ascii="Arial" w:hAnsi="Arial" w:cs="Arial"/>
          <w:highlight w:val="yellow"/>
        </w:rPr>
        <w:t xml:space="preserve"> </w:t>
      </w:r>
      <w:r>
        <w:rPr>
          <w:rFonts w:ascii="Arial" w:hAnsi="Arial" w:cs="Arial"/>
        </w:rPr>
        <w:t>s</w:t>
      </w:r>
      <w:r>
        <w:rPr>
          <w:rFonts w:ascii="Arial" w:hAnsi="Arial" w:cs="Arial"/>
          <w:highlight w:val="yellow"/>
        </w:rPr>
        <w:t>ampl</w:t>
      </w:r>
      <w:r>
        <w:rPr>
          <w:rFonts w:ascii="Arial" w:hAnsi="Arial" w:cs="Arial"/>
        </w:rPr>
        <w:t>e</w:t>
      </w:r>
      <w:r>
        <w:rPr>
          <w:rFonts w:ascii="Arial" w:hAnsi="Arial" w:cs="Arial"/>
          <w:highlight w:val="yellow"/>
        </w:rPr>
        <w:t>s</w:t>
      </w:r>
      <w:r>
        <w:rPr>
          <w:rFonts w:ascii="Arial" w:hAnsi="Arial" w:cs="Arial"/>
        </w:rPr>
        <w:t xml:space="preserve"> were then centrifuged (using Plasto Crafts Superspin R – V/F</w:t>
      </w:r>
      <w:r>
        <w:rPr>
          <w:rFonts w:ascii="Arial" w:hAnsi="Arial" w:cs="Arial"/>
          <w:vertAlign w:val="subscript"/>
        </w:rPr>
        <w:t>M</w:t>
      </w:r>
      <w:r>
        <w:rPr>
          <w:rFonts w:ascii="Arial" w:hAnsi="Arial" w:cs="Arial"/>
        </w:rPr>
        <w:t>) at 5,000 rpm for 15-20 minutes at 30 °C</w:t>
      </w:r>
      <w:r>
        <w:rPr>
          <w:rFonts w:ascii="Arial" w:hAnsi="Arial" w:cs="Arial"/>
          <w:highlight w:val="yellow"/>
        </w:rPr>
        <w:t>,</w:t>
      </w:r>
      <w:r>
        <w:rPr>
          <w:rFonts w:ascii="Arial" w:hAnsi="Arial" w:cs="Arial"/>
        </w:rPr>
        <w:t xml:space="preserve"> and the supernatants were collected. The extracts were kept in sterile centrifuge tubes at 4 °C for further use.</w:t>
      </w:r>
    </w:p>
    <w:p w14:paraId="145AF57B" w14:textId="77777777"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2.3 </w:t>
      </w:r>
      <w:r w:rsidR="008E3BDE" w:rsidRPr="00E06117">
        <w:rPr>
          <w:rFonts w:ascii="Arial" w:hAnsi="Arial" w:cs="Arial"/>
          <w:b/>
          <w:sz w:val="22"/>
          <w:szCs w:val="22"/>
        </w:rPr>
        <w:t>Phytochemical screening</w:t>
      </w:r>
      <w:r>
        <w:rPr>
          <w:rFonts w:ascii="Arial" w:hAnsi="Arial" w:cs="Arial"/>
          <w:b/>
          <w:sz w:val="22"/>
          <w:szCs w:val="22"/>
        </w:rPr>
        <w:t xml:space="preserve"> of plant extracts</w:t>
      </w:r>
    </w:p>
    <w:p w14:paraId="00882304" w14:textId="77777777" w:rsidR="0073113F" w:rsidRDefault="008E3BDE" w:rsidP="00BD470F">
      <w:pPr>
        <w:spacing w:before="240" w:line="360" w:lineRule="auto"/>
        <w:jc w:val="both"/>
        <w:rPr>
          <w:rFonts w:ascii="Arial" w:hAnsi="Arial" w:cs="Arial"/>
        </w:rPr>
      </w:pPr>
      <w:r w:rsidRPr="00D8530A">
        <w:rPr>
          <w:rFonts w:ascii="Arial" w:hAnsi="Arial" w:cs="Arial"/>
        </w:rPr>
        <w:t xml:space="preserve">The aqueous and ethanolic root extracts of </w:t>
      </w:r>
      <w:r>
        <w:rPr>
          <w:rFonts w:ascii="Arial" w:hAnsi="Arial" w:cs="Arial"/>
          <w:i/>
          <w:iCs/>
        </w:rPr>
        <w:t>C. scariosus</w:t>
      </w:r>
      <w:r w:rsidRPr="00D8530A">
        <w:rPr>
          <w:rFonts w:ascii="Arial" w:hAnsi="Arial" w:cs="Arial"/>
        </w:rPr>
        <w:t xml:space="preserve"> were subjected to qualitative phytochemical screening to identify various bioactive compounds present in them. All the tests were performed in triplicate</w:t>
      </w:r>
      <w:r w:rsidR="00E06690" w:rsidRPr="00D8530A">
        <w:rPr>
          <w:rFonts w:ascii="Arial" w:hAnsi="Arial" w:cs="Arial"/>
        </w:rPr>
        <w:t xml:space="preserve"> using standard methods. </w:t>
      </w:r>
    </w:p>
    <w:p w14:paraId="01B3EDD4" w14:textId="77777777" w:rsidR="008E3BDE" w:rsidRPr="0073113F" w:rsidRDefault="00E06690" w:rsidP="00BD470F">
      <w:pPr>
        <w:spacing w:before="240" w:line="360" w:lineRule="auto"/>
        <w:jc w:val="both"/>
        <w:rPr>
          <w:rFonts w:ascii="Arial" w:hAnsi="Arial" w:cs="Arial"/>
        </w:rPr>
      </w:pPr>
      <w:r>
        <w:rPr>
          <w:rFonts w:ascii="Arial" w:hAnsi="Arial" w:cs="Arial"/>
          <w:highlight w:val="yellow"/>
        </w:rPr>
        <w:lastRenderedPageBreak/>
        <w:t>The p</w:t>
      </w:r>
      <w:r>
        <w:rPr>
          <w:rFonts w:ascii="Arial" w:hAnsi="Arial" w:cs="Arial"/>
        </w:rPr>
        <w:t xml:space="preserve">resence of alkaloids and steroids was detected </w:t>
      </w:r>
      <w:r>
        <w:rPr>
          <w:rFonts w:ascii="Arial" w:hAnsi="Arial" w:cs="Arial"/>
          <w:highlight w:val="yellow"/>
        </w:rPr>
        <w:t>following Auwal et al. (2014), and tannins were detected</w:t>
      </w:r>
      <w:r>
        <w:rPr>
          <w:rFonts w:ascii="Arial" w:hAnsi="Arial" w:cs="Arial"/>
        </w:rPr>
        <w:t xml:space="preserve"> follow</w:t>
      </w:r>
      <w:r>
        <w:rPr>
          <w:rFonts w:ascii="Arial" w:hAnsi="Arial" w:cs="Arial"/>
          <w:highlight w:val="yellow"/>
        </w:rPr>
        <w:t>ing Iqbal et al. (2015), while saponins were assessed us</w:t>
      </w:r>
      <w:r>
        <w:rPr>
          <w:rFonts w:ascii="Arial" w:hAnsi="Arial" w:cs="Arial"/>
        </w:rPr>
        <w:t>ing the method</w:t>
      </w:r>
      <w:r>
        <w:rPr>
          <w:rFonts w:ascii="Arial" w:hAnsi="Arial" w:cs="Arial"/>
          <w:highlight w:val="yellow"/>
        </w:rPr>
        <w:t>s</w:t>
      </w:r>
      <w:r>
        <w:rPr>
          <w:rFonts w:ascii="Arial" w:hAnsi="Arial" w:cs="Arial"/>
        </w:rPr>
        <w:t xml:space="preserve"> </w:t>
      </w:r>
      <w:r>
        <w:rPr>
          <w:rFonts w:ascii="Arial" w:hAnsi="Arial" w:cs="Arial"/>
          <w:highlight w:val="yellow"/>
        </w:rPr>
        <w:t>described by b</w:t>
      </w:r>
      <w:r>
        <w:rPr>
          <w:rFonts w:ascii="Arial" w:hAnsi="Arial" w:cs="Arial"/>
        </w:rPr>
        <w:t>o</w:t>
      </w:r>
      <w:r>
        <w:rPr>
          <w:rFonts w:ascii="Arial" w:hAnsi="Arial" w:cs="Arial"/>
          <w:highlight w:val="yellow"/>
        </w:rPr>
        <w:t>th</w:t>
      </w:r>
      <w:r>
        <w:rPr>
          <w:rFonts w:ascii="Arial" w:hAnsi="Arial" w:cs="Arial"/>
        </w:rPr>
        <w:t xml:space="preserve"> Auwal et al. </w:t>
      </w:r>
      <w:r>
        <w:rPr>
          <w:rFonts w:ascii="Arial" w:hAnsi="Arial" w:cs="Arial"/>
          <w:highlight w:val="yellow"/>
        </w:rPr>
        <w:t>(</w:t>
      </w:r>
      <w:r>
        <w:rPr>
          <w:rFonts w:ascii="Arial" w:hAnsi="Arial" w:cs="Arial"/>
        </w:rPr>
        <w:t xml:space="preserve">2014) and Iqbal et al. </w:t>
      </w:r>
      <w:r>
        <w:rPr>
          <w:rFonts w:ascii="Arial" w:hAnsi="Arial" w:cs="Arial"/>
          <w:highlight w:val="yellow"/>
        </w:rPr>
        <w:t>(</w:t>
      </w:r>
      <w:r>
        <w:rPr>
          <w:rFonts w:ascii="Arial" w:hAnsi="Arial" w:cs="Arial"/>
        </w:rPr>
        <w:t xml:space="preserve">2015). The method of Melaku </w:t>
      </w:r>
      <w:r>
        <w:rPr>
          <w:rFonts w:ascii="Arial" w:hAnsi="Arial" w:cs="Arial"/>
          <w:highlight w:val="yellow"/>
        </w:rPr>
        <w:t>and Amar</w:t>
      </w:r>
      <w:r>
        <w:rPr>
          <w:rFonts w:ascii="Arial" w:hAnsi="Arial" w:cs="Arial"/>
        </w:rPr>
        <w:t xml:space="preserve">e </w:t>
      </w:r>
      <w:r>
        <w:rPr>
          <w:rFonts w:ascii="Arial" w:hAnsi="Arial" w:cs="Arial"/>
          <w:highlight w:val="yellow"/>
        </w:rPr>
        <w:t>(</w:t>
      </w:r>
      <w:r>
        <w:rPr>
          <w:rFonts w:ascii="Arial" w:hAnsi="Arial" w:cs="Arial"/>
        </w:rPr>
        <w:t>2020</w:t>
      </w:r>
      <w:r>
        <w:rPr>
          <w:rFonts w:ascii="Arial" w:hAnsi="Arial" w:cs="Arial"/>
          <w:highlight w:val="yellow"/>
        </w:rPr>
        <w:t>)</w:t>
      </w:r>
      <w:r>
        <w:rPr>
          <w:rFonts w:ascii="Arial" w:hAnsi="Arial" w:cs="Arial"/>
        </w:rPr>
        <w:t xml:space="preserve"> was used </w:t>
      </w:r>
      <w:r>
        <w:rPr>
          <w:rFonts w:ascii="Arial" w:hAnsi="Arial" w:cs="Arial"/>
          <w:highlight w:val="yellow"/>
        </w:rPr>
        <w:t>t</w:t>
      </w:r>
      <w:r>
        <w:rPr>
          <w:rFonts w:ascii="Arial" w:hAnsi="Arial" w:cs="Arial"/>
        </w:rPr>
        <w:t xml:space="preserve">o check for the presence of flavonoids. Phenols and terpenoids were detected </w:t>
      </w:r>
      <w:r>
        <w:rPr>
          <w:rFonts w:ascii="Arial" w:hAnsi="Arial" w:cs="Arial"/>
          <w:highlight w:val="yellow"/>
        </w:rPr>
        <w:t>us</w:t>
      </w:r>
      <w:r>
        <w:rPr>
          <w:rFonts w:ascii="Arial" w:hAnsi="Arial" w:cs="Arial"/>
        </w:rPr>
        <w:t>ing the methods of Yadav</w:t>
      </w:r>
      <w:r>
        <w:rPr>
          <w:rFonts w:ascii="Arial" w:hAnsi="Arial" w:cs="Arial"/>
          <w:vertAlign w:val="superscript"/>
        </w:rPr>
        <w:t xml:space="preserve"> </w:t>
      </w:r>
      <w:r>
        <w:rPr>
          <w:rFonts w:ascii="Arial" w:hAnsi="Arial" w:cs="Arial"/>
          <w:highlight w:val="yellow"/>
          <w:vertAlign w:val="superscript"/>
        </w:rPr>
        <w:t>and</w:t>
      </w:r>
      <w:r>
        <w:rPr>
          <w:rFonts w:ascii="Arial" w:hAnsi="Arial" w:cs="Arial"/>
          <w:vertAlign w:val="superscript"/>
        </w:rPr>
        <w:t xml:space="preserve"> </w:t>
      </w:r>
      <w:r>
        <w:rPr>
          <w:rFonts w:ascii="Arial" w:hAnsi="Arial" w:cs="Arial"/>
          <w:highlight w:val="yellow"/>
        </w:rPr>
        <w:t>Agarw</w:t>
      </w:r>
      <w:r>
        <w:rPr>
          <w:rFonts w:ascii="Arial" w:hAnsi="Arial" w:cs="Arial"/>
        </w:rPr>
        <w:t>al</w:t>
      </w:r>
      <w:r>
        <w:rPr>
          <w:rFonts w:ascii="Arial" w:hAnsi="Arial" w:cs="Arial"/>
          <w:highlight w:val="yellow"/>
        </w:rPr>
        <w:t>a</w:t>
      </w:r>
      <w:r>
        <w:rPr>
          <w:rFonts w:ascii="Arial" w:hAnsi="Arial" w:cs="Arial"/>
        </w:rPr>
        <w:t xml:space="preserve"> </w:t>
      </w:r>
      <w:r>
        <w:rPr>
          <w:rFonts w:ascii="Arial" w:hAnsi="Arial" w:cs="Arial"/>
          <w:highlight w:val="yellow"/>
        </w:rPr>
        <w:t>(</w:t>
      </w:r>
      <w:r>
        <w:rPr>
          <w:rFonts w:ascii="Arial" w:hAnsi="Arial" w:cs="Arial"/>
        </w:rPr>
        <w:t xml:space="preserve">2011) and Dubale et al. </w:t>
      </w:r>
      <w:r>
        <w:rPr>
          <w:rFonts w:ascii="Arial" w:hAnsi="Arial" w:cs="Arial"/>
          <w:highlight w:val="yellow"/>
        </w:rPr>
        <w:t>(</w:t>
      </w:r>
      <w:r>
        <w:rPr>
          <w:rFonts w:ascii="Arial" w:hAnsi="Arial" w:cs="Arial"/>
        </w:rPr>
        <w:t>2023), respectively.</w:t>
      </w:r>
    </w:p>
    <w:p w14:paraId="6EB79948" w14:textId="77777777"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2.4 </w:t>
      </w:r>
      <w:r w:rsidR="008E3BDE" w:rsidRPr="00E06117">
        <w:rPr>
          <w:rFonts w:ascii="Arial" w:hAnsi="Arial" w:cs="Arial"/>
          <w:b/>
          <w:sz w:val="22"/>
          <w:szCs w:val="22"/>
        </w:rPr>
        <w:t>Biosynthesis of Silver Nanoparticles</w:t>
      </w:r>
    </w:p>
    <w:p w14:paraId="14805E7F" w14:textId="77777777" w:rsidR="008E3BDE" w:rsidRPr="00D8530A" w:rsidRDefault="008E3BDE" w:rsidP="00BD470F">
      <w:pPr>
        <w:spacing w:before="240" w:line="360" w:lineRule="auto"/>
        <w:jc w:val="both"/>
        <w:rPr>
          <w:rFonts w:ascii="Arial" w:hAnsi="Arial" w:cs="Arial"/>
        </w:rPr>
      </w:pPr>
      <w:r>
        <w:rPr>
          <w:rFonts w:ascii="Arial" w:hAnsi="Arial" w:cs="Arial"/>
        </w:rPr>
        <w:t xml:space="preserve">The biosynthesis of silver nanoparticles (AgNPs) using aqueous and ethanolic root extracts of </w:t>
      </w:r>
      <w:r>
        <w:rPr>
          <w:rFonts w:ascii="Arial" w:hAnsi="Arial" w:cs="Arial"/>
          <w:i/>
          <w:iCs/>
        </w:rPr>
        <w:t xml:space="preserve">C. scariosus </w:t>
      </w:r>
      <w:r>
        <w:rPr>
          <w:rFonts w:ascii="Arial" w:hAnsi="Arial" w:cs="Arial"/>
        </w:rPr>
        <w:t xml:space="preserve">was performed following Khanal et al. </w:t>
      </w:r>
      <w:r>
        <w:rPr>
          <w:rFonts w:ascii="Arial" w:hAnsi="Arial" w:cs="Arial"/>
          <w:highlight w:val="yellow"/>
        </w:rPr>
        <w:t>(</w:t>
      </w:r>
      <w:r>
        <w:rPr>
          <w:rFonts w:ascii="Arial" w:hAnsi="Arial" w:cs="Arial"/>
        </w:rPr>
        <w:t xml:space="preserve">2022), with slight modifications. For both aqueous and ethanolic extracts, 5 mL of </w:t>
      </w:r>
      <w:r>
        <w:rPr>
          <w:rFonts w:ascii="Arial" w:hAnsi="Arial" w:cs="Arial"/>
          <w:highlight w:val="yellow"/>
        </w:rPr>
        <w:t xml:space="preserve">the </w:t>
      </w:r>
      <w:r>
        <w:rPr>
          <w:rFonts w:ascii="Arial" w:hAnsi="Arial" w:cs="Arial"/>
        </w:rPr>
        <w:t>respective root extract was added dropwise to 45 mL of 6 mM AgNO</w:t>
      </w:r>
      <w:r>
        <w:rPr>
          <w:rFonts w:ascii="Arial" w:hAnsi="Arial" w:cs="Arial"/>
          <w:vertAlign w:val="subscript"/>
        </w:rPr>
        <w:t xml:space="preserve">3 </w:t>
      </w:r>
      <w:r>
        <w:rPr>
          <w:rFonts w:ascii="Arial" w:hAnsi="Arial" w:cs="Arial"/>
        </w:rPr>
        <w:t xml:space="preserve">solution </w:t>
      </w:r>
      <w:r>
        <w:rPr>
          <w:rFonts w:ascii="Arial" w:hAnsi="Arial" w:cs="Arial"/>
          <w:highlight w:val="yellow"/>
        </w:rPr>
        <w:t xml:space="preserve">in </w:t>
      </w:r>
      <w:r>
        <w:rPr>
          <w:rFonts w:ascii="Arial" w:hAnsi="Arial" w:cs="Arial"/>
        </w:rPr>
        <w:t>separate</w:t>
      </w:r>
      <w:r>
        <w:rPr>
          <w:rFonts w:ascii="Arial" w:hAnsi="Arial" w:cs="Arial"/>
          <w:highlight w:val="yellow"/>
        </w:rPr>
        <w:t xml:space="preserve"> f</w:t>
      </w:r>
      <w:r>
        <w:rPr>
          <w:rFonts w:ascii="Arial" w:hAnsi="Arial" w:cs="Arial"/>
        </w:rPr>
        <w:t>l</w:t>
      </w:r>
      <w:r>
        <w:rPr>
          <w:rFonts w:ascii="Arial" w:hAnsi="Arial" w:cs="Arial"/>
          <w:highlight w:val="yellow"/>
        </w:rPr>
        <w:t>asks</w:t>
      </w:r>
      <w:r>
        <w:rPr>
          <w:rFonts w:ascii="Arial" w:hAnsi="Arial" w:cs="Arial"/>
        </w:rPr>
        <w:t>, with constant stirring on a REMI magnetic stirrer at room temperature. The flasks were kept in a shaker incubator (NEOLAB) for 4 hours, during which a gradual c</w:t>
      </w:r>
      <w:r>
        <w:rPr>
          <w:rFonts w:ascii="Arial" w:hAnsi="Arial" w:cs="Arial"/>
          <w:highlight w:val="yellow"/>
        </w:rPr>
        <w:t>olour c</w:t>
      </w:r>
      <w:r>
        <w:rPr>
          <w:rFonts w:ascii="Arial" w:hAnsi="Arial" w:cs="Arial"/>
        </w:rPr>
        <w:t xml:space="preserve">hange to reddish brown was </w:t>
      </w:r>
      <w:r>
        <w:rPr>
          <w:rFonts w:ascii="Arial" w:hAnsi="Arial" w:cs="Arial"/>
          <w:highlight w:val="yellow"/>
        </w:rPr>
        <w:t>ob</w:t>
      </w:r>
      <w:r>
        <w:rPr>
          <w:rFonts w:ascii="Arial" w:hAnsi="Arial" w:cs="Arial"/>
        </w:rPr>
        <w:t>se</w:t>
      </w:r>
      <w:r>
        <w:rPr>
          <w:rFonts w:ascii="Arial" w:hAnsi="Arial" w:cs="Arial"/>
          <w:highlight w:val="yellow"/>
        </w:rPr>
        <w:t>rv</w:t>
      </w:r>
      <w:r>
        <w:rPr>
          <w:rFonts w:ascii="Arial" w:hAnsi="Arial" w:cs="Arial"/>
        </w:rPr>
        <w:t>e</w:t>
      </w:r>
      <w:r>
        <w:rPr>
          <w:rFonts w:ascii="Arial" w:hAnsi="Arial" w:cs="Arial"/>
          <w:highlight w:val="yellow"/>
        </w:rPr>
        <w:t>d</w:t>
      </w:r>
      <w:r>
        <w:rPr>
          <w:rFonts w:ascii="Arial" w:hAnsi="Arial" w:cs="Arial"/>
        </w:rPr>
        <w:t>, indicat</w:t>
      </w:r>
      <w:r>
        <w:rPr>
          <w:rFonts w:ascii="Arial" w:hAnsi="Arial" w:cs="Arial"/>
          <w:highlight w:val="yellow"/>
        </w:rPr>
        <w:t>ing</w:t>
      </w:r>
      <w:r>
        <w:rPr>
          <w:rFonts w:ascii="Arial" w:hAnsi="Arial" w:cs="Arial"/>
        </w:rPr>
        <w:t xml:space="preserve"> the primary confirmation of AgNP synthesis.</w:t>
      </w:r>
    </w:p>
    <w:p w14:paraId="1BB5F8B1" w14:textId="77777777"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2.5 </w:t>
      </w:r>
      <w:r w:rsidR="008E3BDE" w:rsidRPr="00E06117">
        <w:rPr>
          <w:rFonts w:ascii="Arial" w:hAnsi="Arial" w:cs="Arial"/>
          <w:b/>
          <w:sz w:val="22"/>
          <w:szCs w:val="22"/>
        </w:rPr>
        <w:t>Characterization of AgNPs</w:t>
      </w:r>
    </w:p>
    <w:p w14:paraId="2F126DE0" w14:textId="77777777" w:rsidR="008E3BDE" w:rsidRPr="00E06117" w:rsidRDefault="00E06117" w:rsidP="008E3BDE">
      <w:pPr>
        <w:spacing w:before="240" w:line="360" w:lineRule="auto"/>
        <w:rPr>
          <w:rFonts w:ascii="Arial" w:hAnsi="Arial" w:cs="Arial"/>
          <w:b/>
          <w:iCs/>
          <w:u w:val="single"/>
        </w:rPr>
      </w:pPr>
      <w:r w:rsidRPr="00E06117">
        <w:rPr>
          <w:rFonts w:ascii="Arial" w:hAnsi="Arial" w:cs="Arial"/>
          <w:b/>
          <w:iCs/>
          <w:u w:val="single"/>
        </w:rPr>
        <w:t xml:space="preserve">2.5.1 </w:t>
      </w:r>
      <w:r w:rsidR="008E3BDE" w:rsidRPr="00E06117">
        <w:rPr>
          <w:rFonts w:ascii="Arial" w:hAnsi="Arial" w:cs="Arial"/>
          <w:b/>
          <w:iCs/>
          <w:u w:val="single"/>
        </w:rPr>
        <w:t>UV-V</w:t>
      </w:r>
      <w:r w:rsidR="00D67B1D">
        <w:rPr>
          <w:rFonts w:ascii="Arial" w:hAnsi="Arial" w:cs="Arial"/>
          <w:b/>
          <w:iCs/>
          <w:u w:val="single"/>
        </w:rPr>
        <w:t>is</w:t>
      </w:r>
      <w:r w:rsidR="008E3BDE" w:rsidRPr="00E06117">
        <w:rPr>
          <w:rFonts w:ascii="Arial" w:hAnsi="Arial" w:cs="Arial"/>
          <w:b/>
          <w:iCs/>
          <w:u w:val="single"/>
        </w:rPr>
        <w:t xml:space="preserve"> </w:t>
      </w:r>
      <w:r w:rsidR="00D67B1D">
        <w:rPr>
          <w:rFonts w:ascii="Arial" w:hAnsi="Arial" w:cs="Arial"/>
          <w:b/>
          <w:iCs/>
          <w:u w:val="single"/>
        </w:rPr>
        <w:t>s</w:t>
      </w:r>
      <w:r w:rsidR="008E3BDE" w:rsidRPr="00E06117">
        <w:rPr>
          <w:rFonts w:ascii="Arial" w:hAnsi="Arial" w:cs="Arial"/>
          <w:b/>
          <w:iCs/>
          <w:u w:val="single"/>
        </w:rPr>
        <w:t>pectr</w:t>
      </w:r>
      <w:r w:rsidR="00A20747" w:rsidRPr="00E06117">
        <w:rPr>
          <w:rFonts w:ascii="Arial" w:hAnsi="Arial" w:cs="Arial"/>
          <w:b/>
          <w:iCs/>
          <w:u w:val="single"/>
        </w:rPr>
        <w:t>oscopy</w:t>
      </w:r>
    </w:p>
    <w:p w14:paraId="710E0077" w14:textId="77777777" w:rsidR="008E3BDE" w:rsidRPr="00D8530A" w:rsidRDefault="008E3BDE" w:rsidP="00BD470F">
      <w:pPr>
        <w:spacing w:before="240" w:line="360" w:lineRule="auto"/>
        <w:jc w:val="both"/>
        <w:rPr>
          <w:rFonts w:ascii="Arial" w:hAnsi="Arial" w:cs="Arial"/>
          <w:highlight w:val="white"/>
        </w:rPr>
      </w:pPr>
      <w:r>
        <w:rPr>
          <w:rFonts w:ascii="Arial" w:hAnsi="Arial" w:cs="Arial"/>
          <w:highlight w:val="white"/>
        </w:rPr>
        <w:t xml:space="preserve">The absorbance of </w:t>
      </w:r>
      <w:r>
        <w:rPr>
          <w:rFonts w:ascii="Arial" w:hAnsi="Arial" w:cs="Arial"/>
          <w:highlight w:val="yellow"/>
        </w:rPr>
        <w:t xml:space="preserve">the </w:t>
      </w:r>
      <w:r>
        <w:rPr>
          <w:rFonts w:ascii="Arial" w:hAnsi="Arial" w:cs="Arial"/>
          <w:highlight w:val="white"/>
        </w:rPr>
        <w:t>synthesi</w:t>
      </w:r>
      <w:r>
        <w:rPr>
          <w:rFonts w:ascii="Arial" w:hAnsi="Arial" w:cs="Arial"/>
          <w:highlight w:val="yellow"/>
        </w:rPr>
        <w:t>s</w:t>
      </w:r>
      <w:r>
        <w:rPr>
          <w:rFonts w:ascii="Arial" w:hAnsi="Arial" w:cs="Arial"/>
          <w:highlight w:val="white"/>
        </w:rPr>
        <w:t xml:space="preserve">ed </w:t>
      </w:r>
      <w:r>
        <w:rPr>
          <w:rFonts w:ascii="Arial" w:hAnsi="Arial" w:cs="Arial"/>
        </w:rPr>
        <w:t>AgNPs</w:t>
      </w:r>
      <w:r>
        <w:rPr>
          <w:rFonts w:ascii="Arial" w:hAnsi="Arial" w:cs="Arial"/>
          <w:highlight w:val="white"/>
          <w:vertAlign w:val="subscript"/>
        </w:rPr>
        <w:t xml:space="preserve"> </w:t>
      </w:r>
      <w:r>
        <w:rPr>
          <w:rFonts w:ascii="Arial" w:hAnsi="Arial" w:cs="Arial"/>
          <w:highlight w:val="white"/>
        </w:rPr>
        <w:t xml:space="preserve">was </w:t>
      </w:r>
      <w:r>
        <w:rPr>
          <w:rFonts w:ascii="Arial" w:hAnsi="Arial" w:cs="Arial"/>
          <w:highlight w:val="yellow"/>
        </w:rPr>
        <w:t>m</w:t>
      </w:r>
      <w:r>
        <w:rPr>
          <w:rFonts w:ascii="Arial" w:hAnsi="Arial" w:cs="Arial"/>
          <w:highlight w:val="white"/>
        </w:rPr>
        <w:t>e</w:t>
      </w:r>
      <w:r>
        <w:rPr>
          <w:rFonts w:ascii="Arial" w:hAnsi="Arial" w:cs="Arial"/>
          <w:highlight w:val="yellow"/>
        </w:rPr>
        <w:t>asur</w:t>
      </w:r>
      <w:r>
        <w:rPr>
          <w:rFonts w:ascii="Arial" w:hAnsi="Arial" w:cs="Arial"/>
          <w:highlight w:val="white"/>
        </w:rPr>
        <w:t xml:space="preserve">ed using </w:t>
      </w:r>
      <w:r>
        <w:rPr>
          <w:rFonts w:ascii="Arial" w:hAnsi="Arial" w:cs="Arial"/>
          <w:highlight w:val="yellow"/>
        </w:rPr>
        <w:t xml:space="preserve">a </w:t>
      </w:r>
      <w:r>
        <w:rPr>
          <w:rFonts w:ascii="Arial" w:hAnsi="Arial" w:cs="Arial"/>
          <w:highlight w:val="white"/>
        </w:rPr>
        <w:t>BioEra</w:t>
      </w:r>
      <w:r>
        <w:rPr>
          <w:rFonts w:ascii="Arial" w:hAnsi="Arial" w:cs="Arial"/>
          <w:color w:val="EE0000"/>
          <w:highlight w:val="white"/>
        </w:rPr>
        <w:t xml:space="preserve"> </w:t>
      </w:r>
      <w:r>
        <w:rPr>
          <w:rFonts w:ascii="Arial" w:hAnsi="Arial" w:cs="Arial"/>
          <w:highlight w:val="white"/>
        </w:rPr>
        <w:t xml:space="preserve">UV-visible spectrophotometer </w:t>
      </w:r>
      <w:r>
        <w:rPr>
          <w:rFonts w:ascii="Arial" w:hAnsi="Arial" w:cs="Arial"/>
          <w:highlight w:val="yellow"/>
        </w:rPr>
        <w:t>over</w:t>
      </w:r>
      <w:r>
        <w:rPr>
          <w:rFonts w:ascii="Arial" w:hAnsi="Arial" w:cs="Arial"/>
          <w:highlight w:val="white"/>
        </w:rPr>
        <w:t xml:space="preserve"> a wavelength </w:t>
      </w:r>
      <w:r>
        <w:rPr>
          <w:rFonts w:ascii="Arial" w:hAnsi="Arial" w:cs="Arial"/>
          <w:highlight w:val="yellow"/>
        </w:rPr>
        <w:t>r</w:t>
      </w:r>
      <w:r>
        <w:rPr>
          <w:rFonts w:ascii="Arial" w:hAnsi="Arial" w:cs="Arial"/>
          <w:highlight w:val="white"/>
        </w:rPr>
        <w:t>ang</w:t>
      </w:r>
      <w:r>
        <w:rPr>
          <w:rFonts w:ascii="Arial" w:hAnsi="Arial" w:cs="Arial"/>
          <w:highlight w:val="yellow"/>
        </w:rPr>
        <w:t>e</w:t>
      </w:r>
      <w:r>
        <w:rPr>
          <w:rFonts w:ascii="Arial" w:hAnsi="Arial" w:cs="Arial"/>
          <w:highlight w:val="white"/>
        </w:rPr>
        <w:t xml:space="preserve"> </w:t>
      </w:r>
      <w:r>
        <w:rPr>
          <w:rFonts w:ascii="Arial" w:hAnsi="Arial" w:cs="Arial"/>
          <w:highlight w:val="yellow"/>
        </w:rPr>
        <w:t>o</w:t>
      </w:r>
      <w:r>
        <w:rPr>
          <w:rFonts w:ascii="Arial" w:hAnsi="Arial" w:cs="Arial"/>
          <w:highlight w:val="white"/>
        </w:rPr>
        <w:t xml:space="preserve">f 300 to 700 nm </w:t>
      </w:r>
      <w:r>
        <w:rPr>
          <w:rFonts w:ascii="Arial" w:hAnsi="Arial" w:cs="Arial"/>
        </w:rPr>
        <w:t>(Khanal et al., 2022)</w:t>
      </w:r>
      <w:r>
        <w:rPr>
          <w:rFonts w:ascii="Arial" w:hAnsi="Arial" w:cs="Arial"/>
          <w:highlight w:val="white"/>
        </w:rPr>
        <w:t>. Distilled water was used to set the blank.</w:t>
      </w:r>
    </w:p>
    <w:p w14:paraId="4134CA1E" w14:textId="77777777" w:rsidR="008E3BDE" w:rsidRPr="00E06117" w:rsidRDefault="00E06117" w:rsidP="008E3BDE">
      <w:pPr>
        <w:spacing w:before="240" w:line="360" w:lineRule="auto"/>
        <w:rPr>
          <w:rFonts w:ascii="Arial" w:hAnsi="Arial" w:cs="Arial"/>
          <w:b/>
          <w:iCs/>
          <w:highlight w:val="white"/>
          <w:u w:val="single"/>
        </w:rPr>
      </w:pPr>
      <w:r w:rsidRPr="00E06117">
        <w:rPr>
          <w:rFonts w:ascii="Arial" w:hAnsi="Arial" w:cs="Arial"/>
          <w:b/>
          <w:iCs/>
          <w:highlight w:val="white"/>
          <w:u w:val="single"/>
        </w:rPr>
        <w:t xml:space="preserve">2.5.2 </w:t>
      </w:r>
      <w:r w:rsidR="008E3BDE" w:rsidRPr="00E06117">
        <w:rPr>
          <w:rFonts w:ascii="Arial" w:hAnsi="Arial" w:cs="Arial"/>
          <w:b/>
          <w:iCs/>
          <w:highlight w:val="white"/>
          <w:u w:val="single"/>
        </w:rPr>
        <w:t>FTIR</w:t>
      </w:r>
      <w:r w:rsidR="00D67B1D">
        <w:rPr>
          <w:rFonts w:ascii="Arial" w:hAnsi="Arial" w:cs="Arial"/>
          <w:b/>
          <w:iCs/>
          <w:highlight w:val="white"/>
          <w:u w:val="single"/>
        </w:rPr>
        <w:t xml:space="preserve"> spectroscopy</w:t>
      </w:r>
    </w:p>
    <w:p w14:paraId="213AC887" w14:textId="77777777" w:rsidR="008E3BDE" w:rsidRPr="00D8530A" w:rsidRDefault="008E3BDE" w:rsidP="00BD470F">
      <w:pPr>
        <w:spacing w:before="240" w:line="360" w:lineRule="auto"/>
        <w:jc w:val="both"/>
        <w:rPr>
          <w:rFonts w:ascii="Arial" w:hAnsi="Arial" w:cs="Arial"/>
          <w:highlight w:val="white"/>
        </w:rPr>
      </w:pPr>
      <w:r>
        <w:rPr>
          <w:rFonts w:ascii="Arial" w:hAnsi="Arial" w:cs="Arial"/>
          <w:highlight w:val="white"/>
        </w:rPr>
        <w:t xml:space="preserve">The infrared spectra </w:t>
      </w:r>
      <w:r>
        <w:rPr>
          <w:rFonts w:ascii="Arial" w:hAnsi="Arial" w:cs="Arial"/>
          <w:highlight w:val="yellow"/>
        </w:rPr>
        <w:t>o</w:t>
      </w:r>
      <w:r>
        <w:rPr>
          <w:rFonts w:ascii="Arial" w:hAnsi="Arial" w:cs="Arial"/>
          <w:highlight w:val="white"/>
        </w:rPr>
        <w:t>f the green</w:t>
      </w:r>
      <w:r>
        <w:rPr>
          <w:rFonts w:ascii="Arial" w:hAnsi="Arial" w:cs="Arial"/>
          <w:highlight w:val="yellow"/>
        </w:rPr>
        <w:t>-</w:t>
      </w:r>
      <w:r>
        <w:rPr>
          <w:rFonts w:ascii="Arial" w:hAnsi="Arial" w:cs="Arial"/>
          <w:highlight w:val="white"/>
        </w:rPr>
        <w:t>synthesi</w:t>
      </w:r>
      <w:r>
        <w:rPr>
          <w:rFonts w:ascii="Arial" w:hAnsi="Arial" w:cs="Arial"/>
          <w:highlight w:val="yellow"/>
        </w:rPr>
        <w:t>s</w:t>
      </w:r>
      <w:r>
        <w:rPr>
          <w:rFonts w:ascii="Arial" w:hAnsi="Arial" w:cs="Arial"/>
          <w:highlight w:val="white"/>
        </w:rPr>
        <w:t xml:space="preserve">ed AgNPs were recorded for the identification of functional groups using a Shimadzu FTIR 8400S with IR Solutions software, </w:t>
      </w:r>
      <w:r>
        <w:rPr>
          <w:rFonts w:ascii="Arial" w:hAnsi="Arial" w:cs="Arial"/>
          <w:highlight w:val="yellow"/>
        </w:rPr>
        <w:t xml:space="preserve">with </w:t>
      </w:r>
      <w:r>
        <w:rPr>
          <w:rFonts w:ascii="Arial" w:hAnsi="Arial" w:cs="Arial"/>
          <w:highlight w:val="white"/>
        </w:rPr>
        <w:t>registered amplitude waves ranging from 500 to 3500 cm</w:t>
      </w:r>
      <w:r>
        <w:rPr>
          <w:rFonts w:ascii="Arial" w:hAnsi="Arial" w:cs="Arial"/>
          <w:highlight w:val="white"/>
          <w:vertAlign w:val="superscript"/>
        </w:rPr>
        <w:t>-1</w:t>
      </w:r>
      <w:r>
        <w:rPr>
          <w:rFonts w:ascii="Arial" w:hAnsi="Arial" w:cs="Arial"/>
          <w:highlight w:val="white"/>
        </w:rPr>
        <w:t>.</w:t>
      </w:r>
    </w:p>
    <w:p w14:paraId="672B9E89" w14:textId="77777777" w:rsidR="008E3BDE" w:rsidRPr="00E06117" w:rsidRDefault="00E06117" w:rsidP="008E3BDE">
      <w:pPr>
        <w:spacing w:before="240" w:line="360" w:lineRule="auto"/>
        <w:rPr>
          <w:rFonts w:ascii="Arial" w:hAnsi="Arial" w:cs="Arial"/>
          <w:b/>
          <w:iCs/>
          <w:highlight w:val="white"/>
          <w:u w:val="single"/>
        </w:rPr>
      </w:pPr>
      <w:r w:rsidRPr="00E06117">
        <w:rPr>
          <w:rFonts w:ascii="Arial" w:hAnsi="Arial" w:cs="Arial"/>
          <w:b/>
          <w:iCs/>
          <w:highlight w:val="white"/>
          <w:u w:val="single"/>
        </w:rPr>
        <w:t xml:space="preserve">2.5.3 </w:t>
      </w:r>
      <w:r w:rsidR="008E3BDE" w:rsidRPr="00E06117">
        <w:rPr>
          <w:rFonts w:ascii="Arial" w:hAnsi="Arial" w:cs="Arial"/>
          <w:b/>
          <w:iCs/>
          <w:highlight w:val="white"/>
          <w:u w:val="single"/>
        </w:rPr>
        <w:t>TEM</w:t>
      </w:r>
      <w:r w:rsidR="00D67B1D">
        <w:rPr>
          <w:rFonts w:ascii="Arial" w:hAnsi="Arial" w:cs="Arial"/>
          <w:b/>
          <w:iCs/>
          <w:highlight w:val="white"/>
          <w:u w:val="single"/>
        </w:rPr>
        <w:t xml:space="preserve"> analysis</w:t>
      </w:r>
    </w:p>
    <w:p w14:paraId="0F6DD027" w14:textId="77777777" w:rsidR="008E3BDE" w:rsidRPr="00D8530A" w:rsidRDefault="008E3BDE" w:rsidP="00BD470F">
      <w:pPr>
        <w:spacing w:before="240" w:line="360" w:lineRule="auto"/>
        <w:jc w:val="both"/>
        <w:rPr>
          <w:rFonts w:ascii="Arial" w:hAnsi="Arial" w:cs="Arial"/>
          <w:highlight w:val="white"/>
        </w:rPr>
      </w:pPr>
      <w:r>
        <w:rPr>
          <w:rFonts w:ascii="Arial" w:hAnsi="Arial" w:cs="Arial"/>
          <w:highlight w:val="white"/>
        </w:rPr>
        <w:t xml:space="preserve">Transmission </w:t>
      </w:r>
      <w:r>
        <w:rPr>
          <w:rFonts w:ascii="Arial" w:hAnsi="Arial" w:cs="Arial"/>
          <w:highlight w:val="yellow"/>
        </w:rPr>
        <w:t>e</w:t>
      </w:r>
      <w:r>
        <w:rPr>
          <w:rFonts w:ascii="Arial" w:hAnsi="Arial" w:cs="Arial"/>
          <w:highlight w:val="white"/>
        </w:rPr>
        <w:t xml:space="preserve">lectron </w:t>
      </w:r>
      <w:r>
        <w:rPr>
          <w:rFonts w:ascii="Arial" w:hAnsi="Arial" w:cs="Arial"/>
          <w:highlight w:val="yellow"/>
        </w:rPr>
        <w:t>m</w:t>
      </w:r>
      <w:r>
        <w:rPr>
          <w:rFonts w:ascii="Arial" w:hAnsi="Arial" w:cs="Arial"/>
          <w:highlight w:val="white"/>
        </w:rPr>
        <w:t xml:space="preserve">icroscopy (TEM) was </w:t>
      </w:r>
      <w:r>
        <w:rPr>
          <w:rFonts w:ascii="Arial" w:hAnsi="Arial" w:cs="Arial"/>
          <w:highlight w:val="yellow"/>
        </w:rPr>
        <w:t>performe</w:t>
      </w:r>
      <w:r>
        <w:rPr>
          <w:rFonts w:ascii="Arial" w:hAnsi="Arial" w:cs="Arial"/>
          <w:highlight w:val="white"/>
        </w:rPr>
        <w:t xml:space="preserve">d using a Tecnai G2 Spirit Biotwin (Netherlands) to study the shape and size of </w:t>
      </w:r>
      <w:r>
        <w:rPr>
          <w:rFonts w:ascii="Arial" w:hAnsi="Arial" w:cs="Arial"/>
          <w:highlight w:val="yellow"/>
        </w:rPr>
        <w:t xml:space="preserve">the </w:t>
      </w:r>
      <w:r>
        <w:rPr>
          <w:rFonts w:ascii="Arial" w:hAnsi="Arial" w:cs="Arial"/>
          <w:highlight w:val="white"/>
        </w:rPr>
        <w:t>synthesi</w:t>
      </w:r>
      <w:r>
        <w:rPr>
          <w:rFonts w:ascii="Arial" w:hAnsi="Arial" w:cs="Arial"/>
          <w:highlight w:val="yellow"/>
        </w:rPr>
        <w:t>s</w:t>
      </w:r>
      <w:r>
        <w:rPr>
          <w:rFonts w:ascii="Arial" w:hAnsi="Arial" w:cs="Arial"/>
          <w:highlight w:val="white"/>
        </w:rPr>
        <w:t>ed AgNPs. A small amount (0.5 µL) of the sample was diluted in 4.0 mL of distilled water, and 0.2 µL of this solution was drop-cast onto a carbon-coated copper grid (200 mesh). Following this</w:t>
      </w:r>
      <w:r>
        <w:rPr>
          <w:rFonts w:ascii="Arial" w:hAnsi="Arial" w:cs="Arial"/>
          <w:highlight w:val="yellow"/>
        </w:rPr>
        <w:t>,</w:t>
      </w:r>
      <w:r>
        <w:rPr>
          <w:rFonts w:ascii="Arial" w:hAnsi="Arial" w:cs="Arial"/>
          <w:highlight w:val="white"/>
        </w:rPr>
        <w:t xml:space="preserve"> the grid was air-dried at room temperature. Imaging was </w:t>
      </w:r>
      <w:r>
        <w:rPr>
          <w:rFonts w:ascii="Arial" w:hAnsi="Arial" w:cs="Arial"/>
          <w:highlight w:val="yellow"/>
        </w:rPr>
        <w:t>performe</w:t>
      </w:r>
      <w:r>
        <w:rPr>
          <w:rFonts w:ascii="Arial" w:hAnsi="Arial" w:cs="Arial"/>
          <w:highlight w:val="white"/>
        </w:rPr>
        <w:t xml:space="preserve">d at 100 kV using a tungsten filament and an </w:t>
      </w:r>
      <w:r>
        <w:rPr>
          <w:rFonts w:ascii="Arial" w:hAnsi="Arial" w:cs="Arial"/>
          <w:highlight w:val="white"/>
        </w:rPr>
        <w:lastRenderedPageBreak/>
        <w:t xml:space="preserve">Olympus Veleta CCD camera. Tecnai imaging and analysis software was used </w:t>
      </w:r>
      <w:r>
        <w:rPr>
          <w:rFonts w:ascii="Arial" w:hAnsi="Arial" w:cs="Arial"/>
          <w:highlight w:val="yellow"/>
        </w:rPr>
        <w:t>t</w:t>
      </w:r>
      <w:r>
        <w:rPr>
          <w:rFonts w:ascii="Arial" w:hAnsi="Arial" w:cs="Arial"/>
          <w:highlight w:val="white"/>
        </w:rPr>
        <w:t>o captur</w:t>
      </w:r>
      <w:r>
        <w:rPr>
          <w:rFonts w:ascii="Arial" w:hAnsi="Arial" w:cs="Arial"/>
          <w:highlight w:val="yellow"/>
        </w:rPr>
        <w:t>e</w:t>
      </w:r>
      <w:r>
        <w:rPr>
          <w:rFonts w:ascii="Arial" w:hAnsi="Arial" w:cs="Arial"/>
          <w:highlight w:val="white"/>
        </w:rPr>
        <w:t xml:space="preserve"> and analy</w:t>
      </w:r>
      <w:r>
        <w:rPr>
          <w:rFonts w:ascii="Arial" w:hAnsi="Arial" w:cs="Arial"/>
          <w:highlight w:val="yellow"/>
        </w:rPr>
        <w:t>se</w:t>
      </w:r>
      <w:r>
        <w:rPr>
          <w:rFonts w:ascii="Arial" w:hAnsi="Arial" w:cs="Arial"/>
          <w:highlight w:val="white"/>
        </w:rPr>
        <w:t xml:space="preserve"> the images, with magnification up to 350,000X for clear observation (</w:t>
      </w:r>
      <w:r>
        <w:rPr>
          <w:rFonts w:ascii="Arial" w:hAnsi="Arial" w:cs="Arial"/>
        </w:rPr>
        <w:t>Nijhawan et al., 2024</w:t>
      </w:r>
      <w:r>
        <w:rPr>
          <w:rFonts w:ascii="Arial" w:hAnsi="Arial" w:cs="Arial"/>
          <w:highlight w:val="white"/>
        </w:rPr>
        <w:t>).</w:t>
      </w:r>
    </w:p>
    <w:p w14:paraId="02D72E9B" w14:textId="77777777" w:rsidR="008E3BDE" w:rsidRPr="00E06117" w:rsidRDefault="00E06117" w:rsidP="008E3BDE">
      <w:pPr>
        <w:spacing w:before="240" w:line="360" w:lineRule="auto"/>
        <w:rPr>
          <w:rFonts w:ascii="Arial" w:hAnsi="Arial" w:cs="Arial"/>
          <w:b/>
          <w:iCs/>
          <w:color w:val="005E00"/>
          <w:highlight w:val="white"/>
          <w:u w:val="single"/>
        </w:rPr>
      </w:pPr>
      <w:r w:rsidRPr="00E06117">
        <w:rPr>
          <w:rFonts w:ascii="Arial" w:hAnsi="Arial" w:cs="Arial"/>
          <w:b/>
          <w:iCs/>
          <w:highlight w:val="white"/>
          <w:u w:val="single"/>
        </w:rPr>
        <w:t xml:space="preserve">2.5.4 </w:t>
      </w:r>
      <w:r w:rsidR="008E3BDE" w:rsidRPr="00E06117">
        <w:rPr>
          <w:rFonts w:ascii="Arial" w:hAnsi="Arial" w:cs="Arial"/>
          <w:b/>
          <w:iCs/>
          <w:highlight w:val="white"/>
          <w:u w:val="single"/>
        </w:rPr>
        <w:t>FESEM a</w:t>
      </w:r>
      <w:r w:rsidR="00D67B1D">
        <w:rPr>
          <w:rFonts w:ascii="Arial" w:hAnsi="Arial" w:cs="Arial"/>
          <w:b/>
          <w:iCs/>
          <w:highlight w:val="white"/>
          <w:u w:val="single"/>
        </w:rPr>
        <w:t xml:space="preserve">nd </w:t>
      </w:r>
      <w:r w:rsidR="008E3BDE" w:rsidRPr="00E06117">
        <w:rPr>
          <w:rFonts w:ascii="Arial" w:hAnsi="Arial" w:cs="Arial"/>
          <w:b/>
          <w:iCs/>
          <w:highlight w:val="white"/>
          <w:u w:val="single"/>
        </w:rPr>
        <w:t>EDX</w:t>
      </w:r>
      <w:r w:rsidR="00E12231">
        <w:rPr>
          <w:rFonts w:ascii="Arial" w:hAnsi="Arial" w:cs="Arial"/>
          <w:b/>
          <w:iCs/>
          <w:highlight w:val="white"/>
          <w:u w:val="single"/>
        </w:rPr>
        <w:t xml:space="preserve"> analysis</w:t>
      </w:r>
    </w:p>
    <w:p w14:paraId="142399E6" w14:textId="77777777" w:rsidR="008E3BDE" w:rsidRPr="00D8530A" w:rsidRDefault="008E3BDE" w:rsidP="00BD470F">
      <w:pPr>
        <w:spacing w:before="240" w:line="360" w:lineRule="auto"/>
        <w:jc w:val="both"/>
        <w:rPr>
          <w:rFonts w:ascii="Arial" w:hAnsi="Arial" w:cs="Arial"/>
          <w:highlight w:val="white"/>
        </w:rPr>
      </w:pPr>
      <w:r>
        <w:rPr>
          <w:rFonts w:ascii="Arial" w:hAnsi="Arial" w:cs="Arial"/>
          <w:highlight w:val="white"/>
        </w:rPr>
        <w:t>The surface morphology of the synthesi</w:t>
      </w:r>
      <w:r>
        <w:rPr>
          <w:rFonts w:ascii="Arial" w:hAnsi="Arial" w:cs="Arial"/>
          <w:highlight w:val="yellow"/>
        </w:rPr>
        <w:t>s</w:t>
      </w:r>
      <w:r>
        <w:rPr>
          <w:rFonts w:ascii="Arial" w:hAnsi="Arial" w:cs="Arial"/>
          <w:highlight w:val="white"/>
        </w:rPr>
        <w:t>ed silver nanoparticles was observed using FESEM (Quanta 200). The liquid samples were first sonicated for uniform particle dispersion. Carbon conductive tape was attached to an aluminium stub, and a small volume of the sample was drop-cast and spread evenly on the tape. The stub was then air</w:t>
      </w:r>
      <w:r>
        <w:rPr>
          <w:rFonts w:ascii="Arial" w:hAnsi="Arial" w:cs="Arial"/>
          <w:highlight w:val="yellow"/>
        </w:rPr>
        <w:t>-</w:t>
      </w:r>
      <w:r>
        <w:rPr>
          <w:rFonts w:ascii="Arial" w:hAnsi="Arial" w:cs="Arial"/>
          <w:highlight w:val="white"/>
        </w:rPr>
        <w:t xml:space="preserve">dried at room temperature and mounted in the </w:t>
      </w:r>
      <w:r>
        <w:rPr>
          <w:rFonts w:ascii="Arial" w:hAnsi="Arial" w:cs="Arial"/>
          <w:highlight w:val="yellow"/>
        </w:rPr>
        <w:t>f</w:t>
      </w:r>
      <w:r>
        <w:rPr>
          <w:rFonts w:ascii="Arial" w:hAnsi="Arial" w:cs="Arial"/>
          <w:highlight w:val="white"/>
        </w:rPr>
        <w:t>ield</w:t>
      </w:r>
      <w:r>
        <w:rPr>
          <w:rFonts w:ascii="Arial" w:hAnsi="Arial" w:cs="Arial"/>
          <w:highlight w:val="yellow"/>
        </w:rPr>
        <w:t>-e</w:t>
      </w:r>
      <w:r>
        <w:rPr>
          <w:rFonts w:ascii="Arial" w:hAnsi="Arial" w:cs="Arial"/>
          <w:highlight w:val="white"/>
        </w:rPr>
        <w:t xml:space="preserve">mission </w:t>
      </w:r>
      <w:r>
        <w:rPr>
          <w:rFonts w:ascii="Arial" w:hAnsi="Arial" w:cs="Arial"/>
          <w:highlight w:val="yellow"/>
        </w:rPr>
        <w:t>s</w:t>
      </w:r>
      <w:r>
        <w:rPr>
          <w:rFonts w:ascii="Arial" w:hAnsi="Arial" w:cs="Arial"/>
          <w:highlight w:val="white"/>
        </w:rPr>
        <w:t xml:space="preserve">canning </w:t>
      </w:r>
      <w:r>
        <w:rPr>
          <w:rFonts w:ascii="Arial" w:hAnsi="Arial" w:cs="Arial"/>
          <w:highlight w:val="yellow"/>
        </w:rPr>
        <w:t>e</w:t>
      </w:r>
      <w:r>
        <w:rPr>
          <w:rFonts w:ascii="Arial" w:hAnsi="Arial" w:cs="Arial"/>
          <w:highlight w:val="white"/>
        </w:rPr>
        <w:t xml:space="preserve">lectron </w:t>
      </w:r>
      <w:r>
        <w:rPr>
          <w:rFonts w:ascii="Arial" w:hAnsi="Arial" w:cs="Arial"/>
          <w:highlight w:val="yellow"/>
        </w:rPr>
        <w:t>m</w:t>
      </w:r>
      <w:r>
        <w:rPr>
          <w:rFonts w:ascii="Arial" w:hAnsi="Arial" w:cs="Arial"/>
          <w:highlight w:val="white"/>
        </w:rPr>
        <w:t>icroscope chamber for imaging under high</w:t>
      </w:r>
      <w:r>
        <w:rPr>
          <w:rFonts w:ascii="Arial" w:hAnsi="Arial" w:cs="Arial"/>
          <w:highlight w:val="yellow"/>
        </w:rPr>
        <w:t>-</w:t>
      </w:r>
      <w:r>
        <w:rPr>
          <w:rFonts w:ascii="Arial" w:hAnsi="Arial" w:cs="Arial"/>
          <w:highlight w:val="white"/>
        </w:rPr>
        <w:t>vacuum conditions (</w:t>
      </w:r>
      <w:r>
        <w:rPr>
          <w:rFonts w:ascii="Arial" w:hAnsi="Arial" w:cs="Arial"/>
        </w:rPr>
        <w:t xml:space="preserve">Malik </w:t>
      </w:r>
      <w:r>
        <w:rPr>
          <w:rFonts w:ascii="Arial" w:hAnsi="Arial" w:cs="Arial"/>
          <w:highlight w:val="yellow"/>
        </w:rPr>
        <w:t>&amp;</w:t>
      </w:r>
      <w:r>
        <w:rPr>
          <w:rFonts w:ascii="Arial" w:hAnsi="Arial" w:cs="Arial"/>
        </w:rPr>
        <w:t xml:space="preserve"> </w:t>
      </w:r>
      <w:r>
        <w:rPr>
          <w:rFonts w:ascii="Arial" w:hAnsi="Arial" w:cs="Arial"/>
          <w:highlight w:val="yellow"/>
        </w:rPr>
        <w:t>M</w:t>
      </w:r>
      <w:r>
        <w:rPr>
          <w:rFonts w:ascii="Arial" w:hAnsi="Arial" w:cs="Arial"/>
        </w:rPr>
        <w:t>a</w:t>
      </w:r>
      <w:r>
        <w:rPr>
          <w:rFonts w:ascii="Arial" w:hAnsi="Arial" w:cs="Arial"/>
          <w:highlight w:val="yellow"/>
        </w:rPr>
        <w:t>dan</w:t>
      </w:r>
      <w:r>
        <w:rPr>
          <w:rFonts w:ascii="Arial" w:hAnsi="Arial" w:cs="Arial"/>
        </w:rPr>
        <w:t>, 2020</w:t>
      </w:r>
      <w:r>
        <w:rPr>
          <w:rFonts w:ascii="Arial" w:hAnsi="Arial" w:cs="Arial"/>
          <w:highlight w:val="white"/>
        </w:rPr>
        <w:t xml:space="preserve">). Nanoparticles were checked for their elemental composition using EDX, which </w:t>
      </w:r>
      <w:r>
        <w:rPr>
          <w:rFonts w:ascii="Arial" w:hAnsi="Arial" w:cs="Arial"/>
          <w:highlight w:val="yellow"/>
        </w:rPr>
        <w:t>wa</w:t>
      </w:r>
      <w:r>
        <w:rPr>
          <w:rFonts w:ascii="Arial" w:hAnsi="Arial" w:cs="Arial"/>
          <w:highlight w:val="white"/>
        </w:rPr>
        <w:t xml:space="preserve">s attached to the FESEM imaging system. Quantitative information on </w:t>
      </w:r>
      <w:r>
        <w:rPr>
          <w:rFonts w:ascii="Arial" w:hAnsi="Arial" w:cs="Arial"/>
          <w:highlight w:val="yellow"/>
        </w:rPr>
        <w:t xml:space="preserve">the </w:t>
      </w:r>
      <w:r>
        <w:rPr>
          <w:rFonts w:ascii="Arial" w:hAnsi="Arial" w:cs="Arial"/>
          <w:highlight w:val="white"/>
        </w:rPr>
        <w:t xml:space="preserve">different elements present in the sample was obtained </w:t>
      </w:r>
      <w:r>
        <w:rPr>
          <w:rFonts w:ascii="Arial" w:hAnsi="Arial" w:cs="Arial"/>
          <w:highlight w:val="yellow"/>
        </w:rPr>
        <w:t>using</w:t>
      </w:r>
      <w:r>
        <w:rPr>
          <w:rFonts w:ascii="Arial" w:hAnsi="Arial" w:cs="Arial"/>
          <w:highlight w:val="white"/>
        </w:rPr>
        <w:t xml:space="preserve"> EDX.</w:t>
      </w:r>
    </w:p>
    <w:p w14:paraId="34D3B8C4" w14:textId="77777777" w:rsidR="008E3BDE" w:rsidRPr="00E06117" w:rsidRDefault="00E06117" w:rsidP="008E3BDE">
      <w:pPr>
        <w:spacing w:before="240" w:line="360" w:lineRule="auto"/>
        <w:rPr>
          <w:rFonts w:ascii="Arial" w:hAnsi="Arial" w:cs="Arial"/>
          <w:b/>
          <w:iCs/>
          <w:sz w:val="22"/>
          <w:szCs w:val="22"/>
        </w:rPr>
      </w:pPr>
      <w:r w:rsidRPr="00E06117">
        <w:rPr>
          <w:rFonts w:ascii="Arial" w:hAnsi="Arial" w:cs="Arial"/>
          <w:b/>
          <w:iCs/>
          <w:sz w:val="22"/>
          <w:szCs w:val="22"/>
        </w:rPr>
        <w:t xml:space="preserve">2.6 </w:t>
      </w:r>
      <w:r w:rsidR="008E3BDE" w:rsidRPr="00E06117">
        <w:rPr>
          <w:rFonts w:ascii="Arial" w:hAnsi="Arial" w:cs="Arial"/>
          <w:b/>
          <w:iCs/>
          <w:sz w:val="22"/>
          <w:szCs w:val="22"/>
        </w:rPr>
        <w:t>In vitro Anthelmintic Activity</w:t>
      </w:r>
    </w:p>
    <w:p w14:paraId="39640820" w14:textId="77777777" w:rsidR="008E3BDE" w:rsidRPr="00D8530A" w:rsidRDefault="008E3BDE" w:rsidP="00BD470F">
      <w:pPr>
        <w:spacing w:before="240" w:line="360" w:lineRule="auto"/>
        <w:jc w:val="both"/>
        <w:rPr>
          <w:rFonts w:ascii="Arial" w:hAnsi="Arial" w:cs="Arial"/>
        </w:rPr>
      </w:pPr>
      <w:r>
        <w:rPr>
          <w:rFonts w:ascii="Arial" w:hAnsi="Arial" w:cs="Arial"/>
        </w:rPr>
        <w:t xml:space="preserve">The anthelmintic assay method was adopted from Ikbal et al. </w:t>
      </w:r>
      <w:r>
        <w:rPr>
          <w:rFonts w:ascii="Arial" w:hAnsi="Arial" w:cs="Arial"/>
          <w:highlight w:val="yellow"/>
        </w:rPr>
        <w:t>(</w:t>
      </w:r>
      <w:r>
        <w:rPr>
          <w:rFonts w:ascii="Arial" w:hAnsi="Arial" w:cs="Arial"/>
        </w:rPr>
        <w:t>2020</w:t>
      </w:r>
      <w:r>
        <w:rPr>
          <w:rFonts w:ascii="Arial" w:hAnsi="Arial" w:cs="Arial"/>
          <w:highlight w:val="yellow"/>
        </w:rPr>
        <w:t>),</w:t>
      </w:r>
      <w:r>
        <w:rPr>
          <w:rFonts w:ascii="Arial" w:hAnsi="Arial" w:cs="Arial"/>
        </w:rPr>
        <w:t xml:space="preserve"> with slight modifications. Adult earthworms (</w:t>
      </w:r>
      <w:r>
        <w:rPr>
          <w:rFonts w:ascii="Arial" w:hAnsi="Arial" w:cs="Arial"/>
          <w:i/>
          <w:iCs/>
        </w:rPr>
        <w:t>E. fetida</w:t>
      </w:r>
      <w:r>
        <w:rPr>
          <w:rFonts w:ascii="Arial" w:hAnsi="Arial" w:cs="Arial"/>
        </w:rPr>
        <w:t>) brought from Konkan Krishi Vikas Pratishthan Nursery, Navi Mumbai, were used as model organisms for evaluatin</w:t>
      </w:r>
      <w:r>
        <w:rPr>
          <w:rFonts w:ascii="Arial" w:hAnsi="Arial" w:cs="Arial"/>
          <w:highlight w:val="yellow"/>
        </w:rPr>
        <w:t>g</w:t>
      </w:r>
      <w:r>
        <w:rPr>
          <w:rFonts w:ascii="Arial" w:hAnsi="Arial" w:cs="Arial"/>
        </w:rPr>
        <w:t xml:space="preserve"> </w:t>
      </w:r>
      <w:r>
        <w:rPr>
          <w:rFonts w:ascii="Arial" w:hAnsi="Arial" w:cs="Arial"/>
          <w:highlight w:val="yellow"/>
        </w:rPr>
        <w:t>the</w:t>
      </w:r>
      <w:r>
        <w:rPr>
          <w:rFonts w:ascii="Arial" w:hAnsi="Arial" w:cs="Arial"/>
        </w:rPr>
        <w:t xml:space="preserve"> anthelmintic activity of both the aqueous and ethanolic root extracts and the silver nanoparticles</w:t>
      </w:r>
      <w:r>
        <w:rPr>
          <w:rFonts w:ascii="Arial" w:hAnsi="Arial" w:cs="Arial"/>
          <w:highlight w:val="yellow"/>
        </w:rPr>
        <w:t xml:space="preserve"> synthesised</w:t>
      </w:r>
      <w:r>
        <w:rPr>
          <w:rFonts w:ascii="Arial" w:hAnsi="Arial" w:cs="Arial"/>
        </w:rPr>
        <w:t xml:space="preserve"> using the aforementioned extracts. Worms were washed with distilled water to remove faecal matter, mud, adherent dirt</w:t>
      </w:r>
      <w:r>
        <w:rPr>
          <w:rFonts w:ascii="Arial" w:hAnsi="Arial" w:cs="Arial"/>
          <w:highlight w:val="yellow"/>
        </w:rPr>
        <w:t>,</w:t>
      </w:r>
      <w:r>
        <w:rPr>
          <w:rFonts w:ascii="Arial" w:hAnsi="Arial" w:cs="Arial"/>
        </w:rPr>
        <w:t xml:space="preserve"> and other impurities. Healthy worms of approximately 4-6 cm in length were used for the assay. They were divided into 10 groups</w:t>
      </w:r>
      <w:r>
        <w:rPr>
          <w:rFonts w:ascii="Arial" w:hAnsi="Arial" w:cs="Arial"/>
          <w:highlight w:val="yellow"/>
        </w:rPr>
        <w:t>,</w:t>
      </w:r>
      <w:r>
        <w:rPr>
          <w:rFonts w:ascii="Arial" w:hAnsi="Arial" w:cs="Arial"/>
        </w:rPr>
        <w:t xml:space="preserve"> with 6 worms in each group (n=6). Each earthworm was kept in a separate Petri plate. Albendazole was used as the positive control and normal saline as </w:t>
      </w:r>
      <w:r>
        <w:rPr>
          <w:rFonts w:ascii="Arial" w:hAnsi="Arial" w:cs="Arial"/>
          <w:highlight w:val="yellow"/>
        </w:rPr>
        <w:t xml:space="preserve">the </w:t>
      </w:r>
      <w:r>
        <w:rPr>
          <w:rFonts w:ascii="Arial" w:hAnsi="Arial" w:cs="Arial"/>
        </w:rPr>
        <w:t>negative control. The experimental design was as follows</w:t>
      </w:r>
      <w:r>
        <w:rPr>
          <w:rFonts w:ascii="Arial" w:hAnsi="Arial" w:cs="Arial"/>
          <w:highlight w:val="yellow"/>
        </w:rPr>
        <w:t>:</w:t>
      </w:r>
    </w:p>
    <w:p w14:paraId="4D98940F" w14:textId="77777777" w:rsidR="00C33C8A" w:rsidRPr="00264237" w:rsidRDefault="00C33C8A" w:rsidP="00C33C8A">
      <w:pPr>
        <w:spacing w:before="240" w:line="360" w:lineRule="auto"/>
        <w:jc w:val="both"/>
        <w:rPr>
          <w:rFonts w:ascii="Arial" w:hAnsi="Arial" w:cs="Arial"/>
        </w:rPr>
      </w:pPr>
      <w:r>
        <w:rPr>
          <w:rFonts w:ascii="Arial" w:hAnsi="Arial" w:cs="Arial"/>
        </w:rPr>
        <w:t>Group 1</w:t>
      </w:r>
      <w:r>
        <w:rPr>
          <w:rFonts w:ascii="Arial" w:hAnsi="Arial" w:cs="Arial"/>
          <w:highlight w:val="yellow"/>
        </w:rPr>
        <w:t xml:space="preserve"> (n</w:t>
      </w:r>
      <w:r>
        <w:rPr>
          <w:rFonts w:ascii="Arial" w:hAnsi="Arial" w:cs="Arial"/>
        </w:rPr>
        <w:t>egative control</w:t>
      </w:r>
      <w:r>
        <w:rPr>
          <w:rFonts w:ascii="Arial" w:hAnsi="Arial" w:cs="Arial"/>
          <w:highlight w:val="yellow"/>
        </w:rPr>
        <w:t>)</w:t>
      </w:r>
      <w:r>
        <w:rPr>
          <w:rFonts w:ascii="Arial" w:hAnsi="Arial" w:cs="Arial"/>
        </w:rPr>
        <w:t xml:space="preserve"> was treated with 20 mL of normal saline. </w:t>
      </w:r>
    </w:p>
    <w:p w14:paraId="7174D485" w14:textId="77777777" w:rsidR="00C33C8A" w:rsidRPr="00264237" w:rsidRDefault="00C33C8A" w:rsidP="00C33C8A">
      <w:pPr>
        <w:spacing w:before="240" w:line="360" w:lineRule="auto"/>
        <w:jc w:val="both"/>
        <w:rPr>
          <w:rFonts w:ascii="Arial" w:hAnsi="Arial" w:cs="Arial"/>
        </w:rPr>
      </w:pPr>
      <w:r w:rsidRPr="00264237">
        <w:rPr>
          <w:rFonts w:ascii="Arial" w:hAnsi="Arial" w:cs="Arial"/>
        </w:rPr>
        <w:t>Group 2 was treated with 20 mL of aqueous root extract (100 μg/mL). Distilled water was used for dilution and preparation of all the working solutions.</w:t>
      </w:r>
    </w:p>
    <w:p w14:paraId="2A09E0B0" w14:textId="77777777" w:rsidR="00C33C8A" w:rsidRPr="00264237" w:rsidRDefault="00C33C8A" w:rsidP="00C33C8A">
      <w:pPr>
        <w:spacing w:before="240" w:line="360" w:lineRule="auto"/>
        <w:jc w:val="both"/>
        <w:rPr>
          <w:rFonts w:ascii="Arial" w:hAnsi="Arial" w:cs="Arial"/>
        </w:rPr>
      </w:pPr>
      <w:r w:rsidRPr="00264237">
        <w:rPr>
          <w:rFonts w:ascii="Arial" w:hAnsi="Arial" w:cs="Arial"/>
        </w:rPr>
        <w:t>Group 3 was treated with 20 mL of aqueous root extract (200 μg/mL).</w:t>
      </w:r>
    </w:p>
    <w:p w14:paraId="57FD88D7" w14:textId="77777777" w:rsidR="00C33C8A" w:rsidRPr="00264237" w:rsidRDefault="00C33C8A" w:rsidP="00C33C8A">
      <w:pPr>
        <w:spacing w:before="240" w:line="360" w:lineRule="auto"/>
        <w:jc w:val="both"/>
        <w:rPr>
          <w:rFonts w:ascii="Arial" w:hAnsi="Arial" w:cs="Arial"/>
        </w:rPr>
      </w:pPr>
      <w:r w:rsidRPr="00264237">
        <w:rPr>
          <w:rFonts w:ascii="Arial" w:hAnsi="Arial" w:cs="Arial"/>
        </w:rPr>
        <w:t>Group 4 was treated with 20 mL of ethanolic root extract (100 μg/mL).</w:t>
      </w:r>
    </w:p>
    <w:p w14:paraId="34779632" w14:textId="77777777" w:rsidR="00C33C8A" w:rsidRPr="00264237" w:rsidRDefault="00C33C8A" w:rsidP="00C33C8A">
      <w:pPr>
        <w:spacing w:before="240" w:line="360" w:lineRule="auto"/>
        <w:jc w:val="both"/>
        <w:rPr>
          <w:rFonts w:ascii="Arial" w:hAnsi="Arial" w:cs="Arial"/>
        </w:rPr>
      </w:pPr>
      <w:r w:rsidRPr="00264237">
        <w:rPr>
          <w:rFonts w:ascii="Arial" w:hAnsi="Arial" w:cs="Arial"/>
        </w:rPr>
        <w:lastRenderedPageBreak/>
        <w:t>Group 5 was treated with 20 mL of ethanolic root extract (200 μg/mL).</w:t>
      </w:r>
    </w:p>
    <w:p w14:paraId="6AC9B9D4" w14:textId="77777777" w:rsidR="00C33C8A" w:rsidRPr="00264237" w:rsidRDefault="00C33C8A" w:rsidP="00C33C8A">
      <w:pPr>
        <w:spacing w:before="240" w:line="360" w:lineRule="auto"/>
        <w:jc w:val="both"/>
        <w:rPr>
          <w:rFonts w:ascii="Arial" w:hAnsi="Arial" w:cs="Arial"/>
        </w:rPr>
      </w:pPr>
      <w:r>
        <w:rPr>
          <w:rFonts w:ascii="Arial" w:hAnsi="Arial" w:cs="Arial"/>
        </w:rPr>
        <w:t>Group 6</w:t>
      </w:r>
      <w:r>
        <w:rPr>
          <w:rFonts w:ascii="Arial" w:hAnsi="Arial" w:cs="Arial"/>
          <w:highlight w:val="yellow"/>
        </w:rPr>
        <w:t xml:space="preserve"> (p</w:t>
      </w:r>
      <w:r>
        <w:rPr>
          <w:rFonts w:ascii="Arial" w:hAnsi="Arial" w:cs="Arial"/>
        </w:rPr>
        <w:t>ositive control</w:t>
      </w:r>
      <w:r>
        <w:rPr>
          <w:rFonts w:ascii="Arial" w:hAnsi="Arial" w:cs="Arial"/>
          <w:highlight w:val="yellow"/>
        </w:rPr>
        <w:t>)</w:t>
      </w:r>
      <w:r>
        <w:rPr>
          <w:rFonts w:ascii="Arial" w:hAnsi="Arial" w:cs="Arial"/>
        </w:rPr>
        <w:t xml:space="preserve"> was treated with 20 mL of Albendazole (200 μg/mL) prepared in normal saline.</w:t>
      </w:r>
    </w:p>
    <w:p w14:paraId="57EAE6A9" w14:textId="77777777" w:rsidR="00C33C8A" w:rsidRPr="00264237" w:rsidRDefault="00C33C8A" w:rsidP="00C33C8A">
      <w:pPr>
        <w:spacing w:before="240" w:line="360" w:lineRule="auto"/>
        <w:jc w:val="both"/>
        <w:rPr>
          <w:rFonts w:ascii="Arial" w:hAnsi="Arial" w:cs="Arial"/>
        </w:rPr>
      </w:pPr>
      <w:r w:rsidRPr="00264237">
        <w:rPr>
          <w:rFonts w:ascii="Arial" w:hAnsi="Arial" w:cs="Arial"/>
        </w:rPr>
        <w:t>Group 7 was treated with 20 mL of colloidal solution of aqueous AgNPs (100 μg/mL).</w:t>
      </w:r>
    </w:p>
    <w:p w14:paraId="699FC9EB" w14:textId="77777777" w:rsidR="00C33C8A" w:rsidRPr="00264237" w:rsidRDefault="00C33C8A" w:rsidP="00C33C8A">
      <w:pPr>
        <w:spacing w:before="240" w:line="360" w:lineRule="auto"/>
        <w:jc w:val="both"/>
        <w:rPr>
          <w:rFonts w:ascii="Arial" w:hAnsi="Arial" w:cs="Arial"/>
        </w:rPr>
      </w:pPr>
      <w:r w:rsidRPr="00264237">
        <w:rPr>
          <w:rFonts w:ascii="Arial" w:hAnsi="Arial" w:cs="Arial"/>
        </w:rPr>
        <w:t>Group 8 was treated with 20 mL of colloidal solution of aqueous AgNPs (200 μg/mL).</w:t>
      </w:r>
    </w:p>
    <w:p w14:paraId="3212251F" w14:textId="77777777" w:rsidR="009A6F4C" w:rsidRDefault="00C33C8A" w:rsidP="00C33C8A">
      <w:pPr>
        <w:spacing w:before="240" w:line="360" w:lineRule="auto"/>
        <w:jc w:val="both"/>
        <w:rPr>
          <w:rFonts w:ascii="Arial" w:hAnsi="Arial" w:cs="Arial"/>
        </w:rPr>
      </w:pPr>
      <w:r w:rsidRPr="00264237">
        <w:rPr>
          <w:rFonts w:ascii="Arial" w:hAnsi="Arial" w:cs="Arial"/>
        </w:rPr>
        <w:t>Group 9 was treated with 20 mL of colloidal solution of ethanolic AgNPs (100 μg/mL).</w:t>
      </w:r>
    </w:p>
    <w:p w14:paraId="7D26ED8D" w14:textId="77777777" w:rsidR="00C33C8A" w:rsidRPr="00264237" w:rsidRDefault="00C33C8A" w:rsidP="00C33C8A">
      <w:pPr>
        <w:spacing w:before="240" w:line="360" w:lineRule="auto"/>
        <w:jc w:val="both"/>
        <w:rPr>
          <w:rFonts w:ascii="Arial" w:hAnsi="Arial" w:cs="Arial"/>
        </w:rPr>
      </w:pPr>
      <w:r>
        <w:rPr>
          <w:rFonts w:ascii="Arial" w:hAnsi="Arial" w:cs="Arial"/>
        </w:rPr>
        <w:t>Group 10 was treated with 20 mL of colloidal solution of ethanolic AgNPs (200 μg/mL).</w:t>
      </w:r>
    </w:p>
    <w:p w14:paraId="59742B83" w14:textId="77777777" w:rsidR="008E3BDE" w:rsidRDefault="008E3BDE" w:rsidP="00BD470F">
      <w:pPr>
        <w:spacing w:before="240" w:line="360" w:lineRule="auto"/>
        <w:jc w:val="both"/>
        <w:rPr>
          <w:rFonts w:ascii="Arial" w:hAnsi="Arial" w:cs="Arial"/>
        </w:rPr>
      </w:pPr>
      <w:r>
        <w:rPr>
          <w:rFonts w:ascii="Arial" w:hAnsi="Arial" w:cs="Arial"/>
        </w:rPr>
        <w:t>Treated earthworms were observed continuously for four hours to note the time</w:t>
      </w:r>
      <w:r>
        <w:rPr>
          <w:rFonts w:ascii="Arial" w:hAnsi="Arial" w:cs="Arial"/>
          <w:highlight w:val="yellow"/>
        </w:rPr>
        <w:t>s</w:t>
      </w:r>
      <w:r>
        <w:rPr>
          <w:rFonts w:ascii="Arial" w:hAnsi="Arial" w:cs="Arial"/>
        </w:rPr>
        <w:t xml:space="preserve"> of paralysis and death. Worms were </w:t>
      </w:r>
      <w:r>
        <w:rPr>
          <w:rFonts w:ascii="Arial" w:hAnsi="Arial" w:cs="Arial"/>
          <w:highlight w:val="yellow"/>
        </w:rPr>
        <w:t>con</w:t>
      </w:r>
      <w:r>
        <w:rPr>
          <w:rFonts w:ascii="Arial" w:hAnsi="Arial" w:cs="Arial"/>
        </w:rPr>
        <w:t>side</w:t>
      </w:r>
      <w:r>
        <w:rPr>
          <w:rFonts w:ascii="Arial" w:hAnsi="Arial" w:cs="Arial"/>
          <w:highlight w:val="yellow"/>
        </w:rPr>
        <w:t>red</w:t>
      </w:r>
      <w:r>
        <w:rPr>
          <w:rFonts w:ascii="Arial" w:hAnsi="Arial" w:cs="Arial"/>
        </w:rPr>
        <w:t xml:space="preserve"> paraly</w:t>
      </w:r>
      <w:r>
        <w:rPr>
          <w:rFonts w:ascii="Arial" w:hAnsi="Arial" w:cs="Arial"/>
          <w:highlight w:val="yellow"/>
        </w:rPr>
        <w:t>s</w:t>
      </w:r>
      <w:r>
        <w:rPr>
          <w:rFonts w:ascii="Arial" w:hAnsi="Arial" w:cs="Arial"/>
        </w:rPr>
        <w:t xml:space="preserve">ed when no </w:t>
      </w:r>
      <w:r>
        <w:rPr>
          <w:rFonts w:ascii="Arial" w:hAnsi="Arial" w:cs="Arial"/>
          <w:highlight w:val="yellow"/>
        </w:rPr>
        <w:t xml:space="preserve">movement </w:t>
      </w:r>
      <w:r>
        <w:rPr>
          <w:rFonts w:ascii="Arial" w:hAnsi="Arial" w:cs="Arial"/>
        </w:rPr>
        <w:t>or</w:t>
      </w:r>
      <w:r>
        <w:rPr>
          <w:rFonts w:ascii="Arial" w:hAnsi="Arial" w:cs="Arial"/>
          <w:highlight w:val="yellow"/>
        </w:rPr>
        <w:t xml:space="preserve"> only</w:t>
      </w:r>
      <w:r>
        <w:rPr>
          <w:rFonts w:ascii="Arial" w:hAnsi="Arial" w:cs="Arial"/>
        </w:rPr>
        <w:t xml:space="preserve"> slight movement was observed after shaking. Death was ascertained when worms showed no movement at all after vigorous shaking and slight pricking with </w:t>
      </w:r>
      <w:r>
        <w:rPr>
          <w:rFonts w:ascii="Arial" w:hAnsi="Arial" w:cs="Arial"/>
          <w:highlight w:val="yellow"/>
        </w:rPr>
        <w:t xml:space="preserve">a </w:t>
      </w:r>
      <w:r>
        <w:rPr>
          <w:rFonts w:ascii="Arial" w:hAnsi="Arial" w:cs="Arial"/>
        </w:rPr>
        <w:t>needle.</w:t>
      </w:r>
    </w:p>
    <w:p w14:paraId="58B63301" w14:textId="77777777" w:rsidR="00C33C8A" w:rsidRPr="00264237" w:rsidRDefault="00A72966" w:rsidP="00C33C8A">
      <w:pPr>
        <w:spacing w:line="360" w:lineRule="auto"/>
        <w:jc w:val="both"/>
        <w:rPr>
          <w:rFonts w:ascii="Arial" w:hAnsi="Arial" w:cs="Arial"/>
        </w:rPr>
      </w:pPr>
      <w:r>
        <w:rPr>
          <w:rFonts w:ascii="Arial" w:hAnsi="Arial" w:cs="Arial"/>
        </w:rPr>
        <w:t>Statistical analysis - Results are expressed as mean ± SEM (n = 6 worms per group). Groups in which no worm was paraly</w:t>
      </w:r>
      <w:r>
        <w:rPr>
          <w:rFonts w:ascii="Arial" w:hAnsi="Arial" w:cs="Arial"/>
          <w:highlight w:val="yellow"/>
        </w:rPr>
        <w:t>s</w:t>
      </w:r>
      <w:r>
        <w:rPr>
          <w:rFonts w:ascii="Arial" w:hAnsi="Arial" w:cs="Arial"/>
        </w:rPr>
        <w:t>ed or died within the 240 min observation window (saline and all four crude extract groups) yielded right-censored values (&gt; 240 min) and were reported descriptively rather than analy</w:t>
      </w:r>
      <w:r>
        <w:rPr>
          <w:rFonts w:ascii="Arial" w:hAnsi="Arial" w:cs="Arial"/>
          <w:highlight w:val="yellow"/>
        </w:rPr>
        <w:t>s</w:t>
      </w:r>
      <w:r>
        <w:rPr>
          <w:rFonts w:ascii="Arial" w:hAnsi="Arial" w:cs="Arial"/>
        </w:rPr>
        <w:t>ed. Comparisons were therefore restricted to groups with uncensored data: five for time to paralysis and four for time to death, a</w:t>
      </w:r>
      <w:r>
        <w:rPr>
          <w:rFonts w:ascii="Arial" w:hAnsi="Arial" w:cs="Arial"/>
          <w:highlight w:val="yellow"/>
        </w:rPr>
        <w:t>s a</w:t>
      </w:r>
      <w:r>
        <w:rPr>
          <w:rFonts w:ascii="Arial" w:hAnsi="Arial" w:cs="Arial"/>
        </w:rPr>
        <w:t>lbendazole produced no deaths within 240 min. Normality was determined by the Shapiro–Wilk test (</w:t>
      </w:r>
      <w:r>
        <w:rPr>
          <w:rFonts w:ascii="Arial" w:hAnsi="Arial" w:cs="Arial"/>
          <w:i/>
          <w:iCs/>
        </w:rPr>
        <w:t>P</w:t>
      </w:r>
      <w:r>
        <w:rPr>
          <w:rFonts w:ascii="Arial" w:hAnsi="Arial" w:cs="Arial"/>
        </w:rPr>
        <w:t xml:space="preserve"> &gt; .05 for all groups); Levene's test indicated unequal variances for both endpoints (</w:t>
      </w:r>
      <w:r>
        <w:rPr>
          <w:rFonts w:ascii="Arial" w:hAnsi="Arial" w:cs="Arial"/>
          <w:i/>
          <w:iCs/>
        </w:rPr>
        <w:t>P</w:t>
      </w:r>
      <w:r>
        <w:rPr>
          <w:rFonts w:ascii="Arial" w:hAnsi="Arial" w:cs="Arial"/>
        </w:rPr>
        <w:t xml:space="preserve"> &lt; .05). Group means were consequently compared by Welch's heteroscedastic one-way ANOVA followed by the Games–Howell post-hoc test, with effect size expressed as eta-squared (η²). Two-tailed </w:t>
      </w:r>
      <w:r>
        <w:rPr>
          <w:rFonts w:ascii="Arial" w:hAnsi="Arial" w:cs="Arial"/>
          <w:i/>
          <w:iCs/>
        </w:rPr>
        <w:t>P</w:t>
      </w:r>
      <w:r>
        <w:rPr>
          <w:rFonts w:ascii="Arial" w:hAnsi="Arial" w:cs="Arial"/>
        </w:rPr>
        <w:t xml:space="preserve"> &lt; .05 was considered significant. Analyses were performed in R version 4.3.3.</w:t>
      </w:r>
    </w:p>
    <w:p w14:paraId="60CF9536" w14:textId="77777777" w:rsidR="00790ADA" w:rsidRPr="00D8530A" w:rsidRDefault="00790ADA" w:rsidP="00441B6F">
      <w:pPr>
        <w:pStyle w:val="Body"/>
        <w:spacing w:after="0"/>
        <w:rPr>
          <w:rFonts w:ascii="Arial" w:hAnsi="Arial" w:cs="Arial"/>
        </w:rPr>
      </w:pPr>
    </w:p>
    <w:p w14:paraId="169C2F62"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0D27243" w14:textId="77777777" w:rsidR="00790ADA" w:rsidRPr="00FB3A86" w:rsidRDefault="00790ADA" w:rsidP="00441B6F">
      <w:pPr>
        <w:pStyle w:val="Head1"/>
        <w:spacing w:after="0"/>
        <w:jc w:val="both"/>
        <w:rPr>
          <w:rFonts w:ascii="Arial" w:hAnsi="Arial" w:cs="Arial"/>
        </w:rPr>
      </w:pPr>
    </w:p>
    <w:p w14:paraId="24761589" w14:textId="77777777" w:rsidR="00DB211B" w:rsidRPr="00DB14B7" w:rsidRDefault="00DB14B7" w:rsidP="00DB211B">
      <w:pPr>
        <w:spacing w:before="240" w:after="240" w:line="360" w:lineRule="auto"/>
        <w:rPr>
          <w:rFonts w:ascii="Arial" w:hAnsi="Arial" w:cs="Arial"/>
          <w:b/>
          <w:sz w:val="22"/>
          <w:szCs w:val="22"/>
        </w:rPr>
      </w:pPr>
      <w:r>
        <w:rPr>
          <w:rFonts w:ascii="Arial" w:hAnsi="Arial" w:cs="Arial"/>
          <w:b/>
          <w:sz w:val="22"/>
          <w:szCs w:val="22"/>
        </w:rPr>
        <w:t xml:space="preserve">3.1 </w:t>
      </w:r>
      <w:r w:rsidR="00DB211B" w:rsidRPr="00DB14B7">
        <w:rPr>
          <w:rFonts w:ascii="Arial" w:hAnsi="Arial" w:cs="Arial"/>
          <w:b/>
          <w:sz w:val="22"/>
          <w:szCs w:val="22"/>
        </w:rPr>
        <w:t>Qualitative Phytochemical Analysis</w:t>
      </w:r>
    </w:p>
    <w:p w14:paraId="6124EE27" w14:textId="77777777" w:rsidR="00DB211B" w:rsidRPr="00DB211B" w:rsidRDefault="00DB211B" w:rsidP="00446376">
      <w:pPr>
        <w:spacing w:before="240" w:after="240" w:line="360" w:lineRule="auto"/>
        <w:jc w:val="both"/>
        <w:rPr>
          <w:rFonts w:ascii="Arial" w:hAnsi="Arial" w:cs="Arial"/>
        </w:rPr>
      </w:pPr>
      <w:r>
        <w:rPr>
          <w:rFonts w:ascii="Arial" w:hAnsi="Arial" w:cs="Arial"/>
        </w:rPr>
        <w:t>The phytochemical composition of both root extracts (aqueous and ethanolic) of</w:t>
      </w:r>
      <w:r>
        <w:rPr>
          <w:rFonts w:ascii="Arial" w:hAnsi="Arial" w:cs="Arial"/>
          <w:i/>
        </w:rPr>
        <w:t xml:space="preserve"> </w:t>
      </w:r>
      <w:r>
        <w:rPr>
          <w:rFonts w:ascii="Arial" w:hAnsi="Arial" w:cs="Arial"/>
          <w:i/>
          <w:iCs/>
        </w:rPr>
        <w:t>C. scariosus</w:t>
      </w:r>
      <w:r>
        <w:rPr>
          <w:rFonts w:ascii="Arial" w:hAnsi="Arial" w:cs="Arial"/>
        </w:rPr>
        <w:t xml:space="preserve"> was evaluated to check for the presence of functional biometabolites. These secondary metabolites play a crucial role in nanoparticle formation by acting as natural reducing, chelating, and capping agents</w:t>
      </w:r>
      <w:r>
        <w:rPr>
          <w:rFonts w:ascii="Arial" w:hAnsi="Arial" w:cs="Arial"/>
          <w:highlight w:val="yellow"/>
        </w:rPr>
        <w:t>; therefore</w:t>
      </w:r>
      <w:r>
        <w:rPr>
          <w:rFonts w:ascii="Arial" w:hAnsi="Arial" w:cs="Arial"/>
        </w:rPr>
        <w:t xml:space="preserve">, preliminary phytochemical screening is essential for evaluating the pharmacological constituents (Villagrán et al., 2024). </w:t>
      </w:r>
      <w:r>
        <w:rPr>
          <w:rFonts w:ascii="Arial" w:hAnsi="Arial" w:cs="Arial"/>
          <w:iCs/>
        </w:rPr>
        <w:t xml:space="preserve">The aforementioned </w:t>
      </w:r>
      <w:r>
        <w:rPr>
          <w:rFonts w:ascii="Arial" w:hAnsi="Arial" w:cs="Arial"/>
          <w:iCs/>
        </w:rPr>
        <w:lastRenderedPageBreak/>
        <w:t>solvents were selected based on their polarity range, allowing maximum extraction of both polar and semi-polar phytochemical compounds (</w:t>
      </w:r>
      <w:r>
        <w:rPr>
          <w:rFonts w:ascii="Arial" w:hAnsi="Arial" w:cs="Arial"/>
        </w:rPr>
        <w:t xml:space="preserve">Kumar et al., </w:t>
      </w:r>
      <w:r>
        <w:rPr>
          <w:rFonts w:ascii="Arial" w:hAnsi="Arial" w:cs="Arial"/>
          <w:iCs/>
        </w:rPr>
        <w:t>2023).</w:t>
      </w:r>
    </w:p>
    <w:p w14:paraId="60D13B26" w14:textId="77777777" w:rsidR="00DB211B" w:rsidRPr="00253514" w:rsidRDefault="00DB211B" w:rsidP="00446376">
      <w:pPr>
        <w:spacing w:before="240" w:after="240" w:line="360" w:lineRule="auto"/>
        <w:jc w:val="both"/>
        <w:rPr>
          <w:rFonts w:ascii="Times New Roman" w:hAnsi="Times New Roman"/>
          <w:sz w:val="24"/>
          <w:szCs w:val="24"/>
        </w:rPr>
      </w:pPr>
      <w:r>
        <w:rPr>
          <w:rFonts w:ascii="Arial" w:hAnsi="Arial" w:cs="Arial"/>
        </w:rPr>
        <w:t>As depicted in Table 1, tannins, saponins, terpenoids, steroids, and phenols were present in the aqueous extract of</w:t>
      </w:r>
      <w:r>
        <w:rPr>
          <w:rFonts w:ascii="Arial" w:hAnsi="Arial" w:cs="Arial"/>
          <w:i/>
        </w:rPr>
        <w:t xml:space="preserve"> </w:t>
      </w:r>
      <w:r>
        <w:rPr>
          <w:rFonts w:ascii="Arial" w:hAnsi="Arial" w:cs="Arial"/>
          <w:i/>
          <w:iCs/>
        </w:rPr>
        <w:t>C. scariosus</w:t>
      </w:r>
      <w:r>
        <w:rPr>
          <w:rFonts w:ascii="Arial" w:hAnsi="Arial" w:cs="Arial"/>
        </w:rPr>
        <w:t xml:space="preserve">, while alkaloids and flavonoids were absent. Conversely, the ethanolic extract showed the presence of alkaloids, tannins, terpenoids, steroids, and phenols, with </w:t>
      </w:r>
      <w:r>
        <w:rPr>
          <w:rFonts w:ascii="Arial" w:hAnsi="Arial" w:cs="Arial"/>
          <w:highlight w:val="yellow"/>
        </w:rPr>
        <w:t xml:space="preserve">the </w:t>
      </w:r>
      <w:r>
        <w:rPr>
          <w:rFonts w:ascii="Arial" w:hAnsi="Arial" w:cs="Arial"/>
        </w:rPr>
        <w:t xml:space="preserve">absence of flavonoids and saponins. The phytochemical profile indicates that </w:t>
      </w:r>
      <w:r>
        <w:rPr>
          <w:rFonts w:ascii="Arial" w:hAnsi="Arial" w:cs="Arial"/>
          <w:i/>
          <w:iCs/>
        </w:rPr>
        <w:t>C. scariosus</w:t>
      </w:r>
      <w:r>
        <w:rPr>
          <w:rFonts w:ascii="Arial" w:hAnsi="Arial" w:cs="Arial"/>
        </w:rPr>
        <w:t xml:space="preserve"> possesses significant bioactive potential. These findings align with those reported </w:t>
      </w:r>
      <w:r>
        <w:rPr>
          <w:rFonts w:ascii="Arial" w:hAnsi="Arial" w:cs="Arial"/>
          <w:highlight w:val="yellow"/>
        </w:rPr>
        <w:t>for</w:t>
      </w:r>
      <w:r>
        <w:rPr>
          <w:rFonts w:ascii="Arial" w:hAnsi="Arial" w:cs="Arial"/>
        </w:rPr>
        <w:t xml:space="preserve"> aqueous and ethanolic extracts of </w:t>
      </w:r>
      <w:r>
        <w:rPr>
          <w:rFonts w:ascii="Arial" w:hAnsi="Arial" w:cs="Arial"/>
          <w:i/>
          <w:iCs/>
        </w:rPr>
        <w:t xml:space="preserve">Cyperus </w:t>
      </w:r>
      <w:r>
        <w:rPr>
          <w:rFonts w:ascii="Arial" w:hAnsi="Arial" w:cs="Arial"/>
        </w:rPr>
        <w:t xml:space="preserve">species in previous studies (Ngoc </w:t>
      </w:r>
      <w:r>
        <w:rPr>
          <w:rFonts w:ascii="Arial" w:hAnsi="Arial" w:cs="Arial"/>
          <w:highlight w:val="yellow"/>
        </w:rPr>
        <w:t>&amp;</w:t>
      </w:r>
      <w:r>
        <w:rPr>
          <w:rFonts w:ascii="Arial" w:hAnsi="Arial" w:cs="Arial"/>
        </w:rPr>
        <w:t xml:space="preserve"> </w:t>
      </w:r>
      <w:r>
        <w:rPr>
          <w:rFonts w:ascii="Arial" w:hAnsi="Arial" w:cs="Arial"/>
          <w:highlight w:val="yellow"/>
        </w:rPr>
        <w:t>Minh</w:t>
      </w:r>
      <w:r>
        <w:rPr>
          <w:rFonts w:ascii="Arial" w:hAnsi="Arial" w:cs="Arial"/>
        </w:rPr>
        <w:t>, 2021</w:t>
      </w:r>
      <w:r>
        <w:rPr>
          <w:rFonts w:ascii="Arial" w:hAnsi="Arial" w:cs="Arial"/>
          <w:highlight w:val="yellow"/>
        </w:rPr>
        <w:t>;</w:t>
      </w:r>
      <w:r>
        <w:rPr>
          <w:rFonts w:ascii="Arial" w:hAnsi="Arial" w:cs="Arial"/>
        </w:rPr>
        <w:t xml:space="preserve"> Gomathi </w:t>
      </w:r>
      <w:r>
        <w:rPr>
          <w:rFonts w:ascii="Arial" w:hAnsi="Arial" w:cs="Arial"/>
          <w:highlight w:val="yellow"/>
        </w:rPr>
        <w:t>&amp; Man</w:t>
      </w:r>
      <w:r>
        <w:rPr>
          <w:rFonts w:ascii="Arial" w:hAnsi="Arial" w:cs="Arial"/>
        </w:rPr>
        <w:t>e</w:t>
      </w:r>
      <w:r>
        <w:rPr>
          <w:rFonts w:ascii="Arial" w:hAnsi="Arial" w:cs="Arial"/>
          <w:highlight w:val="yellow"/>
        </w:rPr>
        <w:t>emeg</w:t>
      </w:r>
      <w:r>
        <w:rPr>
          <w:rFonts w:ascii="Arial" w:hAnsi="Arial" w:cs="Arial"/>
        </w:rPr>
        <w:t>al</w:t>
      </w:r>
      <w:r>
        <w:rPr>
          <w:rFonts w:ascii="Arial" w:hAnsi="Arial" w:cs="Arial"/>
          <w:highlight w:val="yellow"/>
        </w:rPr>
        <w:t>ai</w:t>
      </w:r>
      <w:r>
        <w:rPr>
          <w:rFonts w:ascii="Arial" w:hAnsi="Arial" w:cs="Arial"/>
        </w:rPr>
        <w:t>, 2023).</w:t>
      </w:r>
    </w:p>
    <w:bookmarkEnd w:id="0"/>
    <w:p w14:paraId="55D71564" w14:textId="77777777" w:rsidR="00DB211B" w:rsidRPr="00DB211B" w:rsidRDefault="00DB211B" w:rsidP="00DB211B">
      <w:pPr>
        <w:spacing w:before="240" w:after="240" w:line="360" w:lineRule="auto"/>
        <w:rPr>
          <w:rFonts w:ascii="Arial" w:hAnsi="Arial" w:cs="Arial"/>
          <w:i/>
        </w:rPr>
      </w:pPr>
      <w:r w:rsidRPr="00DB211B">
        <w:rPr>
          <w:rFonts w:ascii="Arial" w:hAnsi="Arial" w:cs="Arial"/>
          <w:b/>
        </w:rPr>
        <w:t>Table 1:</w:t>
      </w:r>
      <w:r w:rsidRPr="00DB211B">
        <w:rPr>
          <w:rFonts w:ascii="Arial" w:hAnsi="Arial" w:cs="Arial"/>
        </w:rPr>
        <w:t xml:space="preserve"> </w:t>
      </w:r>
      <w:r w:rsidRPr="00DB211B">
        <w:rPr>
          <w:rFonts w:ascii="Arial" w:hAnsi="Arial" w:cs="Arial"/>
          <w:b/>
          <w:bCs/>
        </w:rPr>
        <w:t xml:space="preserve">Qualitative phytochemical screening of aqueous and ethanolic root extracts of </w:t>
      </w:r>
      <w:r>
        <w:rPr>
          <w:rFonts w:ascii="Arial" w:hAnsi="Arial" w:cs="Arial"/>
          <w:b/>
          <w:bCs/>
          <w:i/>
          <w:iCs/>
        </w:rPr>
        <w:t>C. scariosus</w:t>
      </w:r>
    </w:p>
    <w:tbl>
      <w:tblPr>
        <w:tblStyle w:val="PlainTable2"/>
        <w:tblW w:w="10206" w:type="dxa"/>
        <w:tblInd w:w="-540" w:type="dxa"/>
        <w:tblLayout w:type="fixed"/>
        <w:tblLook w:val="0400" w:firstRow="0" w:lastRow="0" w:firstColumn="0" w:lastColumn="0" w:noHBand="0" w:noVBand="1"/>
      </w:tblPr>
      <w:tblGrid>
        <w:gridCol w:w="993"/>
        <w:gridCol w:w="1275"/>
        <w:gridCol w:w="1134"/>
        <w:gridCol w:w="993"/>
        <w:gridCol w:w="1275"/>
        <w:gridCol w:w="1134"/>
        <w:gridCol w:w="1276"/>
        <w:gridCol w:w="1134"/>
        <w:gridCol w:w="992"/>
      </w:tblGrid>
      <w:tr w:rsidR="00DB211B" w:rsidRPr="00DB211B" w14:paraId="7F66F363" w14:textId="77777777" w:rsidTr="004C1F2D">
        <w:trPr>
          <w:cnfStyle w:val="000000100000" w:firstRow="0" w:lastRow="0" w:firstColumn="0" w:lastColumn="0" w:oddVBand="0" w:evenVBand="0" w:oddHBand="1" w:evenHBand="0" w:firstRowFirstColumn="0" w:firstRowLastColumn="0" w:lastRowFirstColumn="0" w:lastRowLastColumn="0"/>
          <w:trHeight w:val="591"/>
        </w:trPr>
        <w:tc>
          <w:tcPr>
            <w:tcW w:w="993" w:type="dxa"/>
            <w:vMerge w:val="restart"/>
            <w:tcBorders>
              <w:top w:val="single" w:sz="12" w:space="0" w:color="auto"/>
            </w:tcBorders>
            <w:vAlign w:val="center"/>
          </w:tcPr>
          <w:p w14:paraId="375C8F72" w14:textId="77777777" w:rsidR="00DB211B" w:rsidRPr="00897087" w:rsidRDefault="00DB211B" w:rsidP="004C1F2D">
            <w:pPr>
              <w:jc w:val="center"/>
              <w:rPr>
                <w:rFonts w:ascii="Arial" w:eastAsia="Times New Roman" w:hAnsi="Arial"/>
                <w:b/>
                <w:bCs/>
                <w:sz w:val="20"/>
                <w:szCs w:val="20"/>
              </w:rPr>
            </w:pPr>
          </w:p>
          <w:p w14:paraId="74F7D463" w14:textId="77777777" w:rsidR="00DB211B" w:rsidRPr="00897087" w:rsidRDefault="00DB211B" w:rsidP="004C1F2D">
            <w:pPr>
              <w:jc w:val="center"/>
              <w:rPr>
                <w:rFonts w:ascii="Arial" w:eastAsia="Times New Roman" w:hAnsi="Arial"/>
                <w:b/>
                <w:bCs/>
                <w:sz w:val="20"/>
                <w:szCs w:val="20"/>
              </w:rPr>
            </w:pPr>
            <w:r w:rsidRPr="00897087">
              <w:rPr>
                <w:rFonts w:ascii="Arial" w:eastAsia="Times New Roman" w:hAnsi="Arial"/>
                <w:b/>
                <w:bCs/>
                <w:sz w:val="20"/>
                <w:szCs w:val="20"/>
              </w:rPr>
              <w:t>Serial no.</w:t>
            </w:r>
          </w:p>
        </w:tc>
        <w:tc>
          <w:tcPr>
            <w:tcW w:w="1275" w:type="dxa"/>
            <w:vMerge w:val="restart"/>
            <w:tcBorders>
              <w:top w:val="single" w:sz="12" w:space="0" w:color="auto"/>
            </w:tcBorders>
            <w:vAlign w:val="center"/>
          </w:tcPr>
          <w:p w14:paraId="629BE135" w14:textId="77777777" w:rsidR="00DB211B" w:rsidRPr="00897087" w:rsidRDefault="00DB211B" w:rsidP="004C1F2D">
            <w:pPr>
              <w:jc w:val="center"/>
              <w:rPr>
                <w:rFonts w:ascii="Arial" w:eastAsia="Times New Roman" w:hAnsi="Arial"/>
                <w:b/>
                <w:bCs/>
                <w:sz w:val="20"/>
                <w:szCs w:val="20"/>
              </w:rPr>
            </w:pPr>
          </w:p>
          <w:p w14:paraId="111BA937" w14:textId="77777777" w:rsidR="00DB211B" w:rsidRPr="00897087" w:rsidRDefault="00DB211B" w:rsidP="004C1F2D">
            <w:pPr>
              <w:jc w:val="center"/>
              <w:rPr>
                <w:rFonts w:ascii="Arial" w:eastAsia="Times New Roman" w:hAnsi="Arial"/>
                <w:b/>
                <w:bCs/>
                <w:sz w:val="20"/>
                <w:szCs w:val="20"/>
              </w:rPr>
            </w:pPr>
            <w:r w:rsidRPr="00897087">
              <w:rPr>
                <w:rFonts w:ascii="Arial" w:eastAsia="Times New Roman" w:hAnsi="Arial"/>
                <w:b/>
                <w:bCs/>
                <w:sz w:val="20"/>
                <w:szCs w:val="20"/>
              </w:rPr>
              <w:t>Extract</w:t>
            </w:r>
          </w:p>
        </w:tc>
        <w:tc>
          <w:tcPr>
            <w:tcW w:w="7938" w:type="dxa"/>
            <w:gridSpan w:val="7"/>
            <w:tcBorders>
              <w:top w:val="single" w:sz="12" w:space="0" w:color="auto"/>
            </w:tcBorders>
            <w:vAlign w:val="center"/>
          </w:tcPr>
          <w:p w14:paraId="6D37593A" w14:textId="77777777" w:rsidR="00DB211B" w:rsidRPr="00897087" w:rsidRDefault="00DB211B" w:rsidP="004C1F2D">
            <w:pPr>
              <w:jc w:val="center"/>
              <w:rPr>
                <w:rFonts w:ascii="Arial" w:eastAsia="Times New Roman" w:hAnsi="Arial"/>
                <w:b/>
                <w:bCs/>
                <w:sz w:val="20"/>
                <w:szCs w:val="20"/>
              </w:rPr>
            </w:pPr>
            <w:r w:rsidRPr="00897087">
              <w:rPr>
                <w:rFonts w:ascii="Arial" w:eastAsia="Times New Roman" w:hAnsi="Arial"/>
                <w:b/>
                <w:bCs/>
                <w:sz w:val="20"/>
                <w:szCs w:val="20"/>
              </w:rPr>
              <w:t>Phytochemicals</w:t>
            </w:r>
          </w:p>
        </w:tc>
      </w:tr>
      <w:tr w:rsidR="00DB211B" w:rsidRPr="00DB211B" w14:paraId="1746FEDC" w14:textId="77777777" w:rsidTr="004C1F2D">
        <w:trPr>
          <w:trHeight w:val="321"/>
        </w:trPr>
        <w:tc>
          <w:tcPr>
            <w:tcW w:w="993" w:type="dxa"/>
            <w:vMerge/>
            <w:tcBorders>
              <w:bottom w:val="single" w:sz="12" w:space="0" w:color="auto"/>
            </w:tcBorders>
            <w:vAlign w:val="center"/>
          </w:tcPr>
          <w:p w14:paraId="2B941DC5" w14:textId="77777777" w:rsidR="00DB211B" w:rsidRPr="00DB211B" w:rsidRDefault="00DB211B" w:rsidP="004C1F2D">
            <w:pPr>
              <w:widowControl w:val="0"/>
              <w:pBdr>
                <w:top w:val="nil"/>
                <w:left w:val="nil"/>
                <w:bottom w:val="nil"/>
                <w:right w:val="nil"/>
                <w:between w:val="nil"/>
              </w:pBdr>
              <w:jc w:val="center"/>
              <w:rPr>
                <w:rFonts w:ascii="Arial" w:eastAsia="Times New Roman" w:hAnsi="Arial"/>
                <w:sz w:val="20"/>
                <w:szCs w:val="20"/>
              </w:rPr>
            </w:pPr>
          </w:p>
        </w:tc>
        <w:tc>
          <w:tcPr>
            <w:tcW w:w="1275" w:type="dxa"/>
            <w:vMerge/>
            <w:tcBorders>
              <w:bottom w:val="single" w:sz="12" w:space="0" w:color="auto"/>
            </w:tcBorders>
            <w:vAlign w:val="center"/>
          </w:tcPr>
          <w:p w14:paraId="6C46CB55" w14:textId="77777777" w:rsidR="00DB211B" w:rsidRPr="00DB211B" w:rsidRDefault="00DB211B" w:rsidP="004C1F2D">
            <w:pPr>
              <w:widowControl w:val="0"/>
              <w:pBdr>
                <w:top w:val="nil"/>
                <w:left w:val="nil"/>
                <w:bottom w:val="nil"/>
                <w:right w:val="nil"/>
                <w:between w:val="nil"/>
              </w:pBdr>
              <w:jc w:val="center"/>
              <w:rPr>
                <w:rFonts w:ascii="Arial" w:eastAsia="Times New Roman" w:hAnsi="Arial"/>
                <w:sz w:val="20"/>
                <w:szCs w:val="20"/>
              </w:rPr>
            </w:pPr>
          </w:p>
        </w:tc>
        <w:tc>
          <w:tcPr>
            <w:tcW w:w="1134" w:type="dxa"/>
            <w:tcBorders>
              <w:top w:val="single" w:sz="12" w:space="0" w:color="auto"/>
              <w:bottom w:val="single" w:sz="12" w:space="0" w:color="auto"/>
            </w:tcBorders>
            <w:vAlign w:val="center"/>
          </w:tcPr>
          <w:p w14:paraId="72F361A1"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Alkaloids</w:t>
            </w:r>
          </w:p>
        </w:tc>
        <w:tc>
          <w:tcPr>
            <w:tcW w:w="993" w:type="dxa"/>
            <w:tcBorders>
              <w:top w:val="single" w:sz="12" w:space="0" w:color="auto"/>
              <w:bottom w:val="single" w:sz="12" w:space="0" w:color="auto"/>
            </w:tcBorders>
            <w:vAlign w:val="center"/>
          </w:tcPr>
          <w:p w14:paraId="7DF55119"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Tannins</w:t>
            </w:r>
          </w:p>
        </w:tc>
        <w:tc>
          <w:tcPr>
            <w:tcW w:w="1275" w:type="dxa"/>
            <w:tcBorders>
              <w:top w:val="single" w:sz="12" w:space="0" w:color="auto"/>
              <w:bottom w:val="single" w:sz="12" w:space="0" w:color="auto"/>
            </w:tcBorders>
            <w:vAlign w:val="center"/>
          </w:tcPr>
          <w:p w14:paraId="473536C6"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Flavonoids</w:t>
            </w:r>
          </w:p>
        </w:tc>
        <w:tc>
          <w:tcPr>
            <w:tcW w:w="1134" w:type="dxa"/>
            <w:tcBorders>
              <w:top w:val="single" w:sz="12" w:space="0" w:color="auto"/>
              <w:bottom w:val="single" w:sz="12" w:space="0" w:color="auto"/>
            </w:tcBorders>
            <w:vAlign w:val="center"/>
          </w:tcPr>
          <w:p w14:paraId="5F832C29"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Saponins</w:t>
            </w:r>
          </w:p>
        </w:tc>
        <w:tc>
          <w:tcPr>
            <w:tcW w:w="1276" w:type="dxa"/>
            <w:tcBorders>
              <w:top w:val="single" w:sz="12" w:space="0" w:color="auto"/>
              <w:bottom w:val="single" w:sz="12" w:space="0" w:color="auto"/>
            </w:tcBorders>
            <w:vAlign w:val="center"/>
          </w:tcPr>
          <w:p w14:paraId="4641FFC1"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Terpenoids</w:t>
            </w:r>
          </w:p>
        </w:tc>
        <w:tc>
          <w:tcPr>
            <w:tcW w:w="1134" w:type="dxa"/>
            <w:tcBorders>
              <w:top w:val="single" w:sz="12" w:space="0" w:color="auto"/>
              <w:bottom w:val="single" w:sz="12" w:space="0" w:color="auto"/>
            </w:tcBorders>
            <w:vAlign w:val="center"/>
          </w:tcPr>
          <w:p w14:paraId="6CFD674D"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Steroids</w:t>
            </w:r>
          </w:p>
        </w:tc>
        <w:tc>
          <w:tcPr>
            <w:tcW w:w="992" w:type="dxa"/>
            <w:tcBorders>
              <w:top w:val="single" w:sz="12" w:space="0" w:color="auto"/>
              <w:bottom w:val="single" w:sz="12" w:space="0" w:color="auto"/>
            </w:tcBorders>
            <w:vAlign w:val="center"/>
          </w:tcPr>
          <w:p w14:paraId="5070ED28"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Phenols</w:t>
            </w:r>
          </w:p>
        </w:tc>
      </w:tr>
      <w:tr w:rsidR="00DB211B" w:rsidRPr="00DB211B" w14:paraId="51C24FE3" w14:textId="77777777" w:rsidTr="004C1F2D">
        <w:trPr>
          <w:cnfStyle w:val="000000100000" w:firstRow="0" w:lastRow="0" w:firstColumn="0" w:lastColumn="0" w:oddVBand="0" w:evenVBand="0" w:oddHBand="1" w:evenHBand="0" w:firstRowFirstColumn="0" w:firstRowLastColumn="0" w:lastRowFirstColumn="0" w:lastRowLastColumn="0"/>
          <w:trHeight w:val="555"/>
        </w:trPr>
        <w:tc>
          <w:tcPr>
            <w:tcW w:w="993" w:type="dxa"/>
            <w:tcBorders>
              <w:top w:val="single" w:sz="12" w:space="0" w:color="auto"/>
              <w:bottom w:val="single" w:sz="12" w:space="0" w:color="auto"/>
            </w:tcBorders>
            <w:vAlign w:val="center"/>
          </w:tcPr>
          <w:p w14:paraId="19AC03E8"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1.</w:t>
            </w:r>
          </w:p>
        </w:tc>
        <w:tc>
          <w:tcPr>
            <w:tcW w:w="1275" w:type="dxa"/>
            <w:tcBorders>
              <w:top w:val="single" w:sz="12" w:space="0" w:color="auto"/>
              <w:bottom w:val="single" w:sz="12" w:space="0" w:color="auto"/>
            </w:tcBorders>
            <w:vAlign w:val="center"/>
          </w:tcPr>
          <w:p w14:paraId="771EA7C8"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Aqueous root extract</w:t>
            </w:r>
          </w:p>
        </w:tc>
        <w:tc>
          <w:tcPr>
            <w:tcW w:w="1134" w:type="dxa"/>
            <w:tcBorders>
              <w:top w:val="single" w:sz="12" w:space="0" w:color="auto"/>
              <w:bottom w:val="single" w:sz="12" w:space="0" w:color="auto"/>
            </w:tcBorders>
            <w:vAlign w:val="center"/>
          </w:tcPr>
          <w:p w14:paraId="6E178EF3"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993" w:type="dxa"/>
            <w:tcBorders>
              <w:top w:val="single" w:sz="12" w:space="0" w:color="auto"/>
              <w:bottom w:val="single" w:sz="12" w:space="0" w:color="auto"/>
            </w:tcBorders>
            <w:vAlign w:val="center"/>
          </w:tcPr>
          <w:p w14:paraId="18D404AE"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275" w:type="dxa"/>
            <w:tcBorders>
              <w:top w:val="single" w:sz="12" w:space="0" w:color="auto"/>
              <w:bottom w:val="single" w:sz="12" w:space="0" w:color="auto"/>
            </w:tcBorders>
            <w:vAlign w:val="center"/>
          </w:tcPr>
          <w:p w14:paraId="18C43931"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134" w:type="dxa"/>
            <w:tcBorders>
              <w:top w:val="single" w:sz="12" w:space="0" w:color="auto"/>
              <w:bottom w:val="single" w:sz="12" w:space="0" w:color="auto"/>
            </w:tcBorders>
            <w:vAlign w:val="center"/>
          </w:tcPr>
          <w:p w14:paraId="3AD2C632"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276" w:type="dxa"/>
            <w:tcBorders>
              <w:top w:val="single" w:sz="12" w:space="0" w:color="auto"/>
              <w:bottom w:val="single" w:sz="12" w:space="0" w:color="auto"/>
            </w:tcBorders>
            <w:vAlign w:val="center"/>
          </w:tcPr>
          <w:p w14:paraId="430A4B40"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134" w:type="dxa"/>
            <w:tcBorders>
              <w:top w:val="single" w:sz="12" w:space="0" w:color="auto"/>
              <w:bottom w:val="single" w:sz="12" w:space="0" w:color="auto"/>
            </w:tcBorders>
            <w:vAlign w:val="center"/>
          </w:tcPr>
          <w:p w14:paraId="7CF59CFB"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992" w:type="dxa"/>
            <w:tcBorders>
              <w:top w:val="single" w:sz="12" w:space="0" w:color="auto"/>
              <w:bottom w:val="single" w:sz="12" w:space="0" w:color="auto"/>
            </w:tcBorders>
            <w:vAlign w:val="center"/>
          </w:tcPr>
          <w:p w14:paraId="75943501"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r>
      <w:tr w:rsidR="00DB211B" w:rsidRPr="00DB211B" w14:paraId="534056D8" w14:textId="77777777" w:rsidTr="004C1F2D">
        <w:trPr>
          <w:trHeight w:val="510"/>
        </w:trPr>
        <w:tc>
          <w:tcPr>
            <w:tcW w:w="993" w:type="dxa"/>
            <w:tcBorders>
              <w:top w:val="single" w:sz="12" w:space="0" w:color="auto"/>
              <w:bottom w:val="single" w:sz="12" w:space="0" w:color="auto"/>
            </w:tcBorders>
            <w:vAlign w:val="center"/>
          </w:tcPr>
          <w:p w14:paraId="267FA04B"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2.</w:t>
            </w:r>
          </w:p>
        </w:tc>
        <w:tc>
          <w:tcPr>
            <w:tcW w:w="1275" w:type="dxa"/>
            <w:tcBorders>
              <w:top w:val="single" w:sz="12" w:space="0" w:color="auto"/>
              <w:bottom w:val="single" w:sz="12" w:space="0" w:color="auto"/>
            </w:tcBorders>
            <w:vAlign w:val="center"/>
          </w:tcPr>
          <w:p w14:paraId="09351525"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Ethanol root extract</w:t>
            </w:r>
          </w:p>
        </w:tc>
        <w:tc>
          <w:tcPr>
            <w:tcW w:w="1134" w:type="dxa"/>
            <w:tcBorders>
              <w:top w:val="single" w:sz="12" w:space="0" w:color="auto"/>
              <w:bottom w:val="single" w:sz="12" w:space="0" w:color="auto"/>
            </w:tcBorders>
            <w:vAlign w:val="center"/>
          </w:tcPr>
          <w:p w14:paraId="5478F33F"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993" w:type="dxa"/>
            <w:tcBorders>
              <w:top w:val="single" w:sz="12" w:space="0" w:color="auto"/>
              <w:bottom w:val="single" w:sz="12" w:space="0" w:color="auto"/>
            </w:tcBorders>
            <w:vAlign w:val="center"/>
          </w:tcPr>
          <w:p w14:paraId="3F18AAAD"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275" w:type="dxa"/>
            <w:tcBorders>
              <w:top w:val="single" w:sz="12" w:space="0" w:color="auto"/>
              <w:bottom w:val="single" w:sz="12" w:space="0" w:color="auto"/>
            </w:tcBorders>
            <w:vAlign w:val="center"/>
          </w:tcPr>
          <w:p w14:paraId="3058932E"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134" w:type="dxa"/>
            <w:tcBorders>
              <w:top w:val="single" w:sz="12" w:space="0" w:color="auto"/>
              <w:bottom w:val="single" w:sz="12" w:space="0" w:color="auto"/>
            </w:tcBorders>
            <w:vAlign w:val="center"/>
          </w:tcPr>
          <w:p w14:paraId="51130781"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276" w:type="dxa"/>
            <w:tcBorders>
              <w:top w:val="single" w:sz="12" w:space="0" w:color="auto"/>
              <w:bottom w:val="single" w:sz="12" w:space="0" w:color="auto"/>
            </w:tcBorders>
            <w:vAlign w:val="center"/>
          </w:tcPr>
          <w:p w14:paraId="6213B7C1"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1134" w:type="dxa"/>
            <w:tcBorders>
              <w:top w:val="single" w:sz="12" w:space="0" w:color="auto"/>
              <w:bottom w:val="single" w:sz="12" w:space="0" w:color="auto"/>
            </w:tcBorders>
            <w:vAlign w:val="center"/>
          </w:tcPr>
          <w:p w14:paraId="297D436D"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c>
          <w:tcPr>
            <w:tcW w:w="992" w:type="dxa"/>
            <w:tcBorders>
              <w:top w:val="single" w:sz="12" w:space="0" w:color="auto"/>
              <w:bottom w:val="single" w:sz="12" w:space="0" w:color="auto"/>
            </w:tcBorders>
            <w:vAlign w:val="center"/>
          </w:tcPr>
          <w:p w14:paraId="45907E0B"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+ve</w:t>
            </w:r>
          </w:p>
        </w:tc>
      </w:tr>
    </w:tbl>
    <w:p w14:paraId="6650770E" w14:textId="77777777" w:rsidR="00DB211B" w:rsidRPr="00897087" w:rsidRDefault="00DB211B" w:rsidP="006F53BA">
      <w:pPr>
        <w:spacing w:after="240" w:line="360" w:lineRule="auto"/>
        <w:rPr>
          <w:rFonts w:ascii="Arial" w:hAnsi="Arial" w:cs="Arial"/>
          <w:i/>
          <w:iCs/>
          <w:sz w:val="18"/>
          <w:szCs w:val="18"/>
        </w:rPr>
      </w:pPr>
      <w:r w:rsidRPr="00897087">
        <w:rPr>
          <w:rFonts w:ascii="Arial" w:hAnsi="Arial" w:cs="Arial"/>
          <w:i/>
          <w:iCs/>
          <w:sz w:val="18"/>
          <w:szCs w:val="18"/>
        </w:rPr>
        <w:t xml:space="preserve">‘+ve’ indicates present and ‘-ve’ indicates absent </w:t>
      </w:r>
    </w:p>
    <w:p w14:paraId="37F44514" w14:textId="77777777" w:rsidR="00DB211B" w:rsidRDefault="00DB14B7" w:rsidP="00017599">
      <w:pPr>
        <w:spacing w:before="240" w:after="240" w:line="360" w:lineRule="auto"/>
        <w:jc w:val="both"/>
        <w:rPr>
          <w:rFonts w:ascii="Arial" w:hAnsi="Arial" w:cs="Arial"/>
          <w:b/>
          <w:sz w:val="22"/>
          <w:szCs w:val="22"/>
        </w:rPr>
      </w:pPr>
      <w:bookmarkStart w:id="1" w:name="_Hlk239967662"/>
      <w:r w:rsidRPr="00DB14B7">
        <w:rPr>
          <w:rFonts w:ascii="Arial" w:hAnsi="Arial" w:cs="Arial"/>
          <w:b/>
          <w:sz w:val="22"/>
          <w:szCs w:val="22"/>
        </w:rPr>
        <w:t xml:space="preserve">3.2 </w:t>
      </w:r>
      <w:r w:rsidR="00DB211B" w:rsidRPr="00DB14B7">
        <w:rPr>
          <w:rFonts w:ascii="Arial" w:hAnsi="Arial" w:cs="Arial"/>
          <w:b/>
          <w:sz w:val="22"/>
          <w:szCs w:val="22"/>
        </w:rPr>
        <w:t>Synthesis of Silver Nanoparticles and their characterization</w:t>
      </w:r>
    </w:p>
    <w:p w14:paraId="310AE6CF" w14:textId="77777777" w:rsidR="00DB14B7" w:rsidRPr="00DB14B7" w:rsidRDefault="00DB14B7" w:rsidP="00DB14B7">
      <w:pPr>
        <w:spacing w:before="240" w:line="360" w:lineRule="auto"/>
        <w:rPr>
          <w:rFonts w:ascii="Arial" w:hAnsi="Arial" w:cs="Arial"/>
          <w:b/>
          <w:iCs/>
          <w:u w:val="single"/>
        </w:rPr>
      </w:pPr>
      <w:r w:rsidRPr="00DB14B7">
        <w:rPr>
          <w:rFonts w:ascii="Arial" w:hAnsi="Arial" w:cs="Arial"/>
          <w:b/>
          <w:sz w:val="22"/>
          <w:szCs w:val="22"/>
          <w:u w:val="single"/>
        </w:rPr>
        <w:t xml:space="preserve">3.2.1 </w:t>
      </w:r>
      <w:r w:rsidRPr="00DB14B7">
        <w:rPr>
          <w:rFonts w:ascii="Arial" w:hAnsi="Arial" w:cs="Arial"/>
          <w:b/>
          <w:iCs/>
          <w:u w:val="single"/>
        </w:rPr>
        <w:t>UV-V</w:t>
      </w:r>
      <w:r w:rsidR="00D4108C">
        <w:rPr>
          <w:rFonts w:ascii="Arial" w:hAnsi="Arial" w:cs="Arial"/>
          <w:b/>
          <w:iCs/>
          <w:u w:val="single"/>
        </w:rPr>
        <w:t>is</w:t>
      </w:r>
      <w:r w:rsidRPr="00DB14B7">
        <w:rPr>
          <w:rFonts w:ascii="Arial" w:hAnsi="Arial" w:cs="Arial"/>
          <w:b/>
          <w:iCs/>
          <w:u w:val="single"/>
        </w:rPr>
        <w:t xml:space="preserve"> Spectroscopy</w:t>
      </w:r>
    </w:p>
    <w:p w14:paraId="0A45652D" w14:textId="77777777" w:rsidR="00DB211B" w:rsidRPr="00EA7B0E" w:rsidRDefault="00DB211B" w:rsidP="00017599">
      <w:pPr>
        <w:spacing w:before="240" w:after="240" w:line="360" w:lineRule="auto"/>
        <w:jc w:val="both"/>
        <w:rPr>
          <w:rFonts w:ascii="Arial" w:hAnsi="Arial" w:cs="Arial"/>
        </w:rPr>
      </w:pPr>
      <w:r>
        <w:rPr>
          <w:rFonts w:ascii="Arial" w:hAnsi="Arial" w:cs="Arial"/>
        </w:rPr>
        <w:t xml:space="preserve">Qualitative phytochemical analysis showed promising results that led to the use of both root extracts (aqueous and ethanolic) of </w:t>
      </w:r>
      <w:r>
        <w:rPr>
          <w:rFonts w:ascii="Arial" w:hAnsi="Arial" w:cs="Arial"/>
          <w:i/>
          <w:iCs/>
        </w:rPr>
        <w:t>C. scariosus</w:t>
      </w:r>
      <w:r>
        <w:rPr>
          <w:rFonts w:ascii="Arial" w:hAnsi="Arial" w:cs="Arial"/>
        </w:rPr>
        <w:t xml:space="preserve"> for</w:t>
      </w:r>
      <w:r>
        <w:rPr>
          <w:rFonts w:ascii="Arial" w:hAnsi="Arial" w:cs="Arial"/>
          <w:highlight w:val="yellow"/>
        </w:rPr>
        <w:t xml:space="preserve"> the</w:t>
      </w:r>
      <w:r>
        <w:rPr>
          <w:rFonts w:ascii="Arial" w:hAnsi="Arial" w:cs="Arial"/>
        </w:rPr>
        <w:t xml:space="preserve"> green synthesis of silver nanoparticles. The synthesis of silver nanoparticles was visually confirmed by a colour change </w:t>
      </w:r>
      <w:r>
        <w:rPr>
          <w:rFonts w:ascii="Arial" w:hAnsi="Arial" w:cs="Arial"/>
          <w:highlight w:val="yellow"/>
        </w:rPr>
        <w:t>in</w:t>
      </w:r>
      <w:r>
        <w:rPr>
          <w:rFonts w:ascii="Arial" w:hAnsi="Arial" w:cs="Arial"/>
        </w:rPr>
        <w:t xml:space="preserve"> the reaction mixture from pale to dark brown, indicating the reduction of Ag</w:t>
      </w:r>
      <w:r>
        <w:rPr>
          <w:rFonts w:ascii="Arial" w:hAnsi="Arial" w:cs="Arial"/>
          <w:vertAlign w:val="superscript"/>
        </w:rPr>
        <w:t>+</w:t>
      </w:r>
      <w:r>
        <w:rPr>
          <w:rFonts w:ascii="Arial" w:hAnsi="Arial" w:cs="Arial"/>
        </w:rPr>
        <w:t xml:space="preserve"> (ions)</w:t>
      </w:r>
      <w:r>
        <w:rPr>
          <w:rFonts w:ascii="Arial" w:hAnsi="Arial" w:cs="Arial"/>
          <w:vertAlign w:val="subscript"/>
        </w:rPr>
        <w:t xml:space="preserve"> </w:t>
      </w:r>
      <w:r>
        <w:rPr>
          <w:rFonts w:ascii="Arial" w:hAnsi="Arial" w:cs="Arial"/>
        </w:rPr>
        <w:t>to Ag</w:t>
      </w:r>
      <w:r>
        <w:rPr>
          <w:rFonts w:ascii="Arial" w:hAnsi="Arial" w:cs="Arial"/>
          <w:vertAlign w:val="superscript"/>
        </w:rPr>
        <w:t xml:space="preserve">0 </w:t>
      </w:r>
      <w:r>
        <w:rPr>
          <w:rFonts w:ascii="Arial" w:hAnsi="Arial" w:cs="Arial"/>
        </w:rPr>
        <w:t xml:space="preserve">(atoms) by the phytochemicals present in the respective extracts (Figs. 1 a-d). This colour change </w:t>
      </w:r>
      <w:r>
        <w:rPr>
          <w:rFonts w:ascii="Arial" w:hAnsi="Arial" w:cs="Arial"/>
          <w:highlight w:val="yellow"/>
        </w:rPr>
        <w:t>in the</w:t>
      </w:r>
      <w:r>
        <w:rPr>
          <w:rFonts w:ascii="Arial" w:hAnsi="Arial" w:cs="Arial"/>
        </w:rPr>
        <w:t xml:space="preserve"> AgNO</w:t>
      </w:r>
      <w:r>
        <w:rPr>
          <w:rFonts w:ascii="Arial" w:hAnsi="Arial" w:cs="Arial"/>
          <w:vertAlign w:val="subscript"/>
        </w:rPr>
        <w:t xml:space="preserve">3 </w:t>
      </w:r>
      <w:r>
        <w:rPr>
          <w:rFonts w:ascii="Arial" w:hAnsi="Arial" w:cs="Arial"/>
        </w:rPr>
        <w:t xml:space="preserve">solution </w:t>
      </w:r>
      <w:r>
        <w:rPr>
          <w:rFonts w:ascii="Arial" w:hAnsi="Arial" w:cs="Arial"/>
          <w:highlight w:val="yellow"/>
        </w:rPr>
        <w:t>wa</w:t>
      </w:r>
      <w:r>
        <w:rPr>
          <w:rFonts w:ascii="Arial" w:hAnsi="Arial" w:cs="Arial"/>
        </w:rPr>
        <w:t xml:space="preserve">s due to the excitation of surface plasmon vibration, a characteristic size feature of nanoparticles (Bhokare </w:t>
      </w:r>
      <w:r>
        <w:rPr>
          <w:rFonts w:ascii="Arial" w:hAnsi="Arial" w:cs="Arial"/>
          <w:highlight w:val="yellow"/>
        </w:rPr>
        <w:t>&amp; Warth</w:t>
      </w:r>
      <w:r>
        <w:rPr>
          <w:rFonts w:ascii="Arial" w:hAnsi="Arial" w:cs="Arial"/>
        </w:rPr>
        <w:t>e, 2020).</w:t>
      </w:r>
    </w:p>
    <w:bookmarkEnd w:id="1"/>
    <w:p w14:paraId="234717E3" w14:textId="77777777" w:rsidR="00863BD3" w:rsidRDefault="00AE6CB9" w:rsidP="004E6378">
      <w:pPr>
        <w:pStyle w:val="BodyText3"/>
        <w:tabs>
          <w:tab w:val="left" w:pos="1080"/>
        </w:tabs>
        <w:spacing w:after="0"/>
        <w:ind w:left="1080" w:hanging="1080"/>
        <w:jc w:val="center"/>
        <w:rPr>
          <w:rFonts w:ascii="Arial" w:hAnsi="Arial"/>
          <w:b/>
          <w:sz w:val="20"/>
          <w:szCs w:val="20"/>
        </w:rPr>
      </w:pPr>
      <w:r>
        <w:rPr>
          <w:noProof/>
        </w:rPr>
        <w:lastRenderedPageBreak/>
        <w:drawing>
          <wp:inline distT="0" distB="0" distL="0" distR="0" wp14:anchorId="7494871C" wp14:editId="5EB22F4F">
            <wp:extent cx="1762018" cy="1369524"/>
            <wp:effectExtent l="19050" t="19050" r="0" b="2540"/>
            <wp:docPr id="140877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9188" cy="1375097"/>
                    </a:xfrm>
                    <a:prstGeom prst="rect">
                      <a:avLst/>
                    </a:prstGeom>
                    <a:noFill/>
                    <a:ln>
                      <a:solidFill>
                        <a:schemeClr val="tx1"/>
                      </a:solidFill>
                    </a:ln>
                  </pic:spPr>
                </pic:pic>
              </a:graphicData>
            </a:graphic>
          </wp:inline>
        </w:drawing>
      </w:r>
      <w:r w:rsidR="00901D3E">
        <w:rPr>
          <w:rFonts w:ascii="Arial" w:hAnsi="Arial"/>
          <w:b/>
          <w:sz w:val="20"/>
          <w:szCs w:val="20"/>
        </w:rPr>
        <w:t xml:space="preserve"> </w:t>
      </w:r>
      <w:r w:rsidR="004D3171">
        <w:rPr>
          <w:rFonts w:ascii="Arial" w:hAnsi="Arial"/>
          <w:b/>
          <w:sz w:val="20"/>
          <w:szCs w:val="20"/>
        </w:rPr>
        <w:t xml:space="preserve"> </w:t>
      </w:r>
      <w:r>
        <w:rPr>
          <w:noProof/>
        </w:rPr>
        <w:drawing>
          <wp:inline distT="0" distB="0" distL="0" distR="0" wp14:anchorId="598C4424" wp14:editId="5F6271BC">
            <wp:extent cx="1695236" cy="1394687"/>
            <wp:effectExtent l="19050" t="19050" r="635" b="0"/>
            <wp:docPr id="2114451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8964" cy="1405981"/>
                    </a:xfrm>
                    <a:prstGeom prst="rect">
                      <a:avLst/>
                    </a:prstGeom>
                    <a:noFill/>
                    <a:ln>
                      <a:solidFill>
                        <a:schemeClr val="tx1"/>
                      </a:solidFill>
                    </a:ln>
                  </pic:spPr>
                </pic:pic>
              </a:graphicData>
            </a:graphic>
          </wp:inline>
        </w:drawing>
      </w:r>
    </w:p>
    <w:p w14:paraId="796C1D34" w14:textId="77777777" w:rsidR="004D3171" w:rsidRDefault="004D3171" w:rsidP="004E6378">
      <w:pPr>
        <w:pStyle w:val="BodyText3"/>
        <w:tabs>
          <w:tab w:val="left" w:pos="1080"/>
        </w:tabs>
        <w:spacing w:after="0"/>
        <w:ind w:left="1080" w:hanging="1080"/>
        <w:jc w:val="center"/>
        <w:rPr>
          <w:rFonts w:ascii="Arial" w:hAnsi="Arial"/>
          <w:b/>
          <w:sz w:val="20"/>
          <w:szCs w:val="20"/>
        </w:rPr>
      </w:pPr>
    </w:p>
    <w:p w14:paraId="43A94781" w14:textId="77777777" w:rsidR="00AE6CB9" w:rsidRDefault="004D3171" w:rsidP="004E6378">
      <w:pPr>
        <w:pStyle w:val="BodyText3"/>
        <w:tabs>
          <w:tab w:val="left" w:pos="1080"/>
        </w:tabs>
        <w:spacing w:after="0"/>
        <w:ind w:left="1080" w:hanging="1080"/>
        <w:jc w:val="center"/>
        <w:rPr>
          <w:rFonts w:ascii="Arial" w:hAnsi="Arial"/>
          <w:b/>
          <w:sz w:val="20"/>
          <w:szCs w:val="20"/>
        </w:rPr>
      </w:pPr>
      <w:r>
        <w:rPr>
          <w:rFonts w:ascii="Arial" w:hAnsi="Arial"/>
          <w:b/>
          <w:sz w:val="20"/>
          <w:szCs w:val="20"/>
        </w:rPr>
        <w:t xml:space="preserve">  </w:t>
      </w:r>
      <w:r w:rsidR="00AE6CB9">
        <w:rPr>
          <w:noProof/>
        </w:rPr>
        <w:drawing>
          <wp:inline distT="0" distB="0" distL="0" distR="0" wp14:anchorId="31FF4191" wp14:editId="27C583EA">
            <wp:extent cx="1767155" cy="1366733"/>
            <wp:effectExtent l="19050" t="19050" r="5080" b="5080"/>
            <wp:docPr id="992723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3965" cy="1372000"/>
                    </a:xfrm>
                    <a:prstGeom prst="rect">
                      <a:avLst/>
                    </a:prstGeom>
                    <a:noFill/>
                    <a:ln>
                      <a:solidFill>
                        <a:schemeClr val="tx1"/>
                      </a:solidFill>
                    </a:ln>
                  </pic:spPr>
                </pic:pic>
              </a:graphicData>
            </a:graphic>
          </wp:inline>
        </w:drawing>
      </w:r>
      <w:r>
        <w:rPr>
          <w:rFonts w:ascii="Arial" w:hAnsi="Arial"/>
          <w:b/>
          <w:sz w:val="20"/>
          <w:szCs w:val="20"/>
        </w:rPr>
        <w:t xml:space="preserve">  </w:t>
      </w:r>
      <w:r w:rsidR="00AE6CB9">
        <w:rPr>
          <w:noProof/>
        </w:rPr>
        <w:drawing>
          <wp:inline distT="0" distB="0" distL="0" distR="0" wp14:anchorId="54FBFA2A" wp14:editId="637615FA">
            <wp:extent cx="1727556" cy="1391920"/>
            <wp:effectExtent l="19050" t="19050" r="6350" b="0"/>
            <wp:docPr id="1179681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5506"/>
                    <a:stretch>
                      <a:fillRect/>
                    </a:stretch>
                  </pic:blipFill>
                  <pic:spPr bwMode="auto">
                    <a:xfrm>
                      <a:off x="0" y="0"/>
                      <a:ext cx="1743508" cy="1404773"/>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290431" w14:textId="77777777" w:rsidR="003A1D78" w:rsidRPr="003A1D78" w:rsidRDefault="003A1D78" w:rsidP="003A1D78">
      <w:pPr>
        <w:spacing w:line="360" w:lineRule="auto"/>
        <w:jc w:val="center"/>
        <w:rPr>
          <w:rFonts w:ascii="Arial" w:hAnsi="Arial" w:cs="Arial"/>
          <w:b/>
          <w:bCs/>
          <w:highlight w:val="white"/>
        </w:rPr>
      </w:pPr>
      <w:r w:rsidRPr="003A1D78">
        <w:rPr>
          <w:rFonts w:ascii="Arial" w:hAnsi="Arial" w:cs="Arial"/>
          <w:b/>
          <w:highlight w:val="white"/>
        </w:rPr>
        <w:t>Fig</w:t>
      </w:r>
      <w:r w:rsidRPr="003A1D78">
        <w:rPr>
          <w:rFonts w:ascii="Arial" w:hAnsi="Arial" w:cs="Arial"/>
          <w:highlight w:val="white"/>
        </w:rPr>
        <w:t xml:space="preserve">. </w:t>
      </w:r>
      <w:r w:rsidRPr="003A1D78">
        <w:rPr>
          <w:rFonts w:ascii="Arial" w:hAnsi="Arial" w:cs="Arial"/>
          <w:b/>
          <w:bCs/>
          <w:highlight w:val="white"/>
        </w:rPr>
        <w:t xml:space="preserve">1: Colour change of reaction mixture during synthesis of (a, b) Aqueous AgNP, (c, d) Ethanolic AgNP of </w:t>
      </w:r>
      <w:r>
        <w:rPr>
          <w:rFonts w:ascii="Arial" w:hAnsi="Arial" w:cs="Arial"/>
          <w:b/>
          <w:bCs/>
          <w:i/>
          <w:iCs/>
          <w:highlight w:val="white"/>
        </w:rPr>
        <w:t>C. scariosus</w:t>
      </w:r>
    </w:p>
    <w:p w14:paraId="5092ADF5" w14:textId="77777777" w:rsidR="00927834" w:rsidRDefault="00927834" w:rsidP="00441B6F">
      <w:pPr>
        <w:autoSpaceDE w:val="0"/>
        <w:autoSpaceDN w:val="0"/>
        <w:adjustRightInd w:val="0"/>
        <w:jc w:val="both"/>
        <w:rPr>
          <w:rFonts w:ascii="Arial" w:hAnsi="Arial" w:cs="Arial"/>
          <w:b/>
          <w:bCs/>
          <w:szCs w:val="22"/>
        </w:rPr>
      </w:pPr>
    </w:p>
    <w:p w14:paraId="262867E6" w14:textId="77777777" w:rsidR="00ED0431" w:rsidRPr="003A663E" w:rsidRDefault="00C47B01" w:rsidP="003A663E">
      <w:pPr>
        <w:spacing w:before="240" w:after="240" w:line="360" w:lineRule="auto"/>
        <w:jc w:val="both"/>
        <w:rPr>
          <w:rFonts w:ascii="Arial" w:hAnsi="Arial" w:cs="Arial"/>
          <w:highlight w:val="white"/>
        </w:rPr>
      </w:pPr>
      <w:r>
        <w:rPr>
          <w:rFonts w:ascii="Arial" w:hAnsi="Arial" w:cs="Arial"/>
          <w:highlight w:val="white"/>
        </w:rPr>
        <w:t>The 6 mM AgNO</w:t>
      </w:r>
      <w:r>
        <w:rPr>
          <w:rFonts w:ascii="Arial" w:hAnsi="Arial" w:cs="Arial"/>
          <w:highlight w:val="white"/>
          <w:vertAlign w:val="subscript"/>
        </w:rPr>
        <w:t>3</w:t>
      </w:r>
      <w:r>
        <w:rPr>
          <w:rFonts w:ascii="Arial" w:hAnsi="Arial" w:cs="Arial"/>
          <w:highlight w:val="white"/>
        </w:rPr>
        <w:t xml:space="preserve"> solution did not produce any surface plasmon resonance (SPR) peak (Figs. 2, 3). On the contrary</w:t>
      </w:r>
      <w:r>
        <w:rPr>
          <w:rFonts w:ascii="Arial" w:hAnsi="Arial" w:cs="Arial"/>
          <w:highlight w:val="yellow"/>
        </w:rPr>
        <w:t>,</w:t>
      </w:r>
      <w:r>
        <w:rPr>
          <w:rFonts w:ascii="Arial" w:hAnsi="Arial" w:cs="Arial"/>
          <w:highlight w:val="white"/>
        </w:rPr>
        <w:t xml:space="preserve"> the aqueous AgNPs displayed</w:t>
      </w:r>
      <w:r>
        <w:rPr>
          <w:rFonts w:ascii="Arial" w:hAnsi="Arial" w:cs="Arial"/>
          <w:highlight w:val="yellow"/>
        </w:rPr>
        <w:t xml:space="preserve"> an</w:t>
      </w:r>
      <w:r>
        <w:rPr>
          <w:rFonts w:ascii="Arial" w:hAnsi="Arial" w:cs="Arial"/>
          <w:highlight w:val="white"/>
        </w:rPr>
        <w:t xml:space="preserve"> SPR peak at 450 nm (Fig. 2), while the ethanolic AgNPs displayed </w:t>
      </w:r>
      <w:r>
        <w:rPr>
          <w:rFonts w:ascii="Arial" w:hAnsi="Arial" w:cs="Arial"/>
          <w:highlight w:val="yellow"/>
        </w:rPr>
        <w:t>an</w:t>
      </w:r>
      <w:r>
        <w:rPr>
          <w:rFonts w:ascii="Arial" w:hAnsi="Arial" w:cs="Arial"/>
          <w:highlight w:val="white"/>
        </w:rPr>
        <w:t xml:space="preserve"> absorption peak at 416 nm (Fig. 3). The aforementioned results confirm the successful synthesis of silver nanoparticles, as both fall within the defined SPR range for AgNPs (</w:t>
      </w:r>
      <w:r>
        <w:rPr>
          <w:rFonts w:ascii="Arial" w:hAnsi="Arial" w:cs="Arial"/>
        </w:rPr>
        <w:t>Njagi et al., 2011</w:t>
      </w:r>
      <w:r>
        <w:rPr>
          <w:rFonts w:ascii="Arial" w:hAnsi="Arial" w:cs="Arial"/>
          <w:highlight w:val="white"/>
        </w:rPr>
        <w:t xml:space="preserve">). The peak obtained for </w:t>
      </w:r>
      <w:r>
        <w:rPr>
          <w:rFonts w:ascii="Arial" w:hAnsi="Arial" w:cs="Arial"/>
          <w:highlight w:val="yellow"/>
        </w:rPr>
        <w:t xml:space="preserve">the </w:t>
      </w:r>
      <w:r>
        <w:rPr>
          <w:rFonts w:ascii="Arial" w:hAnsi="Arial" w:cs="Arial"/>
          <w:highlight w:val="white"/>
        </w:rPr>
        <w:t>aqueous extract is consistent with th</w:t>
      </w:r>
      <w:r>
        <w:rPr>
          <w:rFonts w:ascii="Arial" w:hAnsi="Arial" w:cs="Arial"/>
          <w:highlight w:val="yellow"/>
        </w:rPr>
        <w:t>at</w:t>
      </w:r>
      <w:r>
        <w:rPr>
          <w:rFonts w:ascii="Arial" w:hAnsi="Arial" w:cs="Arial"/>
          <w:highlight w:val="white"/>
        </w:rPr>
        <w:t xml:space="preserve"> reported for AgNPs synthesi</w:t>
      </w:r>
      <w:r>
        <w:rPr>
          <w:rFonts w:ascii="Arial" w:hAnsi="Arial" w:cs="Arial"/>
          <w:highlight w:val="yellow"/>
        </w:rPr>
        <w:t>s</w:t>
      </w:r>
      <w:r>
        <w:rPr>
          <w:rFonts w:ascii="Arial" w:hAnsi="Arial" w:cs="Arial"/>
          <w:highlight w:val="white"/>
        </w:rPr>
        <w:t>ed using</w:t>
      </w:r>
      <w:r>
        <w:rPr>
          <w:rFonts w:ascii="Arial" w:hAnsi="Arial" w:cs="Arial"/>
          <w:highlight w:val="yellow"/>
        </w:rPr>
        <w:t xml:space="preserve"> an</w:t>
      </w:r>
      <w:r>
        <w:rPr>
          <w:rFonts w:ascii="Arial" w:hAnsi="Arial" w:cs="Arial"/>
          <w:highlight w:val="white"/>
        </w:rPr>
        <w:t xml:space="preserve"> aqueous extract of </w:t>
      </w:r>
      <w:r>
        <w:rPr>
          <w:rFonts w:ascii="Arial" w:hAnsi="Arial" w:cs="Arial"/>
          <w:i/>
          <w:iCs/>
          <w:highlight w:val="white"/>
        </w:rPr>
        <w:t>Mikania cordata</w:t>
      </w:r>
      <w:r>
        <w:rPr>
          <w:rFonts w:ascii="Arial" w:hAnsi="Arial" w:cs="Arial"/>
          <w:highlight w:val="white"/>
        </w:rPr>
        <w:t xml:space="preserve"> leaves (</w:t>
      </w:r>
      <w:r>
        <w:rPr>
          <w:rFonts w:ascii="Arial" w:hAnsi="Arial" w:cs="Arial"/>
        </w:rPr>
        <w:t>Khatun et al., 2023</w:t>
      </w:r>
      <w:r>
        <w:rPr>
          <w:rFonts w:ascii="Arial" w:hAnsi="Arial" w:cs="Arial"/>
          <w:highlight w:val="white"/>
        </w:rPr>
        <w:t xml:space="preserve">). Similarly, the peak obtained for </w:t>
      </w:r>
      <w:r>
        <w:rPr>
          <w:rFonts w:ascii="Arial" w:hAnsi="Arial" w:cs="Arial"/>
          <w:highlight w:val="yellow"/>
        </w:rPr>
        <w:t xml:space="preserve">the </w:t>
      </w:r>
      <w:r>
        <w:rPr>
          <w:rFonts w:ascii="Arial" w:hAnsi="Arial" w:cs="Arial"/>
          <w:highlight w:val="white"/>
        </w:rPr>
        <w:t>ethanolic extract is close to th</w:t>
      </w:r>
      <w:r>
        <w:rPr>
          <w:rFonts w:ascii="Arial" w:hAnsi="Arial" w:cs="Arial"/>
          <w:highlight w:val="yellow"/>
        </w:rPr>
        <w:t>at</w:t>
      </w:r>
      <w:r>
        <w:rPr>
          <w:rFonts w:ascii="Arial" w:hAnsi="Arial" w:cs="Arial"/>
          <w:highlight w:val="white"/>
        </w:rPr>
        <w:t xml:space="preserve"> obtained for AgNPs synthesi</w:t>
      </w:r>
      <w:r>
        <w:rPr>
          <w:rFonts w:ascii="Arial" w:hAnsi="Arial" w:cs="Arial"/>
          <w:highlight w:val="yellow"/>
        </w:rPr>
        <w:t>s</w:t>
      </w:r>
      <w:r>
        <w:rPr>
          <w:rFonts w:ascii="Arial" w:hAnsi="Arial" w:cs="Arial"/>
          <w:highlight w:val="white"/>
        </w:rPr>
        <w:t xml:space="preserve">ed using ethanolic </w:t>
      </w:r>
      <w:r>
        <w:rPr>
          <w:rFonts w:ascii="Arial" w:hAnsi="Arial" w:cs="Arial"/>
          <w:i/>
          <w:iCs/>
          <w:highlight w:val="white"/>
        </w:rPr>
        <w:t>Areca catechu</w:t>
      </w:r>
      <w:r>
        <w:rPr>
          <w:rFonts w:ascii="Arial" w:hAnsi="Arial" w:cs="Arial"/>
          <w:highlight w:val="white"/>
        </w:rPr>
        <w:t xml:space="preserve"> seed extract (</w:t>
      </w:r>
      <w:r>
        <w:rPr>
          <w:rFonts w:ascii="Arial" w:hAnsi="Arial" w:cs="Arial"/>
        </w:rPr>
        <w:t>Apriani et al., 2022</w:t>
      </w:r>
      <w:r>
        <w:rPr>
          <w:rFonts w:ascii="Arial" w:hAnsi="Arial" w:cs="Arial"/>
          <w:highlight w:val="white"/>
        </w:rPr>
        <w:t>)</w:t>
      </w:r>
      <w:r>
        <w:rPr>
          <w:rFonts w:ascii="Arial" w:hAnsi="Arial" w:cs="Arial"/>
          <w:highlight w:val="yellow"/>
        </w:rPr>
        <w:t>,</w:t>
      </w:r>
      <w:r>
        <w:rPr>
          <w:rFonts w:ascii="Arial" w:hAnsi="Arial" w:cs="Arial"/>
          <w:highlight w:val="white"/>
        </w:rPr>
        <w:t xml:space="preserve"> thereby validating our results.</w:t>
      </w:r>
    </w:p>
    <w:p w14:paraId="77269880" w14:textId="77777777" w:rsidR="00505F06" w:rsidRDefault="00892B66" w:rsidP="00892B66">
      <w:pPr>
        <w:pStyle w:val="Body"/>
        <w:spacing w:after="0"/>
        <w:jc w:val="center"/>
        <w:rPr>
          <w:rFonts w:ascii="Arial" w:hAnsi="Arial" w:cs="Arial"/>
        </w:rPr>
      </w:pPr>
      <w:r>
        <w:rPr>
          <w:noProof/>
        </w:rPr>
        <w:drawing>
          <wp:inline distT="0" distB="0" distL="0" distR="0" wp14:anchorId="596FBD6D" wp14:editId="6B139E12">
            <wp:extent cx="3227585" cy="1856805"/>
            <wp:effectExtent l="0" t="0" r="0" b="0"/>
            <wp:docPr id="178107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60127" cy="1875526"/>
                    </a:xfrm>
                    <a:prstGeom prst="rect">
                      <a:avLst/>
                    </a:prstGeom>
                    <a:noFill/>
                    <a:ln>
                      <a:noFill/>
                    </a:ln>
                  </pic:spPr>
                </pic:pic>
              </a:graphicData>
            </a:graphic>
          </wp:inline>
        </w:drawing>
      </w:r>
    </w:p>
    <w:p w14:paraId="1EB55E50" w14:textId="77777777" w:rsidR="00ED0431" w:rsidRPr="002774AA" w:rsidRDefault="00ED0431" w:rsidP="00ED0431">
      <w:pPr>
        <w:spacing w:before="240" w:after="240"/>
        <w:jc w:val="center"/>
        <w:rPr>
          <w:rFonts w:ascii="Arial" w:hAnsi="Arial" w:cs="Arial"/>
          <w:b/>
          <w:bCs/>
          <w:highlight w:val="white"/>
        </w:rPr>
      </w:pPr>
      <w:r w:rsidRPr="002774AA">
        <w:rPr>
          <w:rFonts w:ascii="Arial" w:hAnsi="Arial" w:cs="Arial"/>
          <w:b/>
          <w:highlight w:val="white"/>
        </w:rPr>
        <w:lastRenderedPageBreak/>
        <w:t>Fig. 2</w:t>
      </w:r>
      <w:r w:rsidRPr="002774AA">
        <w:rPr>
          <w:rFonts w:ascii="Arial" w:hAnsi="Arial" w:cs="Arial"/>
          <w:highlight w:val="white"/>
        </w:rPr>
        <w:t xml:space="preserve">: </w:t>
      </w:r>
      <w:r w:rsidRPr="002774AA">
        <w:rPr>
          <w:rFonts w:ascii="Arial" w:hAnsi="Arial" w:cs="Arial"/>
          <w:b/>
          <w:bCs/>
          <w:highlight w:val="white"/>
        </w:rPr>
        <w:t xml:space="preserve">Ultraviolet-visible spectrum of silver nanoparticles synthesized using aqueous root extract of </w:t>
      </w:r>
      <w:r>
        <w:rPr>
          <w:rFonts w:ascii="Arial" w:hAnsi="Arial" w:cs="Arial"/>
          <w:b/>
          <w:bCs/>
          <w:i/>
          <w:iCs/>
          <w:highlight w:val="white"/>
        </w:rPr>
        <w:t>C. scariosus</w:t>
      </w:r>
    </w:p>
    <w:p w14:paraId="2EEFE7A0" w14:textId="77777777" w:rsidR="00364800" w:rsidRDefault="00892B66" w:rsidP="00364800">
      <w:pPr>
        <w:spacing w:before="240" w:after="240"/>
        <w:jc w:val="center"/>
        <w:rPr>
          <w:rFonts w:ascii="Times New Roman" w:hAnsi="Times New Roman"/>
          <w:b/>
          <w:highlight w:val="white"/>
        </w:rPr>
      </w:pPr>
      <w:r>
        <w:rPr>
          <w:noProof/>
        </w:rPr>
        <w:drawing>
          <wp:inline distT="0" distB="0" distL="0" distR="0" wp14:anchorId="57FC6493" wp14:editId="166D444E">
            <wp:extent cx="3160858" cy="1902753"/>
            <wp:effectExtent l="0" t="0" r="0" b="0"/>
            <wp:docPr id="617680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84511" cy="1916991"/>
                    </a:xfrm>
                    <a:prstGeom prst="rect">
                      <a:avLst/>
                    </a:prstGeom>
                    <a:noFill/>
                    <a:ln>
                      <a:noFill/>
                    </a:ln>
                  </pic:spPr>
                </pic:pic>
              </a:graphicData>
            </a:graphic>
          </wp:inline>
        </w:drawing>
      </w:r>
      <w:r w:rsidR="00364800" w:rsidRPr="00364800">
        <w:rPr>
          <w:rFonts w:ascii="Times New Roman" w:hAnsi="Times New Roman"/>
          <w:b/>
          <w:highlight w:val="white"/>
        </w:rPr>
        <w:t xml:space="preserve"> </w:t>
      </w:r>
    </w:p>
    <w:p w14:paraId="4495A052" w14:textId="77777777" w:rsidR="00364800" w:rsidRPr="002774AA" w:rsidRDefault="00364800" w:rsidP="00364800">
      <w:pPr>
        <w:spacing w:before="240" w:after="240"/>
        <w:jc w:val="center"/>
        <w:rPr>
          <w:rFonts w:ascii="Arial" w:hAnsi="Arial" w:cs="Arial"/>
          <w:b/>
          <w:bCs/>
          <w:i/>
          <w:highlight w:val="white"/>
        </w:rPr>
      </w:pPr>
      <w:r w:rsidRPr="002774AA">
        <w:rPr>
          <w:rFonts w:ascii="Arial" w:hAnsi="Arial" w:cs="Arial"/>
          <w:b/>
          <w:highlight w:val="white"/>
        </w:rPr>
        <w:t>Fig. 3:</w:t>
      </w:r>
      <w:r w:rsidRPr="002774AA">
        <w:rPr>
          <w:rFonts w:ascii="Arial" w:hAnsi="Arial" w:cs="Arial"/>
          <w:highlight w:val="white"/>
        </w:rPr>
        <w:t xml:space="preserve"> </w:t>
      </w:r>
      <w:r w:rsidRPr="002774AA">
        <w:rPr>
          <w:rFonts w:ascii="Arial" w:hAnsi="Arial" w:cs="Arial"/>
          <w:b/>
          <w:bCs/>
          <w:highlight w:val="white"/>
        </w:rPr>
        <w:t xml:space="preserve">Ultraviolet-visible spectrum of silver nanoparticles synthesized using ethanolic root extract of </w:t>
      </w:r>
      <w:r>
        <w:rPr>
          <w:rFonts w:ascii="Arial" w:hAnsi="Arial" w:cs="Arial"/>
          <w:b/>
          <w:bCs/>
          <w:i/>
          <w:iCs/>
          <w:highlight w:val="white"/>
        </w:rPr>
        <w:t>C. scariosus</w:t>
      </w:r>
    </w:p>
    <w:p w14:paraId="3B34304C" w14:textId="77777777" w:rsidR="00914922" w:rsidRPr="00DB14B7" w:rsidRDefault="00DB14B7" w:rsidP="007736B9">
      <w:pPr>
        <w:spacing w:before="240"/>
        <w:jc w:val="both"/>
        <w:rPr>
          <w:rFonts w:ascii="Arial" w:hAnsi="Arial" w:cs="Arial"/>
          <w:b/>
          <w:iCs/>
          <w:highlight w:val="white"/>
          <w:u w:val="single"/>
        </w:rPr>
      </w:pPr>
      <w:bookmarkStart w:id="2" w:name="_Hlk239967724"/>
      <w:r w:rsidRPr="00DB14B7">
        <w:rPr>
          <w:rFonts w:ascii="Arial" w:hAnsi="Arial" w:cs="Arial"/>
          <w:b/>
          <w:iCs/>
          <w:highlight w:val="white"/>
          <w:u w:val="single"/>
        </w:rPr>
        <w:t xml:space="preserve">3.2.2 </w:t>
      </w:r>
      <w:r w:rsidR="00914922" w:rsidRPr="00DB14B7">
        <w:rPr>
          <w:rFonts w:ascii="Arial" w:hAnsi="Arial" w:cs="Arial"/>
          <w:b/>
          <w:iCs/>
          <w:highlight w:val="white"/>
          <w:u w:val="single"/>
        </w:rPr>
        <w:t>FTIR</w:t>
      </w:r>
      <w:r w:rsidR="00E22B35">
        <w:rPr>
          <w:rFonts w:ascii="Arial" w:hAnsi="Arial" w:cs="Arial"/>
          <w:b/>
          <w:iCs/>
          <w:highlight w:val="white"/>
          <w:u w:val="single"/>
        </w:rPr>
        <w:t xml:space="preserve"> spectroscopy</w:t>
      </w:r>
      <w:r w:rsidR="00914922" w:rsidRPr="00DB14B7">
        <w:rPr>
          <w:rFonts w:ascii="Arial" w:hAnsi="Arial" w:cs="Arial"/>
          <w:b/>
          <w:iCs/>
          <w:highlight w:val="white"/>
          <w:u w:val="single"/>
        </w:rPr>
        <w:t xml:space="preserve"> </w:t>
      </w:r>
    </w:p>
    <w:p w14:paraId="5C2DAA86" w14:textId="77777777" w:rsidR="00914922" w:rsidRPr="002774AA" w:rsidRDefault="00914922" w:rsidP="007736B9">
      <w:pPr>
        <w:spacing w:before="240" w:after="240" w:line="360" w:lineRule="auto"/>
        <w:jc w:val="both"/>
        <w:rPr>
          <w:rFonts w:ascii="Arial" w:hAnsi="Arial" w:cs="Arial"/>
          <w:highlight w:val="white"/>
        </w:rPr>
      </w:pPr>
      <w:r>
        <w:rPr>
          <w:rFonts w:ascii="Arial" w:hAnsi="Arial" w:cs="Arial"/>
          <w:highlight w:val="white"/>
        </w:rPr>
        <w:t xml:space="preserve">FTIR captures the vibrations of chemical bonds </w:t>
      </w:r>
      <w:r>
        <w:rPr>
          <w:rFonts w:ascii="Arial" w:hAnsi="Arial" w:cs="Arial"/>
          <w:highlight w:val="yellow"/>
        </w:rPr>
        <w:t>through the</w:t>
      </w:r>
      <w:r>
        <w:rPr>
          <w:rFonts w:ascii="Arial" w:hAnsi="Arial" w:cs="Arial"/>
          <w:highlight w:val="white"/>
        </w:rPr>
        <w:t xml:space="preserve"> absor</w:t>
      </w:r>
      <w:r>
        <w:rPr>
          <w:rFonts w:ascii="Arial" w:hAnsi="Arial" w:cs="Arial"/>
          <w:highlight w:val="yellow"/>
        </w:rPr>
        <w:t>pt</w:t>
      </w:r>
      <w:r>
        <w:rPr>
          <w:rFonts w:ascii="Arial" w:hAnsi="Arial" w:cs="Arial"/>
          <w:highlight w:val="white"/>
        </w:rPr>
        <w:t>i</w:t>
      </w:r>
      <w:r>
        <w:rPr>
          <w:rFonts w:ascii="Arial" w:hAnsi="Arial" w:cs="Arial"/>
          <w:highlight w:val="yellow"/>
        </w:rPr>
        <w:t>o</w:t>
      </w:r>
      <w:r>
        <w:rPr>
          <w:rFonts w:ascii="Arial" w:hAnsi="Arial" w:cs="Arial"/>
          <w:highlight w:val="white"/>
        </w:rPr>
        <w:t>n</w:t>
      </w:r>
      <w:r>
        <w:rPr>
          <w:rFonts w:ascii="Arial" w:hAnsi="Arial" w:cs="Arial"/>
          <w:highlight w:val="yellow"/>
        </w:rPr>
        <w:t xml:space="preserve"> of</w:t>
      </w:r>
      <w:r>
        <w:rPr>
          <w:rFonts w:ascii="Arial" w:hAnsi="Arial" w:cs="Arial"/>
          <w:highlight w:val="white"/>
        </w:rPr>
        <w:t xml:space="preserve"> infrared radiation</w:t>
      </w:r>
      <w:r>
        <w:rPr>
          <w:rFonts w:ascii="Arial" w:hAnsi="Arial" w:cs="Arial"/>
          <w:highlight w:val="yellow"/>
        </w:rPr>
        <w:t xml:space="preserve"> and</w:t>
      </w:r>
      <w:r>
        <w:rPr>
          <w:rFonts w:ascii="Arial" w:hAnsi="Arial" w:cs="Arial"/>
          <w:highlight w:val="white"/>
        </w:rPr>
        <w:t xml:space="preserve"> act</w:t>
      </w:r>
      <w:r>
        <w:rPr>
          <w:rFonts w:ascii="Arial" w:hAnsi="Arial" w:cs="Arial"/>
          <w:highlight w:val="yellow"/>
        </w:rPr>
        <w:t>s</w:t>
      </w:r>
      <w:r>
        <w:rPr>
          <w:rFonts w:ascii="Arial" w:hAnsi="Arial" w:cs="Arial"/>
          <w:highlight w:val="white"/>
        </w:rPr>
        <w:t xml:space="preserve"> as a spectral fingerprint of the functional groups involved in nanoparticle synthesis (</w:t>
      </w:r>
      <w:r>
        <w:rPr>
          <w:rFonts w:ascii="Arial" w:hAnsi="Arial" w:cs="Arial"/>
        </w:rPr>
        <w:t>Pasieczna-Patkowska et al., 2025</w:t>
      </w:r>
      <w:r>
        <w:rPr>
          <w:rFonts w:ascii="Arial" w:hAnsi="Arial" w:cs="Arial"/>
          <w:highlight w:val="white"/>
        </w:rPr>
        <w:t>). In this study, FTIR was used to reveal the molecular interactions leading to the bioreduction and surface capping of the AgNPs synthesi</w:t>
      </w:r>
      <w:r>
        <w:rPr>
          <w:rFonts w:ascii="Arial" w:hAnsi="Arial" w:cs="Arial"/>
          <w:highlight w:val="yellow"/>
        </w:rPr>
        <w:t>s</w:t>
      </w:r>
      <w:r>
        <w:rPr>
          <w:rFonts w:ascii="Arial" w:hAnsi="Arial" w:cs="Arial"/>
          <w:highlight w:val="white"/>
        </w:rPr>
        <w:t xml:space="preserve">ed using aqueous and ethanolic root extracts of </w:t>
      </w:r>
      <w:r>
        <w:rPr>
          <w:rFonts w:ascii="Arial" w:hAnsi="Arial" w:cs="Arial"/>
          <w:i/>
          <w:iCs/>
          <w:highlight w:val="white"/>
        </w:rPr>
        <w:t>C. scariosus</w:t>
      </w:r>
      <w:r>
        <w:rPr>
          <w:rFonts w:ascii="Arial" w:hAnsi="Arial" w:cs="Arial"/>
          <w:highlight w:val="white"/>
        </w:rPr>
        <w:t>, as illustrated in Fig. 4 and Fig. 5, respectively.</w:t>
      </w:r>
    </w:p>
    <w:p w14:paraId="5EF3CB7E" w14:textId="77777777" w:rsidR="00914922" w:rsidRPr="00782C10" w:rsidRDefault="00914922" w:rsidP="007736B9">
      <w:pPr>
        <w:spacing w:before="240" w:after="240" w:line="360" w:lineRule="auto"/>
        <w:jc w:val="both"/>
        <w:rPr>
          <w:rFonts w:ascii="Arial" w:hAnsi="Arial" w:cs="Arial"/>
          <w:color w:val="FF0000"/>
          <w:highlight w:val="white"/>
        </w:rPr>
      </w:pPr>
      <w:r>
        <w:rPr>
          <w:rFonts w:ascii="Arial" w:hAnsi="Arial" w:cs="Arial"/>
          <w:highlight w:val="white"/>
        </w:rPr>
        <w:t>The FTIR spectra recorded by the aqueous AgNPs showed peaks at 3333.24 cm</w:t>
      </w:r>
      <w:r>
        <w:rPr>
          <w:rFonts w:ascii="Cambria Math" w:hAnsi="Cambria Math" w:cs="Cambria Math"/>
          <w:highlight w:val="white"/>
        </w:rPr>
        <w:t>⁻</w:t>
      </w:r>
      <w:r>
        <w:rPr>
          <w:rFonts w:ascii="Arial" w:hAnsi="Arial" w:cs="Arial"/>
          <w:highlight w:val="white"/>
        </w:rPr>
        <w:t>¹, 2926.75 cm</w:t>
      </w:r>
      <w:r>
        <w:rPr>
          <w:rFonts w:ascii="Cambria Math" w:hAnsi="Cambria Math" w:cs="Cambria Math"/>
          <w:highlight w:val="white"/>
        </w:rPr>
        <w:t>⁻</w:t>
      </w:r>
      <w:r>
        <w:rPr>
          <w:rFonts w:ascii="Arial" w:hAnsi="Arial" w:cs="Arial"/>
          <w:highlight w:val="white"/>
        </w:rPr>
        <w:t>¹, 2359.08 cm</w:t>
      </w:r>
      <w:r>
        <w:rPr>
          <w:rFonts w:ascii="Cambria Math" w:hAnsi="Cambria Math" w:cs="Cambria Math"/>
          <w:highlight w:val="white"/>
        </w:rPr>
        <w:t>⁻</w:t>
      </w:r>
      <w:r>
        <w:rPr>
          <w:rFonts w:ascii="Arial" w:hAnsi="Arial" w:cs="Arial"/>
          <w:highlight w:val="white"/>
        </w:rPr>
        <w:t>¹, 1637.38 cm</w:t>
      </w:r>
      <w:r>
        <w:rPr>
          <w:rFonts w:ascii="Cambria Math" w:hAnsi="Cambria Math" w:cs="Cambria Math"/>
          <w:highlight w:val="white"/>
        </w:rPr>
        <w:t>⁻</w:t>
      </w:r>
      <w:r>
        <w:rPr>
          <w:rFonts w:ascii="Arial" w:hAnsi="Arial" w:cs="Arial"/>
          <w:highlight w:val="white"/>
        </w:rPr>
        <w:t>¹, 1349.27 cm</w:t>
      </w:r>
      <w:r>
        <w:rPr>
          <w:rFonts w:ascii="Cambria Math" w:hAnsi="Cambria Math" w:cs="Cambria Math"/>
          <w:highlight w:val="white"/>
        </w:rPr>
        <w:t>⁻</w:t>
      </w:r>
      <w:r>
        <w:rPr>
          <w:rFonts w:ascii="Arial" w:hAnsi="Arial" w:cs="Arial"/>
          <w:highlight w:val="white"/>
        </w:rPr>
        <w:t>¹, 1250.86 cm</w:t>
      </w:r>
      <w:r>
        <w:rPr>
          <w:rFonts w:ascii="Cambria Math" w:hAnsi="Cambria Math" w:cs="Cambria Math"/>
          <w:highlight w:val="white"/>
        </w:rPr>
        <w:t>⁻</w:t>
      </w:r>
      <w:r>
        <w:rPr>
          <w:rFonts w:ascii="Arial" w:hAnsi="Arial" w:cs="Arial"/>
          <w:highlight w:val="white"/>
        </w:rPr>
        <w:t>¹, 1085.41 cm</w:t>
      </w:r>
      <w:r>
        <w:rPr>
          <w:rFonts w:ascii="Cambria Math" w:hAnsi="Cambria Math" w:cs="Cambria Math"/>
          <w:highlight w:val="white"/>
        </w:rPr>
        <w:t>⁻</w:t>
      </w:r>
      <w:r>
        <w:rPr>
          <w:rFonts w:ascii="Arial" w:hAnsi="Arial" w:cs="Arial"/>
          <w:highlight w:val="white"/>
        </w:rPr>
        <w:t>¹, and 944.20 cm</w:t>
      </w:r>
      <w:r>
        <w:rPr>
          <w:rFonts w:ascii="Cambria Math" w:hAnsi="Cambria Math" w:cs="Cambria Math"/>
          <w:highlight w:val="white"/>
        </w:rPr>
        <w:t>⁻</w:t>
      </w:r>
      <w:r>
        <w:rPr>
          <w:rFonts w:ascii="Arial" w:hAnsi="Arial" w:cs="Arial"/>
          <w:highlight w:val="white"/>
        </w:rPr>
        <w:t>¹ (Fig. 4). The strong absorption band at 3333.24 cm</w:t>
      </w:r>
      <w:r>
        <w:rPr>
          <w:rFonts w:ascii="Cambria Math" w:hAnsi="Cambria Math" w:cs="Cambria Math"/>
          <w:highlight w:val="white"/>
        </w:rPr>
        <w:t>⁻</w:t>
      </w:r>
      <w:r>
        <w:rPr>
          <w:rFonts w:ascii="Arial" w:hAnsi="Arial" w:cs="Arial"/>
          <w:highlight w:val="white"/>
        </w:rPr>
        <w:t>¹ corresponds to the O–H stretching of alcohols and phenols (Quero et al., 2025)</w:t>
      </w:r>
      <w:r>
        <w:rPr>
          <w:rFonts w:ascii="Arial" w:hAnsi="Arial" w:cs="Arial"/>
          <w:highlight w:val="yellow"/>
        </w:rPr>
        <w:t>;</w:t>
      </w:r>
      <w:r>
        <w:rPr>
          <w:rFonts w:ascii="Arial" w:hAnsi="Arial" w:cs="Arial"/>
          <w:highlight w:val="white"/>
        </w:rPr>
        <w:t xml:space="preserve"> further,</w:t>
      </w:r>
      <w:r>
        <w:rPr>
          <w:rFonts w:ascii="Arial" w:hAnsi="Arial" w:cs="Arial"/>
          <w:highlight w:val="yellow"/>
        </w:rPr>
        <w:t xml:space="preserve"> the</w:t>
      </w:r>
      <w:r>
        <w:rPr>
          <w:rFonts w:ascii="Arial" w:hAnsi="Arial" w:cs="Arial"/>
          <w:highlight w:val="white"/>
        </w:rPr>
        <w:t xml:space="preserve"> peaks at 2926.75  cm</w:t>
      </w:r>
      <w:r>
        <w:rPr>
          <w:rFonts w:ascii="Cambria Math" w:hAnsi="Cambria Math" w:cs="Cambria Math"/>
          <w:highlight w:val="white"/>
        </w:rPr>
        <w:t>⁻</w:t>
      </w:r>
      <w:r>
        <w:rPr>
          <w:rFonts w:ascii="Arial" w:hAnsi="Arial" w:cs="Arial"/>
          <w:highlight w:val="white"/>
        </w:rPr>
        <w:t>¹ and 2359.08 cm</w:t>
      </w:r>
      <w:r>
        <w:rPr>
          <w:rFonts w:ascii="Cambria Math" w:hAnsi="Cambria Math" w:cs="Cambria Math"/>
          <w:highlight w:val="white"/>
        </w:rPr>
        <w:t>⁻</w:t>
      </w:r>
      <w:r>
        <w:rPr>
          <w:rFonts w:ascii="Arial" w:hAnsi="Arial" w:cs="Arial"/>
          <w:highlight w:val="white"/>
        </w:rPr>
        <w:t>¹ suggest C–H stretching of methylene groups (Quero et al., 2025) and O=C=O stretching</w:t>
      </w:r>
      <w:r>
        <w:rPr>
          <w:rFonts w:ascii="Arial" w:hAnsi="Arial" w:cs="Arial"/>
          <w:highlight w:val="yellow"/>
        </w:rPr>
        <w:t>,</w:t>
      </w:r>
      <w:r>
        <w:rPr>
          <w:rFonts w:ascii="Arial" w:hAnsi="Arial" w:cs="Arial"/>
          <w:highlight w:val="white"/>
        </w:rPr>
        <w:t xml:space="preserve"> respectively (George et al., 2021). The sharp peak at 1637.38  cm</w:t>
      </w:r>
      <w:r>
        <w:rPr>
          <w:rFonts w:ascii="Cambria Math" w:hAnsi="Cambria Math" w:cs="Cambria Math"/>
          <w:highlight w:val="white"/>
        </w:rPr>
        <w:t>⁻</w:t>
      </w:r>
      <w:r>
        <w:rPr>
          <w:rFonts w:ascii="Arial" w:hAnsi="Arial" w:cs="Arial"/>
          <w:highlight w:val="white"/>
        </w:rPr>
        <w:t>¹ suggests C=C stretching due to</w:t>
      </w:r>
      <w:r>
        <w:rPr>
          <w:rFonts w:ascii="Arial" w:hAnsi="Arial" w:cs="Arial"/>
          <w:highlight w:val="yellow"/>
        </w:rPr>
        <w:t xml:space="preserve"> the</w:t>
      </w:r>
      <w:r>
        <w:rPr>
          <w:rFonts w:ascii="Arial" w:hAnsi="Arial" w:cs="Arial"/>
          <w:highlight w:val="white"/>
        </w:rPr>
        <w:t xml:space="preserve"> presence of alkenes (Rahman </w:t>
      </w:r>
      <w:r>
        <w:rPr>
          <w:rFonts w:ascii="Arial" w:hAnsi="Arial" w:cs="Arial"/>
          <w:highlight w:val="yellow"/>
        </w:rPr>
        <w:t>&amp;</w:t>
      </w:r>
      <w:r>
        <w:rPr>
          <w:rFonts w:ascii="Arial" w:hAnsi="Arial" w:cs="Arial"/>
          <w:highlight w:val="white"/>
        </w:rPr>
        <w:t xml:space="preserve"> </w:t>
      </w:r>
      <w:r>
        <w:rPr>
          <w:rFonts w:ascii="Arial" w:hAnsi="Arial" w:cs="Arial"/>
          <w:highlight w:val="yellow"/>
        </w:rPr>
        <w:t>Pr</w:t>
      </w:r>
      <w:r>
        <w:rPr>
          <w:rFonts w:ascii="Arial" w:hAnsi="Arial" w:cs="Arial"/>
          <w:highlight w:val="white"/>
        </w:rPr>
        <w:t>a</w:t>
      </w:r>
      <w:r>
        <w:rPr>
          <w:rFonts w:ascii="Arial" w:hAnsi="Arial" w:cs="Arial"/>
          <w:highlight w:val="yellow"/>
        </w:rPr>
        <w:t>sanna</w:t>
      </w:r>
      <w:r>
        <w:rPr>
          <w:rFonts w:ascii="Arial" w:hAnsi="Arial" w:cs="Arial"/>
          <w:highlight w:val="white"/>
        </w:rPr>
        <w:t>, 2018)</w:t>
      </w:r>
      <w:r>
        <w:rPr>
          <w:rFonts w:ascii="Arial" w:hAnsi="Arial" w:cs="Arial"/>
          <w:highlight w:val="yellow"/>
        </w:rPr>
        <w:t>,</w:t>
      </w:r>
      <w:r>
        <w:rPr>
          <w:rFonts w:ascii="Arial" w:hAnsi="Arial" w:cs="Arial"/>
          <w:highlight w:val="white"/>
        </w:rPr>
        <w:t xml:space="preserve"> while the peak at 1250.86 cm</w:t>
      </w:r>
      <w:r>
        <w:rPr>
          <w:rFonts w:ascii="Cambria Math" w:hAnsi="Cambria Math" w:cs="Cambria Math"/>
          <w:highlight w:val="white"/>
        </w:rPr>
        <w:t>⁻</w:t>
      </w:r>
      <w:r>
        <w:rPr>
          <w:rFonts w:ascii="Arial" w:hAnsi="Arial" w:cs="Arial"/>
          <w:highlight w:val="white"/>
        </w:rPr>
        <w:t xml:space="preserve">¹ indicates C–O of ethers (Majumdar </w:t>
      </w:r>
      <w:r>
        <w:rPr>
          <w:rFonts w:ascii="Arial" w:hAnsi="Arial" w:cs="Arial"/>
          <w:highlight w:val="yellow"/>
        </w:rPr>
        <w:t>&amp;</w:t>
      </w:r>
      <w:r>
        <w:rPr>
          <w:rFonts w:ascii="Arial" w:hAnsi="Arial" w:cs="Arial"/>
          <w:highlight w:val="white"/>
        </w:rPr>
        <w:t xml:space="preserve"> </w:t>
      </w:r>
      <w:r>
        <w:rPr>
          <w:rFonts w:ascii="Arial" w:hAnsi="Arial" w:cs="Arial"/>
          <w:highlight w:val="yellow"/>
        </w:rPr>
        <w:t>K</w:t>
      </w:r>
      <w:r>
        <w:rPr>
          <w:rFonts w:ascii="Arial" w:hAnsi="Arial" w:cs="Arial"/>
          <w:highlight w:val="white"/>
        </w:rPr>
        <w:t>a</w:t>
      </w:r>
      <w:r>
        <w:rPr>
          <w:rFonts w:ascii="Arial" w:hAnsi="Arial" w:cs="Arial"/>
          <w:highlight w:val="yellow"/>
        </w:rPr>
        <w:t>r</w:t>
      </w:r>
      <w:r>
        <w:rPr>
          <w:rFonts w:ascii="Arial" w:hAnsi="Arial" w:cs="Arial"/>
          <w:highlight w:val="white"/>
        </w:rPr>
        <w:t>, 2023).</w:t>
      </w:r>
      <w:r>
        <w:rPr>
          <w:rFonts w:ascii="Arial" w:hAnsi="Arial" w:cs="Arial"/>
          <w:highlight w:val="yellow"/>
        </w:rPr>
        <w:t xml:space="preserve"> The peaks at</w:t>
      </w:r>
      <w:r>
        <w:rPr>
          <w:rFonts w:ascii="Arial" w:hAnsi="Arial" w:cs="Arial"/>
          <w:highlight w:val="white"/>
        </w:rPr>
        <w:t xml:space="preserve"> 1349.27 cm</w:t>
      </w:r>
      <w:r>
        <w:rPr>
          <w:rFonts w:ascii="Cambria Math" w:hAnsi="Cambria Math" w:cs="Cambria Math"/>
          <w:highlight w:val="white"/>
        </w:rPr>
        <w:t>⁻</w:t>
      </w:r>
      <w:r>
        <w:rPr>
          <w:rFonts w:ascii="Arial" w:hAnsi="Arial" w:cs="Arial"/>
          <w:highlight w:val="white"/>
        </w:rPr>
        <w:t>¹ and 1085.41 cm</w:t>
      </w:r>
      <w:r>
        <w:rPr>
          <w:rFonts w:ascii="Cambria Math" w:hAnsi="Cambria Math" w:cs="Cambria Math"/>
          <w:highlight w:val="white"/>
        </w:rPr>
        <w:t>⁻</w:t>
      </w:r>
      <w:r>
        <w:rPr>
          <w:rFonts w:ascii="Arial" w:hAnsi="Arial" w:cs="Arial"/>
          <w:highlight w:val="white"/>
        </w:rPr>
        <w:t>¹ correspond to esters and amines (C–N), respectively, while the peak at 944.20 cm</w:t>
      </w:r>
      <w:r>
        <w:rPr>
          <w:rFonts w:ascii="Cambria Math" w:hAnsi="Cambria Math" w:cs="Cambria Math"/>
          <w:highlight w:val="white"/>
        </w:rPr>
        <w:t>⁻</w:t>
      </w:r>
      <w:r>
        <w:rPr>
          <w:rFonts w:ascii="Arial" w:hAnsi="Arial" w:cs="Arial"/>
          <w:highlight w:val="white"/>
        </w:rPr>
        <w:t xml:space="preserve">¹ confirms aromatic =C–H bending (Afreen et al., 2020; El-Rafie </w:t>
      </w:r>
      <w:r>
        <w:rPr>
          <w:rFonts w:ascii="Arial" w:hAnsi="Arial" w:cs="Arial"/>
          <w:highlight w:val="yellow"/>
        </w:rPr>
        <w:t>&amp; Ham</w:t>
      </w:r>
      <w:r>
        <w:rPr>
          <w:rFonts w:ascii="Arial" w:hAnsi="Arial" w:cs="Arial"/>
          <w:highlight w:val="white"/>
        </w:rPr>
        <w:t>e</w:t>
      </w:r>
      <w:r>
        <w:rPr>
          <w:rFonts w:ascii="Arial" w:hAnsi="Arial" w:cs="Arial"/>
          <w:highlight w:val="yellow"/>
        </w:rPr>
        <w:t>d</w:t>
      </w:r>
      <w:r>
        <w:rPr>
          <w:rFonts w:ascii="Arial" w:hAnsi="Arial" w:cs="Arial"/>
          <w:highlight w:val="white"/>
        </w:rPr>
        <w:t>, 2014).</w:t>
      </w:r>
    </w:p>
    <w:p w14:paraId="49D2816E" w14:textId="77777777" w:rsidR="00914922" w:rsidRPr="00653BD3" w:rsidRDefault="00914922" w:rsidP="007736B9">
      <w:pPr>
        <w:spacing w:before="240" w:after="240" w:line="360" w:lineRule="auto"/>
        <w:jc w:val="both"/>
        <w:rPr>
          <w:rFonts w:ascii="Arial" w:hAnsi="Arial" w:cs="Arial"/>
          <w:highlight w:val="white"/>
        </w:rPr>
      </w:pPr>
      <w:r>
        <w:rPr>
          <w:rFonts w:ascii="Arial" w:hAnsi="Arial" w:cs="Arial"/>
          <w:highlight w:val="white"/>
        </w:rPr>
        <w:t>In contrast, the FTIR spectra recorded by the ethanolic AgNPs showed peaks at 3299.01 cm</w:t>
      </w:r>
      <w:r>
        <w:rPr>
          <w:rFonts w:ascii="Cambria Math" w:hAnsi="Cambria Math" w:cs="Cambria Math"/>
          <w:highlight w:val="white"/>
        </w:rPr>
        <w:t>⁻</w:t>
      </w:r>
      <w:r>
        <w:rPr>
          <w:rFonts w:ascii="Arial" w:hAnsi="Arial" w:cs="Arial"/>
          <w:highlight w:val="white"/>
        </w:rPr>
        <w:t>¹, 2363.36 cm</w:t>
      </w:r>
      <w:r>
        <w:rPr>
          <w:rFonts w:ascii="Cambria Math" w:hAnsi="Cambria Math" w:cs="Cambria Math"/>
          <w:highlight w:val="white"/>
        </w:rPr>
        <w:t>⁻</w:t>
      </w:r>
      <w:r>
        <w:rPr>
          <w:rFonts w:ascii="Arial" w:hAnsi="Arial" w:cs="Arial"/>
          <w:highlight w:val="white"/>
        </w:rPr>
        <w:t>¹, 2331.98 cm</w:t>
      </w:r>
      <w:r>
        <w:rPr>
          <w:rFonts w:ascii="Cambria Math" w:hAnsi="Cambria Math" w:cs="Cambria Math"/>
          <w:highlight w:val="white"/>
        </w:rPr>
        <w:t>⁻</w:t>
      </w:r>
      <w:r>
        <w:rPr>
          <w:rFonts w:ascii="Arial" w:hAnsi="Arial" w:cs="Arial"/>
          <w:highlight w:val="white"/>
        </w:rPr>
        <w:t>¹, 1635.95 cm</w:t>
      </w:r>
      <w:r>
        <w:rPr>
          <w:rFonts w:ascii="Cambria Math" w:hAnsi="Cambria Math" w:cs="Cambria Math"/>
          <w:highlight w:val="white"/>
        </w:rPr>
        <w:t>⁻</w:t>
      </w:r>
      <w:r>
        <w:rPr>
          <w:rFonts w:ascii="Arial" w:hAnsi="Arial" w:cs="Arial"/>
          <w:highlight w:val="white"/>
        </w:rPr>
        <w:t>¹, and 1045.47 cm</w:t>
      </w:r>
      <w:r>
        <w:rPr>
          <w:rFonts w:ascii="Cambria Math" w:hAnsi="Cambria Math" w:cs="Cambria Math"/>
          <w:highlight w:val="white"/>
        </w:rPr>
        <w:t>⁻</w:t>
      </w:r>
      <w:r>
        <w:rPr>
          <w:rFonts w:ascii="Arial" w:hAnsi="Arial" w:cs="Arial"/>
          <w:highlight w:val="white"/>
        </w:rPr>
        <w:t xml:space="preserve">¹ (Fig. 5). The broad </w:t>
      </w:r>
      <w:r>
        <w:rPr>
          <w:rFonts w:ascii="Arial" w:hAnsi="Arial" w:cs="Arial"/>
          <w:highlight w:val="white"/>
        </w:rPr>
        <w:lastRenderedPageBreak/>
        <w:t>band at 3299.01 cm</w:t>
      </w:r>
      <w:r>
        <w:rPr>
          <w:rFonts w:ascii="Cambria Math" w:hAnsi="Cambria Math" w:cs="Cambria Math"/>
          <w:highlight w:val="white"/>
        </w:rPr>
        <w:t>⁻</w:t>
      </w:r>
      <w:r>
        <w:rPr>
          <w:rFonts w:ascii="Arial" w:hAnsi="Arial" w:cs="Arial"/>
          <w:highlight w:val="white"/>
        </w:rPr>
        <w:t>¹ showed a peak that suggests O–H stretching of alcohols and phenols. The peaks at 2363.36 and 2331.98 cm</w:t>
      </w:r>
      <w:r>
        <w:rPr>
          <w:rFonts w:ascii="Cambria Math" w:hAnsi="Cambria Math" w:cs="Cambria Math"/>
          <w:highlight w:val="white"/>
        </w:rPr>
        <w:t>⁻</w:t>
      </w:r>
      <w:r>
        <w:rPr>
          <w:rFonts w:ascii="Arial" w:hAnsi="Arial" w:cs="Arial"/>
          <w:highlight w:val="white"/>
        </w:rPr>
        <w:t>¹ displayed O=C=O stretching (Ahmad et al., 2023). A sharp peak at 1635.95 cm</w:t>
      </w:r>
      <w:r>
        <w:rPr>
          <w:rFonts w:ascii="Cambria Math" w:hAnsi="Cambria Math" w:cs="Cambria Math"/>
          <w:highlight w:val="white"/>
        </w:rPr>
        <w:t>⁻</w:t>
      </w:r>
      <w:r>
        <w:rPr>
          <w:rFonts w:ascii="Arial" w:hAnsi="Arial" w:cs="Arial"/>
          <w:highlight w:val="white"/>
        </w:rPr>
        <w:t>¹ corresponds to C=C stretching</w:t>
      </w:r>
      <w:r>
        <w:rPr>
          <w:rFonts w:ascii="Arial" w:hAnsi="Arial" w:cs="Arial"/>
          <w:highlight w:val="yellow"/>
        </w:rPr>
        <w:t>,</w:t>
      </w:r>
      <w:r>
        <w:rPr>
          <w:rFonts w:ascii="Arial" w:hAnsi="Arial" w:cs="Arial"/>
          <w:highlight w:val="white"/>
        </w:rPr>
        <w:t xml:space="preserve"> in</w:t>
      </w:r>
      <w:r>
        <w:rPr>
          <w:rFonts w:ascii="Arial" w:hAnsi="Arial" w:cs="Arial"/>
          <w:highlight w:val="yellow"/>
        </w:rPr>
        <w:t>dica</w:t>
      </w:r>
      <w:r>
        <w:rPr>
          <w:rFonts w:ascii="Arial" w:hAnsi="Arial" w:cs="Arial"/>
          <w:highlight w:val="white"/>
        </w:rPr>
        <w:t xml:space="preserve">ting alkenes (Rahman </w:t>
      </w:r>
      <w:r>
        <w:rPr>
          <w:rFonts w:ascii="Arial" w:hAnsi="Arial" w:cs="Arial"/>
          <w:highlight w:val="yellow"/>
        </w:rPr>
        <w:t>&amp;</w:t>
      </w:r>
      <w:r>
        <w:rPr>
          <w:rFonts w:ascii="Arial" w:hAnsi="Arial" w:cs="Arial"/>
          <w:highlight w:val="white"/>
        </w:rPr>
        <w:t xml:space="preserve"> </w:t>
      </w:r>
      <w:r>
        <w:rPr>
          <w:rFonts w:ascii="Arial" w:hAnsi="Arial" w:cs="Arial"/>
          <w:highlight w:val="yellow"/>
        </w:rPr>
        <w:t>Pr</w:t>
      </w:r>
      <w:r>
        <w:rPr>
          <w:rFonts w:ascii="Arial" w:hAnsi="Arial" w:cs="Arial"/>
          <w:highlight w:val="white"/>
        </w:rPr>
        <w:t>a</w:t>
      </w:r>
      <w:r>
        <w:rPr>
          <w:rFonts w:ascii="Arial" w:hAnsi="Arial" w:cs="Arial"/>
          <w:highlight w:val="yellow"/>
        </w:rPr>
        <w:t>sanna</w:t>
      </w:r>
      <w:r>
        <w:rPr>
          <w:rFonts w:ascii="Arial" w:hAnsi="Arial" w:cs="Arial"/>
          <w:highlight w:val="white"/>
        </w:rPr>
        <w:t>, 2018). The peak at 1045.47 cm</w:t>
      </w:r>
      <w:r>
        <w:rPr>
          <w:rFonts w:ascii="Cambria Math" w:hAnsi="Cambria Math" w:cs="Cambria Math"/>
          <w:highlight w:val="white"/>
        </w:rPr>
        <w:t>⁻</w:t>
      </w:r>
      <w:r>
        <w:rPr>
          <w:rFonts w:ascii="Arial" w:hAnsi="Arial" w:cs="Arial"/>
          <w:highlight w:val="white"/>
        </w:rPr>
        <w:t>¹ shows S=O bending of sulfoxides (Iskakova et al., 2025).</w:t>
      </w:r>
    </w:p>
    <w:p w14:paraId="2BBC3EF1" w14:textId="77777777" w:rsidR="00914922" w:rsidRPr="002774AA" w:rsidRDefault="00914922" w:rsidP="007736B9">
      <w:pPr>
        <w:spacing w:before="240" w:after="240" w:line="360" w:lineRule="auto"/>
        <w:jc w:val="both"/>
        <w:rPr>
          <w:rFonts w:ascii="Arial" w:hAnsi="Arial" w:cs="Arial"/>
          <w:highlight w:val="white"/>
        </w:rPr>
      </w:pPr>
      <w:r>
        <w:rPr>
          <w:rFonts w:ascii="Arial" w:hAnsi="Arial" w:cs="Arial"/>
          <w:highlight w:val="white"/>
        </w:rPr>
        <w:t xml:space="preserve">Overall, the aqueous AgNPs exhibited </w:t>
      </w:r>
      <w:r>
        <w:rPr>
          <w:rFonts w:ascii="Arial" w:hAnsi="Arial" w:cs="Arial"/>
          <w:highlight w:val="yellow"/>
        </w:rPr>
        <w:t>eight</w:t>
      </w:r>
      <w:r>
        <w:rPr>
          <w:rFonts w:ascii="Arial" w:hAnsi="Arial" w:cs="Arial"/>
          <w:highlight w:val="white"/>
        </w:rPr>
        <w:t xml:space="preserve"> FTIR peaks, similar to those reported in </w:t>
      </w:r>
      <w:r>
        <w:rPr>
          <w:rFonts w:ascii="Arial" w:hAnsi="Arial" w:cs="Arial"/>
          <w:highlight w:val="yellow"/>
        </w:rPr>
        <w:t xml:space="preserve">the </w:t>
      </w:r>
      <w:r>
        <w:rPr>
          <w:rFonts w:ascii="Arial" w:hAnsi="Arial" w:cs="Arial"/>
          <w:highlight w:val="white"/>
        </w:rPr>
        <w:t>FTIR analysis of AgNPs synthesi</w:t>
      </w:r>
      <w:r>
        <w:rPr>
          <w:rFonts w:ascii="Arial" w:hAnsi="Arial" w:cs="Arial"/>
          <w:highlight w:val="yellow"/>
        </w:rPr>
        <w:t>s</w:t>
      </w:r>
      <w:r>
        <w:rPr>
          <w:rFonts w:ascii="Arial" w:hAnsi="Arial" w:cs="Arial"/>
          <w:highlight w:val="white"/>
        </w:rPr>
        <w:t xml:space="preserve">ed from aqueous </w:t>
      </w:r>
      <w:r>
        <w:rPr>
          <w:rFonts w:ascii="Arial" w:hAnsi="Arial" w:cs="Arial"/>
          <w:i/>
          <w:iCs/>
          <w:highlight w:val="white"/>
        </w:rPr>
        <w:t xml:space="preserve">Pogonatherum crinitum </w:t>
      </w:r>
      <w:r>
        <w:rPr>
          <w:rFonts w:ascii="Arial" w:hAnsi="Arial" w:cs="Arial"/>
          <w:highlight w:val="white"/>
        </w:rPr>
        <w:t>extract (</w:t>
      </w:r>
      <w:r>
        <w:rPr>
          <w:rFonts w:ascii="Arial" w:hAnsi="Arial" w:cs="Arial"/>
        </w:rPr>
        <w:t>Shrestha et al., 2025</w:t>
      </w:r>
      <w:r>
        <w:rPr>
          <w:rFonts w:ascii="Arial" w:hAnsi="Arial" w:cs="Arial"/>
          <w:highlight w:val="white"/>
        </w:rPr>
        <w:t xml:space="preserve">). The ethanolic AgNPs showed </w:t>
      </w:r>
      <w:r>
        <w:rPr>
          <w:rFonts w:ascii="Arial" w:hAnsi="Arial" w:cs="Arial"/>
          <w:highlight w:val="yellow"/>
        </w:rPr>
        <w:t>five</w:t>
      </w:r>
      <w:r>
        <w:rPr>
          <w:rFonts w:ascii="Arial" w:hAnsi="Arial" w:cs="Arial"/>
          <w:highlight w:val="white"/>
        </w:rPr>
        <w:t xml:space="preserve"> peaks. This</w:t>
      </w:r>
      <w:r>
        <w:rPr>
          <w:rFonts w:ascii="Arial" w:hAnsi="Arial" w:cs="Arial"/>
          <w:highlight w:val="yellow"/>
        </w:rPr>
        <w:t xml:space="preserve"> finding</w:t>
      </w:r>
      <w:r>
        <w:rPr>
          <w:rFonts w:ascii="Arial" w:hAnsi="Arial" w:cs="Arial"/>
          <w:highlight w:val="white"/>
        </w:rPr>
        <w:t xml:space="preserve"> is in line with results obtained from AgNP synthesis using ethanolic </w:t>
      </w:r>
      <w:r>
        <w:rPr>
          <w:rFonts w:ascii="Arial" w:hAnsi="Arial" w:cs="Arial"/>
          <w:i/>
          <w:iCs/>
          <w:highlight w:val="white"/>
        </w:rPr>
        <w:t xml:space="preserve">Eleutherine americana </w:t>
      </w:r>
      <w:r>
        <w:rPr>
          <w:rFonts w:ascii="Arial" w:hAnsi="Arial" w:cs="Arial"/>
          <w:highlight w:val="white"/>
        </w:rPr>
        <w:t xml:space="preserve">extract, </w:t>
      </w:r>
      <w:r>
        <w:rPr>
          <w:rFonts w:ascii="Arial" w:hAnsi="Arial" w:cs="Arial"/>
          <w:highlight w:val="yellow"/>
        </w:rPr>
        <w:t xml:space="preserve">which </w:t>
      </w:r>
      <w:r>
        <w:rPr>
          <w:rFonts w:ascii="Arial" w:hAnsi="Arial" w:cs="Arial"/>
          <w:highlight w:val="white"/>
        </w:rPr>
        <w:t>display</w:t>
      </w:r>
      <w:r>
        <w:rPr>
          <w:rFonts w:ascii="Arial" w:hAnsi="Arial" w:cs="Arial"/>
          <w:highlight w:val="yellow"/>
        </w:rPr>
        <w:t>ed f</w:t>
      </w:r>
      <w:r>
        <w:rPr>
          <w:rFonts w:ascii="Arial" w:hAnsi="Arial" w:cs="Arial"/>
          <w:highlight w:val="white"/>
        </w:rPr>
        <w:t>i</w:t>
      </w:r>
      <w:r>
        <w:rPr>
          <w:rFonts w:ascii="Arial" w:hAnsi="Arial" w:cs="Arial"/>
          <w:highlight w:val="yellow"/>
        </w:rPr>
        <w:t>ve</w:t>
      </w:r>
      <w:r>
        <w:rPr>
          <w:rFonts w:ascii="Arial" w:hAnsi="Arial" w:cs="Arial"/>
          <w:highlight w:val="white"/>
        </w:rPr>
        <w:t xml:space="preserve"> major FTIR peaks (</w:t>
      </w:r>
      <w:r>
        <w:rPr>
          <w:rFonts w:ascii="Arial" w:hAnsi="Arial" w:cs="Arial"/>
        </w:rPr>
        <w:t>Manullang et al., 2021)</w:t>
      </w:r>
      <w:r>
        <w:rPr>
          <w:rFonts w:ascii="Arial" w:hAnsi="Arial" w:cs="Arial"/>
          <w:highlight w:val="white"/>
        </w:rPr>
        <w:t xml:space="preserve">. This variation in the number of peaks likely stems </w:t>
      </w:r>
      <w:r>
        <w:rPr>
          <w:rFonts w:ascii="Arial" w:hAnsi="Arial" w:cs="Arial"/>
          <w:highlight w:val="yellow"/>
        </w:rPr>
        <w:t>fr</w:t>
      </w:r>
      <w:r>
        <w:rPr>
          <w:rFonts w:ascii="Arial" w:hAnsi="Arial" w:cs="Arial"/>
          <w:highlight w:val="white"/>
        </w:rPr>
        <w:t>o</w:t>
      </w:r>
      <w:r>
        <w:rPr>
          <w:rFonts w:ascii="Arial" w:hAnsi="Arial" w:cs="Arial"/>
          <w:highlight w:val="yellow"/>
        </w:rPr>
        <w:t>m</w:t>
      </w:r>
      <w:r>
        <w:rPr>
          <w:rFonts w:ascii="Arial" w:hAnsi="Arial" w:cs="Arial"/>
          <w:highlight w:val="white"/>
        </w:rPr>
        <w:t xml:space="preserve"> the higher polarity of distilled water, facilitating the extraction of a more diverse array of functional groups</w:t>
      </w:r>
      <w:r>
        <w:rPr>
          <w:rFonts w:ascii="Arial" w:hAnsi="Arial" w:cs="Arial"/>
          <w:highlight w:val="yellow"/>
        </w:rPr>
        <w:t>,</w:t>
      </w:r>
      <w:r>
        <w:rPr>
          <w:rFonts w:ascii="Arial" w:hAnsi="Arial" w:cs="Arial"/>
          <w:highlight w:val="white"/>
        </w:rPr>
        <w:t xml:space="preserve"> as noted </w:t>
      </w:r>
      <w:r>
        <w:rPr>
          <w:rFonts w:ascii="Arial" w:hAnsi="Arial" w:cs="Arial"/>
          <w:highlight w:val="yellow"/>
        </w:rPr>
        <w:t>in</w:t>
      </w:r>
      <w:r>
        <w:rPr>
          <w:rFonts w:ascii="Arial" w:hAnsi="Arial" w:cs="Arial"/>
          <w:highlight w:val="white"/>
        </w:rPr>
        <w:t xml:space="preserve"> previous studies (</w:t>
      </w:r>
      <w:r>
        <w:rPr>
          <w:rFonts w:ascii="Arial" w:hAnsi="Arial" w:cs="Arial"/>
        </w:rPr>
        <w:t>Kelkawi et al., 2017</w:t>
      </w:r>
      <w:r>
        <w:rPr>
          <w:rFonts w:ascii="Arial" w:hAnsi="Arial" w:cs="Arial"/>
          <w:highlight w:val="white"/>
        </w:rPr>
        <w:t xml:space="preserve">).  </w:t>
      </w:r>
    </w:p>
    <w:bookmarkEnd w:id="2"/>
    <w:p w14:paraId="6FC75F31" w14:textId="77777777" w:rsidR="00914922" w:rsidRDefault="00914922" w:rsidP="00364800">
      <w:pPr>
        <w:spacing w:before="240" w:after="240"/>
        <w:jc w:val="center"/>
        <w:rPr>
          <w:rFonts w:ascii="Times New Roman" w:hAnsi="Times New Roman"/>
          <w:b/>
          <w:bCs/>
          <w:iCs/>
          <w:highlight w:val="white"/>
        </w:rPr>
      </w:pPr>
      <w:r w:rsidRPr="00C6447E">
        <w:rPr>
          <w:rFonts w:ascii="Times New Roman" w:hAnsi="Times New Roman"/>
          <w:i/>
          <w:noProof/>
        </w:rPr>
        <w:drawing>
          <wp:inline distT="0" distB="0" distL="0" distR="0" wp14:anchorId="6F0F0A96" wp14:editId="4F6CC84F">
            <wp:extent cx="3105785" cy="2899788"/>
            <wp:effectExtent l="19050" t="19050" r="0" b="0"/>
            <wp:docPr id="1969211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356" name=""/>
                    <pic:cNvPicPr/>
                  </pic:nvPicPr>
                  <pic:blipFill>
                    <a:blip r:embed="rId20">
                      <a:extLst>
                        <a:ext uri="{BEBA8EAE-BF5A-486C-A8C5-ECC9F3942E4B}">
                          <a14:imgProps xmlns:a14="http://schemas.microsoft.com/office/drawing/2010/main">
                            <a14:imgLayer r:embed="rId21">
                              <a14:imgEffect>
                                <a14:sharpenSoften amount="25000"/>
                              </a14:imgEffect>
                            </a14:imgLayer>
                          </a14:imgProps>
                        </a:ext>
                      </a:extLst>
                    </a:blip>
                    <a:stretch>
                      <a:fillRect/>
                    </a:stretch>
                  </pic:blipFill>
                  <pic:spPr>
                    <a:xfrm>
                      <a:off x="0" y="0"/>
                      <a:ext cx="3159865" cy="2950281"/>
                    </a:xfrm>
                    <a:prstGeom prst="rect">
                      <a:avLst/>
                    </a:prstGeom>
                    <a:ln w="3175">
                      <a:solidFill>
                        <a:schemeClr val="tx1"/>
                      </a:solidFill>
                    </a:ln>
                  </pic:spPr>
                </pic:pic>
              </a:graphicData>
            </a:graphic>
          </wp:inline>
        </w:drawing>
      </w:r>
    </w:p>
    <w:p w14:paraId="4E9BCB1E" w14:textId="77777777" w:rsidR="00914922" w:rsidRPr="00853294" w:rsidRDefault="00914922" w:rsidP="00914922">
      <w:pPr>
        <w:widowControl w:val="0"/>
        <w:spacing w:before="240" w:after="240"/>
        <w:ind w:right="-153" w:hanging="165"/>
        <w:jc w:val="center"/>
        <w:rPr>
          <w:rFonts w:ascii="Arial" w:hAnsi="Arial" w:cs="Arial"/>
          <w:highlight w:val="white"/>
        </w:rPr>
      </w:pPr>
      <w:r w:rsidRPr="00853294">
        <w:rPr>
          <w:rFonts w:ascii="Arial" w:hAnsi="Arial" w:cs="Arial"/>
          <w:b/>
          <w:highlight w:val="white"/>
        </w:rPr>
        <w:t xml:space="preserve">Fig. 4. </w:t>
      </w:r>
      <w:r w:rsidRPr="00853294">
        <w:rPr>
          <w:rFonts w:ascii="Arial" w:hAnsi="Arial" w:cs="Arial"/>
          <w:b/>
          <w:bCs/>
          <w:highlight w:val="white"/>
        </w:rPr>
        <w:t xml:space="preserve">FTIR spectrum of AgNPs synthesized using aqueous root extract of </w:t>
      </w:r>
      <w:r>
        <w:rPr>
          <w:rFonts w:ascii="Arial" w:hAnsi="Arial" w:cs="Arial"/>
          <w:b/>
          <w:bCs/>
          <w:i/>
          <w:iCs/>
          <w:highlight w:val="white"/>
        </w:rPr>
        <w:t>C. scariosus</w:t>
      </w:r>
    </w:p>
    <w:p w14:paraId="49CC2287" w14:textId="77777777" w:rsidR="00914922" w:rsidRDefault="00914922" w:rsidP="00364800">
      <w:pPr>
        <w:spacing w:before="240" w:after="240"/>
        <w:jc w:val="center"/>
        <w:rPr>
          <w:rFonts w:ascii="Times New Roman" w:hAnsi="Times New Roman"/>
          <w:b/>
          <w:bCs/>
          <w:iCs/>
          <w:highlight w:val="white"/>
        </w:rPr>
      </w:pPr>
      <w:r w:rsidRPr="002D27E5">
        <w:rPr>
          <w:rFonts w:ascii="Times New Roman" w:hAnsi="Times New Roman"/>
          <w:noProof/>
        </w:rPr>
        <w:lastRenderedPageBreak/>
        <w:drawing>
          <wp:inline distT="0" distB="0" distL="0" distR="0" wp14:anchorId="237FDE99" wp14:editId="121F6D0C">
            <wp:extent cx="3129371" cy="2934462"/>
            <wp:effectExtent l="19050" t="19050" r="0" b="0"/>
            <wp:docPr id="706552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52441" name=""/>
                    <pic:cNvPicPr/>
                  </pic:nvPicPr>
                  <pic:blipFill>
                    <a:blip r:embed="rId22"/>
                    <a:stretch>
                      <a:fillRect/>
                    </a:stretch>
                  </pic:blipFill>
                  <pic:spPr>
                    <a:xfrm>
                      <a:off x="0" y="0"/>
                      <a:ext cx="3150765" cy="2954524"/>
                    </a:xfrm>
                    <a:prstGeom prst="rect">
                      <a:avLst/>
                    </a:prstGeom>
                    <a:ln w="3175">
                      <a:solidFill>
                        <a:schemeClr val="tx1"/>
                      </a:solidFill>
                    </a:ln>
                  </pic:spPr>
                </pic:pic>
              </a:graphicData>
            </a:graphic>
          </wp:inline>
        </w:drawing>
      </w:r>
    </w:p>
    <w:p w14:paraId="37556CB6" w14:textId="77777777" w:rsidR="00914922" w:rsidRPr="00853294" w:rsidRDefault="00914922" w:rsidP="00914922">
      <w:pPr>
        <w:widowControl w:val="0"/>
        <w:spacing w:before="240" w:after="240"/>
        <w:ind w:right="-153" w:hanging="165"/>
        <w:jc w:val="center"/>
        <w:rPr>
          <w:rFonts w:ascii="Arial" w:hAnsi="Arial" w:cs="Arial"/>
          <w:b/>
          <w:bCs/>
          <w:highlight w:val="white"/>
        </w:rPr>
      </w:pPr>
      <w:r w:rsidRPr="00853294">
        <w:rPr>
          <w:rFonts w:ascii="Arial" w:hAnsi="Arial" w:cs="Arial"/>
          <w:b/>
          <w:highlight w:val="white"/>
        </w:rPr>
        <w:t>Fig. 5.</w:t>
      </w:r>
      <w:r w:rsidRPr="00853294">
        <w:rPr>
          <w:rFonts w:ascii="Arial" w:hAnsi="Arial" w:cs="Arial"/>
          <w:highlight w:val="white"/>
        </w:rPr>
        <w:t xml:space="preserve"> </w:t>
      </w:r>
      <w:r w:rsidRPr="00853294">
        <w:rPr>
          <w:rFonts w:ascii="Arial" w:hAnsi="Arial" w:cs="Arial"/>
          <w:b/>
          <w:bCs/>
          <w:highlight w:val="white"/>
        </w:rPr>
        <w:t xml:space="preserve">FTIR spectrum of AgNPs synthesized using ethanolic root extract of </w:t>
      </w:r>
      <w:r>
        <w:rPr>
          <w:rFonts w:ascii="Arial" w:hAnsi="Arial" w:cs="Arial"/>
          <w:b/>
          <w:bCs/>
          <w:i/>
          <w:iCs/>
          <w:highlight w:val="white"/>
        </w:rPr>
        <w:t>C. scariosus</w:t>
      </w:r>
    </w:p>
    <w:p w14:paraId="63384986" w14:textId="77777777" w:rsidR="00914922" w:rsidRPr="00DB14B7" w:rsidRDefault="00DB14B7" w:rsidP="00853294">
      <w:pPr>
        <w:spacing w:before="240" w:after="240" w:line="360" w:lineRule="auto"/>
        <w:jc w:val="both"/>
        <w:rPr>
          <w:rFonts w:ascii="Arial" w:hAnsi="Arial" w:cs="Arial"/>
          <w:highlight w:val="white"/>
          <w:u w:val="single"/>
        </w:rPr>
      </w:pPr>
      <w:bookmarkStart w:id="3" w:name="_Hlk239967757"/>
      <w:r w:rsidRPr="00DB14B7">
        <w:rPr>
          <w:rFonts w:ascii="Arial" w:hAnsi="Arial" w:cs="Arial"/>
          <w:b/>
          <w:iCs/>
          <w:highlight w:val="white"/>
          <w:u w:val="single"/>
        </w:rPr>
        <w:t xml:space="preserve">3.2.3 </w:t>
      </w:r>
      <w:r w:rsidR="00914922" w:rsidRPr="00DB14B7">
        <w:rPr>
          <w:rFonts w:ascii="Arial" w:hAnsi="Arial" w:cs="Arial"/>
          <w:b/>
          <w:iCs/>
          <w:highlight w:val="white"/>
          <w:u w:val="single"/>
        </w:rPr>
        <w:t>TEM</w:t>
      </w:r>
      <w:r w:rsidR="00B07EBE">
        <w:rPr>
          <w:rFonts w:ascii="Arial" w:hAnsi="Arial" w:cs="Arial"/>
          <w:b/>
          <w:iCs/>
          <w:highlight w:val="white"/>
          <w:u w:val="single"/>
        </w:rPr>
        <w:t xml:space="preserve"> </w:t>
      </w:r>
    </w:p>
    <w:p w14:paraId="0169777E" w14:textId="77777777" w:rsidR="00914922" w:rsidRPr="00853294" w:rsidRDefault="00914922" w:rsidP="00853294">
      <w:pPr>
        <w:spacing w:before="240" w:after="240" w:line="360" w:lineRule="auto"/>
        <w:jc w:val="both"/>
        <w:rPr>
          <w:rFonts w:ascii="Arial" w:hAnsi="Arial" w:cs="Arial"/>
          <w:color w:val="000000"/>
          <w:shd w:val="clear" w:color="auto" w:fill="FFFFFF"/>
        </w:rPr>
      </w:pPr>
      <w:r>
        <w:rPr>
          <w:rFonts w:ascii="Arial" w:hAnsi="Arial" w:cs="Arial"/>
          <w:color w:val="000000"/>
          <w:highlight w:val="yellow"/>
          <w:shd w:val="clear" w:color="auto" w:fill="FFFFFF"/>
        </w:rPr>
        <w:t>Transmission electron microscopy (</w:t>
      </w:r>
      <w:r>
        <w:rPr>
          <w:rFonts w:ascii="Arial" w:hAnsi="Arial" w:cs="Arial"/>
          <w:color w:val="000000"/>
          <w:shd w:val="clear" w:color="auto" w:fill="FFFFFF"/>
        </w:rPr>
        <w:t>TEM</w:t>
      </w:r>
      <w:r>
        <w:rPr>
          <w:rFonts w:ascii="Arial" w:hAnsi="Arial" w:cs="Arial"/>
          <w:color w:val="000000"/>
          <w:highlight w:val="yellow"/>
          <w:shd w:val="clear" w:color="auto" w:fill="FFFFFF"/>
        </w:rPr>
        <w:t>)</w:t>
      </w:r>
      <w:r>
        <w:rPr>
          <w:rFonts w:ascii="Arial" w:hAnsi="Arial" w:cs="Arial"/>
          <w:color w:val="000000"/>
          <w:shd w:val="clear" w:color="auto" w:fill="FFFFFF"/>
        </w:rPr>
        <w:t xml:space="preserve"> pr</w:t>
      </w:r>
      <w:r>
        <w:rPr>
          <w:rFonts w:ascii="Arial" w:hAnsi="Arial" w:cs="Arial"/>
          <w:color w:val="000000"/>
          <w:highlight w:val="yellow"/>
          <w:shd w:val="clear" w:color="auto" w:fill="FFFFFF"/>
        </w:rPr>
        <w:t>ovid</w:t>
      </w:r>
      <w:r>
        <w:rPr>
          <w:rFonts w:ascii="Arial" w:hAnsi="Arial" w:cs="Arial"/>
          <w:color w:val="000000"/>
          <w:shd w:val="clear" w:color="auto" w:fill="FFFFFF"/>
        </w:rPr>
        <w:t>es a unique perspective on the size, shape</w:t>
      </w:r>
      <w:r>
        <w:rPr>
          <w:rFonts w:ascii="Arial" w:hAnsi="Arial" w:cs="Arial"/>
          <w:color w:val="000000"/>
          <w:highlight w:val="yellow"/>
          <w:shd w:val="clear" w:color="auto" w:fill="FFFFFF"/>
        </w:rPr>
        <w:t>,</w:t>
      </w:r>
      <w:r>
        <w:rPr>
          <w:rFonts w:ascii="Arial" w:hAnsi="Arial" w:cs="Arial"/>
          <w:color w:val="000000"/>
          <w:shd w:val="clear" w:color="auto" w:fill="FFFFFF"/>
        </w:rPr>
        <w:t xml:space="preserve"> and distribution of nanoparticles (Zhang </w:t>
      </w:r>
      <w:r>
        <w:rPr>
          <w:rFonts w:ascii="Arial" w:hAnsi="Arial" w:cs="Arial"/>
          <w:color w:val="000000"/>
          <w:highlight w:val="yellow"/>
          <w:shd w:val="clear" w:color="auto" w:fill="FFFFFF"/>
        </w:rPr>
        <w:t>&amp;</w:t>
      </w:r>
      <w:r>
        <w:rPr>
          <w:rFonts w:ascii="Arial" w:hAnsi="Arial" w:cs="Arial"/>
          <w:color w:val="000000"/>
          <w:shd w:val="clear" w:color="auto" w:fill="FFFFFF"/>
        </w:rPr>
        <w:t xml:space="preserve"> </w:t>
      </w:r>
      <w:r>
        <w:rPr>
          <w:rFonts w:ascii="Arial" w:hAnsi="Arial" w:cs="Arial"/>
          <w:color w:val="000000"/>
          <w:highlight w:val="yellow"/>
          <w:shd w:val="clear" w:color="auto" w:fill="FFFFFF"/>
        </w:rPr>
        <w:t>W</w:t>
      </w:r>
      <w:r>
        <w:rPr>
          <w:rFonts w:ascii="Arial" w:hAnsi="Arial" w:cs="Arial"/>
          <w:color w:val="000000"/>
          <w:shd w:val="clear" w:color="auto" w:fill="FFFFFF"/>
        </w:rPr>
        <w:t>a</w:t>
      </w:r>
      <w:r>
        <w:rPr>
          <w:rFonts w:ascii="Arial" w:hAnsi="Arial" w:cs="Arial"/>
          <w:color w:val="000000"/>
          <w:highlight w:val="yellow"/>
          <w:shd w:val="clear" w:color="auto" w:fill="FFFFFF"/>
        </w:rPr>
        <w:t>ng</w:t>
      </w:r>
      <w:r>
        <w:rPr>
          <w:rFonts w:ascii="Arial" w:hAnsi="Arial" w:cs="Arial"/>
          <w:color w:val="000000"/>
          <w:shd w:val="clear" w:color="auto" w:fill="FFFFFF"/>
        </w:rPr>
        <w:t>, 2023). AgNPs synthesi</w:t>
      </w:r>
      <w:r>
        <w:rPr>
          <w:rFonts w:ascii="Arial" w:hAnsi="Arial" w:cs="Arial"/>
          <w:color w:val="000000"/>
          <w:highlight w:val="yellow"/>
          <w:shd w:val="clear" w:color="auto" w:fill="FFFFFF"/>
        </w:rPr>
        <w:t>s</w:t>
      </w:r>
      <w:r>
        <w:rPr>
          <w:rFonts w:ascii="Arial" w:hAnsi="Arial" w:cs="Arial"/>
          <w:color w:val="000000"/>
          <w:shd w:val="clear" w:color="auto" w:fill="FFFFFF"/>
        </w:rPr>
        <w:t xml:space="preserve">ed from aqueous and ethanolic root extracts of </w:t>
      </w:r>
      <w:r>
        <w:rPr>
          <w:rFonts w:ascii="Arial" w:hAnsi="Arial" w:cs="Arial"/>
          <w:i/>
          <w:iCs/>
          <w:color w:val="000000"/>
          <w:shd w:val="clear" w:color="auto" w:fill="FFFFFF"/>
        </w:rPr>
        <w:t>C. scariosus</w:t>
      </w:r>
      <w:r>
        <w:rPr>
          <w:rFonts w:ascii="Arial" w:hAnsi="Arial" w:cs="Arial"/>
          <w:color w:val="000000"/>
          <w:shd w:val="clear" w:color="auto" w:fill="FFFFFF"/>
        </w:rPr>
        <w:t xml:space="preserve"> were th</w:t>
      </w:r>
      <w:r>
        <w:rPr>
          <w:rFonts w:ascii="Arial" w:hAnsi="Arial" w:cs="Arial"/>
          <w:color w:val="000000"/>
          <w:highlight w:val="yellow"/>
          <w:shd w:val="clear" w:color="auto" w:fill="FFFFFF"/>
        </w:rPr>
        <w:t>erefore</w:t>
      </w:r>
      <w:r>
        <w:rPr>
          <w:rFonts w:ascii="Arial" w:hAnsi="Arial" w:cs="Arial"/>
          <w:color w:val="000000"/>
          <w:shd w:val="clear" w:color="auto" w:fill="FFFFFF"/>
        </w:rPr>
        <w:t xml:space="preserve"> analysed by TEM. </w:t>
      </w:r>
    </w:p>
    <w:p w14:paraId="4619E022" w14:textId="77777777" w:rsidR="00914922" w:rsidRPr="00853294" w:rsidRDefault="00914922" w:rsidP="00853294">
      <w:pPr>
        <w:spacing w:before="240" w:after="240" w:line="360" w:lineRule="auto"/>
        <w:jc w:val="both"/>
        <w:rPr>
          <w:rFonts w:ascii="Arial" w:hAnsi="Arial" w:cs="Arial"/>
          <w:color w:val="000000"/>
          <w:shd w:val="clear" w:color="auto" w:fill="FFFFFF"/>
        </w:rPr>
      </w:pPr>
      <w:r>
        <w:rPr>
          <w:rFonts w:ascii="Arial" w:hAnsi="Arial" w:cs="Arial"/>
          <w:color w:val="000000"/>
          <w:shd w:val="clear" w:color="auto" w:fill="FFFFFF"/>
        </w:rPr>
        <w:t>TEM analysis revealed that the aqueous AgNPs were well</w:t>
      </w:r>
      <w:r>
        <w:rPr>
          <w:rFonts w:ascii="Arial" w:hAnsi="Arial" w:cs="Arial"/>
          <w:color w:val="000000"/>
          <w:highlight w:val="yellow"/>
          <w:shd w:val="clear" w:color="auto" w:fill="FFFFFF"/>
        </w:rPr>
        <w:t xml:space="preserve"> </w:t>
      </w:r>
      <w:r>
        <w:rPr>
          <w:rFonts w:ascii="Arial" w:hAnsi="Arial" w:cs="Arial"/>
          <w:color w:val="000000"/>
          <w:shd w:val="clear" w:color="auto" w:fill="FFFFFF"/>
        </w:rPr>
        <w:t>dispersed</w:t>
      </w:r>
      <w:r>
        <w:rPr>
          <w:rFonts w:ascii="Arial" w:hAnsi="Arial" w:cs="Arial"/>
          <w:color w:val="000000"/>
          <w:highlight w:val="yellow"/>
          <w:shd w:val="clear" w:color="auto" w:fill="FFFFFF"/>
        </w:rPr>
        <w:t xml:space="preserve"> and</w:t>
      </w:r>
      <w:r>
        <w:rPr>
          <w:rFonts w:ascii="Arial" w:hAnsi="Arial" w:cs="Arial"/>
          <w:color w:val="000000"/>
          <w:shd w:val="clear" w:color="auto" w:fill="FFFFFF"/>
        </w:rPr>
        <w:t xml:space="preserve"> quasi-spherical to polyhedral in shape, </w:t>
      </w:r>
      <w:r>
        <w:rPr>
          <w:rFonts w:ascii="Arial" w:hAnsi="Arial" w:cs="Arial"/>
          <w:shd w:val="clear" w:color="auto" w:fill="FFFFFF"/>
        </w:rPr>
        <w:t xml:space="preserve">with an average particle size of 90.7 nm (range: 9 to 200 nm). </w:t>
      </w:r>
      <w:r>
        <w:rPr>
          <w:rFonts w:ascii="Arial" w:hAnsi="Arial" w:cs="Arial"/>
          <w:color w:val="000000"/>
          <w:shd w:val="clear" w:color="auto" w:fill="FFFFFF"/>
        </w:rPr>
        <w:t>The size distribution pattern indicated a bimodal nature, with populations of smaller spherical nanoparticles and larger polyhedral ones. The particles displayed clear faceting and twinning planes, confirming their crystalline nature (Figs. 6 – a, b). In contrast, ethanolic AgNPs were spherical to quasi-spherical, with an average size of 23.9 nm (range: 17 to 32 nm). These nanoparticles were relatively less uniform and exhibited mild aggregation at some l</w:t>
      </w:r>
      <w:r>
        <w:rPr>
          <w:rFonts w:ascii="Arial" w:hAnsi="Arial" w:cs="Arial"/>
          <w:color w:val="000000"/>
          <w:highlight w:val="yellow"/>
          <w:shd w:val="clear" w:color="auto" w:fill="FFFFFF"/>
        </w:rPr>
        <w:t>oc</w:t>
      </w:r>
      <w:r>
        <w:rPr>
          <w:rFonts w:ascii="Arial" w:hAnsi="Arial" w:cs="Arial"/>
          <w:color w:val="000000"/>
          <w:shd w:val="clear" w:color="auto" w:fill="FFFFFF"/>
        </w:rPr>
        <w:t>a</w:t>
      </w:r>
      <w:r>
        <w:rPr>
          <w:rFonts w:ascii="Arial" w:hAnsi="Arial" w:cs="Arial"/>
          <w:color w:val="000000"/>
          <w:highlight w:val="yellow"/>
          <w:shd w:val="clear" w:color="auto" w:fill="FFFFFF"/>
        </w:rPr>
        <w:t>tion</w:t>
      </w:r>
      <w:r>
        <w:rPr>
          <w:rFonts w:ascii="Arial" w:hAnsi="Arial" w:cs="Arial"/>
          <w:color w:val="000000"/>
          <w:shd w:val="clear" w:color="auto" w:fill="FFFFFF"/>
        </w:rPr>
        <w:t xml:space="preserve">s compared </w:t>
      </w:r>
      <w:r>
        <w:rPr>
          <w:rFonts w:ascii="Arial" w:hAnsi="Arial" w:cs="Arial"/>
          <w:color w:val="000000"/>
          <w:highlight w:val="yellow"/>
          <w:shd w:val="clear" w:color="auto" w:fill="FFFFFF"/>
        </w:rPr>
        <w:t>wi</w:t>
      </w:r>
      <w:r>
        <w:rPr>
          <w:rFonts w:ascii="Arial" w:hAnsi="Arial" w:cs="Arial"/>
          <w:color w:val="000000"/>
          <w:shd w:val="clear" w:color="auto" w:fill="FFFFFF"/>
        </w:rPr>
        <w:t>t</w:t>
      </w:r>
      <w:r>
        <w:rPr>
          <w:rFonts w:ascii="Arial" w:hAnsi="Arial" w:cs="Arial"/>
          <w:color w:val="000000"/>
          <w:highlight w:val="yellow"/>
          <w:shd w:val="clear" w:color="auto" w:fill="FFFFFF"/>
        </w:rPr>
        <w:t>h</w:t>
      </w:r>
      <w:r>
        <w:rPr>
          <w:rFonts w:ascii="Arial" w:hAnsi="Arial" w:cs="Arial"/>
          <w:color w:val="000000"/>
          <w:shd w:val="clear" w:color="auto" w:fill="FFFFFF"/>
        </w:rPr>
        <w:t xml:space="preserve"> the aqueous extract (Figs. 6 - c, d).</w:t>
      </w:r>
    </w:p>
    <w:bookmarkEnd w:id="3"/>
    <w:p w14:paraId="69B85D81" w14:textId="77777777" w:rsidR="00914922" w:rsidRDefault="006A3011" w:rsidP="00364800">
      <w:pPr>
        <w:spacing w:before="240" w:after="240"/>
        <w:jc w:val="center"/>
        <w:rPr>
          <w:rFonts w:ascii="Times New Roman" w:hAnsi="Times New Roman"/>
          <w:b/>
          <w:bCs/>
          <w:iCs/>
          <w:highlight w:val="white"/>
        </w:rPr>
      </w:pPr>
      <w:r>
        <w:rPr>
          <w:noProof/>
        </w:rPr>
        <w:lastRenderedPageBreak/>
        <w:drawing>
          <wp:inline distT="0" distB="0" distL="0" distR="0" wp14:anchorId="473D75A8" wp14:editId="14AC1CF5">
            <wp:extent cx="1895582" cy="1895582"/>
            <wp:effectExtent l="0" t="0" r="0" b="0"/>
            <wp:docPr id="18603384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98020" cy="1898020"/>
                    </a:xfrm>
                    <a:prstGeom prst="rect">
                      <a:avLst/>
                    </a:prstGeom>
                    <a:noFill/>
                    <a:ln>
                      <a:noFill/>
                    </a:ln>
                  </pic:spPr>
                </pic:pic>
              </a:graphicData>
            </a:graphic>
          </wp:inline>
        </w:drawing>
      </w:r>
      <w:r w:rsidR="00914922">
        <w:rPr>
          <w:rFonts w:ascii="Times New Roman" w:hAnsi="Times New Roman"/>
          <w:b/>
          <w:bCs/>
          <w:iCs/>
          <w:highlight w:val="white"/>
        </w:rPr>
        <w:t xml:space="preserve"> </w:t>
      </w:r>
      <w:r w:rsidR="009C2FFF">
        <w:rPr>
          <w:noProof/>
        </w:rPr>
        <w:drawing>
          <wp:inline distT="0" distB="0" distL="0" distR="0" wp14:anchorId="5EB057CB" wp14:editId="6A2E7E31">
            <wp:extent cx="1895183" cy="1895183"/>
            <wp:effectExtent l="0" t="0" r="0" b="0"/>
            <wp:docPr id="13583565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9462" cy="1929462"/>
                    </a:xfrm>
                    <a:prstGeom prst="rect">
                      <a:avLst/>
                    </a:prstGeom>
                    <a:noFill/>
                    <a:ln>
                      <a:noFill/>
                    </a:ln>
                  </pic:spPr>
                </pic:pic>
              </a:graphicData>
            </a:graphic>
          </wp:inline>
        </w:drawing>
      </w:r>
    </w:p>
    <w:p w14:paraId="60E80B68" w14:textId="77777777" w:rsidR="009C2FFF" w:rsidRDefault="009C2FFF" w:rsidP="00364800">
      <w:pPr>
        <w:spacing w:before="240" w:after="240"/>
        <w:jc w:val="center"/>
        <w:rPr>
          <w:rFonts w:ascii="Times New Roman" w:hAnsi="Times New Roman"/>
          <w:b/>
          <w:bCs/>
          <w:iCs/>
          <w:highlight w:val="white"/>
        </w:rPr>
      </w:pPr>
      <w:r>
        <w:rPr>
          <w:noProof/>
        </w:rPr>
        <w:drawing>
          <wp:inline distT="0" distB="0" distL="0" distR="0" wp14:anchorId="7BE344B8" wp14:editId="0CCF6598">
            <wp:extent cx="1936679" cy="1936679"/>
            <wp:effectExtent l="0" t="0" r="0" b="0"/>
            <wp:docPr id="5582955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9931" cy="1939931"/>
                    </a:xfrm>
                    <a:prstGeom prst="rect">
                      <a:avLst/>
                    </a:prstGeom>
                    <a:noFill/>
                    <a:ln>
                      <a:noFill/>
                    </a:ln>
                  </pic:spPr>
                </pic:pic>
              </a:graphicData>
            </a:graphic>
          </wp:inline>
        </w:drawing>
      </w:r>
      <w:r>
        <w:rPr>
          <w:rFonts w:ascii="Times New Roman" w:hAnsi="Times New Roman"/>
          <w:b/>
          <w:bCs/>
          <w:iCs/>
          <w:highlight w:val="white"/>
        </w:rPr>
        <w:t xml:space="preserve"> </w:t>
      </w:r>
      <w:r>
        <w:rPr>
          <w:noProof/>
        </w:rPr>
        <w:drawing>
          <wp:inline distT="0" distB="0" distL="0" distR="0" wp14:anchorId="14496FB5" wp14:editId="3B00126B">
            <wp:extent cx="1936051" cy="1936051"/>
            <wp:effectExtent l="0" t="0" r="0" b="0"/>
            <wp:docPr id="5015568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1435" cy="1941435"/>
                    </a:xfrm>
                    <a:prstGeom prst="rect">
                      <a:avLst/>
                    </a:prstGeom>
                    <a:noFill/>
                    <a:ln>
                      <a:noFill/>
                    </a:ln>
                  </pic:spPr>
                </pic:pic>
              </a:graphicData>
            </a:graphic>
          </wp:inline>
        </w:drawing>
      </w:r>
    </w:p>
    <w:p w14:paraId="410A840D" w14:textId="77777777" w:rsidR="00613115" w:rsidRPr="00C371F9" w:rsidRDefault="00613115" w:rsidP="00613115">
      <w:pPr>
        <w:spacing w:before="240" w:after="240"/>
        <w:jc w:val="center"/>
        <w:rPr>
          <w:rFonts w:ascii="Arial" w:hAnsi="Arial" w:cs="Arial"/>
          <w:b/>
          <w:bCs/>
          <w:highlight w:val="white"/>
        </w:rPr>
      </w:pPr>
      <w:r w:rsidRPr="00C371F9">
        <w:rPr>
          <w:rFonts w:ascii="Arial" w:hAnsi="Arial" w:cs="Arial"/>
          <w:b/>
          <w:highlight w:val="white"/>
        </w:rPr>
        <w:t>Fig.6</w:t>
      </w:r>
      <w:r w:rsidRPr="00C371F9">
        <w:rPr>
          <w:rFonts w:ascii="Arial" w:hAnsi="Arial" w:cs="Arial"/>
          <w:highlight w:val="white"/>
        </w:rPr>
        <w:t xml:space="preserve"> </w:t>
      </w:r>
      <w:r w:rsidRPr="00C371F9">
        <w:rPr>
          <w:rFonts w:ascii="Arial" w:hAnsi="Arial" w:cs="Arial"/>
          <w:b/>
          <w:bCs/>
          <w:highlight w:val="white"/>
        </w:rPr>
        <w:t xml:space="preserve">TEM images of AgNPs synthesized using aqueous root extract of </w:t>
      </w:r>
      <w:r>
        <w:rPr>
          <w:rFonts w:ascii="Arial" w:hAnsi="Arial" w:cs="Arial"/>
          <w:b/>
          <w:bCs/>
          <w:i/>
          <w:iCs/>
          <w:highlight w:val="white"/>
        </w:rPr>
        <w:t>C. scariosus</w:t>
      </w:r>
      <w:r w:rsidRPr="00C371F9">
        <w:rPr>
          <w:rFonts w:ascii="Arial" w:hAnsi="Arial" w:cs="Arial"/>
          <w:b/>
          <w:bCs/>
          <w:highlight w:val="white"/>
        </w:rPr>
        <w:t xml:space="preserve"> (a) at 50nm magnification (top left) and (b) at 1µm magnification (top right).</w:t>
      </w:r>
    </w:p>
    <w:p w14:paraId="4B78B672" w14:textId="77777777" w:rsidR="00613115" w:rsidRDefault="00613115" w:rsidP="00613115">
      <w:pPr>
        <w:spacing w:before="240" w:after="240"/>
        <w:jc w:val="center"/>
        <w:rPr>
          <w:rFonts w:ascii="Arial" w:hAnsi="Arial" w:cs="Arial"/>
          <w:b/>
          <w:bCs/>
          <w:highlight w:val="white"/>
        </w:rPr>
      </w:pPr>
      <w:r w:rsidRPr="00C371F9">
        <w:rPr>
          <w:rFonts w:ascii="Arial" w:hAnsi="Arial" w:cs="Arial"/>
          <w:b/>
          <w:bCs/>
          <w:highlight w:val="white"/>
        </w:rPr>
        <w:t xml:space="preserve">TEM images of AgNPs synthesized using ethanolic root extract of </w:t>
      </w:r>
      <w:r>
        <w:rPr>
          <w:rFonts w:ascii="Arial" w:hAnsi="Arial" w:cs="Arial"/>
          <w:b/>
          <w:bCs/>
          <w:i/>
          <w:iCs/>
          <w:highlight w:val="white"/>
        </w:rPr>
        <w:t>C. scariosus</w:t>
      </w:r>
      <w:r w:rsidRPr="00C371F9">
        <w:rPr>
          <w:rFonts w:ascii="Arial" w:hAnsi="Arial" w:cs="Arial"/>
          <w:b/>
          <w:bCs/>
          <w:highlight w:val="white"/>
        </w:rPr>
        <w:t xml:space="preserve"> (c) at 50nm magnification (bottom left) and (d) at 100nm magnification (bottom right).</w:t>
      </w:r>
    </w:p>
    <w:p w14:paraId="70FC1771" w14:textId="77777777" w:rsidR="00CE5B76" w:rsidRPr="00853294" w:rsidRDefault="00CE5B76" w:rsidP="00CE5B76">
      <w:pPr>
        <w:spacing w:before="240" w:after="240" w:line="360" w:lineRule="auto"/>
        <w:jc w:val="both"/>
        <w:rPr>
          <w:rFonts w:ascii="Arial" w:hAnsi="Arial" w:cs="Arial"/>
          <w:color w:val="000000"/>
          <w:shd w:val="clear" w:color="auto" w:fill="FFFFFF"/>
        </w:rPr>
      </w:pPr>
      <w:r>
        <w:rPr>
          <w:rFonts w:ascii="Arial" w:hAnsi="Arial" w:cs="Arial"/>
          <w:color w:val="000000"/>
          <w:shd w:val="clear" w:color="auto" w:fill="FFFFFF"/>
        </w:rPr>
        <w:t xml:space="preserve">These variations can be attributed to solvent polarity. Highly polar distilled water extracts a broader range of hydrophilic phytochemicals </w:t>
      </w:r>
      <w:r>
        <w:rPr>
          <w:rFonts w:ascii="Arial" w:hAnsi="Arial" w:cs="Arial"/>
          <w:color w:val="000000"/>
          <w:highlight w:val="yellow"/>
          <w:shd w:val="clear" w:color="auto" w:fill="FFFFFF"/>
        </w:rPr>
        <w:t>t</w:t>
      </w:r>
      <w:r>
        <w:rPr>
          <w:rFonts w:ascii="Arial" w:hAnsi="Arial" w:cs="Arial"/>
          <w:color w:val="000000"/>
          <w:shd w:val="clear" w:color="auto" w:fill="FFFFFF"/>
        </w:rPr>
        <w:t>h</w:t>
      </w:r>
      <w:r>
        <w:rPr>
          <w:rFonts w:ascii="Arial" w:hAnsi="Arial" w:cs="Arial"/>
          <w:color w:val="000000"/>
          <w:highlight w:val="yellow"/>
          <w:shd w:val="clear" w:color="auto" w:fill="FFFFFF"/>
        </w:rPr>
        <w:t>at</w:t>
      </w:r>
      <w:r>
        <w:rPr>
          <w:rFonts w:ascii="Arial" w:hAnsi="Arial" w:cs="Arial"/>
          <w:color w:val="000000"/>
          <w:shd w:val="clear" w:color="auto" w:fill="FFFFFF"/>
        </w:rPr>
        <w:t xml:space="preserve"> act as strong reducing and stabili</w:t>
      </w:r>
      <w:r>
        <w:rPr>
          <w:rFonts w:ascii="Arial" w:hAnsi="Arial" w:cs="Arial"/>
          <w:color w:val="000000"/>
          <w:highlight w:val="yellow"/>
          <w:shd w:val="clear" w:color="auto" w:fill="FFFFFF"/>
        </w:rPr>
        <w:t>s</w:t>
      </w:r>
      <w:r>
        <w:rPr>
          <w:rFonts w:ascii="Arial" w:hAnsi="Arial" w:cs="Arial"/>
          <w:color w:val="000000"/>
          <w:shd w:val="clear" w:color="auto" w:fill="FFFFFF"/>
        </w:rPr>
        <w:t>ing agents, resulting in well-dispersed, crystalline nanoparticles. Ethanol, being less polar, extracts a different set of bioactive compounds, producing comparatively smaller and quasi-spherical nanoparticles with mild aggregation. Both outcomes are advantageous—aqueous extracts favo</w:t>
      </w:r>
      <w:r>
        <w:rPr>
          <w:rFonts w:ascii="Arial" w:hAnsi="Arial" w:cs="Arial"/>
          <w:color w:val="000000"/>
          <w:highlight w:val="yellow"/>
          <w:shd w:val="clear" w:color="auto" w:fill="FFFFFF"/>
        </w:rPr>
        <w:t>u</w:t>
      </w:r>
      <w:r>
        <w:rPr>
          <w:rFonts w:ascii="Arial" w:hAnsi="Arial" w:cs="Arial"/>
          <w:color w:val="000000"/>
          <w:shd w:val="clear" w:color="auto" w:fill="FFFFFF"/>
        </w:rPr>
        <w:t>r stability and defined morphology, while ethanolic extracts yield smaller nanoparticles with potentially enhanced bioactivity (</w:t>
      </w:r>
      <w:r>
        <w:rPr>
          <w:rFonts w:ascii="Arial" w:hAnsi="Arial" w:cs="Arial"/>
        </w:rPr>
        <w:t>Sasikala et al., 2015; Kota et al., 2017</w:t>
      </w:r>
      <w:r>
        <w:rPr>
          <w:rFonts w:ascii="Arial" w:hAnsi="Arial" w:cs="Arial"/>
          <w:color w:val="000000"/>
          <w:shd w:val="clear" w:color="auto" w:fill="FFFFFF"/>
        </w:rPr>
        <w:t xml:space="preserve">). Thus, TEM analysis confirms that both extracts of </w:t>
      </w:r>
      <w:r>
        <w:rPr>
          <w:rFonts w:ascii="Arial" w:hAnsi="Arial" w:cs="Arial"/>
          <w:i/>
          <w:iCs/>
          <w:color w:val="000000"/>
          <w:shd w:val="clear" w:color="auto" w:fill="FFFFFF"/>
        </w:rPr>
        <w:t>C. scariosus</w:t>
      </w:r>
      <w:r>
        <w:rPr>
          <w:rFonts w:ascii="Arial" w:hAnsi="Arial" w:cs="Arial"/>
          <w:color w:val="000000"/>
          <w:shd w:val="clear" w:color="auto" w:fill="FFFFFF"/>
        </w:rPr>
        <w:t xml:space="preserve"> effectively mediate </w:t>
      </w:r>
      <w:r>
        <w:rPr>
          <w:rFonts w:ascii="Arial" w:hAnsi="Arial" w:cs="Arial"/>
          <w:color w:val="000000"/>
          <w:highlight w:val="yellow"/>
          <w:shd w:val="clear" w:color="auto" w:fill="FFFFFF"/>
        </w:rPr>
        <w:t xml:space="preserve">the </w:t>
      </w:r>
      <w:r>
        <w:rPr>
          <w:rFonts w:ascii="Arial" w:hAnsi="Arial" w:cs="Arial"/>
          <w:color w:val="000000"/>
          <w:shd w:val="clear" w:color="auto" w:fill="FFFFFF"/>
        </w:rPr>
        <w:t xml:space="preserve">green synthesis of AgNPs, each offering unique and complementary benefits. </w:t>
      </w:r>
    </w:p>
    <w:p w14:paraId="121C36B3" w14:textId="77777777" w:rsidR="00B973E8" w:rsidRDefault="00DB14B7" w:rsidP="009276F5">
      <w:pPr>
        <w:spacing w:before="240" w:after="240" w:line="360" w:lineRule="auto"/>
        <w:rPr>
          <w:rFonts w:ascii="Arial" w:hAnsi="Arial" w:cs="Arial"/>
          <w:b/>
          <w:iCs/>
          <w:u w:val="single"/>
        </w:rPr>
      </w:pPr>
      <w:bookmarkStart w:id="4" w:name="_Hlk239967790"/>
      <w:r w:rsidRPr="00DB14B7">
        <w:rPr>
          <w:rFonts w:ascii="Arial" w:hAnsi="Arial" w:cs="Arial"/>
          <w:b/>
          <w:iCs/>
          <w:u w:val="single"/>
        </w:rPr>
        <w:t xml:space="preserve">3.2.4 </w:t>
      </w:r>
      <w:r w:rsidR="00613115" w:rsidRPr="00DB14B7">
        <w:rPr>
          <w:rFonts w:ascii="Arial" w:hAnsi="Arial" w:cs="Arial"/>
          <w:b/>
          <w:iCs/>
          <w:u w:val="single"/>
        </w:rPr>
        <w:t xml:space="preserve">FESEM and EDX </w:t>
      </w:r>
      <w:r w:rsidR="00B07EBE">
        <w:rPr>
          <w:rFonts w:ascii="Arial" w:hAnsi="Arial" w:cs="Arial"/>
          <w:b/>
          <w:iCs/>
          <w:u w:val="single"/>
        </w:rPr>
        <w:t>a</w:t>
      </w:r>
      <w:r w:rsidR="00613115" w:rsidRPr="00DB14B7">
        <w:rPr>
          <w:rFonts w:ascii="Arial" w:hAnsi="Arial" w:cs="Arial"/>
          <w:b/>
          <w:iCs/>
          <w:u w:val="single"/>
        </w:rPr>
        <w:t>nalysis</w:t>
      </w:r>
    </w:p>
    <w:p w14:paraId="5F6B3330" w14:textId="77777777" w:rsidR="00613115" w:rsidRPr="00D45DCE" w:rsidRDefault="00613115" w:rsidP="00B973E8">
      <w:pPr>
        <w:spacing w:before="240" w:after="240" w:line="360" w:lineRule="auto"/>
        <w:jc w:val="both"/>
        <w:rPr>
          <w:rFonts w:ascii="Arial" w:hAnsi="Arial" w:cs="Arial"/>
        </w:rPr>
      </w:pPr>
      <w:r>
        <w:rPr>
          <w:rFonts w:ascii="Arial" w:hAnsi="Arial" w:cs="Arial"/>
        </w:rPr>
        <w:lastRenderedPageBreak/>
        <w:t>FESEM provided a high-resolution view of the surface morphology of the biosynthesi</w:t>
      </w:r>
      <w:r>
        <w:rPr>
          <w:rFonts w:ascii="Arial" w:hAnsi="Arial" w:cs="Arial"/>
          <w:highlight w:val="yellow"/>
        </w:rPr>
        <w:t>s</w:t>
      </w:r>
      <w:r>
        <w:rPr>
          <w:rFonts w:ascii="Arial" w:hAnsi="Arial" w:cs="Arial"/>
        </w:rPr>
        <w:t>ed silver nanoparticles, while EDX analysis confirmed the elemental presence of silver amongst other elements</w:t>
      </w:r>
      <w:r>
        <w:rPr>
          <w:rFonts w:ascii="Arial" w:hAnsi="Arial" w:cs="Arial"/>
          <w:highlight w:val="yellow"/>
        </w:rPr>
        <w:t>,</w:t>
      </w:r>
      <w:r>
        <w:rPr>
          <w:rFonts w:ascii="Arial" w:hAnsi="Arial" w:cs="Arial"/>
        </w:rPr>
        <w:t xml:space="preserve"> thereby validating</w:t>
      </w:r>
      <w:r>
        <w:rPr>
          <w:rFonts w:ascii="Arial" w:hAnsi="Arial" w:cs="Arial"/>
          <w:highlight w:val="yellow"/>
        </w:rPr>
        <w:t xml:space="preserve"> the</w:t>
      </w:r>
      <w:r>
        <w:rPr>
          <w:rFonts w:ascii="Arial" w:hAnsi="Arial" w:cs="Arial"/>
        </w:rPr>
        <w:t xml:space="preserve"> successful green synthesis of silver nanoparticles using the aqueous and ethanolic root extract</w:t>
      </w:r>
      <w:r>
        <w:rPr>
          <w:rFonts w:ascii="Arial" w:hAnsi="Arial" w:cs="Arial"/>
          <w:highlight w:val="yellow"/>
        </w:rPr>
        <w:t>s</w:t>
      </w:r>
      <w:r>
        <w:rPr>
          <w:rFonts w:ascii="Arial" w:hAnsi="Arial" w:cs="Arial"/>
        </w:rPr>
        <w:t xml:space="preserve"> of </w:t>
      </w:r>
      <w:r>
        <w:rPr>
          <w:rFonts w:ascii="Arial" w:hAnsi="Arial" w:cs="Arial"/>
          <w:i/>
          <w:iCs/>
        </w:rPr>
        <w:t>C. scariosus,</w:t>
      </w:r>
      <w:r>
        <w:rPr>
          <w:rFonts w:ascii="Arial" w:hAnsi="Arial" w:cs="Arial"/>
        </w:rPr>
        <w:t xml:space="preserve"> as illustrated in Figs. (7, 8).</w:t>
      </w:r>
    </w:p>
    <w:p w14:paraId="2E97A130" w14:textId="77777777" w:rsidR="00613115" w:rsidRPr="00D45DCE" w:rsidRDefault="00613115" w:rsidP="00407BF2">
      <w:pPr>
        <w:spacing w:before="240" w:line="360" w:lineRule="auto"/>
        <w:jc w:val="both"/>
        <w:rPr>
          <w:rFonts w:ascii="Arial" w:hAnsi="Arial" w:cs="Arial"/>
        </w:rPr>
      </w:pPr>
      <w:r>
        <w:rPr>
          <w:rFonts w:ascii="Arial" w:hAnsi="Arial" w:cs="Arial"/>
        </w:rPr>
        <w:t>The FESEM analysis of the aqueous AgNPs revealed that they were smooth, spherical</w:t>
      </w:r>
      <w:r>
        <w:rPr>
          <w:rFonts w:ascii="Arial" w:hAnsi="Arial" w:cs="Arial"/>
          <w:highlight w:val="yellow"/>
        </w:rPr>
        <w:t>,</w:t>
      </w:r>
      <w:r>
        <w:rPr>
          <w:rFonts w:ascii="Arial" w:hAnsi="Arial" w:cs="Arial"/>
        </w:rPr>
        <w:t xml:space="preserve"> and well</w:t>
      </w:r>
      <w:r>
        <w:rPr>
          <w:rFonts w:ascii="Arial" w:hAnsi="Arial" w:cs="Arial"/>
          <w:highlight w:val="yellow"/>
        </w:rPr>
        <w:t xml:space="preserve"> </w:t>
      </w:r>
      <w:r>
        <w:rPr>
          <w:rFonts w:ascii="Arial" w:hAnsi="Arial" w:cs="Arial"/>
        </w:rPr>
        <w:t>dispersed, wi</w:t>
      </w:r>
      <w:r>
        <w:rPr>
          <w:rFonts w:ascii="Arial" w:hAnsi="Arial" w:cs="Arial"/>
          <w:highlight w:val="yellow"/>
        </w:rPr>
        <w:t>th</w:t>
      </w:r>
      <w:r>
        <w:rPr>
          <w:rFonts w:ascii="Arial" w:hAnsi="Arial" w:cs="Arial"/>
        </w:rPr>
        <w:t xml:space="preserve"> some agglomeration (Figs. 7 - a, b). Our results align with those obtained in the synthesis of silver nanoparticles from </w:t>
      </w:r>
      <w:r>
        <w:rPr>
          <w:rFonts w:ascii="Arial" w:hAnsi="Arial" w:cs="Arial"/>
          <w:i/>
          <w:iCs/>
        </w:rPr>
        <w:t>Pedalium murex</w:t>
      </w:r>
      <w:r>
        <w:rPr>
          <w:rFonts w:ascii="Arial" w:hAnsi="Arial" w:cs="Arial"/>
        </w:rPr>
        <w:t xml:space="preserve"> leaf extract (Anandalakshmi et al., 2016). The surface morphology of the ethanolic AgNPs exhibited well-dispersed, quasi-spherical nanoparticles with evidence of agglomeration (Figs. 7 - c, d). The rough surface texture and irregular clustering suggest the presence of bioorganic compounds from the plant extract acting as stabili</w:t>
      </w:r>
      <w:r>
        <w:rPr>
          <w:rFonts w:ascii="Arial" w:hAnsi="Arial" w:cs="Arial"/>
          <w:highlight w:val="yellow"/>
        </w:rPr>
        <w:t>s</w:t>
      </w:r>
      <w:r>
        <w:rPr>
          <w:rFonts w:ascii="Arial" w:hAnsi="Arial" w:cs="Arial"/>
        </w:rPr>
        <w:t>ing agents. These findings are in line with results observed f</w:t>
      </w:r>
      <w:r>
        <w:rPr>
          <w:rFonts w:ascii="Arial" w:hAnsi="Arial" w:cs="Arial"/>
          <w:highlight w:val="yellow"/>
        </w:rPr>
        <w:t>o</w:t>
      </w:r>
      <w:r>
        <w:rPr>
          <w:rFonts w:ascii="Arial" w:hAnsi="Arial" w:cs="Arial"/>
        </w:rPr>
        <w:t>r silver nanoparticles synthesi</w:t>
      </w:r>
      <w:r>
        <w:rPr>
          <w:rFonts w:ascii="Arial" w:hAnsi="Arial" w:cs="Arial"/>
          <w:highlight w:val="yellow"/>
        </w:rPr>
        <w:t>s</w:t>
      </w:r>
      <w:r>
        <w:rPr>
          <w:rFonts w:ascii="Arial" w:hAnsi="Arial" w:cs="Arial"/>
        </w:rPr>
        <w:t>ed using gum kondagogu, displaying similar agglomeration of AgNPs (Rastogi et al., 2015).</w:t>
      </w:r>
      <w:r>
        <w:rPr>
          <w:rFonts w:ascii="Arial" w:hAnsi="Arial" w:cs="Arial"/>
        </w:rPr>
        <w:br/>
        <w:t>The EDX analysis of the aqueous AgNPs showed a strong signal at 3 keV, confirming</w:t>
      </w:r>
      <w:r>
        <w:rPr>
          <w:rFonts w:ascii="Arial" w:hAnsi="Arial" w:cs="Arial"/>
          <w:highlight w:val="yellow"/>
        </w:rPr>
        <w:t xml:space="preserve"> the</w:t>
      </w:r>
      <w:r>
        <w:rPr>
          <w:rFonts w:ascii="Arial" w:hAnsi="Arial" w:cs="Arial"/>
        </w:rPr>
        <w:t xml:space="preserve"> successful formation of AgNPs with 47.72 weight % silver. Other detected elements included Carbon (16.41 %),</w:t>
      </w:r>
      <w:r>
        <w:rPr>
          <w:rFonts w:ascii="Arial" w:hAnsi="Arial" w:cs="Arial"/>
          <w:highlight w:val="yellow"/>
        </w:rPr>
        <w:t xml:space="preserve"> </w:t>
      </w:r>
      <w:r>
        <w:rPr>
          <w:rFonts w:ascii="Arial" w:hAnsi="Arial" w:cs="Arial"/>
        </w:rPr>
        <w:t>Oxygen (15.86 %), Nitrogen (6.11 %), Chlorine (12.91 %), and Potassium (1.71 %) by weight (Figs. 8 - a, c). These biomolecules act as reducing and stabili</w:t>
      </w:r>
      <w:r>
        <w:rPr>
          <w:rFonts w:ascii="Arial" w:hAnsi="Arial" w:cs="Arial"/>
          <w:highlight w:val="yellow"/>
        </w:rPr>
        <w:t>s</w:t>
      </w:r>
      <w:r>
        <w:rPr>
          <w:rFonts w:ascii="Arial" w:hAnsi="Arial" w:cs="Arial"/>
        </w:rPr>
        <w:t xml:space="preserve">ing agents, likely derived from plant phytochemicals. </w:t>
      </w:r>
      <w:r>
        <w:rPr>
          <w:rFonts w:ascii="Arial" w:hAnsi="Arial" w:cs="Arial"/>
          <w:highlight w:val="yellow"/>
        </w:rPr>
        <w:t>A s</w:t>
      </w:r>
      <w:r>
        <w:rPr>
          <w:rFonts w:ascii="Arial" w:hAnsi="Arial" w:cs="Arial"/>
        </w:rPr>
        <w:t>imilar elemental composition has been reported f</w:t>
      </w:r>
      <w:r>
        <w:rPr>
          <w:rFonts w:ascii="Arial" w:hAnsi="Arial" w:cs="Arial"/>
          <w:highlight w:val="yellow"/>
        </w:rPr>
        <w:t>o</w:t>
      </w:r>
      <w:r>
        <w:rPr>
          <w:rFonts w:ascii="Arial" w:hAnsi="Arial" w:cs="Arial"/>
        </w:rPr>
        <w:t>r AgNPs synthesi</w:t>
      </w:r>
      <w:r>
        <w:rPr>
          <w:rFonts w:ascii="Arial" w:hAnsi="Arial" w:cs="Arial"/>
          <w:highlight w:val="yellow"/>
        </w:rPr>
        <w:t>s</w:t>
      </w:r>
      <w:r>
        <w:rPr>
          <w:rFonts w:ascii="Arial" w:hAnsi="Arial" w:cs="Arial"/>
        </w:rPr>
        <w:t xml:space="preserve">ed using aqueous extracts of </w:t>
      </w:r>
      <w:r>
        <w:rPr>
          <w:rFonts w:ascii="Arial" w:hAnsi="Arial" w:cs="Arial"/>
          <w:i/>
          <w:iCs/>
        </w:rPr>
        <w:t xml:space="preserve">Brillantaisia patula, Crossopteryx febrifuga, and Senna siamea, </w:t>
      </w:r>
      <w:r>
        <w:rPr>
          <w:rFonts w:ascii="Arial" w:hAnsi="Arial" w:cs="Arial"/>
        </w:rPr>
        <w:t>where</w:t>
      </w:r>
      <w:r>
        <w:rPr>
          <w:rFonts w:ascii="Arial" w:hAnsi="Arial" w:cs="Arial"/>
          <w:i/>
          <w:iCs/>
        </w:rPr>
        <w:t xml:space="preserve"> </w:t>
      </w:r>
      <w:r>
        <w:rPr>
          <w:rFonts w:ascii="Arial" w:hAnsi="Arial" w:cs="Arial"/>
        </w:rPr>
        <w:t>EDX analysis of the AgNP sample showed 47.14 weight % Ag (Kambale et al., 2020).</w:t>
      </w:r>
    </w:p>
    <w:p w14:paraId="0A0F85BC" w14:textId="77777777" w:rsidR="00A64D41" w:rsidRDefault="00613115" w:rsidP="004E5BEB">
      <w:pPr>
        <w:spacing w:line="360" w:lineRule="auto"/>
        <w:jc w:val="both"/>
        <w:rPr>
          <w:rFonts w:ascii="Arial" w:hAnsi="Arial" w:cs="Arial"/>
        </w:rPr>
      </w:pPr>
      <w:r>
        <w:rPr>
          <w:rFonts w:ascii="Arial" w:hAnsi="Arial" w:cs="Arial"/>
        </w:rPr>
        <w:t>The EDX analysis of ethanolic AgNPs also showed a strong Ag peak at ~3 keV</w:t>
      </w:r>
      <w:r>
        <w:rPr>
          <w:rFonts w:ascii="Arial" w:hAnsi="Arial" w:cs="Arial"/>
          <w:highlight w:val="yellow"/>
        </w:rPr>
        <w:t>,</w:t>
      </w:r>
      <w:r>
        <w:rPr>
          <w:rFonts w:ascii="Arial" w:hAnsi="Arial" w:cs="Arial"/>
        </w:rPr>
        <w:t xml:space="preserve"> with 34.91 weight % silver, confirming silver nanoparticle formation. Elements </w:t>
      </w:r>
      <w:r>
        <w:rPr>
          <w:rFonts w:ascii="Arial" w:hAnsi="Arial" w:cs="Arial"/>
          <w:highlight w:val="yellow"/>
        </w:rPr>
        <w:t>such as</w:t>
      </w:r>
      <w:r>
        <w:rPr>
          <w:rFonts w:ascii="Arial" w:hAnsi="Arial" w:cs="Arial"/>
        </w:rPr>
        <w:t xml:space="preserve"> Carbon (23.91 weight %), Oxygen (23.48 weight %), Chlorine (14.81 weight %), Sodium (2.58 weight %), and Potassium (2.30 weight %) suggest phytochemical capping by </w:t>
      </w:r>
      <w:r>
        <w:rPr>
          <w:rFonts w:ascii="Arial" w:hAnsi="Arial" w:cs="Arial"/>
          <w:i/>
          <w:iCs/>
        </w:rPr>
        <w:t>C. scariosus</w:t>
      </w:r>
      <w:r>
        <w:rPr>
          <w:rFonts w:ascii="Arial" w:hAnsi="Arial" w:cs="Arial"/>
        </w:rPr>
        <w:t xml:space="preserve"> extract (Figs. 8 - b, d). Similar findings of organic elements associated with plant-derived AgNPs have been reported in earlier studies (Iravani, 2011; Mittal et al., 2013).</w:t>
      </w:r>
    </w:p>
    <w:p w14:paraId="108A21DD" w14:textId="77777777" w:rsidR="0025624B" w:rsidRDefault="0025624B" w:rsidP="004E5BEB">
      <w:pPr>
        <w:spacing w:line="360" w:lineRule="auto"/>
        <w:jc w:val="both"/>
        <w:rPr>
          <w:rFonts w:ascii="Arial" w:hAnsi="Arial" w:cs="Arial"/>
        </w:rPr>
      </w:pPr>
    </w:p>
    <w:bookmarkEnd w:id="4"/>
    <w:p w14:paraId="1E41E757" w14:textId="77777777" w:rsidR="004E5BEB" w:rsidRDefault="00087CF2" w:rsidP="00087CF2">
      <w:pPr>
        <w:spacing w:line="360" w:lineRule="auto"/>
        <w:jc w:val="center"/>
        <w:rPr>
          <w:rFonts w:ascii="Arial" w:hAnsi="Arial" w:cs="Arial"/>
        </w:rPr>
      </w:pPr>
      <w:r>
        <w:rPr>
          <w:noProof/>
        </w:rPr>
        <w:drawing>
          <wp:inline distT="0" distB="0" distL="0" distR="0" wp14:anchorId="229E0CC1" wp14:editId="32E62B3C">
            <wp:extent cx="2191331" cy="1561672"/>
            <wp:effectExtent l="0" t="0" r="0" b="0"/>
            <wp:docPr id="19059366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5513" cy="1564652"/>
                    </a:xfrm>
                    <a:prstGeom prst="rect">
                      <a:avLst/>
                    </a:prstGeom>
                    <a:noFill/>
                    <a:ln>
                      <a:noFill/>
                    </a:ln>
                  </pic:spPr>
                </pic:pic>
              </a:graphicData>
            </a:graphic>
          </wp:inline>
        </w:drawing>
      </w:r>
      <w:r>
        <w:rPr>
          <w:noProof/>
        </w:rPr>
        <w:t xml:space="preserve"> </w:t>
      </w:r>
      <w:r>
        <w:rPr>
          <w:noProof/>
        </w:rPr>
        <w:drawing>
          <wp:inline distT="0" distB="0" distL="0" distR="0" wp14:anchorId="349C6DC9" wp14:editId="734ED8F5">
            <wp:extent cx="2190940" cy="1560709"/>
            <wp:effectExtent l="0" t="0" r="0" b="0"/>
            <wp:docPr id="11987270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01555" cy="1568270"/>
                    </a:xfrm>
                    <a:prstGeom prst="rect">
                      <a:avLst/>
                    </a:prstGeom>
                    <a:noFill/>
                    <a:ln>
                      <a:noFill/>
                    </a:ln>
                  </pic:spPr>
                </pic:pic>
              </a:graphicData>
            </a:graphic>
          </wp:inline>
        </w:drawing>
      </w:r>
    </w:p>
    <w:p w14:paraId="6154B617" w14:textId="77777777" w:rsidR="00087CF2" w:rsidRDefault="00087CF2" w:rsidP="00087CF2">
      <w:pPr>
        <w:spacing w:line="360" w:lineRule="auto"/>
        <w:jc w:val="center"/>
        <w:rPr>
          <w:rFonts w:ascii="Arial" w:hAnsi="Arial" w:cs="Arial"/>
        </w:rPr>
      </w:pPr>
      <w:r>
        <w:rPr>
          <w:noProof/>
        </w:rPr>
        <w:lastRenderedPageBreak/>
        <w:drawing>
          <wp:inline distT="0" distB="0" distL="0" distR="0" wp14:anchorId="11AE6704" wp14:editId="68D29FF1">
            <wp:extent cx="2177867" cy="1551398"/>
            <wp:effectExtent l="0" t="0" r="0" b="0"/>
            <wp:docPr id="21239498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86313" cy="1557414"/>
                    </a:xfrm>
                    <a:prstGeom prst="rect">
                      <a:avLst/>
                    </a:prstGeom>
                    <a:noFill/>
                    <a:ln>
                      <a:noFill/>
                    </a:ln>
                  </pic:spPr>
                </pic:pic>
              </a:graphicData>
            </a:graphic>
          </wp:inline>
        </w:drawing>
      </w:r>
      <w:r>
        <w:rPr>
          <w:noProof/>
        </w:rPr>
        <w:t xml:space="preserve"> </w:t>
      </w:r>
      <w:r>
        <w:rPr>
          <w:noProof/>
        </w:rPr>
        <w:drawing>
          <wp:inline distT="0" distB="0" distL="0" distR="0" wp14:anchorId="42F812DA" wp14:editId="7284B9A3">
            <wp:extent cx="2167848" cy="1544260"/>
            <wp:effectExtent l="0" t="0" r="0" b="0"/>
            <wp:docPr id="16618255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2947" cy="1555016"/>
                    </a:xfrm>
                    <a:prstGeom prst="rect">
                      <a:avLst/>
                    </a:prstGeom>
                    <a:noFill/>
                    <a:ln>
                      <a:noFill/>
                    </a:ln>
                  </pic:spPr>
                </pic:pic>
              </a:graphicData>
            </a:graphic>
          </wp:inline>
        </w:drawing>
      </w:r>
    </w:p>
    <w:p w14:paraId="09DA871F" w14:textId="77777777" w:rsidR="00087CF2" w:rsidRPr="00D45DCE" w:rsidRDefault="00087CF2" w:rsidP="004E5BEB">
      <w:pPr>
        <w:spacing w:line="360" w:lineRule="auto"/>
        <w:jc w:val="both"/>
        <w:rPr>
          <w:rFonts w:ascii="Arial" w:hAnsi="Arial" w:cs="Arial"/>
        </w:rPr>
      </w:pPr>
    </w:p>
    <w:p w14:paraId="1F7E5FEB" w14:textId="77777777" w:rsidR="00E602C3" w:rsidRPr="00F61864" w:rsidRDefault="00E602C3" w:rsidP="00E602C3">
      <w:pPr>
        <w:widowControl w:val="0"/>
        <w:spacing w:after="240"/>
        <w:jc w:val="center"/>
        <w:rPr>
          <w:rFonts w:ascii="Arial" w:hAnsi="Arial" w:cs="Arial"/>
          <w:b/>
        </w:rPr>
      </w:pPr>
      <w:r w:rsidRPr="00F61864">
        <w:rPr>
          <w:rFonts w:ascii="Arial" w:hAnsi="Arial" w:cs="Arial"/>
          <w:b/>
        </w:rPr>
        <w:t xml:space="preserve">Fig. 7 </w:t>
      </w:r>
      <w:r w:rsidRPr="00F61864">
        <w:rPr>
          <w:rFonts w:ascii="Arial" w:hAnsi="Arial" w:cs="Arial"/>
          <w:b/>
          <w:highlight w:val="white"/>
        </w:rPr>
        <w:t xml:space="preserve">FESEM images of AgNPs synthesized using aqueous root extract of </w:t>
      </w:r>
      <w:r>
        <w:rPr>
          <w:rFonts w:ascii="Arial" w:hAnsi="Arial" w:cs="Arial"/>
          <w:b/>
          <w:i/>
          <w:iCs/>
          <w:highlight w:val="white"/>
        </w:rPr>
        <w:t>C. scariosus</w:t>
      </w:r>
      <w:r w:rsidRPr="00F61864">
        <w:rPr>
          <w:rFonts w:ascii="Arial" w:hAnsi="Arial" w:cs="Arial"/>
          <w:b/>
          <w:highlight w:val="white"/>
        </w:rPr>
        <w:t xml:space="preserve"> (</w:t>
      </w:r>
      <w:r w:rsidR="00E50840">
        <w:rPr>
          <w:rFonts w:ascii="Arial" w:hAnsi="Arial" w:cs="Arial"/>
          <w:b/>
          <w:highlight w:val="white"/>
        </w:rPr>
        <w:t>a</w:t>
      </w:r>
      <w:r w:rsidRPr="00F61864">
        <w:rPr>
          <w:rFonts w:ascii="Arial" w:hAnsi="Arial" w:cs="Arial"/>
          <w:b/>
          <w:highlight w:val="white"/>
        </w:rPr>
        <w:t>) at 500</w:t>
      </w:r>
      <w:r w:rsidR="00A64D41">
        <w:rPr>
          <w:rFonts w:ascii="Arial" w:hAnsi="Arial" w:cs="Arial"/>
          <w:b/>
          <w:highlight w:val="white"/>
        </w:rPr>
        <w:t xml:space="preserve"> </w:t>
      </w:r>
      <w:r w:rsidRPr="00F61864">
        <w:rPr>
          <w:rFonts w:ascii="Arial" w:hAnsi="Arial" w:cs="Arial"/>
          <w:b/>
          <w:highlight w:val="white"/>
        </w:rPr>
        <w:t>nm magnification (top left) and (</w:t>
      </w:r>
      <w:r w:rsidR="00E50840">
        <w:rPr>
          <w:rFonts w:ascii="Arial" w:hAnsi="Arial" w:cs="Arial"/>
          <w:b/>
          <w:highlight w:val="white"/>
        </w:rPr>
        <w:t>b</w:t>
      </w:r>
      <w:r w:rsidRPr="00F61864">
        <w:rPr>
          <w:rFonts w:ascii="Arial" w:hAnsi="Arial" w:cs="Arial"/>
          <w:b/>
          <w:highlight w:val="white"/>
        </w:rPr>
        <w:t>) at 2</w:t>
      </w:r>
      <w:r w:rsidR="00A64D41">
        <w:rPr>
          <w:rFonts w:ascii="Arial" w:hAnsi="Arial" w:cs="Arial"/>
          <w:b/>
        </w:rPr>
        <w:t xml:space="preserve"> </w:t>
      </w:r>
      <w:r w:rsidRPr="00F61864">
        <w:rPr>
          <w:rFonts w:ascii="Arial" w:hAnsi="Arial" w:cs="Arial"/>
          <w:b/>
        </w:rPr>
        <w:t>μm</w:t>
      </w:r>
      <w:r w:rsidRPr="00F61864">
        <w:rPr>
          <w:rFonts w:ascii="Arial" w:hAnsi="Arial" w:cs="Arial"/>
          <w:b/>
          <w:highlight w:val="white"/>
        </w:rPr>
        <w:t xml:space="preserve"> magnification (top right).</w:t>
      </w:r>
    </w:p>
    <w:p w14:paraId="4E3281ED" w14:textId="77777777" w:rsidR="00E602C3" w:rsidRDefault="00E602C3" w:rsidP="00E602C3">
      <w:pPr>
        <w:spacing w:before="240" w:after="240"/>
        <w:jc w:val="center"/>
        <w:rPr>
          <w:rFonts w:ascii="Arial" w:hAnsi="Arial" w:cs="Arial"/>
          <w:b/>
          <w:highlight w:val="white"/>
        </w:rPr>
      </w:pPr>
      <w:r w:rsidRPr="00F61864">
        <w:rPr>
          <w:rFonts w:ascii="Arial" w:hAnsi="Arial" w:cs="Arial"/>
          <w:b/>
          <w:highlight w:val="white"/>
        </w:rPr>
        <w:t xml:space="preserve">FESEM images of AgNPs synthesized using ethanolic root extract of </w:t>
      </w:r>
      <w:r>
        <w:rPr>
          <w:rFonts w:ascii="Arial" w:hAnsi="Arial" w:cs="Arial"/>
          <w:b/>
          <w:i/>
          <w:iCs/>
          <w:highlight w:val="white"/>
        </w:rPr>
        <w:t>C. scariosus</w:t>
      </w:r>
      <w:r w:rsidRPr="00F61864">
        <w:rPr>
          <w:rFonts w:ascii="Arial" w:hAnsi="Arial" w:cs="Arial"/>
          <w:b/>
          <w:highlight w:val="white"/>
        </w:rPr>
        <w:t xml:space="preserve"> (</w:t>
      </w:r>
      <w:r w:rsidR="00E50840">
        <w:rPr>
          <w:rFonts w:ascii="Arial" w:hAnsi="Arial" w:cs="Arial"/>
          <w:b/>
          <w:highlight w:val="white"/>
        </w:rPr>
        <w:t>c</w:t>
      </w:r>
      <w:r w:rsidRPr="00F61864">
        <w:rPr>
          <w:rFonts w:ascii="Arial" w:hAnsi="Arial" w:cs="Arial"/>
          <w:b/>
          <w:highlight w:val="white"/>
        </w:rPr>
        <w:t>) at 500nm magnification (</w:t>
      </w:r>
      <w:r w:rsidR="00E04AC8">
        <w:rPr>
          <w:rFonts w:ascii="Arial" w:hAnsi="Arial" w:cs="Arial"/>
          <w:b/>
          <w:highlight w:val="white"/>
        </w:rPr>
        <w:t>bottom</w:t>
      </w:r>
      <w:r w:rsidRPr="00F61864">
        <w:rPr>
          <w:rFonts w:ascii="Arial" w:hAnsi="Arial" w:cs="Arial"/>
          <w:b/>
          <w:highlight w:val="white"/>
        </w:rPr>
        <w:t xml:space="preserve"> left) and (</w:t>
      </w:r>
      <w:r w:rsidR="00E50840">
        <w:rPr>
          <w:rFonts w:ascii="Arial" w:hAnsi="Arial" w:cs="Arial"/>
          <w:b/>
          <w:highlight w:val="white"/>
        </w:rPr>
        <w:t>d</w:t>
      </w:r>
      <w:r w:rsidRPr="00F61864">
        <w:rPr>
          <w:rFonts w:ascii="Arial" w:hAnsi="Arial" w:cs="Arial"/>
          <w:b/>
          <w:highlight w:val="white"/>
        </w:rPr>
        <w:t xml:space="preserve">) at </w:t>
      </w:r>
      <w:r w:rsidRPr="00F61864">
        <w:rPr>
          <w:rFonts w:ascii="Arial" w:hAnsi="Arial" w:cs="Arial"/>
          <w:b/>
        </w:rPr>
        <w:t>1</w:t>
      </w:r>
      <w:r w:rsidR="00A64D41">
        <w:rPr>
          <w:rFonts w:ascii="Arial" w:hAnsi="Arial" w:cs="Arial"/>
          <w:b/>
        </w:rPr>
        <w:t xml:space="preserve"> </w:t>
      </w:r>
      <w:r w:rsidRPr="00F61864">
        <w:rPr>
          <w:rFonts w:ascii="Arial" w:hAnsi="Arial" w:cs="Arial"/>
          <w:b/>
        </w:rPr>
        <w:t>μm</w:t>
      </w:r>
      <w:r w:rsidRPr="00F61864">
        <w:rPr>
          <w:rFonts w:ascii="Arial" w:hAnsi="Arial" w:cs="Arial"/>
          <w:b/>
          <w:highlight w:val="white"/>
        </w:rPr>
        <w:t xml:space="preserve"> magnification (</w:t>
      </w:r>
      <w:r w:rsidR="00E04AC8">
        <w:rPr>
          <w:rFonts w:ascii="Arial" w:hAnsi="Arial" w:cs="Arial"/>
          <w:b/>
          <w:highlight w:val="white"/>
        </w:rPr>
        <w:t>bottom</w:t>
      </w:r>
      <w:r w:rsidRPr="00F61864">
        <w:rPr>
          <w:rFonts w:ascii="Arial" w:hAnsi="Arial" w:cs="Arial"/>
          <w:b/>
          <w:highlight w:val="white"/>
        </w:rPr>
        <w:t xml:space="preserve"> right).</w:t>
      </w:r>
    </w:p>
    <w:p w14:paraId="02AF4CD9" w14:textId="77777777" w:rsidR="00087CF2" w:rsidRDefault="00087CF2" w:rsidP="00E602C3">
      <w:pPr>
        <w:spacing w:before="240" w:after="240"/>
        <w:jc w:val="center"/>
        <w:rPr>
          <w:rFonts w:ascii="Arial" w:hAnsi="Arial" w:cs="Arial"/>
          <w:b/>
          <w:highlight w:val="white"/>
        </w:rPr>
      </w:pPr>
      <w:r>
        <w:rPr>
          <w:noProof/>
        </w:rPr>
        <w:drawing>
          <wp:inline distT="0" distB="0" distL="0" distR="0" wp14:anchorId="2B3B9B5F" wp14:editId="2DFC16B6">
            <wp:extent cx="4416552" cy="2121408"/>
            <wp:effectExtent l="19050" t="19050" r="3175" b="0"/>
            <wp:docPr id="14032542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16552" cy="2121408"/>
                    </a:xfrm>
                    <a:prstGeom prst="rect">
                      <a:avLst/>
                    </a:prstGeom>
                    <a:noFill/>
                    <a:ln>
                      <a:solidFill>
                        <a:schemeClr val="tx1"/>
                      </a:solidFill>
                    </a:ln>
                  </pic:spPr>
                </pic:pic>
              </a:graphicData>
            </a:graphic>
          </wp:inline>
        </w:drawing>
      </w:r>
    </w:p>
    <w:p w14:paraId="1A23DBF4" w14:textId="77777777" w:rsidR="00087CF2" w:rsidRDefault="00087CF2" w:rsidP="00E602C3">
      <w:pPr>
        <w:spacing w:before="240" w:after="240"/>
        <w:jc w:val="center"/>
        <w:rPr>
          <w:rFonts w:ascii="Arial" w:hAnsi="Arial" w:cs="Arial"/>
          <w:b/>
          <w:highlight w:val="white"/>
        </w:rPr>
      </w:pPr>
      <w:r>
        <w:rPr>
          <w:noProof/>
        </w:rPr>
        <w:drawing>
          <wp:inline distT="0" distB="0" distL="0" distR="0" wp14:anchorId="11158D79" wp14:editId="45216A69">
            <wp:extent cx="4398106" cy="2204085"/>
            <wp:effectExtent l="19050" t="19050" r="2540" b="5715"/>
            <wp:docPr id="7856586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10532" cy="2210312"/>
                    </a:xfrm>
                    <a:prstGeom prst="rect">
                      <a:avLst/>
                    </a:prstGeom>
                    <a:noFill/>
                    <a:ln>
                      <a:solidFill>
                        <a:schemeClr val="tx1"/>
                      </a:solidFill>
                    </a:ln>
                  </pic:spPr>
                </pic:pic>
              </a:graphicData>
            </a:graphic>
          </wp:inline>
        </w:drawing>
      </w:r>
    </w:p>
    <w:p w14:paraId="6CB9DF2E" w14:textId="77777777" w:rsidR="00087CF2" w:rsidRDefault="00B36B4C" w:rsidP="00B36B4C">
      <w:pPr>
        <w:spacing w:before="240" w:after="240"/>
        <w:jc w:val="center"/>
        <w:rPr>
          <w:rFonts w:ascii="Arial" w:hAnsi="Arial" w:cs="Arial"/>
          <w:b/>
          <w:highlight w:val="white"/>
        </w:rPr>
      </w:pPr>
      <w:r>
        <w:rPr>
          <w:noProof/>
        </w:rPr>
        <w:lastRenderedPageBreak/>
        <w:t xml:space="preserve">   </w:t>
      </w:r>
      <w:r w:rsidR="00087CF2">
        <w:rPr>
          <w:noProof/>
        </w:rPr>
        <w:drawing>
          <wp:inline distT="0" distB="0" distL="0" distR="0" wp14:anchorId="0103B79D" wp14:editId="172C27FD">
            <wp:extent cx="2451330" cy="1368122"/>
            <wp:effectExtent l="19050" t="19050" r="6350" b="3810"/>
            <wp:docPr id="15792913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19342" cy="1406080"/>
                    </a:xfrm>
                    <a:prstGeom prst="rect">
                      <a:avLst/>
                    </a:prstGeom>
                    <a:noFill/>
                    <a:ln>
                      <a:solidFill>
                        <a:schemeClr val="tx1"/>
                      </a:solidFill>
                    </a:ln>
                  </pic:spPr>
                </pic:pic>
              </a:graphicData>
            </a:graphic>
          </wp:inline>
        </w:drawing>
      </w:r>
      <w:r>
        <w:rPr>
          <w:noProof/>
        </w:rPr>
        <w:drawing>
          <wp:inline distT="0" distB="0" distL="0" distR="0" wp14:anchorId="64126EA8" wp14:editId="69DE7B46">
            <wp:extent cx="2430585" cy="1373422"/>
            <wp:effectExtent l="19050" t="19050" r="8255" b="0"/>
            <wp:docPr id="18373561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58243" cy="1389050"/>
                    </a:xfrm>
                    <a:prstGeom prst="rect">
                      <a:avLst/>
                    </a:prstGeom>
                    <a:noFill/>
                    <a:ln>
                      <a:solidFill>
                        <a:schemeClr val="tx1"/>
                      </a:solidFill>
                    </a:ln>
                  </pic:spPr>
                </pic:pic>
              </a:graphicData>
            </a:graphic>
          </wp:inline>
        </w:drawing>
      </w:r>
    </w:p>
    <w:p w14:paraId="31B3D9C1" w14:textId="77777777" w:rsidR="00E602C3" w:rsidRPr="00F61864" w:rsidRDefault="00087CF2" w:rsidP="00E602C3">
      <w:pPr>
        <w:spacing w:before="240" w:after="240"/>
        <w:jc w:val="center"/>
        <w:rPr>
          <w:rFonts w:ascii="Arial" w:hAnsi="Arial" w:cs="Arial"/>
          <w:b/>
          <w:highlight w:val="white"/>
        </w:rPr>
      </w:pPr>
      <w:r w:rsidRPr="00F61864">
        <w:rPr>
          <w:rFonts w:ascii="Arial" w:hAnsi="Arial" w:cs="Arial"/>
          <w:b/>
        </w:rPr>
        <w:t xml:space="preserve">Fig. </w:t>
      </w:r>
      <w:r>
        <w:rPr>
          <w:rFonts w:ascii="Arial" w:hAnsi="Arial" w:cs="Arial"/>
          <w:b/>
        </w:rPr>
        <w:t>8</w:t>
      </w:r>
      <w:r w:rsidRPr="00F61864">
        <w:rPr>
          <w:rFonts w:ascii="Arial" w:hAnsi="Arial" w:cs="Arial"/>
          <w:b/>
        </w:rPr>
        <w:t xml:space="preserve"> </w:t>
      </w:r>
      <w:r w:rsidR="00E602C3" w:rsidRPr="00F61864">
        <w:rPr>
          <w:rFonts w:ascii="Arial" w:hAnsi="Arial" w:cs="Arial"/>
          <w:b/>
          <w:highlight w:val="white"/>
        </w:rPr>
        <w:t>EDX Spectrum of AgNPs synthesized using (</w:t>
      </w:r>
      <w:r w:rsidR="007F490D">
        <w:rPr>
          <w:rFonts w:ascii="Arial" w:hAnsi="Arial" w:cs="Arial"/>
          <w:b/>
          <w:highlight w:val="white"/>
        </w:rPr>
        <w:t>a</w:t>
      </w:r>
      <w:r w:rsidR="00E602C3" w:rsidRPr="00F61864">
        <w:rPr>
          <w:rFonts w:ascii="Arial" w:hAnsi="Arial" w:cs="Arial"/>
          <w:b/>
          <w:highlight w:val="white"/>
        </w:rPr>
        <w:t xml:space="preserve">) aqueous root extract of </w:t>
      </w:r>
      <w:r>
        <w:rPr>
          <w:rFonts w:ascii="Arial" w:hAnsi="Arial" w:cs="Arial"/>
          <w:b/>
          <w:i/>
          <w:iCs/>
          <w:highlight w:val="white"/>
        </w:rPr>
        <w:t>C. scariosus</w:t>
      </w:r>
      <w:r>
        <w:rPr>
          <w:rFonts w:ascii="Arial" w:hAnsi="Arial" w:cs="Arial"/>
          <w:b/>
          <w:i/>
          <w:highlight w:val="white"/>
        </w:rPr>
        <w:t xml:space="preserve"> </w:t>
      </w:r>
      <w:r w:rsidR="00E602C3" w:rsidRPr="00F61864">
        <w:rPr>
          <w:rFonts w:ascii="Arial" w:hAnsi="Arial" w:cs="Arial"/>
          <w:b/>
          <w:iCs/>
          <w:highlight w:val="white"/>
        </w:rPr>
        <w:t xml:space="preserve">(row </w:t>
      </w:r>
      <w:r>
        <w:rPr>
          <w:rFonts w:ascii="Arial" w:hAnsi="Arial" w:cs="Arial"/>
          <w:b/>
          <w:iCs/>
          <w:highlight w:val="white"/>
        </w:rPr>
        <w:t>1</w:t>
      </w:r>
      <w:r w:rsidR="00E602C3" w:rsidRPr="00F61864">
        <w:rPr>
          <w:rFonts w:ascii="Arial" w:hAnsi="Arial" w:cs="Arial"/>
          <w:b/>
          <w:iCs/>
          <w:highlight w:val="white"/>
        </w:rPr>
        <w:t>)</w:t>
      </w:r>
      <w:r w:rsidR="00E602C3" w:rsidRPr="00F61864">
        <w:rPr>
          <w:rFonts w:ascii="Arial" w:hAnsi="Arial" w:cs="Arial"/>
          <w:b/>
          <w:highlight w:val="white"/>
        </w:rPr>
        <w:t xml:space="preserve"> (</w:t>
      </w:r>
      <w:r w:rsidR="007F490D">
        <w:rPr>
          <w:rFonts w:ascii="Arial" w:hAnsi="Arial" w:cs="Arial"/>
          <w:b/>
          <w:highlight w:val="white"/>
        </w:rPr>
        <w:t>b</w:t>
      </w:r>
      <w:r w:rsidR="00E602C3" w:rsidRPr="00F61864">
        <w:rPr>
          <w:rFonts w:ascii="Arial" w:hAnsi="Arial" w:cs="Arial"/>
          <w:b/>
          <w:highlight w:val="white"/>
        </w:rPr>
        <w:t xml:space="preserve">) ethanolic root extract of </w:t>
      </w:r>
      <w:r>
        <w:rPr>
          <w:rFonts w:ascii="Arial" w:hAnsi="Arial" w:cs="Arial"/>
          <w:b/>
          <w:i/>
          <w:iCs/>
          <w:highlight w:val="white"/>
        </w:rPr>
        <w:t>C. scariosus</w:t>
      </w:r>
      <w:r w:rsidR="00E602C3" w:rsidRPr="00F61864">
        <w:rPr>
          <w:rFonts w:ascii="Arial" w:hAnsi="Arial" w:cs="Arial"/>
          <w:b/>
          <w:highlight w:val="white"/>
        </w:rPr>
        <w:t xml:space="preserve"> (row </w:t>
      </w:r>
      <w:r>
        <w:rPr>
          <w:rFonts w:ascii="Arial" w:hAnsi="Arial" w:cs="Arial"/>
          <w:b/>
          <w:highlight w:val="white"/>
        </w:rPr>
        <w:t>2</w:t>
      </w:r>
      <w:r w:rsidR="00E602C3" w:rsidRPr="00F61864">
        <w:rPr>
          <w:rFonts w:ascii="Arial" w:hAnsi="Arial" w:cs="Arial"/>
          <w:b/>
          <w:highlight w:val="white"/>
        </w:rPr>
        <w:t>)</w:t>
      </w:r>
    </w:p>
    <w:p w14:paraId="5BB58645" w14:textId="77777777" w:rsidR="00E602C3" w:rsidRPr="00F61864" w:rsidRDefault="00E602C3" w:rsidP="00E602C3">
      <w:pPr>
        <w:spacing w:before="240" w:after="240"/>
        <w:jc w:val="center"/>
        <w:rPr>
          <w:rFonts w:ascii="Arial" w:hAnsi="Arial" w:cs="Arial"/>
          <w:b/>
          <w:highlight w:val="white"/>
        </w:rPr>
      </w:pPr>
      <w:r w:rsidRPr="00F61864">
        <w:rPr>
          <w:rFonts w:ascii="Arial" w:hAnsi="Arial" w:cs="Arial"/>
          <w:b/>
          <w:highlight w:val="white"/>
        </w:rPr>
        <w:t>EDX analysis histogram of AgNPs synthesized using (</w:t>
      </w:r>
      <w:r w:rsidR="007F490D">
        <w:rPr>
          <w:rFonts w:ascii="Arial" w:hAnsi="Arial" w:cs="Arial"/>
          <w:b/>
          <w:highlight w:val="white"/>
        </w:rPr>
        <w:t>c</w:t>
      </w:r>
      <w:r w:rsidRPr="00F61864">
        <w:rPr>
          <w:rFonts w:ascii="Arial" w:hAnsi="Arial" w:cs="Arial"/>
          <w:b/>
          <w:highlight w:val="white"/>
        </w:rPr>
        <w:t xml:space="preserve">) aqueous root extract of </w:t>
      </w:r>
      <w:r>
        <w:rPr>
          <w:rFonts w:ascii="Arial" w:hAnsi="Arial" w:cs="Arial"/>
          <w:b/>
          <w:i/>
          <w:iCs/>
          <w:highlight w:val="white"/>
        </w:rPr>
        <w:t>C.</w:t>
      </w:r>
      <w:r>
        <w:rPr>
          <w:rFonts w:ascii="Times New Roman" w:hAnsi="Times New Roman"/>
          <w:b/>
          <w:i/>
          <w:iCs/>
          <w:highlight w:val="white"/>
        </w:rPr>
        <w:t xml:space="preserve"> </w:t>
      </w:r>
      <w:r>
        <w:rPr>
          <w:rFonts w:ascii="Arial" w:hAnsi="Arial" w:cs="Arial"/>
          <w:b/>
          <w:i/>
          <w:iCs/>
          <w:highlight w:val="white"/>
        </w:rPr>
        <w:t>scariosus</w:t>
      </w:r>
      <w:r>
        <w:rPr>
          <w:rFonts w:ascii="Arial" w:hAnsi="Arial" w:cs="Arial"/>
          <w:b/>
          <w:i/>
          <w:highlight w:val="white"/>
        </w:rPr>
        <w:t xml:space="preserve"> </w:t>
      </w:r>
      <w:r w:rsidRPr="00F61864">
        <w:rPr>
          <w:rFonts w:ascii="Arial" w:hAnsi="Arial" w:cs="Arial"/>
          <w:b/>
          <w:iCs/>
          <w:highlight w:val="white"/>
        </w:rPr>
        <w:t xml:space="preserve">(Lower left) </w:t>
      </w:r>
      <w:r w:rsidRPr="00F61864">
        <w:rPr>
          <w:rFonts w:ascii="Arial" w:hAnsi="Arial" w:cs="Arial"/>
          <w:b/>
          <w:highlight w:val="white"/>
        </w:rPr>
        <w:t>(</w:t>
      </w:r>
      <w:r w:rsidR="007F490D">
        <w:rPr>
          <w:rFonts w:ascii="Arial" w:hAnsi="Arial" w:cs="Arial"/>
          <w:b/>
          <w:highlight w:val="white"/>
        </w:rPr>
        <w:t>d</w:t>
      </w:r>
      <w:r w:rsidRPr="00F61864">
        <w:rPr>
          <w:rFonts w:ascii="Arial" w:hAnsi="Arial" w:cs="Arial"/>
          <w:b/>
          <w:highlight w:val="white"/>
        </w:rPr>
        <w:t xml:space="preserve">) ethanolic root extract of </w:t>
      </w:r>
      <w:r>
        <w:rPr>
          <w:rFonts w:ascii="Arial" w:hAnsi="Arial" w:cs="Arial"/>
          <w:b/>
          <w:i/>
          <w:iCs/>
          <w:highlight w:val="white"/>
        </w:rPr>
        <w:t>C. scariosus</w:t>
      </w:r>
      <w:r w:rsidRPr="00F61864">
        <w:rPr>
          <w:rFonts w:ascii="Arial" w:hAnsi="Arial" w:cs="Arial"/>
          <w:b/>
          <w:highlight w:val="white"/>
        </w:rPr>
        <w:t xml:space="preserve"> (Lower right)</w:t>
      </w:r>
    </w:p>
    <w:p w14:paraId="5DECF801" w14:textId="77777777" w:rsidR="00E602C3" w:rsidRPr="008C00BF" w:rsidRDefault="000E167C" w:rsidP="00E602C3">
      <w:pPr>
        <w:spacing w:before="240" w:line="360" w:lineRule="auto"/>
        <w:rPr>
          <w:rFonts w:ascii="Arial" w:hAnsi="Arial" w:cs="Arial"/>
          <w:b/>
          <w:iCs/>
          <w:sz w:val="22"/>
          <w:szCs w:val="22"/>
        </w:rPr>
      </w:pPr>
      <w:bookmarkStart w:id="5" w:name="_Hlk239967824"/>
      <w:r w:rsidRPr="008C00BF">
        <w:rPr>
          <w:rFonts w:ascii="Arial" w:hAnsi="Arial" w:cs="Arial"/>
          <w:b/>
          <w:iCs/>
          <w:sz w:val="22"/>
          <w:szCs w:val="22"/>
        </w:rPr>
        <w:t xml:space="preserve">3.3 </w:t>
      </w:r>
      <w:r w:rsidR="00E602C3" w:rsidRPr="008C00BF">
        <w:rPr>
          <w:rFonts w:ascii="Arial" w:hAnsi="Arial" w:cs="Arial"/>
          <w:b/>
          <w:iCs/>
          <w:sz w:val="22"/>
          <w:szCs w:val="22"/>
        </w:rPr>
        <w:t>In vitro Anthelmintic Activity</w:t>
      </w:r>
    </w:p>
    <w:p w14:paraId="66F330A0" w14:textId="77777777" w:rsidR="00821D1F" w:rsidRPr="00642140" w:rsidRDefault="00821D1F" w:rsidP="00821D1F">
      <w:pPr>
        <w:spacing w:line="360" w:lineRule="auto"/>
        <w:jc w:val="both"/>
        <w:rPr>
          <w:rFonts w:ascii="Arial" w:hAnsi="Arial" w:cs="Arial"/>
        </w:rPr>
      </w:pPr>
      <w:r>
        <w:rPr>
          <w:rFonts w:ascii="Arial" w:hAnsi="Arial" w:cs="Arial"/>
          <w:i/>
          <w:iCs/>
        </w:rPr>
        <w:t>E. fetida</w:t>
      </w:r>
      <w:r>
        <w:rPr>
          <w:rFonts w:ascii="Arial" w:hAnsi="Arial" w:cs="Arial"/>
        </w:rPr>
        <w:t xml:space="preserve"> is a widely accepted model for preliminary anthelmintic screening, owing to the anatomical and physiological similarity between its cuticle and the body wall of intestinal helminths infecting humans (Bazan et al., 2020). Normal saline produced no discernible effect over the four-hour observation period</w:t>
      </w:r>
      <w:r>
        <w:rPr>
          <w:rFonts w:ascii="Arial" w:hAnsi="Arial" w:cs="Arial"/>
          <w:highlight w:val="yellow"/>
        </w:rPr>
        <w:t>;</w:t>
      </w:r>
      <w:r>
        <w:rPr>
          <w:rFonts w:ascii="Arial" w:hAnsi="Arial" w:cs="Arial"/>
        </w:rPr>
        <w:t xml:space="preserve"> the aqueous and ethanolic </w:t>
      </w:r>
      <w:r>
        <w:rPr>
          <w:rFonts w:ascii="Arial" w:hAnsi="Arial" w:cs="Arial"/>
          <w:i/>
          <w:iCs/>
        </w:rPr>
        <w:t>C. scariosus</w:t>
      </w:r>
      <w:r>
        <w:rPr>
          <w:rFonts w:ascii="Arial" w:hAnsi="Arial" w:cs="Arial"/>
        </w:rPr>
        <w:t xml:space="preserve"> root extracts also caused no paralysis or death at 100 or 200 µg/mL (Table 2). All four AgNP formulations, in contrast, produced rapid dose-dependent paralysis followed by death, indicating that the activity arises from the nanoparticulate silver rather than the phytoconstituents alone, with the plant metabolites serving as reducing and capping agents (Rashid et al., 2016; Majumdar </w:t>
      </w:r>
      <w:r>
        <w:rPr>
          <w:rFonts w:ascii="Arial" w:hAnsi="Arial" w:cs="Arial"/>
          <w:highlight w:val="yellow"/>
        </w:rPr>
        <w:t>&amp;</w:t>
      </w:r>
      <w:r>
        <w:rPr>
          <w:rFonts w:ascii="Arial" w:hAnsi="Arial" w:cs="Arial"/>
        </w:rPr>
        <w:t xml:space="preserve"> </w:t>
      </w:r>
      <w:r>
        <w:rPr>
          <w:rFonts w:ascii="Arial" w:hAnsi="Arial" w:cs="Arial"/>
          <w:highlight w:val="yellow"/>
        </w:rPr>
        <w:t>K</w:t>
      </w:r>
      <w:r>
        <w:rPr>
          <w:rFonts w:ascii="Arial" w:hAnsi="Arial" w:cs="Arial"/>
        </w:rPr>
        <w:t>a</w:t>
      </w:r>
      <w:r>
        <w:rPr>
          <w:rFonts w:ascii="Arial" w:hAnsi="Arial" w:cs="Arial"/>
          <w:highlight w:val="yellow"/>
        </w:rPr>
        <w:t>r</w:t>
      </w:r>
      <w:r>
        <w:rPr>
          <w:rFonts w:ascii="Arial" w:hAnsi="Arial" w:cs="Arial"/>
        </w:rPr>
        <w:t xml:space="preserve">, 2023). </w:t>
      </w:r>
      <w:r>
        <w:rPr>
          <w:rFonts w:ascii="Arial" w:hAnsi="Arial" w:cs="Arial"/>
          <w:highlight w:val="yellow"/>
        </w:rPr>
        <w:t>Gr</w:t>
      </w:r>
      <w:r>
        <w:rPr>
          <w:rFonts w:ascii="Arial" w:hAnsi="Arial" w:cs="Arial"/>
        </w:rPr>
        <w:t>e</w:t>
      </w:r>
      <w:r>
        <w:rPr>
          <w:rFonts w:ascii="Arial" w:hAnsi="Arial" w:cs="Arial"/>
          <w:highlight w:val="yellow"/>
        </w:rPr>
        <w:t>a</w:t>
      </w:r>
      <w:r>
        <w:rPr>
          <w:rFonts w:ascii="Arial" w:hAnsi="Arial" w:cs="Arial"/>
        </w:rPr>
        <w:t>ter anthelmintic potential of synthesi</w:t>
      </w:r>
      <w:r>
        <w:rPr>
          <w:rFonts w:ascii="Arial" w:hAnsi="Arial" w:cs="Arial"/>
          <w:highlight w:val="yellow"/>
        </w:rPr>
        <w:t>s</w:t>
      </w:r>
      <w:r>
        <w:rPr>
          <w:rFonts w:ascii="Arial" w:hAnsi="Arial" w:cs="Arial"/>
        </w:rPr>
        <w:t xml:space="preserve">ed AgNPs </w:t>
      </w:r>
      <w:r>
        <w:rPr>
          <w:rFonts w:ascii="Arial" w:hAnsi="Arial" w:cs="Arial"/>
          <w:highlight w:val="yellow"/>
        </w:rPr>
        <w:t xml:space="preserve">than </w:t>
      </w:r>
      <w:r>
        <w:rPr>
          <w:rFonts w:ascii="Arial" w:hAnsi="Arial" w:cs="Arial"/>
        </w:rPr>
        <w:t>o</w:t>
      </w:r>
      <w:r>
        <w:rPr>
          <w:rFonts w:ascii="Arial" w:hAnsi="Arial" w:cs="Arial"/>
          <w:highlight w:val="yellow"/>
        </w:rPr>
        <w:t>f</w:t>
      </w:r>
      <w:r>
        <w:rPr>
          <w:rFonts w:ascii="Arial" w:hAnsi="Arial" w:cs="Arial"/>
        </w:rPr>
        <w:t xml:space="preserve"> the parent leaf extract has been reported for </w:t>
      </w:r>
      <w:r>
        <w:rPr>
          <w:rFonts w:ascii="Arial" w:hAnsi="Arial" w:cs="Arial"/>
          <w:i/>
          <w:iCs/>
        </w:rPr>
        <w:t>Viscum orientale</w:t>
      </w:r>
      <w:r>
        <w:rPr>
          <w:rFonts w:ascii="Arial" w:hAnsi="Arial" w:cs="Arial"/>
        </w:rPr>
        <w:t xml:space="preserve"> (Kumar et al., 2023)</w:t>
      </w:r>
      <w:r>
        <w:rPr>
          <w:rFonts w:ascii="Arial" w:hAnsi="Arial" w:cs="Arial"/>
          <w:highlight w:val="yellow"/>
        </w:rPr>
        <w:t>,</w:t>
      </w:r>
      <w:r>
        <w:rPr>
          <w:rFonts w:ascii="Arial" w:hAnsi="Arial" w:cs="Arial"/>
        </w:rPr>
        <w:t xml:space="preserve"> which supports our results. </w:t>
      </w:r>
    </w:p>
    <w:bookmarkEnd w:id="5"/>
    <w:p w14:paraId="1A9D6A68" w14:textId="77777777" w:rsidR="00821D1F" w:rsidRDefault="00821D1F" w:rsidP="00555EE2">
      <w:pPr>
        <w:widowControl w:val="0"/>
        <w:spacing w:after="240"/>
        <w:jc w:val="both"/>
        <w:rPr>
          <w:rFonts w:ascii="Arial" w:hAnsi="Arial" w:cs="Arial"/>
          <w:b/>
        </w:rPr>
      </w:pPr>
    </w:p>
    <w:p w14:paraId="2407CA0F" w14:textId="77777777" w:rsidR="00555EE2" w:rsidRPr="00AC6C32" w:rsidRDefault="00555EE2" w:rsidP="00555EE2">
      <w:pPr>
        <w:widowControl w:val="0"/>
        <w:spacing w:after="240"/>
        <w:jc w:val="both"/>
        <w:rPr>
          <w:rFonts w:ascii="Arial" w:hAnsi="Arial" w:cs="Arial"/>
        </w:rPr>
      </w:pPr>
      <w:r w:rsidRPr="00AC6C32">
        <w:rPr>
          <w:rFonts w:ascii="Arial" w:hAnsi="Arial" w:cs="Arial"/>
          <w:b/>
        </w:rPr>
        <w:t>Table 2</w:t>
      </w:r>
      <w:r w:rsidRPr="00AC6C32">
        <w:rPr>
          <w:rFonts w:ascii="Arial" w:hAnsi="Arial" w:cs="Arial"/>
          <w:b/>
          <w:bCs/>
        </w:rPr>
        <w:t>: Anthelmintic activity of aqueous and ethanolic plant extracts, aqueous AgNPs, and ethanolic AgNPs</w:t>
      </w:r>
      <w:r w:rsidRPr="00AC6C32">
        <w:rPr>
          <w:rFonts w:ascii="Arial" w:hAnsi="Arial" w:cs="Arial"/>
        </w:rPr>
        <w:t>.</w:t>
      </w:r>
    </w:p>
    <w:tbl>
      <w:tblPr>
        <w:tblpPr w:leftFromText="180" w:rightFromText="180" w:topFromText="180" w:bottomFromText="180" w:vertAnchor="text" w:tblpX="-45"/>
        <w:tblW w:w="8910" w:type="dxa"/>
        <w:tblBorders>
          <w:top w:val="single" w:sz="4" w:space="0" w:color="auto"/>
          <w:bottom w:val="single" w:sz="4" w:space="0" w:color="auto"/>
        </w:tblBorders>
        <w:tblLayout w:type="fixed"/>
        <w:tblLook w:val="0600" w:firstRow="0" w:lastRow="0" w:firstColumn="0" w:lastColumn="0" w:noHBand="1" w:noVBand="1"/>
      </w:tblPr>
      <w:tblGrid>
        <w:gridCol w:w="3090"/>
        <w:gridCol w:w="2910"/>
        <w:gridCol w:w="2910"/>
      </w:tblGrid>
      <w:tr w:rsidR="00555EE2" w:rsidRPr="00AC6C32" w14:paraId="05B97F60" w14:textId="77777777" w:rsidTr="00F24642">
        <w:trPr>
          <w:trHeight w:val="645"/>
        </w:trPr>
        <w:tc>
          <w:tcPr>
            <w:tcW w:w="3090" w:type="dxa"/>
            <w:tcBorders>
              <w:top w:val="single" w:sz="12" w:space="0" w:color="auto"/>
              <w:bottom w:val="single" w:sz="12" w:space="0" w:color="auto"/>
            </w:tcBorders>
            <w:tcMar>
              <w:top w:w="0" w:type="dxa"/>
              <w:bottom w:w="0" w:type="dxa"/>
            </w:tcMar>
            <w:vAlign w:val="center"/>
          </w:tcPr>
          <w:p w14:paraId="59DF76B7" w14:textId="77777777" w:rsidR="00555EE2" w:rsidRPr="00AC6C32" w:rsidRDefault="00555EE2" w:rsidP="00F24642">
            <w:pPr>
              <w:widowControl w:val="0"/>
              <w:rPr>
                <w:rFonts w:ascii="Arial" w:hAnsi="Arial" w:cs="Arial"/>
                <w:b/>
                <w:bCs/>
              </w:rPr>
            </w:pPr>
            <w:r w:rsidRPr="00496EB1">
              <w:rPr>
                <w:rFonts w:ascii="Arial" w:hAnsi="Arial" w:cs="Arial"/>
                <w:b/>
                <w:bCs/>
              </w:rPr>
              <w:t xml:space="preserve">Treatment </w:t>
            </w:r>
            <w:r w:rsidRPr="00AC6C32">
              <w:rPr>
                <w:rFonts w:ascii="Arial" w:hAnsi="Arial" w:cs="Arial"/>
                <w:b/>
                <w:bCs/>
              </w:rPr>
              <w:t>Groups</w:t>
            </w:r>
          </w:p>
        </w:tc>
        <w:tc>
          <w:tcPr>
            <w:tcW w:w="2910" w:type="dxa"/>
            <w:tcBorders>
              <w:top w:val="single" w:sz="12" w:space="0" w:color="auto"/>
              <w:bottom w:val="single" w:sz="12" w:space="0" w:color="auto"/>
            </w:tcBorders>
            <w:tcMar>
              <w:top w:w="0" w:type="dxa"/>
              <w:bottom w:w="0" w:type="dxa"/>
            </w:tcMar>
            <w:vAlign w:val="center"/>
          </w:tcPr>
          <w:p w14:paraId="6CDA3F71" w14:textId="77777777" w:rsidR="00555EE2" w:rsidRPr="00AC6C32" w:rsidRDefault="00555EE2" w:rsidP="00F24642">
            <w:pPr>
              <w:widowControl w:val="0"/>
              <w:rPr>
                <w:rFonts w:ascii="Arial" w:hAnsi="Arial" w:cs="Arial"/>
                <w:b/>
                <w:bCs/>
              </w:rPr>
            </w:pPr>
            <w:r w:rsidRPr="00AC6C32">
              <w:rPr>
                <w:rFonts w:ascii="Arial" w:hAnsi="Arial" w:cs="Arial"/>
                <w:b/>
                <w:bCs/>
              </w:rPr>
              <w:t>Time of Paralysis</w:t>
            </w:r>
          </w:p>
          <w:p w14:paraId="0BC0C0A6" w14:textId="77777777" w:rsidR="00555EE2" w:rsidRPr="00AC6C32" w:rsidRDefault="00555EE2" w:rsidP="00F24642">
            <w:pPr>
              <w:widowControl w:val="0"/>
              <w:rPr>
                <w:rFonts w:ascii="Arial" w:hAnsi="Arial" w:cs="Arial"/>
                <w:b/>
                <w:bCs/>
              </w:rPr>
            </w:pPr>
            <w:r w:rsidRPr="00AC6C32">
              <w:rPr>
                <w:rFonts w:ascii="Arial" w:hAnsi="Arial" w:cs="Arial"/>
                <w:b/>
                <w:bCs/>
              </w:rPr>
              <w:t>(in minutes)</w:t>
            </w:r>
          </w:p>
        </w:tc>
        <w:tc>
          <w:tcPr>
            <w:tcW w:w="2910" w:type="dxa"/>
            <w:tcBorders>
              <w:top w:val="single" w:sz="12" w:space="0" w:color="auto"/>
              <w:bottom w:val="single" w:sz="12" w:space="0" w:color="auto"/>
            </w:tcBorders>
            <w:tcMar>
              <w:top w:w="0" w:type="dxa"/>
              <w:bottom w:w="0" w:type="dxa"/>
            </w:tcMar>
            <w:vAlign w:val="center"/>
          </w:tcPr>
          <w:p w14:paraId="7CAB57AC" w14:textId="77777777" w:rsidR="00555EE2" w:rsidRPr="00AC6C32" w:rsidRDefault="00555EE2" w:rsidP="00F24642">
            <w:pPr>
              <w:widowControl w:val="0"/>
              <w:rPr>
                <w:rFonts w:ascii="Arial" w:hAnsi="Arial" w:cs="Arial"/>
                <w:b/>
                <w:bCs/>
              </w:rPr>
            </w:pPr>
            <w:r w:rsidRPr="00AC6C32">
              <w:rPr>
                <w:rFonts w:ascii="Arial" w:hAnsi="Arial" w:cs="Arial"/>
                <w:b/>
                <w:bCs/>
              </w:rPr>
              <w:t>Time of Death</w:t>
            </w:r>
          </w:p>
          <w:p w14:paraId="544F6A9A" w14:textId="77777777" w:rsidR="00555EE2" w:rsidRPr="00AC6C32" w:rsidRDefault="00555EE2" w:rsidP="00F24642">
            <w:pPr>
              <w:widowControl w:val="0"/>
              <w:rPr>
                <w:rFonts w:ascii="Arial" w:hAnsi="Arial" w:cs="Arial"/>
                <w:b/>
                <w:bCs/>
              </w:rPr>
            </w:pPr>
            <w:r w:rsidRPr="00AC6C32">
              <w:rPr>
                <w:rFonts w:ascii="Arial" w:hAnsi="Arial" w:cs="Arial"/>
                <w:b/>
                <w:bCs/>
              </w:rPr>
              <w:t>(in minutes)</w:t>
            </w:r>
          </w:p>
        </w:tc>
      </w:tr>
      <w:tr w:rsidR="00555EE2" w:rsidRPr="00AC6C32" w14:paraId="01016D8D" w14:textId="77777777" w:rsidTr="00F24642">
        <w:trPr>
          <w:trHeight w:val="285"/>
        </w:trPr>
        <w:tc>
          <w:tcPr>
            <w:tcW w:w="3090" w:type="dxa"/>
            <w:tcBorders>
              <w:top w:val="single" w:sz="12" w:space="0" w:color="auto"/>
            </w:tcBorders>
            <w:shd w:val="clear" w:color="auto" w:fill="FFFFFF"/>
            <w:tcMar>
              <w:top w:w="0" w:type="dxa"/>
              <w:bottom w:w="0" w:type="dxa"/>
            </w:tcMar>
          </w:tcPr>
          <w:p w14:paraId="385828CB" w14:textId="77777777" w:rsidR="00555EE2" w:rsidRPr="00AC6C32" w:rsidRDefault="00555EE2" w:rsidP="00F24642">
            <w:pPr>
              <w:widowControl w:val="0"/>
              <w:rPr>
                <w:rFonts w:ascii="Arial" w:hAnsi="Arial" w:cs="Arial"/>
              </w:rPr>
            </w:pPr>
            <w:r w:rsidRPr="00AC6C32">
              <w:rPr>
                <w:rFonts w:ascii="Arial" w:hAnsi="Arial" w:cs="Arial"/>
              </w:rPr>
              <w:t>Negative control – Normal Saline</w:t>
            </w:r>
          </w:p>
        </w:tc>
        <w:tc>
          <w:tcPr>
            <w:tcW w:w="2910" w:type="dxa"/>
            <w:tcBorders>
              <w:top w:val="single" w:sz="12" w:space="0" w:color="auto"/>
            </w:tcBorders>
            <w:shd w:val="clear" w:color="auto" w:fill="FFFFFF"/>
            <w:tcMar>
              <w:top w:w="0" w:type="dxa"/>
              <w:bottom w:w="0" w:type="dxa"/>
            </w:tcMar>
          </w:tcPr>
          <w:p w14:paraId="2921BFF3"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c>
          <w:tcPr>
            <w:tcW w:w="2910" w:type="dxa"/>
            <w:tcBorders>
              <w:top w:val="single" w:sz="12" w:space="0" w:color="auto"/>
            </w:tcBorders>
            <w:shd w:val="clear" w:color="auto" w:fill="FFFFFF"/>
            <w:tcMar>
              <w:top w:w="0" w:type="dxa"/>
              <w:bottom w:w="0" w:type="dxa"/>
            </w:tcMar>
          </w:tcPr>
          <w:p w14:paraId="0ECD9CB4"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r>
      <w:tr w:rsidR="00555EE2" w:rsidRPr="00AC6C32" w14:paraId="7F109BEE" w14:textId="77777777" w:rsidTr="00F24642">
        <w:trPr>
          <w:trHeight w:val="270"/>
        </w:trPr>
        <w:tc>
          <w:tcPr>
            <w:tcW w:w="3090" w:type="dxa"/>
            <w:tcMar>
              <w:top w:w="0" w:type="dxa"/>
              <w:bottom w:w="0" w:type="dxa"/>
            </w:tcMar>
          </w:tcPr>
          <w:p w14:paraId="2ED46AA1" w14:textId="77777777" w:rsidR="00555EE2" w:rsidRPr="00AC6C32" w:rsidRDefault="00555EE2" w:rsidP="00F24642">
            <w:pPr>
              <w:widowControl w:val="0"/>
              <w:rPr>
                <w:rFonts w:ascii="Arial" w:hAnsi="Arial" w:cs="Arial"/>
              </w:rPr>
            </w:pPr>
            <w:r w:rsidRPr="00AC6C32">
              <w:rPr>
                <w:rFonts w:ascii="Arial" w:hAnsi="Arial" w:cs="Arial"/>
              </w:rPr>
              <w:t>Aqueous extract (100 µg/mL)</w:t>
            </w:r>
          </w:p>
        </w:tc>
        <w:tc>
          <w:tcPr>
            <w:tcW w:w="2910" w:type="dxa"/>
            <w:tcMar>
              <w:top w:w="0" w:type="dxa"/>
              <w:bottom w:w="0" w:type="dxa"/>
            </w:tcMar>
          </w:tcPr>
          <w:p w14:paraId="260B6301"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c>
          <w:tcPr>
            <w:tcW w:w="2910" w:type="dxa"/>
            <w:tcMar>
              <w:top w:w="0" w:type="dxa"/>
              <w:bottom w:w="0" w:type="dxa"/>
            </w:tcMar>
          </w:tcPr>
          <w:p w14:paraId="1DE1EB67"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r>
      <w:tr w:rsidR="00555EE2" w:rsidRPr="00AC6C32" w14:paraId="65E28304" w14:textId="77777777" w:rsidTr="00F24642">
        <w:trPr>
          <w:trHeight w:val="270"/>
        </w:trPr>
        <w:tc>
          <w:tcPr>
            <w:tcW w:w="3090" w:type="dxa"/>
            <w:shd w:val="clear" w:color="auto" w:fill="FFFFFF"/>
            <w:tcMar>
              <w:top w:w="0" w:type="dxa"/>
              <w:bottom w:w="0" w:type="dxa"/>
            </w:tcMar>
          </w:tcPr>
          <w:p w14:paraId="3B3AE2EC" w14:textId="77777777" w:rsidR="00555EE2" w:rsidRPr="00496EB1" w:rsidRDefault="00555EE2" w:rsidP="00F24642">
            <w:pPr>
              <w:widowControl w:val="0"/>
              <w:rPr>
                <w:rFonts w:ascii="Arial" w:hAnsi="Arial" w:cs="Arial"/>
              </w:rPr>
            </w:pPr>
            <w:r w:rsidRPr="00AC6C32">
              <w:rPr>
                <w:rFonts w:ascii="Arial" w:hAnsi="Arial" w:cs="Arial"/>
              </w:rPr>
              <w:t>Aqueous extract (200 µg/mL)</w:t>
            </w:r>
          </w:p>
          <w:p w14:paraId="5D2057B7" w14:textId="77777777" w:rsidR="00555EE2" w:rsidRPr="00496EB1" w:rsidRDefault="00555EE2" w:rsidP="00F24642">
            <w:pPr>
              <w:widowControl w:val="0"/>
              <w:rPr>
                <w:rFonts w:ascii="Arial" w:hAnsi="Arial" w:cs="Arial"/>
              </w:rPr>
            </w:pPr>
            <w:r w:rsidRPr="00AC6C32">
              <w:rPr>
                <w:rFonts w:ascii="Arial" w:hAnsi="Arial" w:cs="Arial"/>
              </w:rPr>
              <w:t>Ethanolic extract (100 µg/mL)</w:t>
            </w:r>
          </w:p>
          <w:p w14:paraId="3CD1FB78" w14:textId="77777777" w:rsidR="00555EE2" w:rsidRPr="00496EB1" w:rsidRDefault="00555EE2" w:rsidP="00F24642">
            <w:pPr>
              <w:widowControl w:val="0"/>
              <w:rPr>
                <w:rFonts w:ascii="Arial" w:hAnsi="Arial" w:cs="Arial"/>
              </w:rPr>
            </w:pPr>
            <w:r w:rsidRPr="00AC6C32">
              <w:rPr>
                <w:rFonts w:ascii="Arial" w:hAnsi="Arial" w:cs="Arial"/>
              </w:rPr>
              <w:t>Ethanolic extract (200 µg/mL)</w:t>
            </w:r>
          </w:p>
          <w:p w14:paraId="5EA90B53" w14:textId="77777777" w:rsidR="00555EE2" w:rsidRPr="00AC6C32" w:rsidRDefault="00555EE2" w:rsidP="00F24642">
            <w:pPr>
              <w:widowControl w:val="0"/>
              <w:rPr>
                <w:rFonts w:ascii="Arial" w:hAnsi="Arial" w:cs="Arial"/>
              </w:rPr>
            </w:pPr>
            <w:r w:rsidRPr="00AC6C32">
              <w:rPr>
                <w:rFonts w:ascii="Arial" w:hAnsi="Arial" w:cs="Arial"/>
              </w:rPr>
              <w:t>Positive control - Albendazole (200 µg/mL)</w:t>
            </w:r>
          </w:p>
        </w:tc>
        <w:tc>
          <w:tcPr>
            <w:tcW w:w="2910" w:type="dxa"/>
            <w:shd w:val="clear" w:color="auto" w:fill="FFFFFF"/>
            <w:tcMar>
              <w:top w:w="0" w:type="dxa"/>
              <w:bottom w:w="0" w:type="dxa"/>
            </w:tcMar>
          </w:tcPr>
          <w:p w14:paraId="16245C1A"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0BEE08F8"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45DADC6C"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7846FC43" w14:textId="77777777" w:rsidR="00555EE2" w:rsidRPr="00AC6C32" w:rsidRDefault="00555EE2" w:rsidP="00F24642">
            <w:pPr>
              <w:widowControl w:val="0"/>
              <w:rPr>
                <w:rFonts w:ascii="Arial" w:hAnsi="Arial" w:cs="Arial"/>
              </w:rPr>
            </w:pPr>
            <w:r w:rsidRPr="00AC6C32">
              <w:rPr>
                <w:rFonts w:ascii="Arial" w:hAnsi="Arial" w:cs="Arial"/>
              </w:rPr>
              <w:t>71.51 ± 3.61</w:t>
            </w:r>
            <w:r w:rsidRPr="00496EB1">
              <w:rPr>
                <w:rFonts w:ascii="Arial" w:hAnsi="Arial" w:cs="Arial"/>
              </w:rPr>
              <w:t xml:space="preserve"> ᵃ</w:t>
            </w:r>
          </w:p>
        </w:tc>
        <w:tc>
          <w:tcPr>
            <w:tcW w:w="2910" w:type="dxa"/>
            <w:shd w:val="clear" w:color="auto" w:fill="FFFFFF"/>
            <w:tcMar>
              <w:top w:w="0" w:type="dxa"/>
              <w:bottom w:w="0" w:type="dxa"/>
            </w:tcMar>
          </w:tcPr>
          <w:p w14:paraId="56489F28"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3B0EB572"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3E53B02E"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2B9A9F6B"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r>
      <w:tr w:rsidR="00555EE2" w:rsidRPr="00AC6C32" w14:paraId="23E44E71" w14:textId="77777777" w:rsidTr="00F24642">
        <w:trPr>
          <w:trHeight w:val="270"/>
        </w:trPr>
        <w:tc>
          <w:tcPr>
            <w:tcW w:w="3090" w:type="dxa"/>
            <w:shd w:val="clear" w:color="auto" w:fill="FFFFFF"/>
            <w:tcMar>
              <w:top w:w="0" w:type="dxa"/>
              <w:bottom w:w="0" w:type="dxa"/>
            </w:tcMar>
          </w:tcPr>
          <w:p w14:paraId="3DC924AB" w14:textId="77777777" w:rsidR="00555EE2" w:rsidRPr="00AC6C32" w:rsidRDefault="00555EE2" w:rsidP="00F24642">
            <w:pPr>
              <w:widowControl w:val="0"/>
              <w:rPr>
                <w:rFonts w:ascii="Arial" w:hAnsi="Arial" w:cs="Arial"/>
              </w:rPr>
            </w:pPr>
            <w:r w:rsidRPr="00AC6C32">
              <w:rPr>
                <w:rFonts w:ascii="Arial" w:hAnsi="Arial" w:cs="Arial"/>
              </w:rPr>
              <w:t>A-AgNps (100 µg/mL)</w:t>
            </w:r>
          </w:p>
        </w:tc>
        <w:tc>
          <w:tcPr>
            <w:tcW w:w="2910" w:type="dxa"/>
            <w:shd w:val="clear" w:color="auto" w:fill="FFFFFF"/>
            <w:tcMar>
              <w:top w:w="0" w:type="dxa"/>
              <w:bottom w:w="0" w:type="dxa"/>
            </w:tcMar>
          </w:tcPr>
          <w:p w14:paraId="68908365" w14:textId="77777777" w:rsidR="00555EE2" w:rsidRPr="00AC6C32" w:rsidRDefault="00555EE2" w:rsidP="00F24642">
            <w:pPr>
              <w:widowControl w:val="0"/>
              <w:rPr>
                <w:rFonts w:ascii="Arial" w:hAnsi="Arial" w:cs="Arial"/>
              </w:rPr>
            </w:pPr>
            <w:r w:rsidRPr="00AC6C32">
              <w:rPr>
                <w:rFonts w:ascii="Arial" w:hAnsi="Arial" w:cs="Arial"/>
              </w:rPr>
              <w:t>39.98 ± 1.60</w:t>
            </w:r>
            <w:r w:rsidRPr="00496EB1">
              <w:rPr>
                <w:rFonts w:ascii="Arial" w:hAnsi="Arial" w:cs="Arial"/>
              </w:rPr>
              <w:t xml:space="preserve"> ᵇ***</w:t>
            </w:r>
          </w:p>
        </w:tc>
        <w:tc>
          <w:tcPr>
            <w:tcW w:w="2910" w:type="dxa"/>
            <w:shd w:val="clear" w:color="auto" w:fill="FFFFFF"/>
            <w:tcMar>
              <w:top w:w="0" w:type="dxa"/>
              <w:bottom w:w="0" w:type="dxa"/>
            </w:tcMar>
          </w:tcPr>
          <w:p w14:paraId="0B0D9A47" w14:textId="77777777" w:rsidR="00555EE2" w:rsidRPr="00AC6C32" w:rsidRDefault="00555EE2" w:rsidP="00F24642">
            <w:pPr>
              <w:widowControl w:val="0"/>
              <w:rPr>
                <w:rFonts w:ascii="Arial" w:hAnsi="Arial" w:cs="Arial"/>
              </w:rPr>
            </w:pPr>
            <w:r w:rsidRPr="00AC6C32">
              <w:rPr>
                <w:rFonts w:ascii="Arial" w:hAnsi="Arial" w:cs="Arial"/>
              </w:rPr>
              <w:t>86.13 ± 2.95</w:t>
            </w:r>
            <w:r w:rsidRPr="00496EB1">
              <w:rPr>
                <w:rFonts w:ascii="Arial" w:hAnsi="Arial" w:cs="Arial"/>
              </w:rPr>
              <w:t xml:space="preserve"> ᵃ</w:t>
            </w:r>
          </w:p>
        </w:tc>
      </w:tr>
      <w:tr w:rsidR="00555EE2" w:rsidRPr="00AC6C32" w14:paraId="53A8EF7D" w14:textId="77777777" w:rsidTr="00F24642">
        <w:trPr>
          <w:trHeight w:val="270"/>
        </w:trPr>
        <w:tc>
          <w:tcPr>
            <w:tcW w:w="3090" w:type="dxa"/>
            <w:shd w:val="clear" w:color="auto" w:fill="FFFFFF"/>
            <w:tcMar>
              <w:top w:w="0" w:type="dxa"/>
              <w:bottom w:w="0" w:type="dxa"/>
            </w:tcMar>
          </w:tcPr>
          <w:p w14:paraId="08A204D2" w14:textId="77777777" w:rsidR="00555EE2" w:rsidRPr="00AC6C32" w:rsidRDefault="00555EE2" w:rsidP="00F24642">
            <w:pPr>
              <w:widowControl w:val="0"/>
              <w:rPr>
                <w:rFonts w:ascii="Arial" w:hAnsi="Arial" w:cs="Arial"/>
              </w:rPr>
            </w:pPr>
            <w:r w:rsidRPr="00AC6C32">
              <w:rPr>
                <w:rFonts w:ascii="Arial" w:hAnsi="Arial" w:cs="Arial"/>
              </w:rPr>
              <w:t>A-AgNPs (200 µg/mL)</w:t>
            </w:r>
          </w:p>
        </w:tc>
        <w:tc>
          <w:tcPr>
            <w:tcW w:w="2910" w:type="dxa"/>
            <w:shd w:val="clear" w:color="auto" w:fill="FFFFFF"/>
            <w:tcMar>
              <w:top w:w="0" w:type="dxa"/>
              <w:bottom w:w="0" w:type="dxa"/>
            </w:tcMar>
          </w:tcPr>
          <w:p w14:paraId="4A9F8F81" w14:textId="77777777" w:rsidR="00555EE2" w:rsidRPr="00AC6C32" w:rsidRDefault="00555EE2" w:rsidP="00F24642">
            <w:pPr>
              <w:widowControl w:val="0"/>
              <w:rPr>
                <w:rFonts w:ascii="Arial" w:hAnsi="Arial" w:cs="Arial"/>
              </w:rPr>
            </w:pPr>
            <w:r w:rsidRPr="00AC6C32">
              <w:rPr>
                <w:rFonts w:ascii="Arial" w:hAnsi="Arial" w:cs="Arial"/>
              </w:rPr>
              <w:t>31.79 ± 0.65</w:t>
            </w:r>
            <w:r w:rsidRPr="00496EB1">
              <w:rPr>
                <w:rFonts w:ascii="Arial" w:hAnsi="Arial" w:cs="Arial"/>
              </w:rPr>
              <w:t xml:space="preserve"> ᶜ***</w:t>
            </w:r>
          </w:p>
        </w:tc>
        <w:tc>
          <w:tcPr>
            <w:tcW w:w="2910" w:type="dxa"/>
            <w:shd w:val="clear" w:color="auto" w:fill="FFFFFF"/>
            <w:tcMar>
              <w:top w:w="0" w:type="dxa"/>
              <w:bottom w:w="0" w:type="dxa"/>
            </w:tcMar>
          </w:tcPr>
          <w:p w14:paraId="66512FF0" w14:textId="77777777" w:rsidR="00555EE2" w:rsidRPr="00AC6C32" w:rsidRDefault="00555EE2" w:rsidP="00F24642">
            <w:pPr>
              <w:widowControl w:val="0"/>
              <w:rPr>
                <w:rFonts w:ascii="Arial" w:hAnsi="Arial" w:cs="Arial"/>
              </w:rPr>
            </w:pPr>
            <w:r w:rsidRPr="00AC6C32">
              <w:rPr>
                <w:rFonts w:ascii="Arial" w:hAnsi="Arial" w:cs="Arial"/>
              </w:rPr>
              <w:t>76.44 ± 0.52</w:t>
            </w:r>
            <w:r w:rsidRPr="00496EB1">
              <w:rPr>
                <w:rFonts w:ascii="Arial" w:hAnsi="Arial" w:cs="Arial"/>
              </w:rPr>
              <w:t xml:space="preserve"> ᵇ*</w:t>
            </w:r>
          </w:p>
        </w:tc>
      </w:tr>
      <w:tr w:rsidR="00555EE2" w:rsidRPr="00AC6C32" w14:paraId="037600DF" w14:textId="77777777" w:rsidTr="00F24642">
        <w:trPr>
          <w:trHeight w:val="270"/>
        </w:trPr>
        <w:tc>
          <w:tcPr>
            <w:tcW w:w="3090" w:type="dxa"/>
            <w:shd w:val="clear" w:color="auto" w:fill="FFFFFF"/>
            <w:tcMar>
              <w:top w:w="0" w:type="dxa"/>
              <w:bottom w:w="0" w:type="dxa"/>
            </w:tcMar>
          </w:tcPr>
          <w:p w14:paraId="12F87E6E" w14:textId="77777777" w:rsidR="00555EE2" w:rsidRPr="00AC6C32" w:rsidRDefault="00555EE2" w:rsidP="00F24642">
            <w:pPr>
              <w:widowControl w:val="0"/>
              <w:rPr>
                <w:rFonts w:ascii="Arial" w:hAnsi="Arial" w:cs="Arial"/>
              </w:rPr>
            </w:pPr>
            <w:r w:rsidRPr="00AC6C32">
              <w:rPr>
                <w:rFonts w:ascii="Arial" w:hAnsi="Arial" w:cs="Arial"/>
              </w:rPr>
              <w:lastRenderedPageBreak/>
              <w:t>E-AgNPs (100 µg/mL)</w:t>
            </w:r>
          </w:p>
        </w:tc>
        <w:tc>
          <w:tcPr>
            <w:tcW w:w="2910" w:type="dxa"/>
            <w:shd w:val="clear" w:color="auto" w:fill="FFFFFF"/>
            <w:tcMar>
              <w:top w:w="0" w:type="dxa"/>
              <w:bottom w:w="0" w:type="dxa"/>
            </w:tcMar>
          </w:tcPr>
          <w:p w14:paraId="62170AA4" w14:textId="77777777" w:rsidR="00555EE2" w:rsidRPr="00AC6C32" w:rsidRDefault="00555EE2" w:rsidP="00F24642">
            <w:pPr>
              <w:widowControl w:val="0"/>
              <w:rPr>
                <w:rFonts w:ascii="Arial" w:hAnsi="Arial" w:cs="Arial"/>
              </w:rPr>
            </w:pPr>
            <w:r w:rsidRPr="00AC6C32">
              <w:rPr>
                <w:rFonts w:ascii="Arial" w:hAnsi="Arial" w:cs="Arial"/>
              </w:rPr>
              <w:t>45.8 ± 1.13</w:t>
            </w:r>
            <w:r w:rsidRPr="00496EB1">
              <w:rPr>
                <w:rFonts w:ascii="Arial" w:hAnsi="Arial" w:cs="Arial"/>
              </w:rPr>
              <w:t xml:space="preserve"> ᵈ***</w:t>
            </w:r>
          </w:p>
        </w:tc>
        <w:tc>
          <w:tcPr>
            <w:tcW w:w="2910" w:type="dxa"/>
            <w:shd w:val="clear" w:color="auto" w:fill="FFFFFF"/>
            <w:tcMar>
              <w:top w:w="0" w:type="dxa"/>
              <w:bottom w:w="0" w:type="dxa"/>
            </w:tcMar>
          </w:tcPr>
          <w:p w14:paraId="290016C3" w14:textId="77777777" w:rsidR="00555EE2" w:rsidRPr="00AC6C32" w:rsidRDefault="00555EE2" w:rsidP="00F24642">
            <w:pPr>
              <w:widowControl w:val="0"/>
              <w:rPr>
                <w:rFonts w:ascii="Arial" w:hAnsi="Arial" w:cs="Arial"/>
              </w:rPr>
            </w:pPr>
            <w:r w:rsidRPr="00AC6C32">
              <w:rPr>
                <w:rFonts w:ascii="Arial" w:hAnsi="Arial" w:cs="Arial"/>
              </w:rPr>
              <w:t>56.78 ± 0.54</w:t>
            </w:r>
            <w:r w:rsidRPr="00496EB1">
              <w:rPr>
                <w:rFonts w:ascii="Arial" w:hAnsi="Arial" w:cs="Arial"/>
              </w:rPr>
              <w:t xml:space="preserve"> ᶜ***</w:t>
            </w:r>
          </w:p>
        </w:tc>
      </w:tr>
      <w:tr w:rsidR="00555EE2" w:rsidRPr="00AC6C32" w14:paraId="3A9C6BE5" w14:textId="77777777" w:rsidTr="00F24642">
        <w:trPr>
          <w:trHeight w:val="270"/>
        </w:trPr>
        <w:tc>
          <w:tcPr>
            <w:tcW w:w="3090" w:type="dxa"/>
            <w:shd w:val="clear" w:color="auto" w:fill="FFFFFF"/>
            <w:tcMar>
              <w:top w:w="0" w:type="dxa"/>
              <w:bottom w:w="0" w:type="dxa"/>
            </w:tcMar>
          </w:tcPr>
          <w:p w14:paraId="610C302B" w14:textId="77777777" w:rsidR="00555EE2" w:rsidRPr="00AC6C32" w:rsidRDefault="00555EE2" w:rsidP="00F24642">
            <w:pPr>
              <w:widowControl w:val="0"/>
              <w:rPr>
                <w:rFonts w:ascii="Arial" w:hAnsi="Arial" w:cs="Arial"/>
              </w:rPr>
            </w:pPr>
            <w:r w:rsidRPr="00AC6C32">
              <w:rPr>
                <w:rFonts w:ascii="Arial" w:hAnsi="Arial" w:cs="Arial"/>
              </w:rPr>
              <w:t>E-AgNPs (200 µg/mL)</w:t>
            </w:r>
          </w:p>
        </w:tc>
        <w:tc>
          <w:tcPr>
            <w:tcW w:w="2910" w:type="dxa"/>
            <w:shd w:val="clear" w:color="auto" w:fill="FFFFFF"/>
            <w:tcMar>
              <w:top w:w="0" w:type="dxa"/>
              <w:bottom w:w="0" w:type="dxa"/>
            </w:tcMar>
          </w:tcPr>
          <w:p w14:paraId="2BA0D490" w14:textId="77777777" w:rsidR="00555EE2" w:rsidRPr="00AC6C32" w:rsidRDefault="00555EE2" w:rsidP="00F24642">
            <w:pPr>
              <w:widowControl w:val="0"/>
              <w:rPr>
                <w:rFonts w:ascii="Arial" w:hAnsi="Arial" w:cs="Arial"/>
              </w:rPr>
            </w:pPr>
            <w:r w:rsidRPr="00AC6C32">
              <w:rPr>
                <w:rFonts w:ascii="Arial" w:hAnsi="Arial" w:cs="Arial"/>
              </w:rPr>
              <w:t>35.51 ± 0.50</w:t>
            </w:r>
            <w:r w:rsidRPr="00496EB1">
              <w:rPr>
                <w:rFonts w:ascii="Arial" w:hAnsi="Arial" w:cs="Arial"/>
              </w:rPr>
              <w:t xml:space="preserve"> ᵉ***</w:t>
            </w:r>
          </w:p>
        </w:tc>
        <w:tc>
          <w:tcPr>
            <w:tcW w:w="2910" w:type="dxa"/>
            <w:shd w:val="clear" w:color="auto" w:fill="FFFFFF"/>
            <w:tcMar>
              <w:top w:w="0" w:type="dxa"/>
              <w:bottom w:w="0" w:type="dxa"/>
            </w:tcMar>
          </w:tcPr>
          <w:p w14:paraId="54076437" w14:textId="77777777" w:rsidR="00555EE2" w:rsidRPr="00AC6C32" w:rsidRDefault="00555EE2" w:rsidP="00F24642">
            <w:pPr>
              <w:widowControl w:val="0"/>
              <w:rPr>
                <w:rFonts w:ascii="Arial" w:hAnsi="Arial" w:cs="Arial"/>
              </w:rPr>
            </w:pPr>
            <w:r w:rsidRPr="00AC6C32">
              <w:rPr>
                <w:rFonts w:ascii="Arial" w:hAnsi="Arial" w:cs="Arial"/>
              </w:rPr>
              <w:t>55.95 ± 0.64</w:t>
            </w:r>
            <w:r w:rsidRPr="00496EB1">
              <w:rPr>
                <w:rFonts w:ascii="Arial" w:hAnsi="Arial" w:cs="Arial"/>
              </w:rPr>
              <w:t xml:space="preserve"> ᶜ***</w:t>
            </w:r>
          </w:p>
        </w:tc>
      </w:tr>
    </w:tbl>
    <w:p w14:paraId="1DE408D5" w14:textId="77777777" w:rsidR="00555EE2" w:rsidRDefault="00555EE2" w:rsidP="00555EE2">
      <w:pPr>
        <w:widowControl w:val="0"/>
        <w:jc w:val="both"/>
        <w:rPr>
          <w:rFonts w:ascii="Arial" w:hAnsi="Arial" w:cs="Arial"/>
          <w:i/>
          <w:iCs/>
        </w:rPr>
      </w:pPr>
      <w:r w:rsidRPr="00AC6C32">
        <w:rPr>
          <w:rFonts w:ascii="Arial" w:hAnsi="Arial" w:cs="Arial"/>
          <w:b/>
          <w:i/>
          <w:iCs/>
          <w:vertAlign w:val="superscript"/>
        </w:rPr>
        <w:t>*</w:t>
      </w:r>
      <w:r w:rsidRPr="00AC6C32">
        <w:rPr>
          <w:rFonts w:ascii="Arial" w:hAnsi="Arial" w:cs="Arial"/>
          <w:i/>
          <w:iCs/>
        </w:rPr>
        <w:t xml:space="preserve">A-AgNPs- Aqueous Silver Nanoparticles, </w:t>
      </w:r>
      <w:r w:rsidRPr="00AC6C32">
        <w:rPr>
          <w:rFonts w:ascii="Arial" w:hAnsi="Arial" w:cs="Arial"/>
          <w:b/>
          <w:i/>
          <w:iCs/>
          <w:vertAlign w:val="superscript"/>
        </w:rPr>
        <w:t>*</w:t>
      </w:r>
      <w:r w:rsidRPr="00AC6C32">
        <w:rPr>
          <w:rFonts w:ascii="Arial" w:hAnsi="Arial" w:cs="Arial"/>
          <w:i/>
          <w:iCs/>
        </w:rPr>
        <w:t>E-AgNPs- Ethanolic Silver Nanoparticles.</w:t>
      </w:r>
    </w:p>
    <w:p w14:paraId="5033A8A6" w14:textId="77777777" w:rsidR="00555EE2" w:rsidRPr="001F2F24" w:rsidRDefault="00555EE2" w:rsidP="00555EE2">
      <w:pPr>
        <w:widowControl w:val="0"/>
        <w:jc w:val="both"/>
        <w:rPr>
          <w:rFonts w:ascii="Arial" w:hAnsi="Arial" w:cs="Arial"/>
          <w:i/>
          <w:iCs/>
        </w:rPr>
      </w:pPr>
      <w:r w:rsidRPr="001F2F24">
        <w:rPr>
          <w:rFonts w:ascii="Arial" w:hAnsi="Arial" w:cs="Arial"/>
          <w:i/>
          <w:iCs/>
        </w:rPr>
        <w:t>n = 6 worms per group. † Censored observation; Welch's ANOVA - paralysis: F (4, 11.81) = 47.12, P &lt; .001, η² = 0.92; death: F (3, 10.71) = 284.65, P &lt; .001, η² = 0.93.</w:t>
      </w:r>
    </w:p>
    <w:p w14:paraId="68D9B6E7" w14:textId="77777777" w:rsidR="00555EE2" w:rsidRPr="001F2F24" w:rsidRDefault="00555EE2" w:rsidP="00555EE2">
      <w:pPr>
        <w:jc w:val="both"/>
        <w:rPr>
          <w:rFonts w:ascii="Arial" w:hAnsi="Arial" w:cs="Arial"/>
          <w:i/>
          <w:iCs/>
        </w:rPr>
      </w:pPr>
      <w:r w:rsidRPr="001F2F24">
        <w:rPr>
          <w:rFonts w:ascii="Arial" w:hAnsi="Arial" w:cs="Arial"/>
          <w:i/>
          <w:iCs/>
        </w:rPr>
        <w:t>Within each column, means not sharing a common superscript letter (a–e) differ significantly at P &lt; .05 by the Games–Howell post-hoc test. For time to paralysis, all ten pairwise comparisons were significant (P ranging from &lt; .001 to .049), hence each group carries a distinct letter. For time to death, ethanolic AgNPs at 100 and 200 µg/mL did not differ from each other (P = .5</w:t>
      </w:r>
      <w:r w:rsidR="00A0259F">
        <w:rPr>
          <w:rFonts w:ascii="Arial" w:hAnsi="Arial" w:cs="Arial"/>
          <w:i/>
          <w:iCs/>
        </w:rPr>
        <w:t>3</w:t>
      </w:r>
      <w:r w:rsidRPr="001F2F24">
        <w:rPr>
          <w:rFonts w:ascii="Arial" w:hAnsi="Arial" w:cs="Arial"/>
          <w:i/>
          <w:iCs/>
        </w:rPr>
        <w:t>) and therefore share the letter ᶜ.</w:t>
      </w:r>
    </w:p>
    <w:p w14:paraId="034AAA84" w14:textId="77777777" w:rsidR="00555EE2" w:rsidRDefault="00555EE2" w:rsidP="00555EE2">
      <w:pPr>
        <w:jc w:val="both"/>
        <w:rPr>
          <w:rFonts w:ascii="Arial" w:hAnsi="Arial" w:cs="Arial"/>
        </w:rPr>
      </w:pPr>
      <w:r w:rsidRPr="001F2F24">
        <w:rPr>
          <w:rFonts w:ascii="Arial" w:hAnsi="Arial" w:cs="Arial"/>
          <w:i/>
          <w:iCs/>
        </w:rPr>
        <w:t>Asterisks denote significance versus the corresponding reference group: for time to paralysis, versus albendazole 200 µg/mL; for time to death, versus aqueous AgNPs 100 µg/mL (the least active group with measurable lethality, since albendazole produced no deaths). *P &lt; .05, **P &lt; .01, ***P &lt; .001</w:t>
      </w:r>
      <w:r w:rsidRPr="00496EB1">
        <w:rPr>
          <w:rFonts w:ascii="Arial" w:hAnsi="Arial" w:cs="Arial"/>
        </w:rPr>
        <w:t>.</w:t>
      </w:r>
    </w:p>
    <w:p w14:paraId="627C4153" w14:textId="77777777" w:rsidR="00821D1F" w:rsidRDefault="00821D1F" w:rsidP="00555EE2">
      <w:pPr>
        <w:jc w:val="both"/>
        <w:rPr>
          <w:rFonts w:ascii="Arial" w:hAnsi="Arial" w:cs="Arial"/>
        </w:rPr>
      </w:pPr>
    </w:p>
    <w:p w14:paraId="53E2EFE9" w14:textId="77777777" w:rsidR="00821D1F" w:rsidRPr="004E4DDF" w:rsidRDefault="00821D1F" w:rsidP="00821D1F">
      <w:pPr>
        <w:spacing w:line="360" w:lineRule="auto"/>
        <w:jc w:val="both"/>
        <w:rPr>
          <w:rFonts w:ascii="Arial" w:hAnsi="Arial" w:cs="Arial"/>
        </w:rPr>
      </w:pPr>
      <w:r>
        <w:rPr>
          <w:rFonts w:ascii="Arial" w:hAnsi="Arial" w:cs="Arial"/>
        </w:rPr>
        <w:t>Every AgNP treatment paraly</w:t>
      </w:r>
      <w:r>
        <w:rPr>
          <w:rFonts w:ascii="Arial" w:hAnsi="Arial" w:cs="Arial"/>
          <w:highlight w:val="yellow"/>
        </w:rPr>
        <w:t>s</w:t>
      </w:r>
      <w:r>
        <w:rPr>
          <w:rFonts w:ascii="Arial" w:hAnsi="Arial" w:cs="Arial"/>
        </w:rPr>
        <w:t>ed the worms faster than albendazole at the same concentration (</w:t>
      </w:r>
      <w:r>
        <w:rPr>
          <w:rFonts w:ascii="Arial" w:hAnsi="Arial" w:cs="Arial"/>
          <w:i/>
          <w:iCs/>
        </w:rPr>
        <w:t>P</w:t>
      </w:r>
      <w:r>
        <w:rPr>
          <w:rFonts w:ascii="Arial" w:hAnsi="Arial" w:cs="Arial"/>
        </w:rPr>
        <w:t xml:space="preserve"> &lt; .001),</w:t>
      </w:r>
      <w:r>
        <w:rPr>
          <w:rFonts w:ascii="Arial" w:hAnsi="Arial" w:cs="Arial"/>
          <w:highlight w:val="yellow"/>
        </w:rPr>
        <w:t xml:space="preserve"> with</w:t>
      </w:r>
      <w:r>
        <w:rPr>
          <w:rFonts w:ascii="Arial" w:hAnsi="Arial" w:cs="Arial"/>
        </w:rPr>
        <w:t xml:space="preserve"> aqueous AgNPs at 200 µg/mL being the most rapid (31.79 ± 0.65 versus 71.51 ± 3.61 min, exhibiting a 55.5 % reduction)</w:t>
      </w:r>
      <w:r>
        <w:rPr>
          <w:rFonts w:ascii="Arial" w:hAnsi="Arial" w:cs="Arial"/>
          <w:highlight w:val="yellow"/>
        </w:rPr>
        <w:t>;</w:t>
      </w:r>
      <w:r>
        <w:rPr>
          <w:rFonts w:ascii="Arial" w:hAnsi="Arial" w:cs="Arial"/>
        </w:rPr>
        <w:t xml:space="preserve"> paralysis time fell by roughly 20 % between 100 and 200 µg/mL for both preparations (</w:t>
      </w:r>
      <w:r>
        <w:rPr>
          <w:rFonts w:ascii="Arial" w:hAnsi="Arial" w:cs="Arial"/>
          <w:i/>
          <w:iCs/>
        </w:rPr>
        <w:t>P</w:t>
      </w:r>
      <w:r>
        <w:rPr>
          <w:rFonts w:ascii="Arial" w:hAnsi="Arial" w:cs="Arial"/>
        </w:rPr>
        <w:t xml:space="preserve"> ≤ .002) (Table 2), consistent with the greater surface area and oxidative Ag</w:t>
      </w:r>
      <w:r>
        <w:rPr>
          <w:rFonts w:ascii="Cambria Math" w:hAnsi="Cambria Math" w:cs="Cambria Math"/>
        </w:rPr>
        <w:t>⁺</w:t>
      </w:r>
      <w:r>
        <w:rPr>
          <w:rFonts w:ascii="Arial" w:hAnsi="Arial" w:cs="Arial"/>
        </w:rPr>
        <w:t xml:space="preserve"> release available at higher particle loads (Ivask et al., 2014; Dakal et al., 2016). Albendazole paraly</w:t>
      </w:r>
      <w:r>
        <w:rPr>
          <w:rFonts w:ascii="Arial" w:hAnsi="Arial" w:cs="Arial"/>
          <w:highlight w:val="yellow"/>
        </w:rPr>
        <w:t>s</w:t>
      </w:r>
      <w:r>
        <w:rPr>
          <w:rFonts w:ascii="Arial" w:hAnsi="Arial" w:cs="Arial"/>
        </w:rPr>
        <w:t xml:space="preserve">ed but did not kill the worms within 240 min, consistent with its slower β-tubulin-mediated depletion of glycogen and ATP reserves (Lacey, 1990). </w:t>
      </w:r>
    </w:p>
    <w:p w14:paraId="441A978F" w14:textId="77777777" w:rsidR="00821D1F" w:rsidRPr="00AC58B8" w:rsidRDefault="00821D1F" w:rsidP="00821D1F">
      <w:pPr>
        <w:spacing w:line="360" w:lineRule="auto"/>
        <w:jc w:val="both"/>
        <w:rPr>
          <w:rFonts w:ascii="Arial" w:hAnsi="Arial" w:cs="Arial"/>
        </w:rPr>
      </w:pPr>
      <w:r w:rsidRPr="00AC58B8">
        <w:rPr>
          <w:rFonts w:ascii="Arial" w:hAnsi="Arial" w:cs="Arial"/>
        </w:rPr>
        <w:t xml:space="preserve">The two endpoints ranked the formulations differently, which is the most informative finding of the study. Although aqueous AgNPs paralysed the worms faster, ethanolic AgNPs were more lethal, killing them some 20 min sooner at 200 µg/mL (55.95 ± 0.64 versus 76.44 ± 0.52 min; </w:t>
      </w:r>
      <w:r w:rsidRPr="00AC58B8">
        <w:rPr>
          <w:rFonts w:ascii="Arial" w:hAnsi="Arial" w:cs="Arial"/>
          <w:i/>
          <w:iCs/>
        </w:rPr>
        <w:t>P</w:t>
      </w:r>
      <w:r w:rsidRPr="00AC58B8">
        <w:rPr>
          <w:rFonts w:ascii="Arial" w:hAnsi="Arial" w:cs="Arial"/>
        </w:rPr>
        <w:t xml:space="preserve"> &lt; .001) and shortening the paralysis-to-death interval from about 45 min to about 20 min</w:t>
      </w:r>
      <w:r w:rsidR="000E3434" w:rsidRPr="00AC58B8">
        <w:rPr>
          <w:rFonts w:ascii="Arial" w:hAnsi="Arial" w:cs="Arial"/>
        </w:rPr>
        <w:t xml:space="preserve"> (Table 2)</w:t>
      </w:r>
      <w:r w:rsidRPr="00AC58B8">
        <w:rPr>
          <w:rFonts w:ascii="Arial" w:hAnsi="Arial" w:cs="Arial"/>
        </w:rPr>
        <w:t>. This suggests that rapid neuromuscular blockade and slower Ag</w:t>
      </w:r>
      <w:r w:rsidRPr="00AC58B8">
        <w:rPr>
          <w:rFonts w:ascii="Cambria Math" w:hAnsi="Cambria Math" w:cs="Cambria Math"/>
        </w:rPr>
        <w:t>⁺</w:t>
      </w:r>
      <w:r w:rsidRPr="00AC58B8">
        <w:rPr>
          <w:rFonts w:ascii="Arial" w:hAnsi="Arial" w:cs="Arial"/>
        </w:rPr>
        <w:t>-mediated cytotoxicity contribute unequally to the two preparations. The absence of any further gain between 100 and 200 µg/mL for the ethanolic AgNPs (</w:t>
      </w:r>
      <w:r w:rsidRPr="00AC58B8">
        <w:rPr>
          <w:rFonts w:ascii="Arial" w:hAnsi="Arial" w:cs="Arial"/>
          <w:i/>
          <w:iCs/>
        </w:rPr>
        <w:t>P</w:t>
      </w:r>
      <w:r w:rsidRPr="00AC58B8">
        <w:rPr>
          <w:rFonts w:ascii="Arial" w:hAnsi="Arial" w:cs="Arial"/>
        </w:rPr>
        <w:t xml:space="preserve"> = .53) indicates that a ceiling of lethal efficacy had already been reached at the lower concentration. </w:t>
      </w:r>
    </w:p>
    <w:p w14:paraId="4B352197" w14:textId="77777777" w:rsidR="00821D1F" w:rsidRPr="00AC58B8" w:rsidRDefault="00821D1F" w:rsidP="00821D1F">
      <w:pPr>
        <w:spacing w:line="360" w:lineRule="auto"/>
        <w:jc w:val="both"/>
        <w:rPr>
          <w:rFonts w:ascii="Arial" w:hAnsi="Arial" w:cs="Arial"/>
        </w:rPr>
      </w:pPr>
      <w:r>
        <w:rPr>
          <w:rFonts w:ascii="Arial" w:hAnsi="Arial" w:cs="Arial"/>
        </w:rPr>
        <w:t>Visual observations during the four-hour period supported a cytotoxic rather than a purely paralytic mode of killing, with bleeding from the anterior region, body paleness</w:t>
      </w:r>
      <w:r>
        <w:rPr>
          <w:rFonts w:ascii="Arial" w:hAnsi="Arial" w:cs="Arial"/>
          <w:highlight w:val="yellow"/>
        </w:rPr>
        <w:t>,</w:t>
      </w:r>
      <w:r>
        <w:rPr>
          <w:rFonts w:ascii="Arial" w:hAnsi="Arial" w:cs="Arial"/>
        </w:rPr>
        <w:t xml:space="preserve"> and white secretions observed with both AgNP preparations. Comparable surface disruption has been demonstrated microscopically in </w:t>
      </w:r>
      <w:r>
        <w:rPr>
          <w:rFonts w:ascii="Arial" w:hAnsi="Arial" w:cs="Arial"/>
          <w:i/>
          <w:iCs/>
        </w:rPr>
        <w:t>Toxocara vitulorum</w:t>
      </w:r>
      <w:r>
        <w:rPr>
          <w:rFonts w:ascii="Arial" w:hAnsi="Arial" w:cs="Arial"/>
        </w:rPr>
        <w:t xml:space="preserve"> (Bahaaeldine et al., 2022) and in cestode tegument (Majumdar &amp; Kar, 2023). Likewise, the reactive oxygen species generation reported in </w:t>
      </w:r>
      <w:r>
        <w:rPr>
          <w:rFonts w:ascii="Arial" w:hAnsi="Arial" w:cs="Arial"/>
          <w:i/>
          <w:iCs/>
        </w:rPr>
        <w:t>Haemonchus contortus</w:t>
      </w:r>
      <w:r>
        <w:rPr>
          <w:rFonts w:ascii="Arial" w:hAnsi="Arial" w:cs="Arial"/>
        </w:rPr>
        <w:t xml:space="preserve"> (Kaiaty et al., 2023) links oxidative stress to cellular breakdown</w:t>
      </w:r>
      <w:r>
        <w:rPr>
          <w:rFonts w:ascii="Arial" w:hAnsi="Arial" w:cs="Arial"/>
          <w:highlight w:val="yellow"/>
        </w:rPr>
        <w:t>;</w:t>
      </w:r>
      <w:r>
        <w:rPr>
          <w:rFonts w:ascii="Arial" w:hAnsi="Arial" w:cs="Arial"/>
        </w:rPr>
        <w:t xml:space="preserve"> these signs imply</w:t>
      </w:r>
      <w:r>
        <w:rPr>
          <w:rFonts w:ascii="Arial" w:hAnsi="Arial" w:cs="Arial"/>
          <w:highlight w:val="yellow"/>
        </w:rPr>
        <w:t xml:space="preserve"> that</w:t>
      </w:r>
      <w:r>
        <w:rPr>
          <w:rFonts w:ascii="Arial" w:hAnsi="Arial" w:cs="Arial"/>
        </w:rPr>
        <w:t xml:space="preserve"> membrane disruption and Ag</w:t>
      </w:r>
      <w:r>
        <w:rPr>
          <w:rFonts w:ascii="Cambria Math" w:hAnsi="Cambria Math" w:cs="Cambria Math"/>
        </w:rPr>
        <w:t>⁺</w:t>
      </w:r>
      <w:r>
        <w:rPr>
          <w:rFonts w:ascii="Arial" w:hAnsi="Arial" w:cs="Arial"/>
        </w:rPr>
        <w:t xml:space="preserve"> binding to essential thiol groups </w:t>
      </w:r>
      <w:r>
        <w:rPr>
          <w:rFonts w:ascii="Arial" w:hAnsi="Arial" w:cs="Arial"/>
          <w:highlight w:val="yellow"/>
        </w:rPr>
        <w:t>ar</w:t>
      </w:r>
      <w:r>
        <w:rPr>
          <w:rFonts w:ascii="Arial" w:hAnsi="Arial" w:cs="Arial"/>
        </w:rPr>
        <w:t>e implicated in both (Dakal et al., 2016; Bruna et al., 2021). T</w:t>
      </w:r>
      <w:r>
        <w:rPr>
          <w:rFonts w:ascii="Arial" w:hAnsi="Arial" w:cs="Arial"/>
          <w:highlight w:val="yellow"/>
        </w:rPr>
        <w:t>he t</w:t>
      </w:r>
      <w:r>
        <w:rPr>
          <w:rFonts w:ascii="Arial" w:hAnsi="Arial" w:cs="Arial"/>
        </w:rPr>
        <w:t xml:space="preserve">reatment group accounted for the great majority of variance in both endpoints (η² = 0.92 and 0.93). </w:t>
      </w:r>
      <w:r>
        <w:rPr>
          <w:rFonts w:ascii="Arial" w:hAnsi="Arial" w:cs="Arial"/>
        </w:rPr>
        <w:lastRenderedPageBreak/>
        <w:t>Overall, both the aqueous and ethanolic AgNPs can be considered promising anthelmintic agents.</w:t>
      </w:r>
    </w:p>
    <w:p w14:paraId="50567320" w14:textId="77777777" w:rsidR="00821D1F" w:rsidRPr="00496EB1" w:rsidRDefault="00821D1F" w:rsidP="00555EE2">
      <w:pPr>
        <w:jc w:val="both"/>
        <w:rPr>
          <w:rFonts w:ascii="Arial" w:hAnsi="Arial" w:cs="Arial"/>
        </w:rPr>
      </w:pPr>
    </w:p>
    <w:p w14:paraId="1F8B613A" w14:textId="77777777" w:rsidR="00E602C3" w:rsidRPr="00C24788" w:rsidRDefault="008D1A4C" w:rsidP="00C24788">
      <w:pPr>
        <w:widowControl w:val="0"/>
        <w:spacing w:before="240" w:after="240"/>
        <w:jc w:val="both"/>
        <w:rPr>
          <w:rFonts w:ascii="Arial" w:hAnsi="Arial" w:cs="Arial"/>
        </w:rPr>
      </w:pPr>
      <w:r>
        <w:rPr>
          <w:rFonts w:ascii="Arial" w:hAnsi="Arial" w:cs="Arial"/>
          <w:b/>
          <w:bCs/>
        </w:rPr>
        <w:t xml:space="preserve">4. </w:t>
      </w:r>
      <w:r w:rsidR="00E602C3" w:rsidRPr="00C24788">
        <w:rPr>
          <w:rFonts w:ascii="Arial" w:hAnsi="Arial" w:cs="Arial"/>
          <w:b/>
          <w:bCs/>
        </w:rPr>
        <w:t>CONCLUSION</w:t>
      </w:r>
    </w:p>
    <w:p w14:paraId="411DB64D" w14:textId="77777777" w:rsidR="00E602C3" w:rsidRDefault="00E602C3" w:rsidP="00C24788">
      <w:pPr>
        <w:widowControl w:val="0"/>
        <w:spacing w:after="240" w:line="360" w:lineRule="auto"/>
        <w:jc w:val="both"/>
        <w:rPr>
          <w:rFonts w:ascii="Arial" w:hAnsi="Arial" w:cs="Arial"/>
        </w:rPr>
      </w:pPr>
      <w:r>
        <w:rPr>
          <w:rFonts w:ascii="Arial" w:hAnsi="Arial" w:cs="Arial"/>
        </w:rPr>
        <w:t xml:space="preserve">This study explored the potential of aqueous and ethanolic root extracts of </w:t>
      </w:r>
      <w:r>
        <w:rPr>
          <w:rFonts w:ascii="Arial" w:hAnsi="Arial" w:cs="Arial"/>
          <w:i/>
          <w:iCs/>
        </w:rPr>
        <w:t>C. scariosus</w:t>
      </w:r>
      <w:r>
        <w:rPr>
          <w:rFonts w:ascii="Arial" w:hAnsi="Arial" w:cs="Arial"/>
        </w:rPr>
        <w:t xml:space="preserve"> as biogenic agents for </w:t>
      </w:r>
      <w:r>
        <w:rPr>
          <w:rFonts w:ascii="Arial" w:hAnsi="Arial" w:cs="Arial"/>
          <w:highlight w:val="yellow"/>
        </w:rPr>
        <w:t xml:space="preserve">the </w:t>
      </w:r>
      <w:r>
        <w:rPr>
          <w:rFonts w:ascii="Arial" w:hAnsi="Arial" w:cs="Arial"/>
        </w:rPr>
        <w:t>synthesis of silver nanoparticles. The diverse phytochemical profile of the aforesaid plant extracts in</w:t>
      </w:r>
      <w:r>
        <w:rPr>
          <w:rFonts w:ascii="Arial" w:hAnsi="Arial" w:cs="Arial"/>
          <w:highlight w:val="yellow"/>
        </w:rPr>
        <w:t>dica</w:t>
      </w:r>
      <w:r>
        <w:rPr>
          <w:rFonts w:ascii="Arial" w:hAnsi="Arial" w:cs="Arial"/>
        </w:rPr>
        <w:t>ted their potential as reducing, capping</w:t>
      </w:r>
      <w:r>
        <w:rPr>
          <w:rFonts w:ascii="Arial" w:hAnsi="Arial" w:cs="Arial"/>
          <w:highlight w:val="yellow"/>
        </w:rPr>
        <w:t>,</w:t>
      </w:r>
      <w:r>
        <w:rPr>
          <w:rFonts w:ascii="Arial" w:hAnsi="Arial" w:cs="Arial"/>
        </w:rPr>
        <w:t xml:space="preserve"> and chelating agents for</w:t>
      </w:r>
      <w:r>
        <w:rPr>
          <w:rFonts w:ascii="Arial" w:hAnsi="Arial" w:cs="Arial"/>
          <w:highlight w:val="yellow"/>
        </w:rPr>
        <w:t xml:space="preserve"> the</w:t>
      </w:r>
      <w:r>
        <w:rPr>
          <w:rFonts w:ascii="Arial" w:hAnsi="Arial" w:cs="Arial"/>
        </w:rPr>
        <w:t xml:space="preserve"> synthesis of silver nanoparticles. The results of silver nanoparticle</w:t>
      </w:r>
      <w:r>
        <w:rPr>
          <w:rFonts w:ascii="Arial" w:hAnsi="Arial" w:cs="Arial"/>
          <w:highlight w:val="yellow"/>
        </w:rPr>
        <w:t xml:space="preserve"> characteri</w:t>
      </w:r>
      <w:r>
        <w:rPr>
          <w:rFonts w:ascii="Arial" w:hAnsi="Arial" w:cs="Arial"/>
        </w:rPr>
        <w:t>s</w:t>
      </w:r>
      <w:r>
        <w:rPr>
          <w:rFonts w:ascii="Arial" w:hAnsi="Arial" w:cs="Arial"/>
          <w:highlight w:val="yellow"/>
        </w:rPr>
        <w:t>ation</w:t>
      </w:r>
      <w:r>
        <w:rPr>
          <w:rFonts w:ascii="Arial" w:hAnsi="Arial" w:cs="Arial"/>
        </w:rPr>
        <w:t xml:space="preserve"> affirm the successful synthesis of silver nanoparticles with desired characteristics</w:t>
      </w:r>
      <w:r>
        <w:rPr>
          <w:rFonts w:ascii="Arial" w:hAnsi="Arial" w:cs="Arial"/>
          <w:highlight w:val="yellow"/>
        </w:rPr>
        <w:t>,</w:t>
      </w:r>
      <w:r>
        <w:rPr>
          <w:rFonts w:ascii="Arial" w:hAnsi="Arial" w:cs="Arial"/>
        </w:rPr>
        <w:t xml:space="preserve"> such as</w:t>
      </w:r>
      <w:r>
        <w:rPr>
          <w:rFonts w:ascii="Arial" w:hAnsi="Arial" w:cs="Arial"/>
          <w:highlight w:val="yellow"/>
        </w:rPr>
        <w:t xml:space="preserve"> a</w:t>
      </w:r>
      <w:r>
        <w:rPr>
          <w:rFonts w:ascii="Arial" w:hAnsi="Arial" w:cs="Arial"/>
        </w:rPr>
        <w:t xml:space="preserve"> befitting surface plasmon resonance range, </w:t>
      </w:r>
      <w:r>
        <w:rPr>
          <w:rFonts w:ascii="Arial" w:hAnsi="Arial" w:cs="Arial"/>
          <w:highlight w:val="yellow"/>
        </w:rPr>
        <w:t xml:space="preserve">the </w:t>
      </w:r>
      <w:r>
        <w:rPr>
          <w:rFonts w:ascii="Arial" w:hAnsi="Arial" w:cs="Arial"/>
        </w:rPr>
        <w:t>presence of varied functional groups, a</w:t>
      </w:r>
      <w:r>
        <w:rPr>
          <w:rFonts w:ascii="Arial" w:hAnsi="Arial" w:cs="Arial"/>
          <w:highlight w:val="yellow"/>
        </w:rPr>
        <w:t>nd a</w:t>
      </w:r>
      <w:r>
        <w:rPr>
          <w:rFonts w:ascii="Arial" w:hAnsi="Arial" w:cs="Arial"/>
        </w:rPr>
        <w:t>ppropriate size, shape</w:t>
      </w:r>
      <w:r>
        <w:rPr>
          <w:rFonts w:ascii="Arial" w:hAnsi="Arial" w:cs="Arial"/>
          <w:highlight w:val="yellow"/>
        </w:rPr>
        <w:t>,</w:t>
      </w:r>
      <w:r>
        <w:rPr>
          <w:rFonts w:ascii="Arial" w:hAnsi="Arial" w:cs="Arial"/>
        </w:rPr>
        <w:t xml:space="preserve"> and elemental composition. The potent anthelmintic potential exhibited by the AgNPs </w:t>
      </w:r>
      <w:r>
        <w:rPr>
          <w:rFonts w:ascii="Arial" w:hAnsi="Arial" w:cs="Arial"/>
          <w:highlight w:val="yellow"/>
        </w:rPr>
        <w:t>fr</w:t>
      </w:r>
      <w:r>
        <w:rPr>
          <w:rFonts w:ascii="Arial" w:hAnsi="Arial" w:cs="Arial"/>
        </w:rPr>
        <w:t>o</w:t>
      </w:r>
      <w:r>
        <w:rPr>
          <w:rFonts w:ascii="Arial" w:hAnsi="Arial" w:cs="Arial"/>
          <w:highlight w:val="yellow"/>
        </w:rPr>
        <w:t>m</w:t>
      </w:r>
      <w:r>
        <w:rPr>
          <w:rFonts w:ascii="Arial" w:hAnsi="Arial" w:cs="Arial"/>
        </w:rPr>
        <w:t xml:space="preserve"> both root extracts of </w:t>
      </w:r>
      <w:r>
        <w:rPr>
          <w:rFonts w:ascii="Arial" w:hAnsi="Arial" w:cs="Arial"/>
          <w:i/>
          <w:iCs/>
        </w:rPr>
        <w:t>C. scariosus</w:t>
      </w:r>
      <w:r>
        <w:rPr>
          <w:rFonts w:ascii="Arial" w:hAnsi="Arial" w:cs="Arial"/>
        </w:rPr>
        <w:t xml:space="preserve"> (aqueous and ethanolic)</w:t>
      </w:r>
      <w:r>
        <w:rPr>
          <w:rFonts w:ascii="Arial" w:hAnsi="Arial" w:cs="Arial"/>
          <w:highlight w:val="yellow"/>
        </w:rPr>
        <w:t>,</w:t>
      </w:r>
      <w:r>
        <w:rPr>
          <w:rFonts w:ascii="Arial" w:hAnsi="Arial" w:cs="Arial"/>
        </w:rPr>
        <w:t xml:space="preserve"> which exceeded the potential of their respective plant extracts and the standard drug Albendazole</w:t>
      </w:r>
      <w:r>
        <w:rPr>
          <w:rFonts w:ascii="Arial" w:hAnsi="Arial" w:cs="Arial"/>
          <w:highlight w:val="yellow"/>
        </w:rPr>
        <w:t>,</w:t>
      </w:r>
      <w:r>
        <w:rPr>
          <w:rFonts w:ascii="Arial" w:hAnsi="Arial" w:cs="Arial"/>
        </w:rPr>
        <w:t xml:space="preserve"> highlights their potential in therapeutic applications. Although further research</w:t>
      </w:r>
      <w:r>
        <w:rPr>
          <w:rFonts w:ascii="Times New Roman" w:hAnsi="Times New Roman"/>
          <w:color w:val="EE0000"/>
          <w:lang w:eastAsia="en-IN"/>
        </w:rPr>
        <w:t xml:space="preserve"> </w:t>
      </w:r>
      <w:r>
        <w:rPr>
          <w:rFonts w:ascii="Arial" w:hAnsi="Arial" w:cs="Arial"/>
          <w:lang w:eastAsia="en-IN"/>
        </w:rPr>
        <w:t>involving validation in a parasitic nematode model and mammalian cytotoxicity testing is required</w:t>
      </w:r>
      <w:r>
        <w:rPr>
          <w:rFonts w:ascii="Arial" w:hAnsi="Arial" w:cs="Arial"/>
          <w:highlight w:val="yellow"/>
        </w:rPr>
        <w:t>,</w:t>
      </w:r>
      <w:r>
        <w:rPr>
          <w:rFonts w:ascii="Arial" w:hAnsi="Arial" w:cs="Arial"/>
        </w:rPr>
        <w:t xml:space="preserve"> this study provides a strong foundation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s</w:t>
      </w:r>
      <w:r>
        <w:rPr>
          <w:rFonts w:ascii="Arial" w:hAnsi="Arial" w:cs="Arial"/>
          <w:highlight w:val="yellow"/>
        </w:rPr>
        <w:t>uch w</w:t>
      </w:r>
      <w:r>
        <w:rPr>
          <w:rFonts w:ascii="Arial" w:hAnsi="Arial" w:cs="Arial"/>
        </w:rPr>
        <w:t>o</w:t>
      </w:r>
      <w:r>
        <w:rPr>
          <w:rFonts w:ascii="Arial" w:hAnsi="Arial" w:cs="Arial"/>
          <w:highlight w:val="yellow"/>
        </w:rPr>
        <w:t>rk</w:t>
      </w:r>
      <w:r>
        <w:rPr>
          <w:rFonts w:ascii="Arial" w:hAnsi="Arial" w:cs="Arial"/>
        </w:rPr>
        <w:t>.</w:t>
      </w:r>
    </w:p>
    <w:p w14:paraId="00A22A78" w14:textId="5BBF7CC0" w:rsidR="00926F87" w:rsidRDefault="00926F87" w:rsidP="00C24788">
      <w:pPr>
        <w:widowControl w:val="0"/>
        <w:spacing w:after="240" w:line="360" w:lineRule="auto"/>
        <w:jc w:val="both"/>
        <w:rPr>
          <w:rFonts w:ascii="Arial" w:hAnsi="Arial" w:cs="Arial"/>
          <w:b/>
          <w:bCs/>
        </w:rPr>
      </w:pPr>
      <w:r w:rsidRPr="00926F87">
        <w:rPr>
          <w:rFonts w:ascii="Arial" w:hAnsi="Arial" w:cs="Arial"/>
          <w:b/>
          <w:bCs/>
        </w:rPr>
        <w:t>Limitation</w:t>
      </w:r>
    </w:p>
    <w:p w14:paraId="154135BA" w14:textId="77777777" w:rsidR="00926F87" w:rsidRDefault="00926F87" w:rsidP="009224D7">
      <w:pPr>
        <w:rPr>
          <w:rFonts w:ascii="Arial" w:hAnsi="Arial" w:cs="Arial"/>
          <w:b/>
          <w:bCs/>
        </w:rPr>
      </w:pPr>
      <w:r w:rsidRPr="00926F87">
        <w:rPr>
          <w:rFonts w:ascii="Arial" w:hAnsi="Arial" w:cs="Arial"/>
          <w:b/>
          <w:bCs/>
        </w:rPr>
        <w:t xml:space="preserve">This study used </w:t>
      </w:r>
      <w:r w:rsidRPr="00926F87">
        <w:rPr>
          <w:rFonts w:ascii="Arial" w:hAnsi="Arial" w:cs="Arial"/>
          <w:b/>
          <w:bCs/>
          <w:i/>
          <w:iCs/>
        </w:rPr>
        <w:t>Eisenia fetida</w:t>
      </w:r>
      <w:r w:rsidRPr="00926F87">
        <w:rPr>
          <w:rFonts w:ascii="Arial" w:hAnsi="Arial" w:cs="Arial"/>
          <w:b/>
          <w:bCs/>
        </w:rPr>
        <w:t xml:space="preserve"> as a preliminary non-parasitic model, with only six worms per group, two test concentrations, and a 240-min observation period. Paralysis and death were determined by direct observation, which may introduce observer-related variability. The aqueous and ethanolic AgNPs also differed in particle size and dispersion, potentially influencing their comparative activity. Moreover, mammalian cytotoxicity and </w:t>
      </w:r>
      <w:r w:rsidRPr="00926F87">
        <w:rPr>
          <w:rFonts w:ascii="Arial" w:hAnsi="Arial" w:cs="Arial"/>
          <w:b/>
          <w:bCs/>
          <w:i/>
          <w:iCs/>
        </w:rPr>
        <w:t>in vivo</w:t>
      </w:r>
      <w:r w:rsidRPr="00926F87">
        <w:rPr>
          <w:rFonts w:ascii="Arial" w:hAnsi="Arial" w:cs="Arial"/>
          <w:b/>
          <w:bCs/>
        </w:rPr>
        <w:t xml:space="preserve"> efficacy were not evaluated. Future studies should include larger samples, additional concentrations, parasitic nematode models, longer observation periods, standardised blinded assessments, and comprehensive toxicity testing.</w:t>
      </w:r>
    </w:p>
    <w:p w14:paraId="2BE785B6" w14:textId="2250EA82" w:rsidR="009224D7" w:rsidRPr="0009499F" w:rsidRDefault="009224D7" w:rsidP="009224D7">
      <w:pPr>
        <w:rPr>
          <w:rFonts w:ascii="Arial" w:hAnsi="Arial" w:cs="Arial"/>
          <w:b/>
        </w:rPr>
      </w:pPr>
      <w:r w:rsidRPr="0009499F">
        <w:rPr>
          <w:rFonts w:ascii="Arial" w:hAnsi="Arial" w:cs="Arial"/>
          <w:b/>
        </w:rPr>
        <w:t>Declaration of AI Use</w:t>
      </w:r>
    </w:p>
    <w:p w14:paraId="6C015382" w14:textId="77777777" w:rsidR="009224D7" w:rsidRDefault="009224D7" w:rsidP="009224D7">
      <w:pPr>
        <w:rPr>
          <w:rFonts w:ascii="Times New Roman" w:hAnsi="Times New Roman"/>
          <w:b/>
        </w:rPr>
      </w:pPr>
    </w:p>
    <w:p w14:paraId="09ED8B81" w14:textId="77777777" w:rsidR="009224D7" w:rsidRPr="002D08AC" w:rsidRDefault="009224D7" w:rsidP="0009499F">
      <w:pPr>
        <w:spacing w:line="360" w:lineRule="auto"/>
        <w:jc w:val="both"/>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The author(s) accept full responsibility for the accuracy, integrity, and final content of the manuscript.</w:t>
      </w:r>
    </w:p>
    <w:p w14:paraId="790D8F47" w14:textId="77777777" w:rsidR="009224D7" w:rsidRDefault="009224D7" w:rsidP="00C24788">
      <w:pPr>
        <w:widowControl w:val="0"/>
        <w:spacing w:after="240" w:line="360" w:lineRule="auto"/>
        <w:jc w:val="both"/>
        <w:rPr>
          <w:rFonts w:ascii="Arial" w:hAnsi="Arial" w:cs="Arial"/>
        </w:rPr>
      </w:pPr>
    </w:p>
    <w:p w14:paraId="183E9892" w14:textId="77777777" w:rsidR="00E602C3" w:rsidRPr="002C1D16" w:rsidRDefault="002C1D16" w:rsidP="00C24788">
      <w:pPr>
        <w:widowControl w:val="0"/>
        <w:spacing w:after="240" w:line="360" w:lineRule="auto"/>
        <w:jc w:val="both"/>
        <w:rPr>
          <w:rFonts w:ascii="Arial" w:hAnsi="Arial" w:cs="Arial"/>
          <w:b/>
          <w:bCs/>
          <w:sz w:val="22"/>
          <w:szCs w:val="22"/>
        </w:rPr>
      </w:pPr>
      <w:r w:rsidRPr="002C1D16">
        <w:rPr>
          <w:rFonts w:ascii="Arial" w:hAnsi="Arial" w:cs="Arial"/>
          <w:b/>
          <w:bCs/>
          <w:sz w:val="22"/>
          <w:szCs w:val="22"/>
        </w:rPr>
        <w:t>CO</w:t>
      </w:r>
      <w:r>
        <w:rPr>
          <w:rFonts w:ascii="Arial" w:hAnsi="Arial" w:cs="Arial"/>
          <w:b/>
          <w:bCs/>
          <w:sz w:val="22"/>
          <w:szCs w:val="22"/>
        </w:rPr>
        <w:t>MPETING</w:t>
      </w:r>
      <w:r w:rsidRPr="002C1D16">
        <w:rPr>
          <w:rFonts w:ascii="Arial" w:hAnsi="Arial" w:cs="Arial"/>
          <w:b/>
          <w:bCs/>
          <w:sz w:val="22"/>
          <w:szCs w:val="22"/>
        </w:rPr>
        <w:t xml:space="preserve"> INTEREST</w:t>
      </w:r>
    </w:p>
    <w:p w14:paraId="346FE398" w14:textId="77777777" w:rsidR="00E602C3" w:rsidRPr="00C24788" w:rsidRDefault="00E602C3" w:rsidP="00C24788">
      <w:pPr>
        <w:widowControl w:val="0"/>
        <w:spacing w:after="240" w:line="360" w:lineRule="auto"/>
        <w:jc w:val="both"/>
        <w:rPr>
          <w:rFonts w:ascii="Arial" w:hAnsi="Arial" w:cs="Arial"/>
        </w:rPr>
      </w:pPr>
      <w:r w:rsidRPr="00C24788">
        <w:rPr>
          <w:rFonts w:ascii="Arial" w:hAnsi="Arial" w:cs="Arial"/>
        </w:rPr>
        <w:t>The authors declare that they have no conflicts of interest.</w:t>
      </w:r>
    </w:p>
    <w:p w14:paraId="437B0DCB" w14:textId="77777777" w:rsidR="00E602C3" w:rsidRDefault="00E602C3" w:rsidP="00907037">
      <w:pPr>
        <w:spacing w:line="360" w:lineRule="auto"/>
        <w:rPr>
          <w:rFonts w:ascii="Arial" w:hAnsi="Arial" w:cs="Arial"/>
          <w:b/>
          <w:bCs/>
          <w:sz w:val="22"/>
          <w:szCs w:val="22"/>
        </w:rPr>
      </w:pPr>
      <w:r w:rsidRPr="002C1D16">
        <w:rPr>
          <w:rFonts w:ascii="Arial" w:hAnsi="Arial" w:cs="Arial"/>
          <w:b/>
          <w:bCs/>
          <w:sz w:val="22"/>
          <w:szCs w:val="22"/>
        </w:rPr>
        <w:lastRenderedPageBreak/>
        <w:t>REFERENCES</w:t>
      </w:r>
    </w:p>
    <w:p w14:paraId="74A443E1"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Afreen, A., Ahmed, R., Mehboob, S., Tariq, M., Alghamdi, H. A., Zahid, A. A., Ali, I., Malik, K., &amp; Hasan, A. (2020). Phytochemical-assisted biosynthesis of silver nanoparticles from </w:t>
      </w:r>
      <w:r w:rsidRPr="005F7824">
        <w:rPr>
          <w:rFonts w:ascii="Times New Roman" w:hAnsi="Times New Roman"/>
          <w:i/>
          <w:iCs/>
          <w:sz w:val="24"/>
          <w:szCs w:val="24"/>
        </w:rPr>
        <w:t>Ajuga bracteosa</w:t>
      </w:r>
      <w:r w:rsidRPr="005F7824">
        <w:rPr>
          <w:rFonts w:ascii="Times New Roman" w:hAnsi="Times New Roman"/>
          <w:sz w:val="24"/>
          <w:szCs w:val="24"/>
        </w:rPr>
        <w:t xml:space="preserve"> for biomedical applications. </w:t>
      </w:r>
      <w:r w:rsidRPr="005F7824">
        <w:rPr>
          <w:rFonts w:ascii="Times New Roman" w:hAnsi="Times New Roman"/>
          <w:i/>
          <w:iCs/>
          <w:sz w:val="24"/>
          <w:szCs w:val="24"/>
        </w:rPr>
        <w:t>Materials Research Express, 7</w:t>
      </w:r>
      <w:r w:rsidRPr="005F7824">
        <w:rPr>
          <w:rFonts w:ascii="Times New Roman" w:hAnsi="Times New Roman"/>
          <w:sz w:val="24"/>
          <w:szCs w:val="24"/>
        </w:rPr>
        <w:t xml:space="preserve">(7), 075404. </w:t>
      </w:r>
      <w:hyperlink r:id="rId35" w:history="1">
        <w:r w:rsidRPr="005F7824">
          <w:rPr>
            <w:rFonts w:ascii="Times New Roman" w:hAnsi="Times New Roman"/>
            <w:color w:val="0000FF"/>
            <w:sz w:val="24"/>
            <w:szCs w:val="24"/>
            <w:u w:val="single"/>
          </w:rPr>
          <w:t>https://doi.org/10.1088/2053-1591/aba5d0</w:t>
        </w:r>
      </w:hyperlink>
    </w:p>
    <w:p w14:paraId="5CCCF337"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Ahmad, K., Asif, H. M., Afzal, T., Khan, M. A., Younus, M., Khurshid, U., Safdar, M., Saifulah, S., Ahmad, B., Sufyan, A., Ansari, S. A., Alkahtani, H. M., &amp; Ansari, I. A. (2023). Green synthesis and characterization of silver nanoparticles through the </w:t>
      </w:r>
      <w:r w:rsidRPr="005F7824">
        <w:rPr>
          <w:rFonts w:ascii="Times New Roman" w:hAnsi="Times New Roman"/>
          <w:i/>
          <w:iCs/>
          <w:sz w:val="24"/>
          <w:szCs w:val="24"/>
        </w:rPr>
        <w:t>Piper cubeba</w:t>
      </w:r>
      <w:r w:rsidRPr="005F7824">
        <w:rPr>
          <w:rFonts w:ascii="Times New Roman" w:hAnsi="Times New Roman"/>
          <w:sz w:val="24"/>
          <w:szCs w:val="24"/>
        </w:rPr>
        <w:t xml:space="preserve"> ethanolic extract and their enzyme inhibitory activities. </w:t>
      </w:r>
      <w:r w:rsidRPr="005F7824">
        <w:rPr>
          <w:rFonts w:ascii="Times New Roman" w:hAnsi="Times New Roman"/>
          <w:i/>
          <w:iCs/>
          <w:sz w:val="24"/>
          <w:szCs w:val="24"/>
        </w:rPr>
        <w:t>Frontiers in Chemistry, 11</w:t>
      </w:r>
      <w:r w:rsidRPr="005F7824">
        <w:rPr>
          <w:rFonts w:ascii="Times New Roman" w:hAnsi="Times New Roman"/>
          <w:sz w:val="24"/>
          <w:szCs w:val="24"/>
        </w:rPr>
        <w:t xml:space="preserve">, 1065986. </w:t>
      </w:r>
      <w:hyperlink r:id="rId36" w:history="1">
        <w:r w:rsidRPr="005F7824">
          <w:rPr>
            <w:rFonts w:ascii="Times New Roman" w:hAnsi="Times New Roman"/>
            <w:color w:val="0000FF"/>
            <w:sz w:val="24"/>
            <w:szCs w:val="24"/>
            <w:u w:val="single"/>
          </w:rPr>
          <w:t>https://doi.org/10.3389/fchem.2023.1065986</w:t>
        </w:r>
      </w:hyperlink>
    </w:p>
    <w:p w14:paraId="3D9B7526"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Ahmed, S., Ahmad, M., Swami, B. L., &amp; Ikram, S. (2016). A review on plants extract mediated synthesis of silver nanoparticles for antimicrobial applications: A green expertise. </w:t>
      </w:r>
      <w:r w:rsidRPr="005F7824">
        <w:rPr>
          <w:rFonts w:ascii="Times New Roman" w:hAnsi="Times New Roman"/>
          <w:i/>
          <w:iCs/>
          <w:sz w:val="24"/>
          <w:szCs w:val="24"/>
        </w:rPr>
        <w:t>Journal of Advanced Research, 7</w:t>
      </w:r>
      <w:r w:rsidRPr="005F7824">
        <w:rPr>
          <w:rFonts w:ascii="Times New Roman" w:hAnsi="Times New Roman"/>
          <w:sz w:val="24"/>
          <w:szCs w:val="24"/>
        </w:rPr>
        <w:t xml:space="preserve">(1), 17–28. </w:t>
      </w:r>
      <w:hyperlink r:id="rId37" w:history="1">
        <w:r w:rsidRPr="005F7824">
          <w:rPr>
            <w:rFonts w:ascii="Times New Roman" w:hAnsi="Times New Roman"/>
            <w:color w:val="0000FF"/>
            <w:sz w:val="24"/>
            <w:szCs w:val="24"/>
            <w:u w:val="single"/>
          </w:rPr>
          <w:t>https://doi.org/10.1016/j.jare.2015.02.007</w:t>
        </w:r>
      </w:hyperlink>
    </w:p>
    <w:p w14:paraId="0FEA096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Anandalakshmi, K., Venugobal, J., &amp; Ramasamy, V. (2016). Characterization of silver nanoparticles by green synthesis method using </w:t>
      </w:r>
      <w:r w:rsidRPr="005F7824">
        <w:rPr>
          <w:rFonts w:ascii="Times New Roman" w:hAnsi="Times New Roman"/>
          <w:i/>
          <w:iCs/>
          <w:sz w:val="24"/>
          <w:szCs w:val="24"/>
        </w:rPr>
        <w:t>Pedalium murex</w:t>
      </w:r>
      <w:r w:rsidRPr="005F7824">
        <w:rPr>
          <w:rFonts w:ascii="Times New Roman" w:hAnsi="Times New Roman"/>
          <w:sz w:val="24"/>
          <w:szCs w:val="24"/>
        </w:rPr>
        <w:t xml:space="preserve"> leaf extract and their antibacterial activity. </w:t>
      </w:r>
      <w:r w:rsidRPr="005F7824">
        <w:rPr>
          <w:rFonts w:ascii="Times New Roman" w:hAnsi="Times New Roman"/>
          <w:i/>
          <w:iCs/>
          <w:sz w:val="24"/>
          <w:szCs w:val="24"/>
        </w:rPr>
        <w:t>Applied Nanoscience, 6</w:t>
      </w:r>
      <w:r w:rsidRPr="005F7824">
        <w:rPr>
          <w:rFonts w:ascii="Times New Roman" w:hAnsi="Times New Roman"/>
          <w:sz w:val="24"/>
          <w:szCs w:val="24"/>
        </w:rPr>
        <w:t xml:space="preserve">, 399–408. </w:t>
      </w:r>
      <w:hyperlink r:id="rId38" w:history="1">
        <w:r w:rsidRPr="005F7824">
          <w:rPr>
            <w:rFonts w:ascii="Times New Roman" w:hAnsi="Times New Roman"/>
            <w:color w:val="0000FF"/>
            <w:sz w:val="24"/>
            <w:szCs w:val="24"/>
            <w:u w:val="single"/>
          </w:rPr>
          <w:t>https://doi.org/10.1007/s13204-015-0449-z</w:t>
        </w:r>
      </w:hyperlink>
    </w:p>
    <w:p w14:paraId="20784D2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Apriani, E. F., Mardiyanto, M., &amp; Hendrawan, A. (2022). Optimization of green synthesis of silver nanoparticles from </w:t>
      </w:r>
      <w:r w:rsidRPr="005F7824">
        <w:rPr>
          <w:rFonts w:ascii="Times New Roman" w:hAnsi="Times New Roman"/>
          <w:i/>
          <w:iCs/>
          <w:sz w:val="24"/>
          <w:szCs w:val="24"/>
        </w:rPr>
        <w:t>Areca catechu</w:t>
      </w:r>
      <w:r w:rsidRPr="005F7824">
        <w:rPr>
          <w:rFonts w:ascii="Times New Roman" w:hAnsi="Times New Roman"/>
          <w:sz w:val="24"/>
          <w:szCs w:val="24"/>
        </w:rPr>
        <w:t xml:space="preserve"> L. seed extract with variations of silver nitrate and extract concentrations using simplex lattice design method. </w:t>
      </w:r>
      <w:r w:rsidRPr="005F7824">
        <w:rPr>
          <w:rFonts w:ascii="Times New Roman" w:hAnsi="Times New Roman"/>
          <w:i/>
          <w:iCs/>
          <w:sz w:val="24"/>
          <w:szCs w:val="24"/>
        </w:rPr>
        <w:t>Farmacia, 70</w:t>
      </w:r>
      <w:r w:rsidRPr="005F7824">
        <w:rPr>
          <w:rFonts w:ascii="Times New Roman" w:hAnsi="Times New Roman"/>
          <w:sz w:val="24"/>
          <w:szCs w:val="24"/>
        </w:rPr>
        <w:t xml:space="preserve">(5), 917–924. </w:t>
      </w:r>
      <w:hyperlink r:id="rId39" w:history="1">
        <w:r w:rsidRPr="005F7824">
          <w:rPr>
            <w:rFonts w:ascii="Times New Roman" w:hAnsi="Times New Roman"/>
            <w:color w:val="0000FF"/>
            <w:sz w:val="24"/>
            <w:szCs w:val="24"/>
            <w:u w:val="single"/>
          </w:rPr>
          <w:t>https://doi.org/10.31925/farmacia.2022.5.18</w:t>
        </w:r>
      </w:hyperlink>
    </w:p>
    <w:p w14:paraId="42358220"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Auwal, M. S., Saka, S., Mairiga, I. A., Sanda, K. A., Shuaibu, A., &amp; Ibrahim, A. (2014). Preliminary phytochemical and elemental analysis of aqueous and fractionated pod extracts of </w:t>
      </w:r>
      <w:r w:rsidRPr="005F7824">
        <w:rPr>
          <w:rFonts w:ascii="Times New Roman" w:hAnsi="Times New Roman"/>
          <w:i/>
          <w:iCs/>
          <w:sz w:val="24"/>
          <w:szCs w:val="24"/>
        </w:rPr>
        <w:t>Acacia nilotica</w:t>
      </w:r>
      <w:r w:rsidRPr="005F7824">
        <w:rPr>
          <w:rFonts w:ascii="Times New Roman" w:hAnsi="Times New Roman"/>
          <w:sz w:val="24"/>
          <w:szCs w:val="24"/>
        </w:rPr>
        <w:t xml:space="preserve"> (Thorn mimosa). </w:t>
      </w:r>
      <w:r w:rsidRPr="005F7824">
        <w:rPr>
          <w:rFonts w:ascii="Times New Roman" w:hAnsi="Times New Roman"/>
          <w:i/>
          <w:iCs/>
          <w:sz w:val="24"/>
          <w:szCs w:val="24"/>
        </w:rPr>
        <w:t>Veterinary Research Forum, 5</w:t>
      </w:r>
      <w:r w:rsidRPr="005F7824">
        <w:rPr>
          <w:rFonts w:ascii="Times New Roman" w:hAnsi="Times New Roman"/>
          <w:sz w:val="24"/>
          <w:szCs w:val="24"/>
        </w:rPr>
        <w:t xml:space="preserve">(2), 95–100. </w:t>
      </w:r>
      <w:hyperlink r:id="rId40" w:history="1">
        <w:r w:rsidRPr="005F7824">
          <w:rPr>
            <w:rFonts w:ascii="Times New Roman" w:hAnsi="Times New Roman"/>
            <w:color w:val="0000FF"/>
            <w:sz w:val="24"/>
            <w:szCs w:val="24"/>
            <w:u w:val="single"/>
          </w:rPr>
          <w:t>https://pubmed.ncbi.nlm.nih.gov/25568701/</w:t>
        </w:r>
      </w:hyperlink>
    </w:p>
    <w:p w14:paraId="19CDEA1B"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Bahaaeldine, M. A., Garhy, E. M., Fahmy, S. R., &amp; Mohamed, A. S. (2022). In vitro anti-</w:t>
      </w:r>
      <w:r w:rsidRPr="005F7824">
        <w:rPr>
          <w:rFonts w:ascii="Times New Roman" w:hAnsi="Times New Roman"/>
          <w:i/>
          <w:iCs/>
          <w:sz w:val="24"/>
          <w:szCs w:val="24"/>
        </w:rPr>
        <w:t>Toxocara vitulorum</w:t>
      </w:r>
      <w:r w:rsidRPr="005F7824">
        <w:rPr>
          <w:rFonts w:ascii="Times New Roman" w:hAnsi="Times New Roman"/>
          <w:sz w:val="24"/>
          <w:szCs w:val="24"/>
        </w:rPr>
        <w:t xml:space="preserve"> effect of silver nanoparticles. </w:t>
      </w:r>
      <w:r w:rsidRPr="005F7824">
        <w:rPr>
          <w:rFonts w:ascii="Times New Roman" w:hAnsi="Times New Roman"/>
          <w:i/>
          <w:iCs/>
          <w:sz w:val="24"/>
          <w:szCs w:val="24"/>
        </w:rPr>
        <w:t>Journal of Parasitic Diseases, 46</w:t>
      </w:r>
      <w:r w:rsidRPr="005F7824">
        <w:rPr>
          <w:rFonts w:ascii="Times New Roman" w:hAnsi="Times New Roman"/>
          <w:sz w:val="24"/>
          <w:szCs w:val="24"/>
        </w:rPr>
        <w:t xml:space="preserve">(2), 409–420. </w:t>
      </w:r>
      <w:hyperlink r:id="rId41" w:history="1">
        <w:r w:rsidRPr="005F7824">
          <w:rPr>
            <w:rFonts w:ascii="Times New Roman" w:hAnsi="Times New Roman"/>
            <w:color w:val="0000FF"/>
            <w:sz w:val="24"/>
            <w:szCs w:val="24"/>
            <w:u w:val="single"/>
          </w:rPr>
          <w:t>https://doi.org/10.1007/s12639-021-01464-0</w:t>
        </w:r>
      </w:hyperlink>
    </w:p>
    <w:p w14:paraId="0B9AD78B"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Bazan, D., Lopez, E., Caceres, A., Degen, R., &amp; Alvarenga, N. (2020). </w:t>
      </w:r>
      <w:r w:rsidRPr="005F7824">
        <w:rPr>
          <w:rFonts w:ascii="Times New Roman" w:hAnsi="Times New Roman"/>
          <w:sz w:val="24"/>
          <w:szCs w:val="24"/>
        </w:rPr>
        <w:t xml:space="preserve">In vitro anthelmintic activity of methanol extracts and fractions of two </w:t>
      </w:r>
      <w:r w:rsidRPr="005F7824">
        <w:rPr>
          <w:rFonts w:ascii="Times New Roman" w:hAnsi="Times New Roman"/>
          <w:i/>
          <w:iCs/>
          <w:sz w:val="24"/>
          <w:szCs w:val="24"/>
        </w:rPr>
        <w:t>Amphilophium</w:t>
      </w:r>
      <w:r w:rsidRPr="005F7824">
        <w:rPr>
          <w:rFonts w:ascii="Times New Roman" w:hAnsi="Times New Roman"/>
          <w:sz w:val="24"/>
          <w:szCs w:val="24"/>
        </w:rPr>
        <w:t xml:space="preserve"> species against </w:t>
      </w:r>
      <w:r w:rsidRPr="005F7824">
        <w:rPr>
          <w:rFonts w:ascii="Times New Roman" w:hAnsi="Times New Roman"/>
          <w:i/>
          <w:iCs/>
          <w:sz w:val="24"/>
          <w:szCs w:val="24"/>
        </w:rPr>
        <w:t>Eisenia fetida</w:t>
      </w:r>
      <w:r w:rsidRPr="005F7824">
        <w:rPr>
          <w:rFonts w:ascii="Times New Roman" w:hAnsi="Times New Roman"/>
          <w:sz w:val="24"/>
          <w:szCs w:val="24"/>
        </w:rPr>
        <w:t xml:space="preserve">. </w:t>
      </w:r>
      <w:r w:rsidRPr="005F7824">
        <w:rPr>
          <w:rFonts w:ascii="Times New Roman" w:hAnsi="Times New Roman"/>
          <w:i/>
          <w:iCs/>
          <w:sz w:val="24"/>
          <w:szCs w:val="24"/>
        </w:rPr>
        <w:t>Journal of Applied Biology &amp; Biotechnology, 8</w:t>
      </w:r>
      <w:r w:rsidRPr="005F7824">
        <w:rPr>
          <w:rFonts w:ascii="Times New Roman" w:hAnsi="Times New Roman"/>
          <w:sz w:val="24"/>
          <w:szCs w:val="24"/>
        </w:rPr>
        <w:t xml:space="preserve">(2), 98–102. </w:t>
      </w:r>
      <w:hyperlink r:id="rId42" w:history="1">
        <w:r w:rsidRPr="005F7824">
          <w:rPr>
            <w:rFonts w:ascii="Times New Roman" w:hAnsi="Times New Roman"/>
            <w:color w:val="0000FF"/>
            <w:sz w:val="24"/>
            <w:szCs w:val="24"/>
            <w:u w:val="single"/>
          </w:rPr>
          <w:t>https://doi.org/10.7324/JABB.2020.80216</w:t>
        </w:r>
      </w:hyperlink>
    </w:p>
    <w:p w14:paraId="4E4B98C8"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lastRenderedPageBreak/>
        <w:t xml:space="preserve">Bhokare, D. D., &amp; Warthe, K. (2020). Biosynthesis of silver nano particles using plant extract. </w:t>
      </w:r>
      <w:r w:rsidRPr="005F7824">
        <w:rPr>
          <w:rFonts w:ascii="Times New Roman" w:hAnsi="Times New Roman"/>
          <w:i/>
          <w:iCs/>
          <w:sz w:val="24"/>
          <w:szCs w:val="24"/>
        </w:rPr>
        <w:t>International Journal of Emerging Technologies and Innovative Research, 7</w:t>
      </w:r>
      <w:r w:rsidRPr="005F7824">
        <w:rPr>
          <w:rFonts w:ascii="Times New Roman" w:hAnsi="Times New Roman"/>
          <w:sz w:val="24"/>
          <w:szCs w:val="24"/>
        </w:rPr>
        <w:t xml:space="preserve">(2), 640–643. </w:t>
      </w:r>
      <w:hyperlink r:id="rId43" w:history="1">
        <w:r w:rsidRPr="005F7824">
          <w:rPr>
            <w:rFonts w:ascii="Times New Roman" w:hAnsi="Times New Roman"/>
            <w:color w:val="0000FF"/>
            <w:sz w:val="24"/>
            <w:szCs w:val="24"/>
            <w:u w:val="single"/>
          </w:rPr>
          <w:t>https://www.jetir.org/view?paper=JETIRDI06125</w:t>
        </w:r>
      </w:hyperlink>
    </w:p>
    <w:p w14:paraId="45310DB8"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Bolatkyzy, N., Shepilov, D., Turmanov, R., Berillo, D., Vassilina, T., Ibragimova, N., Berganayeva, G., &amp; Dyusebaeva, M. (2025). Medicinal plants for skin disorders: Phytochemistry and pharmacological insights. </w:t>
      </w:r>
      <w:r w:rsidRPr="005F7824">
        <w:rPr>
          <w:rFonts w:ascii="Times New Roman" w:hAnsi="Times New Roman"/>
          <w:i/>
          <w:iCs/>
          <w:sz w:val="24"/>
          <w:szCs w:val="24"/>
        </w:rPr>
        <w:t>Molecules, 30</w:t>
      </w:r>
      <w:r w:rsidRPr="005F7824">
        <w:rPr>
          <w:rFonts w:ascii="Times New Roman" w:hAnsi="Times New Roman"/>
          <w:sz w:val="24"/>
          <w:szCs w:val="24"/>
        </w:rPr>
        <w:t xml:space="preserve">(15), 3281. </w:t>
      </w:r>
      <w:hyperlink r:id="rId44" w:history="1">
        <w:r w:rsidRPr="005F7824">
          <w:rPr>
            <w:rFonts w:ascii="Times New Roman" w:hAnsi="Times New Roman"/>
            <w:color w:val="0000FF"/>
            <w:sz w:val="24"/>
            <w:szCs w:val="24"/>
            <w:u w:val="single"/>
          </w:rPr>
          <w:t>https://doi.org/10.3390/molecules30153281</w:t>
        </w:r>
      </w:hyperlink>
    </w:p>
    <w:p w14:paraId="05E81640"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Bruna, T., Maldonado-Bravo, F., Jara, P., &amp; Caro, N. (2021). Silver nanoparticles and their antibacterial applications. </w:t>
      </w:r>
      <w:r w:rsidRPr="005F7824">
        <w:rPr>
          <w:rFonts w:ascii="Times New Roman" w:hAnsi="Times New Roman"/>
          <w:i/>
          <w:iCs/>
          <w:sz w:val="24"/>
          <w:szCs w:val="24"/>
        </w:rPr>
        <w:t>International Journal of Molecular Sciences, 22</w:t>
      </w:r>
      <w:r w:rsidRPr="005F7824">
        <w:rPr>
          <w:rFonts w:ascii="Times New Roman" w:hAnsi="Times New Roman"/>
          <w:sz w:val="24"/>
          <w:szCs w:val="24"/>
        </w:rPr>
        <w:t xml:space="preserve">(13), 7202. </w:t>
      </w:r>
      <w:hyperlink r:id="rId45" w:history="1">
        <w:r w:rsidRPr="005F7824">
          <w:rPr>
            <w:rFonts w:ascii="Times New Roman" w:hAnsi="Times New Roman"/>
            <w:color w:val="0000FF"/>
            <w:sz w:val="24"/>
            <w:szCs w:val="24"/>
            <w:u w:val="single"/>
          </w:rPr>
          <w:t>https://doi.org/10.3390/ijms22137202</w:t>
        </w:r>
      </w:hyperlink>
    </w:p>
    <w:p w14:paraId="33AA56E3"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Dakal, T. C., Kumar, A., Majumdar, R. S., &amp; Yadav, V. (2016). Mechanistic basis of antimicrobial actions of silver nanoparticles. </w:t>
      </w:r>
      <w:r w:rsidRPr="005F7824">
        <w:rPr>
          <w:rFonts w:ascii="Times New Roman" w:hAnsi="Times New Roman"/>
          <w:i/>
          <w:iCs/>
          <w:sz w:val="24"/>
          <w:szCs w:val="24"/>
        </w:rPr>
        <w:t>Frontiers in Microbiology, 7</w:t>
      </w:r>
      <w:r w:rsidRPr="005F7824">
        <w:rPr>
          <w:rFonts w:ascii="Times New Roman" w:hAnsi="Times New Roman"/>
          <w:sz w:val="24"/>
          <w:szCs w:val="24"/>
        </w:rPr>
        <w:t xml:space="preserve">, 1831. </w:t>
      </w:r>
      <w:hyperlink r:id="rId46" w:history="1">
        <w:r w:rsidRPr="005F7824">
          <w:rPr>
            <w:rFonts w:ascii="Times New Roman" w:hAnsi="Times New Roman"/>
            <w:color w:val="0000FF"/>
            <w:sz w:val="24"/>
            <w:szCs w:val="24"/>
            <w:u w:val="single"/>
          </w:rPr>
          <w:t>https://doi.org/10.3389/fmicb.2016.01831</w:t>
        </w:r>
      </w:hyperlink>
    </w:p>
    <w:p w14:paraId="28D420C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Dubale, S., Kebebe, D., Zeynudin, A., Abdissa, N., &amp; Suleman, S. (2023). Phytochemical screening and antimicrobial activity evaluation of selected medicinal plants in Ethiopia. </w:t>
      </w:r>
      <w:r w:rsidRPr="005F7824">
        <w:rPr>
          <w:rFonts w:ascii="Times New Roman" w:hAnsi="Times New Roman"/>
          <w:i/>
          <w:iCs/>
          <w:sz w:val="24"/>
          <w:szCs w:val="24"/>
        </w:rPr>
        <w:t>Journal of Experimental Pharmacology, 15</w:t>
      </w:r>
      <w:r w:rsidRPr="005F7824">
        <w:rPr>
          <w:rFonts w:ascii="Times New Roman" w:hAnsi="Times New Roman"/>
          <w:sz w:val="24"/>
          <w:szCs w:val="24"/>
        </w:rPr>
        <w:t xml:space="preserve">, 51–62. </w:t>
      </w:r>
      <w:hyperlink r:id="rId47" w:history="1">
        <w:r w:rsidRPr="005F7824">
          <w:rPr>
            <w:rFonts w:ascii="Times New Roman" w:hAnsi="Times New Roman"/>
            <w:color w:val="0000FF"/>
            <w:sz w:val="24"/>
            <w:szCs w:val="24"/>
            <w:u w:val="single"/>
          </w:rPr>
          <w:t>https://doi.org/10.2147/JEP.S379805</w:t>
        </w:r>
      </w:hyperlink>
    </w:p>
    <w:p w14:paraId="6CFB263F"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Eker, F., Akdaşçi, E., Duman, H., Bechelany, M., &amp; Karav, S. (2025). Green synthesis of silver nanoparticles using plant extracts: A comprehensive review of physicochemical properties and multifunctional applications. </w:t>
      </w:r>
      <w:r w:rsidRPr="005F7824">
        <w:rPr>
          <w:rFonts w:ascii="Times New Roman" w:hAnsi="Times New Roman"/>
          <w:i/>
          <w:iCs/>
          <w:sz w:val="24"/>
          <w:szCs w:val="24"/>
        </w:rPr>
        <w:t>International Journal of Molecular Sciences, 26</w:t>
      </w:r>
      <w:r w:rsidRPr="005F7824">
        <w:rPr>
          <w:rFonts w:ascii="Times New Roman" w:hAnsi="Times New Roman"/>
          <w:sz w:val="24"/>
          <w:szCs w:val="24"/>
        </w:rPr>
        <w:t xml:space="preserve">(13), 6222. </w:t>
      </w:r>
      <w:hyperlink r:id="rId48" w:history="1">
        <w:r w:rsidRPr="005F7824">
          <w:rPr>
            <w:rFonts w:ascii="Times New Roman" w:hAnsi="Times New Roman"/>
            <w:color w:val="0000FF"/>
            <w:sz w:val="24"/>
            <w:szCs w:val="24"/>
            <w:u w:val="single"/>
          </w:rPr>
          <w:t>https://doi.org/10.3390/ijms26136222</w:t>
        </w:r>
      </w:hyperlink>
    </w:p>
    <w:p w14:paraId="79F72D8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El-Rafie, M., &amp; Hamed, M. A. (2014). Antioxidant and anti-inflammatory activities of silver nanoparticles biosynthesized from aqueous leaves extracts of four </w:t>
      </w:r>
      <w:r w:rsidRPr="005F7824">
        <w:rPr>
          <w:rFonts w:ascii="Times New Roman" w:hAnsi="Times New Roman"/>
          <w:i/>
          <w:iCs/>
          <w:sz w:val="24"/>
          <w:szCs w:val="24"/>
        </w:rPr>
        <w:t>Terminalia</w:t>
      </w:r>
      <w:r w:rsidRPr="005F7824">
        <w:rPr>
          <w:rFonts w:ascii="Times New Roman" w:hAnsi="Times New Roman"/>
          <w:sz w:val="24"/>
          <w:szCs w:val="24"/>
        </w:rPr>
        <w:t xml:space="preserve"> species. </w:t>
      </w:r>
      <w:r w:rsidRPr="005F7824">
        <w:rPr>
          <w:rFonts w:ascii="Times New Roman" w:hAnsi="Times New Roman"/>
          <w:i/>
          <w:iCs/>
          <w:sz w:val="24"/>
          <w:szCs w:val="24"/>
        </w:rPr>
        <w:t>Advances in Natural Sciences: Nanoscience and Nanotechnology, 5</w:t>
      </w:r>
      <w:r w:rsidRPr="005F7824">
        <w:rPr>
          <w:rFonts w:ascii="Times New Roman" w:hAnsi="Times New Roman"/>
          <w:sz w:val="24"/>
          <w:szCs w:val="24"/>
        </w:rPr>
        <w:t xml:space="preserve">(3), 035008. </w:t>
      </w:r>
      <w:hyperlink r:id="rId49" w:history="1">
        <w:r w:rsidRPr="005F7824">
          <w:rPr>
            <w:rFonts w:ascii="Times New Roman" w:hAnsi="Times New Roman"/>
            <w:color w:val="0000FF"/>
            <w:sz w:val="24"/>
            <w:szCs w:val="24"/>
            <w:u w:val="single"/>
          </w:rPr>
          <w:t>https://doi.org/10.1088/2043-6262/5/3/035008</w:t>
        </w:r>
      </w:hyperlink>
    </w:p>
    <w:p w14:paraId="1A9B855E"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Gandhi, Y., Kumar, V., Singh, G., Prasad, S. B., Mishra, S. K., Soni, H., Rawat, H., Singh, S., Charde, V., Gupta, A., Dhanjal, D. S., Jha, S. K., Tandon, S., Bhagwat, P., Arya, J. C., Ramamurthy, P. C., Acharya, R., Narasimhaji, C. V., Singh, A., . . . Webster, T. J. (2024). Chemoprofiling and medicinal potential of underutilized leaves of </w:t>
      </w:r>
      <w:r w:rsidRPr="005F7824">
        <w:rPr>
          <w:rFonts w:ascii="Times New Roman" w:hAnsi="Times New Roman"/>
          <w:i/>
          <w:iCs/>
          <w:sz w:val="24"/>
          <w:szCs w:val="24"/>
        </w:rPr>
        <w:t>Cyperus scariosus</w:t>
      </w:r>
      <w:r w:rsidRPr="005F7824">
        <w:rPr>
          <w:rFonts w:ascii="Times New Roman" w:hAnsi="Times New Roman"/>
          <w:sz w:val="24"/>
          <w:szCs w:val="24"/>
        </w:rPr>
        <w:t xml:space="preserve">. </w:t>
      </w:r>
      <w:r w:rsidRPr="005F7824">
        <w:rPr>
          <w:rFonts w:ascii="Times New Roman" w:hAnsi="Times New Roman"/>
          <w:i/>
          <w:iCs/>
          <w:sz w:val="24"/>
          <w:szCs w:val="24"/>
        </w:rPr>
        <w:t>Scientific Reports, 14</w:t>
      </w:r>
      <w:r w:rsidRPr="005F7824">
        <w:rPr>
          <w:rFonts w:ascii="Times New Roman" w:hAnsi="Times New Roman"/>
          <w:sz w:val="24"/>
          <w:szCs w:val="24"/>
        </w:rPr>
        <w:t xml:space="preserve">, 7263. </w:t>
      </w:r>
      <w:hyperlink r:id="rId50" w:history="1">
        <w:r w:rsidRPr="005F7824">
          <w:rPr>
            <w:rFonts w:ascii="Times New Roman" w:hAnsi="Times New Roman"/>
            <w:color w:val="0000FF"/>
            <w:sz w:val="24"/>
            <w:szCs w:val="24"/>
            <w:u w:val="single"/>
          </w:rPr>
          <w:t>https://doi.org/10.1038/s41598-024-58041-7</w:t>
        </w:r>
      </w:hyperlink>
    </w:p>
    <w:p w14:paraId="5B582676"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George, A. Z., Anil, K., Jude, C. A. L., Srinivasan, &amp; Rajan, S. S. R. (2021). A study on the cytotoxicity of </w:t>
      </w:r>
      <w:r w:rsidRPr="005F7824">
        <w:rPr>
          <w:rFonts w:ascii="Times New Roman" w:hAnsi="Times New Roman"/>
          <w:i/>
          <w:iCs/>
          <w:sz w:val="24"/>
          <w:szCs w:val="24"/>
        </w:rPr>
        <w:t>Plectranthus amboinicus</w:t>
      </w:r>
      <w:r w:rsidRPr="005F7824">
        <w:rPr>
          <w:rFonts w:ascii="Times New Roman" w:hAnsi="Times New Roman"/>
          <w:sz w:val="24"/>
          <w:szCs w:val="24"/>
        </w:rPr>
        <w:t xml:space="preserve"> and </w:t>
      </w:r>
      <w:r w:rsidRPr="005F7824">
        <w:rPr>
          <w:rFonts w:ascii="Times New Roman" w:hAnsi="Times New Roman"/>
          <w:i/>
          <w:iCs/>
          <w:sz w:val="24"/>
          <w:szCs w:val="24"/>
        </w:rPr>
        <w:t>Bacopa monnieri</w:t>
      </w:r>
      <w:r w:rsidRPr="005F7824">
        <w:rPr>
          <w:rFonts w:ascii="Times New Roman" w:hAnsi="Times New Roman"/>
          <w:sz w:val="24"/>
          <w:szCs w:val="24"/>
        </w:rPr>
        <w:t xml:space="preserve"> stem extracts on lung cancer cell line. </w:t>
      </w:r>
      <w:r w:rsidRPr="005F7824">
        <w:rPr>
          <w:rFonts w:ascii="Times New Roman" w:hAnsi="Times New Roman"/>
          <w:i/>
          <w:iCs/>
          <w:sz w:val="24"/>
          <w:szCs w:val="24"/>
        </w:rPr>
        <w:t>Current Trends in Biotechnology and Pharmacy, 15</w:t>
      </w:r>
      <w:r w:rsidRPr="005F7824">
        <w:rPr>
          <w:rFonts w:ascii="Times New Roman" w:hAnsi="Times New Roman"/>
          <w:sz w:val="24"/>
          <w:szCs w:val="24"/>
        </w:rPr>
        <w:t xml:space="preserve">(5), 395–400. </w:t>
      </w:r>
      <w:hyperlink r:id="rId51" w:history="1">
        <w:r w:rsidRPr="005F7824">
          <w:rPr>
            <w:rFonts w:ascii="Times New Roman" w:hAnsi="Times New Roman"/>
            <w:color w:val="0000FF"/>
            <w:sz w:val="24"/>
            <w:szCs w:val="24"/>
            <w:u w:val="single"/>
          </w:rPr>
          <w:t>https://doi.org/10.5530/ctbp.2021.3s.31</w:t>
        </w:r>
      </w:hyperlink>
    </w:p>
    <w:p w14:paraId="5FC8695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lastRenderedPageBreak/>
        <w:t xml:space="preserve">Gomathi, S., &amp; Maneemegalai, S. (2023). Phytochemical analysis and in vitro anti-oxidant activities of medicinal plants </w:t>
      </w:r>
      <w:r w:rsidRPr="005F7824">
        <w:rPr>
          <w:rFonts w:ascii="Times New Roman" w:hAnsi="Times New Roman"/>
          <w:i/>
          <w:iCs/>
          <w:sz w:val="24"/>
          <w:szCs w:val="24"/>
        </w:rPr>
        <w:t>Cyperus rotundus</w:t>
      </w:r>
      <w:r w:rsidRPr="005F7824">
        <w:rPr>
          <w:rFonts w:ascii="Times New Roman" w:hAnsi="Times New Roman"/>
          <w:sz w:val="24"/>
          <w:szCs w:val="24"/>
        </w:rPr>
        <w:t xml:space="preserve">, </w:t>
      </w:r>
      <w:r w:rsidRPr="005F7824">
        <w:rPr>
          <w:rFonts w:ascii="Times New Roman" w:hAnsi="Times New Roman"/>
          <w:i/>
          <w:iCs/>
          <w:sz w:val="24"/>
          <w:szCs w:val="24"/>
        </w:rPr>
        <w:t>Tinospora cordifolia</w:t>
      </w:r>
      <w:r w:rsidRPr="005F7824">
        <w:rPr>
          <w:rFonts w:ascii="Times New Roman" w:hAnsi="Times New Roman"/>
          <w:sz w:val="24"/>
          <w:szCs w:val="24"/>
        </w:rPr>
        <w:t xml:space="preserve"> and their formulation. </w:t>
      </w:r>
      <w:r w:rsidRPr="005F7824">
        <w:rPr>
          <w:rFonts w:ascii="Times New Roman" w:hAnsi="Times New Roman"/>
          <w:i/>
          <w:iCs/>
          <w:sz w:val="24"/>
          <w:szCs w:val="24"/>
        </w:rPr>
        <w:t>Oriental Journal of Chemistry, 39</w:t>
      </w:r>
      <w:r w:rsidRPr="005F7824">
        <w:rPr>
          <w:rFonts w:ascii="Times New Roman" w:hAnsi="Times New Roman"/>
          <w:sz w:val="24"/>
          <w:szCs w:val="24"/>
        </w:rPr>
        <w:t xml:space="preserve">(3), 712–720. </w:t>
      </w:r>
      <w:hyperlink r:id="rId52" w:history="1">
        <w:r w:rsidRPr="005F7824">
          <w:rPr>
            <w:rFonts w:ascii="Times New Roman" w:hAnsi="Times New Roman"/>
            <w:color w:val="0000FF"/>
            <w:sz w:val="24"/>
            <w:szCs w:val="24"/>
            <w:u w:val="single"/>
          </w:rPr>
          <w:t>https://doi.org/10.13005/ojc/390322</w:t>
        </w:r>
      </w:hyperlink>
    </w:p>
    <w:p w14:paraId="267EEF3A"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Idris, O. A., Wintola, O. A., &amp; Afolayan, A. (2019). Helminthiases; prevalence, transmission, host-parasite interactions, resistance to common synthetic drugs and treatment. </w:t>
      </w:r>
      <w:r w:rsidRPr="005F7824">
        <w:rPr>
          <w:rFonts w:ascii="Times New Roman" w:hAnsi="Times New Roman"/>
          <w:i/>
          <w:iCs/>
          <w:sz w:val="24"/>
          <w:szCs w:val="24"/>
        </w:rPr>
        <w:t>Heliyon, 5</w:t>
      </w:r>
      <w:r w:rsidRPr="005F7824">
        <w:rPr>
          <w:rFonts w:ascii="Times New Roman" w:hAnsi="Times New Roman"/>
          <w:sz w:val="24"/>
          <w:szCs w:val="24"/>
        </w:rPr>
        <w:t xml:space="preserve">(1), e01161. </w:t>
      </w:r>
      <w:hyperlink r:id="rId53" w:history="1">
        <w:r w:rsidRPr="005F7824">
          <w:rPr>
            <w:rFonts w:ascii="Times New Roman" w:hAnsi="Times New Roman"/>
            <w:color w:val="0000FF"/>
            <w:sz w:val="24"/>
            <w:szCs w:val="24"/>
            <w:u w:val="single"/>
          </w:rPr>
          <w:t>https://doi.org/10.1016/j.heliyon.2019.e01161</w:t>
        </w:r>
      </w:hyperlink>
    </w:p>
    <w:p w14:paraId="6EAC40C2"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Ikbal, A. M. A., Rajkhowa, A., Singh, P. C., Choudhury, P. D., &amp; Sahu, R. K. (2020). Assessment of phytochemical and anthelmintic activity of some selected ethnomedicinal plants from Barak Valley Region of Assam. </w:t>
      </w:r>
      <w:r w:rsidRPr="005F7824">
        <w:rPr>
          <w:rFonts w:ascii="Times New Roman" w:hAnsi="Times New Roman"/>
          <w:i/>
          <w:iCs/>
          <w:sz w:val="24"/>
          <w:szCs w:val="24"/>
        </w:rPr>
        <w:t>Biomedical and Pharmacology Journal, 13</w:t>
      </w:r>
      <w:r w:rsidRPr="005F7824">
        <w:rPr>
          <w:rFonts w:ascii="Times New Roman" w:hAnsi="Times New Roman"/>
          <w:sz w:val="24"/>
          <w:szCs w:val="24"/>
        </w:rPr>
        <w:t xml:space="preserve">(4), 1825–1831. </w:t>
      </w:r>
      <w:hyperlink r:id="rId54" w:history="1">
        <w:r w:rsidRPr="005F7824">
          <w:rPr>
            <w:rFonts w:ascii="Times New Roman" w:hAnsi="Times New Roman"/>
            <w:color w:val="0000FF"/>
            <w:sz w:val="24"/>
            <w:szCs w:val="24"/>
            <w:u w:val="single"/>
          </w:rPr>
          <w:t>https://doi.org/10.13005/bpj/2057</w:t>
        </w:r>
      </w:hyperlink>
    </w:p>
    <w:p w14:paraId="613D579F"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Iqbal, E., Salim, K. A., &amp; Lim, L. B. L. (2015). Phytochemical screening, total phenolics and antioxidant activities of bark and leaf extracts of </w:t>
      </w:r>
      <w:r w:rsidRPr="005F7824">
        <w:rPr>
          <w:rFonts w:ascii="Times New Roman" w:hAnsi="Times New Roman"/>
          <w:i/>
          <w:iCs/>
          <w:sz w:val="24"/>
          <w:szCs w:val="24"/>
        </w:rPr>
        <w:t>Goniothalamus velutinus</w:t>
      </w:r>
      <w:r w:rsidRPr="005F7824">
        <w:rPr>
          <w:rFonts w:ascii="Times New Roman" w:hAnsi="Times New Roman"/>
          <w:sz w:val="24"/>
          <w:szCs w:val="24"/>
        </w:rPr>
        <w:t xml:space="preserve"> (Airy Shaw) from Brunei Darussalam. </w:t>
      </w:r>
      <w:r w:rsidRPr="005F7824">
        <w:rPr>
          <w:rFonts w:ascii="Times New Roman" w:hAnsi="Times New Roman"/>
          <w:i/>
          <w:iCs/>
          <w:sz w:val="24"/>
          <w:szCs w:val="24"/>
        </w:rPr>
        <w:t>Journal of King Saud University – Science, 27</w:t>
      </w:r>
      <w:r w:rsidRPr="005F7824">
        <w:rPr>
          <w:rFonts w:ascii="Times New Roman" w:hAnsi="Times New Roman"/>
          <w:sz w:val="24"/>
          <w:szCs w:val="24"/>
        </w:rPr>
        <w:t xml:space="preserve">(3), 224–232. </w:t>
      </w:r>
      <w:hyperlink r:id="rId55" w:history="1">
        <w:r w:rsidRPr="005F7824">
          <w:rPr>
            <w:rFonts w:ascii="Times New Roman" w:hAnsi="Times New Roman"/>
            <w:color w:val="0000FF"/>
            <w:sz w:val="24"/>
            <w:szCs w:val="24"/>
            <w:u w:val="single"/>
          </w:rPr>
          <w:t>https://doi.org/10.1016/j.jksus.2015.02.003</w:t>
        </w:r>
      </w:hyperlink>
    </w:p>
    <w:p w14:paraId="0957666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Iravani, S. (2011). Green synthesis of metal nanoparticles using plants. </w:t>
      </w:r>
      <w:r w:rsidRPr="005F7824">
        <w:rPr>
          <w:rFonts w:ascii="Times New Roman" w:hAnsi="Times New Roman"/>
          <w:i/>
          <w:iCs/>
          <w:sz w:val="24"/>
          <w:szCs w:val="24"/>
        </w:rPr>
        <w:t>Green Chemistry, 13</w:t>
      </w:r>
      <w:r w:rsidRPr="005F7824">
        <w:rPr>
          <w:rFonts w:ascii="Times New Roman" w:hAnsi="Times New Roman"/>
          <w:sz w:val="24"/>
          <w:szCs w:val="24"/>
        </w:rPr>
        <w:t xml:space="preserve">(10), 2638–2650. </w:t>
      </w:r>
      <w:hyperlink r:id="rId56" w:history="1">
        <w:r w:rsidRPr="005F7824">
          <w:rPr>
            <w:rFonts w:ascii="Times New Roman" w:hAnsi="Times New Roman"/>
            <w:color w:val="0000FF"/>
            <w:sz w:val="24"/>
            <w:szCs w:val="24"/>
            <w:u w:val="single"/>
          </w:rPr>
          <w:t>https://doi.org/10.1039/c1gc15386b</w:t>
        </w:r>
      </w:hyperlink>
    </w:p>
    <w:p w14:paraId="79011A24"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Iskakova, Z., Kozhantayeva, A., Temirbekova, A., Mukhtubayeva, S., Bissenova, G., Tekebayeva, Z., Almagambetov, K., Tashenov, Y., &amp; Sarmurzina, Z. (2025). Green synthesis of silver nanoparticles using </w:t>
      </w:r>
      <w:r w:rsidRPr="005F7824">
        <w:rPr>
          <w:rFonts w:ascii="Times New Roman" w:hAnsi="Times New Roman"/>
          <w:i/>
          <w:iCs/>
          <w:sz w:val="24"/>
          <w:szCs w:val="24"/>
        </w:rPr>
        <w:t>Circaea lutetiana</w:t>
      </w:r>
      <w:r w:rsidRPr="005F7824">
        <w:rPr>
          <w:rFonts w:ascii="Times New Roman" w:hAnsi="Times New Roman"/>
          <w:sz w:val="24"/>
          <w:szCs w:val="24"/>
        </w:rPr>
        <w:t xml:space="preserve"> ethanolic extract: Phytochemical profiling, characterization, and antimicrobial evaluation. </w:t>
      </w:r>
      <w:r w:rsidRPr="005F7824">
        <w:rPr>
          <w:rFonts w:ascii="Times New Roman" w:hAnsi="Times New Roman"/>
          <w:i/>
          <w:iCs/>
          <w:sz w:val="24"/>
          <w:szCs w:val="24"/>
        </w:rPr>
        <w:t>International Journal of Molecular Sciences, 26</w:t>
      </w:r>
      <w:r w:rsidRPr="005F7824">
        <w:rPr>
          <w:rFonts w:ascii="Times New Roman" w:hAnsi="Times New Roman"/>
          <w:sz w:val="24"/>
          <w:szCs w:val="24"/>
        </w:rPr>
        <w:t xml:space="preserve">(12), 5505. </w:t>
      </w:r>
      <w:hyperlink r:id="rId57" w:history="1">
        <w:r w:rsidRPr="005F7824">
          <w:rPr>
            <w:rFonts w:ascii="Times New Roman" w:hAnsi="Times New Roman"/>
            <w:color w:val="0000FF"/>
            <w:sz w:val="24"/>
            <w:szCs w:val="24"/>
            <w:u w:val="single"/>
          </w:rPr>
          <w:t>https://doi.org/10.3390/ijms26125505</w:t>
        </w:r>
      </w:hyperlink>
    </w:p>
    <w:p w14:paraId="3A54E046"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Ivask, A., Kurvet, I., Kasemets, K., Blinova, I., Aruoja, V., Suppi, S., Vija, H., Käkinen, A., Titma, T., Heinlaan, M., Visnapuu, M., Koller, D., Kisand, V., &amp; Kahru, A. (2014). Size-dependent toxicity of silver nanoparticles to bacteria, yeast, algae, crustaceans and mammalian cells in vitro. </w:t>
      </w:r>
      <w:r w:rsidRPr="005F7824">
        <w:rPr>
          <w:rFonts w:ascii="Times New Roman" w:hAnsi="Times New Roman"/>
          <w:i/>
          <w:iCs/>
          <w:sz w:val="24"/>
          <w:szCs w:val="24"/>
        </w:rPr>
        <w:t>PLOS ONE, 9</w:t>
      </w:r>
      <w:r w:rsidRPr="005F7824">
        <w:rPr>
          <w:rFonts w:ascii="Times New Roman" w:hAnsi="Times New Roman"/>
          <w:sz w:val="24"/>
          <w:szCs w:val="24"/>
        </w:rPr>
        <w:t xml:space="preserve">(7), e102108. </w:t>
      </w:r>
      <w:hyperlink r:id="rId58" w:history="1">
        <w:r w:rsidRPr="005F7824">
          <w:rPr>
            <w:rFonts w:ascii="Times New Roman" w:hAnsi="Times New Roman"/>
            <w:color w:val="0000FF"/>
            <w:sz w:val="24"/>
            <w:szCs w:val="24"/>
            <w:u w:val="single"/>
          </w:rPr>
          <w:t>https://doi.org/10.1371/journal.pone.0102108</w:t>
        </w:r>
      </w:hyperlink>
    </w:p>
    <w:p w14:paraId="652CA762"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Jamkhande, P. G., Ghule, N. W., Bamer, A. H., &amp; Kalaskar, M. G. (2019). </w:t>
      </w:r>
      <w:r w:rsidRPr="005F7824">
        <w:rPr>
          <w:rFonts w:ascii="Times New Roman" w:hAnsi="Times New Roman"/>
          <w:sz w:val="24"/>
          <w:szCs w:val="24"/>
        </w:rPr>
        <w:t xml:space="preserve">Metal nanoparticles synthesis: An overview on methods of preparation, advantages and disadvantages, and applications. </w:t>
      </w:r>
      <w:r w:rsidRPr="005F7824">
        <w:rPr>
          <w:rFonts w:ascii="Times New Roman" w:hAnsi="Times New Roman"/>
          <w:i/>
          <w:iCs/>
          <w:sz w:val="24"/>
          <w:szCs w:val="24"/>
        </w:rPr>
        <w:t>Journal of Drug Delivery Science and Technology, 53</w:t>
      </w:r>
      <w:r w:rsidRPr="005F7824">
        <w:rPr>
          <w:rFonts w:ascii="Times New Roman" w:hAnsi="Times New Roman"/>
          <w:sz w:val="24"/>
          <w:szCs w:val="24"/>
        </w:rPr>
        <w:t xml:space="preserve">, 101174. </w:t>
      </w:r>
      <w:hyperlink r:id="rId59" w:history="1">
        <w:r w:rsidRPr="005F7824">
          <w:rPr>
            <w:rFonts w:ascii="Times New Roman" w:hAnsi="Times New Roman"/>
            <w:color w:val="0000FF"/>
            <w:sz w:val="24"/>
            <w:szCs w:val="24"/>
            <w:u w:val="single"/>
          </w:rPr>
          <w:t>https://doi.org/10.1016/j.jddst.2019.101174</w:t>
        </w:r>
      </w:hyperlink>
    </w:p>
    <w:p w14:paraId="7D1E3F27"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lastRenderedPageBreak/>
        <w:t xml:space="preserve">Jindapunnapat, K., Reetz, N. D., MacDonald, M. H., Bhagavathy, G., Chinnasri, B., Soonthornchareonnon, N., Sasnarukkit, A., Chauhan, K. R., Chitwood, D. J., &amp; Meyer, S. L. F. (2018). Activity of vetiver extracts and essential oil against </w:t>
      </w:r>
      <w:r w:rsidRPr="005F7824">
        <w:rPr>
          <w:rFonts w:ascii="Times New Roman" w:hAnsi="Times New Roman"/>
          <w:i/>
          <w:iCs/>
          <w:sz w:val="24"/>
          <w:szCs w:val="24"/>
        </w:rPr>
        <w:t>Meloidogyne incognita</w:t>
      </w:r>
      <w:r w:rsidRPr="005F7824">
        <w:rPr>
          <w:rFonts w:ascii="Times New Roman" w:hAnsi="Times New Roman"/>
          <w:sz w:val="24"/>
          <w:szCs w:val="24"/>
        </w:rPr>
        <w:t xml:space="preserve">. </w:t>
      </w:r>
      <w:r w:rsidRPr="005F7824">
        <w:rPr>
          <w:rFonts w:ascii="Times New Roman" w:hAnsi="Times New Roman"/>
          <w:i/>
          <w:iCs/>
          <w:sz w:val="24"/>
          <w:szCs w:val="24"/>
        </w:rPr>
        <w:t>Journal of Nematology, 50</w:t>
      </w:r>
      <w:r w:rsidRPr="005F7824">
        <w:rPr>
          <w:rFonts w:ascii="Times New Roman" w:hAnsi="Times New Roman"/>
          <w:sz w:val="24"/>
          <w:szCs w:val="24"/>
        </w:rPr>
        <w:t xml:space="preserve">(2), 147–162. </w:t>
      </w:r>
      <w:hyperlink r:id="rId60" w:history="1">
        <w:r w:rsidRPr="005F7824">
          <w:rPr>
            <w:rFonts w:ascii="Times New Roman" w:hAnsi="Times New Roman"/>
            <w:color w:val="0000FF"/>
            <w:sz w:val="24"/>
            <w:szCs w:val="24"/>
            <w:u w:val="single"/>
          </w:rPr>
          <w:t>https://doi.org/10.21307/jofnem-2018-008</w:t>
        </w:r>
      </w:hyperlink>
    </w:p>
    <w:p w14:paraId="0C69B23C"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Kaiaty, A. M., Salib, F. A., El-Gameel, S. M., Massieh, E. S. A., Hussien, A. M., &amp; Kamel, M. S. (2023). </w:t>
      </w:r>
      <w:r w:rsidRPr="005F7824">
        <w:rPr>
          <w:rFonts w:ascii="Times New Roman" w:hAnsi="Times New Roman"/>
          <w:sz w:val="24"/>
          <w:szCs w:val="24"/>
        </w:rPr>
        <w:t>Emerging alternatives to traditional anthelmintics: The in vitro antiparasitic activity of silver and selenium nanoparticles, and pomegranate (</w:t>
      </w:r>
      <w:r w:rsidRPr="005F7824">
        <w:rPr>
          <w:rFonts w:ascii="Times New Roman" w:hAnsi="Times New Roman"/>
          <w:i/>
          <w:iCs/>
          <w:sz w:val="24"/>
          <w:szCs w:val="24"/>
        </w:rPr>
        <w:t>Punica granatum</w:t>
      </w:r>
      <w:r w:rsidRPr="005F7824">
        <w:rPr>
          <w:rFonts w:ascii="Times New Roman" w:hAnsi="Times New Roman"/>
          <w:sz w:val="24"/>
          <w:szCs w:val="24"/>
        </w:rPr>
        <w:t xml:space="preserve">) peel extract against </w:t>
      </w:r>
      <w:r w:rsidRPr="005F7824">
        <w:rPr>
          <w:rFonts w:ascii="Times New Roman" w:hAnsi="Times New Roman"/>
          <w:i/>
          <w:iCs/>
          <w:sz w:val="24"/>
          <w:szCs w:val="24"/>
        </w:rPr>
        <w:t>Haemonchus contortus</w:t>
      </w:r>
      <w:r w:rsidRPr="005F7824">
        <w:rPr>
          <w:rFonts w:ascii="Times New Roman" w:hAnsi="Times New Roman"/>
          <w:sz w:val="24"/>
          <w:szCs w:val="24"/>
        </w:rPr>
        <w:t xml:space="preserve">. </w:t>
      </w:r>
      <w:r w:rsidRPr="005F7824">
        <w:rPr>
          <w:rFonts w:ascii="Times New Roman" w:hAnsi="Times New Roman"/>
          <w:i/>
          <w:iCs/>
          <w:sz w:val="24"/>
          <w:szCs w:val="24"/>
        </w:rPr>
        <w:t>Tropical Animal Health and Production, 55</w:t>
      </w:r>
      <w:r w:rsidRPr="005F7824">
        <w:rPr>
          <w:rFonts w:ascii="Times New Roman" w:hAnsi="Times New Roman"/>
          <w:sz w:val="24"/>
          <w:szCs w:val="24"/>
        </w:rPr>
        <w:t xml:space="preserve">(5), 317. </w:t>
      </w:r>
      <w:hyperlink r:id="rId61" w:history="1">
        <w:r w:rsidRPr="005F7824">
          <w:rPr>
            <w:rFonts w:ascii="Times New Roman" w:hAnsi="Times New Roman"/>
            <w:color w:val="0000FF"/>
            <w:sz w:val="24"/>
            <w:szCs w:val="24"/>
            <w:u w:val="single"/>
          </w:rPr>
          <w:t>https://doi.org/10.1007/s11250-023-03722-0</w:t>
        </w:r>
      </w:hyperlink>
    </w:p>
    <w:p w14:paraId="4DE74D09"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Kambale, E. K., Nkanga, C. I., Mutonkole, B. I., Bapolisi, A. M., Tassa, D. O., Liesse, J.-M. I., Krause, R. W. M., &amp; Memvanga, P. B. (2020). Green synthesis of antimicrobial silver nanoparticles using aqueous leaf extracts from three Congolese plant species (</w:t>
      </w:r>
      <w:r w:rsidRPr="005F7824">
        <w:rPr>
          <w:rFonts w:ascii="Times New Roman" w:hAnsi="Times New Roman"/>
          <w:i/>
          <w:iCs/>
          <w:sz w:val="24"/>
          <w:szCs w:val="24"/>
        </w:rPr>
        <w:t>Brillantaisia patula, Crossopteryx febrifuga</w:t>
      </w:r>
      <w:r w:rsidRPr="005F7824">
        <w:rPr>
          <w:rFonts w:ascii="Times New Roman" w:hAnsi="Times New Roman"/>
          <w:sz w:val="24"/>
          <w:szCs w:val="24"/>
        </w:rPr>
        <w:t xml:space="preserve"> and </w:t>
      </w:r>
      <w:r w:rsidRPr="005F7824">
        <w:rPr>
          <w:rFonts w:ascii="Times New Roman" w:hAnsi="Times New Roman"/>
          <w:i/>
          <w:iCs/>
          <w:sz w:val="24"/>
          <w:szCs w:val="24"/>
        </w:rPr>
        <w:t>Senna siamea</w:t>
      </w:r>
      <w:r w:rsidRPr="005F7824">
        <w:rPr>
          <w:rFonts w:ascii="Times New Roman" w:hAnsi="Times New Roman"/>
          <w:sz w:val="24"/>
          <w:szCs w:val="24"/>
        </w:rPr>
        <w:t xml:space="preserve">). </w:t>
      </w:r>
      <w:r w:rsidRPr="005F7824">
        <w:rPr>
          <w:rFonts w:ascii="Times New Roman" w:hAnsi="Times New Roman"/>
          <w:i/>
          <w:iCs/>
          <w:sz w:val="24"/>
          <w:szCs w:val="24"/>
        </w:rPr>
        <w:t>Heliyon, 6</w:t>
      </w:r>
      <w:r w:rsidRPr="005F7824">
        <w:rPr>
          <w:rFonts w:ascii="Times New Roman" w:hAnsi="Times New Roman"/>
          <w:sz w:val="24"/>
          <w:szCs w:val="24"/>
        </w:rPr>
        <w:t xml:space="preserve">, e04493. </w:t>
      </w:r>
      <w:hyperlink r:id="rId62" w:history="1">
        <w:r w:rsidRPr="005F7824">
          <w:rPr>
            <w:rFonts w:ascii="Times New Roman" w:hAnsi="Times New Roman"/>
            <w:color w:val="0000FF"/>
            <w:sz w:val="24"/>
            <w:szCs w:val="24"/>
            <w:u w:val="single"/>
          </w:rPr>
          <w:t>https://doi.org/10.1016/j.heliyon.2020.e04493</w:t>
        </w:r>
      </w:hyperlink>
    </w:p>
    <w:p w14:paraId="3D8336A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Keat, C. L., Aziz, A., Eid, A. M., &amp; Elmarzugi, N. A. (2015). Biosynthesis of nanoparticles and silver nanoparticles. </w:t>
      </w:r>
      <w:r w:rsidRPr="005F7824">
        <w:rPr>
          <w:rFonts w:ascii="Times New Roman" w:hAnsi="Times New Roman"/>
          <w:i/>
          <w:iCs/>
          <w:sz w:val="24"/>
          <w:szCs w:val="24"/>
        </w:rPr>
        <w:t>Bioresources and Bioprocessing, 2</w:t>
      </w:r>
      <w:r w:rsidRPr="005F7824">
        <w:rPr>
          <w:rFonts w:ascii="Times New Roman" w:hAnsi="Times New Roman"/>
          <w:sz w:val="24"/>
          <w:szCs w:val="24"/>
        </w:rPr>
        <w:t xml:space="preserve">, 47. </w:t>
      </w:r>
      <w:hyperlink r:id="rId63" w:history="1">
        <w:r w:rsidRPr="005F7824">
          <w:rPr>
            <w:rFonts w:ascii="Times New Roman" w:hAnsi="Times New Roman"/>
            <w:color w:val="0000FF"/>
            <w:sz w:val="24"/>
            <w:szCs w:val="24"/>
            <w:u w:val="single"/>
          </w:rPr>
          <w:t>https://doi.org/10.1186/s40643-015-0076-2</w:t>
        </w:r>
      </w:hyperlink>
    </w:p>
    <w:p w14:paraId="6DD54D9B"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Kelkawi, A. H. A., Kajani, A. A., &amp; Bordbar, A. K. (2017). </w:t>
      </w:r>
      <w:r w:rsidRPr="005F7824">
        <w:rPr>
          <w:rFonts w:ascii="Times New Roman" w:hAnsi="Times New Roman"/>
          <w:sz w:val="24"/>
          <w:szCs w:val="24"/>
        </w:rPr>
        <w:t xml:space="preserve">Green synthesis of silver nanoparticles using </w:t>
      </w:r>
      <w:r w:rsidRPr="005F7824">
        <w:rPr>
          <w:rFonts w:ascii="Times New Roman" w:hAnsi="Times New Roman"/>
          <w:i/>
          <w:iCs/>
          <w:sz w:val="24"/>
          <w:szCs w:val="24"/>
        </w:rPr>
        <w:t>Mentha pulegium</w:t>
      </w:r>
      <w:r w:rsidRPr="005F7824">
        <w:rPr>
          <w:rFonts w:ascii="Times New Roman" w:hAnsi="Times New Roman"/>
          <w:sz w:val="24"/>
          <w:szCs w:val="24"/>
        </w:rPr>
        <w:t xml:space="preserve"> and investigation of their antibacterial, antifungal and anticancer activity. </w:t>
      </w:r>
      <w:r w:rsidRPr="005F7824">
        <w:rPr>
          <w:rFonts w:ascii="Times New Roman" w:hAnsi="Times New Roman"/>
          <w:i/>
          <w:iCs/>
          <w:sz w:val="24"/>
          <w:szCs w:val="24"/>
        </w:rPr>
        <w:t>IET Nanobiotechnology, 11</w:t>
      </w:r>
      <w:r w:rsidRPr="005F7824">
        <w:rPr>
          <w:rFonts w:ascii="Times New Roman" w:hAnsi="Times New Roman"/>
          <w:sz w:val="24"/>
          <w:szCs w:val="24"/>
        </w:rPr>
        <w:t xml:space="preserve">(4), 370–376. </w:t>
      </w:r>
      <w:hyperlink r:id="rId64" w:history="1">
        <w:r w:rsidRPr="005F7824">
          <w:rPr>
            <w:rFonts w:ascii="Times New Roman" w:hAnsi="Times New Roman"/>
            <w:color w:val="0000FF"/>
            <w:sz w:val="24"/>
            <w:szCs w:val="24"/>
            <w:u w:val="single"/>
          </w:rPr>
          <w:t>https://doi.org/10.1049/iet-nbt.2016.0103</w:t>
        </w:r>
      </w:hyperlink>
    </w:p>
    <w:p w14:paraId="2B0F2D71"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Khan, I., Saeed, K., &amp; Khan, I. (2019). Nanoparticles: Properties, applications and toxicities. </w:t>
      </w:r>
      <w:r w:rsidRPr="005F7824">
        <w:rPr>
          <w:rFonts w:ascii="Times New Roman" w:hAnsi="Times New Roman"/>
          <w:i/>
          <w:iCs/>
          <w:sz w:val="24"/>
          <w:szCs w:val="24"/>
        </w:rPr>
        <w:t>Arabian Journal of Chemistry, 12</w:t>
      </w:r>
      <w:r w:rsidRPr="005F7824">
        <w:rPr>
          <w:rFonts w:ascii="Times New Roman" w:hAnsi="Times New Roman"/>
          <w:sz w:val="24"/>
          <w:szCs w:val="24"/>
        </w:rPr>
        <w:t xml:space="preserve">(7), 908–931. </w:t>
      </w:r>
      <w:hyperlink r:id="rId65" w:history="1">
        <w:r w:rsidRPr="005F7824">
          <w:rPr>
            <w:rFonts w:ascii="Times New Roman" w:hAnsi="Times New Roman"/>
            <w:color w:val="0000FF"/>
            <w:sz w:val="24"/>
            <w:szCs w:val="24"/>
            <w:u w:val="single"/>
          </w:rPr>
          <w:t>https://doi.org/10.1016/j.arabjc.2017.05.011</w:t>
        </w:r>
      </w:hyperlink>
    </w:p>
    <w:p w14:paraId="004F24E4"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Khanal, L. N., Sharma, K. R., Paudyal, H., Parajuli, K., Dahal, B., Ganga, G. C., Pokharel, Y. R., &amp; Kalauni, S. K. (2022). Green synthesis of silver nanoparticles from root extracts of </w:t>
      </w:r>
      <w:r w:rsidRPr="005F7824">
        <w:rPr>
          <w:rFonts w:ascii="Times New Roman" w:hAnsi="Times New Roman"/>
          <w:i/>
          <w:iCs/>
          <w:sz w:val="24"/>
          <w:szCs w:val="24"/>
        </w:rPr>
        <w:t>Rubus ellipticus</w:t>
      </w:r>
      <w:r w:rsidRPr="005F7824">
        <w:rPr>
          <w:rFonts w:ascii="Times New Roman" w:hAnsi="Times New Roman"/>
          <w:sz w:val="24"/>
          <w:szCs w:val="24"/>
        </w:rPr>
        <w:t xml:space="preserve"> Sm. and comparison of antioxidant and antibacterial activity. </w:t>
      </w:r>
      <w:r w:rsidRPr="005F7824">
        <w:rPr>
          <w:rFonts w:ascii="Times New Roman" w:hAnsi="Times New Roman"/>
          <w:i/>
          <w:iCs/>
          <w:sz w:val="24"/>
          <w:szCs w:val="24"/>
        </w:rPr>
        <w:t>Journal of Nanomaterials, 2022</w:t>
      </w:r>
      <w:r w:rsidRPr="005F7824">
        <w:rPr>
          <w:rFonts w:ascii="Times New Roman" w:hAnsi="Times New Roman"/>
          <w:sz w:val="24"/>
          <w:szCs w:val="24"/>
        </w:rPr>
        <w:t xml:space="preserve">, 1832587. </w:t>
      </w:r>
      <w:hyperlink r:id="rId66" w:history="1">
        <w:r w:rsidRPr="005F7824">
          <w:rPr>
            <w:rFonts w:ascii="Times New Roman" w:hAnsi="Times New Roman"/>
            <w:color w:val="0000FF"/>
            <w:sz w:val="24"/>
            <w:szCs w:val="24"/>
            <w:u w:val="single"/>
          </w:rPr>
          <w:t>https://doi.org/10.1155/2022/1832587</w:t>
        </w:r>
      </w:hyperlink>
    </w:p>
    <w:p w14:paraId="7746F453"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Khatun, M., Khatun, Z., Karim, M. R., Habib, M. R., Rahman, M. H., &amp; Aziz, M. A. (2023). </w:t>
      </w:r>
      <w:r w:rsidRPr="005F7824">
        <w:rPr>
          <w:rFonts w:ascii="Times New Roman" w:hAnsi="Times New Roman"/>
          <w:sz w:val="24"/>
          <w:szCs w:val="24"/>
        </w:rPr>
        <w:t xml:space="preserve">Green synthesis of silver nanoparticles using extracts of </w:t>
      </w:r>
      <w:r w:rsidRPr="005F7824">
        <w:rPr>
          <w:rFonts w:ascii="Times New Roman" w:hAnsi="Times New Roman"/>
          <w:i/>
          <w:iCs/>
          <w:sz w:val="24"/>
          <w:szCs w:val="24"/>
        </w:rPr>
        <w:t>Mikania cordata</w:t>
      </w:r>
      <w:r w:rsidRPr="005F7824">
        <w:rPr>
          <w:rFonts w:ascii="Times New Roman" w:hAnsi="Times New Roman"/>
          <w:sz w:val="24"/>
          <w:szCs w:val="24"/>
        </w:rPr>
        <w:t xml:space="preserve"> leaves and evaluation of their antioxidant, antimicrobial and cytotoxic properties. </w:t>
      </w:r>
      <w:r w:rsidRPr="005F7824">
        <w:rPr>
          <w:rFonts w:ascii="Times New Roman" w:hAnsi="Times New Roman"/>
          <w:i/>
          <w:iCs/>
          <w:sz w:val="24"/>
          <w:szCs w:val="24"/>
        </w:rPr>
        <w:t>Food Chemistry Advances, 3</w:t>
      </w:r>
      <w:r w:rsidRPr="005F7824">
        <w:rPr>
          <w:rFonts w:ascii="Times New Roman" w:hAnsi="Times New Roman"/>
          <w:sz w:val="24"/>
          <w:szCs w:val="24"/>
        </w:rPr>
        <w:t xml:space="preserve">, 100386. </w:t>
      </w:r>
      <w:hyperlink r:id="rId67" w:history="1">
        <w:r w:rsidRPr="005F7824">
          <w:rPr>
            <w:rFonts w:ascii="Times New Roman" w:hAnsi="Times New Roman"/>
            <w:color w:val="0000FF"/>
            <w:sz w:val="24"/>
            <w:szCs w:val="24"/>
            <w:u w:val="single"/>
          </w:rPr>
          <w:t>https://doi.org/10.1016/j.focha.2023.100386</w:t>
        </w:r>
      </w:hyperlink>
    </w:p>
    <w:p w14:paraId="78180884"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lastRenderedPageBreak/>
        <w:t xml:space="preserve">Kota, S., Dumpala, P., Anantha, R. K., Verma, M. K., &amp; Kandepu, S. (2017). </w:t>
      </w:r>
      <w:r w:rsidRPr="005F7824">
        <w:rPr>
          <w:rFonts w:ascii="Times New Roman" w:hAnsi="Times New Roman"/>
          <w:sz w:val="24"/>
          <w:szCs w:val="24"/>
        </w:rPr>
        <w:t xml:space="preserve">Evaluation of therapeutic potential of the silver/silver chloride nanoparticles synthesized with the aqueous leaf extract of </w:t>
      </w:r>
      <w:r w:rsidRPr="005F7824">
        <w:rPr>
          <w:rFonts w:ascii="Times New Roman" w:hAnsi="Times New Roman"/>
          <w:i/>
          <w:iCs/>
          <w:sz w:val="24"/>
          <w:szCs w:val="24"/>
        </w:rPr>
        <w:t>Rumex acetosa</w:t>
      </w:r>
      <w:r w:rsidRPr="005F7824">
        <w:rPr>
          <w:rFonts w:ascii="Times New Roman" w:hAnsi="Times New Roman"/>
          <w:sz w:val="24"/>
          <w:szCs w:val="24"/>
        </w:rPr>
        <w:t xml:space="preserve">. </w:t>
      </w:r>
      <w:r w:rsidRPr="005F7824">
        <w:rPr>
          <w:rFonts w:ascii="Times New Roman" w:hAnsi="Times New Roman"/>
          <w:i/>
          <w:iCs/>
          <w:sz w:val="24"/>
          <w:szCs w:val="24"/>
        </w:rPr>
        <w:t>Scientific Reports, 7</w:t>
      </w:r>
      <w:r w:rsidRPr="005F7824">
        <w:rPr>
          <w:rFonts w:ascii="Times New Roman" w:hAnsi="Times New Roman"/>
          <w:sz w:val="24"/>
          <w:szCs w:val="24"/>
        </w:rPr>
        <w:t xml:space="preserve">(1), 11566. </w:t>
      </w:r>
      <w:hyperlink r:id="rId68" w:history="1">
        <w:r w:rsidRPr="005F7824">
          <w:rPr>
            <w:rFonts w:ascii="Times New Roman" w:hAnsi="Times New Roman"/>
            <w:color w:val="0000FF"/>
            <w:sz w:val="24"/>
            <w:szCs w:val="24"/>
            <w:u w:val="single"/>
          </w:rPr>
          <w:t>https://doi.org/10.1038/s41598-017-11853-2</w:t>
        </w:r>
      </w:hyperlink>
    </w:p>
    <w:p w14:paraId="4D0B9BA0"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Kumar, D. G., Achar, R. R., Kumar, J. R., Amala, G., Gopalakrishnan, V. K., Pradeep, S., Shati, A. A., Alfaifi, M. Y., Elbehairi, S. E. I., Silina, E., Stupin, V., Manturova, N., Shivamallu, C., &amp; Kollur, S. P. (2023). Assessment of antimicrobial and anthelmintic activity of silver nanoparticles bio-synthesized from </w:t>
      </w:r>
      <w:r w:rsidRPr="005F7824">
        <w:rPr>
          <w:rFonts w:ascii="Times New Roman" w:hAnsi="Times New Roman"/>
          <w:i/>
          <w:iCs/>
          <w:sz w:val="24"/>
          <w:szCs w:val="24"/>
        </w:rPr>
        <w:t>Viscum orientale</w:t>
      </w:r>
      <w:r w:rsidRPr="005F7824">
        <w:rPr>
          <w:rFonts w:ascii="Times New Roman" w:hAnsi="Times New Roman"/>
          <w:sz w:val="24"/>
          <w:szCs w:val="24"/>
        </w:rPr>
        <w:t xml:space="preserve"> leaf extract. </w:t>
      </w:r>
      <w:r w:rsidRPr="005F7824">
        <w:rPr>
          <w:rFonts w:ascii="Times New Roman" w:hAnsi="Times New Roman"/>
          <w:i/>
          <w:iCs/>
          <w:sz w:val="24"/>
          <w:szCs w:val="24"/>
        </w:rPr>
        <w:t>BMC Complementary Medicine and Therapies, 23</w:t>
      </w:r>
      <w:r w:rsidRPr="005F7824">
        <w:rPr>
          <w:rFonts w:ascii="Times New Roman" w:hAnsi="Times New Roman"/>
          <w:sz w:val="24"/>
          <w:szCs w:val="24"/>
        </w:rPr>
        <w:t xml:space="preserve">, 167. </w:t>
      </w:r>
      <w:hyperlink r:id="rId69" w:history="1">
        <w:r w:rsidRPr="005F7824">
          <w:rPr>
            <w:rFonts w:ascii="Times New Roman" w:hAnsi="Times New Roman"/>
            <w:color w:val="0000FF"/>
            <w:sz w:val="24"/>
            <w:szCs w:val="24"/>
            <w:u w:val="single"/>
          </w:rPr>
          <w:t>https://doi.org/10.1186/s12906-023-03982-1</w:t>
        </w:r>
      </w:hyperlink>
    </w:p>
    <w:p w14:paraId="515E23B6"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Lacey, E. (1990). Mode of action of benzimidazoles. </w:t>
      </w:r>
      <w:r w:rsidRPr="005F7824">
        <w:rPr>
          <w:rFonts w:ascii="Times New Roman" w:hAnsi="Times New Roman"/>
          <w:i/>
          <w:iCs/>
          <w:sz w:val="24"/>
          <w:szCs w:val="24"/>
        </w:rPr>
        <w:t>Parasitology Today, 6</w:t>
      </w:r>
      <w:r w:rsidRPr="005F7824">
        <w:rPr>
          <w:rFonts w:ascii="Times New Roman" w:hAnsi="Times New Roman"/>
          <w:sz w:val="24"/>
          <w:szCs w:val="24"/>
        </w:rPr>
        <w:t xml:space="preserve">(4), 112–115. </w:t>
      </w:r>
      <w:hyperlink r:id="rId70" w:history="1">
        <w:r w:rsidRPr="005F7824">
          <w:rPr>
            <w:rFonts w:ascii="Times New Roman" w:hAnsi="Times New Roman"/>
            <w:color w:val="0000FF"/>
            <w:sz w:val="24"/>
            <w:szCs w:val="24"/>
            <w:u w:val="single"/>
          </w:rPr>
          <w:t>https://doi.org/10.1016/0169-4758(90)90227-U</w:t>
        </w:r>
      </w:hyperlink>
    </w:p>
    <w:p w14:paraId="238CEE1C"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Lakshmanan, R., Paulraj, P., Iyappan, P., Chandramohan, M., &amp; Naji, E. A. (2023). Green synthesis of silver nanoparticle using aqueous leaf extract of </w:t>
      </w:r>
      <w:r w:rsidRPr="005F7824">
        <w:rPr>
          <w:rFonts w:ascii="Times New Roman" w:hAnsi="Times New Roman"/>
          <w:i/>
          <w:iCs/>
          <w:sz w:val="24"/>
          <w:szCs w:val="24"/>
        </w:rPr>
        <w:t>Barleria noctiflora</w:t>
      </w:r>
      <w:r w:rsidRPr="005F7824">
        <w:rPr>
          <w:rFonts w:ascii="Times New Roman" w:hAnsi="Times New Roman"/>
          <w:sz w:val="24"/>
          <w:szCs w:val="24"/>
        </w:rPr>
        <w:t xml:space="preserve"> and its bioactive efficacy. </w:t>
      </w:r>
      <w:r w:rsidRPr="005F7824">
        <w:rPr>
          <w:rFonts w:ascii="Times New Roman" w:hAnsi="Times New Roman"/>
          <w:i/>
          <w:iCs/>
          <w:sz w:val="24"/>
          <w:szCs w:val="24"/>
        </w:rPr>
        <w:t>Uttar Pradesh Journal of Zoology, 44</w:t>
      </w:r>
      <w:r w:rsidRPr="005F7824">
        <w:rPr>
          <w:rFonts w:ascii="Times New Roman" w:hAnsi="Times New Roman"/>
          <w:sz w:val="24"/>
          <w:szCs w:val="24"/>
        </w:rPr>
        <w:t xml:space="preserve">(23), 37–45. </w:t>
      </w:r>
      <w:hyperlink r:id="rId71" w:history="1">
        <w:r w:rsidRPr="005F7824">
          <w:rPr>
            <w:rFonts w:ascii="Times New Roman" w:hAnsi="Times New Roman"/>
            <w:color w:val="0000FF"/>
            <w:sz w:val="24"/>
            <w:szCs w:val="24"/>
            <w:u w:val="single"/>
          </w:rPr>
          <w:t>https://doi.org/10.56557/upjoz/2023/v44i233761</w:t>
        </w:r>
      </w:hyperlink>
    </w:p>
    <w:p w14:paraId="70977EB6"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Majumdar, R., &amp; Kar, P. K. (2023). </w:t>
      </w:r>
      <w:r w:rsidRPr="005F7824">
        <w:rPr>
          <w:rFonts w:ascii="Times New Roman" w:hAnsi="Times New Roman"/>
          <w:sz w:val="24"/>
          <w:szCs w:val="24"/>
        </w:rPr>
        <w:t xml:space="preserve">Biosynthesis, characterization and anthelmintic activity of silver nanoparticles of </w:t>
      </w:r>
      <w:r w:rsidRPr="005F7824">
        <w:rPr>
          <w:rFonts w:ascii="Times New Roman" w:hAnsi="Times New Roman"/>
          <w:i/>
          <w:iCs/>
          <w:sz w:val="24"/>
          <w:szCs w:val="24"/>
        </w:rPr>
        <w:t>Clerodendrum infortunatum</w:t>
      </w:r>
      <w:r w:rsidRPr="005F7824">
        <w:rPr>
          <w:rFonts w:ascii="Times New Roman" w:hAnsi="Times New Roman"/>
          <w:sz w:val="24"/>
          <w:szCs w:val="24"/>
        </w:rPr>
        <w:t xml:space="preserve"> isolate. </w:t>
      </w:r>
      <w:r w:rsidRPr="005F7824">
        <w:rPr>
          <w:rFonts w:ascii="Times New Roman" w:hAnsi="Times New Roman"/>
          <w:i/>
          <w:iCs/>
          <w:sz w:val="24"/>
          <w:szCs w:val="24"/>
        </w:rPr>
        <w:t>Scientific Reports, 13</w:t>
      </w:r>
      <w:r w:rsidRPr="005F7824">
        <w:rPr>
          <w:rFonts w:ascii="Times New Roman" w:hAnsi="Times New Roman"/>
          <w:sz w:val="24"/>
          <w:szCs w:val="24"/>
        </w:rPr>
        <w:t xml:space="preserve">, 7415. </w:t>
      </w:r>
      <w:hyperlink r:id="rId72" w:history="1">
        <w:r w:rsidRPr="005F7824">
          <w:rPr>
            <w:rFonts w:ascii="Times New Roman" w:hAnsi="Times New Roman"/>
            <w:color w:val="0000FF"/>
            <w:sz w:val="24"/>
            <w:szCs w:val="24"/>
            <w:u w:val="single"/>
          </w:rPr>
          <w:t>https://doi.org/10.1038/s41598-023-34221-9</w:t>
        </w:r>
      </w:hyperlink>
    </w:p>
    <w:p w14:paraId="7EE50473"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t xml:space="preserve">Malik, T., &amp; Madan, V. K. (2020). </w:t>
      </w:r>
      <w:r w:rsidRPr="005F7824">
        <w:rPr>
          <w:rFonts w:ascii="Times New Roman" w:hAnsi="Times New Roman"/>
          <w:sz w:val="24"/>
          <w:szCs w:val="24"/>
        </w:rPr>
        <w:t xml:space="preserve">Rapid and green synthesis of metallic/bimetallic nanoparticles using aqueous plant extract of Triphala with their excellent bio-efficacies. </w:t>
      </w:r>
      <w:r w:rsidRPr="005F7824">
        <w:rPr>
          <w:rFonts w:ascii="Times New Roman" w:hAnsi="Times New Roman"/>
          <w:i/>
          <w:iCs/>
          <w:sz w:val="24"/>
          <w:szCs w:val="24"/>
        </w:rPr>
        <w:t>Journal of Pharmacognosy and Phytochemistry, 9</w:t>
      </w:r>
      <w:r w:rsidRPr="005F7824">
        <w:rPr>
          <w:rFonts w:ascii="Times New Roman" w:hAnsi="Times New Roman"/>
          <w:sz w:val="24"/>
          <w:szCs w:val="24"/>
        </w:rPr>
        <w:t xml:space="preserve">(3), 939–949. </w:t>
      </w:r>
      <w:hyperlink r:id="rId73" w:history="1">
        <w:r w:rsidRPr="005F7824">
          <w:rPr>
            <w:rFonts w:ascii="Times New Roman" w:hAnsi="Times New Roman"/>
            <w:color w:val="0000FF"/>
            <w:sz w:val="24"/>
            <w:szCs w:val="24"/>
            <w:u w:val="single"/>
          </w:rPr>
          <w:t>https://www.phytojournal.com/archives/2020.v9.i3.11408/rapid-and-green-synthesis-of-metallicbimetallic-nanoparticles-using-aqueous-plant-extract-of-triphala-with-their-excellent-bio-efficacies</w:t>
        </w:r>
      </w:hyperlink>
    </w:p>
    <w:p w14:paraId="32E8A531" w14:textId="533AC930"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Manjunatha, S. B., Biradar, D. P., &amp; Aladakatti, Y. R. (2016). Nanotechnology and its applications in agriculture: A review. </w:t>
      </w:r>
      <w:r w:rsidRPr="005F7824">
        <w:rPr>
          <w:rFonts w:ascii="Times New Roman" w:hAnsi="Times New Roman"/>
          <w:i/>
          <w:iCs/>
          <w:sz w:val="24"/>
          <w:szCs w:val="24"/>
        </w:rPr>
        <w:t>Journal of Farm Sciences, 29</w:t>
      </w:r>
      <w:r w:rsidRPr="005F7824">
        <w:rPr>
          <w:rFonts w:ascii="Times New Roman" w:hAnsi="Times New Roman"/>
          <w:sz w:val="24"/>
          <w:szCs w:val="24"/>
        </w:rPr>
        <w:t xml:space="preserve">(1), 1–13. </w:t>
      </w:r>
    </w:p>
    <w:p w14:paraId="2216148E"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Manullang, J. R., Nugroho, R. A., Rohmah, M., Rudianto, &amp; Qorysuchi, A. (2021). Plant-extract-mediated biosynthesis of silver nanoparticles using </w:t>
      </w:r>
      <w:r w:rsidRPr="005F7824">
        <w:rPr>
          <w:rFonts w:ascii="Times New Roman" w:hAnsi="Times New Roman"/>
          <w:i/>
          <w:iCs/>
          <w:sz w:val="24"/>
          <w:szCs w:val="24"/>
        </w:rPr>
        <w:t>Eleutherine americana</w:t>
      </w:r>
      <w:r w:rsidRPr="005F7824">
        <w:rPr>
          <w:rFonts w:ascii="Times New Roman" w:hAnsi="Times New Roman"/>
          <w:sz w:val="24"/>
          <w:szCs w:val="24"/>
        </w:rPr>
        <w:t xml:space="preserve"> bulb extract and its characterization. </w:t>
      </w:r>
      <w:r w:rsidRPr="005F7824">
        <w:rPr>
          <w:rFonts w:ascii="Times New Roman" w:hAnsi="Times New Roman"/>
          <w:i/>
          <w:iCs/>
          <w:sz w:val="24"/>
          <w:szCs w:val="24"/>
        </w:rPr>
        <w:t>Nusantara Bioscience, 13</w:t>
      </w:r>
      <w:r w:rsidRPr="005F7824">
        <w:rPr>
          <w:rFonts w:ascii="Times New Roman" w:hAnsi="Times New Roman"/>
          <w:sz w:val="24"/>
          <w:szCs w:val="24"/>
        </w:rPr>
        <w:t xml:space="preserve">(2), 247–254. </w:t>
      </w:r>
      <w:hyperlink r:id="rId74" w:history="1">
        <w:r w:rsidRPr="005F7824">
          <w:rPr>
            <w:rFonts w:ascii="Times New Roman" w:hAnsi="Times New Roman"/>
            <w:color w:val="0000FF"/>
            <w:sz w:val="24"/>
            <w:szCs w:val="24"/>
            <w:u w:val="single"/>
          </w:rPr>
          <w:t>https://doi.org/10.13057/nusbiosci/n130216</w:t>
        </w:r>
      </w:hyperlink>
    </w:p>
    <w:p w14:paraId="441F5790"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Melaku, C. B., &amp; Amare, G. G. (2020). Evaluation of antidiabetic and antioxidant potential of hydromethanolic seed extract of </w:t>
      </w:r>
      <w:r w:rsidRPr="005F7824">
        <w:rPr>
          <w:rFonts w:ascii="Times New Roman" w:hAnsi="Times New Roman"/>
          <w:i/>
          <w:iCs/>
          <w:sz w:val="24"/>
          <w:szCs w:val="24"/>
        </w:rPr>
        <w:t>Datura stramonium</w:t>
      </w:r>
      <w:r w:rsidRPr="005F7824">
        <w:rPr>
          <w:rFonts w:ascii="Times New Roman" w:hAnsi="Times New Roman"/>
          <w:sz w:val="24"/>
          <w:szCs w:val="24"/>
        </w:rPr>
        <w:t xml:space="preserve"> Linn (Solanaceae). </w:t>
      </w:r>
      <w:r w:rsidRPr="005F7824">
        <w:rPr>
          <w:rFonts w:ascii="Times New Roman" w:hAnsi="Times New Roman"/>
          <w:i/>
          <w:iCs/>
          <w:sz w:val="24"/>
          <w:szCs w:val="24"/>
        </w:rPr>
        <w:t>Journal of Experimental Pharmacology, 12</w:t>
      </w:r>
      <w:r w:rsidRPr="005F7824">
        <w:rPr>
          <w:rFonts w:ascii="Times New Roman" w:hAnsi="Times New Roman"/>
          <w:sz w:val="24"/>
          <w:szCs w:val="24"/>
        </w:rPr>
        <w:t xml:space="preserve">, 181–189. </w:t>
      </w:r>
      <w:hyperlink r:id="rId75" w:history="1">
        <w:r w:rsidRPr="005F7824">
          <w:rPr>
            <w:rFonts w:ascii="Times New Roman" w:hAnsi="Times New Roman"/>
            <w:color w:val="0000FF"/>
            <w:sz w:val="24"/>
            <w:szCs w:val="24"/>
            <w:u w:val="single"/>
          </w:rPr>
          <w:t>https://doi.org/10.2147/JEP.S258522</w:t>
        </w:r>
      </w:hyperlink>
    </w:p>
    <w:p w14:paraId="016F1033"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lastRenderedPageBreak/>
        <w:t xml:space="preserve">Mittal, A. K., Chisti, Y., &amp; Banerjee, U. C. (2013). Synthesis of metallic nanoparticles using plant extracts. </w:t>
      </w:r>
      <w:r w:rsidRPr="005F7824">
        <w:rPr>
          <w:rFonts w:ascii="Times New Roman" w:hAnsi="Times New Roman"/>
          <w:i/>
          <w:iCs/>
          <w:sz w:val="24"/>
          <w:szCs w:val="24"/>
        </w:rPr>
        <w:t>Biotechnology Advances, 31</w:t>
      </w:r>
      <w:r w:rsidRPr="005F7824">
        <w:rPr>
          <w:rFonts w:ascii="Times New Roman" w:hAnsi="Times New Roman"/>
          <w:sz w:val="24"/>
          <w:szCs w:val="24"/>
        </w:rPr>
        <w:t xml:space="preserve">(2), 346–356. </w:t>
      </w:r>
      <w:hyperlink r:id="rId76" w:history="1">
        <w:r w:rsidRPr="005F7824">
          <w:rPr>
            <w:rFonts w:ascii="Times New Roman" w:hAnsi="Times New Roman"/>
            <w:color w:val="0000FF"/>
            <w:sz w:val="24"/>
            <w:szCs w:val="24"/>
            <w:u w:val="single"/>
          </w:rPr>
          <w:t>https://doi.org/10.1016/j.biotechadv.2013.01.003</w:t>
        </w:r>
      </w:hyperlink>
    </w:p>
    <w:p w14:paraId="1CCD22B0"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Nandhini, S. N., Rajendran, K., Seeniponnalagu, S., Tamilselvi, N., &amp; Anusuya, S. (2026). Bioinspired silver nanoparticles synthesized from </w:t>
      </w:r>
      <w:r w:rsidRPr="005F7824">
        <w:rPr>
          <w:rFonts w:ascii="Times New Roman" w:hAnsi="Times New Roman"/>
          <w:i/>
          <w:iCs/>
          <w:sz w:val="24"/>
          <w:szCs w:val="24"/>
        </w:rPr>
        <w:t>Typha domingensis</w:t>
      </w:r>
      <w:r w:rsidRPr="005F7824">
        <w:rPr>
          <w:rFonts w:ascii="Times New Roman" w:hAnsi="Times New Roman"/>
          <w:sz w:val="24"/>
          <w:szCs w:val="24"/>
        </w:rPr>
        <w:t xml:space="preserve"> leaves: Integrating phytochemical composition, molecular docking and anti-inflammatory evaluation. </w:t>
      </w:r>
      <w:r w:rsidRPr="005F7824">
        <w:rPr>
          <w:rFonts w:ascii="Times New Roman" w:hAnsi="Times New Roman"/>
          <w:i/>
          <w:iCs/>
          <w:sz w:val="24"/>
          <w:szCs w:val="24"/>
        </w:rPr>
        <w:t>Asian Journal of Research in Biochemistry, 16</w:t>
      </w:r>
      <w:r w:rsidRPr="005F7824">
        <w:rPr>
          <w:rFonts w:ascii="Times New Roman" w:hAnsi="Times New Roman"/>
          <w:sz w:val="24"/>
          <w:szCs w:val="24"/>
        </w:rPr>
        <w:t xml:space="preserve">(4), 117–133. </w:t>
      </w:r>
      <w:hyperlink r:id="rId77" w:history="1">
        <w:r w:rsidRPr="005F7824">
          <w:rPr>
            <w:rFonts w:ascii="Times New Roman" w:hAnsi="Times New Roman"/>
            <w:color w:val="0000FF"/>
            <w:sz w:val="24"/>
            <w:szCs w:val="24"/>
            <w:u w:val="single"/>
          </w:rPr>
          <w:t>https://doi.org/10.9734/ajrb/2026/v16i4505</w:t>
        </w:r>
      </w:hyperlink>
    </w:p>
    <w:p w14:paraId="04B86939"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Ngoc, Q. N., &amp; Minh, T. N. (2021). </w:t>
      </w:r>
      <w:r w:rsidRPr="005F7824">
        <w:rPr>
          <w:rFonts w:ascii="Times New Roman" w:hAnsi="Times New Roman"/>
          <w:i/>
          <w:iCs/>
          <w:sz w:val="24"/>
          <w:szCs w:val="24"/>
        </w:rPr>
        <w:t>Cyperus rotundus</w:t>
      </w:r>
      <w:r w:rsidRPr="005F7824">
        <w:rPr>
          <w:rFonts w:ascii="Times New Roman" w:hAnsi="Times New Roman"/>
          <w:sz w:val="24"/>
          <w:szCs w:val="24"/>
        </w:rPr>
        <w:t xml:space="preserve"> Cyperaceae: A study of phytochemistry, total polyphenol content, flavonoid content, and antioxidant activity. </w:t>
      </w:r>
      <w:r w:rsidRPr="005F7824">
        <w:rPr>
          <w:rFonts w:ascii="Times New Roman" w:hAnsi="Times New Roman"/>
          <w:i/>
          <w:iCs/>
          <w:sz w:val="24"/>
          <w:szCs w:val="24"/>
        </w:rPr>
        <w:t>E3S Web of Conferences, 332</w:t>
      </w:r>
      <w:r w:rsidRPr="005F7824">
        <w:rPr>
          <w:rFonts w:ascii="Times New Roman" w:hAnsi="Times New Roman"/>
          <w:sz w:val="24"/>
          <w:szCs w:val="24"/>
        </w:rPr>
        <w:t xml:space="preserve">, 06003. </w:t>
      </w:r>
      <w:hyperlink r:id="rId78" w:history="1">
        <w:r w:rsidRPr="005F7824">
          <w:rPr>
            <w:rFonts w:ascii="Times New Roman" w:hAnsi="Times New Roman"/>
            <w:color w:val="0000FF"/>
            <w:sz w:val="24"/>
            <w:szCs w:val="24"/>
            <w:u w:val="single"/>
          </w:rPr>
          <w:t>https://doi.org/10.1051/e3sconf/202133206003</w:t>
        </w:r>
      </w:hyperlink>
    </w:p>
    <w:p w14:paraId="31A95FE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Nijhawan, H. P., Prabhakar, B., &amp; Yadav, K. S. (2024). Central composite design augmented quality-by-design-based systematic formulation of erlotinib hydrochloride-loaded chitosan-poly(lactic-co-glycolic acid) nanoparticles. </w:t>
      </w:r>
      <w:r w:rsidRPr="005F7824">
        <w:rPr>
          <w:rFonts w:ascii="Times New Roman" w:hAnsi="Times New Roman"/>
          <w:i/>
          <w:iCs/>
          <w:sz w:val="24"/>
          <w:szCs w:val="24"/>
        </w:rPr>
        <w:t>Therapeutic Delivery, 15</w:t>
      </w:r>
      <w:r w:rsidRPr="005F7824">
        <w:rPr>
          <w:rFonts w:ascii="Times New Roman" w:hAnsi="Times New Roman"/>
          <w:sz w:val="24"/>
          <w:szCs w:val="24"/>
        </w:rPr>
        <w:t xml:space="preserve">(6), 427–447. </w:t>
      </w:r>
      <w:hyperlink r:id="rId79" w:history="1">
        <w:r w:rsidRPr="005F7824">
          <w:rPr>
            <w:rFonts w:ascii="Times New Roman" w:hAnsi="Times New Roman"/>
            <w:color w:val="0000FF"/>
            <w:sz w:val="24"/>
            <w:szCs w:val="24"/>
            <w:u w:val="single"/>
          </w:rPr>
          <w:t>https://doi.org/10.1080/20415990.2024.2342771</w:t>
        </w:r>
      </w:hyperlink>
    </w:p>
    <w:p w14:paraId="49D1C95F"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Njagi, E. C., Huang, H., Stafford, L., Genuino, H., Galindo, H. M., Collins, J. B., Hoag, G. E., &amp; Suib, S. L. (2011). Biosynthesis of iron and silver nanoparticles at room temperature using aqueous sorghum bran extracts. </w:t>
      </w:r>
      <w:r w:rsidRPr="005F7824">
        <w:rPr>
          <w:rFonts w:ascii="Times New Roman" w:hAnsi="Times New Roman"/>
          <w:i/>
          <w:iCs/>
          <w:sz w:val="24"/>
          <w:szCs w:val="24"/>
        </w:rPr>
        <w:t>Langmuir, 27</w:t>
      </w:r>
      <w:r w:rsidRPr="005F7824">
        <w:rPr>
          <w:rFonts w:ascii="Times New Roman" w:hAnsi="Times New Roman"/>
          <w:sz w:val="24"/>
          <w:szCs w:val="24"/>
        </w:rPr>
        <w:t xml:space="preserve">(1), 264–271. </w:t>
      </w:r>
      <w:hyperlink r:id="rId80" w:history="1">
        <w:r w:rsidRPr="005F7824">
          <w:rPr>
            <w:rFonts w:ascii="Times New Roman" w:hAnsi="Times New Roman"/>
            <w:color w:val="0000FF"/>
            <w:sz w:val="24"/>
            <w:szCs w:val="24"/>
            <w:u w:val="single"/>
          </w:rPr>
          <w:t>https://doi.org/10.1021/la103190n</w:t>
        </w:r>
      </w:hyperlink>
    </w:p>
    <w:p w14:paraId="10272189"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Pasieczna-Patkowska, S., Cichy, M., &amp; Flieger, J. (2025). Application of Fourier transform infrared (FTIR) spectroscopy in characterization of green synthesized nanoparticles. </w:t>
      </w:r>
      <w:r w:rsidRPr="005F7824">
        <w:rPr>
          <w:rFonts w:ascii="Times New Roman" w:hAnsi="Times New Roman"/>
          <w:i/>
          <w:iCs/>
          <w:sz w:val="24"/>
          <w:szCs w:val="24"/>
        </w:rPr>
        <w:t>Molecules, 30</w:t>
      </w:r>
      <w:r w:rsidRPr="005F7824">
        <w:rPr>
          <w:rFonts w:ascii="Times New Roman" w:hAnsi="Times New Roman"/>
          <w:sz w:val="24"/>
          <w:szCs w:val="24"/>
        </w:rPr>
        <w:t xml:space="preserve">(3), 684. </w:t>
      </w:r>
      <w:hyperlink r:id="rId81" w:history="1">
        <w:r w:rsidRPr="005F7824">
          <w:rPr>
            <w:rFonts w:ascii="Times New Roman" w:hAnsi="Times New Roman"/>
            <w:color w:val="0000FF"/>
            <w:sz w:val="24"/>
            <w:szCs w:val="24"/>
            <w:u w:val="single"/>
          </w:rPr>
          <w:t>https://doi.org/10.3390/molecules30030684</w:t>
        </w:r>
      </w:hyperlink>
    </w:p>
    <w:p w14:paraId="483E42A9"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Quero, R. E., Lucas, K., Higgins, J., &amp; Mojica, E. R. E. (2025). ATR-FTIR characterization and multivariate analysis classification of different commercial propolis extracts. </w:t>
      </w:r>
      <w:r w:rsidRPr="005F7824">
        <w:rPr>
          <w:rFonts w:ascii="Times New Roman" w:hAnsi="Times New Roman"/>
          <w:i/>
          <w:iCs/>
          <w:sz w:val="24"/>
          <w:szCs w:val="24"/>
        </w:rPr>
        <w:t>Measurement: Food, 18</w:t>
      </w:r>
      <w:r w:rsidRPr="005F7824">
        <w:rPr>
          <w:rFonts w:ascii="Times New Roman" w:hAnsi="Times New Roman"/>
          <w:sz w:val="24"/>
          <w:szCs w:val="24"/>
        </w:rPr>
        <w:t xml:space="preserve">, 100224. </w:t>
      </w:r>
      <w:hyperlink r:id="rId82" w:history="1">
        <w:r w:rsidRPr="005F7824">
          <w:rPr>
            <w:rFonts w:ascii="Times New Roman" w:hAnsi="Times New Roman"/>
            <w:color w:val="0000FF"/>
            <w:sz w:val="24"/>
            <w:szCs w:val="24"/>
            <w:u w:val="single"/>
          </w:rPr>
          <w:t>https://doi.org/10.1016/j.meafoo.2025.100224</w:t>
        </w:r>
      </w:hyperlink>
    </w:p>
    <w:p w14:paraId="17902896"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Rahman, A., &amp; Prasanna, A. (2018). Characterization of silver nanoparticles biosynthesized using </w:t>
      </w:r>
      <w:r w:rsidRPr="005F7824">
        <w:rPr>
          <w:rFonts w:ascii="Times New Roman" w:hAnsi="Times New Roman"/>
          <w:i/>
          <w:iCs/>
          <w:sz w:val="24"/>
          <w:szCs w:val="24"/>
        </w:rPr>
        <w:t>Ficus religiosa</w:t>
      </w:r>
      <w:r w:rsidRPr="005F7824">
        <w:rPr>
          <w:rFonts w:ascii="Times New Roman" w:hAnsi="Times New Roman"/>
          <w:sz w:val="24"/>
          <w:szCs w:val="24"/>
        </w:rPr>
        <w:t xml:space="preserve"> plant leaf extract. </w:t>
      </w:r>
      <w:r w:rsidRPr="005F7824">
        <w:rPr>
          <w:rFonts w:ascii="Times New Roman" w:hAnsi="Times New Roman"/>
          <w:i/>
          <w:iCs/>
          <w:sz w:val="24"/>
          <w:szCs w:val="24"/>
        </w:rPr>
        <w:t>International Research Journal of Engineering and Technology, 5</w:t>
      </w:r>
      <w:r w:rsidRPr="005F7824">
        <w:rPr>
          <w:rFonts w:ascii="Times New Roman" w:hAnsi="Times New Roman"/>
          <w:sz w:val="24"/>
          <w:szCs w:val="24"/>
        </w:rPr>
        <w:t xml:space="preserve">(12), 1449–1452. </w:t>
      </w:r>
      <w:hyperlink r:id="rId83" w:history="1">
        <w:r w:rsidRPr="005F7824">
          <w:rPr>
            <w:rFonts w:ascii="Times New Roman" w:hAnsi="Times New Roman"/>
            <w:color w:val="0000FF"/>
            <w:sz w:val="24"/>
            <w:szCs w:val="24"/>
            <w:u w:val="single"/>
          </w:rPr>
          <w:t>https://www.irjet.net/archives/V5/i12/IRJET-V5I12272.pdf</w:t>
        </w:r>
      </w:hyperlink>
    </w:p>
    <w:p w14:paraId="1071B825"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Rashid, M. M. O., Ferdous, J., Banik, S., Islam, M. R., Uddin, A. H. M. M., &amp; Robel, F. N. (2016). Anthelmintic activity of silver-extract nanoparticles synthesized from the combination of silver nanoparticles and </w:t>
      </w:r>
      <w:r w:rsidRPr="005F7824">
        <w:rPr>
          <w:rFonts w:ascii="Times New Roman" w:hAnsi="Times New Roman"/>
          <w:i/>
          <w:iCs/>
          <w:sz w:val="24"/>
          <w:szCs w:val="24"/>
        </w:rPr>
        <w:t>M. charantia</w:t>
      </w:r>
      <w:r w:rsidRPr="005F7824">
        <w:rPr>
          <w:rFonts w:ascii="Times New Roman" w:hAnsi="Times New Roman"/>
          <w:sz w:val="24"/>
          <w:szCs w:val="24"/>
        </w:rPr>
        <w:t xml:space="preserve"> fruit </w:t>
      </w:r>
      <w:r w:rsidRPr="005F7824">
        <w:rPr>
          <w:rFonts w:ascii="Times New Roman" w:hAnsi="Times New Roman"/>
          <w:sz w:val="24"/>
          <w:szCs w:val="24"/>
        </w:rPr>
        <w:lastRenderedPageBreak/>
        <w:t xml:space="preserve">extract. </w:t>
      </w:r>
      <w:r w:rsidRPr="005F7824">
        <w:rPr>
          <w:rFonts w:ascii="Times New Roman" w:hAnsi="Times New Roman"/>
          <w:i/>
          <w:iCs/>
          <w:sz w:val="24"/>
          <w:szCs w:val="24"/>
        </w:rPr>
        <w:t>BMC Complementary and Alternative Medicine, 16</w:t>
      </w:r>
      <w:r w:rsidRPr="005F7824">
        <w:rPr>
          <w:rFonts w:ascii="Times New Roman" w:hAnsi="Times New Roman"/>
          <w:sz w:val="24"/>
          <w:szCs w:val="24"/>
        </w:rPr>
        <w:t xml:space="preserve">, 242. </w:t>
      </w:r>
      <w:hyperlink r:id="rId84" w:history="1">
        <w:r w:rsidRPr="005F7824">
          <w:rPr>
            <w:rFonts w:ascii="Times New Roman" w:hAnsi="Times New Roman"/>
            <w:color w:val="0000FF"/>
            <w:sz w:val="24"/>
            <w:szCs w:val="24"/>
            <w:u w:val="single"/>
          </w:rPr>
          <w:t>https://doi.org/10.1186/s12906-016-1219-5</w:t>
        </w:r>
      </w:hyperlink>
    </w:p>
    <w:p w14:paraId="75B21903"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Rastogi, L., Kora, A. J., &amp; Sashidhar, R. B. (2015). Antibacterial effects of gum kondagogu reduced/stabilized silver nanoparticles in combination with various antibiotics: A mechanistic approach. </w:t>
      </w:r>
      <w:r w:rsidRPr="005F7824">
        <w:rPr>
          <w:rFonts w:ascii="Times New Roman" w:hAnsi="Times New Roman"/>
          <w:i/>
          <w:iCs/>
          <w:sz w:val="24"/>
          <w:szCs w:val="24"/>
        </w:rPr>
        <w:t>Applied Nanoscience, 5</w:t>
      </w:r>
      <w:r w:rsidRPr="005F7824">
        <w:rPr>
          <w:rFonts w:ascii="Times New Roman" w:hAnsi="Times New Roman"/>
          <w:sz w:val="24"/>
          <w:szCs w:val="24"/>
        </w:rPr>
        <w:t xml:space="preserve">(5), 535–543. </w:t>
      </w:r>
      <w:hyperlink r:id="rId85" w:history="1">
        <w:r w:rsidRPr="005F7824">
          <w:rPr>
            <w:rFonts w:ascii="Times New Roman" w:hAnsi="Times New Roman"/>
            <w:color w:val="0000FF"/>
            <w:sz w:val="24"/>
            <w:szCs w:val="24"/>
            <w:u w:val="single"/>
          </w:rPr>
          <w:t>https://doi.org/10.1007/s13204-014-0347-9</w:t>
        </w:r>
      </w:hyperlink>
    </w:p>
    <w:p w14:paraId="4C76836C"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Sasikala, A., Rao, M. L., &amp; Savithramma, N. (2015). Synthesis of silver nanoparticles from stem bark of </w:t>
      </w:r>
      <w:r w:rsidRPr="005F7824">
        <w:rPr>
          <w:rFonts w:ascii="Times New Roman" w:hAnsi="Times New Roman"/>
          <w:i/>
          <w:iCs/>
          <w:sz w:val="24"/>
          <w:szCs w:val="24"/>
        </w:rPr>
        <w:t>Cochlospermum religiosum</w:t>
      </w:r>
      <w:r w:rsidRPr="005F7824">
        <w:rPr>
          <w:rFonts w:ascii="Times New Roman" w:hAnsi="Times New Roman"/>
          <w:sz w:val="24"/>
          <w:szCs w:val="24"/>
        </w:rPr>
        <w:t xml:space="preserve"> (L.) Alston: An important medicinal plant and evaluation of their antimicrobial efficacy. </w:t>
      </w:r>
      <w:r w:rsidRPr="005F7824">
        <w:rPr>
          <w:rFonts w:ascii="Times New Roman" w:hAnsi="Times New Roman"/>
          <w:i/>
          <w:iCs/>
          <w:sz w:val="24"/>
          <w:szCs w:val="24"/>
        </w:rPr>
        <w:t>Applied Nanoscience, 5</w:t>
      </w:r>
      <w:r w:rsidRPr="005F7824">
        <w:rPr>
          <w:rFonts w:ascii="Times New Roman" w:hAnsi="Times New Roman"/>
          <w:sz w:val="24"/>
          <w:szCs w:val="24"/>
        </w:rPr>
        <w:t xml:space="preserve">, 827–835. </w:t>
      </w:r>
      <w:hyperlink r:id="rId86" w:history="1">
        <w:r w:rsidRPr="005F7824">
          <w:rPr>
            <w:rFonts w:ascii="Times New Roman" w:hAnsi="Times New Roman"/>
            <w:color w:val="0000FF"/>
            <w:sz w:val="24"/>
            <w:szCs w:val="24"/>
            <w:u w:val="single"/>
          </w:rPr>
          <w:t>https://doi.org/10.1007/s13204-014-0380-8</w:t>
        </w:r>
      </w:hyperlink>
    </w:p>
    <w:p w14:paraId="799C9F79"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Shkryl, Y. N., Veremeichik, G. N., Kamenev, D. G., Gorpenchenko, T. Y., Yugay, Y. A., Mashtalyar, D. V., Nepomnyaschiy, A. V., Avramenko, T. V., Karabtsov, A. A., Ivanov, V. V., Bulgakov, V. P., Gnedenkov, S. V., Kulchin, Y. N., &amp; Zhuravlev, Y. N. (2018). Green synthesis of silver nanoparticles using transgenic </w:t>
      </w:r>
      <w:r w:rsidRPr="005F7824">
        <w:rPr>
          <w:rFonts w:ascii="Times New Roman" w:hAnsi="Times New Roman"/>
          <w:i/>
          <w:iCs/>
          <w:sz w:val="24"/>
          <w:szCs w:val="24"/>
        </w:rPr>
        <w:t>Nicotiana tabacum</w:t>
      </w:r>
      <w:r w:rsidRPr="005F7824">
        <w:rPr>
          <w:rFonts w:ascii="Times New Roman" w:hAnsi="Times New Roman"/>
          <w:sz w:val="24"/>
          <w:szCs w:val="24"/>
        </w:rPr>
        <w:t xml:space="preserve"> callus culture expressing silicatein gene from marine sponge </w:t>
      </w:r>
      <w:r w:rsidRPr="005F7824">
        <w:rPr>
          <w:rFonts w:ascii="Times New Roman" w:hAnsi="Times New Roman"/>
          <w:i/>
          <w:iCs/>
          <w:sz w:val="24"/>
          <w:szCs w:val="24"/>
        </w:rPr>
        <w:t>Latrunculia oparinae</w:t>
      </w:r>
      <w:r w:rsidRPr="005F7824">
        <w:rPr>
          <w:rFonts w:ascii="Times New Roman" w:hAnsi="Times New Roman"/>
          <w:sz w:val="24"/>
          <w:szCs w:val="24"/>
        </w:rPr>
        <w:t xml:space="preserve">. </w:t>
      </w:r>
      <w:r w:rsidRPr="005F7824">
        <w:rPr>
          <w:rFonts w:ascii="Times New Roman" w:hAnsi="Times New Roman"/>
          <w:i/>
          <w:iCs/>
          <w:sz w:val="24"/>
          <w:szCs w:val="24"/>
        </w:rPr>
        <w:t>Artificial Cells, Nanomedicine, and Biotechnology, 46</w:t>
      </w:r>
      <w:r w:rsidRPr="005F7824">
        <w:rPr>
          <w:rFonts w:ascii="Times New Roman" w:hAnsi="Times New Roman"/>
          <w:sz w:val="24"/>
          <w:szCs w:val="24"/>
        </w:rPr>
        <w:t xml:space="preserve">(8), 1646–1658. </w:t>
      </w:r>
      <w:hyperlink r:id="rId87" w:history="1">
        <w:r w:rsidRPr="005F7824">
          <w:rPr>
            <w:rFonts w:ascii="Times New Roman" w:hAnsi="Times New Roman"/>
            <w:color w:val="0000FF"/>
            <w:sz w:val="24"/>
            <w:szCs w:val="24"/>
            <w:u w:val="single"/>
          </w:rPr>
          <w:t>https://doi.org/10.1080/21691401.2017.1388248</w:t>
        </w:r>
      </w:hyperlink>
    </w:p>
    <w:p w14:paraId="4EF5F3D1"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Shrestha, D. K., Magar, A. B., Pathak, I., Parajuli, N., Sharma, S., &amp; Sharma, K. R. (2025). Comparative analysis of biological activities of green-synthesized silver and zinc oxide nanoparticles using </w:t>
      </w:r>
      <w:r w:rsidRPr="005F7824">
        <w:rPr>
          <w:rFonts w:ascii="Times New Roman" w:hAnsi="Times New Roman"/>
          <w:i/>
          <w:iCs/>
          <w:sz w:val="24"/>
          <w:szCs w:val="24"/>
        </w:rPr>
        <w:t>Pogonatherum crinitum</w:t>
      </w:r>
      <w:r w:rsidRPr="005F7824">
        <w:rPr>
          <w:rFonts w:ascii="Times New Roman" w:hAnsi="Times New Roman"/>
          <w:sz w:val="24"/>
          <w:szCs w:val="24"/>
        </w:rPr>
        <w:t xml:space="preserve"> extracts. </w:t>
      </w:r>
      <w:r w:rsidRPr="005F7824">
        <w:rPr>
          <w:rFonts w:ascii="Times New Roman" w:hAnsi="Times New Roman"/>
          <w:i/>
          <w:iCs/>
          <w:sz w:val="24"/>
          <w:szCs w:val="24"/>
        </w:rPr>
        <w:t>Arabian Journal of Chemistry, 18</w:t>
      </w:r>
      <w:r w:rsidRPr="005F7824">
        <w:rPr>
          <w:rFonts w:ascii="Times New Roman" w:hAnsi="Times New Roman"/>
          <w:sz w:val="24"/>
          <w:szCs w:val="24"/>
        </w:rPr>
        <w:t xml:space="preserve">(5), 1882024. </w:t>
      </w:r>
      <w:hyperlink r:id="rId88" w:history="1">
        <w:r w:rsidRPr="005F7824">
          <w:rPr>
            <w:rFonts w:ascii="Times New Roman" w:hAnsi="Times New Roman"/>
            <w:color w:val="0000FF"/>
            <w:sz w:val="24"/>
            <w:szCs w:val="24"/>
            <w:u w:val="single"/>
          </w:rPr>
          <w:t>https://doi.org/10.25259/AJC_188_2024</w:t>
        </w:r>
      </w:hyperlink>
    </w:p>
    <w:p w14:paraId="4C977217"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Siddiqi, K. S., Husen, A., &amp; Rao, R. A. K. (2018). A review on biosynthesis of silver nanoparticles and their biocidal properties. </w:t>
      </w:r>
      <w:r w:rsidRPr="005F7824">
        <w:rPr>
          <w:rFonts w:ascii="Times New Roman" w:hAnsi="Times New Roman"/>
          <w:i/>
          <w:iCs/>
          <w:sz w:val="24"/>
          <w:szCs w:val="24"/>
        </w:rPr>
        <w:t>Journal of Nanobiotechnology, 16</w:t>
      </w:r>
      <w:r w:rsidRPr="005F7824">
        <w:rPr>
          <w:rFonts w:ascii="Times New Roman" w:hAnsi="Times New Roman"/>
          <w:sz w:val="24"/>
          <w:szCs w:val="24"/>
        </w:rPr>
        <w:t xml:space="preserve">(1), 14. </w:t>
      </w:r>
      <w:hyperlink r:id="rId89" w:history="1">
        <w:r w:rsidRPr="005F7824">
          <w:rPr>
            <w:rFonts w:ascii="Times New Roman" w:hAnsi="Times New Roman"/>
            <w:color w:val="0000FF"/>
            <w:sz w:val="24"/>
            <w:szCs w:val="24"/>
            <w:u w:val="single"/>
          </w:rPr>
          <w:t>https://doi.org/10.1186/s12951-018-0334-5</w:t>
        </w:r>
      </w:hyperlink>
    </w:p>
    <w:p w14:paraId="6900BC09"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Thomas, S., Gonsalves, R. A., Jose, J., Zyoud, S. H., Prasad, A. R., &amp; Garvasis, J. (2024). Plant-based synthesis, characterization approaches, applications and toxicity of silver nanoparticles: A comprehensive review. </w:t>
      </w:r>
      <w:r w:rsidRPr="005F7824">
        <w:rPr>
          <w:rFonts w:ascii="Times New Roman" w:hAnsi="Times New Roman"/>
          <w:i/>
          <w:iCs/>
          <w:sz w:val="24"/>
          <w:szCs w:val="24"/>
        </w:rPr>
        <w:t>Journal of Biotechnology, 394</w:t>
      </w:r>
      <w:r w:rsidRPr="005F7824">
        <w:rPr>
          <w:rFonts w:ascii="Times New Roman" w:hAnsi="Times New Roman"/>
          <w:sz w:val="24"/>
          <w:szCs w:val="24"/>
        </w:rPr>
        <w:t xml:space="preserve">, 135–149. </w:t>
      </w:r>
      <w:hyperlink r:id="rId90" w:history="1">
        <w:r w:rsidRPr="005F7824">
          <w:rPr>
            <w:rFonts w:ascii="Times New Roman" w:hAnsi="Times New Roman"/>
            <w:color w:val="0000FF"/>
            <w:sz w:val="24"/>
            <w:szCs w:val="24"/>
            <w:u w:val="single"/>
          </w:rPr>
          <w:t>https://doi.org/10.1016/j.jbiotec.2024.08.009</w:t>
        </w:r>
      </w:hyperlink>
    </w:p>
    <w:p w14:paraId="5C3AA3BF"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Villagrán, Z., Anaya-Esparza, L. M., Velázquez-Carriles, C. A., Silva-Jara, J. M., Ruvalcaba-Gómez, J. M., Aurora-Vigo, E. F., Rodríguez-Lafitte, E., Rodríguez-Barajas, N., Balderas-León, I., &amp; Martínez-Esquivias, F. (2024). Plant-based extracts as reducing, capping, and stabilizing agents for the green synthesis of inorganic nanoparticles. </w:t>
      </w:r>
      <w:r w:rsidRPr="005F7824">
        <w:rPr>
          <w:rFonts w:ascii="Times New Roman" w:hAnsi="Times New Roman"/>
          <w:i/>
          <w:iCs/>
          <w:sz w:val="24"/>
          <w:szCs w:val="24"/>
        </w:rPr>
        <w:t>Resources, 13</w:t>
      </w:r>
      <w:r w:rsidRPr="005F7824">
        <w:rPr>
          <w:rFonts w:ascii="Times New Roman" w:hAnsi="Times New Roman"/>
          <w:sz w:val="24"/>
          <w:szCs w:val="24"/>
        </w:rPr>
        <w:t xml:space="preserve">(6), 70. </w:t>
      </w:r>
      <w:hyperlink r:id="rId91" w:history="1">
        <w:r w:rsidRPr="005F7824">
          <w:rPr>
            <w:rFonts w:ascii="Times New Roman" w:hAnsi="Times New Roman"/>
            <w:color w:val="0000FF"/>
            <w:sz w:val="24"/>
            <w:szCs w:val="24"/>
            <w:u w:val="single"/>
          </w:rPr>
          <w:t>https://doi.org/10.3390/resources13060070</w:t>
        </w:r>
      </w:hyperlink>
    </w:p>
    <w:p w14:paraId="50A8C79A"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lang w:val="nl-BE"/>
        </w:rPr>
        <w:lastRenderedPageBreak/>
        <w:t xml:space="preserve">Xu, L., Wang, Y. Y., Huang, J., Chen, C. Y., Wang, Z. X., &amp; Xie, H. (2020). </w:t>
      </w:r>
      <w:r w:rsidRPr="005F7824">
        <w:rPr>
          <w:rFonts w:ascii="Times New Roman" w:hAnsi="Times New Roman"/>
          <w:sz w:val="24"/>
          <w:szCs w:val="24"/>
        </w:rPr>
        <w:t xml:space="preserve">Silver nanoparticles: Synthesis, medical applications and biosafety. </w:t>
      </w:r>
      <w:r w:rsidRPr="005F7824">
        <w:rPr>
          <w:rFonts w:ascii="Times New Roman" w:hAnsi="Times New Roman"/>
          <w:i/>
          <w:iCs/>
          <w:sz w:val="24"/>
          <w:szCs w:val="24"/>
        </w:rPr>
        <w:t>Theranostics, 10</w:t>
      </w:r>
      <w:r w:rsidRPr="005F7824">
        <w:rPr>
          <w:rFonts w:ascii="Times New Roman" w:hAnsi="Times New Roman"/>
          <w:sz w:val="24"/>
          <w:szCs w:val="24"/>
        </w:rPr>
        <w:t xml:space="preserve">(20), 8996–9031. </w:t>
      </w:r>
      <w:hyperlink r:id="rId92" w:history="1">
        <w:r w:rsidRPr="005F7824">
          <w:rPr>
            <w:rFonts w:ascii="Times New Roman" w:hAnsi="Times New Roman"/>
            <w:color w:val="0000FF"/>
            <w:sz w:val="24"/>
            <w:szCs w:val="24"/>
            <w:u w:val="single"/>
          </w:rPr>
          <w:t>https://doi.org/10.7150/thno.45413</w:t>
        </w:r>
      </w:hyperlink>
    </w:p>
    <w:p w14:paraId="75FE4A64"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Yadav, R., &amp; Agarwala, M. (2011). Phytochemical analysis of some medicinal plants. </w:t>
      </w:r>
      <w:r w:rsidRPr="005F7824">
        <w:rPr>
          <w:rFonts w:ascii="Times New Roman" w:hAnsi="Times New Roman"/>
          <w:i/>
          <w:iCs/>
          <w:sz w:val="24"/>
          <w:szCs w:val="24"/>
        </w:rPr>
        <w:t>Journal of Phytology, 3</w:t>
      </w:r>
      <w:r w:rsidRPr="005F7824">
        <w:rPr>
          <w:rFonts w:ascii="Times New Roman" w:hAnsi="Times New Roman"/>
          <w:sz w:val="24"/>
          <w:szCs w:val="24"/>
        </w:rPr>
        <w:t xml:space="preserve">(12), 10–14. </w:t>
      </w:r>
      <w:hyperlink r:id="rId93" w:history="1">
        <w:r w:rsidRPr="005F7824">
          <w:rPr>
            <w:rFonts w:ascii="Times New Roman" w:hAnsi="Times New Roman"/>
            <w:color w:val="0000FF"/>
            <w:sz w:val="24"/>
            <w:szCs w:val="24"/>
            <w:u w:val="single"/>
          </w:rPr>
          <w:t>https://updatepublishing.com/journal/index.php/jp/article/view/2737</w:t>
        </w:r>
      </w:hyperlink>
    </w:p>
    <w:p w14:paraId="3778CA4D" w14:textId="77777777" w:rsidR="005F7824" w:rsidRPr="005F7824" w:rsidRDefault="005F7824" w:rsidP="005F7824">
      <w:pPr>
        <w:spacing w:before="100" w:beforeAutospacing="1" w:after="100" w:afterAutospacing="1"/>
        <w:ind w:left="540" w:hanging="540"/>
        <w:jc w:val="both"/>
        <w:rPr>
          <w:rFonts w:ascii="Times New Roman" w:hAnsi="Times New Roman"/>
          <w:sz w:val="24"/>
          <w:szCs w:val="24"/>
        </w:rPr>
      </w:pPr>
      <w:r w:rsidRPr="005F7824">
        <w:rPr>
          <w:rFonts w:ascii="Times New Roman" w:hAnsi="Times New Roman"/>
          <w:sz w:val="24"/>
          <w:szCs w:val="24"/>
        </w:rPr>
        <w:t xml:space="preserve">Zhang, S., &amp; Wang, C. (2023). Precise analysis of nanoparticle size distribution in TEM image. </w:t>
      </w:r>
      <w:r w:rsidRPr="005F7824">
        <w:rPr>
          <w:rFonts w:ascii="Times New Roman" w:hAnsi="Times New Roman"/>
          <w:i/>
          <w:iCs/>
          <w:sz w:val="24"/>
          <w:szCs w:val="24"/>
        </w:rPr>
        <w:t>Methods and Protocols, 6</w:t>
      </w:r>
      <w:r w:rsidRPr="005F7824">
        <w:rPr>
          <w:rFonts w:ascii="Times New Roman" w:hAnsi="Times New Roman"/>
          <w:sz w:val="24"/>
          <w:szCs w:val="24"/>
        </w:rPr>
        <w:t xml:space="preserve">(4), 63. </w:t>
      </w:r>
      <w:hyperlink r:id="rId94" w:history="1">
        <w:r w:rsidRPr="005F7824">
          <w:rPr>
            <w:rFonts w:ascii="Times New Roman" w:hAnsi="Times New Roman"/>
            <w:color w:val="0000FF"/>
            <w:sz w:val="24"/>
            <w:szCs w:val="24"/>
            <w:u w:val="single"/>
          </w:rPr>
          <w:t>https://doi.org/10.3390/mps6040063</w:t>
        </w:r>
      </w:hyperlink>
    </w:p>
    <w:p w14:paraId="4EC65403" w14:textId="77777777" w:rsidR="00BF6590" w:rsidRPr="00BF6590" w:rsidRDefault="00BF6590" w:rsidP="00BF6590">
      <w:pPr>
        <w:pStyle w:val="ListParagraph"/>
        <w:spacing w:after="160" w:line="360" w:lineRule="auto"/>
        <w:jc w:val="both"/>
        <w:rPr>
          <w:sz w:val="20"/>
          <w:szCs w:val="20"/>
        </w:rPr>
      </w:pPr>
    </w:p>
    <w:sectPr w:rsidR="00BF6590" w:rsidRPr="00BF6590" w:rsidSect="008B529A">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F0EFB" w14:textId="77777777" w:rsidR="00F103DD" w:rsidRDefault="00F103DD" w:rsidP="00C37E61">
      <w:r>
        <w:separator/>
      </w:r>
    </w:p>
  </w:endnote>
  <w:endnote w:type="continuationSeparator" w:id="0">
    <w:p w14:paraId="6B59F1FF" w14:textId="77777777" w:rsidR="00F103DD" w:rsidRDefault="00F103D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54E9" w14:textId="77777777" w:rsidR="00005E15" w:rsidRDefault="00005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845464"/>
      <w:docPartObj>
        <w:docPartGallery w:val="Page Numbers (Bottom of Page)"/>
        <w:docPartUnique/>
      </w:docPartObj>
    </w:sdtPr>
    <w:sdtEndPr>
      <w:rPr>
        <w:noProof/>
      </w:rPr>
    </w:sdtEndPr>
    <w:sdtContent>
      <w:p w14:paraId="34C3DA4D" w14:textId="77777777" w:rsidR="00900D0C" w:rsidRDefault="00900D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9A9D14" w14:textId="77777777" w:rsidR="00352E5A" w:rsidRDefault="00352E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949" w14:textId="77777777" w:rsidR="00005E15" w:rsidRDefault="0000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53C3" w14:textId="77777777" w:rsidR="00F103DD" w:rsidRDefault="00F103DD" w:rsidP="00C37E61">
      <w:r>
        <w:separator/>
      </w:r>
    </w:p>
  </w:footnote>
  <w:footnote w:type="continuationSeparator" w:id="0">
    <w:p w14:paraId="4C4B97D0" w14:textId="77777777" w:rsidR="00F103DD" w:rsidRDefault="00F103D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4A3C" w14:textId="77777777" w:rsidR="00005E15" w:rsidRDefault="00000000">
    <w:pPr>
      <w:pStyle w:val="Header"/>
    </w:pPr>
    <w:r>
      <w:rPr>
        <w:noProof/>
      </w:rPr>
      <w:pict w14:anchorId="569737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49021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4631" w14:textId="77777777" w:rsidR="00005E15" w:rsidRDefault="00000000">
    <w:pPr>
      <w:pStyle w:val="Header"/>
    </w:pPr>
    <w:r>
      <w:rPr>
        <w:noProof/>
      </w:rPr>
      <w:pict w14:anchorId="616605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49022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DC95" w14:textId="77777777" w:rsidR="00296529" w:rsidRPr="00296529" w:rsidRDefault="00000000" w:rsidP="00296529">
    <w:pPr>
      <w:ind w:left="2160"/>
      <w:jc w:val="center"/>
      <w:rPr>
        <w:rFonts w:ascii="Times New Roman" w:eastAsia="Calibri" w:hAnsi="Times New Roman"/>
        <w:i/>
        <w:sz w:val="18"/>
        <w:szCs w:val="22"/>
      </w:rPr>
    </w:pPr>
    <w:r>
      <w:rPr>
        <w:noProof/>
      </w:rPr>
      <w:pict w14:anchorId="73197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49021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0970C55"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DC0E84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C9CC07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p>
  <w:p w14:paraId="2491788B" w14:textId="77777777" w:rsidR="00296529" w:rsidRDefault="00296529" w:rsidP="00296529">
    <w:pPr>
      <w:tabs>
        <w:tab w:val="left" w:pos="2145"/>
      </w:tabs>
      <w:rPr>
        <w:rFonts w:ascii="Times New Roman" w:eastAsia="Calibri" w:hAnsi="Times New Roman"/>
        <w:i/>
        <w:sz w:val="18"/>
        <w:szCs w:val="22"/>
      </w:rPr>
    </w:pPr>
  </w:p>
  <w:p w14:paraId="7BCA2D28" w14:textId="77777777" w:rsidR="00296529" w:rsidRDefault="00296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95pt;height:100.8pt;visibility:visible;mso-wrap-style:square" o:bordertopcolor="black" o:borderleftcolor="black" o:borderbottomcolor="black" o:borderrightcolor="black" o:bullet="t">
        <v:imagedata r:id="rId1" o:title=""/>
        <w10:bordertop type="single" width="2"/>
        <w10:borderleft type="single" width="2"/>
        <w10:borderbottom type="single" width="2"/>
        <w10:borderright type="single" width="2"/>
      </v:shape>
    </w:pict>
  </w:numPicBullet>
  <w:numPicBullet w:numPicBulletId="1">
    <w:pict>
      <v:shape id="_x0000_i1026" type="#_x0000_t75" style="width:174.7pt;height:123.95pt;visibility:visible;mso-wrap-style:square" o:bullet="t">
        <v:imagedata r:id="rId2" o:title=""/>
      </v:shape>
    </w:pict>
  </w:numPicBullet>
  <w:numPicBullet w:numPicBulletId="2">
    <w:pict>
      <v:shape id="_x0000_i1027" type="#_x0000_t75" style="width:122.7pt;height:100.15pt;visibility:visible;mso-wrap-style:square" o:bordertopcolor="black" o:borderleftcolor="black" o:borderbottomcolor="black" o:borderrightcolor="black" o:bullet="t">
        <v:imagedata r:id="rId3" o:title=""/>
        <w10:bordertop type="single" width="8"/>
        <w10:borderleft type="single" width="8"/>
        <w10:borderbottom type="single" width="8"/>
        <w10:borderright type="single" width="8"/>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7277546"/>
    <w:multiLevelType w:val="hybridMultilevel"/>
    <w:tmpl w:val="F23A25AA"/>
    <w:lvl w:ilvl="0" w:tplc="59324912">
      <w:start w:val="1"/>
      <w:numFmt w:val="decimal"/>
      <w:lvlText w:val="%1."/>
      <w:lvlJc w:val="left"/>
      <w:pPr>
        <w:ind w:left="644"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9291316"/>
    <w:multiLevelType w:val="multilevel"/>
    <w:tmpl w:val="5198B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D7C5B0C"/>
    <w:multiLevelType w:val="multilevel"/>
    <w:tmpl w:val="4C4EA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D369A"/>
    <w:multiLevelType w:val="multilevel"/>
    <w:tmpl w:val="BE765046"/>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9E42E2D"/>
    <w:multiLevelType w:val="hybridMultilevel"/>
    <w:tmpl w:val="67DA7A5A"/>
    <w:lvl w:ilvl="0" w:tplc="501E072C">
      <w:start w:val="4"/>
      <w:numFmt w:val="bullet"/>
      <w:lvlText w:val=""/>
      <w:lvlJc w:val="left"/>
      <w:pPr>
        <w:ind w:left="720" w:hanging="360"/>
      </w:pPr>
      <w:rPr>
        <w:rFonts w:ascii="Symbol" w:eastAsia="Times New Roman" w:hAnsi="Symbol" w:cs="Arial"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5"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7"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7473A9"/>
    <w:multiLevelType w:val="hybridMultilevel"/>
    <w:tmpl w:val="9928F8F4"/>
    <w:lvl w:ilvl="0" w:tplc="53069AF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543DD8"/>
    <w:multiLevelType w:val="hybridMultilevel"/>
    <w:tmpl w:val="8F288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788545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07341558">
    <w:abstractNumId w:val="17"/>
  </w:num>
  <w:num w:numId="3" w16cid:durableId="1524856494">
    <w:abstractNumId w:val="28"/>
  </w:num>
  <w:num w:numId="4" w16cid:durableId="112920279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089154900">
    <w:abstractNumId w:val="8"/>
  </w:num>
  <w:num w:numId="6" w16cid:durableId="1101801605">
    <w:abstractNumId w:val="6"/>
  </w:num>
  <w:num w:numId="7" w16cid:durableId="1576010405">
    <w:abstractNumId w:val="1"/>
  </w:num>
  <w:num w:numId="8" w16cid:durableId="1686444231">
    <w:abstractNumId w:val="13"/>
  </w:num>
  <w:num w:numId="9" w16cid:durableId="521435896">
    <w:abstractNumId w:val="30"/>
  </w:num>
  <w:num w:numId="10" w16cid:durableId="514266675">
    <w:abstractNumId w:val="2"/>
  </w:num>
  <w:num w:numId="11" w16cid:durableId="35130683">
    <w:abstractNumId w:val="22"/>
  </w:num>
  <w:num w:numId="12" w16cid:durableId="573970972">
    <w:abstractNumId w:val="3"/>
  </w:num>
  <w:num w:numId="13" w16cid:durableId="1518620639">
    <w:abstractNumId w:val="21"/>
  </w:num>
  <w:num w:numId="14" w16cid:durableId="1537153776">
    <w:abstractNumId w:val="9"/>
  </w:num>
  <w:num w:numId="15" w16cid:durableId="509292357">
    <w:abstractNumId w:val="26"/>
  </w:num>
  <w:num w:numId="16" w16cid:durableId="492796335">
    <w:abstractNumId w:val="5"/>
  </w:num>
  <w:num w:numId="17" w16cid:durableId="1477916471">
    <w:abstractNumId w:val="27"/>
  </w:num>
  <w:num w:numId="18" w16cid:durableId="772364420">
    <w:abstractNumId w:val="15"/>
  </w:num>
  <w:num w:numId="19" w16cid:durableId="803347127">
    <w:abstractNumId w:val="35"/>
  </w:num>
  <w:num w:numId="20" w16cid:durableId="370351327">
    <w:abstractNumId w:val="12"/>
  </w:num>
  <w:num w:numId="21" w16cid:durableId="765924725">
    <w:abstractNumId w:val="10"/>
  </w:num>
  <w:num w:numId="22" w16cid:durableId="889152701">
    <w:abstractNumId w:val="14"/>
  </w:num>
  <w:num w:numId="23" w16cid:durableId="1439644433">
    <w:abstractNumId w:val="24"/>
  </w:num>
  <w:num w:numId="24" w16cid:durableId="2042002600">
    <w:abstractNumId w:val="31"/>
  </w:num>
  <w:num w:numId="25" w16cid:durableId="1002046072">
    <w:abstractNumId w:val="4"/>
  </w:num>
  <w:num w:numId="26" w16cid:durableId="430710354">
    <w:abstractNumId w:val="19"/>
  </w:num>
  <w:num w:numId="27" w16cid:durableId="2006518331">
    <w:abstractNumId w:val="25"/>
  </w:num>
  <w:num w:numId="28" w16cid:durableId="1944025091">
    <w:abstractNumId w:val="33"/>
  </w:num>
  <w:num w:numId="29" w16cid:durableId="1976833258">
    <w:abstractNumId w:val="29"/>
  </w:num>
  <w:num w:numId="30" w16cid:durableId="755593267">
    <w:abstractNumId w:val="11"/>
  </w:num>
  <w:num w:numId="31" w16cid:durableId="1804613380">
    <w:abstractNumId w:val="7"/>
  </w:num>
  <w:num w:numId="32" w16cid:durableId="1707439045">
    <w:abstractNumId w:val="16"/>
  </w:num>
  <w:num w:numId="33" w16cid:durableId="416169897">
    <w:abstractNumId w:val="32"/>
  </w:num>
  <w:num w:numId="34" w16cid:durableId="961228309">
    <w:abstractNumId w:val="23"/>
  </w:num>
  <w:num w:numId="35" w16cid:durableId="337511636">
    <w:abstractNumId w:val="18"/>
  </w:num>
  <w:num w:numId="36" w16cid:durableId="1970234522">
    <w:abstractNumId w:val="20"/>
  </w:num>
  <w:num w:numId="37" w16cid:durableId="195856126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5E15"/>
    <w:rsid w:val="000072CF"/>
    <w:rsid w:val="00014F20"/>
    <w:rsid w:val="00017599"/>
    <w:rsid w:val="00020991"/>
    <w:rsid w:val="00022ECB"/>
    <w:rsid w:val="00030174"/>
    <w:rsid w:val="0003648D"/>
    <w:rsid w:val="00037EBD"/>
    <w:rsid w:val="0004039D"/>
    <w:rsid w:val="00041EB6"/>
    <w:rsid w:val="0004579C"/>
    <w:rsid w:val="00065DF8"/>
    <w:rsid w:val="000673BF"/>
    <w:rsid w:val="00070FF6"/>
    <w:rsid w:val="000748A9"/>
    <w:rsid w:val="00077C91"/>
    <w:rsid w:val="00082E60"/>
    <w:rsid w:val="00087CF2"/>
    <w:rsid w:val="00093310"/>
    <w:rsid w:val="00093C31"/>
    <w:rsid w:val="00093DAF"/>
    <w:rsid w:val="0009499F"/>
    <w:rsid w:val="00096B0A"/>
    <w:rsid w:val="000A47FA"/>
    <w:rsid w:val="000A65D3"/>
    <w:rsid w:val="000A690B"/>
    <w:rsid w:val="000B0F5F"/>
    <w:rsid w:val="000B1E33"/>
    <w:rsid w:val="000B44BE"/>
    <w:rsid w:val="000B5278"/>
    <w:rsid w:val="000B5C26"/>
    <w:rsid w:val="000D689F"/>
    <w:rsid w:val="000E167C"/>
    <w:rsid w:val="000E3434"/>
    <w:rsid w:val="000E4514"/>
    <w:rsid w:val="000E7B7B"/>
    <w:rsid w:val="000E7D62"/>
    <w:rsid w:val="000F055D"/>
    <w:rsid w:val="000F4FFD"/>
    <w:rsid w:val="001008CE"/>
    <w:rsid w:val="00102B53"/>
    <w:rsid w:val="00103357"/>
    <w:rsid w:val="0010650E"/>
    <w:rsid w:val="00106BBB"/>
    <w:rsid w:val="00107CF5"/>
    <w:rsid w:val="00113F37"/>
    <w:rsid w:val="0011661F"/>
    <w:rsid w:val="00123C9F"/>
    <w:rsid w:val="001248E9"/>
    <w:rsid w:val="0012581E"/>
    <w:rsid w:val="00126190"/>
    <w:rsid w:val="001266F8"/>
    <w:rsid w:val="00130F17"/>
    <w:rsid w:val="001320BF"/>
    <w:rsid w:val="00150603"/>
    <w:rsid w:val="001633F1"/>
    <w:rsid w:val="00163BC4"/>
    <w:rsid w:val="00167B36"/>
    <w:rsid w:val="001709DB"/>
    <w:rsid w:val="00170D0A"/>
    <w:rsid w:val="001713BC"/>
    <w:rsid w:val="00171E6B"/>
    <w:rsid w:val="00172CA8"/>
    <w:rsid w:val="001746B2"/>
    <w:rsid w:val="00174C01"/>
    <w:rsid w:val="00177CD6"/>
    <w:rsid w:val="00181F83"/>
    <w:rsid w:val="00191062"/>
    <w:rsid w:val="00192B72"/>
    <w:rsid w:val="001955E7"/>
    <w:rsid w:val="00196335"/>
    <w:rsid w:val="00196E31"/>
    <w:rsid w:val="001A29D8"/>
    <w:rsid w:val="001A5CAA"/>
    <w:rsid w:val="001A6DBF"/>
    <w:rsid w:val="001B0427"/>
    <w:rsid w:val="001B06D7"/>
    <w:rsid w:val="001B1533"/>
    <w:rsid w:val="001B7ACC"/>
    <w:rsid w:val="001C2A31"/>
    <w:rsid w:val="001C2C08"/>
    <w:rsid w:val="001C35DA"/>
    <w:rsid w:val="001C522F"/>
    <w:rsid w:val="001C6A1B"/>
    <w:rsid w:val="001C7619"/>
    <w:rsid w:val="001D014D"/>
    <w:rsid w:val="001D3A51"/>
    <w:rsid w:val="001D7F15"/>
    <w:rsid w:val="001E10D2"/>
    <w:rsid w:val="001E25B4"/>
    <w:rsid w:val="001E44FE"/>
    <w:rsid w:val="001F2102"/>
    <w:rsid w:val="001F2F24"/>
    <w:rsid w:val="00200595"/>
    <w:rsid w:val="00204835"/>
    <w:rsid w:val="0020784E"/>
    <w:rsid w:val="00207FA5"/>
    <w:rsid w:val="00213239"/>
    <w:rsid w:val="002162E8"/>
    <w:rsid w:val="00220BE6"/>
    <w:rsid w:val="002213D1"/>
    <w:rsid w:val="00221616"/>
    <w:rsid w:val="00231784"/>
    <w:rsid w:val="00231920"/>
    <w:rsid w:val="0023195C"/>
    <w:rsid w:val="0024282C"/>
    <w:rsid w:val="00243668"/>
    <w:rsid w:val="002460DC"/>
    <w:rsid w:val="00250985"/>
    <w:rsid w:val="00255666"/>
    <w:rsid w:val="002556F6"/>
    <w:rsid w:val="002557C8"/>
    <w:rsid w:val="00255DF7"/>
    <w:rsid w:val="0025624B"/>
    <w:rsid w:val="00272714"/>
    <w:rsid w:val="002774AA"/>
    <w:rsid w:val="002779AC"/>
    <w:rsid w:val="00283105"/>
    <w:rsid w:val="00284C4C"/>
    <w:rsid w:val="00285893"/>
    <w:rsid w:val="002874B5"/>
    <w:rsid w:val="00287E68"/>
    <w:rsid w:val="00294262"/>
    <w:rsid w:val="0029427D"/>
    <w:rsid w:val="00296529"/>
    <w:rsid w:val="002A23EC"/>
    <w:rsid w:val="002A23FF"/>
    <w:rsid w:val="002A2DFB"/>
    <w:rsid w:val="002A6EC6"/>
    <w:rsid w:val="002B27FB"/>
    <w:rsid w:val="002B30FB"/>
    <w:rsid w:val="002B4320"/>
    <w:rsid w:val="002B670F"/>
    <w:rsid w:val="002B685A"/>
    <w:rsid w:val="002C1D16"/>
    <w:rsid w:val="002C3DDB"/>
    <w:rsid w:val="002C57D2"/>
    <w:rsid w:val="002D2E9F"/>
    <w:rsid w:val="002D4D0B"/>
    <w:rsid w:val="002D662F"/>
    <w:rsid w:val="002E0D56"/>
    <w:rsid w:val="003004F7"/>
    <w:rsid w:val="003023A1"/>
    <w:rsid w:val="00310CE9"/>
    <w:rsid w:val="00315186"/>
    <w:rsid w:val="0031734E"/>
    <w:rsid w:val="00317BCA"/>
    <w:rsid w:val="0033343E"/>
    <w:rsid w:val="00334135"/>
    <w:rsid w:val="00336A58"/>
    <w:rsid w:val="00344B20"/>
    <w:rsid w:val="003452BB"/>
    <w:rsid w:val="00345AA2"/>
    <w:rsid w:val="0034794B"/>
    <w:rsid w:val="003512C2"/>
    <w:rsid w:val="00352E5A"/>
    <w:rsid w:val="003533F6"/>
    <w:rsid w:val="00354961"/>
    <w:rsid w:val="00354EEB"/>
    <w:rsid w:val="003627E3"/>
    <w:rsid w:val="003642F3"/>
    <w:rsid w:val="00364800"/>
    <w:rsid w:val="00364B6A"/>
    <w:rsid w:val="00371FB6"/>
    <w:rsid w:val="003763C1"/>
    <w:rsid w:val="00376BBE"/>
    <w:rsid w:val="00381C2E"/>
    <w:rsid w:val="0038556C"/>
    <w:rsid w:val="0039224F"/>
    <w:rsid w:val="003929A1"/>
    <w:rsid w:val="003A1B4C"/>
    <w:rsid w:val="003A1D78"/>
    <w:rsid w:val="003A43A4"/>
    <w:rsid w:val="003A663E"/>
    <w:rsid w:val="003A7E18"/>
    <w:rsid w:val="003B10A5"/>
    <w:rsid w:val="003B3E08"/>
    <w:rsid w:val="003C4C86"/>
    <w:rsid w:val="003C6258"/>
    <w:rsid w:val="003D6B99"/>
    <w:rsid w:val="003E2904"/>
    <w:rsid w:val="003F00BC"/>
    <w:rsid w:val="003F0238"/>
    <w:rsid w:val="003F4ABD"/>
    <w:rsid w:val="00401927"/>
    <w:rsid w:val="00401C42"/>
    <w:rsid w:val="00407BF2"/>
    <w:rsid w:val="0041027F"/>
    <w:rsid w:val="00412475"/>
    <w:rsid w:val="00420FFD"/>
    <w:rsid w:val="00423789"/>
    <w:rsid w:val="00436074"/>
    <w:rsid w:val="00440F43"/>
    <w:rsid w:val="00441B6F"/>
    <w:rsid w:val="00446221"/>
    <w:rsid w:val="00446376"/>
    <w:rsid w:val="00447140"/>
    <w:rsid w:val="00450E62"/>
    <w:rsid w:val="004520F6"/>
    <w:rsid w:val="00452B5B"/>
    <w:rsid w:val="004539DB"/>
    <w:rsid w:val="00463E28"/>
    <w:rsid w:val="00471A80"/>
    <w:rsid w:val="00495B1F"/>
    <w:rsid w:val="004966B9"/>
    <w:rsid w:val="004A38F9"/>
    <w:rsid w:val="004B338A"/>
    <w:rsid w:val="004B4358"/>
    <w:rsid w:val="004C0BD5"/>
    <w:rsid w:val="004D0A23"/>
    <w:rsid w:val="004D0FA0"/>
    <w:rsid w:val="004D1C09"/>
    <w:rsid w:val="004D1F8E"/>
    <w:rsid w:val="004D260E"/>
    <w:rsid w:val="004D305E"/>
    <w:rsid w:val="004D3171"/>
    <w:rsid w:val="004D3F5C"/>
    <w:rsid w:val="004D4277"/>
    <w:rsid w:val="004D6449"/>
    <w:rsid w:val="004E0152"/>
    <w:rsid w:val="004E1159"/>
    <w:rsid w:val="004E4DDF"/>
    <w:rsid w:val="004E5BEB"/>
    <w:rsid w:val="004E6378"/>
    <w:rsid w:val="004F54B1"/>
    <w:rsid w:val="00502516"/>
    <w:rsid w:val="00505F06"/>
    <w:rsid w:val="00506828"/>
    <w:rsid w:val="00514AD2"/>
    <w:rsid w:val="005168D6"/>
    <w:rsid w:val="00520A5A"/>
    <w:rsid w:val="0053056E"/>
    <w:rsid w:val="005321B8"/>
    <w:rsid w:val="0054089A"/>
    <w:rsid w:val="0054260E"/>
    <w:rsid w:val="005519E0"/>
    <w:rsid w:val="00554FDA"/>
    <w:rsid w:val="00555EE2"/>
    <w:rsid w:val="00556387"/>
    <w:rsid w:val="00560B5D"/>
    <w:rsid w:val="00567442"/>
    <w:rsid w:val="00572F93"/>
    <w:rsid w:val="00581FF1"/>
    <w:rsid w:val="00582400"/>
    <w:rsid w:val="0058299C"/>
    <w:rsid w:val="00592FBA"/>
    <w:rsid w:val="005A1AB9"/>
    <w:rsid w:val="005A4B4B"/>
    <w:rsid w:val="005A5873"/>
    <w:rsid w:val="005B361E"/>
    <w:rsid w:val="005C7126"/>
    <w:rsid w:val="005C784C"/>
    <w:rsid w:val="005D17F6"/>
    <w:rsid w:val="005D2B9B"/>
    <w:rsid w:val="005D5F0B"/>
    <w:rsid w:val="005E027C"/>
    <w:rsid w:val="005E051B"/>
    <w:rsid w:val="005E1FD2"/>
    <w:rsid w:val="005E3869"/>
    <w:rsid w:val="005E3AB7"/>
    <w:rsid w:val="005E5539"/>
    <w:rsid w:val="005F7824"/>
    <w:rsid w:val="00602BF5"/>
    <w:rsid w:val="00613115"/>
    <w:rsid w:val="00614B40"/>
    <w:rsid w:val="006151FC"/>
    <w:rsid w:val="00617FDD"/>
    <w:rsid w:val="00622C57"/>
    <w:rsid w:val="00633614"/>
    <w:rsid w:val="00633F68"/>
    <w:rsid w:val="00636EB2"/>
    <w:rsid w:val="006375B8"/>
    <w:rsid w:val="00637F55"/>
    <w:rsid w:val="00640CAA"/>
    <w:rsid w:val="00641B56"/>
    <w:rsid w:val="00642140"/>
    <w:rsid w:val="00644F43"/>
    <w:rsid w:val="006525D5"/>
    <w:rsid w:val="00653BD3"/>
    <w:rsid w:val="0066510A"/>
    <w:rsid w:val="0066773F"/>
    <w:rsid w:val="0067295B"/>
    <w:rsid w:val="00673F9F"/>
    <w:rsid w:val="006824DF"/>
    <w:rsid w:val="00683724"/>
    <w:rsid w:val="00683F7F"/>
    <w:rsid w:val="00684498"/>
    <w:rsid w:val="00686953"/>
    <w:rsid w:val="00687DEA"/>
    <w:rsid w:val="00687E67"/>
    <w:rsid w:val="006967F7"/>
    <w:rsid w:val="00697686"/>
    <w:rsid w:val="006A1CE5"/>
    <w:rsid w:val="006A250C"/>
    <w:rsid w:val="006A2DE8"/>
    <w:rsid w:val="006A3011"/>
    <w:rsid w:val="006B21D3"/>
    <w:rsid w:val="006B57D0"/>
    <w:rsid w:val="006B6574"/>
    <w:rsid w:val="006C66D8"/>
    <w:rsid w:val="006D140C"/>
    <w:rsid w:val="006D30FF"/>
    <w:rsid w:val="006D4FC7"/>
    <w:rsid w:val="006D6940"/>
    <w:rsid w:val="006F11EC"/>
    <w:rsid w:val="006F1940"/>
    <w:rsid w:val="006F1981"/>
    <w:rsid w:val="006F25DD"/>
    <w:rsid w:val="006F2763"/>
    <w:rsid w:val="006F53BA"/>
    <w:rsid w:val="006F6F29"/>
    <w:rsid w:val="006F73AD"/>
    <w:rsid w:val="0070039D"/>
    <w:rsid w:val="0070082C"/>
    <w:rsid w:val="007065B0"/>
    <w:rsid w:val="007157AE"/>
    <w:rsid w:val="00716FB8"/>
    <w:rsid w:val="007204E8"/>
    <w:rsid w:val="00725A4A"/>
    <w:rsid w:val="00725DC1"/>
    <w:rsid w:val="00725EF4"/>
    <w:rsid w:val="0073113F"/>
    <w:rsid w:val="007369E6"/>
    <w:rsid w:val="00737750"/>
    <w:rsid w:val="00741F47"/>
    <w:rsid w:val="00745FAB"/>
    <w:rsid w:val="00746E59"/>
    <w:rsid w:val="0075084B"/>
    <w:rsid w:val="007508B9"/>
    <w:rsid w:val="00751C62"/>
    <w:rsid w:val="0075342E"/>
    <w:rsid w:val="00754C9A"/>
    <w:rsid w:val="0075599A"/>
    <w:rsid w:val="00761D52"/>
    <w:rsid w:val="007652CC"/>
    <w:rsid w:val="007736B9"/>
    <w:rsid w:val="007753C3"/>
    <w:rsid w:val="0077749E"/>
    <w:rsid w:val="00782C10"/>
    <w:rsid w:val="00785540"/>
    <w:rsid w:val="00790ADA"/>
    <w:rsid w:val="00792966"/>
    <w:rsid w:val="007A1CF4"/>
    <w:rsid w:val="007A239E"/>
    <w:rsid w:val="007A652C"/>
    <w:rsid w:val="007A65AA"/>
    <w:rsid w:val="007B1DE7"/>
    <w:rsid w:val="007B596E"/>
    <w:rsid w:val="007B5B58"/>
    <w:rsid w:val="007B7969"/>
    <w:rsid w:val="007C37ED"/>
    <w:rsid w:val="007D2288"/>
    <w:rsid w:val="007D3C51"/>
    <w:rsid w:val="007E088F"/>
    <w:rsid w:val="007F30CE"/>
    <w:rsid w:val="007F490D"/>
    <w:rsid w:val="007F6A36"/>
    <w:rsid w:val="007F7B32"/>
    <w:rsid w:val="00804BC2"/>
    <w:rsid w:val="00811CAE"/>
    <w:rsid w:val="0081431A"/>
    <w:rsid w:val="00817989"/>
    <w:rsid w:val="00821D1F"/>
    <w:rsid w:val="00824EE0"/>
    <w:rsid w:val="008271F1"/>
    <w:rsid w:val="0083216F"/>
    <w:rsid w:val="00841815"/>
    <w:rsid w:val="00853294"/>
    <w:rsid w:val="008576DE"/>
    <w:rsid w:val="00860000"/>
    <w:rsid w:val="00861D26"/>
    <w:rsid w:val="00863621"/>
    <w:rsid w:val="00863BD3"/>
    <w:rsid w:val="008641ED"/>
    <w:rsid w:val="00866D66"/>
    <w:rsid w:val="008671C6"/>
    <w:rsid w:val="00875803"/>
    <w:rsid w:val="00876414"/>
    <w:rsid w:val="008772F8"/>
    <w:rsid w:val="00877F61"/>
    <w:rsid w:val="00883523"/>
    <w:rsid w:val="00890248"/>
    <w:rsid w:val="00892B66"/>
    <w:rsid w:val="00894210"/>
    <w:rsid w:val="00897087"/>
    <w:rsid w:val="008A0351"/>
    <w:rsid w:val="008A1FC4"/>
    <w:rsid w:val="008A7AF0"/>
    <w:rsid w:val="008B459E"/>
    <w:rsid w:val="008B529A"/>
    <w:rsid w:val="008B6FBC"/>
    <w:rsid w:val="008C00BF"/>
    <w:rsid w:val="008C091B"/>
    <w:rsid w:val="008C372D"/>
    <w:rsid w:val="008D1A4C"/>
    <w:rsid w:val="008D5A11"/>
    <w:rsid w:val="008D6E9E"/>
    <w:rsid w:val="008E13AE"/>
    <w:rsid w:val="008E1506"/>
    <w:rsid w:val="008E35B2"/>
    <w:rsid w:val="008E3BDE"/>
    <w:rsid w:val="008E710C"/>
    <w:rsid w:val="008F095A"/>
    <w:rsid w:val="008F2B1D"/>
    <w:rsid w:val="008F69D6"/>
    <w:rsid w:val="00900D0C"/>
    <w:rsid w:val="00901142"/>
    <w:rsid w:val="009014C3"/>
    <w:rsid w:val="00901D3E"/>
    <w:rsid w:val="00902823"/>
    <w:rsid w:val="00905C26"/>
    <w:rsid w:val="009061B0"/>
    <w:rsid w:val="00906BD6"/>
    <w:rsid w:val="00907037"/>
    <w:rsid w:val="00914922"/>
    <w:rsid w:val="00915CA6"/>
    <w:rsid w:val="009224D7"/>
    <w:rsid w:val="00925DD0"/>
    <w:rsid w:val="00926F87"/>
    <w:rsid w:val="009276F5"/>
    <w:rsid w:val="00927834"/>
    <w:rsid w:val="009336D5"/>
    <w:rsid w:val="009364EC"/>
    <w:rsid w:val="00942A33"/>
    <w:rsid w:val="009500A6"/>
    <w:rsid w:val="00951B53"/>
    <w:rsid w:val="00953522"/>
    <w:rsid w:val="00954FB8"/>
    <w:rsid w:val="009555BA"/>
    <w:rsid w:val="00957C18"/>
    <w:rsid w:val="00960B17"/>
    <w:rsid w:val="009613CB"/>
    <w:rsid w:val="00961952"/>
    <w:rsid w:val="009659BA"/>
    <w:rsid w:val="00972248"/>
    <w:rsid w:val="00972361"/>
    <w:rsid w:val="00972F44"/>
    <w:rsid w:val="00974CDF"/>
    <w:rsid w:val="00980A27"/>
    <w:rsid w:val="00983040"/>
    <w:rsid w:val="009837A9"/>
    <w:rsid w:val="009961F0"/>
    <w:rsid w:val="009A367F"/>
    <w:rsid w:val="009A6F4C"/>
    <w:rsid w:val="009B2A09"/>
    <w:rsid w:val="009B3FB9"/>
    <w:rsid w:val="009C1BDB"/>
    <w:rsid w:val="009C2465"/>
    <w:rsid w:val="009C2FFF"/>
    <w:rsid w:val="009C540A"/>
    <w:rsid w:val="009D35A0"/>
    <w:rsid w:val="009D5C8C"/>
    <w:rsid w:val="009D7EB7"/>
    <w:rsid w:val="009E048A"/>
    <w:rsid w:val="009E08E9"/>
    <w:rsid w:val="009E3DB9"/>
    <w:rsid w:val="009E4D75"/>
    <w:rsid w:val="009E6E35"/>
    <w:rsid w:val="009F0EDA"/>
    <w:rsid w:val="00A0259F"/>
    <w:rsid w:val="00A02E21"/>
    <w:rsid w:val="00A03B96"/>
    <w:rsid w:val="00A05B19"/>
    <w:rsid w:val="00A1134E"/>
    <w:rsid w:val="00A12FE5"/>
    <w:rsid w:val="00A147BE"/>
    <w:rsid w:val="00A20747"/>
    <w:rsid w:val="00A24E7E"/>
    <w:rsid w:val="00A258C3"/>
    <w:rsid w:val="00A25F81"/>
    <w:rsid w:val="00A329E9"/>
    <w:rsid w:val="00A347C0"/>
    <w:rsid w:val="00A36705"/>
    <w:rsid w:val="00A403A1"/>
    <w:rsid w:val="00A41892"/>
    <w:rsid w:val="00A4279A"/>
    <w:rsid w:val="00A47D76"/>
    <w:rsid w:val="00A51431"/>
    <w:rsid w:val="00A539AD"/>
    <w:rsid w:val="00A64D41"/>
    <w:rsid w:val="00A72966"/>
    <w:rsid w:val="00A736D6"/>
    <w:rsid w:val="00A75892"/>
    <w:rsid w:val="00A82659"/>
    <w:rsid w:val="00A85717"/>
    <w:rsid w:val="00A86C26"/>
    <w:rsid w:val="00A9329E"/>
    <w:rsid w:val="00A94063"/>
    <w:rsid w:val="00A97826"/>
    <w:rsid w:val="00AA289B"/>
    <w:rsid w:val="00AA4D91"/>
    <w:rsid w:val="00AA5E15"/>
    <w:rsid w:val="00AA6219"/>
    <w:rsid w:val="00AA74E0"/>
    <w:rsid w:val="00AB2637"/>
    <w:rsid w:val="00AB703F"/>
    <w:rsid w:val="00AC58B8"/>
    <w:rsid w:val="00AC6BB8"/>
    <w:rsid w:val="00AE008F"/>
    <w:rsid w:val="00AE203E"/>
    <w:rsid w:val="00AE6CB9"/>
    <w:rsid w:val="00AE6E78"/>
    <w:rsid w:val="00AF4211"/>
    <w:rsid w:val="00B01FCD"/>
    <w:rsid w:val="00B07EBE"/>
    <w:rsid w:val="00B14CC1"/>
    <w:rsid w:val="00B1776C"/>
    <w:rsid w:val="00B20A20"/>
    <w:rsid w:val="00B24B10"/>
    <w:rsid w:val="00B24F64"/>
    <w:rsid w:val="00B27269"/>
    <w:rsid w:val="00B360AF"/>
    <w:rsid w:val="00B36B4C"/>
    <w:rsid w:val="00B43B7E"/>
    <w:rsid w:val="00B50301"/>
    <w:rsid w:val="00B52583"/>
    <w:rsid w:val="00B52896"/>
    <w:rsid w:val="00B55F50"/>
    <w:rsid w:val="00B64B33"/>
    <w:rsid w:val="00B76D9A"/>
    <w:rsid w:val="00B777BA"/>
    <w:rsid w:val="00B8228E"/>
    <w:rsid w:val="00B87913"/>
    <w:rsid w:val="00B95236"/>
    <w:rsid w:val="00B96BD9"/>
    <w:rsid w:val="00B973E8"/>
    <w:rsid w:val="00BA13C5"/>
    <w:rsid w:val="00BA1B01"/>
    <w:rsid w:val="00BA217D"/>
    <w:rsid w:val="00BA254A"/>
    <w:rsid w:val="00BA2641"/>
    <w:rsid w:val="00BA6AD7"/>
    <w:rsid w:val="00BA6FFB"/>
    <w:rsid w:val="00BA7232"/>
    <w:rsid w:val="00BA749B"/>
    <w:rsid w:val="00BB37AA"/>
    <w:rsid w:val="00BB504A"/>
    <w:rsid w:val="00BB59E0"/>
    <w:rsid w:val="00BC2F57"/>
    <w:rsid w:val="00BC3FC9"/>
    <w:rsid w:val="00BC53A0"/>
    <w:rsid w:val="00BC71F1"/>
    <w:rsid w:val="00BD3BCE"/>
    <w:rsid w:val="00BD470F"/>
    <w:rsid w:val="00BE4B4E"/>
    <w:rsid w:val="00BE62AD"/>
    <w:rsid w:val="00BF121F"/>
    <w:rsid w:val="00BF1304"/>
    <w:rsid w:val="00BF1F80"/>
    <w:rsid w:val="00BF30CC"/>
    <w:rsid w:val="00BF6590"/>
    <w:rsid w:val="00C045A6"/>
    <w:rsid w:val="00C133EB"/>
    <w:rsid w:val="00C166EF"/>
    <w:rsid w:val="00C170B6"/>
    <w:rsid w:val="00C17EB0"/>
    <w:rsid w:val="00C21284"/>
    <w:rsid w:val="00C24788"/>
    <w:rsid w:val="00C27F5F"/>
    <w:rsid w:val="00C30A0F"/>
    <w:rsid w:val="00C33C8A"/>
    <w:rsid w:val="00C34AA0"/>
    <w:rsid w:val="00C35918"/>
    <w:rsid w:val="00C3631B"/>
    <w:rsid w:val="00C371F9"/>
    <w:rsid w:val="00C37E61"/>
    <w:rsid w:val="00C47B01"/>
    <w:rsid w:val="00C53E9C"/>
    <w:rsid w:val="00C70F1B"/>
    <w:rsid w:val="00C71A47"/>
    <w:rsid w:val="00C7464C"/>
    <w:rsid w:val="00C75F3D"/>
    <w:rsid w:val="00C84A0C"/>
    <w:rsid w:val="00C85588"/>
    <w:rsid w:val="00C85788"/>
    <w:rsid w:val="00C85FDE"/>
    <w:rsid w:val="00C9624A"/>
    <w:rsid w:val="00CA1DB6"/>
    <w:rsid w:val="00CA7E3D"/>
    <w:rsid w:val="00CB482D"/>
    <w:rsid w:val="00CC77B7"/>
    <w:rsid w:val="00CD32B8"/>
    <w:rsid w:val="00CD6755"/>
    <w:rsid w:val="00CD6856"/>
    <w:rsid w:val="00CE0089"/>
    <w:rsid w:val="00CE4493"/>
    <w:rsid w:val="00CE5B76"/>
    <w:rsid w:val="00CE793C"/>
    <w:rsid w:val="00CF0127"/>
    <w:rsid w:val="00CF05A4"/>
    <w:rsid w:val="00CF193C"/>
    <w:rsid w:val="00CF2BF6"/>
    <w:rsid w:val="00D021AF"/>
    <w:rsid w:val="00D059B3"/>
    <w:rsid w:val="00D06DCC"/>
    <w:rsid w:val="00D11D41"/>
    <w:rsid w:val="00D15397"/>
    <w:rsid w:val="00D173F1"/>
    <w:rsid w:val="00D24E08"/>
    <w:rsid w:val="00D26EB0"/>
    <w:rsid w:val="00D3357E"/>
    <w:rsid w:val="00D3441C"/>
    <w:rsid w:val="00D34F2A"/>
    <w:rsid w:val="00D3542F"/>
    <w:rsid w:val="00D4108C"/>
    <w:rsid w:val="00D43255"/>
    <w:rsid w:val="00D449BF"/>
    <w:rsid w:val="00D45DCE"/>
    <w:rsid w:val="00D50986"/>
    <w:rsid w:val="00D51022"/>
    <w:rsid w:val="00D67B1D"/>
    <w:rsid w:val="00D74CB0"/>
    <w:rsid w:val="00D8295D"/>
    <w:rsid w:val="00D845E6"/>
    <w:rsid w:val="00D8530A"/>
    <w:rsid w:val="00D921A1"/>
    <w:rsid w:val="00D9699F"/>
    <w:rsid w:val="00DA0462"/>
    <w:rsid w:val="00DA2203"/>
    <w:rsid w:val="00DA3A5D"/>
    <w:rsid w:val="00DA416B"/>
    <w:rsid w:val="00DA7886"/>
    <w:rsid w:val="00DB060F"/>
    <w:rsid w:val="00DB142D"/>
    <w:rsid w:val="00DB14B7"/>
    <w:rsid w:val="00DB1618"/>
    <w:rsid w:val="00DB211B"/>
    <w:rsid w:val="00DB5D21"/>
    <w:rsid w:val="00DB5F87"/>
    <w:rsid w:val="00DC0198"/>
    <w:rsid w:val="00DC2A65"/>
    <w:rsid w:val="00DD45CD"/>
    <w:rsid w:val="00DD4CD1"/>
    <w:rsid w:val="00DE15F0"/>
    <w:rsid w:val="00DE39AB"/>
    <w:rsid w:val="00DE3C38"/>
    <w:rsid w:val="00DE3FE1"/>
    <w:rsid w:val="00DE5663"/>
    <w:rsid w:val="00DE648B"/>
    <w:rsid w:val="00DE78AA"/>
    <w:rsid w:val="00DF1C44"/>
    <w:rsid w:val="00DF4EE0"/>
    <w:rsid w:val="00E04AC8"/>
    <w:rsid w:val="00E053D0"/>
    <w:rsid w:val="00E05883"/>
    <w:rsid w:val="00E06117"/>
    <w:rsid w:val="00E06690"/>
    <w:rsid w:val="00E12231"/>
    <w:rsid w:val="00E15994"/>
    <w:rsid w:val="00E15F19"/>
    <w:rsid w:val="00E17050"/>
    <w:rsid w:val="00E20444"/>
    <w:rsid w:val="00E22B35"/>
    <w:rsid w:val="00E2628A"/>
    <w:rsid w:val="00E3114E"/>
    <w:rsid w:val="00E31A70"/>
    <w:rsid w:val="00E321CF"/>
    <w:rsid w:val="00E35B02"/>
    <w:rsid w:val="00E43D94"/>
    <w:rsid w:val="00E45822"/>
    <w:rsid w:val="00E45DAB"/>
    <w:rsid w:val="00E50840"/>
    <w:rsid w:val="00E55A7F"/>
    <w:rsid w:val="00E602C3"/>
    <w:rsid w:val="00E618A6"/>
    <w:rsid w:val="00E62424"/>
    <w:rsid w:val="00E62EAF"/>
    <w:rsid w:val="00E66496"/>
    <w:rsid w:val="00E66B35"/>
    <w:rsid w:val="00E66E10"/>
    <w:rsid w:val="00E73EF5"/>
    <w:rsid w:val="00E769F6"/>
    <w:rsid w:val="00E808F8"/>
    <w:rsid w:val="00E8407C"/>
    <w:rsid w:val="00E84F3C"/>
    <w:rsid w:val="00E908BA"/>
    <w:rsid w:val="00E917DA"/>
    <w:rsid w:val="00E9288C"/>
    <w:rsid w:val="00E9764B"/>
    <w:rsid w:val="00EA012C"/>
    <w:rsid w:val="00EA2068"/>
    <w:rsid w:val="00EA28CF"/>
    <w:rsid w:val="00EA29D5"/>
    <w:rsid w:val="00EA7B0E"/>
    <w:rsid w:val="00EB3685"/>
    <w:rsid w:val="00EB7762"/>
    <w:rsid w:val="00EC0A63"/>
    <w:rsid w:val="00EC699C"/>
    <w:rsid w:val="00EC6A55"/>
    <w:rsid w:val="00EC7358"/>
    <w:rsid w:val="00ED0288"/>
    <w:rsid w:val="00ED0431"/>
    <w:rsid w:val="00EE3741"/>
    <w:rsid w:val="00EE3851"/>
    <w:rsid w:val="00EE52CB"/>
    <w:rsid w:val="00EE583D"/>
    <w:rsid w:val="00EF3447"/>
    <w:rsid w:val="00EF581D"/>
    <w:rsid w:val="00EF7633"/>
    <w:rsid w:val="00EF7FD8"/>
    <w:rsid w:val="00F02ED5"/>
    <w:rsid w:val="00F06F59"/>
    <w:rsid w:val="00F103DD"/>
    <w:rsid w:val="00F17988"/>
    <w:rsid w:val="00F3021D"/>
    <w:rsid w:val="00F33F66"/>
    <w:rsid w:val="00F34F5B"/>
    <w:rsid w:val="00F364AF"/>
    <w:rsid w:val="00F458A7"/>
    <w:rsid w:val="00F469F0"/>
    <w:rsid w:val="00F505A2"/>
    <w:rsid w:val="00F52B96"/>
    <w:rsid w:val="00F53068"/>
    <w:rsid w:val="00F53273"/>
    <w:rsid w:val="00F54031"/>
    <w:rsid w:val="00F54BF7"/>
    <w:rsid w:val="00F5727D"/>
    <w:rsid w:val="00F61864"/>
    <w:rsid w:val="00F658DF"/>
    <w:rsid w:val="00F664C0"/>
    <w:rsid w:val="00F70654"/>
    <w:rsid w:val="00F70CC9"/>
    <w:rsid w:val="00F755E4"/>
    <w:rsid w:val="00F77140"/>
    <w:rsid w:val="00F77D02"/>
    <w:rsid w:val="00F77D6F"/>
    <w:rsid w:val="00F81869"/>
    <w:rsid w:val="00F840A5"/>
    <w:rsid w:val="00F85C63"/>
    <w:rsid w:val="00F873C4"/>
    <w:rsid w:val="00F913DA"/>
    <w:rsid w:val="00F91E27"/>
    <w:rsid w:val="00F925DF"/>
    <w:rsid w:val="00F93293"/>
    <w:rsid w:val="00F94C45"/>
    <w:rsid w:val="00F9609F"/>
    <w:rsid w:val="00F96F6D"/>
    <w:rsid w:val="00F97276"/>
    <w:rsid w:val="00F97C39"/>
    <w:rsid w:val="00FA171B"/>
    <w:rsid w:val="00FA6A9E"/>
    <w:rsid w:val="00FB0256"/>
    <w:rsid w:val="00FB05F0"/>
    <w:rsid w:val="00FB3A86"/>
    <w:rsid w:val="00FB6696"/>
    <w:rsid w:val="00FC3C67"/>
    <w:rsid w:val="00FC4207"/>
    <w:rsid w:val="00FC5861"/>
    <w:rsid w:val="00FD2339"/>
    <w:rsid w:val="00FD36C8"/>
    <w:rsid w:val="00FD408E"/>
    <w:rsid w:val="00FD4768"/>
    <w:rsid w:val="00FD733A"/>
    <w:rsid w:val="00FE2263"/>
    <w:rsid w:val="00FF00A0"/>
    <w:rsid w:val="00FF24AA"/>
    <w:rsid w:val="00FF5CB8"/>
    <w:rsid w:val="00FF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5107C4F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FooterChar">
    <w:name w:val="Footer Char"/>
    <w:basedOn w:val="DefaultParagraphFont"/>
    <w:link w:val="Footer"/>
    <w:uiPriority w:val="99"/>
    <w:rsid w:val="007F6A36"/>
    <w:rPr>
      <w:rFonts w:ascii="Helvetica" w:hAnsi="Helvetica"/>
    </w:rPr>
  </w:style>
  <w:style w:type="character" w:customStyle="1" w:styleId="TitleChar">
    <w:name w:val="Title Char"/>
    <w:basedOn w:val="DefaultParagraphFont"/>
    <w:link w:val="Title"/>
    <w:rsid w:val="007F6A36"/>
    <w:rPr>
      <w:rFonts w:ascii="Helvetica" w:hAnsi="Helvetica"/>
      <w:b/>
      <w:kern w:val="28"/>
      <w:sz w:val="36"/>
    </w:rPr>
  </w:style>
  <w:style w:type="table" w:styleId="PlainTable2">
    <w:name w:val="Plain Table 2"/>
    <w:basedOn w:val="TableNormal"/>
    <w:uiPriority w:val="42"/>
    <w:rsid w:val="00DB211B"/>
    <w:rPr>
      <w:rFonts w:ascii="Arial" w:eastAsia="Arial" w:hAnsi="Arial" w:cs="Arial"/>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E602C3"/>
    <w:pPr>
      <w:spacing w:line="276" w:lineRule="auto"/>
      <w:ind w:left="720"/>
      <w:contextualSpacing/>
    </w:pPr>
    <w:rPr>
      <w:rFonts w:ascii="Arial" w:eastAsia="Arial" w:hAnsi="Arial" w:cs="Arial"/>
      <w:sz w:val="22"/>
      <w:szCs w:val="22"/>
      <w:lang w:val="en-GB"/>
    </w:rPr>
  </w:style>
  <w:style w:type="paragraph" w:styleId="NormalWeb">
    <w:name w:val="Normal (Web)"/>
    <w:basedOn w:val="Normal"/>
    <w:semiHidden/>
    <w:unhideWhenUsed/>
    <w:rsid w:val="00255DF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microsoft.com/office/2007/relationships/hdphoto" Target="media/hdphoto1.wdp"/><Relationship Id="rId42" Type="http://schemas.openxmlformats.org/officeDocument/2006/relationships/hyperlink" Target="https://doi.org/10.7324/JABB.2020.80216" TargetMode="External"/><Relationship Id="rId47" Type="http://schemas.openxmlformats.org/officeDocument/2006/relationships/hyperlink" Target="https://doi.org/10.2147/JEP.S379805" TargetMode="External"/><Relationship Id="rId63" Type="http://schemas.openxmlformats.org/officeDocument/2006/relationships/hyperlink" Target="https://doi.org/10.1186/s40643-015-0076-2" TargetMode="External"/><Relationship Id="rId68" Type="http://schemas.openxmlformats.org/officeDocument/2006/relationships/hyperlink" Target="https://doi.org/10.1038/s41598-017-11853-2" TargetMode="External"/><Relationship Id="rId84" Type="http://schemas.openxmlformats.org/officeDocument/2006/relationships/hyperlink" Target="https://doi.org/10.1186/s12906-016-1219-5" TargetMode="External"/><Relationship Id="rId89" Type="http://schemas.openxmlformats.org/officeDocument/2006/relationships/hyperlink" Target="https://doi.org/10.1186/s12951-018-0334-5" TargetMode="External"/><Relationship Id="rId16" Type="http://schemas.openxmlformats.org/officeDocument/2006/relationships/image" Target="media/image6.jpeg"/><Relationship Id="rId11" Type="http://schemas.openxmlformats.org/officeDocument/2006/relationships/footer" Target="footer2.xml"/><Relationship Id="rId32" Type="http://schemas.openxmlformats.org/officeDocument/2006/relationships/image" Target="media/image21.jpeg"/><Relationship Id="rId37" Type="http://schemas.openxmlformats.org/officeDocument/2006/relationships/hyperlink" Target="https://doi.org/10.1016/j.jare.2015.02.007" TargetMode="External"/><Relationship Id="rId53" Type="http://schemas.openxmlformats.org/officeDocument/2006/relationships/hyperlink" Target="https://doi.org/10.1016/j.heliyon.2019.e01161" TargetMode="External"/><Relationship Id="rId58" Type="http://schemas.openxmlformats.org/officeDocument/2006/relationships/hyperlink" Target="https://doi.org/10.1371/journal.pone.0102108" TargetMode="External"/><Relationship Id="rId74" Type="http://schemas.openxmlformats.org/officeDocument/2006/relationships/hyperlink" Target="https://doi.org/10.13057/nusbiosci/n130216" TargetMode="External"/><Relationship Id="rId79" Type="http://schemas.openxmlformats.org/officeDocument/2006/relationships/hyperlink" Target="https://doi.org/10.1080/20415990.2024.2342771" TargetMode="External"/><Relationship Id="rId5" Type="http://schemas.openxmlformats.org/officeDocument/2006/relationships/webSettings" Target="webSettings.xml"/><Relationship Id="rId90" Type="http://schemas.openxmlformats.org/officeDocument/2006/relationships/hyperlink" Target="https://doi.org/10.1016/j.jbiotec.2024.08.009" TargetMode="External"/><Relationship Id="rId95" Type="http://schemas.openxmlformats.org/officeDocument/2006/relationships/fontTable" Target="fontTable.xml"/><Relationship Id="rId22" Type="http://schemas.openxmlformats.org/officeDocument/2006/relationships/image" Target="media/image11.png"/><Relationship Id="rId27" Type="http://schemas.openxmlformats.org/officeDocument/2006/relationships/image" Target="media/image16.tiff"/><Relationship Id="rId43" Type="http://schemas.openxmlformats.org/officeDocument/2006/relationships/hyperlink" Target="https://www.jetir.org/view?paper=JETIRDI06125" TargetMode="External"/><Relationship Id="rId48" Type="http://schemas.openxmlformats.org/officeDocument/2006/relationships/hyperlink" Target="https://doi.org/10.3390/ijms26136222" TargetMode="External"/><Relationship Id="rId64" Type="http://schemas.openxmlformats.org/officeDocument/2006/relationships/hyperlink" Target="https://doi.org/10.1049/iet-nbt.2016.0103" TargetMode="External"/><Relationship Id="rId69" Type="http://schemas.openxmlformats.org/officeDocument/2006/relationships/hyperlink" Target="https://doi.org/10.1186/s12906-023-03982-1" TargetMode="External"/><Relationship Id="rId8" Type="http://schemas.openxmlformats.org/officeDocument/2006/relationships/header" Target="header1.xml"/><Relationship Id="rId51" Type="http://schemas.openxmlformats.org/officeDocument/2006/relationships/hyperlink" Target="https://doi.org/10.5530/ctbp.2021.3s.31" TargetMode="External"/><Relationship Id="rId72" Type="http://schemas.openxmlformats.org/officeDocument/2006/relationships/hyperlink" Target="https://doi.org/10.1038/s41598-023-34221-9" TargetMode="External"/><Relationship Id="rId80" Type="http://schemas.openxmlformats.org/officeDocument/2006/relationships/hyperlink" Target="https://doi.org/10.1021/la103190n" TargetMode="External"/><Relationship Id="rId85" Type="http://schemas.openxmlformats.org/officeDocument/2006/relationships/hyperlink" Target="https://doi.org/10.1007/s13204-014-0347-9" TargetMode="External"/><Relationship Id="rId93" Type="http://schemas.openxmlformats.org/officeDocument/2006/relationships/hyperlink" Target="https://updatepublishing.com/journal/index.php/jp/article/view/2737"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s://doi.org/10.1007/s13204-015-0449-z" TargetMode="External"/><Relationship Id="rId46" Type="http://schemas.openxmlformats.org/officeDocument/2006/relationships/hyperlink" Target="https://doi.org/10.3389/fmicb.2016.01831" TargetMode="External"/><Relationship Id="rId59" Type="http://schemas.openxmlformats.org/officeDocument/2006/relationships/hyperlink" Target="https://doi.org/10.1016/j.jddst.2019.101174" TargetMode="External"/><Relationship Id="rId67" Type="http://schemas.openxmlformats.org/officeDocument/2006/relationships/hyperlink" Target="https://doi.org/10.1016/j.focha.2023.100386" TargetMode="External"/><Relationship Id="rId20" Type="http://schemas.openxmlformats.org/officeDocument/2006/relationships/image" Target="media/image10.png"/><Relationship Id="rId41" Type="http://schemas.openxmlformats.org/officeDocument/2006/relationships/hyperlink" Target="https://doi.org/10.1007/s12639-021-01464-0" TargetMode="External"/><Relationship Id="rId54" Type="http://schemas.openxmlformats.org/officeDocument/2006/relationships/hyperlink" Target="https://doi.org/10.13005/bpj/2057" TargetMode="External"/><Relationship Id="rId62" Type="http://schemas.openxmlformats.org/officeDocument/2006/relationships/hyperlink" Target="https://doi.org/10.1016/j.heliyon.2020.e04493" TargetMode="External"/><Relationship Id="rId70" Type="http://schemas.openxmlformats.org/officeDocument/2006/relationships/hyperlink" Target="https://doi.org/10.1016/0169-4758(90)90227-U" TargetMode="External"/><Relationship Id="rId75" Type="http://schemas.openxmlformats.org/officeDocument/2006/relationships/hyperlink" Target="https://doi.org/10.2147/JEP.S258522" TargetMode="External"/><Relationship Id="rId83" Type="http://schemas.openxmlformats.org/officeDocument/2006/relationships/hyperlink" Target="https://www.irjet.net/archives/V5/i12/IRJET-V5I12272.pdf" TargetMode="External"/><Relationship Id="rId88" Type="http://schemas.openxmlformats.org/officeDocument/2006/relationships/hyperlink" Target="https://doi.org/10.25259/AJC_188_2024" TargetMode="External"/><Relationship Id="rId91" Type="http://schemas.openxmlformats.org/officeDocument/2006/relationships/hyperlink" Target="https://doi.org/10.3390/resources13060070"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tiff"/><Relationship Id="rId36" Type="http://schemas.openxmlformats.org/officeDocument/2006/relationships/hyperlink" Target="https://doi.org/10.3389/fchem.2023.1065986" TargetMode="External"/><Relationship Id="rId49" Type="http://schemas.openxmlformats.org/officeDocument/2006/relationships/hyperlink" Target="https://doi.org/10.1088/2043-6262/5/3/035008" TargetMode="External"/><Relationship Id="rId57" Type="http://schemas.openxmlformats.org/officeDocument/2006/relationships/hyperlink" Target="https://doi.org/10.3390/ijms26125505" TargetMode="Externa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doi.org/10.3390/molecules30153281" TargetMode="External"/><Relationship Id="rId52" Type="http://schemas.openxmlformats.org/officeDocument/2006/relationships/hyperlink" Target="https://doi.org/10.13005/ojc/390322" TargetMode="External"/><Relationship Id="rId60" Type="http://schemas.openxmlformats.org/officeDocument/2006/relationships/hyperlink" Target="https://doi.org/10.21307/jofnem-2018-008" TargetMode="External"/><Relationship Id="rId65" Type="http://schemas.openxmlformats.org/officeDocument/2006/relationships/hyperlink" Target="https://doi.org/10.1016/j.arabjc.2017.05.011" TargetMode="External"/><Relationship Id="rId73" Type="http://schemas.openxmlformats.org/officeDocument/2006/relationships/hyperlink" Target="https://www.phytojournal.com/archives/2020.v9.i3.11408/rapid-and-green-synthesis-of-metallicbimetallic-nanoparticles-using-aqueous-plant-extract-of-triphala-with-their-excellent-bio-efficacies" TargetMode="External"/><Relationship Id="rId78" Type="http://schemas.openxmlformats.org/officeDocument/2006/relationships/hyperlink" Target="https://doi.org/10.1051/e3sconf/202133206003" TargetMode="External"/><Relationship Id="rId81" Type="http://schemas.openxmlformats.org/officeDocument/2006/relationships/hyperlink" Target="https://doi.org/10.3390/molecules30030684" TargetMode="External"/><Relationship Id="rId86" Type="http://schemas.openxmlformats.org/officeDocument/2006/relationships/hyperlink" Target="https://doi.org/10.1007/s13204-014-0380-8" TargetMode="External"/><Relationship Id="rId94" Type="http://schemas.openxmlformats.org/officeDocument/2006/relationships/hyperlink" Target="https://doi.org/10.3390/mps6040063"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8.jpeg"/><Relationship Id="rId39" Type="http://schemas.openxmlformats.org/officeDocument/2006/relationships/hyperlink" Target="https://doi.org/10.31925/farmacia.2022.5.18" TargetMode="External"/><Relationship Id="rId34" Type="http://schemas.openxmlformats.org/officeDocument/2006/relationships/image" Target="media/image23.jpeg"/><Relationship Id="rId50" Type="http://schemas.openxmlformats.org/officeDocument/2006/relationships/hyperlink" Target="https://doi.org/10.1038/s41598-024-58041-7" TargetMode="External"/><Relationship Id="rId55" Type="http://schemas.openxmlformats.org/officeDocument/2006/relationships/hyperlink" Target="https://doi.org/10.1016/j.jksus.2015.02.003" TargetMode="External"/><Relationship Id="rId76" Type="http://schemas.openxmlformats.org/officeDocument/2006/relationships/hyperlink" Target="https://doi.org/10.1016/j.biotechadv.2013.01.003" TargetMode="External"/><Relationship Id="rId7" Type="http://schemas.openxmlformats.org/officeDocument/2006/relationships/endnotes" Target="endnotes.xml"/><Relationship Id="rId71" Type="http://schemas.openxmlformats.org/officeDocument/2006/relationships/hyperlink" Target="https://doi.org/10.56557/upjoz/2023/v44i233761" TargetMode="External"/><Relationship Id="rId92" Type="http://schemas.openxmlformats.org/officeDocument/2006/relationships/hyperlink" Target="https://doi.org/10.7150/thno.45413" TargetMode="External"/><Relationship Id="rId2" Type="http://schemas.openxmlformats.org/officeDocument/2006/relationships/numbering" Target="numbering.xml"/><Relationship Id="rId29" Type="http://schemas.openxmlformats.org/officeDocument/2006/relationships/image" Target="media/image18.tiff"/><Relationship Id="rId24" Type="http://schemas.openxmlformats.org/officeDocument/2006/relationships/image" Target="media/image13.jpeg"/><Relationship Id="rId40" Type="http://schemas.openxmlformats.org/officeDocument/2006/relationships/hyperlink" Target="https://pubmed.ncbi.nlm.nih.gov/25568701/" TargetMode="External"/><Relationship Id="rId45" Type="http://schemas.openxmlformats.org/officeDocument/2006/relationships/hyperlink" Target="https://doi.org/10.3390/ijms22137202" TargetMode="External"/><Relationship Id="rId66" Type="http://schemas.openxmlformats.org/officeDocument/2006/relationships/hyperlink" Target="https://doi.org/10.1155/2022/1832587" TargetMode="External"/><Relationship Id="rId87" Type="http://schemas.openxmlformats.org/officeDocument/2006/relationships/hyperlink" Target="https://doi.org/10.1080/21691401.2017.1388248" TargetMode="External"/><Relationship Id="rId61" Type="http://schemas.openxmlformats.org/officeDocument/2006/relationships/hyperlink" Target="https://doi.org/10.1007/s11250-023-03722-0" TargetMode="External"/><Relationship Id="rId82" Type="http://schemas.openxmlformats.org/officeDocument/2006/relationships/hyperlink" Target="https://doi.org/10.1016/j.meafoo.2025.100224" TargetMode="External"/><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19.tiff"/><Relationship Id="rId35" Type="http://schemas.openxmlformats.org/officeDocument/2006/relationships/hyperlink" Target="https://doi.org/10.1088/2053-1591/aba5d0" TargetMode="External"/><Relationship Id="rId56" Type="http://schemas.openxmlformats.org/officeDocument/2006/relationships/hyperlink" Target="https://doi.org/10.1039/c1gc15386b" TargetMode="External"/><Relationship Id="rId77" Type="http://schemas.openxmlformats.org/officeDocument/2006/relationships/hyperlink" Target="https://doi.org/10.9734/ajrb/2026/v16i4505"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5766</TotalTime>
  <Pages>26</Pages>
  <Words>8171</Words>
  <Characters>46576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54638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430</cp:revision>
  <cp:lastPrinted>1999-07-06T11:00:00Z</cp:lastPrinted>
  <dcterms:created xsi:type="dcterms:W3CDTF">2014-10-25T14:34:00Z</dcterms:created>
  <dcterms:modified xsi:type="dcterms:W3CDTF">2026-10-03T09:25:00Z</dcterms:modified>
</cp:coreProperties>
</file>