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5E41" w14:textId="28547EFF"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Response of phosphorus and zinc on yield parameters of chickpea in Khaila, Jalandhar, Punjab</w:t>
      </w:r>
      <w:r w:rsidR="00B74B9E">
        <w:rPr>
          <w:rFonts w:ascii="Times New Roman" w:eastAsia="Times New Roman" w:hAnsi="Times New Roman" w:cs="Times New Roman"/>
          <w:b/>
          <w:bCs/>
          <w:sz w:val="24"/>
          <w:szCs w:val="24"/>
          <w:lang w:bidi="hi-IN"/>
        </w:rPr>
        <w:t>,</w:t>
      </w:r>
      <w:r w:rsidR="009C26F7">
        <w:rPr>
          <w:rFonts w:ascii="Times New Roman" w:eastAsia="Times New Roman" w:hAnsi="Times New Roman" w:cs="Times New Roman"/>
          <w:b/>
          <w:bCs/>
          <w:sz w:val="24"/>
          <w:szCs w:val="24"/>
          <w:lang w:bidi="hi-IN"/>
        </w:rPr>
        <w:t xml:space="preserve"> </w:t>
      </w:r>
      <w:r w:rsidR="00B74B9E">
        <w:rPr>
          <w:rFonts w:ascii="Times New Roman" w:eastAsia="Times New Roman" w:hAnsi="Times New Roman" w:cs="Times New Roman"/>
          <w:b/>
          <w:bCs/>
          <w:sz w:val="24"/>
          <w:szCs w:val="24"/>
          <w:lang w:bidi="hi-IN"/>
        </w:rPr>
        <w:t>India</w:t>
      </w:r>
    </w:p>
    <w:p w14:paraId="42D37D7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b/>
          <w:bCs/>
          <w:sz w:val="24"/>
          <w:szCs w:val="24"/>
          <w:lang w:bidi="hi-IN"/>
        </w:rPr>
      </w:pPr>
      <w:r w:rsidRPr="00572A7A">
        <w:rPr>
          <w:rFonts w:ascii="Times New Roman" w:eastAsia="Times New Roman" w:hAnsi="Times New Roman" w:cs="Times New Roman"/>
          <w:b/>
          <w:bCs/>
          <w:sz w:val="24"/>
          <w:szCs w:val="24"/>
          <w:lang w:bidi="hi-IN"/>
        </w:rPr>
        <w:t xml:space="preserve">Abstract </w:t>
      </w:r>
    </w:p>
    <w:p w14:paraId="4680DF80" w14:textId="77777777" w:rsidR="00137AF2" w:rsidRPr="00572A7A" w:rsidRDefault="00137AF2"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p w14:paraId="1A975063" w14:textId="77777777" w:rsidR="00572A7A" w:rsidRPr="00572A7A" w:rsidRDefault="00572A7A" w:rsidP="00572A7A">
      <w:pPr>
        <w:spacing w:before="100" w:beforeAutospacing="1" w:after="100" w:afterAutospacing="1" w:line="240" w:lineRule="auto"/>
        <w:jc w:val="both"/>
      </w:pPr>
      <w:r w:rsidRPr="00572A7A">
        <w:t xml:space="preserve">A field experiment was conducted during the rabi season of 2023 at the research farm of the Department of Agriculture, Sant Baba Bhag Singh University, Khiala, Jalandhar, Punjab, to assess the response of chickpea yield parameters and economic returns to phosphorus and zinc application. The experiment was arranged in a </w:t>
      </w:r>
      <w:proofErr w:type="spellStart"/>
      <w:r w:rsidRPr="00572A7A">
        <w:t>randomised</w:t>
      </w:r>
      <w:proofErr w:type="spellEnd"/>
      <w:r w:rsidRPr="00572A7A">
        <w:t xml:space="preserve"> block design with three replications and ten treatments comprising the recommended </w:t>
      </w:r>
      <w:proofErr w:type="spellStart"/>
      <w:r w:rsidRPr="00572A7A">
        <w:t>fertiliser</w:t>
      </w:r>
      <w:proofErr w:type="spellEnd"/>
      <w:r w:rsidRPr="00572A7A">
        <w:t xml:space="preserve"> dose and different phosphorus and zinc levels applied individually or in combination. Yield observations included pods per plant, seeds per pod, test weight, seed index, seed yield, straw yield, biological yield, and harvest index, together with cost of cultivation, gross return, net return, and benefit-cost ratio. Combined phosphorus and zinc application generally produced better yield and economic performance than individual nutrient applications and the control. The highest values were recorded for pods per plant (61.1), seeds per pod (2.67), test weight (270.23 g), seed index (14.20 g), seed yield (20.20 q ha⁻¹), straw yield (24.80 q ha⁻¹), and biological yield (44.70 q ha⁻¹). The same treatment recorded a cost of cultivation of ₹42,056 ha⁻¹, gross return of ₹125,187 ha⁻¹, net return of ₹83,131 ha⁻¹, and a benefit-cost ratio of 1.98. Under the conditions of this experiment, combined phosphorus and zinc application was associated with improved yield-related traits and economic returns in chickpea.</w:t>
      </w:r>
    </w:p>
    <w:p w14:paraId="17E158BA" w14:textId="579FB421"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Keywords</w:t>
      </w:r>
      <w:r w:rsidRPr="00572A7A">
        <w:rPr>
          <w:rFonts w:ascii="Times New Roman" w:eastAsia="Times New Roman" w:hAnsi="Times New Roman" w:cs="Times New Roman"/>
          <w:sz w:val="24"/>
          <w:szCs w:val="24"/>
          <w:lang w:bidi="hi-IN"/>
        </w:rPr>
        <w:t xml:space="preserve">: </w:t>
      </w:r>
      <w:r w:rsidR="00572A7A" w:rsidRPr="00572A7A">
        <w:t>Chickpea; phosphorus; zinc; yield attributes; seed yield; straw yield; biological yield; harvest index; benefit-cost ratio; nutrient management</w:t>
      </w:r>
    </w:p>
    <w:p w14:paraId="3B15A5D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1. INTRODUCTION</w:t>
      </w:r>
    </w:p>
    <w:p w14:paraId="6470755C" w14:textId="77777777" w:rsidR="008B5201" w:rsidRDefault="008B5201" w:rsidP="008B5201">
      <w:pPr>
        <w:pStyle w:val="NormalWeb"/>
      </w:pPr>
      <w:r>
        <w:t>Chickpea (</w:t>
      </w:r>
      <w:r>
        <w:rPr>
          <w:rStyle w:val="Emphasis"/>
        </w:rPr>
        <w:t>Cicer arietinum</w:t>
      </w:r>
      <w:r>
        <w:t xml:space="preserve"> L.) is one of the most important winter legume crops and is extensively cultivated in arid and rain-fed regions worldwide. The rabi season is the principal period for chickpea cultivation, and the crop is commonly referred to as Bengal gram or gram. It belongs to the family Leguminosae. Chickpea is an annual, self-pollinating crop cultivated globally for food and various other purposes (Muehlbauer &amp; Sarker, 2017). Depending on prevailing weather conditions during the rabi season, the crop generally completes its life cycle within three to six months. On average, chickpea grains contain approximately 22% protein, 4.5% fat, 63% carbohydrate, 8.0% crude </w:t>
      </w:r>
      <w:proofErr w:type="spellStart"/>
      <w:r>
        <w:t>fibre</w:t>
      </w:r>
      <w:proofErr w:type="spellEnd"/>
      <w:r>
        <w:t>, and 2.7% ash. The quality of chickpea protein is considered superior to that of several other legumes, including pigeon pea, black gram, and green gram (Chavan et al., 1987).</w:t>
      </w:r>
    </w:p>
    <w:p w14:paraId="4953411C" w14:textId="77777777" w:rsidR="008B5201" w:rsidRDefault="008B5201" w:rsidP="008B5201">
      <w:pPr>
        <w:pStyle w:val="NormalWeb"/>
      </w:pPr>
      <w:r>
        <w:t xml:space="preserve">Chickpea is also a valuable source of calcium, iron, niacin, vitamin B, and vitamin C. Its leaves contain malic acid, which is considered beneficial for digestive problems and blood purification. As a pulse crop, chickpea contributes to soil nitrogen enrichment through symbiotic biological nitrogen fixation. Based on seed </w:t>
      </w:r>
      <w:proofErr w:type="spellStart"/>
      <w:r>
        <w:t>colour</w:t>
      </w:r>
      <w:proofErr w:type="spellEnd"/>
      <w:r>
        <w:t xml:space="preserve"> and geographical distribution, chickpea is generally classified into two major types: Kabuli, of Mediterranean and Middle Eastern origin, and desi, of Indian origin. Kabuli chickpea is </w:t>
      </w:r>
      <w:proofErr w:type="spellStart"/>
      <w:r>
        <w:t>characterised</w:t>
      </w:r>
      <w:proofErr w:type="spellEnd"/>
      <w:r>
        <w:t xml:space="preserve"> by large, smooth-coated, ram’s-head-shaped, beige-</w:t>
      </w:r>
      <w:proofErr w:type="spellStart"/>
      <w:r>
        <w:t>coloured</w:t>
      </w:r>
      <w:proofErr w:type="spellEnd"/>
      <w:r>
        <w:t xml:space="preserve"> seeds, whereas desi chickpea possesses smaller, angular, wrinkled, and darker-</w:t>
      </w:r>
      <w:proofErr w:type="spellStart"/>
      <w:r>
        <w:t>coloured</w:t>
      </w:r>
      <w:proofErr w:type="spellEnd"/>
      <w:r>
        <w:t xml:space="preserve"> seeds (Sharma et al., 2013; Saini &amp; Knights, 1984; Miao et al., 2009). Desi cultivars typically have small, angular seeds with relatively thick seed coats and predominantly brown </w:t>
      </w:r>
      <w:proofErr w:type="spellStart"/>
      <w:r>
        <w:lastRenderedPageBreak/>
        <w:t>colouration</w:t>
      </w:r>
      <w:proofErr w:type="spellEnd"/>
      <w:r>
        <w:t xml:space="preserve"> and are generally cultivated in semi-arid tropical environments. In contrast, Kabuli chickpea has larger seeds with smoother seed coats and is commonly grown in temperate regions. Chickpea also plays an important role in maintaining soil productivity by improving the physical, chemical, and biological properties of the soil and by fixing atmospheric nitrogen in root nodules.</w:t>
      </w:r>
    </w:p>
    <w:p w14:paraId="19F59E39" w14:textId="77777777" w:rsidR="008B5201" w:rsidRDefault="008B5201" w:rsidP="008B5201">
      <w:pPr>
        <w:pStyle w:val="NormalWeb"/>
      </w:pPr>
      <w:r>
        <w:t xml:space="preserve">India is the world’s largest producer of chickpea, contributing more than 70% of global production. Chickpea production in India exceeded 13.5 million metric </w:t>
      </w:r>
      <w:proofErr w:type="spellStart"/>
      <w:r>
        <w:t>tonnes</w:t>
      </w:r>
      <w:proofErr w:type="spellEnd"/>
      <w:r>
        <w:t xml:space="preserve"> in 2022, whereas Australia ranked second, with an estimated production of 876.5 thousand metric </w:t>
      </w:r>
      <w:proofErr w:type="spellStart"/>
      <w:r>
        <w:t>tonnes</w:t>
      </w:r>
      <w:proofErr w:type="spellEnd"/>
      <w:r>
        <w:t xml:space="preserve"> (FAO, 2023). During 2021–22, India produced 13.75 million </w:t>
      </w:r>
      <w:proofErr w:type="spellStart"/>
      <w:r>
        <w:t>tonnes</w:t>
      </w:r>
      <w:proofErr w:type="spellEnd"/>
      <w:r>
        <w:t xml:space="preserve"> of chickpea from an area of 10.91 million ha, with an average productivity of 12.6 q ha⁻¹ (Directorate of Economics and Statistics, 2023). Chickpea accounts for nearly 50% of total pulse production in India. Maharashtra (25.97% of national production), Madhya Pradesh (18.59%), Rajasthan (20.65%), Gujarat (10.10%), and Uttar Pradesh (5.64%) are among the major chickpea-producing states in the country (FAO, 2024; Directorate of Economics and Statistics, 2024).</w:t>
      </w:r>
    </w:p>
    <w:p w14:paraId="19D67B6D"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Chickpea food products include immature green grain (desi type), mature grain (desi/Kabuli type), flour from mature grain (besan, desi type), roasted grain (desi type), flour from roasted grain (shattu, desi type), split grain or pulse (dahl, desi type), snacks (namkeens, desi and Kabuli types), flakes (desi type), baked products (from flour, desi type), sweets/savouries (from flour, desi type), and various tertiary processed products (cuisines).</w:t>
      </w:r>
    </w:p>
    <w:p w14:paraId="5449D598"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Phosphorus, a key nutrient for increasing pulse productivity, is required for plant growth and root development. Phosphorus deficiency in soils is widespread, and crops grown under deficient conditions show significant responses to fertiliser application (Singh &amp; Singh, 2012). It promotes root growth, improves stalk development, enhances grain production and flowering, increases the capacity of legumes to fix nitrogen, improves crop quality, and strengthens crop resistance to disease. Studies have shown that phosphorus increases the yield of pulse crops, including chickpea (Chakali et al., 2022; Lalrinzuali et al., 2023). An adequate supply of phosphorus accelerates nodulation and pod development and promotes maturity in chickpea. Phosphorus application is particularly important for crops cultivated under rain-fed conditions because it promotes greater root development. Recent studies have also reported that chickpea responds well to phosphorus fertilisers (Aluri et al., 2022; Kumar et al., 2019).</w:t>
      </w:r>
    </w:p>
    <w:p w14:paraId="2F940F9F"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Recent studies further indicate that chickpea growth, yield components, and phosphorus-use efficiency are influenced by phosphorus availability, fertiliser source, soil conditions, and genotype, underscoring the importance of context-specific phosphorus management (Ndiaye et al., 2026; Delfim et al., 2024).</w:t>
      </w:r>
    </w:p>
    <w:p w14:paraId="5E2813B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 xml:space="preserve">Zinc is essential for promoting certain metabolic reactions. It is required for the production of chlorophyll and carbohydrates. Zinc is directly or indirectly involved in several enzyme systems, auxin metabolism, and protein synthesis. It is believed to promote RNA synthesis, which is required for protein production. At several locations, normal crop yields could not be achieved despite the judicious use of NPK fertilisers because of micronutrient deficiencies in the soil, particularly zinc. Zinc is also a vital plant nutrient for plant growth and development and contributes to improved nodulation, N fixation, and yield in several legumes. It is essential for </w:t>
      </w:r>
      <w:r w:rsidRPr="00572A7A">
        <w:rPr>
          <w:rFonts w:ascii="Times New Roman" w:hAnsi="Times New Roman"/>
          <w:sz w:val="24"/>
        </w:rPr>
        <w:lastRenderedPageBreak/>
        <w:t>nucleic acid and protein synthesis and for the uptake of N and P by plants (Ullah et al., 2019; Ramaprasad et al., 2011). Zinc also contributes to protein synthesis, floral initiation, seed development, and internode elongation. Zinc deficiency reduces pollen viability, alters the size, shape, and exudates of the stigma, and can inhibit contact between the stigma and pollen (Pandey et al., 2006).</w:t>
      </w:r>
    </w:p>
    <w:p w14:paraId="42891BDD"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Studies have shown that chickpea seed yield responds to zinc fertilisation under dryland or zinc-deficient conditions, while integrated optimisation of nitrogen, phosphorus, and zinc inputs can support satisfactory yield with reduced fertiliser use (Hidoto et al., 2016; Khan et al., 2003; Parvin et al., 2025).</w:t>
      </w:r>
    </w:p>
    <w:p w14:paraId="20FEB299"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A favourable balance between phosphorus and zinc should be maintained for optimum plant growth. Sharma et al. (2000) reported the antagonistic effect of P levels on Zn nutrition in crops. Information on the Zn-P relationship in an important crop such as chickpea is inadequate, especially where both interacting nutrients are deficient (Meena et al., 2001).</w:t>
      </w:r>
    </w:p>
    <w:p w14:paraId="66164BBB"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 xml:space="preserve">Related recent work has examined integrated </w:t>
      </w:r>
      <w:r w:rsidRPr="00572A7A">
        <w:rPr>
          <w:rFonts w:ascii="Times New Roman" w:hAnsi="Times New Roman"/>
          <w:i/>
          <w:sz w:val="24"/>
        </w:rPr>
        <w:t>Rhizobium</w:t>
      </w:r>
      <w:r w:rsidRPr="00572A7A">
        <w:rPr>
          <w:rFonts w:ascii="Times New Roman" w:hAnsi="Times New Roman"/>
          <w:sz w:val="24"/>
        </w:rPr>
        <w:t>, phosphorus, and zinc management in chickpea in relation to soil physico-chemical properties (Kumar et al., 2025), while integrated nutrient management in chickpea-based systems has been evaluated for productivity and resource-use outcomes (Patel et al., 2007; Choudhary et al., 2014; Himavarsha et al., 2025).</w:t>
      </w:r>
    </w:p>
    <w:p w14:paraId="00642EF6"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b/>
        </w:rPr>
        <w:t>Research gap</w:t>
      </w:r>
    </w:p>
    <w:p w14:paraId="1E6A47AB"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bCs/>
          <w:sz w:val="24"/>
          <w:szCs w:val="24"/>
          <w:lang w:bidi="hi-IN"/>
        </w:rPr>
      </w:pPr>
      <w:r w:rsidRPr="00572A7A">
        <w:rPr>
          <w:bCs/>
        </w:rPr>
        <w:t>Despite the recognised importance of both nutrients, information on the zinc-phosphorus relationship in chickpea remains inadequate, particularly under conditions where both phosphorus and zinc are deficient.</w:t>
      </w:r>
    </w:p>
    <w:p w14:paraId="6E4C3CB8"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b/>
        </w:rPr>
        <w:t>Objective</w:t>
      </w:r>
    </w:p>
    <w:p w14:paraId="7DC23FA6" w14:textId="77777777" w:rsidR="00515C09" w:rsidRPr="00572A7A" w:rsidRDefault="00000000" w:rsidP="00572A7A">
      <w:pPr>
        <w:spacing w:before="100" w:beforeAutospacing="1" w:after="100" w:afterAutospacing="1" w:line="240" w:lineRule="auto"/>
        <w:jc w:val="both"/>
        <w:rPr>
          <w:rFonts w:ascii="Times New Roman" w:eastAsia="Times New Roman" w:hAnsi="Times New Roman" w:cs="Times New Roman"/>
          <w:bCs/>
          <w:sz w:val="24"/>
          <w:szCs w:val="24"/>
          <w:lang w:bidi="hi-IN"/>
        </w:rPr>
      </w:pPr>
      <w:r w:rsidRPr="00572A7A">
        <w:rPr>
          <w:rFonts w:ascii="Times New Roman" w:hAnsi="Times New Roman"/>
          <w:bCs/>
          <w:sz w:val="24"/>
        </w:rPr>
        <w:t>Therefore, the present study was undertaken to evaluate the response of chickpea yield attributes and economics to phosphorus and zinc application, individually and in combination.</w:t>
      </w:r>
    </w:p>
    <w:p w14:paraId="2010B739"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MATERIAL AND METHODS</w:t>
      </w:r>
    </w:p>
    <w:p w14:paraId="3C51B92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Pr/>
        <w:t>A field experiment was conducted during the rabi season of 2023 at the agricultural research farm of the Department of Agriculture, Sant Baba Bhag Singh University, Khiala, Jalandhar, Punjab, India. The site lies within the trans-Gangetic plain agro-climatic zone in the central plains of Punjab, at an elevation of approximately 247 m above mean sea level and within 30°–33° N latitude and 76°–56° E longitude. The region is characterised by very hot summers and cold winters, with normal maximum temperatures of approximately 42°C in summer and 25.9°C in winter. The rainy season generally extends from June to September, and the experimental area receives an average rainfall of about 500–700 mm, with most precipitation occurring in July and November being the driest month. These climatic conditions are suitable for chickpea, a cool-season crop that grows well at temperatures of approximately 18–25°C.</w:t>
      </w:r>
    </w:p>
    <w:p>
      <w:pPr>
        <w:spacing w:before="100" w:after="100" w:line="240" w:lineRule="auto"/>
        <w:jc w:val="both"/>
      </w:pPr>
      <w:r>
        <w:rPr/>
        <w:t>The experiment was laid out in a randomised block design (RBD) with ten treatments and three replications. The treatments comprised the recommended fertiliser dose and different levels of phosphorus and zinc applied individually or in combination. Urea, single superphosphate (SSP), and muriate of potash (MOP) were used as nutrient sources, with the recommended N-P-K dose specified as 20-40-20 kg ha⁻¹. Phosphorus and zinc were applied basally according to the respective treatment schedule, enabling comparison of the responses to individual and combined nutrient applications under the same field conditions.</w:t>
      </w:r>
    </w:p>
    <w:p>
      <w:pPr>
        <w:spacing w:before="100" w:after="100" w:line="240" w:lineRule="auto"/>
        <w:jc w:val="both"/>
      </w:pPr>
      <w:r>
        <w:rPr/>
        <w:t>For data collection, plants were selected randomly from each plot, and yield-related observations were recorded. The parameters assessed included the number of pods per plant, number of seeds per pod, 1,000-seed test weight, seed index, seed yield, straw yield, biological yield, and harvest index. The 1,000-seed test weight was determined after harvest by counting and weighing 1,000 seeds, while seed yield was determined from the net area of each plot after harvesting and threshing. Seed, straw, and biological yields were expressed on a hectare basis. Harvest index was calculated as the proportion of grain yield to total biomass yield, expressed as a percentage, following Donald (1962), using the formula given below.</w:t>
      </w:r>
    </w:p>
    <w:p w14:paraId="263A11BF" w14:textId="77777777" w:rsidR="00E372DB" w:rsidRPr="00572A7A" w:rsidRDefault="00E372DB" w:rsidP="00572A7A">
      <w:pPr>
        <w:adjustRightInd w:val="0"/>
        <w:spacing w:line="240" w:lineRule="auto"/>
        <w:jc w:val="both"/>
        <w:rPr>
          <w:rFonts w:ascii="Times New Roman" w:hAnsi="Times New Roman" w:cs="Times New Roman"/>
          <w:bCs/>
          <w:sz w:val="24"/>
          <w:szCs w:val="24"/>
          <w:u w:val="single"/>
          <w:lang w:val="en-IN"/>
        </w:rPr>
      </w:pPr>
      <w:r w:rsidRPr="00572A7A">
        <w:rPr>
          <w:rFonts w:ascii="Times New Roman" w:hAnsi="Times New Roman" w:cs="Times New Roman"/>
          <w:bCs/>
          <w:sz w:val="24"/>
          <w:szCs w:val="24"/>
        </w:rPr>
        <w:t xml:space="preserve">Harvest index (%) =          </w:t>
      </w:r>
      <w:r w:rsidRPr="00572A7A">
        <w:rPr>
          <w:rFonts w:ascii="Times New Roman" w:hAnsi="Times New Roman" w:cs="Times New Roman"/>
          <w:bCs/>
          <w:sz w:val="24"/>
          <w:szCs w:val="24"/>
          <w:u w:val="single"/>
          <w:lang w:val="en-IN"/>
        </w:rPr>
        <w:t xml:space="preserve">Grain yield </w:t>
      </w:r>
    </w:p>
    <w:p w14:paraId="1CC7A5C7" w14:textId="77777777" w:rsidR="00E372DB" w:rsidRPr="00572A7A" w:rsidRDefault="00E372DB" w:rsidP="00572A7A">
      <w:pPr>
        <w:spacing w:line="240" w:lineRule="auto"/>
        <w:jc w:val="both"/>
        <w:rPr>
          <w:rFonts w:ascii="Times New Roman" w:hAnsi="Times New Roman" w:cs="Times New Roman"/>
          <w:bCs/>
          <w:sz w:val="24"/>
          <w:szCs w:val="24"/>
        </w:rPr>
      </w:pPr>
      <w:r w:rsidRPr="00572A7A">
        <w:rPr>
          <w:rFonts w:ascii="Times New Roman" w:hAnsi="Times New Roman" w:cs="Times New Roman"/>
          <w:bCs/>
          <w:sz w:val="24"/>
          <w:szCs w:val="24"/>
          <w:lang w:val="en-IN"/>
        </w:rPr>
        <w:t xml:space="preserve">                                          Biomass yield</w:t>
      </w:r>
      <w:r w:rsidRPr="00572A7A">
        <w:rPr>
          <w:rFonts w:ascii="Times New Roman" w:hAnsi="Times New Roman" w:cs="Times New Roman"/>
          <w:bCs/>
          <w:sz w:val="24"/>
          <w:szCs w:val="24"/>
        </w:rPr>
        <w:t xml:space="preserve"> × 100</w:t>
      </w:r>
    </w:p>
    <w:p w14:paraId="322F9185"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Pr/>
        <w:t>Economic performance was evaluated separately for each treatment using the cost of cultivation (₹ ha⁻¹), gross return (₹ ha⁻¹), net return (₹ ha⁻¹), and benefit-cost ratio. The cost of cultivation included the fixed and variable costs incurred in crop production. Net return was estimated by deducting the total cost of cultivation from the gross return, using the relationship given below.</w:t>
      </w:r>
    </w:p>
    <w:p w14:paraId="65EE6711" w14:textId="77777777" w:rsidR="0030549D" w:rsidRPr="00572A7A" w:rsidRDefault="0030549D" w:rsidP="00572A7A">
      <w:pPr>
        <w:spacing w:line="240" w:lineRule="auto"/>
        <w:jc w:val="both"/>
        <w:rPr>
          <w:rFonts w:ascii="Times New Roman" w:eastAsia="SimSun" w:hAnsi="Times New Roman" w:cs="Times New Roman"/>
          <w:sz w:val="24"/>
          <w:szCs w:val="24"/>
          <w:u w:val="single"/>
          <w:lang w:eastAsia="zh-CN"/>
        </w:rPr>
      </w:pPr>
      <w:r w:rsidRPr="00572A7A">
        <w:rPr>
          <w:noProof/>
          <w:sz w:val="24"/>
          <w:lang w:bidi="hi-IN"/>
        </w:rPr>
        <mc:AlternateContent>
          <mc:Choice Requires="wps">
            <w:drawing>
              <wp:anchor distT="0" distB="0" distL="114300" distR="114300" simplePos="0" relativeHeight="251659264" behindDoc="0" locked="0" layoutInCell="1" allowOverlap="1" wp14:anchorId="43E45F6D" wp14:editId="2B2DBD14">
                <wp:simplePos x="0" y="0"/>
                <wp:positionH relativeFrom="column">
                  <wp:posOffset>3333115</wp:posOffset>
                </wp:positionH>
                <wp:positionV relativeFrom="paragraph">
                  <wp:posOffset>219075</wp:posOffset>
                </wp:positionV>
                <wp:extent cx="1769110" cy="0"/>
                <wp:effectExtent l="0" t="0" r="0" b="0"/>
                <wp:wrapNone/>
                <wp:docPr id="1" name="Straight Connector 1"/>
                <wp:cNvGraphicFramePr/>
                <a:graphic xmlns:a="http://schemas.openxmlformats.org/drawingml/2006/main">
                  <a:graphicData uri="http://schemas.microsoft.com/office/word/2010/wordprocessingShape">
                    <wps:wsp>
                      <wps:cNvCnPr/>
                      <wps:spPr>
                        <a:xfrm>
                          <a:off x="4476115" y="9162415"/>
                          <a:ext cx="17691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6B1952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2.45pt,17.25pt" to="401.7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" strokecolor="black [3200]" strokeweight=".5pt">
                <v:stroke joinstyle="miter"/>
              </v:line>
            </w:pict>
          </mc:Fallback>
        </mc:AlternateContent>
      </w:r>
      <w:r w:rsidRPr="00572A7A">
        <w:rPr>
          <w:rFonts w:ascii="Times New Roman" w:eastAsia="SimSun" w:hAnsi="Times New Roman" w:cs="Times New Roman"/>
          <w:sz w:val="24"/>
          <w:szCs w:val="24"/>
          <w:lang w:eastAsia="zh-CN"/>
        </w:rPr>
        <w:t xml:space="preserve">Net Return per rupees invested </w:t>
      </w:r>
      <w:r w:rsidRPr="00572A7A">
        <w:rPr>
          <w:rFonts w:ascii="Times New Roman" w:eastAsia="SimSun" w:hAnsi="Times New Roman" w:cs="Times New Roman"/>
          <w:sz w:val="24"/>
          <w:szCs w:val="24"/>
          <w:vertAlign w:val="subscript"/>
          <w:lang w:eastAsia="zh-CN"/>
        </w:rPr>
        <w:t>=</w:t>
      </w:r>
      <w:r w:rsidRPr="00572A7A">
        <w:rPr>
          <w:rFonts w:ascii="Times New Roman" w:eastAsia="SimSun" w:hAnsi="Times New Roman" w:cs="Times New Roman"/>
          <w:sz w:val="24"/>
          <w:szCs w:val="24"/>
          <w:lang w:eastAsia="zh-CN"/>
        </w:rPr>
        <w:t xml:space="preserve">              Net Profit </w:t>
      </w:r>
    </w:p>
    <w:p w14:paraId="05F4E985" w14:textId="77777777" w:rsidR="0030549D" w:rsidRPr="00572A7A" w:rsidRDefault="0030549D" w:rsidP="00572A7A">
      <w:pPr>
        <w:spacing w:after="71" w:line="240" w:lineRule="auto"/>
        <w:ind w:left="1249"/>
        <w:jc w:val="both"/>
        <w:rPr>
          <w:rFonts w:ascii="Times New Roman" w:hAnsi="Times New Roman" w:cs="Times New Roman"/>
          <w:sz w:val="24"/>
          <w:szCs w:val="24"/>
        </w:rPr>
      </w:pPr>
      <w:r w:rsidRPr="00572A7A">
        <w:rPr>
          <w:rFonts w:ascii="Times New Roman" w:hAnsi="Times New Roman" w:cs="Times New Roman"/>
          <w:sz w:val="24"/>
          <w:szCs w:val="24"/>
        </w:rPr>
        <w:t xml:space="preserve">                                                                      Total Cultivation Cost </w:t>
      </w:r>
    </w:p>
    <w:p w14:paraId="1FAF4DD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Pr/>
        <w:t>The benefit-cost ratio was calculated separately for each treatment by dividing the net return obtained from that treatment by the corresponding total cost of cultivation. This ratio was used to compare the relative economic performance of the different phosphorus and zinc treatments.</w:t>
      </w:r>
    </w:p>
    <w:p w14:paraId="2349DF43" w14:textId="77777777" w:rsidR="0030549D" w:rsidRPr="00572A7A" w:rsidRDefault="0030549D" w:rsidP="00572A7A">
      <w:pPr>
        <w:spacing w:line="360" w:lineRule="auto"/>
        <w:jc w:val="both"/>
        <w:rPr>
          <w:rFonts w:ascii="Times New Roman" w:hAnsi="Times New Roman" w:cs="Times New Roman"/>
          <w:i/>
          <w:sz w:val="24"/>
          <w:szCs w:val="24"/>
        </w:rPr>
      </w:pPr>
      <m:oMathPara>
        <m:oMath>
          <m:r>
            <w:rPr>
              <w:rFonts w:ascii="Cambria Math" w:hAnsi="Cambria Math" w:cs="Times New Roman"/>
              <w:sz w:val="24"/>
              <w:szCs w:val="24"/>
            </w:rPr>
            <m:t>B:C=</m:t>
          </m:r>
          <m:f>
            <m:fPr>
              <m:ctrlPr>
                <w:rPr>
                  <w:rFonts w:ascii="Cambria Math" w:hAnsi="Cambria Math" w:cs="Times New Roman"/>
                  <w:i/>
                  <w:sz w:val="24"/>
                  <w:szCs w:val="24"/>
                </w:rPr>
              </m:ctrlPr>
            </m:fPr>
            <m:num>
              <m:r>
                <w:rPr>
                  <w:rFonts w:ascii="Cambria Math" w:hAnsi="Cambria Math" w:cs="Times New Roman"/>
                  <w:sz w:val="24"/>
                  <w:szCs w:val="24"/>
                </w:rPr>
                <m:t>Net return</m:t>
              </m:r>
            </m:num>
            <m:den>
              <m:r>
                <w:rPr>
                  <w:rFonts w:ascii="Cambria Math" w:hAnsi="Cambria Math" w:cs="Times New Roman"/>
                  <w:sz w:val="24"/>
                  <w:szCs w:val="24"/>
                </w:rPr>
                <m:t xml:space="preserve">  Cost of treatment   </m:t>
              </m:r>
            </m:den>
          </m:f>
        </m:oMath>
      </m:oMathPara>
    </w:p>
    <w:p w14:paraId="6406E2FB" w14:textId="77777777" w:rsidR="0030549D" w:rsidRPr="00572A7A" w:rsidRDefault="0030549D"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p w14:paraId="773EA89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Pr/>
        <w:t>Data recorded for all measured characters were compiled in MS Excel and statistically analysed using OPSTAT. The treatment means were subjected to analysis of variance (ANOVA) appropriate for a randomised block design to evaluate variation among the ten phosphorus and zinc treatments across the three replications.</w:t>
      </w:r>
    </w:p>
    <w:p w14:paraId="39D7DC1D" w14:textId="77777777" w:rsidR="00887192" w:rsidRPr="00572A7A" w:rsidRDefault="00887192" w:rsidP="00572A7A">
      <w:pPr>
        <w:spacing w:before="100" w:beforeAutospacing="1" w:after="100" w:afterAutospacing="1" w:line="240" w:lineRule="auto"/>
        <w:jc w:val="both"/>
        <w:rPr>
          <w:rFonts w:ascii="Times New Roman" w:eastAsia="Times New Roman" w:hAnsi="Times New Roman" w:cs="Times New Roman"/>
          <w:b/>
          <w:bCs/>
          <w:sz w:val="24"/>
          <w:szCs w:val="24"/>
          <w:lang w:bidi="hi-IN"/>
        </w:rPr>
      </w:pPr>
    </w:p>
    <w:p w14:paraId="29242438"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 xml:space="preserve">RESULTS AND DISCUSSION </w:t>
      </w:r>
    </w:p>
    <w:p w14:paraId="6A8E5075" w14:textId="77777777" w:rsidR="00E372DB" w:rsidRPr="00572A7A" w:rsidRDefault="00E372DB" w:rsidP="00572A7A">
      <w:pPr>
        <w:spacing w:before="100" w:beforeAutospacing="1" w:after="0"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 xml:space="preserve">Number of pods per plant </w:t>
      </w:r>
    </w:p>
    <w:p w14:paraId="70B189B8" w14:textId="59356FE3" w:rsidR="00E372DB" w:rsidRPr="00572A7A" w:rsidRDefault="00E372DB" w:rsidP="00572A7A">
      <w:pPr>
        <w:spacing w:before="100" w:beforeAutospacing="1" w:after="0"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 xml:space="preserve">The number of pods per plant is an important primary yield component. Significant differences in the number of pods per plant were observed among phosphorus and zinc treatments. Treatment T9 recorded the highest number of pods per plant (61.1 ± 0.65), whereas T0 recorded the minimum number (36.7 ± 0.66). Similar results have also been reported under different phosphorus and zinc treatments (Onasanya et al., 2009; </w:t>
      </w:r>
      <w:r w:rsidR="00410BC0" w:rsidRPr="00410BC0">
        <w:rPr>
          <w:rFonts w:ascii="Times New Roman" w:hAnsi="Times New Roman"/>
          <w:sz w:val="24"/>
        </w:rPr>
        <w:t>Badini</w:t>
      </w:r>
      <w:r w:rsidRPr="00572A7A">
        <w:rPr>
          <w:rFonts w:ascii="Times New Roman" w:hAnsi="Times New Roman"/>
          <w:sz w:val="24"/>
        </w:rPr>
        <w:t xml:space="preserve"> et al., 2015; Kumar et al., 2023).</w:t>
      </w:r>
    </w:p>
    <w:p w14:paraId="65FD434A" w14:textId="77777777" w:rsidR="00E372DB" w:rsidRPr="00572A7A" w:rsidRDefault="00E372DB" w:rsidP="00572A7A">
      <w:pPr>
        <w:spacing w:before="100" w:beforeAutospacing="1" w:after="0"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sz w:val="24"/>
          <w:szCs w:val="24"/>
          <w:lang w:bidi="hi-IN"/>
        </w:rPr>
        <w:t xml:space="preserve">Number of seeds per pod </w:t>
      </w:r>
    </w:p>
    <w:p w14:paraId="400B5A01" w14:textId="77777777" w:rsidR="00E372DB" w:rsidRPr="00572A7A" w:rsidRDefault="00E372DB" w:rsidP="00572A7A">
      <w:pPr>
        <w:spacing w:before="100" w:beforeAutospacing="1" w:after="0"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 xml:space="preserve">The number of seeds per pod is also an important yield-determining factor. Differences in the number of seeds per pod were observed among phosphorus and zinc treatments. Treatment T9 recorded the maximum number of seeds per pod (2.67 ± 0.33), whereas T0 recorded 1.67 ± 0.33. </w:t>
      </w:r>
      <w:r w:rsidRPr="00572A7A">
        <w:rPr>
          <w:rFonts w:ascii="Times New Roman" w:hAnsi="Times New Roman"/>
          <w:sz w:val="24"/>
        </w:rPr>
        <w:lastRenderedPageBreak/>
        <w:t>Similar responses in the number of seeds per pod have been reported under different phosphorus and zinc treatments (Yadav et al., 2022; Balai et al., 2017; Ali et al., 2017; Meena et al., 2006).</w:t>
      </w:r>
    </w:p>
    <w:p w14:paraId="0E88B654"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b/>
          <w:bCs/>
          <w:sz w:val="24"/>
          <w:szCs w:val="24"/>
          <w:lang w:bidi="hi-IN"/>
        </w:rPr>
      </w:pPr>
      <w:r w:rsidRPr="00572A7A">
        <w:rPr>
          <w:rFonts w:ascii="Times New Roman" w:eastAsia="Times New Roman" w:hAnsi="Times New Roman" w:cs="Times New Roman"/>
          <w:b/>
          <w:bCs/>
          <w:sz w:val="24"/>
          <w:szCs w:val="24"/>
          <w:lang w:bidi="hi-IN"/>
        </w:rPr>
        <w:t>Table 1: Effect of Phosphorus and Zinc Sources on Number of Pods and Seeds Per Plant in Chickpea</w:t>
      </w:r>
    </w:p>
    <w:tbl>
      <w:tblPr>
        <w:tblW w:w="9644" w:type="dxa"/>
        <w:tblInd w:w="-25" w:type="dxa"/>
        <w:tblLook w:val="04A0" w:firstRow="1" w:lastRow="0" w:firstColumn="1" w:lastColumn="0" w:noHBand="0" w:noVBand="1"/>
      </w:tblPr>
      <w:tblGrid>
        <w:gridCol w:w="4977"/>
        <w:gridCol w:w="2263"/>
        <w:gridCol w:w="2404"/>
      </w:tblGrid>
      <w:tr w:rsidR="00E372DB" w:rsidRPr="00572A7A" w14:paraId="2AAEFC73" w14:textId="77777777" w:rsidTr="0000789A">
        <w:trPr>
          <w:cantSplit/>
          <w:trHeight w:val="300"/>
        </w:trPr>
        <w:tc>
          <w:tcPr>
            <w:tcW w:w="4977" w:type="dxa"/>
            <w:tcBorders>
              <w:top w:val="single" w:sz="8" w:space="0" w:color="auto"/>
              <w:left w:val="single" w:sz="8" w:space="0" w:color="auto"/>
              <w:bottom w:val="nil"/>
              <w:right w:val="single" w:sz="8" w:space="0" w:color="auto"/>
            </w:tcBorders>
            <w:noWrap/>
            <w:vAlign w:val="center"/>
            <w:hideMark/>
          </w:tcPr>
          <w:p w14:paraId="2DC75F73"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Treatments</w:t>
            </w:r>
          </w:p>
        </w:tc>
        <w:tc>
          <w:tcPr>
            <w:tcW w:w="2263" w:type="dxa"/>
            <w:tcBorders>
              <w:top w:val="single" w:sz="8" w:space="0" w:color="auto"/>
              <w:left w:val="nil"/>
              <w:bottom w:val="nil"/>
              <w:right w:val="single" w:sz="8" w:space="0" w:color="auto"/>
            </w:tcBorders>
            <w:noWrap/>
            <w:vAlign w:val="center"/>
            <w:hideMark/>
          </w:tcPr>
          <w:p w14:paraId="54A59BB0"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No. of pods per plant</w:t>
            </w:r>
          </w:p>
        </w:tc>
        <w:tc>
          <w:tcPr>
            <w:tcW w:w="2404" w:type="dxa"/>
            <w:tcBorders>
              <w:top w:val="single" w:sz="8" w:space="0" w:color="auto"/>
              <w:left w:val="nil"/>
              <w:bottom w:val="nil"/>
              <w:right w:val="single" w:sz="8" w:space="0" w:color="auto"/>
            </w:tcBorders>
            <w:noWrap/>
            <w:vAlign w:val="center"/>
            <w:hideMark/>
          </w:tcPr>
          <w:p w14:paraId="705291C4"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No. of Seeds Per Pod</w:t>
            </w:r>
          </w:p>
        </w:tc>
      </w:tr>
      <w:tr w:rsidR="00E372DB" w:rsidRPr="00572A7A" w14:paraId="6B00B669" w14:textId="77777777" w:rsidTr="0000789A">
        <w:trPr>
          <w:cantSplit/>
          <w:trHeight w:val="315"/>
        </w:trPr>
        <w:tc>
          <w:tcPr>
            <w:tcW w:w="4977" w:type="dxa"/>
            <w:tcBorders>
              <w:top w:val="single" w:sz="4" w:space="0" w:color="auto"/>
              <w:left w:val="single" w:sz="4" w:space="0" w:color="auto"/>
              <w:bottom w:val="single" w:sz="4" w:space="0" w:color="auto"/>
              <w:right w:val="single" w:sz="4" w:space="0" w:color="auto"/>
            </w:tcBorders>
            <w:noWrap/>
            <w:vAlign w:val="center"/>
            <w:hideMark/>
          </w:tcPr>
          <w:p w14:paraId="16177F27"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Control (RDF)</w:t>
            </w:r>
          </w:p>
        </w:tc>
        <w:tc>
          <w:tcPr>
            <w:tcW w:w="2263" w:type="dxa"/>
            <w:tcBorders>
              <w:top w:val="single" w:sz="4" w:space="0" w:color="auto"/>
              <w:left w:val="nil"/>
              <w:bottom w:val="single" w:sz="4" w:space="0" w:color="auto"/>
              <w:right w:val="single" w:sz="4" w:space="0" w:color="auto"/>
            </w:tcBorders>
            <w:noWrap/>
            <w:vAlign w:val="center"/>
            <w:hideMark/>
          </w:tcPr>
          <w:p w14:paraId="1E75B79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36.7 ± 0.66</w:t>
            </w:r>
          </w:p>
        </w:tc>
        <w:tc>
          <w:tcPr>
            <w:tcW w:w="2404" w:type="dxa"/>
            <w:tcBorders>
              <w:top w:val="single" w:sz="4" w:space="0" w:color="auto"/>
              <w:left w:val="nil"/>
              <w:bottom w:val="single" w:sz="4" w:space="0" w:color="auto"/>
              <w:right w:val="single" w:sz="4" w:space="0" w:color="auto"/>
            </w:tcBorders>
            <w:noWrap/>
            <w:vAlign w:val="center"/>
            <w:hideMark/>
          </w:tcPr>
          <w:p w14:paraId="250FD23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1.67 ± 0.33</w:t>
            </w:r>
          </w:p>
        </w:tc>
      </w:tr>
      <w:tr w:rsidR="00E372DB" w:rsidRPr="00572A7A" w14:paraId="1FDBE2A2"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1562D4F4"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(10 Kg/</w:t>
            </w:r>
            <w:r w:rsidRPr="00572A7A">
              <w:rPr>
                <w:rFonts w:ascii="Times New Roman" w:eastAsia="Times New Roman" w:hAnsi="Times New Roman" w:cs="Times New Roman"/>
                <w:color w:val="1F1F1F"/>
                <w:kern w:val="24"/>
                <w:lang w:bidi="hi-IN"/>
              </w:rPr>
              <w:t>hectare)</w:t>
            </w:r>
          </w:p>
        </w:tc>
        <w:tc>
          <w:tcPr>
            <w:tcW w:w="2263" w:type="dxa"/>
            <w:tcBorders>
              <w:top w:val="nil"/>
              <w:left w:val="nil"/>
              <w:bottom w:val="single" w:sz="4" w:space="0" w:color="auto"/>
              <w:right w:val="single" w:sz="4" w:space="0" w:color="auto"/>
            </w:tcBorders>
            <w:noWrap/>
            <w:vAlign w:val="center"/>
            <w:hideMark/>
          </w:tcPr>
          <w:p w14:paraId="0B90636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38.6 ± 0.96</w:t>
            </w:r>
          </w:p>
        </w:tc>
        <w:tc>
          <w:tcPr>
            <w:tcW w:w="2404" w:type="dxa"/>
            <w:tcBorders>
              <w:top w:val="nil"/>
              <w:left w:val="nil"/>
              <w:bottom w:val="single" w:sz="4" w:space="0" w:color="auto"/>
              <w:right w:val="single" w:sz="4" w:space="0" w:color="auto"/>
            </w:tcBorders>
            <w:noWrap/>
            <w:vAlign w:val="center"/>
            <w:hideMark/>
          </w:tcPr>
          <w:p w14:paraId="3D41C97F"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1.00 ± 0.57</w:t>
            </w:r>
          </w:p>
        </w:tc>
      </w:tr>
      <w:tr w:rsidR="00E372DB" w:rsidRPr="00572A7A" w14:paraId="6899AB8C"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51921DFE"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(15 Kg/ hectare)</w:t>
            </w:r>
          </w:p>
        </w:tc>
        <w:tc>
          <w:tcPr>
            <w:tcW w:w="2263" w:type="dxa"/>
            <w:tcBorders>
              <w:top w:val="nil"/>
              <w:left w:val="nil"/>
              <w:bottom w:val="single" w:sz="4" w:space="0" w:color="auto"/>
              <w:right w:val="single" w:sz="4" w:space="0" w:color="auto"/>
            </w:tcBorders>
            <w:noWrap/>
            <w:vAlign w:val="center"/>
            <w:hideMark/>
          </w:tcPr>
          <w:p w14:paraId="6D957B8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45.4 ± 0.85</w:t>
            </w:r>
          </w:p>
        </w:tc>
        <w:tc>
          <w:tcPr>
            <w:tcW w:w="2404" w:type="dxa"/>
            <w:tcBorders>
              <w:top w:val="nil"/>
              <w:left w:val="nil"/>
              <w:bottom w:val="single" w:sz="4" w:space="0" w:color="auto"/>
              <w:right w:val="single" w:sz="4" w:space="0" w:color="auto"/>
            </w:tcBorders>
            <w:noWrap/>
            <w:vAlign w:val="center"/>
            <w:hideMark/>
          </w:tcPr>
          <w:p w14:paraId="1AAFE2B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1.00 ± 0.57</w:t>
            </w:r>
          </w:p>
        </w:tc>
      </w:tr>
      <w:tr w:rsidR="00E372DB" w:rsidRPr="00572A7A" w14:paraId="1D59961E" w14:textId="77777777" w:rsidTr="0000789A">
        <w:trPr>
          <w:cantSplit/>
          <w:trHeight w:val="315"/>
        </w:trPr>
        <w:tc>
          <w:tcPr>
            <w:tcW w:w="4977" w:type="dxa"/>
            <w:tcBorders>
              <w:top w:val="nil"/>
              <w:left w:val="single" w:sz="4" w:space="0" w:color="auto"/>
              <w:bottom w:val="single" w:sz="4" w:space="0" w:color="auto"/>
              <w:right w:val="single" w:sz="4" w:space="0" w:color="auto"/>
            </w:tcBorders>
            <w:noWrap/>
            <w:vAlign w:val="center"/>
            <w:hideMark/>
          </w:tcPr>
          <w:p w14:paraId="6A56F99E"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(20 Kg/ hectare)</w:t>
            </w:r>
          </w:p>
        </w:tc>
        <w:tc>
          <w:tcPr>
            <w:tcW w:w="2263" w:type="dxa"/>
            <w:tcBorders>
              <w:top w:val="nil"/>
              <w:left w:val="nil"/>
              <w:bottom w:val="single" w:sz="4" w:space="0" w:color="auto"/>
              <w:right w:val="single" w:sz="4" w:space="0" w:color="auto"/>
            </w:tcBorders>
            <w:noWrap/>
            <w:vAlign w:val="center"/>
            <w:hideMark/>
          </w:tcPr>
          <w:p w14:paraId="25B3017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47.1 ± 0.33</w:t>
            </w:r>
          </w:p>
        </w:tc>
        <w:tc>
          <w:tcPr>
            <w:tcW w:w="2404" w:type="dxa"/>
            <w:tcBorders>
              <w:top w:val="nil"/>
              <w:left w:val="nil"/>
              <w:bottom w:val="single" w:sz="4" w:space="0" w:color="auto"/>
              <w:right w:val="single" w:sz="4" w:space="0" w:color="auto"/>
            </w:tcBorders>
            <w:noWrap/>
            <w:vAlign w:val="center"/>
            <w:hideMark/>
          </w:tcPr>
          <w:p w14:paraId="5F4CB8C7"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1.33 ± 0.67</w:t>
            </w:r>
          </w:p>
        </w:tc>
      </w:tr>
      <w:tr w:rsidR="00E372DB" w:rsidRPr="00572A7A" w14:paraId="169CC504" w14:textId="77777777" w:rsidTr="0000789A">
        <w:trPr>
          <w:cantSplit/>
          <w:trHeight w:val="303"/>
        </w:trPr>
        <w:tc>
          <w:tcPr>
            <w:tcW w:w="4977" w:type="dxa"/>
            <w:tcBorders>
              <w:top w:val="nil"/>
              <w:left w:val="single" w:sz="4" w:space="0" w:color="auto"/>
              <w:bottom w:val="single" w:sz="4" w:space="0" w:color="auto"/>
              <w:right w:val="single" w:sz="4" w:space="0" w:color="auto"/>
            </w:tcBorders>
            <w:vAlign w:val="center"/>
            <w:hideMark/>
          </w:tcPr>
          <w:p w14:paraId="10E0BEFD"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Phosphorus (10 Kg/hectare)</w:t>
            </w:r>
          </w:p>
        </w:tc>
        <w:tc>
          <w:tcPr>
            <w:tcW w:w="2263" w:type="dxa"/>
            <w:tcBorders>
              <w:top w:val="nil"/>
              <w:left w:val="nil"/>
              <w:bottom w:val="single" w:sz="4" w:space="0" w:color="auto"/>
              <w:right w:val="single" w:sz="4" w:space="0" w:color="auto"/>
            </w:tcBorders>
            <w:noWrap/>
            <w:vAlign w:val="center"/>
            <w:hideMark/>
          </w:tcPr>
          <w:p w14:paraId="190BAB5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49.2 ± 0.32</w:t>
            </w:r>
          </w:p>
        </w:tc>
        <w:tc>
          <w:tcPr>
            <w:tcW w:w="2404" w:type="dxa"/>
            <w:tcBorders>
              <w:top w:val="nil"/>
              <w:left w:val="nil"/>
              <w:bottom w:val="single" w:sz="4" w:space="0" w:color="auto"/>
              <w:right w:val="single" w:sz="4" w:space="0" w:color="auto"/>
            </w:tcBorders>
            <w:noWrap/>
            <w:vAlign w:val="center"/>
            <w:hideMark/>
          </w:tcPr>
          <w:p w14:paraId="6FB890E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1.67 ± 0.33</w:t>
            </w:r>
          </w:p>
        </w:tc>
      </w:tr>
      <w:tr w:rsidR="00E372DB" w:rsidRPr="00572A7A" w14:paraId="53094D7D" w14:textId="77777777" w:rsidTr="0000789A">
        <w:trPr>
          <w:cantSplit/>
          <w:trHeight w:val="279"/>
        </w:trPr>
        <w:tc>
          <w:tcPr>
            <w:tcW w:w="4977" w:type="dxa"/>
            <w:tcBorders>
              <w:top w:val="nil"/>
              <w:left w:val="single" w:sz="4" w:space="0" w:color="auto"/>
              <w:bottom w:val="single" w:sz="4" w:space="0" w:color="auto"/>
              <w:right w:val="single" w:sz="4" w:space="0" w:color="auto"/>
            </w:tcBorders>
            <w:vAlign w:val="center"/>
            <w:hideMark/>
          </w:tcPr>
          <w:p w14:paraId="173EFA1B"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Phosphorus (15 Kg/ hectare)</w:t>
            </w:r>
          </w:p>
        </w:tc>
        <w:tc>
          <w:tcPr>
            <w:tcW w:w="2263" w:type="dxa"/>
            <w:tcBorders>
              <w:top w:val="nil"/>
              <w:left w:val="nil"/>
              <w:bottom w:val="single" w:sz="4" w:space="0" w:color="auto"/>
              <w:right w:val="single" w:sz="4" w:space="0" w:color="auto"/>
            </w:tcBorders>
            <w:noWrap/>
            <w:vAlign w:val="center"/>
            <w:hideMark/>
          </w:tcPr>
          <w:p w14:paraId="660D948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51.1 ± 0.38</w:t>
            </w:r>
          </w:p>
        </w:tc>
        <w:tc>
          <w:tcPr>
            <w:tcW w:w="2404" w:type="dxa"/>
            <w:tcBorders>
              <w:top w:val="nil"/>
              <w:left w:val="nil"/>
              <w:bottom w:val="single" w:sz="4" w:space="0" w:color="auto"/>
              <w:right w:val="single" w:sz="4" w:space="0" w:color="auto"/>
            </w:tcBorders>
            <w:noWrap/>
            <w:vAlign w:val="center"/>
            <w:hideMark/>
          </w:tcPr>
          <w:p w14:paraId="320709A2"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1.33 ± 0.33</w:t>
            </w:r>
          </w:p>
        </w:tc>
      </w:tr>
      <w:tr w:rsidR="00E372DB" w:rsidRPr="00572A7A" w14:paraId="7C9ACF03" w14:textId="77777777" w:rsidTr="0000789A">
        <w:trPr>
          <w:cantSplit/>
          <w:trHeight w:val="269"/>
        </w:trPr>
        <w:tc>
          <w:tcPr>
            <w:tcW w:w="4977" w:type="dxa"/>
            <w:tcBorders>
              <w:top w:val="nil"/>
              <w:left w:val="single" w:sz="4" w:space="0" w:color="auto"/>
              <w:bottom w:val="single" w:sz="4" w:space="0" w:color="auto"/>
              <w:right w:val="single" w:sz="4" w:space="0" w:color="auto"/>
            </w:tcBorders>
            <w:vAlign w:val="center"/>
            <w:hideMark/>
          </w:tcPr>
          <w:p w14:paraId="26EE92BF"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Phosphorus (15 Kg/ hectare)</w:t>
            </w:r>
          </w:p>
        </w:tc>
        <w:tc>
          <w:tcPr>
            <w:tcW w:w="2263" w:type="dxa"/>
            <w:tcBorders>
              <w:top w:val="nil"/>
              <w:left w:val="nil"/>
              <w:bottom w:val="single" w:sz="4" w:space="0" w:color="auto"/>
              <w:right w:val="single" w:sz="4" w:space="0" w:color="auto"/>
            </w:tcBorders>
            <w:noWrap/>
            <w:vAlign w:val="center"/>
            <w:hideMark/>
          </w:tcPr>
          <w:p w14:paraId="2980772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53.8 ± 0.12</w:t>
            </w:r>
          </w:p>
        </w:tc>
        <w:tc>
          <w:tcPr>
            <w:tcW w:w="2404" w:type="dxa"/>
            <w:tcBorders>
              <w:top w:val="nil"/>
              <w:left w:val="nil"/>
              <w:bottom w:val="single" w:sz="4" w:space="0" w:color="auto"/>
              <w:right w:val="single" w:sz="4" w:space="0" w:color="auto"/>
            </w:tcBorders>
            <w:noWrap/>
            <w:vAlign w:val="center"/>
            <w:hideMark/>
          </w:tcPr>
          <w:p w14:paraId="40684E9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1.33 ± 0.33</w:t>
            </w:r>
          </w:p>
        </w:tc>
      </w:tr>
      <w:tr w:rsidR="00E372DB" w:rsidRPr="00572A7A" w14:paraId="0F5A89F0" w14:textId="77777777" w:rsidTr="0000789A">
        <w:trPr>
          <w:cantSplit/>
          <w:trHeight w:val="259"/>
        </w:trPr>
        <w:tc>
          <w:tcPr>
            <w:tcW w:w="4977" w:type="dxa"/>
            <w:tcBorders>
              <w:top w:val="nil"/>
              <w:left w:val="single" w:sz="4" w:space="0" w:color="auto"/>
              <w:bottom w:val="single" w:sz="4" w:space="0" w:color="auto"/>
              <w:right w:val="single" w:sz="4" w:space="0" w:color="auto"/>
            </w:tcBorders>
            <w:vAlign w:val="center"/>
            <w:hideMark/>
          </w:tcPr>
          <w:p w14:paraId="5A04AB16"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(10 Kg/hectare) + Phosphorus (10 Kg/hectare)</w:t>
            </w:r>
          </w:p>
        </w:tc>
        <w:tc>
          <w:tcPr>
            <w:tcW w:w="2263" w:type="dxa"/>
            <w:tcBorders>
              <w:top w:val="nil"/>
              <w:left w:val="nil"/>
              <w:bottom w:val="single" w:sz="4" w:space="0" w:color="auto"/>
              <w:right w:val="single" w:sz="4" w:space="0" w:color="auto"/>
            </w:tcBorders>
            <w:noWrap/>
            <w:vAlign w:val="center"/>
            <w:hideMark/>
          </w:tcPr>
          <w:p w14:paraId="002454B8"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56.7 ± 0.34</w:t>
            </w:r>
          </w:p>
        </w:tc>
        <w:tc>
          <w:tcPr>
            <w:tcW w:w="2404" w:type="dxa"/>
            <w:tcBorders>
              <w:top w:val="nil"/>
              <w:left w:val="nil"/>
              <w:bottom w:val="single" w:sz="4" w:space="0" w:color="auto"/>
              <w:right w:val="single" w:sz="4" w:space="0" w:color="auto"/>
            </w:tcBorders>
            <w:vAlign w:val="center"/>
            <w:hideMark/>
          </w:tcPr>
          <w:p w14:paraId="0CD2D5A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1.67 ± 0.33</w:t>
            </w:r>
          </w:p>
        </w:tc>
      </w:tr>
      <w:tr w:rsidR="00E372DB" w:rsidRPr="00572A7A" w14:paraId="49BE5BF8" w14:textId="77777777" w:rsidTr="0000789A">
        <w:trPr>
          <w:cantSplit/>
          <w:trHeight w:val="159"/>
        </w:trPr>
        <w:tc>
          <w:tcPr>
            <w:tcW w:w="4977" w:type="dxa"/>
            <w:tcBorders>
              <w:top w:val="nil"/>
              <w:left w:val="single" w:sz="4" w:space="0" w:color="auto"/>
              <w:bottom w:val="single" w:sz="4" w:space="0" w:color="auto"/>
              <w:right w:val="single" w:sz="4" w:space="0" w:color="auto"/>
            </w:tcBorders>
            <w:vAlign w:val="center"/>
            <w:hideMark/>
          </w:tcPr>
          <w:p w14:paraId="1F6A7520"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(15 kg/ hectare) + Phosphorus (15 Kg/hectare)</w:t>
            </w:r>
          </w:p>
        </w:tc>
        <w:tc>
          <w:tcPr>
            <w:tcW w:w="2263" w:type="dxa"/>
            <w:tcBorders>
              <w:top w:val="nil"/>
              <w:left w:val="nil"/>
              <w:bottom w:val="single" w:sz="4" w:space="0" w:color="auto"/>
              <w:right w:val="single" w:sz="4" w:space="0" w:color="auto"/>
            </w:tcBorders>
            <w:noWrap/>
            <w:vAlign w:val="center"/>
            <w:hideMark/>
          </w:tcPr>
          <w:p w14:paraId="521C190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58.1 ± 0.67</w:t>
            </w:r>
          </w:p>
        </w:tc>
        <w:tc>
          <w:tcPr>
            <w:tcW w:w="2404" w:type="dxa"/>
            <w:tcBorders>
              <w:top w:val="nil"/>
              <w:left w:val="nil"/>
              <w:bottom w:val="single" w:sz="4" w:space="0" w:color="auto"/>
              <w:right w:val="single" w:sz="4" w:space="0" w:color="auto"/>
            </w:tcBorders>
            <w:vAlign w:val="center"/>
            <w:hideMark/>
          </w:tcPr>
          <w:p w14:paraId="1AF87C1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1.67 ± 0.33</w:t>
            </w:r>
          </w:p>
        </w:tc>
      </w:tr>
      <w:tr w:rsidR="00E372DB" w:rsidRPr="00572A7A" w14:paraId="15EA29D4" w14:textId="77777777" w:rsidTr="0000789A">
        <w:trPr>
          <w:cantSplit/>
          <w:trHeight w:val="305"/>
        </w:trPr>
        <w:tc>
          <w:tcPr>
            <w:tcW w:w="4977" w:type="dxa"/>
            <w:tcBorders>
              <w:top w:val="nil"/>
              <w:left w:val="single" w:sz="4" w:space="0" w:color="auto"/>
              <w:bottom w:val="single" w:sz="4" w:space="0" w:color="auto"/>
              <w:right w:val="single" w:sz="4" w:space="0" w:color="auto"/>
            </w:tcBorders>
            <w:vAlign w:val="center"/>
            <w:hideMark/>
          </w:tcPr>
          <w:p w14:paraId="26DB2777"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kern w:val="24"/>
                <w:lang w:bidi="hi-IN"/>
              </w:rPr>
              <w:t>Zinc (20 kg/ hectare) + Phosphorus (20 Kg/hectare)</w:t>
            </w:r>
          </w:p>
        </w:tc>
        <w:tc>
          <w:tcPr>
            <w:tcW w:w="2263" w:type="dxa"/>
            <w:tcBorders>
              <w:top w:val="nil"/>
              <w:left w:val="nil"/>
              <w:bottom w:val="single" w:sz="4" w:space="0" w:color="auto"/>
              <w:right w:val="single" w:sz="4" w:space="0" w:color="auto"/>
            </w:tcBorders>
            <w:noWrap/>
            <w:vAlign w:val="center"/>
            <w:hideMark/>
          </w:tcPr>
          <w:p w14:paraId="4085C91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61.1 ± 0.65</w:t>
            </w:r>
          </w:p>
        </w:tc>
        <w:tc>
          <w:tcPr>
            <w:tcW w:w="2404" w:type="dxa"/>
            <w:tcBorders>
              <w:top w:val="nil"/>
              <w:left w:val="nil"/>
              <w:bottom w:val="single" w:sz="4" w:space="0" w:color="auto"/>
              <w:right w:val="single" w:sz="4" w:space="0" w:color="auto"/>
            </w:tcBorders>
            <w:noWrap/>
            <w:vAlign w:val="center"/>
            <w:hideMark/>
          </w:tcPr>
          <w:p w14:paraId="677F339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2.67 ± 0.33</w:t>
            </w:r>
          </w:p>
        </w:tc>
      </w:tr>
      <w:tr w:rsidR="00E372DB" w:rsidRPr="00572A7A" w14:paraId="3A0790F1"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53536FEC"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lang w:bidi="hi-IN"/>
              </w:rPr>
              <w:t>C.D.</w:t>
            </w:r>
          </w:p>
        </w:tc>
        <w:tc>
          <w:tcPr>
            <w:tcW w:w="2263" w:type="dxa"/>
            <w:tcBorders>
              <w:top w:val="nil"/>
              <w:left w:val="nil"/>
              <w:bottom w:val="single" w:sz="4" w:space="0" w:color="auto"/>
              <w:right w:val="single" w:sz="4" w:space="0" w:color="auto"/>
            </w:tcBorders>
            <w:vAlign w:val="center"/>
            <w:hideMark/>
          </w:tcPr>
          <w:p w14:paraId="42F99CA2"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1.343</w:t>
            </w:r>
          </w:p>
        </w:tc>
        <w:tc>
          <w:tcPr>
            <w:tcW w:w="2404" w:type="dxa"/>
            <w:tcBorders>
              <w:top w:val="nil"/>
              <w:left w:val="nil"/>
              <w:bottom w:val="single" w:sz="4" w:space="0" w:color="auto"/>
              <w:right w:val="single" w:sz="4" w:space="0" w:color="auto"/>
            </w:tcBorders>
            <w:noWrap/>
            <w:vAlign w:val="center"/>
            <w:hideMark/>
          </w:tcPr>
          <w:p w14:paraId="7CFABBE7"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NS</w:t>
            </w:r>
          </w:p>
        </w:tc>
      </w:tr>
      <w:tr w:rsidR="00E372DB" w:rsidRPr="00572A7A" w14:paraId="7E49863A"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4F50497D"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lang w:bidi="hi-IN"/>
              </w:rPr>
              <w:t>SE(m)</w:t>
            </w:r>
          </w:p>
        </w:tc>
        <w:tc>
          <w:tcPr>
            <w:tcW w:w="2263" w:type="dxa"/>
            <w:tcBorders>
              <w:top w:val="nil"/>
              <w:left w:val="nil"/>
              <w:bottom w:val="single" w:sz="4" w:space="0" w:color="auto"/>
              <w:right w:val="single" w:sz="4" w:space="0" w:color="auto"/>
            </w:tcBorders>
            <w:vAlign w:val="center"/>
            <w:hideMark/>
          </w:tcPr>
          <w:p w14:paraId="5620156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0.449</w:t>
            </w:r>
          </w:p>
        </w:tc>
        <w:tc>
          <w:tcPr>
            <w:tcW w:w="2404" w:type="dxa"/>
            <w:tcBorders>
              <w:top w:val="nil"/>
              <w:left w:val="nil"/>
              <w:bottom w:val="single" w:sz="4" w:space="0" w:color="auto"/>
              <w:right w:val="single" w:sz="4" w:space="0" w:color="auto"/>
            </w:tcBorders>
            <w:noWrap/>
            <w:vAlign w:val="center"/>
            <w:hideMark/>
          </w:tcPr>
          <w:p w14:paraId="27E10354"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0.457</w:t>
            </w:r>
          </w:p>
        </w:tc>
      </w:tr>
      <w:tr w:rsidR="00E372DB" w:rsidRPr="00572A7A" w14:paraId="7B8B3858" w14:textId="77777777" w:rsidTr="0000789A">
        <w:trPr>
          <w:cantSplit/>
          <w:trHeight w:val="315"/>
        </w:trPr>
        <w:tc>
          <w:tcPr>
            <w:tcW w:w="4977" w:type="dxa"/>
            <w:tcBorders>
              <w:top w:val="nil"/>
              <w:left w:val="single" w:sz="4" w:space="0" w:color="auto"/>
              <w:bottom w:val="single" w:sz="4" w:space="0" w:color="auto"/>
              <w:right w:val="single" w:sz="4" w:space="0" w:color="auto"/>
            </w:tcBorders>
            <w:vAlign w:val="center"/>
            <w:hideMark/>
          </w:tcPr>
          <w:p w14:paraId="65AF61AB" w14:textId="77777777" w:rsidR="00E372DB" w:rsidRPr="00572A7A" w:rsidRDefault="00E372DB" w:rsidP="00572A7A">
            <w:pPr>
              <w:spacing w:after="0" w:line="240" w:lineRule="auto"/>
              <w:jc w:val="both"/>
              <w:rPr>
                <w:rFonts w:ascii="Times New Roman" w:eastAsia="Times New Roman" w:hAnsi="Times New Roman" w:cs="Times New Roman"/>
                <w:color w:val="000000"/>
                <w:lang w:bidi="hi-IN"/>
              </w:rPr>
            </w:pPr>
            <w:r w:rsidRPr="00572A7A">
              <w:rPr>
                <w:rFonts w:ascii="Times New Roman" w:eastAsia="Times New Roman" w:hAnsi="Times New Roman" w:cs="Times New Roman"/>
                <w:color w:val="000000"/>
                <w:lang w:bidi="hi-IN"/>
              </w:rPr>
              <w:t>SE(d)</w:t>
            </w:r>
          </w:p>
        </w:tc>
        <w:tc>
          <w:tcPr>
            <w:tcW w:w="2263" w:type="dxa"/>
            <w:tcBorders>
              <w:top w:val="nil"/>
              <w:left w:val="nil"/>
              <w:bottom w:val="single" w:sz="4" w:space="0" w:color="auto"/>
              <w:right w:val="single" w:sz="4" w:space="0" w:color="auto"/>
            </w:tcBorders>
            <w:vAlign w:val="center"/>
            <w:hideMark/>
          </w:tcPr>
          <w:p w14:paraId="1442CE0B"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0.634</w:t>
            </w:r>
          </w:p>
        </w:tc>
        <w:tc>
          <w:tcPr>
            <w:tcW w:w="2404" w:type="dxa"/>
            <w:tcBorders>
              <w:top w:val="nil"/>
              <w:left w:val="nil"/>
              <w:bottom w:val="single" w:sz="4" w:space="0" w:color="auto"/>
              <w:right w:val="single" w:sz="4" w:space="0" w:color="auto"/>
            </w:tcBorders>
            <w:noWrap/>
            <w:vAlign w:val="center"/>
            <w:hideMark/>
          </w:tcPr>
          <w:p w14:paraId="61E72534"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0.646</w:t>
            </w:r>
          </w:p>
        </w:tc>
      </w:tr>
      <w:tr w:rsidR="00E372DB" w:rsidRPr="00572A7A" w14:paraId="05C3F5D8" w14:textId="77777777" w:rsidTr="0000789A">
        <w:trPr>
          <w:cantSplit/>
          <w:trHeight w:val="315"/>
        </w:trPr>
        <w:tc>
          <w:tcPr>
            <w:tcW w:w="4977" w:type="dxa"/>
            <w:tcBorders>
              <w:top w:val="nil"/>
              <w:left w:val="single" w:sz="4" w:space="0" w:color="auto"/>
              <w:bottom w:val="single" w:sz="4" w:space="0" w:color="auto"/>
              <w:right w:val="single" w:sz="4" w:space="0" w:color="auto"/>
            </w:tcBorders>
            <w:shd w:val="clear" w:color="000000" w:fill="FFFFFF"/>
            <w:vAlign w:val="center"/>
            <w:hideMark/>
          </w:tcPr>
          <w:p w14:paraId="26FD7CDC" w14:textId="77777777" w:rsidR="00E372DB" w:rsidRPr="00572A7A" w:rsidRDefault="00E372DB" w:rsidP="00572A7A">
            <w:pPr>
              <w:spacing w:after="0" w:line="240" w:lineRule="auto"/>
              <w:jc w:val="both"/>
              <w:rPr>
                <w:rFonts w:ascii="Times New Roman" w:eastAsia="Times New Roman" w:hAnsi="Times New Roman" w:cs="Times New Roman"/>
                <w:color w:val="333333"/>
                <w:lang w:bidi="hi-IN"/>
              </w:rPr>
            </w:pPr>
            <w:r w:rsidRPr="00572A7A">
              <w:rPr>
                <w:rFonts w:ascii="Times New Roman" w:eastAsia="Times New Roman" w:hAnsi="Times New Roman" w:cs="Times New Roman"/>
                <w:color w:val="333333"/>
                <w:lang w:bidi="hi-IN"/>
              </w:rPr>
              <w:t>C.V.</w:t>
            </w:r>
          </w:p>
        </w:tc>
        <w:tc>
          <w:tcPr>
            <w:tcW w:w="2263" w:type="dxa"/>
            <w:tcBorders>
              <w:top w:val="nil"/>
              <w:left w:val="nil"/>
              <w:bottom w:val="single" w:sz="4" w:space="0" w:color="auto"/>
              <w:right w:val="single" w:sz="4" w:space="0" w:color="auto"/>
            </w:tcBorders>
            <w:shd w:val="clear" w:color="000000" w:fill="FFFFFF"/>
            <w:vAlign w:val="center"/>
            <w:hideMark/>
          </w:tcPr>
          <w:p w14:paraId="65ABC52F" w14:textId="77777777" w:rsidR="00E372DB" w:rsidRPr="00572A7A" w:rsidRDefault="00E372DB" w:rsidP="00572A7A">
            <w:pPr>
              <w:spacing w:after="0" w:line="240" w:lineRule="auto"/>
              <w:jc w:val="both"/>
              <w:rPr>
                <w:rFonts w:ascii="Times New Roman" w:eastAsia="Times New Roman" w:hAnsi="Times New Roman" w:cs="Times New Roman"/>
                <w:color w:val="333333"/>
                <w:sz w:val="24"/>
                <w:szCs w:val="24"/>
                <w:lang w:bidi="hi-IN"/>
              </w:rPr>
            </w:pPr>
            <w:r w:rsidRPr="00572A7A">
              <w:rPr>
                <w:rFonts w:ascii="Times New Roman" w:eastAsia="Times New Roman" w:hAnsi="Times New Roman" w:cs="Times New Roman"/>
                <w:color w:val="333333"/>
                <w:sz w:val="24"/>
                <w:szCs w:val="24"/>
                <w:lang w:bidi="hi-IN"/>
              </w:rPr>
              <w:t>1.56</w:t>
            </w:r>
          </w:p>
        </w:tc>
        <w:tc>
          <w:tcPr>
            <w:tcW w:w="2404" w:type="dxa"/>
            <w:tcBorders>
              <w:top w:val="nil"/>
              <w:left w:val="nil"/>
              <w:bottom w:val="single" w:sz="4" w:space="0" w:color="auto"/>
              <w:right w:val="single" w:sz="4" w:space="0" w:color="auto"/>
            </w:tcBorders>
            <w:noWrap/>
            <w:vAlign w:val="center"/>
            <w:hideMark/>
          </w:tcPr>
          <w:p w14:paraId="09B87DEF"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5.597</w:t>
            </w:r>
          </w:p>
        </w:tc>
      </w:tr>
    </w:tbl>
    <w:p w14:paraId="49BB25E7"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graphical presentation of the percentage of pods under the different treatments applied in the field is given below.</w:t>
      </w:r>
    </w:p>
    <w:p w14:paraId="2BA9DEDE"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noProof/>
          <w:lang w:bidi="hi-IN"/>
        </w:rPr>
        <w:drawing>
          <wp:inline distT="0" distB="0" distL="0" distR="0" wp14:anchorId="13CF2A7A" wp14:editId="0D9D4032">
            <wp:extent cx="5969000" cy="1670050"/>
            <wp:effectExtent l="0" t="0" r="12700" b="63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ED7BD39"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Fig 1: Effect of Zinc and Phosphorus Sources on Pods in Chickpea</w:t>
      </w:r>
    </w:p>
    <w:p w14:paraId="2582EDA1"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Test Weight</w:t>
      </w:r>
    </w:p>
    <w:p w14:paraId="2AE2FCA0"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 xml:space="preserve">The 1,000 seeds were counted after harvest and weighed. Treatment T9 recorded the maximum 1,000-seed weight (270.23 g plant⁻¹), which was higher than those of the other treatments and the control (239.46 ± 0.21) (Kumar et al., 2023; Gupta et al., 2021; Sharma et al., 2016; Singh et al., </w:t>
      </w:r>
      <w:r w:rsidRPr="00572A7A">
        <w:rPr>
          <w:rFonts w:ascii="Times New Roman" w:hAnsi="Times New Roman"/>
          <w:sz w:val="24"/>
        </w:rPr>
        <w:lastRenderedPageBreak/>
        <w:t>2018). Similar results for test weight have also been reported under different phosphorus and zinc treatments.</w:t>
      </w:r>
    </w:p>
    <w:p w14:paraId="6102565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Table 2: Effect of Phosphorus and Zinc Sources on Test Weight of Chickpea</w:t>
      </w:r>
    </w:p>
    <w:tbl>
      <w:tblPr>
        <w:tblW w:w="8642" w:type="dxa"/>
        <w:tblLook w:val="04A0" w:firstRow="1" w:lastRow="0" w:firstColumn="1" w:lastColumn="0" w:noHBand="0" w:noVBand="1"/>
      </w:tblPr>
      <w:tblGrid>
        <w:gridCol w:w="5807"/>
        <w:gridCol w:w="2835"/>
      </w:tblGrid>
      <w:tr w:rsidR="00E372DB" w:rsidRPr="00572A7A" w14:paraId="19D5591F" w14:textId="77777777" w:rsidTr="0000789A">
        <w:trPr>
          <w:trHeight w:val="382"/>
        </w:trPr>
        <w:tc>
          <w:tcPr>
            <w:tcW w:w="5807" w:type="dxa"/>
            <w:tcBorders>
              <w:top w:val="single" w:sz="4" w:space="0" w:color="auto"/>
              <w:left w:val="single" w:sz="4" w:space="0" w:color="auto"/>
              <w:bottom w:val="single" w:sz="4" w:space="0" w:color="auto"/>
              <w:right w:val="single" w:sz="4" w:space="0" w:color="auto"/>
            </w:tcBorders>
            <w:noWrap/>
            <w:vAlign w:val="center"/>
            <w:hideMark/>
          </w:tcPr>
          <w:p w14:paraId="31B868F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Treatments</w:t>
            </w:r>
          </w:p>
          <w:p w14:paraId="0A9F4EC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p>
        </w:tc>
        <w:tc>
          <w:tcPr>
            <w:tcW w:w="2835" w:type="dxa"/>
            <w:tcBorders>
              <w:top w:val="single" w:sz="4" w:space="0" w:color="auto"/>
              <w:left w:val="nil"/>
              <w:bottom w:val="single" w:sz="4" w:space="0" w:color="auto"/>
              <w:right w:val="single" w:sz="4" w:space="0" w:color="auto"/>
            </w:tcBorders>
            <w:noWrap/>
            <w:vAlign w:val="center"/>
            <w:hideMark/>
          </w:tcPr>
          <w:p w14:paraId="1C9EF97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Test Weight (in g)</w:t>
            </w:r>
          </w:p>
        </w:tc>
      </w:tr>
      <w:tr w:rsidR="00E372DB" w:rsidRPr="00572A7A" w14:paraId="0D68CF84" w14:textId="77777777" w:rsidTr="0000789A">
        <w:trPr>
          <w:trHeight w:val="239"/>
        </w:trPr>
        <w:tc>
          <w:tcPr>
            <w:tcW w:w="5807" w:type="dxa"/>
            <w:tcBorders>
              <w:top w:val="nil"/>
              <w:left w:val="single" w:sz="4" w:space="0" w:color="auto"/>
              <w:bottom w:val="single" w:sz="4" w:space="0" w:color="auto"/>
              <w:right w:val="single" w:sz="4" w:space="0" w:color="auto"/>
            </w:tcBorders>
            <w:noWrap/>
            <w:hideMark/>
          </w:tcPr>
          <w:p w14:paraId="28C8BCA6" w14:textId="77777777" w:rsidR="00E372DB" w:rsidRPr="00572A7A" w:rsidRDefault="00E372DB" w:rsidP="00572A7A">
            <w:pPr>
              <w:pStyle w:val="NormalWeb"/>
              <w:spacing w:before="0" w:beforeAutospacing="0" w:after="0" w:afterAutospacing="0"/>
              <w:jc w:val="both"/>
            </w:pPr>
            <w:r w:rsidRPr="00572A7A">
              <w:rPr>
                <w:color w:val="000000"/>
                <w:kern w:val="24"/>
              </w:rPr>
              <w:t>Control (RDF)</w:t>
            </w:r>
          </w:p>
        </w:tc>
        <w:tc>
          <w:tcPr>
            <w:tcW w:w="2835" w:type="dxa"/>
            <w:tcBorders>
              <w:top w:val="nil"/>
              <w:left w:val="nil"/>
              <w:bottom w:val="single" w:sz="4" w:space="0" w:color="auto"/>
              <w:right w:val="single" w:sz="4" w:space="0" w:color="auto"/>
            </w:tcBorders>
            <w:noWrap/>
            <w:vAlign w:val="center"/>
            <w:hideMark/>
          </w:tcPr>
          <w:p w14:paraId="37FA039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239.46 </w:t>
            </w:r>
            <w:r w:rsidRPr="00572A7A">
              <w:rPr>
                <w:rFonts w:ascii="Times New Roman" w:hAnsi="Times New Roman" w:cs="Times New Roman"/>
                <w:sz w:val="24"/>
                <w:szCs w:val="24"/>
              </w:rPr>
              <w:t>± 0.21</w:t>
            </w:r>
          </w:p>
        </w:tc>
      </w:tr>
      <w:tr w:rsidR="00E372DB" w:rsidRPr="00572A7A" w14:paraId="59AF9B5C" w14:textId="77777777" w:rsidTr="0000789A">
        <w:trPr>
          <w:trHeight w:val="273"/>
        </w:trPr>
        <w:tc>
          <w:tcPr>
            <w:tcW w:w="5807" w:type="dxa"/>
            <w:tcBorders>
              <w:top w:val="nil"/>
              <w:left w:val="single" w:sz="4" w:space="0" w:color="auto"/>
              <w:bottom w:val="single" w:sz="4" w:space="0" w:color="auto"/>
              <w:right w:val="single" w:sz="4" w:space="0" w:color="auto"/>
            </w:tcBorders>
            <w:noWrap/>
            <w:hideMark/>
          </w:tcPr>
          <w:p w14:paraId="08EDA0A5" w14:textId="77777777" w:rsidR="00E372DB" w:rsidRPr="00572A7A" w:rsidRDefault="00E372DB" w:rsidP="00572A7A">
            <w:pPr>
              <w:pStyle w:val="NormalWeb"/>
              <w:spacing w:before="0" w:beforeAutospacing="0" w:after="0" w:afterAutospacing="0"/>
              <w:jc w:val="both"/>
            </w:pPr>
            <w:r w:rsidRPr="00572A7A">
              <w:rPr>
                <w:color w:val="000000"/>
                <w:kern w:val="24"/>
              </w:rPr>
              <w:t>Zinc (10 Kg/</w:t>
            </w:r>
            <w:r w:rsidRPr="00572A7A">
              <w:rPr>
                <w:rFonts w:eastAsia="Arial"/>
                <w:color w:val="1F1F1F"/>
                <w:shd w:val="clear" w:color="auto" w:fill="FFFFFF"/>
              </w:rPr>
              <w:t>hectare)</w:t>
            </w:r>
          </w:p>
        </w:tc>
        <w:tc>
          <w:tcPr>
            <w:tcW w:w="2835" w:type="dxa"/>
            <w:tcBorders>
              <w:top w:val="nil"/>
              <w:left w:val="nil"/>
              <w:bottom w:val="single" w:sz="4" w:space="0" w:color="auto"/>
              <w:right w:val="single" w:sz="4" w:space="0" w:color="auto"/>
            </w:tcBorders>
            <w:vAlign w:val="center"/>
            <w:hideMark/>
          </w:tcPr>
          <w:p w14:paraId="1F389B6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242.56 </w:t>
            </w:r>
            <w:r w:rsidRPr="00572A7A">
              <w:rPr>
                <w:rFonts w:ascii="Times New Roman" w:hAnsi="Times New Roman" w:cs="Times New Roman"/>
                <w:sz w:val="24"/>
                <w:szCs w:val="24"/>
              </w:rPr>
              <w:t>± 0.12</w:t>
            </w:r>
          </w:p>
        </w:tc>
      </w:tr>
      <w:tr w:rsidR="00E372DB" w:rsidRPr="00572A7A" w14:paraId="20C3220F" w14:textId="77777777" w:rsidTr="0000789A">
        <w:trPr>
          <w:trHeight w:val="233"/>
        </w:trPr>
        <w:tc>
          <w:tcPr>
            <w:tcW w:w="5807" w:type="dxa"/>
            <w:tcBorders>
              <w:top w:val="nil"/>
              <w:left w:val="single" w:sz="4" w:space="0" w:color="auto"/>
              <w:bottom w:val="single" w:sz="4" w:space="0" w:color="auto"/>
              <w:right w:val="single" w:sz="4" w:space="0" w:color="auto"/>
            </w:tcBorders>
            <w:noWrap/>
            <w:hideMark/>
          </w:tcPr>
          <w:p w14:paraId="40E7EE71" w14:textId="77777777" w:rsidR="00E372DB" w:rsidRPr="00572A7A" w:rsidRDefault="00E372DB" w:rsidP="00572A7A">
            <w:pPr>
              <w:pStyle w:val="NormalWeb"/>
              <w:spacing w:before="0" w:beforeAutospacing="0" w:after="0" w:afterAutospacing="0"/>
              <w:jc w:val="both"/>
            </w:pPr>
            <w:r w:rsidRPr="00572A7A">
              <w:rPr>
                <w:color w:val="000000"/>
                <w:kern w:val="24"/>
              </w:rPr>
              <w:t>Zinc (15 Kg/ hectare)</w:t>
            </w:r>
          </w:p>
        </w:tc>
        <w:tc>
          <w:tcPr>
            <w:tcW w:w="2835" w:type="dxa"/>
            <w:tcBorders>
              <w:top w:val="nil"/>
              <w:left w:val="nil"/>
              <w:bottom w:val="single" w:sz="4" w:space="0" w:color="auto"/>
              <w:right w:val="single" w:sz="4" w:space="0" w:color="auto"/>
            </w:tcBorders>
            <w:vAlign w:val="center"/>
            <w:hideMark/>
          </w:tcPr>
          <w:p w14:paraId="1CB32C9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245.33 </w:t>
            </w:r>
            <w:r w:rsidRPr="00572A7A">
              <w:rPr>
                <w:rFonts w:ascii="Times New Roman" w:hAnsi="Times New Roman" w:cs="Times New Roman"/>
                <w:sz w:val="24"/>
                <w:szCs w:val="24"/>
              </w:rPr>
              <w:t>± 0.68</w:t>
            </w:r>
          </w:p>
        </w:tc>
      </w:tr>
      <w:tr w:rsidR="00E372DB" w:rsidRPr="00572A7A" w14:paraId="0A2B1CCF" w14:textId="77777777" w:rsidTr="0000789A">
        <w:trPr>
          <w:trHeight w:val="223"/>
        </w:trPr>
        <w:tc>
          <w:tcPr>
            <w:tcW w:w="5807" w:type="dxa"/>
            <w:tcBorders>
              <w:top w:val="nil"/>
              <w:left w:val="single" w:sz="4" w:space="0" w:color="auto"/>
              <w:bottom w:val="single" w:sz="4" w:space="0" w:color="auto"/>
              <w:right w:val="single" w:sz="4" w:space="0" w:color="auto"/>
            </w:tcBorders>
            <w:noWrap/>
            <w:hideMark/>
          </w:tcPr>
          <w:p w14:paraId="78FE5491" w14:textId="77777777" w:rsidR="00E372DB" w:rsidRPr="00572A7A" w:rsidRDefault="00E372DB" w:rsidP="00572A7A">
            <w:pPr>
              <w:pStyle w:val="NormalWeb"/>
              <w:spacing w:before="0" w:beforeAutospacing="0" w:after="0" w:afterAutospacing="0"/>
              <w:jc w:val="both"/>
              <w:rPr>
                <w:color w:val="000000"/>
                <w:kern w:val="24"/>
              </w:rPr>
            </w:pPr>
            <w:r w:rsidRPr="00572A7A">
              <w:rPr>
                <w:color w:val="000000"/>
                <w:kern w:val="24"/>
              </w:rPr>
              <w:t>Zinc (20 Kg/ hectare)</w:t>
            </w:r>
          </w:p>
        </w:tc>
        <w:tc>
          <w:tcPr>
            <w:tcW w:w="2835" w:type="dxa"/>
            <w:tcBorders>
              <w:top w:val="nil"/>
              <w:left w:val="nil"/>
              <w:bottom w:val="single" w:sz="4" w:space="0" w:color="auto"/>
              <w:right w:val="single" w:sz="4" w:space="0" w:color="auto"/>
            </w:tcBorders>
            <w:vAlign w:val="center"/>
            <w:hideMark/>
          </w:tcPr>
          <w:p w14:paraId="4FFF2494"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249.96 </w:t>
            </w:r>
            <w:r w:rsidRPr="00572A7A">
              <w:rPr>
                <w:rFonts w:ascii="Times New Roman" w:hAnsi="Times New Roman" w:cs="Times New Roman"/>
                <w:sz w:val="24"/>
                <w:szCs w:val="24"/>
              </w:rPr>
              <w:t>± 0.44</w:t>
            </w:r>
          </w:p>
        </w:tc>
      </w:tr>
      <w:tr w:rsidR="00E372DB" w:rsidRPr="00572A7A" w14:paraId="701BE0DE" w14:textId="77777777" w:rsidTr="0000789A">
        <w:trPr>
          <w:trHeight w:val="227"/>
        </w:trPr>
        <w:tc>
          <w:tcPr>
            <w:tcW w:w="5807" w:type="dxa"/>
            <w:tcBorders>
              <w:top w:val="nil"/>
              <w:left w:val="single" w:sz="4" w:space="0" w:color="auto"/>
              <w:bottom w:val="single" w:sz="4" w:space="0" w:color="auto"/>
              <w:right w:val="single" w:sz="4" w:space="0" w:color="auto"/>
            </w:tcBorders>
            <w:noWrap/>
            <w:hideMark/>
          </w:tcPr>
          <w:p w14:paraId="32FCD8EA" w14:textId="77777777" w:rsidR="00E372DB" w:rsidRPr="00572A7A" w:rsidRDefault="00E372DB" w:rsidP="00572A7A">
            <w:pPr>
              <w:pStyle w:val="NormalWeb"/>
              <w:spacing w:before="0" w:beforeAutospacing="0" w:after="0" w:afterAutospacing="0"/>
              <w:jc w:val="both"/>
            </w:pPr>
            <w:r w:rsidRPr="00572A7A">
              <w:rPr>
                <w:color w:val="000000"/>
                <w:kern w:val="24"/>
              </w:rPr>
              <w:t>Phosphorus (10 Kg/hectare)</w:t>
            </w:r>
          </w:p>
        </w:tc>
        <w:tc>
          <w:tcPr>
            <w:tcW w:w="2835" w:type="dxa"/>
            <w:tcBorders>
              <w:top w:val="nil"/>
              <w:left w:val="nil"/>
              <w:bottom w:val="single" w:sz="4" w:space="0" w:color="auto"/>
              <w:right w:val="single" w:sz="4" w:space="0" w:color="auto"/>
            </w:tcBorders>
            <w:vAlign w:val="center"/>
            <w:hideMark/>
          </w:tcPr>
          <w:p w14:paraId="291A46D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251.77 </w:t>
            </w:r>
            <w:r w:rsidRPr="00572A7A">
              <w:rPr>
                <w:rFonts w:ascii="Times New Roman" w:hAnsi="Times New Roman" w:cs="Times New Roman"/>
                <w:sz w:val="24"/>
                <w:szCs w:val="24"/>
              </w:rPr>
              <w:t>± 0.82</w:t>
            </w:r>
          </w:p>
        </w:tc>
      </w:tr>
      <w:tr w:rsidR="00E372DB" w:rsidRPr="00572A7A" w14:paraId="3D4C8CCD" w14:textId="77777777" w:rsidTr="0000789A">
        <w:trPr>
          <w:trHeight w:val="231"/>
        </w:trPr>
        <w:tc>
          <w:tcPr>
            <w:tcW w:w="5807" w:type="dxa"/>
            <w:tcBorders>
              <w:top w:val="nil"/>
              <w:left w:val="single" w:sz="4" w:space="0" w:color="auto"/>
              <w:bottom w:val="single" w:sz="4" w:space="0" w:color="auto"/>
              <w:right w:val="single" w:sz="4" w:space="0" w:color="auto"/>
            </w:tcBorders>
            <w:noWrap/>
            <w:hideMark/>
          </w:tcPr>
          <w:p w14:paraId="788EAB24" w14:textId="77777777" w:rsidR="00E372DB" w:rsidRPr="00572A7A" w:rsidRDefault="00E372DB" w:rsidP="00572A7A">
            <w:pPr>
              <w:pStyle w:val="NormalWeb"/>
              <w:spacing w:before="0" w:beforeAutospacing="0" w:after="0" w:afterAutospacing="0"/>
              <w:jc w:val="both"/>
            </w:pPr>
            <w:r w:rsidRPr="00572A7A">
              <w:rPr>
                <w:color w:val="000000"/>
                <w:kern w:val="24"/>
              </w:rPr>
              <w:t>Phosphorus (15 Kg/ hectare)</w:t>
            </w:r>
          </w:p>
        </w:tc>
        <w:tc>
          <w:tcPr>
            <w:tcW w:w="2835" w:type="dxa"/>
            <w:tcBorders>
              <w:top w:val="nil"/>
              <w:left w:val="nil"/>
              <w:bottom w:val="single" w:sz="4" w:space="0" w:color="auto"/>
              <w:right w:val="single" w:sz="4" w:space="0" w:color="auto"/>
            </w:tcBorders>
            <w:vAlign w:val="center"/>
            <w:hideMark/>
          </w:tcPr>
          <w:p w14:paraId="1448861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255.39 </w:t>
            </w:r>
            <w:r w:rsidRPr="00572A7A">
              <w:rPr>
                <w:rFonts w:ascii="Times New Roman" w:hAnsi="Times New Roman" w:cs="Times New Roman"/>
                <w:sz w:val="24"/>
                <w:szCs w:val="24"/>
              </w:rPr>
              <w:t>± 0.48</w:t>
            </w:r>
          </w:p>
        </w:tc>
      </w:tr>
      <w:tr w:rsidR="00E372DB" w:rsidRPr="00572A7A" w14:paraId="6C21C689" w14:textId="77777777" w:rsidTr="0000789A">
        <w:trPr>
          <w:trHeight w:val="221"/>
        </w:trPr>
        <w:tc>
          <w:tcPr>
            <w:tcW w:w="5807" w:type="dxa"/>
            <w:tcBorders>
              <w:top w:val="nil"/>
              <w:left w:val="single" w:sz="4" w:space="0" w:color="auto"/>
              <w:bottom w:val="single" w:sz="4" w:space="0" w:color="auto"/>
              <w:right w:val="single" w:sz="4" w:space="0" w:color="auto"/>
            </w:tcBorders>
            <w:noWrap/>
            <w:hideMark/>
          </w:tcPr>
          <w:p w14:paraId="3CC25EA7" w14:textId="77777777" w:rsidR="00E372DB" w:rsidRPr="00572A7A" w:rsidRDefault="00E372DB" w:rsidP="00572A7A">
            <w:pPr>
              <w:pStyle w:val="NormalWeb"/>
              <w:spacing w:before="0" w:beforeAutospacing="0" w:after="0" w:afterAutospacing="0"/>
              <w:jc w:val="both"/>
              <w:rPr>
                <w:color w:val="000000"/>
                <w:kern w:val="24"/>
              </w:rPr>
            </w:pPr>
            <w:r w:rsidRPr="00572A7A">
              <w:rPr>
                <w:color w:val="000000"/>
                <w:kern w:val="24"/>
              </w:rPr>
              <w:t>Phosphorus (15 Kg/ hectare)</w:t>
            </w:r>
          </w:p>
        </w:tc>
        <w:tc>
          <w:tcPr>
            <w:tcW w:w="2835" w:type="dxa"/>
            <w:tcBorders>
              <w:top w:val="nil"/>
              <w:left w:val="nil"/>
              <w:bottom w:val="single" w:sz="4" w:space="0" w:color="auto"/>
              <w:right w:val="single" w:sz="4" w:space="0" w:color="auto"/>
            </w:tcBorders>
            <w:vAlign w:val="center"/>
            <w:hideMark/>
          </w:tcPr>
          <w:p w14:paraId="07B5FFC4"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261.07 </w:t>
            </w:r>
            <w:r w:rsidRPr="00572A7A">
              <w:rPr>
                <w:rFonts w:ascii="Times New Roman" w:hAnsi="Times New Roman" w:cs="Times New Roman"/>
                <w:sz w:val="24"/>
                <w:szCs w:val="24"/>
              </w:rPr>
              <w:t>± 0.09</w:t>
            </w:r>
          </w:p>
        </w:tc>
      </w:tr>
      <w:tr w:rsidR="00E372DB" w:rsidRPr="00572A7A" w14:paraId="1545157F" w14:textId="77777777" w:rsidTr="0000789A">
        <w:trPr>
          <w:trHeight w:val="225"/>
        </w:trPr>
        <w:tc>
          <w:tcPr>
            <w:tcW w:w="5807" w:type="dxa"/>
            <w:tcBorders>
              <w:top w:val="nil"/>
              <w:left w:val="single" w:sz="4" w:space="0" w:color="auto"/>
              <w:bottom w:val="single" w:sz="4" w:space="0" w:color="auto"/>
              <w:right w:val="single" w:sz="4" w:space="0" w:color="auto"/>
            </w:tcBorders>
            <w:noWrap/>
            <w:hideMark/>
          </w:tcPr>
          <w:p w14:paraId="66CA68C8" w14:textId="77777777" w:rsidR="00E372DB" w:rsidRPr="00572A7A" w:rsidRDefault="00E372DB" w:rsidP="00572A7A">
            <w:pPr>
              <w:pStyle w:val="NormalWeb"/>
              <w:spacing w:before="0" w:beforeAutospacing="0" w:after="0" w:afterAutospacing="0"/>
              <w:jc w:val="both"/>
            </w:pPr>
            <w:r w:rsidRPr="00572A7A">
              <w:rPr>
                <w:color w:val="000000"/>
                <w:kern w:val="24"/>
              </w:rPr>
              <w:t>Zinc (10 Kg/hectare) + Phosphorus (10 Kg/hectare)</w:t>
            </w:r>
          </w:p>
        </w:tc>
        <w:tc>
          <w:tcPr>
            <w:tcW w:w="2835" w:type="dxa"/>
            <w:tcBorders>
              <w:top w:val="nil"/>
              <w:left w:val="nil"/>
              <w:bottom w:val="single" w:sz="4" w:space="0" w:color="auto"/>
              <w:right w:val="single" w:sz="4" w:space="0" w:color="auto"/>
            </w:tcBorders>
            <w:vAlign w:val="center"/>
            <w:hideMark/>
          </w:tcPr>
          <w:p w14:paraId="7E22B9F6"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264.07 </w:t>
            </w:r>
            <w:r w:rsidRPr="00572A7A">
              <w:rPr>
                <w:rFonts w:ascii="Times New Roman" w:hAnsi="Times New Roman" w:cs="Times New Roman"/>
                <w:sz w:val="24"/>
                <w:szCs w:val="24"/>
              </w:rPr>
              <w:t>± 0.58</w:t>
            </w:r>
          </w:p>
        </w:tc>
      </w:tr>
      <w:tr w:rsidR="00E372DB" w:rsidRPr="00572A7A" w14:paraId="3A8BB424" w14:textId="77777777" w:rsidTr="0000789A">
        <w:trPr>
          <w:trHeight w:val="215"/>
        </w:trPr>
        <w:tc>
          <w:tcPr>
            <w:tcW w:w="5807" w:type="dxa"/>
            <w:tcBorders>
              <w:top w:val="nil"/>
              <w:left w:val="single" w:sz="4" w:space="0" w:color="auto"/>
              <w:bottom w:val="single" w:sz="4" w:space="0" w:color="auto"/>
              <w:right w:val="single" w:sz="4" w:space="0" w:color="auto"/>
            </w:tcBorders>
            <w:noWrap/>
            <w:hideMark/>
          </w:tcPr>
          <w:p w14:paraId="165657D2" w14:textId="77777777" w:rsidR="00E372DB" w:rsidRPr="00572A7A" w:rsidRDefault="00E372DB" w:rsidP="00572A7A">
            <w:pPr>
              <w:pStyle w:val="NormalWeb"/>
              <w:jc w:val="both"/>
              <w:rPr>
                <w:color w:val="000000"/>
                <w:kern w:val="24"/>
              </w:rPr>
            </w:pPr>
            <w:r w:rsidRPr="00572A7A">
              <w:rPr>
                <w:color w:val="000000"/>
                <w:kern w:val="24"/>
              </w:rPr>
              <w:t>Zinc (15 kg/ hectare) + Phosphorus (15 Kg/hectare)</w:t>
            </w:r>
          </w:p>
        </w:tc>
        <w:tc>
          <w:tcPr>
            <w:tcW w:w="2835" w:type="dxa"/>
            <w:tcBorders>
              <w:top w:val="nil"/>
              <w:left w:val="nil"/>
              <w:bottom w:val="single" w:sz="4" w:space="0" w:color="auto"/>
              <w:right w:val="single" w:sz="4" w:space="0" w:color="auto"/>
            </w:tcBorders>
            <w:vAlign w:val="center"/>
            <w:hideMark/>
          </w:tcPr>
          <w:p w14:paraId="0973CCF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266.30 </w:t>
            </w:r>
            <w:r w:rsidRPr="00572A7A">
              <w:rPr>
                <w:rFonts w:ascii="Times New Roman" w:hAnsi="Times New Roman" w:cs="Times New Roman"/>
                <w:sz w:val="24"/>
                <w:szCs w:val="24"/>
              </w:rPr>
              <w:t>± 1.23</w:t>
            </w:r>
          </w:p>
        </w:tc>
      </w:tr>
      <w:tr w:rsidR="00E372DB" w:rsidRPr="00572A7A" w14:paraId="2D784457" w14:textId="77777777" w:rsidTr="0000789A">
        <w:trPr>
          <w:trHeight w:val="205"/>
        </w:trPr>
        <w:tc>
          <w:tcPr>
            <w:tcW w:w="5807" w:type="dxa"/>
            <w:tcBorders>
              <w:top w:val="nil"/>
              <w:left w:val="single" w:sz="4" w:space="0" w:color="auto"/>
              <w:bottom w:val="single" w:sz="4" w:space="0" w:color="auto"/>
              <w:right w:val="single" w:sz="4" w:space="0" w:color="auto"/>
            </w:tcBorders>
            <w:noWrap/>
            <w:hideMark/>
          </w:tcPr>
          <w:p w14:paraId="1C8AA5B1" w14:textId="77777777" w:rsidR="00E372DB" w:rsidRPr="00572A7A" w:rsidRDefault="00E372DB" w:rsidP="00572A7A">
            <w:pPr>
              <w:pStyle w:val="NormalWeb"/>
              <w:jc w:val="both"/>
              <w:rPr>
                <w:color w:val="000000"/>
                <w:kern w:val="24"/>
              </w:rPr>
            </w:pPr>
            <w:r w:rsidRPr="00572A7A">
              <w:rPr>
                <w:color w:val="000000"/>
                <w:kern w:val="24"/>
              </w:rPr>
              <w:t>Zinc (15 kg/ hectare) + Phosphorus (20 Kg/hectare)</w:t>
            </w:r>
          </w:p>
        </w:tc>
        <w:tc>
          <w:tcPr>
            <w:tcW w:w="2835" w:type="dxa"/>
            <w:tcBorders>
              <w:top w:val="nil"/>
              <w:left w:val="nil"/>
              <w:bottom w:val="single" w:sz="4" w:space="0" w:color="auto"/>
              <w:right w:val="single" w:sz="4" w:space="0" w:color="auto"/>
            </w:tcBorders>
            <w:vAlign w:val="center"/>
            <w:hideMark/>
          </w:tcPr>
          <w:p w14:paraId="0E033E4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270.23 </w:t>
            </w:r>
            <w:r w:rsidRPr="00572A7A">
              <w:rPr>
                <w:rFonts w:ascii="Times New Roman" w:hAnsi="Times New Roman" w:cs="Times New Roman"/>
                <w:sz w:val="24"/>
                <w:szCs w:val="24"/>
              </w:rPr>
              <w:t>± 0.69</w:t>
            </w:r>
          </w:p>
        </w:tc>
      </w:tr>
      <w:tr w:rsidR="00E372DB" w:rsidRPr="00572A7A" w14:paraId="76DB0819" w14:textId="77777777" w:rsidTr="0000789A">
        <w:trPr>
          <w:trHeight w:val="268"/>
        </w:trPr>
        <w:tc>
          <w:tcPr>
            <w:tcW w:w="5807" w:type="dxa"/>
            <w:tcBorders>
              <w:top w:val="nil"/>
              <w:left w:val="single" w:sz="4" w:space="0" w:color="auto"/>
              <w:bottom w:val="single" w:sz="4" w:space="0" w:color="auto"/>
              <w:right w:val="single" w:sz="4" w:space="0" w:color="auto"/>
            </w:tcBorders>
            <w:vAlign w:val="center"/>
            <w:hideMark/>
          </w:tcPr>
          <w:p w14:paraId="79E299B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C.D.</w:t>
            </w:r>
          </w:p>
        </w:tc>
        <w:tc>
          <w:tcPr>
            <w:tcW w:w="2835" w:type="dxa"/>
            <w:tcBorders>
              <w:top w:val="nil"/>
              <w:left w:val="nil"/>
              <w:bottom w:val="single" w:sz="4" w:space="0" w:color="auto"/>
              <w:right w:val="single" w:sz="4" w:space="0" w:color="auto"/>
            </w:tcBorders>
            <w:vAlign w:val="center"/>
            <w:hideMark/>
          </w:tcPr>
          <w:p w14:paraId="052EFE36" w14:textId="77777777" w:rsidR="00E372DB" w:rsidRPr="00572A7A" w:rsidRDefault="00887192"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              </w:t>
            </w:r>
            <w:r w:rsidR="00E372DB" w:rsidRPr="00572A7A">
              <w:rPr>
                <w:rFonts w:ascii="Times New Roman" w:eastAsia="Times New Roman" w:hAnsi="Times New Roman" w:cs="Times New Roman"/>
                <w:color w:val="000000"/>
                <w:sz w:val="24"/>
                <w:szCs w:val="24"/>
              </w:rPr>
              <w:t>1.35</w:t>
            </w:r>
          </w:p>
        </w:tc>
      </w:tr>
      <w:tr w:rsidR="00E372DB" w:rsidRPr="00572A7A" w14:paraId="78D7787A" w14:textId="77777777" w:rsidTr="0000789A">
        <w:trPr>
          <w:trHeight w:val="262"/>
        </w:trPr>
        <w:tc>
          <w:tcPr>
            <w:tcW w:w="5807" w:type="dxa"/>
            <w:tcBorders>
              <w:top w:val="nil"/>
              <w:left w:val="single" w:sz="4" w:space="0" w:color="auto"/>
              <w:bottom w:val="single" w:sz="4" w:space="0" w:color="auto"/>
              <w:right w:val="single" w:sz="4" w:space="0" w:color="auto"/>
            </w:tcBorders>
            <w:vAlign w:val="center"/>
            <w:hideMark/>
          </w:tcPr>
          <w:p w14:paraId="4BD2A6E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SE(m)</w:t>
            </w:r>
          </w:p>
        </w:tc>
        <w:tc>
          <w:tcPr>
            <w:tcW w:w="2835" w:type="dxa"/>
            <w:tcBorders>
              <w:top w:val="nil"/>
              <w:left w:val="nil"/>
              <w:bottom w:val="single" w:sz="4" w:space="0" w:color="auto"/>
              <w:right w:val="single" w:sz="4" w:space="0" w:color="auto"/>
            </w:tcBorders>
            <w:vAlign w:val="center"/>
            <w:hideMark/>
          </w:tcPr>
          <w:p w14:paraId="6B5A0DF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              0.451</w:t>
            </w:r>
          </w:p>
        </w:tc>
      </w:tr>
      <w:tr w:rsidR="00E372DB" w:rsidRPr="00572A7A" w14:paraId="7EAA8384" w14:textId="77777777" w:rsidTr="0000789A">
        <w:trPr>
          <w:trHeight w:val="113"/>
        </w:trPr>
        <w:tc>
          <w:tcPr>
            <w:tcW w:w="5807" w:type="dxa"/>
            <w:tcBorders>
              <w:top w:val="nil"/>
              <w:left w:val="single" w:sz="4" w:space="0" w:color="auto"/>
              <w:bottom w:val="single" w:sz="4" w:space="0" w:color="auto"/>
              <w:right w:val="single" w:sz="4" w:space="0" w:color="auto"/>
            </w:tcBorders>
            <w:vAlign w:val="center"/>
            <w:hideMark/>
          </w:tcPr>
          <w:p w14:paraId="7D35CAF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SE(d)</w:t>
            </w:r>
          </w:p>
        </w:tc>
        <w:tc>
          <w:tcPr>
            <w:tcW w:w="2835" w:type="dxa"/>
            <w:tcBorders>
              <w:top w:val="nil"/>
              <w:left w:val="nil"/>
              <w:bottom w:val="single" w:sz="4" w:space="0" w:color="auto"/>
              <w:right w:val="single" w:sz="4" w:space="0" w:color="auto"/>
            </w:tcBorders>
            <w:vAlign w:val="center"/>
            <w:hideMark/>
          </w:tcPr>
          <w:p w14:paraId="13B76BA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              0.638</w:t>
            </w:r>
          </w:p>
        </w:tc>
      </w:tr>
      <w:tr w:rsidR="00E372DB" w:rsidRPr="00572A7A" w14:paraId="111ADB65" w14:textId="77777777" w:rsidTr="0000789A">
        <w:trPr>
          <w:trHeight w:val="50"/>
        </w:trPr>
        <w:tc>
          <w:tcPr>
            <w:tcW w:w="5807" w:type="dxa"/>
            <w:tcBorders>
              <w:top w:val="nil"/>
              <w:left w:val="single" w:sz="4" w:space="0" w:color="auto"/>
              <w:bottom w:val="single" w:sz="4" w:space="0" w:color="auto"/>
              <w:right w:val="single" w:sz="4" w:space="0" w:color="auto"/>
            </w:tcBorders>
            <w:vAlign w:val="center"/>
            <w:hideMark/>
          </w:tcPr>
          <w:p w14:paraId="6E845D94"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C.V.</w:t>
            </w:r>
          </w:p>
        </w:tc>
        <w:tc>
          <w:tcPr>
            <w:tcW w:w="2835" w:type="dxa"/>
            <w:tcBorders>
              <w:top w:val="nil"/>
              <w:left w:val="nil"/>
              <w:bottom w:val="single" w:sz="4" w:space="0" w:color="auto"/>
              <w:right w:val="single" w:sz="4" w:space="0" w:color="auto"/>
            </w:tcBorders>
            <w:vAlign w:val="center"/>
            <w:hideMark/>
          </w:tcPr>
          <w:p w14:paraId="6706F61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rPr>
            </w:pPr>
            <w:r w:rsidRPr="00572A7A">
              <w:rPr>
                <w:rFonts w:ascii="Times New Roman" w:eastAsia="Times New Roman" w:hAnsi="Times New Roman" w:cs="Times New Roman"/>
                <w:color w:val="000000"/>
                <w:sz w:val="24"/>
                <w:szCs w:val="24"/>
              </w:rPr>
              <w:t xml:space="preserve">              0.337</w:t>
            </w:r>
          </w:p>
        </w:tc>
      </w:tr>
    </w:tbl>
    <w:p w14:paraId="4E5F76C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graphical presentation of the percentage of leaves under the different treatments applied in the field is given below.</w:t>
      </w:r>
    </w:p>
    <w:p w14:paraId="3F5C75E7"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p w14:paraId="5923EEF1"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cs="Times New Roman"/>
          <w:noProof/>
          <w:sz w:val="24"/>
          <w:szCs w:val="24"/>
          <w:lang w:bidi="hi-IN"/>
        </w:rPr>
        <w:drawing>
          <wp:inline distT="0" distB="0" distL="0" distR="0" wp14:anchorId="1BB03B0A" wp14:editId="52D5B224">
            <wp:extent cx="5486400" cy="1549400"/>
            <wp:effectExtent l="0" t="0" r="0" b="127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2926D17"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Fig. 2: Effect of Zinc and Phosphorus Sources on Test Weight of Chickpea</w:t>
      </w:r>
    </w:p>
    <w:p w14:paraId="566FE784"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sz w:val="24"/>
          <w:szCs w:val="24"/>
          <w:lang w:bidi="hi-IN"/>
        </w:rPr>
        <w:t>Seed index (g)</w:t>
      </w:r>
    </w:p>
    <w:p w14:paraId="1E119CD4"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Seed index is also an important parameter of seed yield. Differences in seed index were observed among phosphorus and zinc treatments. The maximum seed index was observed in T9 (14.20 g), whereas the minimum seed index was observed in T0 (8.83 g). Similar responses in seed index under phosphorus and zinc treatments have also been reported (Kumar et al., 2024; Pal et al., 2019; Shivran et al., 2017; Ram et al., 2024).</w:t>
      </w:r>
    </w:p>
    <w:p w14:paraId="24BA3DB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lastRenderedPageBreak/>
        <w:t>Seed Yield (q ha</w:t>
      </w:r>
      <w:r w:rsidRPr="00572A7A">
        <w:rPr>
          <w:rFonts w:ascii="Cambria Math" w:eastAsia="Times New Roman" w:hAnsi="Cambria Math" w:cs="Cambria Math"/>
          <w:b/>
          <w:bCs/>
          <w:sz w:val="24"/>
          <w:szCs w:val="24"/>
          <w:lang w:bidi="hi-IN"/>
        </w:rPr>
        <w:t>⁻</w:t>
      </w:r>
      <w:r w:rsidRPr="00572A7A">
        <w:rPr>
          <w:rFonts w:ascii="Times New Roman" w:eastAsia="Times New Roman" w:hAnsi="Times New Roman" w:cs="Times New Roman"/>
          <w:b/>
          <w:bCs/>
          <w:sz w:val="24"/>
          <w:szCs w:val="24"/>
          <w:lang w:bidi="hi-IN"/>
        </w:rPr>
        <w:t>¹)</w:t>
      </w:r>
    </w:p>
    <w:p w14:paraId="17DF7BDE"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Seed yield increased with Zn content, whereas uptake in grain and straw decreased significantly with increasing phosphorus levels. Increasing phosphorus application significantly increased the available nitrogen, phosphorus, and potassium contents in the soil after crop harvest. Seed yield was determined from the net area of each plot by weighing the seeds after harvest and threshing. The maximum seed yield (20.20 q ha-1) was observed in T9, whereas the minimum seed yield (12.44 q ha-1) was observed in T0. Similar findings have been reported by Kaundal et al. (2023) and Khan et al. (2021).</w:t>
      </w:r>
    </w:p>
    <w:p w14:paraId="739F9EF4"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sz w:val="24"/>
          <w:szCs w:val="24"/>
          <w:lang w:bidi="hi-IN"/>
        </w:rPr>
        <w:t>Straw yield (q ha</w:t>
      </w:r>
      <w:r w:rsidRPr="00572A7A">
        <w:rPr>
          <w:rFonts w:ascii="Cambria Math" w:eastAsia="Times New Roman" w:hAnsi="Cambria Math" w:cs="Cambria Math"/>
          <w:sz w:val="24"/>
          <w:szCs w:val="24"/>
          <w:lang w:bidi="hi-IN"/>
        </w:rPr>
        <w:t>⁻</w:t>
      </w:r>
      <w:r w:rsidRPr="00572A7A">
        <w:rPr>
          <w:rFonts w:ascii="Times New Roman" w:eastAsia="Times New Roman" w:hAnsi="Times New Roman" w:cs="Times New Roman"/>
          <w:sz w:val="24"/>
          <w:szCs w:val="24"/>
          <w:lang w:bidi="hi-IN"/>
        </w:rPr>
        <w:t xml:space="preserve">¹) </w:t>
      </w:r>
    </w:p>
    <w:p w14:paraId="4DA1F665"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Straw yield is directly related to total vegetative development per unit area and, to a lesser extent, to reproductive growth. Significant differences in straw yield were observed among phosphorus and zinc treatments. The highest straw yield was recorded in T9 (24.80 q ha⁻¹), whereas the lowest straw yield was recorded in T0 (14.04 q ha⁻¹). Palla and Dawson (2022) also reported similar results under different nutrient treatments.</w:t>
      </w:r>
    </w:p>
    <w:p w14:paraId="59764EFE"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Biological yield (q ha</w:t>
      </w:r>
      <w:r w:rsidRPr="00572A7A">
        <w:rPr>
          <w:rFonts w:ascii="Cambria Math" w:eastAsia="Times New Roman" w:hAnsi="Cambria Math" w:cs="Cambria Math"/>
          <w:b/>
          <w:bCs/>
          <w:sz w:val="24"/>
          <w:szCs w:val="24"/>
          <w:lang w:bidi="hi-IN"/>
        </w:rPr>
        <w:t>⁻</w:t>
      </w:r>
      <w:r w:rsidRPr="00572A7A">
        <w:rPr>
          <w:rFonts w:ascii="Times New Roman" w:eastAsia="Times New Roman" w:hAnsi="Times New Roman" w:cs="Times New Roman"/>
          <w:b/>
          <w:bCs/>
          <w:sz w:val="24"/>
          <w:szCs w:val="24"/>
          <w:lang w:bidi="hi-IN"/>
        </w:rPr>
        <w:t>¹)</w:t>
      </w:r>
      <w:r w:rsidRPr="00572A7A">
        <w:rPr>
          <w:rFonts w:ascii="Times New Roman" w:eastAsia="Times New Roman" w:hAnsi="Times New Roman" w:cs="Times New Roman"/>
          <w:sz w:val="24"/>
          <w:szCs w:val="24"/>
          <w:lang w:bidi="hi-IN"/>
        </w:rPr>
        <w:t xml:space="preserve"> </w:t>
      </w:r>
    </w:p>
    <w:p w14:paraId="2AC138FF"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Biological yield represents the total dry matter produced by a plant system through physiological and biochemical processes. Significant differences in biological yield were observed among phosphorus and zinc treatments. The highest biological yield was recorded in T9 (44.70), whereas the lowest was recorded in T0 (26.14). Similar findings under different phosphorus and zinc treatments have been reported by Khourgamy and Farnia (2009), Neenu et al. (2014), and Kumar et al. (2009).</w:t>
      </w:r>
    </w:p>
    <w:p w14:paraId="51B4567E" w14:textId="77777777" w:rsidR="00887192" w:rsidRPr="00572A7A" w:rsidRDefault="00887192" w:rsidP="00572A7A">
      <w:pPr>
        <w:spacing w:before="100" w:beforeAutospacing="1" w:after="100" w:afterAutospacing="1" w:line="240" w:lineRule="auto"/>
        <w:jc w:val="both"/>
        <w:rPr>
          <w:rFonts w:ascii="Times New Roman" w:eastAsia="Times New Roman" w:hAnsi="Times New Roman" w:cs="Times New Roman"/>
          <w:b/>
          <w:bCs/>
          <w:sz w:val="24"/>
          <w:szCs w:val="24"/>
          <w:lang w:bidi="hi-IN"/>
        </w:rPr>
      </w:pPr>
    </w:p>
    <w:p w14:paraId="0E670109"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 xml:space="preserve">Table 3. Effect of Phosphorus and Zinc Sources on Yields of Chickpea </w:t>
      </w:r>
    </w:p>
    <w:tbl>
      <w:tblPr>
        <w:tblW w:w="9209" w:type="dxa"/>
        <w:tblLook w:val="04A0" w:firstRow="1" w:lastRow="0" w:firstColumn="1" w:lastColumn="0" w:noHBand="0" w:noVBand="1"/>
      </w:tblPr>
      <w:tblGrid>
        <w:gridCol w:w="1403"/>
        <w:gridCol w:w="1427"/>
        <w:gridCol w:w="1560"/>
        <w:gridCol w:w="1417"/>
        <w:gridCol w:w="1985"/>
        <w:gridCol w:w="1417"/>
      </w:tblGrid>
      <w:tr w:rsidR="00E372DB" w:rsidRPr="00572A7A" w14:paraId="2686CD75" w14:textId="77777777" w:rsidTr="0000789A">
        <w:trPr>
          <w:trHeight w:val="516"/>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209F60E8"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Treatments</w:t>
            </w:r>
          </w:p>
        </w:tc>
        <w:tc>
          <w:tcPr>
            <w:tcW w:w="1427" w:type="dxa"/>
            <w:tcBorders>
              <w:top w:val="single" w:sz="4" w:space="0" w:color="auto"/>
              <w:left w:val="nil"/>
              <w:bottom w:val="single" w:sz="4" w:space="0" w:color="auto"/>
              <w:right w:val="single" w:sz="4" w:space="0" w:color="auto"/>
            </w:tcBorders>
            <w:noWrap/>
            <w:vAlign w:val="center"/>
            <w:hideMark/>
          </w:tcPr>
          <w:p w14:paraId="1D556552"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Seed Yield (q/ha)</w:t>
            </w:r>
          </w:p>
        </w:tc>
        <w:tc>
          <w:tcPr>
            <w:tcW w:w="1560" w:type="dxa"/>
            <w:tcBorders>
              <w:top w:val="single" w:sz="4" w:space="0" w:color="auto"/>
              <w:left w:val="nil"/>
              <w:bottom w:val="single" w:sz="4" w:space="0" w:color="auto"/>
              <w:right w:val="single" w:sz="4" w:space="0" w:color="auto"/>
            </w:tcBorders>
            <w:noWrap/>
            <w:vAlign w:val="center"/>
            <w:hideMark/>
          </w:tcPr>
          <w:p w14:paraId="701CC7BD"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Straw Yield (q/ha)</w:t>
            </w:r>
          </w:p>
        </w:tc>
        <w:tc>
          <w:tcPr>
            <w:tcW w:w="1417" w:type="dxa"/>
            <w:tcBorders>
              <w:top w:val="single" w:sz="4" w:space="0" w:color="auto"/>
              <w:left w:val="nil"/>
              <w:bottom w:val="single" w:sz="4" w:space="0" w:color="auto"/>
              <w:right w:val="single" w:sz="4" w:space="0" w:color="auto"/>
            </w:tcBorders>
            <w:noWrap/>
            <w:vAlign w:val="center"/>
            <w:hideMark/>
          </w:tcPr>
          <w:p w14:paraId="1B278C68"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 xml:space="preserve">Seed Index </w:t>
            </w:r>
          </w:p>
        </w:tc>
        <w:tc>
          <w:tcPr>
            <w:tcW w:w="1985" w:type="dxa"/>
            <w:tcBorders>
              <w:top w:val="single" w:sz="4" w:space="0" w:color="auto"/>
              <w:left w:val="nil"/>
              <w:bottom w:val="single" w:sz="4" w:space="0" w:color="auto"/>
              <w:right w:val="single" w:sz="4" w:space="0" w:color="auto"/>
            </w:tcBorders>
            <w:noWrap/>
            <w:vAlign w:val="center"/>
            <w:hideMark/>
          </w:tcPr>
          <w:p w14:paraId="5742373D"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 xml:space="preserve">Biological Yield </w:t>
            </w:r>
          </w:p>
        </w:tc>
        <w:tc>
          <w:tcPr>
            <w:tcW w:w="1417" w:type="dxa"/>
            <w:tcBorders>
              <w:top w:val="single" w:sz="4" w:space="0" w:color="auto"/>
              <w:left w:val="nil"/>
              <w:bottom w:val="single" w:sz="4" w:space="0" w:color="auto"/>
              <w:right w:val="single" w:sz="4" w:space="0" w:color="auto"/>
            </w:tcBorders>
          </w:tcPr>
          <w:p w14:paraId="224E079D" w14:textId="77777777" w:rsidR="00E372DB" w:rsidRPr="00572A7A" w:rsidRDefault="00E372DB" w:rsidP="00572A7A">
            <w:pPr>
              <w:spacing w:after="0" w:line="240" w:lineRule="auto"/>
              <w:jc w:val="both"/>
              <w:rPr>
                <w:rFonts w:ascii="Times New Roman" w:eastAsia="Times New Roman" w:hAnsi="Times New Roman" w:cs="Times New Roman"/>
                <w:b/>
                <w:color w:val="000000"/>
                <w:sz w:val="24"/>
                <w:szCs w:val="24"/>
              </w:rPr>
            </w:pPr>
            <w:r w:rsidRPr="00572A7A">
              <w:rPr>
                <w:rFonts w:ascii="Times New Roman" w:eastAsia="Times New Roman" w:hAnsi="Times New Roman" w:cs="Times New Roman"/>
                <w:b/>
                <w:color w:val="000000"/>
                <w:sz w:val="24"/>
                <w:szCs w:val="24"/>
              </w:rPr>
              <w:t xml:space="preserve"> Harvest Index</w:t>
            </w:r>
          </w:p>
        </w:tc>
      </w:tr>
      <w:tr w:rsidR="00E372DB" w:rsidRPr="00572A7A" w14:paraId="6AEF6813" w14:textId="77777777" w:rsidTr="0000789A">
        <w:trPr>
          <w:trHeight w:val="215"/>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1C84B68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T0</w:t>
            </w:r>
          </w:p>
        </w:tc>
        <w:tc>
          <w:tcPr>
            <w:tcW w:w="1427" w:type="dxa"/>
            <w:tcBorders>
              <w:top w:val="single" w:sz="4" w:space="0" w:color="auto"/>
              <w:left w:val="nil"/>
              <w:bottom w:val="single" w:sz="4" w:space="0" w:color="auto"/>
              <w:right w:val="single" w:sz="4" w:space="0" w:color="auto"/>
            </w:tcBorders>
            <w:noWrap/>
            <w:vAlign w:val="center"/>
            <w:hideMark/>
          </w:tcPr>
          <w:p w14:paraId="2A5C302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12.44</w:t>
            </w:r>
          </w:p>
        </w:tc>
        <w:tc>
          <w:tcPr>
            <w:tcW w:w="1560" w:type="dxa"/>
            <w:tcBorders>
              <w:top w:val="single" w:sz="4" w:space="0" w:color="auto"/>
              <w:left w:val="nil"/>
              <w:bottom w:val="single" w:sz="4" w:space="0" w:color="auto"/>
              <w:right w:val="single" w:sz="4" w:space="0" w:color="auto"/>
            </w:tcBorders>
            <w:noWrap/>
            <w:vAlign w:val="center"/>
            <w:hideMark/>
          </w:tcPr>
          <w:p w14:paraId="2DAFA4A7"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14.04</w:t>
            </w:r>
          </w:p>
        </w:tc>
        <w:tc>
          <w:tcPr>
            <w:tcW w:w="1417" w:type="dxa"/>
            <w:tcBorders>
              <w:top w:val="single" w:sz="4" w:space="0" w:color="auto"/>
              <w:left w:val="nil"/>
              <w:bottom w:val="single" w:sz="4" w:space="0" w:color="auto"/>
              <w:right w:val="single" w:sz="4" w:space="0" w:color="auto"/>
            </w:tcBorders>
            <w:noWrap/>
            <w:vAlign w:val="center"/>
            <w:hideMark/>
          </w:tcPr>
          <w:p w14:paraId="464C70C3"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8.33</w:t>
            </w:r>
          </w:p>
        </w:tc>
        <w:tc>
          <w:tcPr>
            <w:tcW w:w="1985" w:type="dxa"/>
            <w:tcBorders>
              <w:top w:val="single" w:sz="4" w:space="0" w:color="auto"/>
              <w:left w:val="nil"/>
              <w:bottom w:val="single" w:sz="4" w:space="0" w:color="auto"/>
              <w:right w:val="single" w:sz="4" w:space="0" w:color="auto"/>
            </w:tcBorders>
            <w:noWrap/>
            <w:vAlign w:val="center"/>
            <w:hideMark/>
          </w:tcPr>
          <w:p w14:paraId="7D8EB75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26.14</w:t>
            </w:r>
          </w:p>
        </w:tc>
        <w:tc>
          <w:tcPr>
            <w:tcW w:w="1417" w:type="dxa"/>
            <w:tcBorders>
              <w:top w:val="single" w:sz="4" w:space="0" w:color="auto"/>
              <w:left w:val="nil"/>
              <w:bottom w:val="single" w:sz="4" w:space="0" w:color="auto"/>
              <w:right w:val="single" w:sz="4" w:space="0" w:color="auto"/>
            </w:tcBorders>
          </w:tcPr>
          <w:p w14:paraId="671D5269"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33.79</w:t>
            </w:r>
          </w:p>
        </w:tc>
      </w:tr>
      <w:tr w:rsidR="00E372DB" w:rsidRPr="00572A7A" w14:paraId="1A3C38F6" w14:textId="77777777" w:rsidTr="0000789A">
        <w:trPr>
          <w:trHeight w:val="277"/>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7D788A4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T1</w:t>
            </w:r>
          </w:p>
        </w:tc>
        <w:tc>
          <w:tcPr>
            <w:tcW w:w="1427" w:type="dxa"/>
            <w:tcBorders>
              <w:top w:val="single" w:sz="4" w:space="0" w:color="auto"/>
              <w:left w:val="nil"/>
              <w:bottom w:val="single" w:sz="4" w:space="0" w:color="auto"/>
              <w:right w:val="single" w:sz="4" w:space="0" w:color="auto"/>
            </w:tcBorders>
            <w:noWrap/>
            <w:vAlign w:val="center"/>
            <w:hideMark/>
          </w:tcPr>
          <w:p w14:paraId="145CA21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13.25</w:t>
            </w:r>
          </w:p>
        </w:tc>
        <w:tc>
          <w:tcPr>
            <w:tcW w:w="1560" w:type="dxa"/>
            <w:tcBorders>
              <w:top w:val="single" w:sz="4" w:space="0" w:color="auto"/>
              <w:left w:val="nil"/>
              <w:bottom w:val="single" w:sz="4" w:space="0" w:color="auto"/>
              <w:right w:val="single" w:sz="4" w:space="0" w:color="auto"/>
            </w:tcBorders>
            <w:noWrap/>
            <w:vAlign w:val="center"/>
            <w:hideMark/>
          </w:tcPr>
          <w:p w14:paraId="40C2913D"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14.92</w:t>
            </w:r>
          </w:p>
        </w:tc>
        <w:tc>
          <w:tcPr>
            <w:tcW w:w="1417" w:type="dxa"/>
            <w:tcBorders>
              <w:top w:val="single" w:sz="4" w:space="0" w:color="auto"/>
              <w:left w:val="nil"/>
              <w:bottom w:val="single" w:sz="4" w:space="0" w:color="auto"/>
              <w:right w:val="single" w:sz="4" w:space="0" w:color="auto"/>
            </w:tcBorders>
            <w:noWrap/>
            <w:vAlign w:val="center"/>
            <w:hideMark/>
          </w:tcPr>
          <w:p w14:paraId="034A9EF1"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9.87</w:t>
            </w:r>
          </w:p>
        </w:tc>
        <w:tc>
          <w:tcPr>
            <w:tcW w:w="1985" w:type="dxa"/>
            <w:tcBorders>
              <w:top w:val="single" w:sz="4" w:space="0" w:color="auto"/>
              <w:left w:val="nil"/>
              <w:bottom w:val="single" w:sz="4" w:space="0" w:color="auto"/>
              <w:right w:val="single" w:sz="4" w:space="0" w:color="auto"/>
            </w:tcBorders>
            <w:noWrap/>
            <w:vAlign w:val="center"/>
            <w:hideMark/>
          </w:tcPr>
          <w:p w14:paraId="60C0257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28.09</w:t>
            </w:r>
          </w:p>
        </w:tc>
        <w:tc>
          <w:tcPr>
            <w:tcW w:w="1417" w:type="dxa"/>
            <w:tcBorders>
              <w:top w:val="single" w:sz="4" w:space="0" w:color="auto"/>
              <w:left w:val="nil"/>
              <w:bottom w:val="single" w:sz="4" w:space="0" w:color="auto"/>
              <w:right w:val="single" w:sz="4" w:space="0" w:color="auto"/>
            </w:tcBorders>
          </w:tcPr>
          <w:p w14:paraId="466B377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35.13</w:t>
            </w:r>
          </w:p>
        </w:tc>
      </w:tr>
      <w:tr w:rsidR="00E372DB" w:rsidRPr="00572A7A" w14:paraId="7B15D33D" w14:textId="77777777" w:rsidTr="0000789A">
        <w:trPr>
          <w:trHeight w:val="266"/>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1361EF97"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T2</w:t>
            </w:r>
          </w:p>
        </w:tc>
        <w:tc>
          <w:tcPr>
            <w:tcW w:w="1427" w:type="dxa"/>
            <w:tcBorders>
              <w:top w:val="single" w:sz="4" w:space="0" w:color="auto"/>
              <w:left w:val="nil"/>
              <w:bottom w:val="single" w:sz="4" w:space="0" w:color="auto"/>
              <w:right w:val="single" w:sz="4" w:space="0" w:color="auto"/>
            </w:tcBorders>
            <w:noWrap/>
            <w:vAlign w:val="center"/>
            <w:hideMark/>
          </w:tcPr>
          <w:p w14:paraId="2F312C81"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13.75</w:t>
            </w:r>
          </w:p>
        </w:tc>
        <w:tc>
          <w:tcPr>
            <w:tcW w:w="1560" w:type="dxa"/>
            <w:tcBorders>
              <w:top w:val="single" w:sz="4" w:space="0" w:color="auto"/>
              <w:left w:val="nil"/>
              <w:bottom w:val="single" w:sz="4" w:space="0" w:color="auto"/>
              <w:right w:val="single" w:sz="4" w:space="0" w:color="auto"/>
            </w:tcBorders>
            <w:noWrap/>
            <w:vAlign w:val="center"/>
            <w:hideMark/>
          </w:tcPr>
          <w:p w14:paraId="0C8510A1"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15.89</w:t>
            </w:r>
          </w:p>
        </w:tc>
        <w:tc>
          <w:tcPr>
            <w:tcW w:w="1417" w:type="dxa"/>
            <w:tcBorders>
              <w:top w:val="single" w:sz="4" w:space="0" w:color="auto"/>
              <w:left w:val="nil"/>
              <w:bottom w:val="single" w:sz="4" w:space="0" w:color="auto"/>
              <w:right w:val="single" w:sz="4" w:space="0" w:color="auto"/>
            </w:tcBorders>
            <w:noWrap/>
            <w:vAlign w:val="center"/>
            <w:hideMark/>
          </w:tcPr>
          <w:p w14:paraId="67DBBA11"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10.14</w:t>
            </w:r>
          </w:p>
        </w:tc>
        <w:tc>
          <w:tcPr>
            <w:tcW w:w="1985" w:type="dxa"/>
            <w:tcBorders>
              <w:top w:val="single" w:sz="4" w:space="0" w:color="auto"/>
              <w:left w:val="nil"/>
              <w:bottom w:val="single" w:sz="4" w:space="0" w:color="auto"/>
              <w:right w:val="single" w:sz="4" w:space="0" w:color="auto"/>
            </w:tcBorders>
            <w:noWrap/>
            <w:vAlign w:val="center"/>
            <w:hideMark/>
          </w:tcPr>
          <w:p w14:paraId="737E064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30.34</w:t>
            </w:r>
          </w:p>
        </w:tc>
        <w:tc>
          <w:tcPr>
            <w:tcW w:w="1417" w:type="dxa"/>
            <w:tcBorders>
              <w:top w:val="single" w:sz="4" w:space="0" w:color="auto"/>
              <w:left w:val="nil"/>
              <w:bottom w:val="single" w:sz="4" w:space="0" w:color="auto"/>
              <w:right w:val="single" w:sz="4" w:space="0" w:color="auto"/>
            </w:tcBorders>
          </w:tcPr>
          <w:p w14:paraId="44C2AA8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33.41</w:t>
            </w:r>
          </w:p>
        </w:tc>
      </w:tr>
      <w:tr w:rsidR="00E372DB" w:rsidRPr="00572A7A" w14:paraId="1AFD16C6" w14:textId="77777777" w:rsidTr="0000789A">
        <w:trPr>
          <w:trHeight w:val="27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0F55BA35"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T3</w:t>
            </w:r>
          </w:p>
        </w:tc>
        <w:tc>
          <w:tcPr>
            <w:tcW w:w="1427" w:type="dxa"/>
            <w:tcBorders>
              <w:top w:val="single" w:sz="4" w:space="0" w:color="auto"/>
              <w:left w:val="nil"/>
              <w:bottom w:val="single" w:sz="4" w:space="0" w:color="auto"/>
              <w:right w:val="single" w:sz="4" w:space="0" w:color="auto"/>
            </w:tcBorders>
            <w:noWrap/>
            <w:vAlign w:val="center"/>
            <w:hideMark/>
          </w:tcPr>
          <w:p w14:paraId="66D53E38"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13.7</w:t>
            </w:r>
          </w:p>
        </w:tc>
        <w:tc>
          <w:tcPr>
            <w:tcW w:w="1560" w:type="dxa"/>
            <w:tcBorders>
              <w:top w:val="single" w:sz="4" w:space="0" w:color="auto"/>
              <w:left w:val="nil"/>
              <w:bottom w:val="single" w:sz="4" w:space="0" w:color="auto"/>
              <w:right w:val="single" w:sz="4" w:space="0" w:color="auto"/>
            </w:tcBorders>
            <w:noWrap/>
            <w:vAlign w:val="center"/>
            <w:hideMark/>
          </w:tcPr>
          <w:p w14:paraId="1DC0E8AD"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15.95</w:t>
            </w:r>
          </w:p>
        </w:tc>
        <w:tc>
          <w:tcPr>
            <w:tcW w:w="1417" w:type="dxa"/>
            <w:tcBorders>
              <w:top w:val="single" w:sz="4" w:space="0" w:color="auto"/>
              <w:left w:val="nil"/>
              <w:bottom w:val="single" w:sz="4" w:space="0" w:color="auto"/>
              <w:right w:val="single" w:sz="4" w:space="0" w:color="auto"/>
            </w:tcBorders>
            <w:noWrap/>
            <w:vAlign w:val="center"/>
            <w:hideMark/>
          </w:tcPr>
          <w:p w14:paraId="0CAAF1C5"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11.3</w:t>
            </w:r>
            <w:r w:rsidR="00887192" w:rsidRPr="00572A7A">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1509B988"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31.8</w:t>
            </w:r>
            <w:r w:rsidR="00887192" w:rsidRPr="00572A7A">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tcPr>
          <w:p w14:paraId="311F5B4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35.53</w:t>
            </w:r>
          </w:p>
        </w:tc>
      </w:tr>
      <w:tr w:rsidR="00E372DB" w:rsidRPr="00572A7A" w14:paraId="5AD12CA7" w14:textId="77777777" w:rsidTr="0000789A">
        <w:trPr>
          <w:trHeight w:val="274"/>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7A5F5FF3"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T4</w:t>
            </w:r>
          </w:p>
        </w:tc>
        <w:tc>
          <w:tcPr>
            <w:tcW w:w="1427" w:type="dxa"/>
            <w:tcBorders>
              <w:top w:val="single" w:sz="4" w:space="0" w:color="auto"/>
              <w:left w:val="nil"/>
              <w:bottom w:val="single" w:sz="4" w:space="0" w:color="auto"/>
              <w:right w:val="single" w:sz="4" w:space="0" w:color="auto"/>
            </w:tcBorders>
            <w:noWrap/>
            <w:vAlign w:val="center"/>
            <w:hideMark/>
          </w:tcPr>
          <w:p w14:paraId="37F0EC0F"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13.18</w:t>
            </w:r>
          </w:p>
        </w:tc>
        <w:tc>
          <w:tcPr>
            <w:tcW w:w="1560" w:type="dxa"/>
            <w:tcBorders>
              <w:top w:val="single" w:sz="4" w:space="0" w:color="auto"/>
              <w:left w:val="nil"/>
              <w:bottom w:val="single" w:sz="4" w:space="0" w:color="auto"/>
              <w:right w:val="single" w:sz="4" w:space="0" w:color="auto"/>
            </w:tcBorders>
            <w:noWrap/>
            <w:vAlign w:val="center"/>
            <w:hideMark/>
          </w:tcPr>
          <w:p w14:paraId="309CBBD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14.64</w:t>
            </w:r>
          </w:p>
        </w:tc>
        <w:tc>
          <w:tcPr>
            <w:tcW w:w="1417" w:type="dxa"/>
            <w:tcBorders>
              <w:top w:val="single" w:sz="4" w:space="0" w:color="auto"/>
              <w:left w:val="nil"/>
              <w:bottom w:val="single" w:sz="4" w:space="0" w:color="auto"/>
              <w:right w:val="single" w:sz="4" w:space="0" w:color="auto"/>
            </w:tcBorders>
            <w:noWrap/>
            <w:vAlign w:val="center"/>
            <w:hideMark/>
          </w:tcPr>
          <w:p w14:paraId="07DDF587"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11.87</w:t>
            </w:r>
          </w:p>
        </w:tc>
        <w:tc>
          <w:tcPr>
            <w:tcW w:w="1985" w:type="dxa"/>
            <w:tcBorders>
              <w:top w:val="single" w:sz="4" w:space="0" w:color="auto"/>
              <w:left w:val="nil"/>
              <w:bottom w:val="single" w:sz="4" w:space="0" w:color="auto"/>
              <w:right w:val="single" w:sz="4" w:space="0" w:color="auto"/>
            </w:tcBorders>
            <w:noWrap/>
            <w:vAlign w:val="center"/>
            <w:hideMark/>
          </w:tcPr>
          <w:p w14:paraId="69210326"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33.67</w:t>
            </w:r>
          </w:p>
        </w:tc>
        <w:tc>
          <w:tcPr>
            <w:tcW w:w="1417" w:type="dxa"/>
            <w:tcBorders>
              <w:top w:val="single" w:sz="4" w:space="0" w:color="auto"/>
              <w:left w:val="nil"/>
              <w:bottom w:val="single" w:sz="4" w:space="0" w:color="auto"/>
              <w:right w:val="single" w:sz="4" w:space="0" w:color="auto"/>
            </w:tcBorders>
          </w:tcPr>
          <w:p w14:paraId="3282B11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35.25</w:t>
            </w:r>
          </w:p>
        </w:tc>
      </w:tr>
      <w:tr w:rsidR="00E372DB" w:rsidRPr="00572A7A" w14:paraId="4FD4852D" w14:textId="77777777" w:rsidTr="0000789A">
        <w:trPr>
          <w:trHeight w:val="27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25AAE653"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T5</w:t>
            </w:r>
          </w:p>
        </w:tc>
        <w:tc>
          <w:tcPr>
            <w:tcW w:w="1427" w:type="dxa"/>
            <w:tcBorders>
              <w:top w:val="single" w:sz="4" w:space="0" w:color="auto"/>
              <w:left w:val="nil"/>
              <w:bottom w:val="single" w:sz="4" w:space="0" w:color="auto"/>
              <w:right w:val="single" w:sz="4" w:space="0" w:color="auto"/>
            </w:tcBorders>
            <w:noWrap/>
            <w:vAlign w:val="center"/>
            <w:hideMark/>
          </w:tcPr>
          <w:p w14:paraId="2852C7F5"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13.98</w:t>
            </w:r>
          </w:p>
        </w:tc>
        <w:tc>
          <w:tcPr>
            <w:tcW w:w="1560" w:type="dxa"/>
            <w:tcBorders>
              <w:top w:val="single" w:sz="4" w:space="0" w:color="auto"/>
              <w:left w:val="nil"/>
              <w:bottom w:val="single" w:sz="4" w:space="0" w:color="auto"/>
              <w:right w:val="single" w:sz="4" w:space="0" w:color="auto"/>
            </w:tcBorders>
            <w:noWrap/>
            <w:vAlign w:val="center"/>
            <w:hideMark/>
          </w:tcPr>
          <w:p w14:paraId="0ACDD8A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15.98</w:t>
            </w:r>
          </w:p>
        </w:tc>
        <w:tc>
          <w:tcPr>
            <w:tcW w:w="1417" w:type="dxa"/>
            <w:tcBorders>
              <w:top w:val="single" w:sz="4" w:space="0" w:color="auto"/>
              <w:left w:val="nil"/>
              <w:bottom w:val="single" w:sz="4" w:space="0" w:color="auto"/>
              <w:right w:val="single" w:sz="4" w:space="0" w:color="auto"/>
            </w:tcBorders>
            <w:noWrap/>
            <w:vAlign w:val="center"/>
            <w:hideMark/>
          </w:tcPr>
          <w:p w14:paraId="15FC24B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12.17</w:t>
            </w:r>
          </w:p>
        </w:tc>
        <w:tc>
          <w:tcPr>
            <w:tcW w:w="1985" w:type="dxa"/>
            <w:tcBorders>
              <w:top w:val="single" w:sz="4" w:space="0" w:color="auto"/>
              <w:left w:val="nil"/>
              <w:bottom w:val="single" w:sz="4" w:space="0" w:color="auto"/>
              <w:right w:val="single" w:sz="4" w:space="0" w:color="auto"/>
            </w:tcBorders>
            <w:noWrap/>
            <w:vAlign w:val="center"/>
            <w:hideMark/>
          </w:tcPr>
          <w:p w14:paraId="0518D82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35.47</w:t>
            </w:r>
          </w:p>
        </w:tc>
        <w:tc>
          <w:tcPr>
            <w:tcW w:w="1417" w:type="dxa"/>
            <w:tcBorders>
              <w:top w:val="single" w:sz="4" w:space="0" w:color="auto"/>
              <w:left w:val="nil"/>
              <w:bottom w:val="single" w:sz="4" w:space="0" w:color="auto"/>
              <w:right w:val="single" w:sz="4" w:space="0" w:color="auto"/>
            </w:tcBorders>
          </w:tcPr>
          <w:p w14:paraId="2529CE1A"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34.3</w:t>
            </w:r>
            <w:r w:rsidR="00887192" w:rsidRPr="00572A7A">
              <w:rPr>
                <w:rFonts w:ascii="Times New Roman" w:eastAsia="Times New Roman" w:hAnsi="Times New Roman" w:cs="Times New Roman"/>
                <w:bCs/>
                <w:color w:val="000000"/>
              </w:rPr>
              <w:t>0</w:t>
            </w:r>
          </w:p>
        </w:tc>
      </w:tr>
      <w:tr w:rsidR="00E372DB" w:rsidRPr="00572A7A" w14:paraId="4BC7B8ED" w14:textId="77777777" w:rsidTr="0000789A">
        <w:trPr>
          <w:trHeight w:val="26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2705DF0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T6</w:t>
            </w:r>
          </w:p>
        </w:tc>
        <w:tc>
          <w:tcPr>
            <w:tcW w:w="1427" w:type="dxa"/>
            <w:tcBorders>
              <w:top w:val="single" w:sz="4" w:space="0" w:color="auto"/>
              <w:left w:val="nil"/>
              <w:bottom w:val="single" w:sz="4" w:space="0" w:color="auto"/>
              <w:right w:val="single" w:sz="4" w:space="0" w:color="auto"/>
            </w:tcBorders>
            <w:noWrap/>
            <w:vAlign w:val="center"/>
            <w:hideMark/>
          </w:tcPr>
          <w:p w14:paraId="2748B9B3"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14.63</w:t>
            </w:r>
          </w:p>
        </w:tc>
        <w:tc>
          <w:tcPr>
            <w:tcW w:w="1560" w:type="dxa"/>
            <w:tcBorders>
              <w:top w:val="single" w:sz="4" w:space="0" w:color="auto"/>
              <w:left w:val="nil"/>
              <w:bottom w:val="single" w:sz="4" w:space="0" w:color="auto"/>
              <w:right w:val="single" w:sz="4" w:space="0" w:color="auto"/>
            </w:tcBorders>
            <w:noWrap/>
            <w:vAlign w:val="center"/>
            <w:hideMark/>
          </w:tcPr>
          <w:p w14:paraId="2C08D26F"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16.6</w:t>
            </w:r>
            <w:r w:rsidR="00887192" w:rsidRPr="00572A7A">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697DADF6"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12.73</w:t>
            </w:r>
          </w:p>
        </w:tc>
        <w:tc>
          <w:tcPr>
            <w:tcW w:w="1985" w:type="dxa"/>
            <w:tcBorders>
              <w:top w:val="single" w:sz="4" w:space="0" w:color="auto"/>
              <w:left w:val="nil"/>
              <w:bottom w:val="single" w:sz="4" w:space="0" w:color="auto"/>
              <w:right w:val="single" w:sz="4" w:space="0" w:color="auto"/>
            </w:tcBorders>
            <w:noWrap/>
            <w:vAlign w:val="center"/>
            <w:hideMark/>
          </w:tcPr>
          <w:p w14:paraId="158794B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37.13</w:t>
            </w:r>
          </w:p>
        </w:tc>
        <w:tc>
          <w:tcPr>
            <w:tcW w:w="1417" w:type="dxa"/>
            <w:tcBorders>
              <w:top w:val="single" w:sz="4" w:space="0" w:color="auto"/>
              <w:left w:val="nil"/>
              <w:bottom w:val="single" w:sz="4" w:space="0" w:color="auto"/>
              <w:right w:val="single" w:sz="4" w:space="0" w:color="auto"/>
            </w:tcBorders>
          </w:tcPr>
          <w:p w14:paraId="0D608B2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34.29</w:t>
            </w:r>
          </w:p>
        </w:tc>
      </w:tr>
      <w:tr w:rsidR="00E372DB" w:rsidRPr="00572A7A" w14:paraId="3D7A2314" w14:textId="77777777" w:rsidTr="0000789A">
        <w:trPr>
          <w:trHeight w:val="24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480E40CD"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T7</w:t>
            </w:r>
          </w:p>
        </w:tc>
        <w:tc>
          <w:tcPr>
            <w:tcW w:w="1427" w:type="dxa"/>
            <w:tcBorders>
              <w:top w:val="single" w:sz="4" w:space="0" w:color="auto"/>
              <w:left w:val="nil"/>
              <w:bottom w:val="single" w:sz="4" w:space="0" w:color="auto"/>
              <w:right w:val="single" w:sz="4" w:space="0" w:color="auto"/>
            </w:tcBorders>
            <w:noWrap/>
            <w:vAlign w:val="center"/>
            <w:hideMark/>
          </w:tcPr>
          <w:p w14:paraId="65D8D71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17.63</w:t>
            </w:r>
          </w:p>
        </w:tc>
        <w:tc>
          <w:tcPr>
            <w:tcW w:w="1560" w:type="dxa"/>
            <w:tcBorders>
              <w:top w:val="single" w:sz="4" w:space="0" w:color="auto"/>
              <w:left w:val="nil"/>
              <w:bottom w:val="single" w:sz="4" w:space="0" w:color="auto"/>
              <w:right w:val="single" w:sz="4" w:space="0" w:color="auto"/>
            </w:tcBorders>
            <w:noWrap/>
            <w:vAlign w:val="center"/>
            <w:hideMark/>
          </w:tcPr>
          <w:p w14:paraId="4AC11075"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19.1</w:t>
            </w:r>
            <w:r w:rsidR="00887192" w:rsidRPr="00572A7A">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6BA136B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13.2</w:t>
            </w:r>
            <w:r w:rsidR="00887192" w:rsidRPr="00572A7A">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22BBE424"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39.27</w:t>
            </w:r>
          </w:p>
        </w:tc>
        <w:tc>
          <w:tcPr>
            <w:tcW w:w="1417" w:type="dxa"/>
            <w:tcBorders>
              <w:top w:val="single" w:sz="4" w:space="0" w:color="auto"/>
              <w:left w:val="nil"/>
              <w:bottom w:val="single" w:sz="4" w:space="0" w:color="auto"/>
              <w:right w:val="single" w:sz="4" w:space="0" w:color="auto"/>
            </w:tcBorders>
          </w:tcPr>
          <w:p w14:paraId="1D2C09A1"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33.62</w:t>
            </w:r>
          </w:p>
        </w:tc>
      </w:tr>
      <w:tr w:rsidR="00E372DB" w:rsidRPr="00572A7A" w14:paraId="326CA34A" w14:textId="77777777" w:rsidTr="0000789A">
        <w:trPr>
          <w:trHeight w:val="26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11A09BF2"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T8</w:t>
            </w:r>
          </w:p>
        </w:tc>
        <w:tc>
          <w:tcPr>
            <w:tcW w:w="1427" w:type="dxa"/>
            <w:tcBorders>
              <w:top w:val="single" w:sz="4" w:space="0" w:color="auto"/>
              <w:left w:val="nil"/>
              <w:bottom w:val="single" w:sz="4" w:space="0" w:color="auto"/>
              <w:right w:val="single" w:sz="4" w:space="0" w:color="auto"/>
            </w:tcBorders>
            <w:noWrap/>
            <w:vAlign w:val="center"/>
            <w:hideMark/>
          </w:tcPr>
          <w:p w14:paraId="598B590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19.37</w:t>
            </w:r>
          </w:p>
        </w:tc>
        <w:tc>
          <w:tcPr>
            <w:tcW w:w="1560" w:type="dxa"/>
            <w:tcBorders>
              <w:top w:val="single" w:sz="4" w:space="0" w:color="auto"/>
              <w:left w:val="nil"/>
              <w:bottom w:val="single" w:sz="4" w:space="0" w:color="auto"/>
              <w:right w:val="single" w:sz="4" w:space="0" w:color="auto"/>
            </w:tcBorders>
            <w:noWrap/>
            <w:vAlign w:val="center"/>
            <w:hideMark/>
          </w:tcPr>
          <w:p w14:paraId="51E3FBC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21.17</w:t>
            </w:r>
          </w:p>
        </w:tc>
        <w:tc>
          <w:tcPr>
            <w:tcW w:w="1417" w:type="dxa"/>
            <w:tcBorders>
              <w:top w:val="single" w:sz="4" w:space="0" w:color="auto"/>
              <w:left w:val="nil"/>
              <w:bottom w:val="single" w:sz="4" w:space="0" w:color="auto"/>
              <w:right w:val="single" w:sz="4" w:space="0" w:color="auto"/>
            </w:tcBorders>
            <w:noWrap/>
            <w:vAlign w:val="center"/>
            <w:hideMark/>
          </w:tcPr>
          <w:p w14:paraId="323FA42A"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13.87</w:t>
            </w:r>
          </w:p>
        </w:tc>
        <w:tc>
          <w:tcPr>
            <w:tcW w:w="1985" w:type="dxa"/>
            <w:tcBorders>
              <w:top w:val="single" w:sz="4" w:space="0" w:color="auto"/>
              <w:left w:val="nil"/>
              <w:bottom w:val="single" w:sz="4" w:space="0" w:color="auto"/>
              <w:right w:val="single" w:sz="4" w:space="0" w:color="auto"/>
            </w:tcBorders>
            <w:noWrap/>
            <w:vAlign w:val="center"/>
            <w:hideMark/>
          </w:tcPr>
          <w:p w14:paraId="4E89BE0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41.73</w:t>
            </w:r>
          </w:p>
        </w:tc>
        <w:tc>
          <w:tcPr>
            <w:tcW w:w="1417" w:type="dxa"/>
            <w:tcBorders>
              <w:top w:val="single" w:sz="4" w:space="0" w:color="auto"/>
              <w:left w:val="nil"/>
              <w:bottom w:val="single" w:sz="4" w:space="0" w:color="auto"/>
              <w:right w:val="single" w:sz="4" w:space="0" w:color="auto"/>
            </w:tcBorders>
          </w:tcPr>
          <w:p w14:paraId="154C7D39"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33.23</w:t>
            </w:r>
          </w:p>
        </w:tc>
      </w:tr>
      <w:tr w:rsidR="00E372DB" w:rsidRPr="00572A7A" w14:paraId="63C24542" w14:textId="77777777" w:rsidTr="0000789A">
        <w:trPr>
          <w:trHeight w:val="27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0CC10E79"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T9</w:t>
            </w:r>
          </w:p>
        </w:tc>
        <w:tc>
          <w:tcPr>
            <w:tcW w:w="1427" w:type="dxa"/>
            <w:tcBorders>
              <w:top w:val="single" w:sz="4" w:space="0" w:color="auto"/>
              <w:left w:val="nil"/>
              <w:bottom w:val="single" w:sz="4" w:space="0" w:color="auto"/>
              <w:right w:val="single" w:sz="4" w:space="0" w:color="auto"/>
            </w:tcBorders>
            <w:noWrap/>
            <w:vAlign w:val="center"/>
            <w:hideMark/>
          </w:tcPr>
          <w:p w14:paraId="65550176"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20.2</w:t>
            </w:r>
            <w:r w:rsidR="00887192" w:rsidRPr="00572A7A">
              <w:rPr>
                <w:rFonts w:ascii="Times New Roman" w:eastAsia="Times New Roman" w:hAnsi="Times New Roman" w:cs="Times New Roman"/>
                <w:bCs/>
                <w:color w:val="000000"/>
              </w:rPr>
              <w:t>0</w:t>
            </w:r>
          </w:p>
        </w:tc>
        <w:tc>
          <w:tcPr>
            <w:tcW w:w="1560" w:type="dxa"/>
            <w:tcBorders>
              <w:top w:val="single" w:sz="4" w:space="0" w:color="auto"/>
              <w:left w:val="nil"/>
              <w:bottom w:val="single" w:sz="4" w:space="0" w:color="auto"/>
              <w:right w:val="single" w:sz="4" w:space="0" w:color="auto"/>
            </w:tcBorders>
            <w:noWrap/>
            <w:vAlign w:val="center"/>
            <w:hideMark/>
          </w:tcPr>
          <w:p w14:paraId="0925ECFA"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24.8</w:t>
            </w:r>
            <w:r w:rsidR="00887192" w:rsidRPr="00572A7A">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noWrap/>
            <w:vAlign w:val="center"/>
            <w:hideMark/>
          </w:tcPr>
          <w:p w14:paraId="0F00F5E2"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14.2</w:t>
            </w:r>
            <w:r w:rsidR="00887192" w:rsidRPr="00572A7A">
              <w:rPr>
                <w:rFonts w:ascii="Times New Roman" w:eastAsia="Times New Roman" w:hAnsi="Times New Roman" w:cs="Times New Roman"/>
                <w:bCs/>
                <w:color w:val="000000"/>
              </w:rPr>
              <w:t>0</w:t>
            </w:r>
          </w:p>
        </w:tc>
        <w:tc>
          <w:tcPr>
            <w:tcW w:w="1985" w:type="dxa"/>
            <w:tcBorders>
              <w:top w:val="single" w:sz="4" w:space="0" w:color="auto"/>
              <w:left w:val="nil"/>
              <w:bottom w:val="single" w:sz="4" w:space="0" w:color="auto"/>
              <w:right w:val="single" w:sz="4" w:space="0" w:color="auto"/>
            </w:tcBorders>
            <w:noWrap/>
            <w:vAlign w:val="center"/>
            <w:hideMark/>
          </w:tcPr>
          <w:p w14:paraId="32E5A862"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44.7</w:t>
            </w:r>
            <w:r w:rsidR="00887192" w:rsidRPr="00572A7A">
              <w:rPr>
                <w:rFonts w:ascii="Times New Roman" w:eastAsia="Times New Roman" w:hAnsi="Times New Roman" w:cs="Times New Roman"/>
                <w:bCs/>
                <w:color w:val="000000"/>
              </w:rPr>
              <w:t>0</w:t>
            </w:r>
          </w:p>
        </w:tc>
        <w:tc>
          <w:tcPr>
            <w:tcW w:w="1417" w:type="dxa"/>
            <w:tcBorders>
              <w:top w:val="single" w:sz="4" w:space="0" w:color="auto"/>
              <w:left w:val="nil"/>
              <w:bottom w:val="single" w:sz="4" w:space="0" w:color="auto"/>
              <w:right w:val="single" w:sz="4" w:space="0" w:color="auto"/>
            </w:tcBorders>
          </w:tcPr>
          <w:p w14:paraId="2F7983C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31.77</w:t>
            </w:r>
          </w:p>
        </w:tc>
      </w:tr>
      <w:tr w:rsidR="00E372DB" w:rsidRPr="00572A7A" w14:paraId="49743549" w14:textId="77777777" w:rsidTr="0000789A">
        <w:trPr>
          <w:trHeight w:val="269"/>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2EE7E37F"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C.D.</w:t>
            </w:r>
          </w:p>
        </w:tc>
        <w:tc>
          <w:tcPr>
            <w:tcW w:w="1427" w:type="dxa"/>
            <w:tcBorders>
              <w:top w:val="single" w:sz="4" w:space="0" w:color="auto"/>
              <w:left w:val="nil"/>
              <w:bottom w:val="single" w:sz="4" w:space="0" w:color="auto"/>
              <w:right w:val="single" w:sz="4" w:space="0" w:color="auto"/>
            </w:tcBorders>
            <w:noWrap/>
            <w:vAlign w:val="center"/>
            <w:hideMark/>
          </w:tcPr>
          <w:p w14:paraId="110F55E8"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0.494</w:t>
            </w:r>
          </w:p>
        </w:tc>
        <w:tc>
          <w:tcPr>
            <w:tcW w:w="1560" w:type="dxa"/>
            <w:tcBorders>
              <w:top w:val="single" w:sz="4" w:space="0" w:color="auto"/>
              <w:left w:val="nil"/>
              <w:bottom w:val="single" w:sz="4" w:space="0" w:color="auto"/>
              <w:right w:val="single" w:sz="4" w:space="0" w:color="auto"/>
            </w:tcBorders>
            <w:noWrap/>
            <w:vAlign w:val="center"/>
            <w:hideMark/>
          </w:tcPr>
          <w:p w14:paraId="145F65C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0.721</w:t>
            </w:r>
          </w:p>
        </w:tc>
        <w:tc>
          <w:tcPr>
            <w:tcW w:w="1417" w:type="dxa"/>
            <w:tcBorders>
              <w:top w:val="single" w:sz="4" w:space="0" w:color="auto"/>
              <w:left w:val="nil"/>
              <w:bottom w:val="single" w:sz="4" w:space="0" w:color="auto"/>
              <w:right w:val="single" w:sz="4" w:space="0" w:color="auto"/>
            </w:tcBorders>
            <w:noWrap/>
            <w:vAlign w:val="center"/>
            <w:hideMark/>
          </w:tcPr>
          <w:p w14:paraId="2AD105A6"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0.554</w:t>
            </w:r>
          </w:p>
        </w:tc>
        <w:tc>
          <w:tcPr>
            <w:tcW w:w="1985" w:type="dxa"/>
            <w:tcBorders>
              <w:top w:val="single" w:sz="4" w:space="0" w:color="auto"/>
              <w:left w:val="nil"/>
              <w:bottom w:val="single" w:sz="4" w:space="0" w:color="auto"/>
              <w:right w:val="single" w:sz="4" w:space="0" w:color="auto"/>
            </w:tcBorders>
            <w:noWrap/>
            <w:vAlign w:val="center"/>
            <w:hideMark/>
          </w:tcPr>
          <w:p w14:paraId="2FD2702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0.813</w:t>
            </w:r>
          </w:p>
        </w:tc>
        <w:tc>
          <w:tcPr>
            <w:tcW w:w="1417" w:type="dxa"/>
            <w:tcBorders>
              <w:top w:val="single" w:sz="4" w:space="0" w:color="auto"/>
              <w:left w:val="nil"/>
              <w:bottom w:val="single" w:sz="4" w:space="0" w:color="auto"/>
              <w:right w:val="single" w:sz="4" w:space="0" w:color="auto"/>
            </w:tcBorders>
          </w:tcPr>
          <w:p w14:paraId="37260AA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0.302</w:t>
            </w:r>
          </w:p>
        </w:tc>
      </w:tr>
      <w:tr w:rsidR="00E372DB" w:rsidRPr="00572A7A" w14:paraId="37625300" w14:textId="77777777" w:rsidTr="0000789A">
        <w:trPr>
          <w:trHeight w:val="27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0A2D1255"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SE(m)</w:t>
            </w:r>
          </w:p>
        </w:tc>
        <w:tc>
          <w:tcPr>
            <w:tcW w:w="1427" w:type="dxa"/>
            <w:tcBorders>
              <w:top w:val="single" w:sz="4" w:space="0" w:color="auto"/>
              <w:left w:val="nil"/>
              <w:bottom w:val="single" w:sz="4" w:space="0" w:color="auto"/>
              <w:right w:val="single" w:sz="4" w:space="0" w:color="auto"/>
            </w:tcBorders>
            <w:noWrap/>
            <w:vAlign w:val="center"/>
            <w:hideMark/>
          </w:tcPr>
          <w:p w14:paraId="7E24EE1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0.165</w:t>
            </w:r>
          </w:p>
        </w:tc>
        <w:tc>
          <w:tcPr>
            <w:tcW w:w="1560" w:type="dxa"/>
            <w:tcBorders>
              <w:top w:val="single" w:sz="4" w:space="0" w:color="auto"/>
              <w:left w:val="nil"/>
              <w:bottom w:val="single" w:sz="4" w:space="0" w:color="auto"/>
              <w:right w:val="single" w:sz="4" w:space="0" w:color="auto"/>
            </w:tcBorders>
            <w:noWrap/>
            <w:vAlign w:val="center"/>
            <w:hideMark/>
          </w:tcPr>
          <w:p w14:paraId="69CDDBF0"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0.241</w:t>
            </w:r>
          </w:p>
        </w:tc>
        <w:tc>
          <w:tcPr>
            <w:tcW w:w="1417" w:type="dxa"/>
            <w:tcBorders>
              <w:top w:val="single" w:sz="4" w:space="0" w:color="auto"/>
              <w:left w:val="nil"/>
              <w:bottom w:val="single" w:sz="4" w:space="0" w:color="auto"/>
              <w:right w:val="single" w:sz="4" w:space="0" w:color="auto"/>
            </w:tcBorders>
            <w:noWrap/>
            <w:vAlign w:val="center"/>
            <w:hideMark/>
          </w:tcPr>
          <w:p w14:paraId="197B7768"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0.185</w:t>
            </w:r>
          </w:p>
        </w:tc>
        <w:tc>
          <w:tcPr>
            <w:tcW w:w="1985" w:type="dxa"/>
            <w:tcBorders>
              <w:top w:val="single" w:sz="4" w:space="0" w:color="auto"/>
              <w:left w:val="nil"/>
              <w:bottom w:val="single" w:sz="4" w:space="0" w:color="auto"/>
              <w:right w:val="single" w:sz="4" w:space="0" w:color="auto"/>
            </w:tcBorders>
            <w:noWrap/>
            <w:vAlign w:val="center"/>
            <w:hideMark/>
          </w:tcPr>
          <w:p w14:paraId="30A095D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0.272</w:t>
            </w:r>
          </w:p>
        </w:tc>
        <w:tc>
          <w:tcPr>
            <w:tcW w:w="1417" w:type="dxa"/>
            <w:tcBorders>
              <w:top w:val="single" w:sz="4" w:space="0" w:color="auto"/>
              <w:left w:val="nil"/>
              <w:bottom w:val="single" w:sz="4" w:space="0" w:color="auto"/>
              <w:right w:val="single" w:sz="4" w:space="0" w:color="auto"/>
            </w:tcBorders>
          </w:tcPr>
          <w:p w14:paraId="1BA22B42"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0.101</w:t>
            </w:r>
          </w:p>
        </w:tc>
      </w:tr>
      <w:tr w:rsidR="00E372DB" w:rsidRPr="00572A7A" w14:paraId="3820CCC6" w14:textId="77777777" w:rsidTr="0000789A">
        <w:trPr>
          <w:trHeight w:val="263"/>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5217008A"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SE(d)</w:t>
            </w:r>
          </w:p>
        </w:tc>
        <w:tc>
          <w:tcPr>
            <w:tcW w:w="1427" w:type="dxa"/>
            <w:tcBorders>
              <w:top w:val="single" w:sz="4" w:space="0" w:color="auto"/>
              <w:left w:val="nil"/>
              <w:bottom w:val="single" w:sz="4" w:space="0" w:color="auto"/>
              <w:right w:val="single" w:sz="4" w:space="0" w:color="auto"/>
            </w:tcBorders>
            <w:noWrap/>
            <w:vAlign w:val="center"/>
            <w:hideMark/>
          </w:tcPr>
          <w:p w14:paraId="577C8A4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0.233</w:t>
            </w:r>
          </w:p>
        </w:tc>
        <w:tc>
          <w:tcPr>
            <w:tcW w:w="1560" w:type="dxa"/>
            <w:tcBorders>
              <w:top w:val="single" w:sz="4" w:space="0" w:color="auto"/>
              <w:left w:val="nil"/>
              <w:bottom w:val="single" w:sz="4" w:space="0" w:color="auto"/>
              <w:right w:val="single" w:sz="4" w:space="0" w:color="auto"/>
            </w:tcBorders>
            <w:noWrap/>
            <w:vAlign w:val="center"/>
            <w:hideMark/>
          </w:tcPr>
          <w:p w14:paraId="5FD2491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0.341</w:t>
            </w:r>
          </w:p>
        </w:tc>
        <w:tc>
          <w:tcPr>
            <w:tcW w:w="1417" w:type="dxa"/>
            <w:tcBorders>
              <w:top w:val="single" w:sz="4" w:space="0" w:color="auto"/>
              <w:left w:val="nil"/>
              <w:bottom w:val="single" w:sz="4" w:space="0" w:color="auto"/>
              <w:right w:val="single" w:sz="4" w:space="0" w:color="auto"/>
            </w:tcBorders>
            <w:noWrap/>
            <w:vAlign w:val="center"/>
            <w:hideMark/>
          </w:tcPr>
          <w:p w14:paraId="214BF6FE"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0.262</w:t>
            </w:r>
          </w:p>
        </w:tc>
        <w:tc>
          <w:tcPr>
            <w:tcW w:w="1985" w:type="dxa"/>
            <w:tcBorders>
              <w:top w:val="single" w:sz="4" w:space="0" w:color="auto"/>
              <w:left w:val="nil"/>
              <w:bottom w:val="single" w:sz="4" w:space="0" w:color="auto"/>
              <w:right w:val="single" w:sz="4" w:space="0" w:color="auto"/>
            </w:tcBorders>
            <w:noWrap/>
            <w:vAlign w:val="center"/>
            <w:hideMark/>
          </w:tcPr>
          <w:p w14:paraId="7A4F21BF"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0.384</w:t>
            </w:r>
          </w:p>
        </w:tc>
        <w:tc>
          <w:tcPr>
            <w:tcW w:w="1417" w:type="dxa"/>
            <w:tcBorders>
              <w:top w:val="single" w:sz="4" w:space="0" w:color="auto"/>
              <w:left w:val="nil"/>
              <w:bottom w:val="single" w:sz="4" w:space="0" w:color="auto"/>
              <w:right w:val="single" w:sz="4" w:space="0" w:color="auto"/>
            </w:tcBorders>
          </w:tcPr>
          <w:p w14:paraId="48CE946C"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0.143</w:t>
            </w:r>
          </w:p>
        </w:tc>
      </w:tr>
      <w:tr w:rsidR="00E372DB" w:rsidRPr="00572A7A" w14:paraId="6A74731B" w14:textId="77777777" w:rsidTr="0000789A">
        <w:trPr>
          <w:trHeight w:val="281"/>
        </w:trPr>
        <w:tc>
          <w:tcPr>
            <w:tcW w:w="1403" w:type="dxa"/>
            <w:tcBorders>
              <w:top w:val="single" w:sz="4" w:space="0" w:color="auto"/>
              <w:left w:val="single" w:sz="4" w:space="0" w:color="auto"/>
              <w:bottom w:val="single" w:sz="4" w:space="0" w:color="auto"/>
              <w:right w:val="single" w:sz="4" w:space="0" w:color="auto"/>
            </w:tcBorders>
            <w:noWrap/>
            <w:vAlign w:val="center"/>
            <w:hideMark/>
          </w:tcPr>
          <w:p w14:paraId="5D5CA417"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lastRenderedPageBreak/>
              <w:t>C.V.</w:t>
            </w:r>
          </w:p>
        </w:tc>
        <w:tc>
          <w:tcPr>
            <w:tcW w:w="1427" w:type="dxa"/>
            <w:tcBorders>
              <w:top w:val="single" w:sz="4" w:space="0" w:color="auto"/>
              <w:left w:val="nil"/>
              <w:bottom w:val="single" w:sz="4" w:space="0" w:color="auto"/>
              <w:right w:val="single" w:sz="4" w:space="0" w:color="auto"/>
            </w:tcBorders>
            <w:noWrap/>
            <w:vAlign w:val="center"/>
            <w:hideMark/>
          </w:tcPr>
          <w:p w14:paraId="460FF03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1.878</w:t>
            </w:r>
          </w:p>
        </w:tc>
        <w:tc>
          <w:tcPr>
            <w:tcW w:w="1560" w:type="dxa"/>
            <w:tcBorders>
              <w:top w:val="single" w:sz="4" w:space="0" w:color="auto"/>
              <w:left w:val="nil"/>
              <w:bottom w:val="single" w:sz="4" w:space="0" w:color="auto"/>
              <w:right w:val="single" w:sz="4" w:space="0" w:color="auto"/>
            </w:tcBorders>
            <w:noWrap/>
            <w:vAlign w:val="center"/>
            <w:hideMark/>
          </w:tcPr>
          <w:p w14:paraId="6C7FD428"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2.41</w:t>
            </w:r>
          </w:p>
        </w:tc>
        <w:tc>
          <w:tcPr>
            <w:tcW w:w="1417" w:type="dxa"/>
            <w:tcBorders>
              <w:top w:val="single" w:sz="4" w:space="0" w:color="auto"/>
              <w:left w:val="nil"/>
              <w:bottom w:val="single" w:sz="4" w:space="0" w:color="auto"/>
              <w:right w:val="single" w:sz="4" w:space="0" w:color="auto"/>
            </w:tcBorders>
            <w:noWrap/>
            <w:vAlign w:val="center"/>
            <w:hideMark/>
          </w:tcPr>
          <w:p w14:paraId="7EFB02BB"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2.714</w:t>
            </w:r>
          </w:p>
        </w:tc>
        <w:tc>
          <w:tcPr>
            <w:tcW w:w="1985" w:type="dxa"/>
            <w:tcBorders>
              <w:top w:val="single" w:sz="4" w:space="0" w:color="auto"/>
              <w:left w:val="nil"/>
              <w:bottom w:val="single" w:sz="4" w:space="0" w:color="auto"/>
              <w:right w:val="single" w:sz="4" w:space="0" w:color="auto"/>
            </w:tcBorders>
            <w:noWrap/>
            <w:vAlign w:val="center"/>
            <w:hideMark/>
          </w:tcPr>
          <w:p w14:paraId="7EA4B80A"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1.35</w:t>
            </w:r>
          </w:p>
        </w:tc>
        <w:tc>
          <w:tcPr>
            <w:tcW w:w="1417" w:type="dxa"/>
            <w:tcBorders>
              <w:top w:val="single" w:sz="4" w:space="0" w:color="auto"/>
              <w:left w:val="nil"/>
              <w:bottom w:val="single" w:sz="4" w:space="0" w:color="auto"/>
              <w:right w:val="single" w:sz="4" w:space="0" w:color="auto"/>
            </w:tcBorders>
            <w:shd w:val="clear" w:color="000000" w:fill="FFFFFF"/>
          </w:tcPr>
          <w:p w14:paraId="10355E6F" w14:textId="77777777" w:rsidR="00E372DB" w:rsidRPr="00572A7A" w:rsidRDefault="00E372DB" w:rsidP="00572A7A">
            <w:pPr>
              <w:spacing w:after="0" w:line="240" w:lineRule="auto"/>
              <w:jc w:val="both"/>
              <w:rPr>
                <w:rFonts w:ascii="Times New Roman" w:eastAsia="Times New Roman" w:hAnsi="Times New Roman" w:cs="Times New Roman"/>
                <w:bCs/>
                <w:color w:val="000000"/>
              </w:rPr>
            </w:pPr>
            <w:r w:rsidRPr="00572A7A">
              <w:rPr>
                <w:rFonts w:ascii="Times New Roman" w:eastAsia="Times New Roman" w:hAnsi="Times New Roman" w:cs="Times New Roman"/>
                <w:bCs/>
                <w:color w:val="000000"/>
              </w:rPr>
              <w:t>0.513</w:t>
            </w:r>
          </w:p>
        </w:tc>
      </w:tr>
    </w:tbl>
    <w:p w14:paraId="1070C82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graphical presentation of the percentage of leaves under the different treatments applied in the field is given below.</w:t>
      </w:r>
    </w:p>
    <w:p w14:paraId="51BB1E83"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noProof/>
          <w:lang w:bidi="hi-IN"/>
        </w:rPr>
        <w:drawing>
          <wp:inline distT="0" distB="0" distL="0" distR="0" wp14:anchorId="2C66B86B" wp14:editId="7BBDA01C">
            <wp:extent cx="5443855" cy="1784350"/>
            <wp:effectExtent l="0" t="0" r="4445"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8E7716"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Fig. 3. Effect of zinc and phosphorus sources on various yields of chickpea</w:t>
      </w:r>
    </w:p>
    <w:p w14:paraId="7E7B4541"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Harvest Index</w:t>
      </w:r>
    </w:p>
    <w:p w14:paraId="5A1CCCA4"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harvest index recorded in T9 was 31.77, whereas that recorded in T0 was 33.79. Similar findings have been reported by Khan and Singh (2005) and Bhadru et al. (2019).</w:t>
      </w:r>
    </w:p>
    <w:p w14:paraId="1DE39D80"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 xml:space="preserve">ECONOMIC ANALYSES </w:t>
      </w:r>
    </w:p>
    <w:p w14:paraId="401DFCE2"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In the economic analysis, the net profit obtained from the different treatments was calculated. In this study, phosphorus and zinc sources were used in various treatment combinations. The cost of cultivation and gross return varied because of differences in yield. The maximum net return and net return per rupee invested were computed. In chickpea production, the net return per rupee invested should be greater than 1. If it is less than 1, the economic performance of chickpea production is reduced. A farmer or grower incurs a loss if the value is less than 0.</w:t>
      </w:r>
    </w:p>
    <w:p w14:paraId="597B4B95"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sz w:val="24"/>
          <w:szCs w:val="24"/>
          <w:lang w:bidi="hi-IN"/>
        </w:rPr>
        <w:t>Cost of cultivation (₹ ha</w:t>
      </w:r>
      <w:r w:rsidRPr="00572A7A">
        <w:rPr>
          <w:rFonts w:ascii="Cambria Math" w:eastAsia="Times New Roman" w:hAnsi="Cambria Math" w:cs="Cambria Math"/>
          <w:sz w:val="24"/>
          <w:szCs w:val="24"/>
          <w:lang w:bidi="hi-IN"/>
        </w:rPr>
        <w:t>⁻</w:t>
      </w:r>
      <w:r w:rsidRPr="00572A7A">
        <w:rPr>
          <w:rFonts w:ascii="Times New Roman" w:eastAsia="Times New Roman" w:hAnsi="Times New Roman" w:cs="Times New Roman"/>
          <w:sz w:val="24"/>
          <w:szCs w:val="24"/>
          <w:lang w:bidi="hi-IN"/>
        </w:rPr>
        <w:t xml:space="preserve">¹) </w:t>
      </w:r>
    </w:p>
    <w:p w14:paraId="6A0F7907"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effect of phosphorus and zinc treatments on the cost of cultivation is presented in Table 4. Both fixed and variable costs invested in crop production were included in the cost of cultivation. The highest cost of cultivation was recorded in T9 (Rs. 42056), whereas the lowest was recorded in T0 (Rs. 30421; control).</w:t>
      </w:r>
    </w:p>
    <w:p w14:paraId="6EA302F1"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Table 4. Effect of Phosphorus and Zinc Sources on Cost of Cultivation, Gross and Net Return, and Benefit-Cost Ratio in Chickpea</w:t>
      </w:r>
    </w:p>
    <w:tbl>
      <w:tblPr>
        <w:tblW w:w="9260" w:type="dxa"/>
        <w:tblInd w:w="-10" w:type="dxa"/>
        <w:tblLook w:val="04A0" w:firstRow="1" w:lastRow="0" w:firstColumn="1" w:lastColumn="0" w:noHBand="0" w:noVBand="1"/>
      </w:tblPr>
      <w:tblGrid>
        <w:gridCol w:w="1600"/>
        <w:gridCol w:w="2260"/>
        <w:gridCol w:w="1760"/>
        <w:gridCol w:w="1760"/>
        <w:gridCol w:w="1880"/>
      </w:tblGrid>
      <w:tr w:rsidR="00E372DB" w:rsidRPr="00572A7A" w14:paraId="3787AF12" w14:textId="77777777" w:rsidTr="0000789A">
        <w:trPr>
          <w:trHeight w:val="225"/>
        </w:trPr>
        <w:tc>
          <w:tcPr>
            <w:tcW w:w="1600" w:type="dxa"/>
            <w:tcBorders>
              <w:top w:val="single" w:sz="8" w:space="0" w:color="auto"/>
              <w:left w:val="single" w:sz="8" w:space="0" w:color="auto"/>
              <w:bottom w:val="single" w:sz="8" w:space="0" w:color="auto"/>
              <w:right w:val="single" w:sz="8" w:space="0" w:color="auto"/>
            </w:tcBorders>
            <w:noWrap/>
            <w:vAlign w:val="center"/>
            <w:hideMark/>
          </w:tcPr>
          <w:p w14:paraId="7EB4CBFC"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Treatments</w:t>
            </w:r>
          </w:p>
        </w:tc>
        <w:tc>
          <w:tcPr>
            <w:tcW w:w="2260" w:type="dxa"/>
            <w:tcBorders>
              <w:top w:val="single" w:sz="8" w:space="0" w:color="auto"/>
              <w:left w:val="nil"/>
              <w:bottom w:val="single" w:sz="8" w:space="0" w:color="auto"/>
              <w:right w:val="single" w:sz="8" w:space="0" w:color="auto"/>
            </w:tcBorders>
            <w:noWrap/>
            <w:vAlign w:val="center"/>
            <w:hideMark/>
          </w:tcPr>
          <w:p w14:paraId="79028D3C"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Cost of cultivation</w:t>
            </w:r>
          </w:p>
        </w:tc>
        <w:tc>
          <w:tcPr>
            <w:tcW w:w="1760" w:type="dxa"/>
            <w:tcBorders>
              <w:top w:val="single" w:sz="8" w:space="0" w:color="auto"/>
              <w:left w:val="nil"/>
              <w:bottom w:val="single" w:sz="8" w:space="0" w:color="auto"/>
              <w:right w:val="single" w:sz="8" w:space="0" w:color="auto"/>
            </w:tcBorders>
            <w:noWrap/>
            <w:vAlign w:val="center"/>
            <w:hideMark/>
          </w:tcPr>
          <w:p w14:paraId="71F13F63"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Gross return</w:t>
            </w:r>
          </w:p>
        </w:tc>
        <w:tc>
          <w:tcPr>
            <w:tcW w:w="1760" w:type="dxa"/>
            <w:tcBorders>
              <w:top w:val="single" w:sz="8" w:space="0" w:color="auto"/>
              <w:left w:val="nil"/>
              <w:bottom w:val="single" w:sz="8" w:space="0" w:color="auto"/>
              <w:right w:val="single" w:sz="8" w:space="0" w:color="auto"/>
            </w:tcBorders>
            <w:noWrap/>
            <w:vAlign w:val="center"/>
            <w:hideMark/>
          </w:tcPr>
          <w:p w14:paraId="4F19BE43"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Net Return</w:t>
            </w:r>
          </w:p>
        </w:tc>
        <w:tc>
          <w:tcPr>
            <w:tcW w:w="1880" w:type="dxa"/>
            <w:tcBorders>
              <w:top w:val="single" w:sz="8" w:space="0" w:color="auto"/>
              <w:left w:val="nil"/>
              <w:bottom w:val="single" w:sz="8" w:space="0" w:color="auto"/>
              <w:right w:val="single" w:sz="8" w:space="0" w:color="auto"/>
            </w:tcBorders>
            <w:noWrap/>
            <w:vAlign w:val="center"/>
            <w:hideMark/>
          </w:tcPr>
          <w:p w14:paraId="29A4EF93" w14:textId="77777777" w:rsidR="00E372DB" w:rsidRPr="00572A7A" w:rsidRDefault="00E372DB" w:rsidP="00572A7A">
            <w:pPr>
              <w:spacing w:after="0" w:line="240" w:lineRule="auto"/>
              <w:jc w:val="both"/>
              <w:rPr>
                <w:rFonts w:ascii="Times New Roman" w:eastAsia="Times New Roman" w:hAnsi="Times New Roman" w:cs="Times New Roman"/>
                <w:b/>
                <w:bCs/>
                <w:color w:val="000000"/>
                <w:sz w:val="24"/>
                <w:szCs w:val="24"/>
                <w:lang w:bidi="hi-IN"/>
              </w:rPr>
            </w:pPr>
            <w:r w:rsidRPr="00572A7A">
              <w:rPr>
                <w:rFonts w:ascii="Times New Roman" w:eastAsia="Times New Roman" w:hAnsi="Times New Roman" w:cs="Times New Roman"/>
                <w:b/>
                <w:bCs/>
                <w:color w:val="000000"/>
                <w:sz w:val="24"/>
                <w:szCs w:val="24"/>
                <w:lang w:bidi="hi-IN"/>
              </w:rPr>
              <w:t>B:C Ratio</w:t>
            </w:r>
          </w:p>
        </w:tc>
      </w:tr>
      <w:tr w:rsidR="00E372DB" w:rsidRPr="00572A7A" w14:paraId="3A2437A5"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6B54291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T0</w:t>
            </w:r>
          </w:p>
        </w:tc>
        <w:tc>
          <w:tcPr>
            <w:tcW w:w="2260" w:type="dxa"/>
            <w:tcBorders>
              <w:top w:val="nil"/>
              <w:left w:val="nil"/>
              <w:bottom w:val="single" w:sz="8" w:space="0" w:color="auto"/>
              <w:right w:val="single" w:sz="8" w:space="0" w:color="auto"/>
            </w:tcBorders>
            <w:noWrap/>
            <w:vAlign w:val="center"/>
            <w:hideMark/>
          </w:tcPr>
          <w:p w14:paraId="16BA4D1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30421</w:t>
            </w:r>
          </w:p>
        </w:tc>
        <w:tc>
          <w:tcPr>
            <w:tcW w:w="1760" w:type="dxa"/>
            <w:tcBorders>
              <w:top w:val="nil"/>
              <w:left w:val="nil"/>
              <w:bottom w:val="single" w:sz="8" w:space="0" w:color="auto"/>
              <w:right w:val="single" w:sz="8" w:space="0" w:color="auto"/>
            </w:tcBorders>
            <w:noWrap/>
            <w:vAlign w:val="center"/>
            <w:hideMark/>
          </w:tcPr>
          <w:p w14:paraId="042C92D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49369</w:t>
            </w:r>
          </w:p>
        </w:tc>
        <w:tc>
          <w:tcPr>
            <w:tcW w:w="1760" w:type="dxa"/>
            <w:tcBorders>
              <w:top w:val="nil"/>
              <w:left w:val="nil"/>
              <w:bottom w:val="single" w:sz="8" w:space="0" w:color="auto"/>
              <w:right w:val="single" w:sz="8" w:space="0" w:color="auto"/>
            </w:tcBorders>
            <w:noWrap/>
            <w:vAlign w:val="center"/>
            <w:hideMark/>
          </w:tcPr>
          <w:p w14:paraId="3D095ADB"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18948</w:t>
            </w:r>
          </w:p>
        </w:tc>
        <w:tc>
          <w:tcPr>
            <w:tcW w:w="1880" w:type="dxa"/>
            <w:tcBorders>
              <w:top w:val="nil"/>
              <w:left w:val="nil"/>
              <w:bottom w:val="single" w:sz="8" w:space="0" w:color="auto"/>
              <w:right w:val="single" w:sz="8" w:space="0" w:color="auto"/>
            </w:tcBorders>
            <w:noWrap/>
            <w:vAlign w:val="center"/>
            <w:hideMark/>
          </w:tcPr>
          <w:p w14:paraId="2AEF51D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0.62</w:t>
            </w:r>
          </w:p>
        </w:tc>
      </w:tr>
      <w:tr w:rsidR="00E372DB" w:rsidRPr="00572A7A" w14:paraId="0D409461"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1A777CC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T1</w:t>
            </w:r>
          </w:p>
        </w:tc>
        <w:tc>
          <w:tcPr>
            <w:tcW w:w="2260" w:type="dxa"/>
            <w:tcBorders>
              <w:top w:val="nil"/>
              <w:left w:val="nil"/>
              <w:bottom w:val="single" w:sz="8" w:space="0" w:color="auto"/>
              <w:right w:val="single" w:sz="8" w:space="0" w:color="auto"/>
            </w:tcBorders>
            <w:noWrap/>
            <w:vAlign w:val="center"/>
            <w:hideMark/>
          </w:tcPr>
          <w:p w14:paraId="74FB7F5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31450</w:t>
            </w:r>
          </w:p>
        </w:tc>
        <w:tc>
          <w:tcPr>
            <w:tcW w:w="1760" w:type="dxa"/>
            <w:tcBorders>
              <w:top w:val="nil"/>
              <w:left w:val="nil"/>
              <w:bottom w:val="single" w:sz="8" w:space="0" w:color="auto"/>
              <w:right w:val="single" w:sz="8" w:space="0" w:color="auto"/>
            </w:tcBorders>
            <w:noWrap/>
            <w:vAlign w:val="center"/>
            <w:hideMark/>
          </w:tcPr>
          <w:p w14:paraId="6F520A2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59800</w:t>
            </w:r>
          </w:p>
        </w:tc>
        <w:tc>
          <w:tcPr>
            <w:tcW w:w="1760" w:type="dxa"/>
            <w:tcBorders>
              <w:top w:val="nil"/>
              <w:left w:val="nil"/>
              <w:bottom w:val="single" w:sz="8" w:space="0" w:color="auto"/>
              <w:right w:val="single" w:sz="8" w:space="0" w:color="auto"/>
            </w:tcBorders>
            <w:noWrap/>
            <w:vAlign w:val="center"/>
            <w:hideMark/>
          </w:tcPr>
          <w:p w14:paraId="395C14EB"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28350</w:t>
            </w:r>
          </w:p>
        </w:tc>
        <w:tc>
          <w:tcPr>
            <w:tcW w:w="1880" w:type="dxa"/>
            <w:tcBorders>
              <w:top w:val="nil"/>
              <w:left w:val="nil"/>
              <w:bottom w:val="single" w:sz="8" w:space="0" w:color="auto"/>
              <w:right w:val="single" w:sz="8" w:space="0" w:color="auto"/>
            </w:tcBorders>
            <w:noWrap/>
            <w:vAlign w:val="center"/>
            <w:hideMark/>
          </w:tcPr>
          <w:p w14:paraId="1C9B4F5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0.9</w:t>
            </w:r>
          </w:p>
        </w:tc>
      </w:tr>
      <w:tr w:rsidR="00E372DB" w:rsidRPr="00572A7A" w14:paraId="1FFA9AB1"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01890EC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lastRenderedPageBreak/>
              <w:t xml:space="preserve">           T2</w:t>
            </w:r>
          </w:p>
        </w:tc>
        <w:tc>
          <w:tcPr>
            <w:tcW w:w="2260" w:type="dxa"/>
            <w:tcBorders>
              <w:top w:val="nil"/>
              <w:left w:val="nil"/>
              <w:bottom w:val="single" w:sz="8" w:space="0" w:color="auto"/>
              <w:right w:val="single" w:sz="8" w:space="0" w:color="auto"/>
            </w:tcBorders>
            <w:noWrap/>
            <w:vAlign w:val="center"/>
            <w:hideMark/>
          </w:tcPr>
          <w:p w14:paraId="0209A5D8"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33789</w:t>
            </w:r>
          </w:p>
        </w:tc>
        <w:tc>
          <w:tcPr>
            <w:tcW w:w="1760" w:type="dxa"/>
            <w:tcBorders>
              <w:top w:val="nil"/>
              <w:left w:val="nil"/>
              <w:bottom w:val="single" w:sz="8" w:space="0" w:color="auto"/>
              <w:right w:val="single" w:sz="8" w:space="0" w:color="auto"/>
            </w:tcBorders>
            <w:noWrap/>
            <w:vAlign w:val="center"/>
            <w:hideMark/>
          </w:tcPr>
          <w:p w14:paraId="472BFB0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67800</w:t>
            </w:r>
          </w:p>
        </w:tc>
        <w:tc>
          <w:tcPr>
            <w:tcW w:w="1760" w:type="dxa"/>
            <w:tcBorders>
              <w:top w:val="nil"/>
              <w:left w:val="nil"/>
              <w:bottom w:val="single" w:sz="8" w:space="0" w:color="auto"/>
              <w:right w:val="single" w:sz="8" w:space="0" w:color="auto"/>
            </w:tcBorders>
            <w:noWrap/>
            <w:vAlign w:val="center"/>
            <w:hideMark/>
          </w:tcPr>
          <w:p w14:paraId="7D4928C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34011</w:t>
            </w:r>
          </w:p>
        </w:tc>
        <w:tc>
          <w:tcPr>
            <w:tcW w:w="1880" w:type="dxa"/>
            <w:tcBorders>
              <w:top w:val="nil"/>
              <w:left w:val="nil"/>
              <w:bottom w:val="single" w:sz="8" w:space="0" w:color="auto"/>
              <w:right w:val="single" w:sz="8" w:space="0" w:color="auto"/>
            </w:tcBorders>
            <w:noWrap/>
            <w:vAlign w:val="center"/>
            <w:hideMark/>
          </w:tcPr>
          <w:p w14:paraId="7AAED3A7"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1.01</w:t>
            </w:r>
          </w:p>
        </w:tc>
      </w:tr>
      <w:tr w:rsidR="00E372DB" w:rsidRPr="00572A7A" w14:paraId="3BACEECB"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6C0D36D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T3</w:t>
            </w:r>
          </w:p>
        </w:tc>
        <w:tc>
          <w:tcPr>
            <w:tcW w:w="2260" w:type="dxa"/>
            <w:tcBorders>
              <w:top w:val="nil"/>
              <w:left w:val="nil"/>
              <w:bottom w:val="single" w:sz="8" w:space="0" w:color="auto"/>
              <w:right w:val="single" w:sz="8" w:space="0" w:color="auto"/>
            </w:tcBorders>
            <w:noWrap/>
            <w:vAlign w:val="center"/>
            <w:hideMark/>
          </w:tcPr>
          <w:p w14:paraId="51FEAFD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35450</w:t>
            </w:r>
          </w:p>
        </w:tc>
        <w:tc>
          <w:tcPr>
            <w:tcW w:w="1760" w:type="dxa"/>
            <w:tcBorders>
              <w:top w:val="nil"/>
              <w:left w:val="nil"/>
              <w:bottom w:val="single" w:sz="8" w:space="0" w:color="auto"/>
              <w:right w:val="single" w:sz="8" w:space="0" w:color="auto"/>
            </w:tcBorders>
            <w:noWrap/>
            <w:vAlign w:val="center"/>
            <w:hideMark/>
          </w:tcPr>
          <w:p w14:paraId="32AC0F17"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72290</w:t>
            </w:r>
          </w:p>
        </w:tc>
        <w:tc>
          <w:tcPr>
            <w:tcW w:w="1760" w:type="dxa"/>
            <w:tcBorders>
              <w:top w:val="nil"/>
              <w:left w:val="nil"/>
              <w:bottom w:val="single" w:sz="8" w:space="0" w:color="auto"/>
              <w:right w:val="single" w:sz="8" w:space="0" w:color="auto"/>
            </w:tcBorders>
            <w:noWrap/>
            <w:vAlign w:val="center"/>
            <w:hideMark/>
          </w:tcPr>
          <w:p w14:paraId="0DCBAC3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36840</w:t>
            </w:r>
          </w:p>
        </w:tc>
        <w:tc>
          <w:tcPr>
            <w:tcW w:w="1880" w:type="dxa"/>
            <w:tcBorders>
              <w:top w:val="nil"/>
              <w:left w:val="nil"/>
              <w:bottom w:val="single" w:sz="8" w:space="0" w:color="auto"/>
              <w:right w:val="single" w:sz="8" w:space="0" w:color="auto"/>
            </w:tcBorders>
            <w:noWrap/>
            <w:vAlign w:val="center"/>
            <w:hideMark/>
          </w:tcPr>
          <w:p w14:paraId="599B738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1.04</w:t>
            </w:r>
          </w:p>
        </w:tc>
      </w:tr>
      <w:tr w:rsidR="00E372DB" w:rsidRPr="00572A7A" w14:paraId="6BF22250"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7451C446"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T4</w:t>
            </w:r>
          </w:p>
        </w:tc>
        <w:tc>
          <w:tcPr>
            <w:tcW w:w="2260" w:type="dxa"/>
            <w:tcBorders>
              <w:top w:val="nil"/>
              <w:left w:val="nil"/>
              <w:bottom w:val="single" w:sz="8" w:space="0" w:color="auto"/>
              <w:right w:val="single" w:sz="8" w:space="0" w:color="auto"/>
            </w:tcBorders>
            <w:noWrap/>
            <w:vAlign w:val="center"/>
            <w:hideMark/>
          </w:tcPr>
          <w:p w14:paraId="7FE3AC2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36654</w:t>
            </w:r>
          </w:p>
        </w:tc>
        <w:tc>
          <w:tcPr>
            <w:tcW w:w="1760" w:type="dxa"/>
            <w:tcBorders>
              <w:top w:val="nil"/>
              <w:left w:val="nil"/>
              <w:bottom w:val="single" w:sz="8" w:space="0" w:color="auto"/>
              <w:right w:val="single" w:sz="8" w:space="0" w:color="auto"/>
            </w:tcBorders>
            <w:noWrap/>
            <w:vAlign w:val="center"/>
            <w:hideMark/>
          </w:tcPr>
          <w:p w14:paraId="5C508F1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77990</w:t>
            </w:r>
          </w:p>
        </w:tc>
        <w:tc>
          <w:tcPr>
            <w:tcW w:w="1760" w:type="dxa"/>
            <w:tcBorders>
              <w:top w:val="nil"/>
              <w:left w:val="nil"/>
              <w:bottom w:val="single" w:sz="8" w:space="0" w:color="auto"/>
              <w:right w:val="single" w:sz="8" w:space="0" w:color="auto"/>
            </w:tcBorders>
            <w:noWrap/>
            <w:vAlign w:val="center"/>
            <w:hideMark/>
          </w:tcPr>
          <w:p w14:paraId="198F2CDF"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41336</w:t>
            </w:r>
          </w:p>
        </w:tc>
        <w:tc>
          <w:tcPr>
            <w:tcW w:w="1880" w:type="dxa"/>
            <w:tcBorders>
              <w:top w:val="nil"/>
              <w:left w:val="nil"/>
              <w:bottom w:val="single" w:sz="8" w:space="0" w:color="auto"/>
              <w:right w:val="single" w:sz="8" w:space="0" w:color="auto"/>
            </w:tcBorders>
            <w:noWrap/>
            <w:vAlign w:val="center"/>
            <w:hideMark/>
          </w:tcPr>
          <w:p w14:paraId="24B9189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1.13</w:t>
            </w:r>
          </w:p>
        </w:tc>
      </w:tr>
      <w:tr w:rsidR="00E372DB" w:rsidRPr="00572A7A" w14:paraId="6B440994"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431B4AC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T5</w:t>
            </w:r>
          </w:p>
        </w:tc>
        <w:tc>
          <w:tcPr>
            <w:tcW w:w="2260" w:type="dxa"/>
            <w:tcBorders>
              <w:top w:val="nil"/>
              <w:left w:val="nil"/>
              <w:bottom w:val="single" w:sz="8" w:space="0" w:color="auto"/>
              <w:right w:val="single" w:sz="8" w:space="0" w:color="auto"/>
            </w:tcBorders>
            <w:noWrap/>
            <w:vAlign w:val="center"/>
            <w:hideMark/>
          </w:tcPr>
          <w:p w14:paraId="090F92F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37900</w:t>
            </w:r>
          </w:p>
        </w:tc>
        <w:tc>
          <w:tcPr>
            <w:tcW w:w="1760" w:type="dxa"/>
            <w:tcBorders>
              <w:top w:val="nil"/>
              <w:left w:val="nil"/>
              <w:bottom w:val="single" w:sz="8" w:space="0" w:color="auto"/>
              <w:right w:val="single" w:sz="8" w:space="0" w:color="auto"/>
            </w:tcBorders>
            <w:noWrap/>
            <w:vAlign w:val="center"/>
            <w:hideMark/>
          </w:tcPr>
          <w:p w14:paraId="35863186"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83619</w:t>
            </w:r>
          </w:p>
        </w:tc>
        <w:tc>
          <w:tcPr>
            <w:tcW w:w="1760" w:type="dxa"/>
            <w:tcBorders>
              <w:top w:val="nil"/>
              <w:left w:val="nil"/>
              <w:bottom w:val="single" w:sz="8" w:space="0" w:color="auto"/>
              <w:right w:val="single" w:sz="8" w:space="0" w:color="auto"/>
            </w:tcBorders>
            <w:noWrap/>
            <w:vAlign w:val="center"/>
            <w:hideMark/>
          </w:tcPr>
          <w:p w14:paraId="7826BE1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45719</w:t>
            </w:r>
          </w:p>
        </w:tc>
        <w:tc>
          <w:tcPr>
            <w:tcW w:w="1880" w:type="dxa"/>
            <w:tcBorders>
              <w:top w:val="nil"/>
              <w:left w:val="nil"/>
              <w:bottom w:val="single" w:sz="8" w:space="0" w:color="auto"/>
              <w:right w:val="single" w:sz="8" w:space="0" w:color="auto"/>
            </w:tcBorders>
            <w:noWrap/>
            <w:vAlign w:val="center"/>
            <w:hideMark/>
          </w:tcPr>
          <w:p w14:paraId="01566A98"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1.21</w:t>
            </w:r>
          </w:p>
        </w:tc>
      </w:tr>
      <w:tr w:rsidR="00E372DB" w:rsidRPr="00572A7A" w14:paraId="31F3FF06"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2C307418"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T6</w:t>
            </w:r>
          </w:p>
        </w:tc>
        <w:tc>
          <w:tcPr>
            <w:tcW w:w="2260" w:type="dxa"/>
            <w:tcBorders>
              <w:top w:val="nil"/>
              <w:left w:val="nil"/>
              <w:bottom w:val="single" w:sz="8" w:space="0" w:color="auto"/>
              <w:right w:val="single" w:sz="8" w:space="0" w:color="auto"/>
            </w:tcBorders>
            <w:noWrap/>
            <w:vAlign w:val="center"/>
            <w:hideMark/>
          </w:tcPr>
          <w:p w14:paraId="59E28F5D"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38500</w:t>
            </w:r>
          </w:p>
        </w:tc>
        <w:tc>
          <w:tcPr>
            <w:tcW w:w="1760" w:type="dxa"/>
            <w:tcBorders>
              <w:top w:val="nil"/>
              <w:left w:val="nil"/>
              <w:bottom w:val="single" w:sz="8" w:space="0" w:color="auto"/>
              <w:right w:val="single" w:sz="8" w:space="0" w:color="auto"/>
            </w:tcBorders>
            <w:noWrap/>
            <w:vAlign w:val="center"/>
            <w:hideMark/>
          </w:tcPr>
          <w:p w14:paraId="63A2CA0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88500</w:t>
            </w:r>
          </w:p>
        </w:tc>
        <w:tc>
          <w:tcPr>
            <w:tcW w:w="1760" w:type="dxa"/>
            <w:tcBorders>
              <w:top w:val="nil"/>
              <w:left w:val="nil"/>
              <w:bottom w:val="single" w:sz="8" w:space="0" w:color="auto"/>
              <w:right w:val="single" w:sz="8" w:space="0" w:color="auto"/>
            </w:tcBorders>
            <w:noWrap/>
            <w:vAlign w:val="center"/>
            <w:hideMark/>
          </w:tcPr>
          <w:p w14:paraId="772DA0A5"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50000</w:t>
            </w:r>
          </w:p>
        </w:tc>
        <w:tc>
          <w:tcPr>
            <w:tcW w:w="1880" w:type="dxa"/>
            <w:tcBorders>
              <w:top w:val="nil"/>
              <w:left w:val="nil"/>
              <w:bottom w:val="single" w:sz="8" w:space="0" w:color="auto"/>
              <w:right w:val="single" w:sz="8" w:space="0" w:color="auto"/>
            </w:tcBorders>
            <w:noWrap/>
            <w:vAlign w:val="center"/>
            <w:hideMark/>
          </w:tcPr>
          <w:p w14:paraId="2C78D0EE"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1.3</w:t>
            </w:r>
          </w:p>
        </w:tc>
      </w:tr>
      <w:tr w:rsidR="00E372DB" w:rsidRPr="00572A7A" w14:paraId="3D6FB81A"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788B445F"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T7</w:t>
            </w:r>
          </w:p>
        </w:tc>
        <w:tc>
          <w:tcPr>
            <w:tcW w:w="2260" w:type="dxa"/>
            <w:tcBorders>
              <w:top w:val="nil"/>
              <w:left w:val="nil"/>
              <w:bottom w:val="single" w:sz="8" w:space="0" w:color="auto"/>
              <w:right w:val="single" w:sz="8" w:space="0" w:color="auto"/>
            </w:tcBorders>
            <w:noWrap/>
            <w:vAlign w:val="center"/>
            <w:hideMark/>
          </w:tcPr>
          <w:p w14:paraId="11CADD6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38900</w:t>
            </w:r>
          </w:p>
        </w:tc>
        <w:tc>
          <w:tcPr>
            <w:tcW w:w="1760" w:type="dxa"/>
            <w:tcBorders>
              <w:top w:val="nil"/>
              <w:left w:val="nil"/>
              <w:bottom w:val="single" w:sz="8" w:space="0" w:color="auto"/>
              <w:right w:val="single" w:sz="8" w:space="0" w:color="auto"/>
            </w:tcBorders>
            <w:noWrap/>
            <w:vAlign w:val="center"/>
            <w:hideMark/>
          </w:tcPr>
          <w:p w14:paraId="2E9BCF98"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92398</w:t>
            </w:r>
          </w:p>
        </w:tc>
        <w:tc>
          <w:tcPr>
            <w:tcW w:w="1760" w:type="dxa"/>
            <w:tcBorders>
              <w:top w:val="nil"/>
              <w:left w:val="nil"/>
              <w:bottom w:val="single" w:sz="8" w:space="0" w:color="auto"/>
              <w:right w:val="single" w:sz="8" w:space="0" w:color="auto"/>
            </w:tcBorders>
            <w:noWrap/>
            <w:vAlign w:val="center"/>
            <w:hideMark/>
          </w:tcPr>
          <w:p w14:paraId="2A77CFA3"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53498</w:t>
            </w:r>
          </w:p>
        </w:tc>
        <w:tc>
          <w:tcPr>
            <w:tcW w:w="1880" w:type="dxa"/>
            <w:tcBorders>
              <w:top w:val="nil"/>
              <w:left w:val="nil"/>
              <w:bottom w:val="single" w:sz="8" w:space="0" w:color="auto"/>
              <w:right w:val="single" w:sz="8" w:space="0" w:color="auto"/>
            </w:tcBorders>
            <w:noWrap/>
            <w:vAlign w:val="center"/>
            <w:hideMark/>
          </w:tcPr>
          <w:p w14:paraId="51657CC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1.38</w:t>
            </w:r>
          </w:p>
        </w:tc>
      </w:tr>
      <w:tr w:rsidR="00E372DB" w:rsidRPr="00572A7A" w14:paraId="6995B02A"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01F69BEF"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T8</w:t>
            </w:r>
          </w:p>
        </w:tc>
        <w:tc>
          <w:tcPr>
            <w:tcW w:w="2260" w:type="dxa"/>
            <w:tcBorders>
              <w:top w:val="nil"/>
              <w:left w:val="nil"/>
              <w:bottom w:val="single" w:sz="8" w:space="0" w:color="auto"/>
              <w:right w:val="single" w:sz="8" w:space="0" w:color="auto"/>
            </w:tcBorders>
            <w:noWrap/>
            <w:vAlign w:val="center"/>
            <w:hideMark/>
          </w:tcPr>
          <w:p w14:paraId="6CC8D52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40089</w:t>
            </w:r>
          </w:p>
        </w:tc>
        <w:tc>
          <w:tcPr>
            <w:tcW w:w="1760" w:type="dxa"/>
            <w:tcBorders>
              <w:top w:val="nil"/>
              <w:left w:val="nil"/>
              <w:bottom w:val="single" w:sz="8" w:space="0" w:color="auto"/>
              <w:right w:val="single" w:sz="8" w:space="0" w:color="auto"/>
            </w:tcBorders>
            <w:noWrap/>
            <w:vAlign w:val="center"/>
            <w:hideMark/>
          </w:tcPr>
          <w:p w14:paraId="6FA6DF6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99813</w:t>
            </w:r>
          </w:p>
        </w:tc>
        <w:tc>
          <w:tcPr>
            <w:tcW w:w="1760" w:type="dxa"/>
            <w:tcBorders>
              <w:top w:val="nil"/>
              <w:left w:val="nil"/>
              <w:bottom w:val="single" w:sz="8" w:space="0" w:color="auto"/>
              <w:right w:val="single" w:sz="8" w:space="0" w:color="auto"/>
            </w:tcBorders>
            <w:noWrap/>
            <w:vAlign w:val="center"/>
            <w:hideMark/>
          </w:tcPr>
          <w:p w14:paraId="6FD5BB99"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59724</w:t>
            </w:r>
          </w:p>
        </w:tc>
        <w:tc>
          <w:tcPr>
            <w:tcW w:w="1880" w:type="dxa"/>
            <w:tcBorders>
              <w:top w:val="nil"/>
              <w:left w:val="nil"/>
              <w:bottom w:val="single" w:sz="8" w:space="0" w:color="auto"/>
              <w:right w:val="single" w:sz="8" w:space="0" w:color="auto"/>
            </w:tcBorders>
            <w:noWrap/>
            <w:vAlign w:val="center"/>
            <w:hideMark/>
          </w:tcPr>
          <w:p w14:paraId="758AD18B"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1.49</w:t>
            </w:r>
          </w:p>
        </w:tc>
      </w:tr>
      <w:tr w:rsidR="00E372DB" w:rsidRPr="00572A7A" w14:paraId="3642017E" w14:textId="77777777" w:rsidTr="0000789A">
        <w:trPr>
          <w:trHeight w:val="330"/>
        </w:trPr>
        <w:tc>
          <w:tcPr>
            <w:tcW w:w="1600" w:type="dxa"/>
            <w:tcBorders>
              <w:top w:val="nil"/>
              <w:left w:val="single" w:sz="8" w:space="0" w:color="auto"/>
              <w:bottom w:val="single" w:sz="8" w:space="0" w:color="auto"/>
              <w:right w:val="single" w:sz="8" w:space="0" w:color="auto"/>
            </w:tcBorders>
            <w:noWrap/>
            <w:vAlign w:val="center"/>
            <w:hideMark/>
          </w:tcPr>
          <w:p w14:paraId="2E94200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 xml:space="preserve">           T9</w:t>
            </w:r>
          </w:p>
        </w:tc>
        <w:tc>
          <w:tcPr>
            <w:tcW w:w="2260" w:type="dxa"/>
            <w:tcBorders>
              <w:top w:val="nil"/>
              <w:left w:val="nil"/>
              <w:bottom w:val="single" w:sz="8" w:space="0" w:color="auto"/>
              <w:right w:val="single" w:sz="8" w:space="0" w:color="auto"/>
            </w:tcBorders>
            <w:noWrap/>
            <w:vAlign w:val="center"/>
            <w:hideMark/>
          </w:tcPr>
          <w:p w14:paraId="039DDEE0"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42056</w:t>
            </w:r>
          </w:p>
        </w:tc>
        <w:tc>
          <w:tcPr>
            <w:tcW w:w="1760" w:type="dxa"/>
            <w:tcBorders>
              <w:top w:val="nil"/>
              <w:left w:val="nil"/>
              <w:bottom w:val="single" w:sz="8" w:space="0" w:color="auto"/>
              <w:right w:val="single" w:sz="8" w:space="0" w:color="auto"/>
            </w:tcBorders>
            <w:noWrap/>
            <w:vAlign w:val="center"/>
            <w:hideMark/>
          </w:tcPr>
          <w:p w14:paraId="5A7BF68A"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125187</w:t>
            </w:r>
          </w:p>
        </w:tc>
        <w:tc>
          <w:tcPr>
            <w:tcW w:w="1760" w:type="dxa"/>
            <w:tcBorders>
              <w:top w:val="nil"/>
              <w:left w:val="nil"/>
              <w:bottom w:val="single" w:sz="8" w:space="0" w:color="auto"/>
              <w:right w:val="single" w:sz="8" w:space="0" w:color="auto"/>
            </w:tcBorders>
            <w:noWrap/>
            <w:vAlign w:val="center"/>
            <w:hideMark/>
          </w:tcPr>
          <w:p w14:paraId="60ADEAB1"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83131</w:t>
            </w:r>
          </w:p>
        </w:tc>
        <w:tc>
          <w:tcPr>
            <w:tcW w:w="1880" w:type="dxa"/>
            <w:tcBorders>
              <w:top w:val="nil"/>
              <w:left w:val="nil"/>
              <w:bottom w:val="single" w:sz="8" w:space="0" w:color="auto"/>
              <w:right w:val="single" w:sz="8" w:space="0" w:color="auto"/>
            </w:tcBorders>
            <w:noWrap/>
            <w:vAlign w:val="center"/>
            <w:hideMark/>
          </w:tcPr>
          <w:p w14:paraId="0B116AFC" w14:textId="77777777" w:rsidR="00E372DB" w:rsidRPr="00572A7A" w:rsidRDefault="00E372DB" w:rsidP="00572A7A">
            <w:pPr>
              <w:spacing w:after="0" w:line="240" w:lineRule="auto"/>
              <w:jc w:val="both"/>
              <w:rPr>
                <w:rFonts w:ascii="Times New Roman" w:eastAsia="Times New Roman" w:hAnsi="Times New Roman" w:cs="Times New Roman"/>
                <w:color w:val="000000"/>
                <w:sz w:val="24"/>
                <w:szCs w:val="24"/>
                <w:lang w:bidi="hi-IN"/>
              </w:rPr>
            </w:pPr>
            <w:r w:rsidRPr="00572A7A">
              <w:rPr>
                <w:rFonts w:ascii="Times New Roman" w:eastAsia="Times New Roman" w:hAnsi="Times New Roman" w:cs="Times New Roman"/>
                <w:color w:val="000000"/>
                <w:sz w:val="24"/>
                <w:szCs w:val="24"/>
                <w:lang w:bidi="hi-IN"/>
              </w:rPr>
              <w:t>1.98</w:t>
            </w:r>
          </w:p>
        </w:tc>
      </w:tr>
    </w:tbl>
    <w:p w14:paraId="1D3FFE3D"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sz w:val="24"/>
          <w:szCs w:val="24"/>
          <w:lang w:bidi="hi-IN"/>
        </w:rPr>
        <w:t>*B:C: benefit-cost ratio</w:t>
      </w:r>
    </w:p>
    <w:p w14:paraId="3B093E3B"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Gross return (₹ ha</w:t>
      </w:r>
      <w:r w:rsidRPr="00572A7A">
        <w:rPr>
          <w:rFonts w:ascii="Cambria Math" w:eastAsia="Times New Roman" w:hAnsi="Cambria Math" w:cs="Cambria Math"/>
          <w:b/>
          <w:bCs/>
          <w:sz w:val="24"/>
          <w:szCs w:val="24"/>
          <w:lang w:bidi="hi-IN"/>
        </w:rPr>
        <w:t>⁻</w:t>
      </w:r>
      <w:r w:rsidRPr="00572A7A">
        <w:rPr>
          <w:rFonts w:ascii="Times New Roman" w:eastAsia="Times New Roman" w:hAnsi="Times New Roman" w:cs="Times New Roman"/>
          <w:b/>
          <w:bCs/>
          <w:sz w:val="24"/>
          <w:szCs w:val="24"/>
          <w:lang w:bidi="hi-IN"/>
        </w:rPr>
        <w:t xml:space="preserve">¹) </w:t>
      </w:r>
    </w:p>
    <w:p w14:paraId="6CA52FA1"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A significant increase in gross return was observed with phosphorus and zinc treatments. The highest gross return was recorded in T9 (Rs. 125187), whereas the lowest was recorded in T0 (Rs. 49369; control). Kuniya et al. (2018) reported that gross return increased with fertiliser application.</w:t>
      </w:r>
    </w:p>
    <w:p w14:paraId="1821174C"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b/>
          <w:sz w:val="24"/>
        </w:rPr>
        <w:t xml:space="preserve">Net return (₹ ha⁻¹) </w:t>
      </w:r>
      <w:r w:rsidRPr="00572A7A">
        <w:rPr>
          <w:rFonts w:ascii="Times New Roman" w:hAnsi="Times New Roman"/>
          <w:sz w:val="24"/>
        </w:rPr>
        <w:t>A significant increase in gross return was observed with an increased seed rate. The maximum net return was observed in T9, whereas the lowest benefit-cost ratio was observed in T0 (control). Katiyar et al. (2017) and Hidoto et al. (2017) reported that net return increased with an increased fertiliser dose. The graphical presentation of gross return, net return, and benefit-cost ratio is given below.</w:t>
      </w:r>
    </w:p>
    <w:p w14:paraId="48876FFD"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noProof/>
          <w:lang w:bidi="hi-IN"/>
        </w:rPr>
        <w:drawing>
          <wp:inline distT="0" distB="0" distL="0" distR="0" wp14:anchorId="227E912A" wp14:editId="6C93C43C">
            <wp:extent cx="2825750" cy="1739900"/>
            <wp:effectExtent l="0" t="0" r="1270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572A7A">
        <w:rPr>
          <w:rFonts w:ascii="Times New Roman" w:eastAsia="Times New Roman" w:hAnsi="Times New Roman" w:cs="Times New Roman"/>
          <w:sz w:val="24"/>
          <w:szCs w:val="24"/>
          <w:lang w:bidi="hi-IN"/>
        </w:rPr>
        <w:t xml:space="preserve">                         </w:t>
      </w:r>
      <w:r w:rsidRPr="00572A7A">
        <w:rPr>
          <w:noProof/>
          <w:lang w:bidi="hi-IN"/>
        </w:rPr>
        <w:drawing>
          <wp:inline distT="0" distB="0" distL="0" distR="0" wp14:anchorId="65ABC885" wp14:editId="0A388A9C">
            <wp:extent cx="2095500" cy="1689100"/>
            <wp:effectExtent l="0" t="0" r="0" b="63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E00B4A" w14:textId="77777777" w:rsidR="00E372DB" w:rsidRPr="00572A7A" w:rsidRDefault="00E372DB" w:rsidP="00572A7A">
      <w:pPr>
        <w:pStyle w:val="ListParagraph"/>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 xml:space="preserve">                                                                                                  (b)</w:t>
      </w:r>
    </w:p>
    <w:p w14:paraId="441DC935"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Fig.</w:t>
      </w:r>
      <w:r w:rsidRPr="00572A7A">
        <w:rPr>
          <w:rFonts w:ascii="Times New Roman" w:eastAsia="Times New Roman" w:hAnsi="Times New Roman" w:cs="Times New Roman"/>
          <w:sz w:val="24"/>
          <w:szCs w:val="24"/>
          <w:lang w:bidi="hi-IN"/>
        </w:rPr>
        <w:t xml:space="preserve"> 4. (a) &amp; (b) Effect of Phosphorus and Zinc on Gross Returns, Net Returns, and Benefit-Cost Ratio of Chickpea</w:t>
      </w:r>
    </w:p>
    <w:p w14:paraId="45BCE05A"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hAnsi="Times New Roman"/>
          <w:sz w:val="24"/>
        </w:rPr>
        <w:t>The maximum net return (83131 ha-1) and B:C ratio (1.98) were recorded in T9, whereas the net return (18948 ha-1) and B:C ratio (0.62) were recorded in the control (T0). Similar observations were reported by Hafeez et al. (2013).</w:t>
      </w:r>
    </w:p>
    <w:p w14:paraId="79F7BE53" w14:textId="77777777" w:rsidR="00E372DB" w:rsidRPr="00572A7A" w:rsidRDefault="00E372DB" w:rsidP="00572A7A">
      <w:pPr>
        <w:spacing w:before="100" w:beforeAutospacing="1" w:after="100" w:afterAutospacing="1" w:line="240" w:lineRule="auto"/>
        <w:jc w:val="both"/>
        <w:rPr>
          <w:rFonts w:ascii="Times New Roman" w:eastAsia="Times New Roman" w:hAnsi="Times New Roman" w:cs="Times New Roman"/>
          <w:sz w:val="24"/>
          <w:szCs w:val="24"/>
          <w:lang w:bidi="hi-IN"/>
        </w:rPr>
      </w:pPr>
      <w:r w:rsidRPr="00572A7A">
        <w:rPr>
          <w:rFonts w:ascii="Times New Roman" w:eastAsia="Times New Roman" w:hAnsi="Times New Roman" w:cs="Times New Roman"/>
          <w:b/>
          <w:bCs/>
          <w:sz w:val="24"/>
          <w:szCs w:val="24"/>
          <w:lang w:bidi="hi-IN"/>
        </w:rPr>
        <w:t>Conclusion and Recommendation</w:t>
      </w:r>
    </w:p>
    <w:p w14:paraId="304D69FE" w14:textId="77777777" w:rsidR="00E372DB" w:rsidRPr="00572A7A" w:rsidRDefault="00E372DB" w:rsidP="00572A7A">
      <w:pPr>
        <w:spacing w:before="100" w:beforeAutospacing="1" w:after="100" w:afterAutospacing="1" w:line="240" w:lineRule="auto"/>
        <w:jc w:val="both"/>
        <w:rPr>
          <w:rFonts w:ascii="Times New Roman" w:hAnsi="Times New Roman"/>
          <w:sz w:val="24"/>
        </w:rPr>
      </w:pPr>
      <w:r w:rsidRPr="00572A7A">
        <w:rPr>
          <w:rFonts w:ascii="Times New Roman" w:hAnsi="Times New Roman"/>
          <w:sz w:val="24"/>
        </w:rPr>
        <w:lastRenderedPageBreak/>
        <w:t>Chickpea is one of the oldest legume crops and is the second most important crop worldwide. It is a rich source of protein, fibre, and vitamins and is a staple food for vegetarian populations. Indian farmers prefer chickpea over other pulses because of its ease of cultivation, good yield, and adaptability to various cropping systems. The findings of the present study revealed that the combination of zinc and phosphorus had a positive effect on yield. Zinc application significantly increased yield-attributing characters in chickpea. Crop yield is the cumulative outcome of yield-attributing characters such as pods per plant. This response may be due to the increased availability of zinc to plants following its addition to the soil. Zinc is involved in starch formation, growth-promoting substances such as auxin, seed maturation and production, and protein synthesis. The increase in yield and yield attributes might be due to the active biological role of phosphorus in plant metabolic processes and photosynthesis, which tends to increase flowering, fruiting, and grain formation and ultimately increases yield attributes and yield. The increase in grain and straw yield due to phosphorus may result from the cumulative effect of yield attributes and possibly from the effective uptake and utilisation of nutrients through an extensive root system developed under an adequate phosphorus supply.</w:t>
      </w:r>
    </w:p>
    <w:p w14:paraId="063AA8E3" w14:textId="69F06135" w:rsidR="00572A7A" w:rsidRPr="00572A7A" w:rsidRDefault="00572A7A" w:rsidP="00572A7A">
      <w:pPr>
        <w:spacing w:before="100" w:beforeAutospacing="1" w:after="100" w:afterAutospacing="1" w:line="240" w:lineRule="auto"/>
        <w:jc w:val="both"/>
        <w:rPr>
          <w:rFonts w:ascii="Times New Roman" w:hAnsi="Times New Roman"/>
          <w:b/>
          <w:bCs/>
          <w:sz w:val="24"/>
        </w:rPr>
      </w:pPr>
      <w:r w:rsidRPr="00572A7A">
        <w:rPr>
          <w:rFonts w:ascii="Times New Roman" w:hAnsi="Times New Roman"/>
          <w:b/>
          <w:bCs/>
          <w:sz w:val="24"/>
        </w:rPr>
        <w:t>Limitations</w:t>
      </w:r>
    </w:p>
    <w:p w14:paraId="364E62E3" w14:textId="77777777" w:rsidR="00572A7A" w:rsidRPr="00572A7A" w:rsidRDefault="00572A7A" w:rsidP="00572A7A">
      <w:pPr>
        <w:pStyle w:val="pdq2pgselectionanchorcontainer"/>
        <w:jc w:val="both"/>
      </w:pPr>
      <w:r w:rsidRPr="00572A7A">
        <w:t>This study was conducted during a single rabi season at one research farm in Khiala, Jalandhar, with three replications. Consequently, the findings represent the specific environmental, soil, management, and seasonal conditions of the experiment. Treatment responses may differ across locations, seasons, and soil fertility conditions. The study focused on the reported yield attributes and economic indicators; therefore, broader inference beyond the measured variables and experimental conditions should be made cautiously.</w:t>
      </w:r>
    </w:p>
    <w:p w14:paraId="105DA140" w14:textId="77777777" w:rsidR="00572A7A" w:rsidRPr="00572A7A" w:rsidRDefault="00572A7A"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p w14:paraId="24E80839" w14:textId="77777777" w:rsidR="00EC7931" w:rsidRPr="00572A7A" w:rsidRDefault="00EC7931" w:rsidP="00572A7A">
      <w:pPr>
        <w:spacing w:after="0" w:line="240" w:lineRule="auto"/>
        <w:jc w:val="both"/>
        <w:rPr>
          <w:rFonts w:ascii="Times New Roman" w:hAnsi="Times New Roman" w:cs="Times New Roman"/>
          <w:b/>
        </w:rPr>
      </w:pPr>
      <w:r w:rsidRPr="00572A7A">
        <w:rPr>
          <w:rFonts w:ascii="Times New Roman" w:hAnsi="Times New Roman" w:cs="Times New Roman"/>
          <w:b/>
        </w:rPr>
        <w:t>Declaration of AI Use</w:t>
      </w:r>
    </w:p>
    <w:p w14:paraId="7490291A" w14:textId="77777777" w:rsidR="00EC7931" w:rsidRPr="00572A7A" w:rsidRDefault="00EC7931" w:rsidP="00572A7A">
      <w:pPr>
        <w:spacing w:after="0" w:line="240" w:lineRule="auto"/>
        <w:jc w:val="both"/>
        <w:rPr>
          <w:rFonts w:ascii="Times New Roman" w:hAnsi="Times New Roman" w:cs="Times New Roman"/>
          <w:b/>
        </w:rPr>
      </w:pPr>
    </w:p>
    <w:p w14:paraId="5985C5B3" w14:textId="77777777" w:rsidR="00EC7931" w:rsidRPr="00572A7A" w:rsidRDefault="00EC7931" w:rsidP="00572A7A">
      <w:pPr>
        <w:spacing w:after="0" w:line="240" w:lineRule="auto"/>
        <w:jc w:val="both"/>
        <w:rPr>
          <w:rFonts w:ascii="Times New Roman" w:hAnsi="Times New Roman" w:cs="Times New Roman"/>
          <w:b/>
        </w:rPr>
      </w:pPr>
    </w:p>
    <w:p w14:paraId="7BFE5C95" w14:textId="77777777" w:rsidR="00EC7931" w:rsidRPr="00572A7A" w:rsidRDefault="00EC7931" w:rsidP="00572A7A">
      <w:pPr>
        <w:spacing w:after="0" w:line="240" w:lineRule="auto"/>
        <w:jc w:val="both"/>
        <w:rPr>
          <w:rFonts w:ascii="Times New Roman" w:hAnsi="Times New Roman" w:cs="Times New Roman"/>
          <w:b/>
        </w:rPr>
      </w:pPr>
    </w:p>
    <w:p w14:paraId="6832CA4B" w14:textId="77777777" w:rsidR="00EC7931" w:rsidRPr="00572A7A" w:rsidRDefault="00EC7931" w:rsidP="00572A7A">
      <w:pPr>
        <w:spacing w:after="0" w:line="240" w:lineRule="auto"/>
        <w:jc w:val="both"/>
        <w:rPr>
          <w:rFonts w:ascii="Arial" w:hAnsi="Arial" w:cs="Arial"/>
          <w:sz w:val="20"/>
          <w:szCs w:val="20"/>
        </w:rPr>
      </w:pPr>
      <w:r w:rsidRPr="00572A7A">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879D59" w14:textId="77777777" w:rsidR="00EC7931" w:rsidRPr="00572A7A" w:rsidRDefault="00EC7931"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p w14:paraId="10AC5413" w14:textId="77777777" w:rsidR="00E372DB" w:rsidRDefault="00E372DB" w:rsidP="00572A7A">
      <w:pPr>
        <w:spacing w:before="100" w:beforeAutospacing="1" w:after="100" w:afterAutospacing="1" w:line="240" w:lineRule="auto"/>
        <w:jc w:val="both"/>
        <w:rPr>
          <w:rFonts w:ascii="Times New Roman" w:eastAsia="Times New Roman" w:hAnsi="Times New Roman" w:cs="Times New Roman"/>
          <w:b/>
          <w:bCs/>
          <w:sz w:val="24"/>
          <w:szCs w:val="24"/>
          <w:lang w:bidi="hi-IN"/>
        </w:rPr>
      </w:pPr>
      <w:r w:rsidRPr="00572A7A">
        <w:rPr>
          <w:rFonts w:ascii="Times New Roman" w:eastAsia="Times New Roman" w:hAnsi="Times New Roman" w:cs="Times New Roman"/>
          <w:b/>
          <w:bCs/>
          <w:sz w:val="24"/>
          <w:szCs w:val="24"/>
          <w:lang w:bidi="hi-IN"/>
        </w:rPr>
        <w:t>REFERENCES</w:t>
      </w:r>
    </w:p>
    <w:p w14:paraId="38BE276E"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Badini, S. A., Khan, M., Baloch, S. U., Baloch, S. K., Baloch, H. N., Bashir, W., Badini, A. R., &amp; Badini, M. A. (2015). Effect of phosphorus levels on growth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varieties. </w:t>
      </w:r>
      <w:r w:rsidRPr="00410BC0">
        <w:rPr>
          <w:rFonts w:ascii="Times New Roman" w:eastAsia="Times New Roman" w:hAnsi="Times New Roman" w:cs="Times New Roman"/>
          <w:i/>
          <w:iCs/>
          <w:sz w:val="24"/>
          <w:szCs w:val="24"/>
        </w:rPr>
        <w:t>Journal of Natural Sciences Research, 5</w:t>
      </w:r>
      <w:r w:rsidRPr="00410BC0">
        <w:rPr>
          <w:rFonts w:ascii="Times New Roman" w:eastAsia="Times New Roman" w:hAnsi="Times New Roman" w:cs="Times New Roman"/>
          <w:sz w:val="24"/>
          <w:szCs w:val="24"/>
        </w:rPr>
        <w:t xml:space="preserve">(3). </w:t>
      </w:r>
      <w:hyperlink r:id="rId12" w:tgtFrame="_new" w:history="1">
        <w:r w:rsidRPr="00410BC0">
          <w:rPr>
            <w:rFonts w:ascii="Times New Roman" w:eastAsia="Times New Roman" w:hAnsi="Times New Roman" w:cs="Times New Roman"/>
            <w:color w:val="0000FF"/>
            <w:sz w:val="24"/>
            <w:szCs w:val="24"/>
            <w:u w:val="single"/>
          </w:rPr>
          <w:t>https://iiste.org/Journals/index.php/JNSR/article/download/20087/20342</w:t>
        </w:r>
      </w:hyperlink>
    </w:p>
    <w:p w14:paraId="551971B8"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lastRenderedPageBreak/>
        <w:t xml:space="preserve">Ali, A., Ahmad, B., Hussain, I., Ali, A., &amp; Shah, F. A. (2017). Effect of phosphorus and zinc on yield of lentil. </w:t>
      </w:r>
      <w:r w:rsidRPr="00410BC0">
        <w:rPr>
          <w:rFonts w:ascii="Times New Roman" w:eastAsia="Times New Roman" w:hAnsi="Times New Roman" w:cs="Times New Roman"/>
          <w:i/>
          <w:iCs/>
          <w:sz w:val="24"/>
          <w:szCs w:val="24"/>
        </w:rPr>
        <w:t>Pure and Applied Biology, 6</w:t>
      </w:r>
      <w:r w:rsidRPr="00410BC0">
        <w:rPr>
          <w:rFonts w:ascii="Times New Roman" w:eastAsia="Times New Roman" w:hAnsi="Times New Roman" w:cs="Times New Roman"/>
          <w:sz w:val="24"/>
          <w:szCs w:val="24"/>
        </w:rPr>
        <w:t>(4), 1397–1402. https://doi.org/10.19045/bspab.2017.600150</w:t>
      </w:r>
    </w:p>
    <w:p w14:paraId="4C2C744A"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Aluri, M. K., Umesha, C., &amp; Raju, G. V. (2022). Effect of phosphorus and boron levels on growth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International Journal of Plant &amp; Soil Science, 34</w:t>
      </w:r>
      <w:r w:rsidRPr="00410BC0">
        <w:rPr>
          <w:rFonts w:ascii="Times New Roman" w:eastAsia="Times New Roman" w:hAnsi="Times New Roman" w:cs="Times New Roman"/>
          <w:sz w:val="24"/>
          <w:szCs w:val="24"/>
        </w:rPr>
        <w:t>(21), 266–271. https://doi.org/10.9734/ijpss/2022/v34i2131261</w:t>
      </w:r>
    </w:p>
    <w:p w14:paraId="6076098E"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Balai, K., </w:t>
      </w:r>
      <w:proofErr w:type="spellStart"/>
      <w:r w:rsidRPr="00410BC0">
        <w:rPr>
          <w:rFonts w:ascii="Times New Roman" w:eastAsia="Times New Roman" w:hAnsi="Times New Roman" w:cs="Times New Roman"/>
          <w:sz w:val="24"/>
          <w:szCs w:val="24"/>
        </w:rPr>
        <w:t>Jajoria</w:t>
      </w:r>
      <w:proofErr w:type="spellEnd"/>
      <w:r w:rsidRPr="00410BC0">
        <w:rPr>
          <w:rFonts w:ascii="Times New Roman" w:eastAsia="Times New Roman" w:hAnsi="Times New Roman" w:cs="Times New Roman"/>
          <w:sz w:val="24"/>
          <w:szCs w:val="24"/>
        </w:rPr>
        <w:t xml:space="preserve">, M., Verma, R., Deewan, P., &amp; Bairwa, S. K. (2017). Nutrient content, uptake, quality of chickpea, and fertility status of soil as influenced by fertilization of phosphorus and zinc. </w:t>
      </w:r>
      <w:r w:rsidRPr="00410BC0">
        <w:rPr>
          <w:rFonts w:ascii="Times New Roman" w:eastAsia="Times New Roman" w:hAnsi="Times New Roman" w:cs="Times New Roman"/>
          <w:i/>
          <w:iCs/>
          <w:sz w:val="24"/>
          <w:szCs w:val="24"/>
        </w:rPr>
        <w:t>Journal of Pharmacognosy and Phytochemistry, 6</w:t>
      </w:r>
      <w:r w:rsidRPr="00410BC0">
        <w:rPr>
          <w:rFonts w:ascii="Times New Roman" w:eastAsia="Times New Roman" w:hAnsi="Times New Roman" w:cs="Times New Roman"/>
          <w:sz w:val="24"/>
          <w:szCs w:val="24"/>
        </w:rPr>
        <w:t xml:space="preserve">(1), 392–398. </w:t>
      </w:r>
      <w:hyperlink r:id="rId13" w:tgtFrame="_new" w:history="1">
        <w:r w:rsidRPr="00410BC0">
          <w:rPr>
            <w:rFonts w:ascii="Times New Roman" w:eastAsia="Times New Roman" w:hAnsi="Times New Roman" w:cs="Times New Roman"/>
            <w:color w:val="0000FF"/>
            <w:sz w:val="24"/>
            <w:szCs w:val="24"/>
            <w:u w:val="single"/>
          </w:rPr>
          <w:t>https://www.phytojournal.com/archives/2017.v6.i1.1105/nutrient-content-uptake-quality-of-chickpea-and-fertility-status-of-soil-as-influenced-by-fertilization-of-phosphorus-and-zinc</w:t>
        </w:r>
      </w:hyperlink>
    </w:p>
    <w:p w14:paraId="2B598226"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Bhadru, P., Yadav, S. S., Kumawat, R., </w:t>
      </w:r>
      <w:proofErr w:type="spellStart"/>
      <w:r w:rsidRPr="00410BC0">
        <w:rPr>
          <w:rFonts w:ascii="Times New Roman" w:eastAsia="Times New Roman" w:hAnsi="Times New Roman" w:cs="Times New Roman"/>
          <w:sz w:val="24"/>
          <w:szCs w:val="24"/>
        </w:rPr>
        <w:t>Bijarnia</w:t>
      </w:r>
      <w:proofErr w:type="spellEnd"/>
      <w:r w:rsidRPr="00410BC0">
        <w:rPr>
          <w:rFonts w:ascii="Times New Roman" w:eastAsia="Times New Roman" w:hAnsi="Times New Roman" w:cs="Times New Roman"/>
          <w:sz w:val="24"/>
          <w:szCs w:val="24"/>
        </w:rPr>
        <w:t xml:space="preserve">, A., &amp; Choudhary, R. (2019). Effect of zinc and thiourea application on yield attributes and yield of </w:t>
      </w:r>
      <w:proofErr w:type="spellStart"/>
      <w:r w:rsidRPr="00410BC0">
        <w:rPr>
          <w:rFonts w:ascii="Times New Roman" w:eastAsia="Times New Roman" w:hAnsi="Times New Roman" w:cs="Times New Roman"/>
          <w:sz w:val="24"/>
          <w:szCs w:val="24"/>
        </w:rPr>
        <w:t>greengram</w:t>
      </w:r>
      <w:proofErr w:type="spellEnd"/>
      <w:r w:rsidRPr="00410BC0">
        <w:rPr>
          <w:rFonts w:ascii="Times New Roman" w:eastAsia="Times New Roman" w:hAnsi="Times New Roman" w:cs="Times New Roman"/>
          <w:sz w:val="24"/>
          <w:szCs w:val="24"/>
        </w:rPr>
        <w:t xml:space="preserve"> [</w:t>
      </w:r>
      <w:r w:rsidRPr="00410BC0">
        <w:rPr>
          <w:rFonts w:ascii="Times New Roman" w:eastAsia="Times New Roman" w:hAnsi="Times New Roman" w:cs="Times New Roman"/>
          <w:i/>
          <w:iCs/>
          <w:sz w:val="24"/>
          <w:szCs w:val="24"/>
        </w:rPr>
        <w:t>Vigna radiata</w:t>
      </w:r>
      <w:r w:rsidRPr="00410BC0">
        <w:rPr>
          <w:rFonts w:ascii="Times New Roman" w:eastAsia="Times New Roman" w:hAnsi="Times New Roman" w:cs="Times New Roman"/>
          <w:sz w:val="24"/>
          <w:szCs w:val="24"/>
        </w:rPr>
        <w:t xml:space="preserve"> (L.) Wilczek]. </w:t>
      </w:r>
      <w:r w:rsidRPr="00410BC0">
        <w:rPr>
          <w:rFonts w:ascii="Times New Roman" w:eastAsia="Times New Roman" w:hAnsi="Times New Roman" w:cs="Times New Roman"/>
          <w:i/>
          <w:iCs/>
          <w:sz w:val="24"/>
          <w:szCs w:val="24"/>
        </w:rPr>
        <w:t>International Journal of Chemical Studies, 7</w:t>
      </w:r>
      <w:r w:rsidRPr="00410BC0">
        <w:rPr>
          <w:rFonts w:ascii="Times New Roman" w:eastAsia="Times New Roman" w:hAnsi="Times New Roman" w:cs="Times New Roman"/>
          <w:sz w:val="24"/>
          <w:szCs w:val="24"/>
        </w:rPr>
        <w:t xml:space="preserve">(6), 622–625. </w:t>
      </w:r>
      <w:hyperlink r:id="rId14" w:tgtFrame="_new" w:history="1">
        <w:r w:rsidRPr="00410BC0">
          <w:rPr>
            <w:rFonts w:ascii="Times New Roman" w:eastAsia="Times New Roman" w:hAnsi="Times New Roman" w:cs="Times New Roman"/>
            <w:color w:val="0000FF"/>
            <w:sz w:val="24"/>
            <w:szCs w:val="24"/>
            <w:u w:val="single"/>
          </w:rPr>
          <w:t>https://www.chemijournal.com/archives/2019/vol7issue6/PartK/7-5-635-981.pdf</w:t>
        </w:r>
      </w:hyperlink>
    </w:p>
    <w:p w14:paraId="23E2C56C"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Chakali, R., Dawson, J., Kumar, D. K., Sreekanth, D., &amp; Rajesh, B. (2022). Effect of phosphorus and zinc levels on growth and yield attributes in varieties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Prayagraj condition. </w:t>
      </w:r>
      <w:r w:rsidRPr="00410BC0">
        <w:rPr>
          <w:rFonts w:ascii="Times New Roman" w:eastAsia="Times New Roman" w:hAnsi="Times New Roman" w:cs="Times New Roman"/>
          <w:i/>
          <w:iCs/>
          <w:sz w:val="24"/>
          <w:szCs w:val="24"/>
        </w:rPr>
        <w:t>International Journal of Environment and Climate Change, 12</w:t>
      </w:r>
      <w:r w:rsidRPr="00410BC0">
        <w:rPr>
          <w:rFonts w:ascii="Times New Roman" w:eastAsia="Times New Roman" w:hAnsi="Times New Roman" w:cs="Times New Roman"/>
          <w:sz w:val="24"/>
          <w:szCs w:val="24"/>
        </w:rPr>
        <w:t>(11), 1840–1845. https://doi.org/10.9734/ijecc/2022/v12i1131169</w:t>
      </w:r>
    </w:p>
    <w:p w14:paraId="4DBC7D00"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Chavan, J. K., Kadam, S. S., Salunkhe, D. K., &amp; Beuchat, L. R. (1987). Biochemistry and technology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seeds. </w:t>
      </w:r>
      <w:r w:rsidRPr="00410BC0">
        <w:rPr>
          <w:rFonts w:ascii="Times New Roman" w:eastAsia="Times New Roman" w:hAnsi="Times New Roman" w:cs="Times New Roman"/>
          <w:i/>
          <w:iCs/>
          <w:sz w:val="24"/>
          <w:szCs w:val="24"/>
        </w:rPr>
        <w:t>CRC Critical Reviews in Food Science and Nutrition, 25</w:t>
      </w:r>
      <w:r w:rsidRPr="00410BC0">
        <w:rPr>
          <w:rFonts w:ascii="Times New Roman" w:eastAsia="Times New Roman" w:hAnsi="Times New Roman" w:cs="Times New Roman"/>
          <w:sz w:val="24"/>
          <w:szCs w:val="24"/>
        </w:rPr>
        <w:t>(2), 107–158. https://doi.org/10.1080/10408398709527449</w:t>
      </w:r>
    </w:p>
    <w:p w14:paraId="4D1E0F37"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Choudhary, G. L., Rana, K. S., Rana, D. S., &amp; Bana, R. S. (2014). Performance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as influenced by moisture management and zinc fortification in </w:t>
      </w:r>
      <w:proofErr w:type="spellStart"/>
      <w:r w:rsidRPr="00410BC0">
        <w:rPr>
          <w:rFonts w:ascii="Times New Roman" w:eastAsia="Times New Roman" w:hAnsi="Times New Roman" w:cs="Times New Roman"/>
          <w:sz w:val="24"/>
          <w:szCs w:val="24"/>
        </w:rPr>
        <w:t>pearlmillet</w:t>
      </w:r>
      <w:proofErr w:type="spellEnd"/>
      <w:r w:rsidRPr="00410BC0">
        <w:rPr>
          <w:rFonts w:ascii="Times New Roman" w:eastAsia="Times New Roman" w:hAnsi="Times New Roman" w:cs="Times New Roman"/>
          <w:sz w:val="24"/>
          <w:szCs w:val="24"/>
        </w:rPr>
        <w:t xml:space="preserve">–chickpea cropping system under limited moisture conditions. </w:t>
      </w:r>
      <w:r w:rsidRPr="00410BC0">
        <w:rPr>
          <w:rFonts w:ascii="Times New Roman" w:eastAsia="Times New Roman" w:hAnsi="Times New Roman" w:cs="Times New Roman"/>
          <w:i/>
          <w:iCs/>
          <w:sz w:val="24"/>
          <w:szCs w:val="24"/>
        </w:rPr>
        <w:t>Indian Journal of Agronomy, 59</w:t>
      </w:r>
      <w:r w:rsidRPr="00410BC0">
        <w:rPr>
          <w:rFonts w:ascii="Times New Roman" w:eastAsia="Times New Roman" w:hAnsi="Times New Roman" w:cs="Times New Roman"/>
          <w:sz w:val="24"/>
          <w:szCs w:val="24"/>
        </w:rPr>
        <w:t>(4), 634–640. https://doi.org/10.59797/ija.v59i4.4582</w:t>
      </w:r>
    </w:p>
    <w:p w14:paraId="153A874D"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Delfim, J., Moreira, A., Moraes, L. A. C., Silva, J. F., Moreira, P. A. M., &amp; Lima Filho, O. F. (2024). Soil phosphorus availability impacts chickpea production and nutritional status in tropical soils. </w:t>
      </w:r>
      <w:r w:rsidRPr="00410BC0">
        <w:rPr>
          <w:rFonts w:ascii="Times New Roman" w:eastAsia="Times New Roman" w:hAnsi="Times New Roman" w:cs="Times New Roman"/>
          <w:i/>
          <w:iCs/>
          <w:sz w:val="24"/>
          <w:szCs w:val="24"/>
        </w:rPr>
        <w:t>Journal of Soil Science and Plant Nutrition, 24</w:t>
      </w:r>
      <w:r w:rsidRPr="00410BC0">
        <w:rPr>
          <w:rFonts w:ascii="Times New Roman" w:eastAsia="Times New Roman" w:hAnsi="Times New Roman" w:cs="Times New Roman"/>
          <w:sz w:val="24"/>
          <w:szCs w:val="24"/>
        </w:rPr>
        <w:t>, 3115–3130. https://doi.org/10.1007/s42729-024-01738-5</w:t>
      </w:r>
    </w:p>
    <w:p w14:paraId="0165520B"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Directorate of Economics and Statistics. (2023). </w:t>
      </w:r>
      <w:r w:rsidRPr="00410BC0">
        <w:rPr>
          <w:rFonts w:ascii="Times New Roman" w:eastAsia="Times New Roman" w:hAnsi="Times New Roman" w:cs="Times New Roman"/>
          <w:i/>
          <w:iCs/>
          <w:sz w:val="24"/>
          <w:szCs w:val="24"/>
        </w:rPr>
        <w:t>Agricultural statistics at a glance 2023</w:t>
      </w:r>
      <w:r w:rsidRPr="00410BC0">
        <w:rPr>
          <w:rFonts w:ascii="Times New Roman" w:eastAsia="Times New Roman" w:hAnsi="Times New Roman" w:cs="Times New Roman"/>
          <w:sz w:val="24"/>
          <w:szCs w:val="24"/>
        </w:rPr>
        <w:t xml:space="preserve">. Department of Agriculture and Farmers Welfare, Ministry of Agriculture and Farmers Welfare, Government of India. </w:t>
      </w:r>
      <w:hyperlink r:id="rId15" w:tgtFrame="_new" w:history="1">
        <w:r w:rsidRPr="00410BC0">
          <w:rPr>
            <w:rFonts w:ascii="Times New Roman" w:eastAsia="Times New Roman" w:hAnsi="Times New Roman" w:cs="Times New Roman"/>
            <w:color w:val="0000FF"/>
            <w:sz w:val="24"/>
            <w:szCs w:val="24"/>
            <w:u w:val="single"/>
          </w:rPr>
          <w:t>https://nccd.gov.in/uploads/Agricultural_Statistics_at_a_Glance_2023_64c3ac54bf.pdf</w:t>
        </w:r>
      </w:hyperlink>
    </w:p>
    <w:p w14:paraId="270924E6"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Directorate of Economics and Statistics. (2024). </w:t>
      </w:r>
      <w:r w:rsidRPr="00410BC0">
        <w:rPr>
          <w:rFonts w:ascii="Times New Roman" w:eastAsia="Times New Roman" w:hAnsi="Times New Roman" w:cs="Times New Roman"/>
          <w:i/>
          <w:iCs/>
          <w:sz w:val="24"/>
          <w:szCs w:val="24"/>
        </w:rPr>
        <w:t>Agricultural statistics at a glance 2024</w:t>
      </w:r>
      <w:r w:rsidRPr="00410BC0">
        <w:rPr>
          <w:rFonts w:ascii="Times New Roman" w:eastAsia="Times New Roman" w:hAnsi="Times New Roman" w:cs="Times New Roman"/>
          <w:sz w:val="24"/>
          <w:szCs w:val="24"/>
        </w:rPr>
        <w:t xml:space="preserve">. Department of Agriculture and Farmers Welfare, Ministry of Agriculture and Farmers Welfare, </w:t>
      </w:r>
      <w:r w:rsidRPr="00410BC0">
        <w:rPr>
          <w:rFonts w:ascii="Times New Roman" w:eastAsia="Times New Roman" w:hAnsi="Times New Roman" w:cs="Times New Roman"/>
          <w:sz w:val="24"/>
          <w:szCs w:val="24"/>
        </w:rPr>
        <w:lastRenderedPageBreak/>
        <w:t xml:space="preserve">Government of India. </w:t>
      </w:r>
      <w:hyperlink r:id="rId16" w:tgtFrame="_new" w:history="1">
        <w:r w:rsidRPr="00410BC0">
          <w:rPr>
            <w:rFonts w:ascii="Times New Roman" w:eastAsia="Times New Roman" w:hAnsi="Times New Roman" w:cs="Times New Roman"/>
            <w:color w:val="0000FF"/>
            <w:sz w:val="24"/>
            <w:szCs w:val="24"/>
            <w:u w:val="single"/>
          </w:rPr>
          <w:t>https://desagri.gov.in/document-report/agricultural-statistics-at-a-glance-2024/</w:t>
        </w:r>
      </w:hyperlink>
    </w:p>
    <w:p w14:paraId="24D9482D"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Donald, C. M. (1962). In search of yield. </w:t>
      </w:r>
      <w:r w:rsidRPr="00410BC0">
        <w:rPr>
          <w:rFonts w:ascii="Times New Roman" w:eastAsia="Times New Roman" w:hAnsi="Times New Roman" w:cs="Times New Roman"/>
          <w:i/>
          <w:iCs/>
          <w:sz w:val="24"/>
          <w:szCs w:val="24"/>
        </w:rPr>
        <w:t>Journal of the Australian Institute of Agricultural Science, 28</w:t>
      </w:r>
      <w:r w:rsidRPr="00410BC0">
        <w:rPr>
          <w:rFonts w:ascii="Times New Roman" w:eastAsia="Times New Roman" w:hAnsi="Times New Roman" w:cs="Times New Roman"/>
          <w:sz w:val="24"/>
          <w:szCs w:val="24"/>
        </w:rPr>
        <w:t xml:space="preserve">(3), 171–178. </w:t>
      </w:r>
      <w:hyperlink r:id="rId17" w:tgtFrame="_new" w:history="1">
        <w:r w:rsidRPr="00410BC0">
          <w:rPr>
            <w:rFonts w:ascii="Times New Roman" w:eastAsia="Times New Roman" w:hAnsi="Times New Roman" w:cs="Times New Roman"/>
            <w:color w:val="0000FF"/>
            <w:sz w:val="24"/>
            <w:szCs w:val="24"/>
            <w:u w:val="single"/>
          </w:rPr>
          <w:t>https://knowledgecenter.cimmyt.org/bib/23713</w:t>
        </w:r>
      </w:hyperlink>
    </w:p>
    <w:p w14:paraId="662FA4F6" w14:textId="333DFDAD"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Food and Agriculture Organization of the United Nations. (2023). </w:t>
      </w:r>
      <w:r w:rsidRPr="00410BC0">
        <w:rPr>
          <w:rFonts w:ascii="Times New Roman" w:eastAsia="Times New Roman" w:hAnsi="Times New Roman" w:cs="Times New Roman"/>
          <w:i/>
          <w:iCs/>
          <w:sz w:val="24"/>
          <w:szCs w:val="24"/>
        </w:rPr>
        <w:t>World food and agriculture—Statistical yearbook 2023</w:t>
      </w:r>
      <w:r w:rsidRPr="00410BC0">
        <w:rPr>
          <w:rFonts w:ascii="Times New Roman" w:eastAsia="Times New Roman" w:hAnsi="Times New Roman" w:cs="Times New Roman"/>
          <w:sz w:val="24"/>
          <w:szCs w:val="24"/>
        </w:rPr>
        <w:t>. https://doi.org/10.4060/cc8166en</w:t>
      </w:r>
    </w:p>
    <w:p w14:paraId="25F7264F" w14:textId="7A0A0CFC"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Food and Agriculture Organization of the United Nations. (2024). </w:t>
      </w:r>
      <w:r w:rsidRPr="00410BC0">
        <w:rPr>
          <w:rFonts w:ascii="Times New Roman" w:eastAsia="Times New Roman" w:hAnsi="Times New Roman" w:cs="Times New Roman"/>
          <w:i/>
          <w:iCs/>
          <w:sz w:val="24"/>
          <w:szCs w:val="24"/>
        </w:rPr>
        <w:t>World food and agriculture—Statistical yearbook 2024</w:t>
      </w:r>
      <w:r w:rsidRPr="00410BC0">
        <w:rPr>
          <w:rFonts w:ascii="Times New Roman" w:eastAsia="Times New Roman" w:hAnsi="Times New Roman" w:cs="Times New Roman"/>
          <w:sz w:val="24"/>
          <w:szCs w:val="24"/>
        </w:rPr>
        <w:t>. https://doi.org/10.4060/cd2971en</w:t>
      </w:r>
    </w:p>
    <w:p w14:paraId="15856A16"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Gupta, K. C., Saxena, R., Jain, S. K., Kumar, V., &amp; Yadav, M. R. (2021). Yield and nutrient fortification of chickpea by foliar Fe and Zn application. </w:t>
      </w:r>
      <w:r w:rsidRPr="00410BC0">
        <w:rPr>
          <w:rFonts w:ascii="Times New Roman" w:eastAsia="Times New Roman" w:hAnsi="Times New Roman" w:cs="Times New Roman"/>
          <w:i/>
          <w:iCs/>
          <w:sz w:val="24"/>
          <w:szCs w:val="24"/>
        </w:rPr>
        <w:t>Journal of Crop and Weed, 17</w:t>
      </w:r>
      <w:r w:rsidRPr="00410BC0">
        <w:rPr>
          <w:rFonts w:ascii="Times New Roman" w:eastAsia="Times New Roman" w:hAnsi="Times New Roman" w:cs="Times New Roman"/>
          <w:sz w:val="24"/>
          <w:szCs w:val="24"/>
        </w:rPr>
        <w:t>(3), 29–34. https://doi.org/10.22271/09746315.2021.v17.i3.1487</w:t>
      </w:r>
    </w:p>
    <w:p w14:paraId="3A43891C"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Hafeez, B., </w:t>
      </w:r>
      <w:proofErr w:type="spellStart"/>
      <w:r w:rsidRPr="00410BC0">
        <w:rPr>
          <w:rFonts w:ascii="Times New Roman" w:eastAsia="Times New Roman" w:hAnsi="Times New Roman" w:cs="Times New Roman"/>
          <w:sz w:val="24"/>
          <w:szCs w:val="24"/>
        </w:rPr>
        <w:t>Khanif</w:t>
      </w:r>
      <w:proofErr w:type="spellEnd"/>
      <w:r w:rsidRPr="00410BC0">
        <w:rPr>
          <w:rFonts w:ascii="Times New Roman" w:eastAsia="Times New Roman" w:hAnsi="Times New Roman" w:cs="Times New Roman"/>
          <w:sz w:val="24"/>
          <w:szCs w:val="24"/>
        </w:rPr>
        <w:t xml:space="preserve">, Y. M., &amp; Saleem, M. (2013). Role of zinc in plant nutrition—A review. </w:t>
      </w:r>
      <w:r w:rsidRPr="00410BC0">
        <w:rPr>
          <w:rFonts w:ascii="Times New Roman" w:eastAsia="Times New Roman" w:hAnsi="Times New Roman" w:cs="Times New Roman"/>
          <w:i/>
          <w:iCs/>
          <w:sz w:val="24"/>
          <w:szCs w:val="24"/>
        </w:rPr>
        <w:t>American Journal of Experimental Agriculture, 3</w:t>
      </w:r>
      <w:r w:rsidRPr="00410BC0">
        <w:rPr>
          <w:rFonts w:ascii="Times New Roman" w:eastAsia="Times New Roman" w:hAnsi="Times New Roman" w:cs="Times New Roman"/>
          <w:sz w:val="24"/>
          <w:szCs w:val="24"/>
        </w:rPr>
        <w:t>(2), 374–391. https://doi.org/10.9734/AJEA/2013/2746</w:t>
      </w:r>
    </w:p>
    <w:p w14:paraId="4BEFDD13"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Hidoto</w:t>
      </w:r>
      <w:proofErr w:type="spellEnd"/>
      <w:r w:rsidRPr="00410BC0">
        <w:rPr>
          <w:rFonts w:ascii="Times New Roman" w:eastAsia="Times New Roman" w:hAnsi="Times New Roman" w:cs="Times New Roman"/>
          <w:sz w:val="24"/>
          <w:szCs w:val="24"/>
        </w:rPr>
        <w:t xml:space="preserve">, L., Worku, W., Mohammed, H., &amp; </w:t>
      </w:r>
      <w:proofErr w:type="spellStart"/>
      <w:r w:rsidRPr="00410BC0">
        <w:rPr>
          <w:rFonts w:ascii="Times New Roman" w:eastAsia="Times New Roman" w:hAnsi="Times New Roman" w:cs="Times New Roman"/>
          <w:sz w:val="24"/>
          <w:szCs w:val="24"/>
        </w:rPr>
        <w:t>Tar’an</w:t>
      </w:r>
      <w:proofErr w:type="spellEnd"/>
      <w:r w:rsidRPr="00410BC0">
        <w:rPr>
          <w:rFonts w:ascii="Times New Roman" w:eastAsia="Times New Roman" w:hAnsi="Times New Roman" w:cs="Times New Roman"/>
          <w:sz w:val="24"/>
          <w:szCs w:val="24"/>
        </w:rPr>
        <w:t>, B. (2016). Agronomic approach to increase seed zinc content and productivity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varieties on zinc-deficient soils of Southern Ethiopia. </w:t>
      </w:r>
      <w:r w:rsidRPr="00410BC0">
        <w:rPr>
          <w:rFonts w:ascii="Times New Roman" w:eastAsia="Times New Roman" w:hAnsi="Times New Roman" w:cs="Times New Roman"/>
          <w:i/>
          <w:iCs/>
          <w:sz w:val="24"/>
          <w:szCs w:val="24"/>
        </w:rPr>
        <w:t>Advances in Life Science and Technology, 42</w:t>
      </w:r>
      <w:r w:rsidRPr="00410BC0">
        <w:rPr>
          <w:rFonts w:ascii="Times New Roman" w:eastAsia="Times New Roman" w:hAnsi="Times New Roman" w:cs="Times New Roman"/>
          <w:sz w:val="24"/>
          <w:szCs w:val="24"/>
        </w:rPr>
        <w:t xml:space="preserve">, 1–10. </w:t>
      </w:r>
      <w:hyperlink r:id="rId18" w:tgtFrame="_new" w:history="1">
        <w:r w:rsidRPr="00410BC0">
          <w:rPr>
            <w:rFonts w:ascii="Times New Roman" w:eastAsia="Times New Roman" w:hAnsi="Times New Roman" w:cs="Times New Roman"/>
            <w:color w:val="0000FF"/>
            <w:sz w:val="24"/>
            <w:szCs w:val="24"/>
            <w:u w:val="single"/>
          </w:rPr>
          <w:t>https://www.iiste.org/Journals/index.php/ALST/article/download/29317/30106</w:t>
        </w:r>
      </w:hyperlink>
    </w:p>
    <w:p w14:paraId="4C00FCF1"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Hidoto</w:t>
      </w:r>
      <w:proofErr w:type="spellEnd"/>
      <w:r w:rsidRPr="00410BC0">
        <w:rPr>
          <w:rFonts w:ascii="Times New Roman" w:eastAsia="Times New Roman" w:hAnsi="Times New Roman" w:cs="Times New Roman"/>
          <w:sz w:val="24"/>
          <w:szCs w:val="24"/>
        </w:rPr>
        <w:t xml:space="preserve">, L., Worku, W., Mohammed, H., &amp; </w:t>
      </w:r>
      <w:proofErr w:type="spellStart"/>
      <w:r w:rsidRPr="00410BC0">
        <w:rPr>
          <w:rFonts w:ascii="Times New Roman" w:eastAsia="Times New Roman" w:hAnsi="Times New Roman" w:cs="Times New Roman"/>
          <w:sz w:val="24"/>
          <w:szCs w:val="24"/>
        </w:rPr>
        <w:t>Tar’an</w:t>
      </w:r>
      <w:proofErr w:type="spellEnd"/>
      <w:r w:rsidRPr="00410BC0">
        <w:rPr>
          <w:rFonts w:ascii="Times New Roman" w:eastAsia="Times New Roman" w:hAnsi="Times New Roman" w:cs="Times New Roman"/>
          <w:sz w:val="24"/>
          <w:szCs w:val="24"/>
        </w:rPr>
        <w:t xml:space="preserve">, B. (2017). Effects of zinc application strategy on zinc content and productivity of chickpea grown under zinc-deficient soils. </w:t>
      </w:r>
      <w:r w:rsidRPr="00410BC0">
        <w:rPr>
          <w:rFonts w:ascii="Times New Roman" w:eastAsia="Times New Roman" w:hAnsi="Times New Roman" w:cs="Times New Roman"/>
          <w:i/>
          <w:iCs/>
          <w:sz w:val="24"/>
          <w:szCs w:val="24"/>
        </w:rPr>
        <w:t>Journal of Soil Science and Plant Nutrition, 17</w:t>
      </w:r>
      <w:r w:rsidRPr="00410BC0">
        <w:rPr>
          <w:rFonts w:ascii="Times New Roman" w:eastAsia="Times New Roman" w:hAnsi="Times New Roman" w:cs="Times New Roman"/>
          <w:sz w:val="24"/>
          <w:szCs w:val="24"/>
        </w:rPr>
        <w:t>, 112–126. https://doi.org/10.4067/S0718-95162017005000009</w:t>
      </w:r>
    </w:p>
    <w:p w14:paraId="5CF477A0"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Himavarsha, P., Tomar, S. S., </w:t>
      </w:r>
      <w:proofErr w:type="spellStart"/>
      <w:r w:rsidRPr="00410BC0">
        <w:rPr>
          <w:rFonts w:ascii="Times New Roman" w:eastAsia="Times New Roman" w:hAnsi="Times New Roman" w:cs="Times New Roman"/>
          <w:sz w:val="24"/>
          <w:szCs w:val="24"/>
        </w:rPr>
        <w:t>Kasirao</w:t>
      </w:r>
      <w:proofErr w:type="spellEnd"/>
      <w:r w:rsidRPr="00410BC0">
        <w:rPr>
          <w:rFonts w:ascii="Times New Roman" w:eastAsia="Times New Roman" w:hAnsi="Times New Roman" w:cs="Times New Roman"/>
          <w:sz w:val="24"/>
          <w:szCs w:val="24"/>
        </w:rPr>
        <w:t xml:space="preserve">, G., Ahlawat, J., &amp; Pradhan, P. R. (2025). Ecosystem-level impacts of chickpea intercropping and nutrient management on phenology, land equivalent ratio and microbial populations. </w:t>
      </w:r>
      <w:r w:rsidRPr="00410BC0">
        <w:rPr>
          <w:rFonts w:ascii="Times New Roman" w:eastAsia="Times New Roman" w:hAnsi="Times New Roman" w:cs="Times New Roman"/>
          <w:i/>
          <w:iCs/>
          <w:sz w:val="24"/>
          <w:szCs w:val="24"/>
        </w:rPr>
        <w:t>Uttar Pradesh Journal of Zoology, 46</w:t>
      </w:r>
      <w:r w:rsidRPr="00410BC0">
        <w:rPr>
          <w:rFonts w:ascii="Times New Roman" w:eastAsia="Times New Roman" w:hAnsi="Times New Roman" w:cs="Times New Roman"/>
          <w:sz w:val="24"/>
          <w:szCs w:val="24"/>
        </w:rPr>
        <w:t>(20), 152–162. https://doi.org/10.56557/upjoz/2025/v46i205310</w:t>
      </w:r>
    </w:p>
    <w:p w14:paraId="299E194E"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Katiyar, N. K., Mishra, U. S., Kumar, V., Kumar, A., Raizada, S., Pathak, R. K., &amp; Pandey, S. B. (2017). Response of zinc, boron and molybdenum on growth, yield attributes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under rainfed conditions. </w:t>
      </w:r>
      <w:r w:rsidRPr="00410BC0">
        <w:rPr>
          <w:rFonts w:ascii="Times New Roman" w:eastAsia="Times New Roman" w:hAnsi="Times New Roman" w:cs="Times New Roman"/>
          <w:i/>
          <w:iCs/>
          <w:sz w:val="24"/>
          <w:szCs w:val="24"/>
        </w:rPr>
        <w:t>Research on Crops, 18</w:t>
      </w:r>
      <w:r w:rsidRPr="00410BC0">
        <w:rPr>
          <w:rFonts w:ascii="Times New Roman" w:eastAsia="Times New Roman" w:hAnsi="Times New Roman" w:cs="Times New Roman"/>
          <w:sz w:val="24"/>
          <w:szCs w:val="24"/>
        </w:rPr>
        <w:t>(1), 29–34. https://doi.org/10.5958/2348-7542.2017.00006.7</w:t>
      </w:r>
    </w:p>
    <w:p w14:paraId="313D998E"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Kaundal</w:t>
      </w:r>
      <w:proofErr w:type="spellEnd"/>
      <w:r w:rsidRPr="00410BC0">
        <w:rPr>
          <w:rFonts w:ascii="Times New Roman" w:eastAsia="Times New Roman" w:hAnsi="Times New Roman" w:cs="Times New Roman"/>
          <w:sz w:val="24"/>
          <w:szCs w:val="24"/>
        </w:rPr>
        <w:t>, M., Kaur, N., Seth, M., &amp; Singh, V. (2023). Effect of integrated nutrient management through phosphorus and vermicompost on growth, phenology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Journal of Crop and Weed, 19</w:t>
      </w:r>
      <w:r w:rsidRPr="00410BC0">
        <w:rPr>
          <w:rFonts w:ascii="Times New Roman" w:eastAsia="Times New Roman" w:hAnsi="Times New Roman" w:cs="Times New Roman"/>
          <w:sz w:val="24"/>
          <w:szCs w:val="24"/>
        </w:rPr>
        <w:t>(1), 48–52. https://doi.org/10.22271/09746315.2023.v19.i1.1658</w:t>
      </w:r>
    </w:p>
    <w:p w14:paraId="2338BCB9"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lastRenderedPageBreak/>
        <w:t xml:space="preserve">Khan, H. R., McDonald, G. K., &amp; Rengel, Z. (2003). Zn fertilization improves water use efficiency, grain yield and seed Zn content in chickpea. </w:t>
      </w:r>
      <w:r w:rsidRPr="00410BC0">
        <w:rPr>
          <w:rFonts w:ascii="Times New Roman" w:eastAsia="Times New Roman" w:hAnsi="Times New Roman" w:cs="Times New Roman"/>
          <w:i/>
          <w:iCs/>
          <w:sz w:val="24"/>
          <w:szCs w:val="24"/>
        </w:rPr>
        <w:t>Plant and Soil, 249</w:t>
      </w:r>
      <w:r w:rsidRPr="00410BC0">
        <w:rPr>
          <w:rFonts w:ascii="Times New Roman" w:eastAsia="Times New Roman" w:hAnsi="Times New Roman" w:cs="Times New Roman"/>
          <w:sz w:val="24"/>
          <w:szCs w:val="24"/>
        </w:rPr>
        <w:t>(2), 389–400. https://doi.org/10.1023/A:1022808323744</w:t>
      </w:r>
    </w:p>
    <w:p w14:paraId="52ACBA68" w14:textId="57D6A2AB"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Khan, M. A., &amp; Singh, R. (2005). Effect of cultivars, nutrient management and mulching on the production potentiality of chickpea under water harvesting condition of arid zone. </w:t>
      </w:r>
      <w:r w:rsidRPr="00410BC0">
        <w:rPr>
          <w:rFonts w:ascii="Times New Roman" w:eastAsia="Times New Roman" w:hAnsi="Times New Roman" w:cs="Times New Roman"/>
          <w:i/>
          <w:iCs/>
          <w:sz w:val="24"/>
          <w:szCs w:val="24"/>
        </w:rPr>
        <w:t>Journal of Arid Legumes, 2</w:t>
      </w:r>
      <w:r w:rsidRPr="00410BC0">
        <w:rPr>
          <w:rFonts w:ascii="Times New Roman" w:eastAsia="Times New Roman" w:hAnsi="Times New Roman" w:cs="Times New Roman"/>
          <w:sz w:val="24"/>
          <w:szCs w:val="24"/>
        </w:rPr>
        <w:t xml:space="preserve">(1), 10–14. </w:t>
      </w:r>
    </w:p>
    <w:p w14:paraId="47780045"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Khan, M. I., Afzal, M. J., Bashir, S., Naveed, M., Anum, S., Cheema, S. A., Wakeel, A., Sanaullah, M., Ali, M. H., &amp; Chen, Z. (2021). Improving nutrient uptake, growth, yield and protein content in chickpea by the co-addition of phosphorus fertilizers, organic manures, and </w:t>
      </w:r>
      <w:r w:rsidRPr="00410BC0">
        <w:rPr>
          <w:rFonts w:ascii="Times New Roman" w:eastAsia="Times New Roman" w:hAnsi="Times New Roman" w:cs="Times New Roman"/>
          <w:i/>
          <w:iCs/>
          <w:sz w:val="24"/>
          <w:szCs w:val="24"/>
        </w:rPr>
        <w:t>Bacillus</w:t>
      </w:r>
      <w:r w:rsidRPr="00410BC0">
        <w:rPr>
          <w:rFonts w:ascii="Times New Roman" w:eastAsia="Times New Roman" w:hAnsi="Times New Roman" w:cs="Times New Roman"/>
          <w:sz w:val="24"/>
          <w:szCs w:val="24"/>
        </w:rPr>
        <w:t xml:space="preserve"> sp. MN-54. </w:t>
      </w:r>
      <w:r w:rsidRPr="00410BC0">
        <w:rPr>
          <w:rFonts w:ascii="Times New Roman" w:eastAsia="Times New Roman" w:hAnsi="Times New Roman" w:cs="Times New Roman"/>
          <w:i/>
          <w:iCs/>
          <w:sz w:val="24"/>
          <w:szCs w:val="24"/>
        </w:rPr>
        <w:t>Agronomy, 11</w:t>
      </w:r>
      <w:r w:rsidRPr="00410BC0">
        <w:rPr>
          <w:rFonts w:ascii="Times New Roman" w:eastAsia="Times New Roman" w:hAnsi="Times New Roman" w:cs="Times New Roman"/>
          <w:sz w:val="24"/>
          <w:szCs w:val="24"/>
        </w:rPr>
        <w:t>(3), 436. https://doi.org/10.3390/agronomy11030436</w:t>
      </w:r>
    </w:p>
    <w:p w14:paraId="61AF44C2" w14:textId="3423ADFD"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Khourgamy, A., &amp; Farnia, A. (2009). Effect of phosphorus and zinc fertilization on yield components of chickpea cultivars. </w:t>
      </w:r>
      <w:r w:rsidRPr="00410BC0">
        <w:rPr>
          <w:rFonts w:ascii="Times New Roman" w:eastAsia="Times New Roman" w:hAnsi="Times New Roman" w:cs="Times New Roman"/>
          <w:i/>
          <w:iCs/>
          <w:sz w:val="24"/>
          <w:szCs w:val="24"/>
        </w:rPr>
        <w:t>Proceedings of the African Crop Science Conference, 9</w:t>
      </w:r>
      <w:r w:rsidRPr="00410BC0">
        <w:rPr>
          <w:rFonts w:ascii="Times New Roman" w:eastAsia="Times New Roman" w:hAnsi="Times New Roman" w:cs="Times New Roman"/>
          <w:sz w:val="24"/>
          <w:szCs w:val="24"/>
        </w:rPr>
        <w:t xml:space="preserve">, 205–208. </w:t>
      </w:r>
    </w:p>
    <w:p w14:paraId="1BEDC3AF"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Kumar, D., Kumar, A., Singh, K. K., Kumar, R., Tripathi, S., Singh, V., Sachan, K., Chauhan, S., Kumar, R., Singh, D., Bagri, J. P., Kumar, P., &amp; Kumar, R. (2025). Integrated effect of </w:t>
      </w:r>
      <w:r w:rsidRPr="00410BC0">
        <w:rPr>
          <w:rFonts w:ascii="Times New Roman" w:eastAsia="Times New Roman" w:hAnsi="Times New Roman" w:cs="Times New Roman"/>
          <w:i/>
          <w:iCs/>
          <w:sz w:val="24"/>
          <w:szCs w:val="24"/>
        </w:rPr>
        <w:t>Rhizobium</w:t>
      </w:r>
      <w:r w:rsidRPr="00410BC0">
        <w:rPr>
          <w:rFonts w:ascii="Times New Roman" w:eastAsia="Times New Roman" w:hAnsi="Times New Roman" w:cs="Times New Roman"/>
          <w:sz w:val="24"/>
          <w:szCs w:val="24"/>
        </w:rPr>
        <w:t xml:space="preserve"> inoculation, phosphorus, and zinc on soil </w:t>
      </w:r>
      <w:proofErr w:type="spellStart"/>
      <w:r w:rsidRPr="00410BC0">
        <w:rPr>
          <w:rFonts w:ascii="Times New Roman" w:eastAsia="Times New Roman" w:hAnsi="Times New Roman" w:cs="Times New Roman"/>
          <w:sz w:val="24"/>
          <w:szCs w:val="24"/>
        </w:rPr>
        <w:t>physico</w:t>
      </w:r>
      <w:proofErr w:type="spellEnd"/>
      <w:r w:rsidRPr="00410BC0">
        <w:rPr>
          <w:rFonts w:ascii="Times New Roman" w:eastAsia="Times New Roman" w:hAnsi="Times New Roman" w:cs="Times New Roman"/>
          <w:sz w:val="24"/>
          <w:szCs w:val="24"/>
        </w:rPr>
        <w:t>-chemical properties under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cultivation. </w:t>
      </w:r>
      <w:r w:rsidRPr="00410BC0">
        <w:rPr>
          <w:rFonts w:ascii="Times New Roman" w:eastAsia="Times New Roman" w:hAnsi="Times New Roman" w:cs="Times New Roman"/>
          <w:i/>
          <w:iCs/>
          <w:sz w:val="24"/>
          <w:szCs w:val="24"/>
        </w:rPr>
        <w:t>Journal of Experimental Agriculture International, 47</w:t>
      </w:r>
      <w:r w:rsidRPr="00410BC0">
        <w:rPr>
          <w:rFonts w:ascii="Times New Roman" w:eastAsia="Times New Roman" w:hAnsi="Times New Roman" w:cs="Times New Roman"/>
          <w:sz w:val="24"/>
          <w:szCs w:val="24"/>
        </w:rPr>
        <w:t>(11), 409–423. https://doi.org/10.9734/jeai/2025/v47i113879</w:t>
      </w:r>
    </w:p>
    <w:p w14:paraId="0B78D80F"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Kumar, D., Kumar, N., Tiwari, T., Gautam, M. K., Sachan, R., Verma, A., &amp; Mishra, T. (2024). Enhancing chickpea yield and nutrient profile through phosphorous and zinc application. </w:t>
      </w:r>
      <w:r w:rsidRPr="00410BC0">
        <w:rPr>
          <w:rFonts w:ascii="Times New Roman" w:eastAsia="Times New Roman" w:hAnsi="Times New Roman" w:cs="Times New Roman"/>
          <w:i/>
          <w:iCs/>
          <w:sz w:val="24"/>
          <w:szCs w:val="24"/>
        </w:rPr>
        <w:t>Ecology, Environment and Conservation, 30</w:t>
      </w:r>
      <w:r w:rsidRPr="00410BC0">
        <w:rPr>
          <w:rFonts w:ascii="Times New Roman" w:eastAsia="Times New Roman" w:hAnsi="Times New Roman" w:cs="Times New Roman"/>
          <w:sz w:val="24"/>
          <w:szCs w:val="24"/>
        </w:rPr>
        <w:t>(July Suppl. Issue), S160–S165. https://doi.org/10.53550/EEC.2024.v30i04s.027</w:t>
      </w:r>
    </w:p>
    <w:p w14:paraId="360575DE"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Kumar, J., Kumar, S., &amp; Prakash, V. (2019). Effect of biofertilizers and phosphorus levels on soil fertility, yield and nodulation in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Journal of the Indian Society of Soil Science, 67</w:t>
      </w:r>
      <w:r w:rsidRPr="00410BC0">
        <w:rPr>
          <w:rFonts w:ascii="Times New Roman" w:eastAsia="Times New Roman" w:hAnsi="Times New Roman" w:cs="Times New Roman"/>
          <w:sz w:val="24"/>
          <w:szCs w:val="24"/>
        </w:rPr>
        <w:t>(2), 199–203. https://doi.org/10.5958/0974-0228.2019.00021.5</w:t>
      </w:r>
    </w:p>
    <w:p w14:paraId="0A8784E4"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Kumar, R., Saren, B. K., &amp; Patel, S. K. (2023). Effect of foliar application of zinc and boron on growth attributes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varieties. </w:t>
      </w:r>
      <w:r w:rsidRPr="00410BC0">
        <w:rPr>
          <w:rFonts w:ascii="Times New Roman" w:eastAsia="Times New Roman" w:hAnsi="Times New Roman" w:cs="Times New Roman"/>
          <w:i/>
          <w:iCs/>
          <w:sz w:val="24"/>
          <w:szCs w:val="24"/>
        </w:rPr>
        <w:t>International Journal of Plant &amp; Soil Science, 35</w:t>
      </w:r>
      <w:r w:rsidRPr="00410BC0">
        <w:rPr>
          <w:rFonts w:ascii="Times New Roman" w:eastAsia="Times New Roman" w:hAnsi="Times New Roman" w:cs="Times New Roman"/>
          <w:sz w:val="24"/>
          <w:szCs w:val="24"/>
        </w:rPr>
        <w:t>(21), 958–965. https://doi.org/10.9734/ijpss/2023/v35i214066</w:t>
      </w:r>
    </w:p>
    <w:p w14:paraId="0C01DDFF" w14:textId="78EC16DC"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Kumar, V., Dwivedi, V. N., &amp; Tiwari, D. D. (2009). Effect of phosphorus and iron on yield and mineral nutrition in chickpea. </w:t>
      </w:r>
      <w:r w:rsidRPr="00410BC0">
        <w:rPr>
          <w:rFonts w:ascii="Times New Roman" w:eastAsia="Times New Roman" w:hAnsi="Times New Roman" w:cs="Times New Roman"/>
          <w:i/>
          <w:iCs/>
          <w:sz w:val="24"/>
          <w:szCs w:val="24"/>
        </w:rPr>
        <w:t>Annals of Plant and Soil Research, 11</w:t>
      </w:r>
      <w:r w:rsidRPr="00410BC0">
        <w:rPr>
          <w:rFonts w:ascii="Times New Roman" w:eastAsia="Times New Roman" w:hAnsi="Times New Roman" w:cs="Times New Roman"/>
          <w:sz w:val="24"/>
          <w:szCs w:val="24"/>
        </w:rPr>
        <w:t xml:space="preserve">(1), 16–18. </w:t>
      </w:r>
    </w:p>
    <w:p w14:paraId="3EAE37D5"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Kuniya</w:t>
      </w:r>
      <w:proofErr w:type="spellEnd"/>
      <w:r w:rsidRPr="00410BC0">
        <w:rPr>
          <w:rFonts w:ascii="Times New Roman" w:eastAsia="Times New Roman" w:hAnsi="Times New Roman" w:cs="Times New Roman"/>
          <w:sz w:val="24"/>
          <w:szCs w:val="24"/>
        </w:rPr>
        <w:t xml:space="preserve">, N., Chaudhary, N., &amp; Patel, S. (2018). Effect of </w:t>
      </w:r>
      <w:proofErr w:type="spellStart"/>
      <w:r w:rsidRPr="00410BC0">
        <w:rPr>
          <w:rFonts w:ascii="Times New Roman" w:eastAsia="Times New Roman" w:hAnsi="Times New Roman" w:cs="Times New Roman"/>
          <w:sz w:val="24"/>
          <w:szCs w:val="24"/>
        </w:rPr>
        <w:t>sulphur</w:t>
      </w:r>
      <w:proofErr w:type="spellEnd"/>
      <w:r w:rsidRPr="00410BC0">
        <w:rPr>
          <w:rFonts w:ascii="Times New Roman" w:eastAsia="Times New Roman" w:hAnsi="Times New Roman" w:cs="Times New Roman"/>
          <w:sz w:val="24"/>
          <w:szCs w:val="24"/>
        </w:rPr>
        <w:t xml:space="preserve"> and zinc application on growth, yield attributes, yield and quality of summer </w:t>
      </w:r>
      <w:proofErr w:type="spellStart"/>
      <w:r w:rsidRPr="00410BC0">
        <w:rPr>
          <w:rFonts w:ascii="Times New Roman" w:eastAsia="Times New Roman" w:hAnsi="Times New Roman" w:cs="Times New Roman"/>
          <w:sz w:val="24"/>
          <w:szCs w:val="24"/>
        </w:rPr>
        <w:t>clusterbean</w:t>
      </w:r>
      <w:proofErr w:type="spellEnd"/>
      <w:r w:rsidRPr="00410BC0">
        <w:rPr>
          <w:rFonts w:ascii="Times New Roman" w:eastAsia="Times New Roman" w:hAnsi="Times New Roman" w:cs="Times New Roman"/>
          <w:sz w:val="24"/>
          <w:szCs w:val="24"/>
        </w:rPr>
        <w:t xml:space="preserve"> [</w:t>
      </w:r>
      <w:r w:rsidRPr="00410BC0">
        <w:rPr>
          <w:rFonts w:ascii="Times New Roman" w:eastAsia="Times New Roman" w:hAnsi="Times New Roman" w:cs="Times New Roman"/>
          <w:i/>
          <w:iCs/>
          <w:sz w:val="24"/>
          <w:szCs w:val="24"/>
        </w:rPr>
        <w:t xml:space="preserve">Cyamopsis </w:t>
      </w:r>
      <w:proofErr w:type="spellStart"/>
      <w:r w:rsidRPr="00410BC0">
        <w:rPr>
          <w:rFonts w:ascii="Times New Roman" w:eastAsia="Times New Roman" w:hAnsi="Times New Roman" w:cs="Times New Roman"/>
          <w:i/>
          <w:iCs/>
          <w:sz w:val="24"/>
          <w:szCs w:val="24"/>
        </w:rPr>
        <w:t>tetragonoloba</w:t>
      </w:r>
      <w:proofErr w:type="spellEnd"/>
      <w:r w:rsidRPr="00410BC0">
        <w:rPr>
          <w:rFonts w:ascii="Times New Roman" w:eastAsia="Times New Roman" w:hAnsi="Times New Roman" w:cs="Times New Roman"/>
          <w:sz w:val="24"/>
          <w:szCs w:val="24"/>
        </w:rPr>
        <w:t xml:space="preserve"> (L.)] in light-textured soil. </w:t>
      </w:r>
      <w:r w:rsidRPr="00410BC0">
        <w:rPr>
          <w:rFonts w:ascii="Times New Roman" w:eastAsia="Times New Roman" w:hAnsi="Times New Roman" w:cs="Times New Roman"/>
          <w:i/>
          <w:iCs/>
          <w:sz w:val="24"/>
          <w:szCs w:val="24"/>
        </w:rPr>
        <w:t>International Journal of Chemical Studies, 6</w:t>
      </w:r>
      <w:r w:rsidRPr="00410BC0">
        <w:rPr>
          <w:rFonts w:ascii="Times New Roman" w:eastAsia="Times New Roman" w:hAnsi="Times New Roman" w:cs="Times New Roman"/>
          <w:sz w:val="24"/>
          <w:szCs w:val="24"/>
        </w:rPr>
        <w:t>(1), 1529–1532. https://www.chemijournal.com/archives/2018/vol6issue1</w:t>
      </w:r>
    </w:p>
    <w:p w14:paraId="3CA0C90F"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lastRenderedPageBreak/>
        <w:t>Lalrinzuali</w:t>
      </w:r>
      <w:proofErr w:type="spellEnd"/>
      <w:r w:rsidRPr="00410BC0">
        <w:rPr>
          <w:rFonts w:ascii="Times New Roman" w:eastAsia="Times New Roman" w:hAnsi="Times New Roman" w:cs="Times New Roman"/>
          <w:sz w:val="24"/>
          <w:szCs w:val="24"/>
        </w:rPr>
        <w:t>, Singh, R., &amp; Pradhan, A. (2023). Effect of phosphorus and biofertilizers on yield and economics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International Journal of Environment and Climate Change, 13</w:t>
      </w:r>
      <w:r w:rsidRPr="00410BC0">
        <w:rPr>
          <w:rFonts w:ascii="Times New Roman" w:eastAsia="Times New Roman" w:hAnsi="Times New Roman" w:cs="Times New Roman"/>
          <w:sz w:val="24"/>
          <w:szCs w:val="24"/>
        </w:rPr>
        <w:t>(9), 680–685. https://doi.org/10.9734/ijecc/2023/v13i92288</w:t>
      </w:r>
    </w:p>
    <w:p w14:paraId="7F4E26C0" w14:textId="71B2F19D"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Meena, K. N., Pareek, R. G., &amp; Jat, R. S. (2001). Effect of phosphorus and biofertilizers on yield and quality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Annals of Agricultural Research New Series, 22</w:t>
      </w:r>
      <w:r w:rsidRPr="00410BC0">
        <w:rPr>
          <w:rFonts w:ascii="Times New Roman" w:eastAsia="Times New Roman" w:hAnsi="Times New Roman" w:cs="Times New Roman"/>
          <w:sz w:val="24"/>
          <w:szCs w:val="24"/>
        </w:rPr>
        <w:t xml:space="preserve">(3), 388–390. </w:t>
      </w:r>
    </w:p>
    <w:p w14:paraId="74319FF0"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Meena, L. R., Singh, R. K., &amp; Gautam, R. C. (2006). Effect of moisture conservation practices, phosphorus levels, and bacterial inoculation on growth, yield, and economics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Legume Research, 29</w:t>
      </w:r>
      <w:r w:rsidRPr="00410BC0">
        <w:rPr>
          <w:rFonts w:ascii="Times New Roman" w:eastAsia="Times New Roman" w:hAnsi="Times New Roman" w:cs="Times New Roman"/>
          <w:sz w:val="24"/>
          <w:szCs w:val="24"/>
        </w:rPr>
        <w:t xml:space="preserve">(1), 68–72. </w:t>
      </w:r>
      <w:hyperlink r:id="rId19" w:tgtFrame="_new" w:history="1">
        <w:r w:rsidRPr="00410BC0">
          <w:rPr>
            <w:rFonts w:ascii="Times New Roman" w:eastAsia="Times New Roman" w:hAnsi="Times New Roman" w:cs="Times New Roman"/>
            <w:color w:val="0000FF"/>
            <w:sz w:val="24"/>
            <w:szCs w:val="24"/>
            <w:u w:val="single"/>
          </w:rPr>
          <w:t>https://arccjournals.com/journal/legume-research-an-international-journal/volume-29/issue-1-march-2006</w:t>
        </w:r>
      </w:hyperlink>
    </w:p>
    <w:p w14:paraId="2ED1B4B2"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Miao, M., Zhang, T., &amp; Jiang, B. (2009). </w:t>
      </w:r>
      <w:proofErr w:type="spellStart"/>
      <w:r w:rsidRPr="00410BC0">
        <w:rPr>
          <w:rFonts w:ascii="Times New Roman" w:eastAsia="Times New Roman" w:hAnsi="Times New Roman" w:cs="Times New Roman"/>
          <w:sz w:val="24"/>
          <w:szCs w:val="24"/>
        </w:rPr>
        <w:t>Characterisations</w:t>
      </w:r>
      <w:proofErr w:type="spellEnd"/>
      <w:r w:rsidRPr="00410BC0">
        <w:rPr>
          <w:rFonts w:ascii="Times New Roman" w:eastAsia="Times New Roman" w:hAnsi="Times New Roman" w:cs="Times New Roman"/>
          <w:sz w:val="24"/>
          <w:szCs w:val="24"/>
        </w:rPr>
        <w:t xml:space="preserve"> of </w:t>
      </w:r>
      <w:proofErr w:type="spellStart"/>
      <w:r w:rsidRPr="00410BC0">
        <w:rPr>
          <w:rFonts w:ascii="Times New Roman" w:eastAsia="Times New Roman" w:hAnsi="Times New Roman" w:cs="Times New Roman"/>
          <w:sz w:val="24"/>
          <w:szCs w:val="24"/>
        </w:rPr>
        <w:t>kabuli</w:t>
      </w:r>
      <w:proofErr w:type="spellEnd"/>
      <w:r w:rsidRPr="00410BC0">
        <w:rPr>
          <w:rFonts w:ascii="Times New Roman" w:eastAsia="Times New Roman" w:hAnsi="Times New Roman" w:cs="Times New Roman"/>
          <w:sz w:val="24"/>
          <w:szCs w:val="24"/>
        </w:rPr>
        <w:t xml:space="preserve"> and desi chickpea starches cultivated in China. </w:t>
      </w:r>
      <w:r w:rsidRPr="00410BC0">
        <w:rPr>
          <w:rFonts w:ascii="Times New Roman" w:eastAsia="Times New Roman" w:hAnsi="Times New Roman" w:cs="Times New Roman"/>
          <w:i/>
          <w:iCs/>
          <w:sz w:val="24"/>
          <w:szCs w:val="24"/>
        </w:rPr>
        <w:t>Food Chemistry, 113</w:t>
      </w:r>
      <w:r w:rsidRPr="00410BC0">
        <w:rPr>
          <w:rFonts w:ascii="Times New Roman" w:eastAsia="Times New Roman" w:hAnsi="Times New Roman" w:cs="Times New Roman"/>
          <w:sz w:val="24"/>
          <w:szCs w:val="24"/>
        </w:rPr>
        <w:t>(4), 1025–1032. https://doi.org/10.1016/j.foodchem.2008.08.056</w:t>
      </w:r>
    </w:p>
    <w:p w14:paraId="3E0DE9E7"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Muehlbauer, F. J., &amp; Sarker, A. (2017). Economic importance of chickpea: Production, value, and world trade. In R. K. Varshney, M. </w:t>
      </w:r>
      <w:proofErr w:type="spellStart"/>
      <w:r w:rsidRPr="00410BC0">
        <w:rPr>
          <w:rFonts w:ascii="Times New Roman" w:eastAsia="Times New Roman" w:hAnsi="Times New Roman" w:cs="Times New Roman"/>
          <w:sz w:val="24"/>
          <w:szCs w:val="24"/>
        </w:rPr>
        <w:t>Thudi</w:t>
      </w:r>
      <w:proofErr w:type="spellEnd"/>
      <w:r w:rsidRPr="00410BC0">
        <w:rPr>
          <w:rFonts w:ascii="Times New Roman" w:eastAsia="Times New Roman" w:hAnsi="Times New Roman" w:cs="Times New Roman"/>
          <w:sz w:val="24"/>
          <w:szCs w:val="24"/>
        </w:rPr>
        <w:t xml:space="preserve">, &amp; F. J. Muehlbauer (Eds.), </w:t>
      </w:r>
      <w:r w:rsidRPr="00410BC0">
        <w:rPr>
          <w:rFonts w:ascii="Times New Roman" w:eastAsia="Times New Roman" w:hAnsi="Times New Roman" w:cs="Times New Roman"/>
          <w:i/>
          <w:iCs/>
          <w:sz w:val="24"/>
          <w:szCs w:val="24"/>
        </w:rPr>
        <w:t>The chickpea genome</w:t>
      </w:r>
      <w:r w:rsidRPr="00410BC0">
        <w:rPr>
          <w:rFonts w:ascii="Times New Roman" w:eastAsia="Times New Roman" w:hAnsi="Times New Roman" w:cs="Times New Roman"/>
          <w:sz w:val="24"/>
          <w:szCs w:val="24"/>
        </w:rPr>
        <w:t xml:space="preserve"> (pp. 5–12). Springer. https://doi.org/10.1007/978-3-319-66117-9_2</w:t>
      </w:r>
    </w:p>
    <w:p w14:paraId="36D32992"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Ndiaye, P. A., Saidi, R., Sellami, W., Ibnyasser, A., </w:t>
      </w:r>
      <w:proofErr w:type="spellStart"/>
      <w:r w:rsidRPr="00410BC0">
        <w:rPr>
          <w:rFonts w:ascii="Times New Roman" w:eastAsia="Times New Roman" w:hAnsi="Times New Roman" w:cs="Times New Roman"/>
          <w:sz w:val="24"/>
          <w:szCs w:val="24"/>
        </w:rPr>
        <w:t>Kadmiri</w:t>
      </w:r>
      <w:proofErr w:type="spellEnd"/>
      <w:r w:rsidRPr="00410BC0">
        <w:rPr>
          <w:rFonts w:ascii="Times New Roman" w:eastAsia="Times New Roman" w:hAnsi="Times New Roman" w:cs="Times New Roman"/>
          <w:sz w:val="24"/>
          <w:szCs w:val="24"/>
        </w:rPr>
        <w:t xml:space="preserve">, I. M., </w:t>
      </w:r>
      <w:proofErr w:type="spellStart"/>
      <w:r w:rsidRPr="00410BC0">
        <w:rPr>
          <w:rFonts w:ascii="Times New Roman" w:eastAsia="Times New Roman" w:hAnsi="Times New Roman" w:cs="Times New Roman"/>
          <w:sz w:val="24"/>
          <w:szCs w:val="24"/>
        </w:rPr>
        <w:t>Idbella</w:t>
      </w:r>
      <w:proofErr w:type="spellEnd"/>
      <w:r w:rsidRPr="00410BC0">
        <w:rPr>
          <w:rFonts w:ascii="Times New Roman" w:eastAsia="Times New Roman" w:hAnsi="Times New Roman" w:cs="Times New Roman"/>
          <w:sz w:val="24"/>
          <w:szCs w:val="24"/>
        </w:rPr>
        <w:t xml:space="preserve">, M., </w:t>
      </w:r>
      <w:proofErr w:type="spellStart"/>
      <w:r w:rsidRPr="00410BC0">
        <w:rPr>
          <w:rFonts w:ascii="Times New Roman" w:eastAsia="Times New Roman" w:hAnsi="Times New Roman" w:cs="Times New Roman"/>
          <w:sz w:val="24"/>
          <w:szCs w:val="24"/>
        </w:rPr>
        <w:t>Houasli</w:t>
      </w:r>
      <w:proofErr w:type="spellEnd"/>
      <w:r w:rsidRPr="00410BC0">
        <w:rPr>
          <w:rFonts w:ascii="Times New Roman" w:eastAsia="Times New Roman" w:hAnsi="Times New Roman" w:cs="Times New Roman"/>
          <w:sz w:val="24"/>
          <w:szCs w:val="24"/>
        </w:rPr>
        <w:t xml:space="preserve">, C., Daoui, K., &amp; </w:t>
      </w:r>
      <w:proofErr w:type="spellStart"/>
      <w:r w:rsidRPr="00410BC0">
        <w:rPr>
          <w:rFonts w:ascii="Times New Roman" w:eastAsia="Times New Roman" w:hAnsi="Times New Roman" w:cs="Times New Roman"/>
          <w:sz w:val="24"/>
          <w:szCs w:val="24"/>
        </w:rPr>
        <w:t>Bargaz</w:t>
      </w:r>
      <w:proofErr w:type="spellEnd"/>
      <w:r w:rsidRPr="00410BC0">
        <w:rPr>
          <w:rFonts w:ascii="Times New Roman" w:eastAsia="Times New Roman" w:hAnsi="Times New Roman" w:cs="Times New Roman"/>
          <w:sz w:val="24"/>
          <w:szCs w:val="24"/>
        </w:rPr>
        <w:t xml:space="preserve">, A. (2026). Chickpea responsiveness to contrasting P fertilization reveals </w:t>
      </w:r>
      <w:proofErr w:type="spellStart"/>
      <w:r w:rsidRPr="00410BC0">
        <w:rPr>
          <w:rFonts w:ascii="Times New Roman" w:eastAsia="Times New Roman" w:hAnsi="Times New Roman" w:cs="Times New Roman"/>
          <w:sz w:val="24"/>
          <w:szCs w:val="24"/>
        </w:rPr>
        <w:t>agro</w:t>
      </w:r>
      <w:proofErr w:type="spellEnd"/>
      <w:r w:rsidRPr="00410BC0">
        <w:rPr>
          <w:rFonts w:ascii="Times New Roman" w:eastAsia="Times New Roman" w:hAnsi="Times New Roman" w:cs="Times New Roman"/>
          <w:sz w:val="24"/>
          <w:szCs w:val="24"/>
        </w:rPr>
        <w:t xml:space="preserve">-physiological and genotypic variability in P use efficiency and rhizosphere microbial communities. </w:t>
      </w:r>
      <w:r w:rsidRPr="00410BC0">
        <w:rPr>
          <w:rFonts w:ascii="Times New Roman" w:eastAsia="Times New Roman" w:hAnsi="Times New Roman" w:cs="Times New Roman"/>
          <w:i/>
          <w:iCs/>
          <w:sz w:val="24"/>
          <w:szCs w:val="24"/>
        </w:rPr>
        <w:t>BMC Plant Biology</w:t>
      </w:r>
      <w:r w:rsidRPr="00410BC0">
        <w:rPr>
          <w:rFonts w:ascii="Times New Roman" w:eastAsia="Times New Roman" w:hAnsi="Times New Roman" w:cs="Times New Roman"/>
          <w:sz w:val="24"/>
          <w:szCs w:val="24"/>
        </w:rPr>
        <w:t>. https://doi.org/10.1186/s12870-026-09668-3</w:t>
      </w:r>
    </w:p>
    <w:p w14:paraId="5DEE9A08"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Neenu, S., Ramesh, K., Ramana, S., Biswas, A. K., &amp; Rao, A. S. (2014). Growth and yield of different varieties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as influenced by phosphorus nutrition under rainfed conditions on </w:t>
      </w:r>
      <w:proofErr w:type="spellStart"/>
      <w:r w:rsidRPr="00410BC0">
        <w:rPr>
          <w:rFonts w:ascii="Times New Roman" w:eastAsia="Times New Roman" w:hAnsi="Times New Roman" w:cs="Times New Roman"/>
          <w:sz w:val="24"/>
          <w:szCs w:val="24"/>
        </w:rPr>
        <w:t>Vertisols</w:t>
      </w:r>
      <w:proofErr w:type="spellEnd"/>
      <w:r w:rsidRPr="00410BC0">
        <w:rPr>
          <w:rFonts w:ascii="Times New Roman" w:eastAsia="Times New Roman" w:hAnsi="Times New Roman" w:cs="Times New Roman"/>
          <w:sz w:val="24"/>
          <w:szCs w:val="24"/>
        </w:rPr>
        <w:t xml:space="preserve">. </w:t>
      </w:r>
      <w:r w:rsidRPr="00410BC0">
        <w:rPr>
          <w:rFonts w:ascii="Times New Roman" w:eastAsia="Times New Roman" w:hAnsi="Times New Roman" w:cs="Times New Roman"/>
          <w:i/>
          <w:iCs/>
          <w:sz w:val="24"/>
          <w:szCs w:val="24"/>
        </w:rPr>
        <w:t>International Journal of Bio-resource and Stress Management, 5</w:t>
      </w:r>
      <w:r w:rsidRPr="00410BC0">
        <w:rPr>
          <w:rFonts w:ascii="Times New Roman" w:eastAsia="Times New Roman" w:hAnsi="Times New Roman" w:cs="Times New Roman"/>
          <w:sz w:val="24"/>
          <w:szCs w:val="24"/>
        </w:rPr>
        <w:t>(1), 53–57. https://doi.org/10.5958/j.0976-4038.5.1.009</w:t>
      </w:r>
    </w:p>
    <w:p w14:paraId="25981680"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Onasanya</w:t>
      </w:r>
      <w:proofErr w:type="spellEnd"/>
      <w:r w:rsidRPr="00410BC0">
        <w:rPr>
          <w:rFonts w:ascii="Times New Roman" w:eastAsia="Times New Roman" w:hAnsi="Times New Roman" w:cs="Times New Roman"/>
          <w:sz w:val="24"/>
          <w:szCs w:val="24"/>
        </w:rPr>
        <w:t xml:space="preserve">, R. O., </w:t>
      </w:r>
      <w:proofErr w:type="spellStart"/>
      <w:r w:rsidRPr="00410BC0">
        <w:rPr>
          <w:rFonts w:ascii="Times New Roman" w:eastAsia="Times New Roman" w:hAnsi="Times New Roman" w:cs="Times New Roman"/>
          <w:sz w:val="24"/>
          <w:szCs w:val="24"/>
        </w:rPr>
        <w:t>Aiyelari</w:t>
      </w:r>
      <w:proofErr w:type="spellEnd"/>
      <w:r w:rsidRPr="00410BC0">
        <w:rPr>
          <w:rFonts w:ascii="Times New Roman" w:eastAsia="Times New Roman" w:hAnsi="Times New Roman" w:cs="Times New Roman"/>
          <w:sz w:val="24"/>
          <w:szCs w:val="24"/>
        </w:rPr>
        <w:t xml:space="preserve">, O. P., </w:t>
      </w:r>
      <w:proofErr w:type="spellStart"/>
      <w:r w:rsidRPr="00410BC0">
        <w:rPr>
          <w:rFonts w:ascii="Times New Roman" w:eastAsia="Times New Roman" w:hAnsi="Times New Roman" w:cs="Times New Roman"/>
          <w:sz w:val="24"/>
          <w:szCs w:val="24"/>
        </w:rPr>
        <w:t>Onasanya</w:t>
      </w:r>
      <w:proofErr w:type="spellEnd"/>
      <w:r w:rsidRPr="00410BC0">
        <w:rPr>
          <w:rFonts w:ascii="Times New Roman" w:eastAsia="Times New Roman" w:hAnsi="Times New Roman" w:cs="Times New Roman"/>
          <w:sz w:val="24"/>
          <w:szCs w:val="24"/>
        </w:rPr>
        <w:t xml:space="preserve">, A., </w:t>
      </w:r>
      <w:proofErr w:type="spellStart"/>
      <w:r w:rsidRPr="00410BC0">
        <w:rPr>
          <w:rFonts w:ascii="Times New Roman" w:eastAsia="Times New Roman" w:hAnsi="Times New Roman" w:cs="Times New Roman"/>
          <w:sz w:val="24"/>
          <w:szCs w:val="24"/>
        </w:rPr>
        <w:t>Oikeh</w:t>
      </w:r>
      <w:proofErr w:type="spellEnd"/>
      <w:r w:rsidRPr="00410BC0">
        <w:rPr>
          <w:rFonts w:ascii="Times New Roman" w:eastAsia="Times New Roman" w:hAnsi="Times New Roman" w:cs="Times New Roman"/>
          <w:sz w:val="24"/>
          <w:szCs w:val="24"/>
        </w:rPr>
        <w:t xml:space="preserve">, S., </w:t>
      </w:r>
      <w:proofErr w:type="spellStart"/>
      <w:r w:rsidRPr="00410BC0">
        <w:rPr>
          <w:rFonts w:ascii="Times New Roman" w:eastAsia="Times New Roman" w:hAnsi="Times New Roman" w:cs="Times New Roman"/>
          <w:sz w:val="24"/>
          <w:szCs w:val="24"/>
        </w:rPr>
        <w:t>Nwilene</w:t>
      </w:r>
      <w:proofErr w:type="spellEnd"/>
      <w:r w:rsidRPr="00410BC0">
        <w:rPr>
          <w:rFonts w:ascii="Times New Roman" w:eastAsia="Times New Roman" w:hAnsi="Times New Roman" w:cs="Times New Roman"/>
          <w:sz w:val="24"/>
          <w:szCs w:val="24"/>
        </w:rPr>
        <w:t xml:space="preserve">, F. E., &amp; </w:t>
      </w:r>
      <w:proofErr w:type="spellStart"/>
      <w:r w:rsidRPr="00410BC0">
        <w:rPr>
          <w:rFonts w:ascii="Times New Roman" w:eastAsia="Times New Roman" w:hAnsi="Times New Roman" w:cs="Times New Roman"/>
          <w:sz w:val="24"/>
          <w:szCs w:val="24"/>
        </w:rPr>
        <w:t>Oyelakin</w:t>
      </w:r>
      <w:proofErr w:type="spellEnd"/>
      <w:r w:rsidRPr="00410BC0">
        <w:rPr>
          <w:rFonts w:ascii="Times New Roman" w:eastAsia="Times New Roman" w:hAnsi="Times New Roman" w:cs="Times New Roman"/>
          <w:sz w:val="24"/>
          <w:szCs w:val="24"/>
        </w:rPr>
        <w:t>, O. O. (2009). Growth and yield response of maize (</w:t>
      </w:r>
      <w:r w:rsidRPr="00410BC0">
        <w:rPr>
          <w:rFonts w:ascii="Times New Roman" w:eastAsia="Times New Roman" w:hAnsi="Times New Roman" w:cs="Times New Roman"/>
          <w:i/>
          <w:iCs/>
          <w:sz w:val="24"/>
          <w:szCs w:val="24"/>
        </w:rPr>
        <w:t>Zea mays</w:t>
      </w:r>
      <w:r w:rsidRPr="00410BC0">
        <w:rPr>
          <w:rFonts w:ascii="Times New Roman" w:eastAsia="Times New Roman" w:hAnsi="Times New Roman" w:cs="Times New Roman"/>
          <w:sz w:val="24"/>
          <w:szCs w:val="24"/>
        </w:rPr>
        <w:t xml:space="preserve"> L.) to different rates of nitrogen and phosphorus fertilizers in Southern Nigeria. </w:t>
      </w:r>
      <w:r w:rsidRPr="00410BC0">
        <w:rPr>
          <w:rFonts w:ascii="Times New Roman" w:eastAsia="Times New Roman" w:hAnsi="Times New Roman" w:cs="Times New Roman"/>
          <w:i/>
          <w:iCs/>
          <w:sz w:val="24"/>
          <w:szCs w:val="24"/>
        </w:rPr>
        <w:t>World Journal of Agricultural Sciences, 5</w:t>
      </w:r>
      <w:r w:rsidRPr="00410BC0">
        <w:rPr>
          <w:rFonts w:ascii="Times New Roman" w:eastAsia="Times New Roman" w:hAnsi="Times New Roman" w:cs="Times New Roman"/>
          <w:sz w:val="24"/>
          <w:szCs w:val="24"/>
        </w:rPr>
        <w:t xml:space="preserve">(4), 400–407. </w:t>
      </w:r>
      <w:hyperlink r:id="rId20" w:tgtFrame="_new" w:history="1">
        <w:r w:rsidRPr="00410BC0">
          <w:rPr>
            <w:rFonts w:ascii="Times New Roman" w:eastAsia="Times New Roman" w:hAnsi="Times New Roman" w:cs="Times New Roman"/>
            <w:color w:val="0000FF"/>
            <w:sz w:val="24"/>
            <w:szCs w:val="24"/>
            <w:u w:val="single"/>
          </w:rPr>
          <w:t>https://csp.futa.edu.ng/home/publications/4631/30</w:t>
        </w:r>
      </w:hyperlink>
    </w:p>
    <w:p w14:paraId="56A3EE10"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Pal, V., Singh, G., &amp; Dhaliwal, S. S. (2019). Yield enhancement and biofortification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grain with iron and zinc through foliar application of ferrous sulfate and urea. </w:t>
      </w:r>
      <w:r w:rsidRPr="00410BC0">
        <w:rPr>
          <w:rFonts w:ascii="Times New Roman" w:eastAsia="Times New Roman" w:hAnsi="Times New Roman" w:cs="Times New Roman"/>
          <w:i/>
          <w:iCs/>
          <w:sz w:val="24"/>
          <w:szCs w:val="24"/>
        </w:rPr>
        <w:t>Journal of Plant Nutrition, 42</w:t>
      </w:r>
      <w:r w:rsidRPr="00410BC0">
        <w:rPr>
          <w:rFonts w:ascii="Times New Roman" w:eastAsia="Times New Roman" w:hAnsi="Times New Roman" w:cs="Times New Roman"/>
          <w:sz w:val="24"/>
          <w:szCs w:val="24"/>
        </w:rPr>
        <w:t>(15), 1789–1802. https://doi.org/10.1080/01904167.2019.1648675</w:t>
      </w:r>
    </w:p>
    <w:p w14:paraId="69F0B32D"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Palla, H., &amp; Dawson, J. (2022). Effect of phosphorus, potassium and bio-fertilizer on growth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The Pharma Innovation Journal, 11</w:t>
      </w:r>
      <w:r w:rsidRPr="00410BC0">
        <w:rPr>
          <w:rFonts w:ascii="Times New Roman" w:eastAsia="Times New Roman" w:hAnsi="Times New Roman" w:cs="Times New Roman"/>
          <w:sz w:val="24"/>
          <w:szCs w:val="24"/>
        </w:rPr>
        <w:t xml:space="preserve">(5), 1429–1432. </w:t>
      </w:r>
      <w:hyperlink r:id="rId21" w:tgtFrame="_new" w:history="1">
        <w:r w:rsidRPr="00410BC0">
          <w:rPr>
            <w:rFonts w:ascii="Times New Roman" w:eastAsia="Times New Roman" w:hAnsi="Times New Roman" w:cs="Times New Roman"/>
            <w:color w:val="0000FF"/>
            <w:sz w:val="24"/>
            <w:szCs w:val="24"/>
            <w:u w:val="single"/>
          </w:rPr>
          <w:t>https://www.thepharmajournal.com/archives/2022/vol11issue5/PartO/11-5-130-206.pdf</w:t>
        </w:r>
      </w:hyperlink>
    </w:p>
    <w:p w14:paraId="5216BD9B"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lastRenderedPageBreak/>
        <w:t xml:space="preserve">Pandey, N., Pathak, G. C., &amp; Sharma, C. P. (2006). Zinc is critically required for pollen function and fertilization in lentil. </w:t>
      </w:r>
      <w:r w:rsidRPr="00410BC0">
        <w:rPr>
          <w:rFonts w:ascii="Times New Roman" w:eastAsia="Times New Roman" w:hAnsi="Times New Roman" w:cs="Times New Roman"/>
          <w:i/>
          <w:iCs/>
          <w:sz w:val="24"/>
          <w:szCs w:val="24"/>
        </w:rPr>
        <w:t>Journal of Trace Elements in Medicine and Biology, 20</w:t>
      </w:r>
      <w:r w:rsidRPr="00410BC0">
        <w:rPr>
          <w:rFonts w:ascii="Times New Roman" w:eastAsia="Times New Roman" w:hAnsi="Times New Roman" w:cs="Times New Roman"/>
          <w:sz w:val="24"/>
          <w:szCs w:val="24"/>
        </w:rPr>
        <w:t>(2), 89–96. https://doi.org/10.1016/j.jtemb.2005.09.006</w:t>
      </w:r>
    </w:p>
    <w:p w14:paraId="4D74D19A"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Parvin, H., </w:t>
      </w:r>
      <w:proofErr w:type="spellStart"/>
      <w:r w:rsidRPr="00410BC0">
        <w:rPr>
          <w:rFonts w:ascii="Times New Roman" w:eastAsia="Times New Roman" w:hAnsi="Times New Roman" w:cs="Times New Roman"/>
          <w:sz w:val="24"/>
          <w:szCs w:val="24"/>
        </w:rPr>
        <w:t>Rokhzadi</w:t>
      </w:r>
      <w:proofErr w:type="spellEnd"/>
      <w:r w:rsidRPr="00410BC0">
        <w:rPr>
          <w:rFonts w:ascii="Times New Roman" w:eastAsia="Times New Roman" w:hAnsi="Times New Roman" w:cs="Times New Roman"/>
          <w:sz w:val="24"/>
          <w:szCs w:val="24"/>
        </w:rPr>
        <w:t xml:space="preserve">, A., </w:t>
      </w:r>
      <w:proofErr w:type="spellStart"/>
      <w:r w:rsidRPr="00410BC0">
        <w:rPr>
          <w:rFonts w:ascii="Times New Roman" w:eastAsia="Times New Roman" w:hAnsi="Times New Roman" w:cs="Times New Roman"/>
          <w:sz w:val="24"/>
          <w:szCs w:val="24"/>
        </w:rPr>
        <w:t>Geravandi</w:t>
      </w:r>
      <w:proofErr w:type="spellEnd"/>
      <w:r w:rsidRPr="00410BC0">
        <w:rPr>
          <w:rFonts w:ascii="Times New Roman" w:eastAsia="Times New Roman" w:hAnsi="Times New Roman" w:cs="Times New Roman"/>
          <w:sz w:val="24"/>
          <w:szCs w:val="24"/>
        </w:rPr>
        <w:t>, M., Abdulahi, A., &amp; Niedbała, G. (2025). Response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to N, P, and Zn fertilization in dryland conditions: The advantage of a low-input fertilization scenario. </w:t>
      </w:r>
      <w:r w:rsidRPr="00410BC0">
        <w:rPr>
          <w:rFonts w:ascii="Times New Roman" w:eastAsia="Times New Roman" w:hAnsi="Times New Roman" w:cs="Times New Roman"/>
          <w:i/>
          <w:iCs/>
          <w:sz w:val="24"/>
          <w:szCs w:val="24"/>
        </w:rPr>
        <w:t>Legume Science, 7</w:t>
      </w:r>
      <w:r w:rsidRPr="00410BC0">
        <w:rPr>
          <w:rFonts w:ascii="Times New Roman" w:eastAsia="Times New Roman" w:hAnsi="Times New Roman" w:cs="Times New Roman"/>
          <w:sz w:val="24"/>
          <w:szCs w:val="24"/>
        </w:rPr>
        <w:t>(4), e70071. https://doi.org/10.1002/leg3.70071</w:t>
      </w:r>
    </w:p>
    <w:p w14:paraId="1599E92C" w14:textId="01FA12E1"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Patel, D., </w:t>
      </w:r>
      <w:proofErr w:type="spellStart"/>
      <w:r w:rsidRPr="00410BC0">
        <w:rPr>
          <w:rFonts w:ascii="Times New Roman" w:eastAsia="Times New Roman" w:hAnsi="Times New Roman" w:cs="Times New Roman"/>
          <w:sz w:val="24"/>
          <w:szCs w:val="24"/>
        </w:rPr>
        <w:t>Arvadia</w:t>
      </w:r>
      <w:proofErr w:type="spellEnd"/>
      <w:r w:rsidRPr="00410BC0">
        <w:rPr>
          <w:rFonts w:ascii="Times New Roman" w:eastAsia="Times New Roman" w:hAnsi="Times New Roman" w:cs="Times New Roman"/>
          <w:sz w:val="24"/>
          <w:szCs w:val="24"/>
        </w:rPr>
        <w:t xml:space="preserve">, M. K., &amp; Patel, A. J. (2007). Effect of integrated nutrient management on growth, yield and nutrient uptake by chickpea on </w:t>
      </w:r>
      <w:proofErr w:type="spellStart"/>
      <w:r w:rsidRPr="00410BC0">
        <w:rPr>
          <w:rFonts w:ascii="Times New Roman" w:eastAsia="Times New Roman" w:hAnsi="Times New Roman" w:cs="Times New Roman"/>
          <w:sz w:val="24"/>
          <w:szCs w:val="24"/>
        </w:rPr>
        <w:t>Vertisol</w:t>
      </w:r>
      <w:proofErr w:type="spellEnd"/>
      <w:r w:rsidRPr="00410BC0">
        <w:rPr>
          <w:rFonts w:ascii="Times New Roman" w:eastAsia="Times New Roman" w:hAnsi="Times New Roman" w:cs="Times New Roman"/>
          <w:sz w:val="24"/>
          <w:szCs w:val="24"/>
        </w:rPr>
        <w:t xml:space="preserve"> of South Gujarat. </w:t>
      </w:r>
      <w:r w:rsidRPr="00410BC0">
        <w:rPr>
          <w:rFonts w:ascii="Times New Roman" w:eastAsia="Times New Roman" w:hAnsi="Times New Roman" w:cs="Times New Roman"/>
          <w:i/>
          <w:iCs/>
          <w:sz w:val="24"/>
          <w:szCs w:val="24"/>
        </w:rPr>
        <w:t>Journal of Food Legumes, 20</w:t>
      </w:r>
      <w:r w:rsidRPr="00410BC0">
        <w:rPr>
          <w:rFonts w:ascii="Times New Roman" w:eastAsia="Times New Roman" w:hAnsi="Times New Roman" w:cs="Times New Roman"/>
          <w:sz w:val="24"/>
          <w:szCs w:val="24"/>
        </w:rPr>
        <w:t xml:space="preserve">(1), 113–114. </w:t>
      </w:r>
    </w:p>
    <w:p w14:paraId="4C9309DC"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Ram, G., Jakhar, C., Regar, O. P., Mehta, P., &amp; Yadav, I. R. (2024). Effect of phosphorus and zinc application on growth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International Journal of Plant &amp; Soil Science, 36</w:t>
      </w:r>
      <w:r w:rsidRPr="00410BC0">
        <w:rPr>
          <w:rFonts w:ascii="Times New Roman" w:eastAsia="Times New Roman" w:hAnsi="Times New Roman" w:cs="Times New Roman"/>
          <w:sz w:val="24"/>
          <w:szCs w:val="24"/>
        </w:rPr>
        <w:t>(11), 394–399. https://doi.org/10.9734/ijpss/2024/v36i115156</w:t>
      </w:r>
    </w:p>
    <w:p w14:paraId="3FEE24B3"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Ramaprasad, D. P., Rao, C. P., &amp; Srinivasulu, K. (2011). Effect of zinc management on yield, nutrient uptake and economics of Kabuli chickpea. </w:t>
      </w:r>
      <w:r w:rsidRPr="00410BC0">
        <w:rPr>
          <w:rFonts w:ascii="Times New Roman" w:eastAsia="Times New Roman" w:hAnsi="Times New Roman" w:cs="Times New Roman"/>
          <w:i/>
          <w:iCs/>
          <w:sz w:val="24"/>
          <w:szCs w:val="24"/>
        </w:rPr>
        <w:t>The Andhra Agricultural Journal, 58</w:t>
      </w:r>
      <w:r w:rsidRPr="00410BC0">
        <w:rPr>
          <w:rFonts w:ascii="Times New Roman" w:eastAsia="Times New Roman" w:hAnsi="Times New Roman" w:cs="Times New Roman"/>
          <w:sz w:val="24"/>
          <w:szCs w:val="24"/>
        </w:rPr>
        <w:t xml:space="preserve">(3), 258–261. </w:t>
      </w:r>
      <w:hyperlink r:id="rId22" w:tgtFrame="_new" w:history="1">
        <w:r w:rsidRPr="00410BC0">
          <w:rPr>
            <w:rFonts w:ascii="Times New Roman" w:eastAsia="Times New Roman" w:hAnsi="Times New Roman" w:cs="Times New Roman"/>
            <w:color w:val="0000FF"/>
            <w:sz w:val="24"/>
            <w:szCs w:val="24"/>
            <w:u w:val="single"/>
          </w:rPr>
          <w:t>https://aaj.net.in/journal-category/archives-for-2011/</w:t>
        </w:r>
      </w:hyperlink>
    </w:p>
    <w:p w14:paraId="2E02B075"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Saini, H. S., &amp; Knights, E. J. (1984). Chemical constitution of starch and oligosaccharide components of desi and Kabuli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seed types. </w:t>
      </w:r>
      <w:r w:rsidRPr="00410BC0">
        <w:rPr>
          <w:rFonts w:ascii="Times New Roman" w:eastAsia="Times New Roman" w:hAnsi="Times New Roman" w:cs="Times New Roman"/>
          <w:i/>
          <w:iCs/>
          <w:sz w:val="24"/>
          <w:szCs w:val="24"/>
        </w:rPr>
        <w:t>Journal of Agricultural and Food Chemistry, 32</w:t>
      </w:r>
      <w:r w:rsidRPr="00410BC0">
        <w:rPr>
          <w:rFonts w:ascii="Times New Roman" w:eastAsia="Times New Roman" w:hAnsi="Times New Roman" w:cs="Times New Roman"/>
          <w:sz w:val="24"/>
          <w:szCs w:val="24"/>
        </w:rPr>
        <w:t>(4), 940–944. https://doi.org/10.1021/jf00124a059</w:t>
      </w:r>
    </w:p>
    <w:p w14:paraId="383852A5" w14:textId="382BC38F"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Sharma, R. S., Prakash, O., &amp; Singh, B. P. (2000). Response of moth bean genotypes to phosphorus and row spacing under semi-arid conditions. </w:t>
      </w:r>
      <w:r w:rsidRPr="00410BC0">
        <w:rPr>
          <w:rFonts w:ascii="Times New Roman" w:eastAsia="Times New Roman" w:hAnsi="Times New Roman" w:cs="Times New Roman"/>
          <w:i/>
          <w:iCs/>
          <w:sz w:val="24"/>
          <w:szCs w:val="24"/>
        </w:rPr>
        <w:t>Annals of Plant and Soil Research, 2</w:t>
      </w:r>
      <w:r w:rsidRPr="00410BC0">
        <w:rPr>
          <w:rFonts w:ascii="Times New Roman" w:eastAsia="Times New Roman" w:hAnsi="Times New Roman" w:cs="Times New Roman"/>
          <w:sz w:val="24"/>
          <w:szCs w:val="24"/>
        </w:rPr>
        <w:t xml:space="preserve">(2), 240–243. </w:t>
      </w:r>
    </w:p>
    <w:p w14:paraId="63C74B1F" w14:textId="42E0766B"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Sharma, S., Yadav, N., Singh, A., &amp; Kumar, R. (2013). Nutritional and antinutritional profile of newly developed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varieties. </w:t>
      </w:r>
      <w:r w:rsidRPr="00410BC0">
        <w:rPr>
          <w:rFonts w:ascii="Times New Roman" w:eastAsia="Times New Roman" w:hAnsi="Times New Roman" w:cs="Times New Roman"/>
          <w:i/>
          <w:iCs/>
          <w:sz w:val="24"/>
          <w:szCs w:val="24"/>
        </w:rPr>
        <w:t>International Food Research Journal, 20</w:t>
      </w:r>
      <w:r w:rsidRPr="00410BC0">
        <w:rPr>
          <w:rFonts w:ascii="Times New Roman" w:eastAsia="Times New Roman" w:hAnsi="Times New Roman" w:cs="Times New Roman"/>
          <w:sz w:val="24"/>
          <w:szCs w:val="24"/>
        </w:rPr>
        <w:t xml:space="preserve">(2), 805–810. </w:t>
      </w:r>
    </w:p>
    <w:p w14:paraId="6F99D387" w14:textId="73B005EE"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Sharma, S. K., Kapoor, S., &amp; Rana, S. S. (2016). Effect of the application of nitrogen, zinc and boron on soil properties and available nutrients status after the harvest of wheat. </w:t>
      </w:r>
      <w:r w:rsidRPr="00410BC0">
        <w:rPr>
          <w:rFonts w:ascii="Times New Roman" w:eastAsia="Times New Roman" w:hAnsi="Times New Roman" w:cs="Times New Roman"/>
          <w:i/>
          <w:iCs/>
          <w:sz w:val="24"/>
          <w:szCs w:val="24"/>
        </w:rPr>
        <w:t>International Journal of Advances in Agricultural Science and Technology, 3</w:t>
      </w:r>
      <w:r w:rsidRPr="00410BC0">
        <w:rPr>
          <w:rFonts w:ascii="Times New Roman" w:eastAsia="Times New Roman" w:hAnsi="Times New Roman" w:cs="Times New Roman"/>
          <w:sz w:val="24"/>
          <w:szCs w:val="24"/>
        </w:rPr>
        <w:t xml:space="preserve">(7), 12–20. </w:t>
      </w:r>
    </w:p>
    <w:p w14:paraId="7B54D820" w14:textId="3036CBB5"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proofErr w:type="spellStart"/>
      <w:r w:rsidRPr="00410BC0">
        <w:rPr>
          <w:rFonts w:ascii="Times New Roman" w:eastAsia="Times New Roman" w:hAnsi="Times New Roman" w:cs="Times New Roman"/>
          <w:sz w:val="24"/>
          <w:szCs w:val="24"/>
        </w:rPr>
        <w:t>Shivran</w:t>
      </w:r>
      <w:proofErr w:type="spellEnd"/>
      <w:r w:rsidRPr="00410BC0">
        <w:rPr>
          <w:rFonts w:ascii="Times New Roman" w:eastAsia="Times New Roman" w:hAnsi="Times New Roman" w:cs="Times New Roman"/>
          <w:sz w:val="24"/>
          <w:szCs w:val="24"/>
        </w:rPr>
        <w:t xml:space="preserve">, R. K., Kumar, P., Jat, R. K., Kumar, V., &amp; Prakash, N. (2017). Effect of integrated nutrient management practices on growth, yield and economics of chickpea in maize-chickpea/wheat cropping system. </w:t>
      </w:r>
      <w:r w:rsidRPr="00410BC0">
        <w:rPr>
          <w:rFonts w:ascii="Times New Roman" w:eastAsia="Times New Roman" w:hAnsi="Times New Roman" w:cs="Times New Roman"/>
          <w:i/>
          <w:iCs/>
          <w:sz w:val="24"/>
          <w:szCs w:val="24"/>
        </w:rPr>
        <w:t>Journal of Pharmacognosy and Phytochemistry, Special Issue 1</w:t>
      </w:r>
      <w:r w:rsidRPr="00410BC0">
        <w:rPr>
          <w:rFonts w:ascii="Times New Roman" w:eastAsia="Times New Roman" w:hAnsi="Times New Roman" w:cs="Times New Roman"/>
          <w:sz w:val="24"/>
          <w:szCs w:val="24"/>
        </w:rPr>
        <w:t xml:space="preserve">, 115–118. </w:t>
      </w:r>
    </w:p>
    <w:p w14:paraId="00F44E06"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Singh, D., &amp; Singh, H. (2012). Effect of phosphorus and zinc nutrition on yield, nutrient uptake and quality of chickpea. </w:t>
      </w:r>
      <w:r w:rsidRPr="00410BC0">
        <w:rPr>
          <w:rFonts w:ascii="Times New Roman" w:eastAsia="Times New Roman" w:hAnsi="Times New Roman" w:cs="Times New Roman"/>
          <w:i/>
          <w:iCs/>
          <w:sz w:val="24"/>
          <w:szCs w:val="24"/>
        </w:rPr>
        <w:t>Annals of Plant and Soil Research, 14</w:t>
      </w:r>
      <w:r w:rsidRPr="00410BC0">
        <w:rPr>
          <w:rFonts w:ascii="Times New Roman" w:eastAsia="Times New Roman" w:hAnsi="Times New Roman" w:cs="Times New Roman"/>
          <w:sz w:val="24"/>
          <w:szCs w:val="24"/>
        </w:rPr>
        <w:t xml:space="preserve">(1), 71–74. </w:t>
      </w:r>
      <w:hyperlink r:id="rId23" w:tgtFrame="_new" w:history="1">
        <w:r w:rsidRPr="00410BC0">
          <w:rPr>
            <w:rFonts w:ascii="Times New Roman" w:eastAsia="Times New Roman" w:hAnsi="Times New Roman" w:cs="Times New Roman"/>
            <w:color w:val="0000FF"/>
            <w:sz w:val="24"/>
            <w:szCs w:val="24"/>
            <w:u w:val="single"/>
          </w:rPr>
          <w:t>https://www.gkvsociety.com/control/uploads/effect-of-phosphorus-and-zinc-nutrition-on-yeild-nutrient-uptake-and-quality-of-chickpea.pdf</w:t>
        </w:r>
      </w:hyperlink>
    </w:p>
    <w:p w14:paraId="3761DC2D"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lastRenderedPageBreak/>
        <w:t xml:space="preserve">Singh, V., Kumar, A., Lal, M., &amp; Kumar, M. (2018). Chickpea cultivation governing by phosphorus application in calcareous soil. </w:t>
      </w:r>
      <w:r w:rsidRPr="00410BC0">
        <w:rPr>
          <w:rFonts w:ascii="Times New Roman" w:eastAsia="Times New Roman" w:hAnsi="Times New Roman" w:cs="Times New Roman"/>
          <w:i/>
          <w:iCs/>
          <w:sz w:val="24"/>
          <w:szCs w:val="24"/>
        </w:rPr>
        <w:t>International Journal of Current Microbiology and Applied Sciences, 7</w:t>
      </w:r>
      <w:r w:rsidRPr="00410BC0">
        <w:rPr>
          <w:rFonts w:ascii="Times New Roman" w:eastAsia="Times New Roman" w:hAnsi="Times New Roman" w:cs="Times New Roman"/>
          <w:sz w:val="24"/>
          <w:szCs w:val="24"/>
        </w:rPr>
        <w:t>(2), 3419–3425. https://doi.org/10.20546/ijcmas.2018.702.407</w:t>
      </w:r>
    </w:p>
    <w:p w14:paraId="40487354"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Ullah, A., Farooq, M., Hussain, M., Ahmad, R., &amp; Wakeel, A. (2019). Zinc seed coating improves emergence and seedling growth in desi and Kabuli chickpea types but shows toxicity at higher concentration. </w:t>
      </w:r>
      <w:r w:rsidRPr="00410BC0">
        <w:rPr>
          <w:rFonts w:ascii="Times New Roman" w:eastAsia="Times New Roman" w:hAnsi="Times New Roman" w:cs="Times New Roman"/>
          <w:i/>
          <w:iCs/>
          <w:sz w:val="24"/>
          <w:szCs w:val="24"/>
        </w:rPr>
        <w:t>International Journal of Agriculture and Biology, 21</w:t>
      </w:r>
      <w:r w:rsidRPr="00410BC0">
        <w:rPr>
          <w:rFonts w:ascii="Times New Roman" w:eastAsia="Times New Roman" w:hAnsi="Times New Roman" w:cs="Times New Roman"/>
          <w:sz w:val="24"/>
          <w:szCs w:val="24"/>
        </w:rPr>
        <w:t xml:space="preserve">(3), 553–559. </w:t>
      </w:r>
      <w:hyperlink r:id="rId24" w:tgtFrame="_new" w:history="1">
        <w:r w:rsidRPr="00410BC0">
          <w:rPr>
            <w:rFonts w:ascii="Times New Roman" w:eastAsia="Times New Roman" w:hAnsi="Times New Roman" w:cs="Times New Roman"/>
            <w:color w:val="0000FF"/>
            <w:sz w:val="24"/>
            <w:szCs w:val="24"/>
            <w:u w:val="single"/>
          </w:rPr>
          <w:t>https://doi.org/10.17957/IJAB/15.0928</w:t>
        </w:r>
      </w:hyperlink>
    </w:p>
    <w:p w14:paraId="367D3FAC" w14:textId="77777777" w:rsidR="00410BC0" w:rsidRPr="00410BC0" w:rsidRDefault="00410BC0" w:rsidP="00410BC0">
      <w:pPr>
        <w:spacing w:before="100" w:beforeAutospacing="1" w:after="100" w:afterAutospacing="1" w:line="240" w:lineRule="auto"/>
        <w:rPr>
          <w:rFonts w:ascii="Times New Roman" w:eastAsia="Times New Roman" w:hAnsi="Times New Roman" w:cs="Times New Roman"/>
          <w:sz w:val="24"/>
          <w:szCs w:val="24"/>
        </w:rPr>
      </w:pPr>
      <w:r w:rsidRPr="00410BC0">
        <w:rPr>
          <w:rFonts w:ascii="Times New Roman" w:eastAsia="Times New Roman" w:hAnsi="Times New Roman" w:cs="Times New Roman"/>
          <w:sz w:val="24"/>
          <w:szCs w:val="24"/>
        </w:rPr>
        <w:t xml:space="preserve">Yadav, A., Singh, D., Kumar, R., Sachan, R., Kumar, K., Singh, A., Tiwari, A., &amp; Singh, K. K. (2022). Response of different level of phosphorus, zinc and </w:t>
      </w:r>
      <w:r w:rsidRPr="00410BC0">
        <w:rPr>
          <w:rFonts w:ascii="Times New Roman" w:eastAsia="Times New Roman" w:hAnsi="Times New Roman" w:cs="Times New Roman"/>
          <w:i/>
          <w:iCs/>
          <w:sz w:val="24"/>
          <w:szCs w:val="24"/>
        </w:rPr>
        <w:t>Rhizobium</w:t>
      </w:r>
      <w:r w:rsidRPr="00410BC0">
        <w:rPr>
          <w:rFonts w:ascii="Times New Roman" w:eastAsia="Times New Roman" w:hAnsi="Times New Roman" w:cs="Times New Roman"/>
          <w:sz w:val="24"/>
          <w:szCs w:val="24"/>
        </w:rPr>
        <w:t xml:space="preserve"> inoculation on growth yield attributes and yield of chickpea (</w:t>
      </w:r>
      <w:r w:rsidRPr="00410BC0">
        <w:rPr>
          <w:rFonts w:ascii="Times New Roman" w:eastAsia="Times New Roman" w:hAnsi="Times New Roman" w:cs="Times New Roman"/>
          <w:i/>
          <w:iCs/>
          <w:sz w:val="24"/>
          <w:szCs w:val="24"/>
        </w:rPr>
        <w:t>Cicer arietinum</w:t>
      </w:r>
      <w:r w:rsidRPr="00410BC0">
        <w:rPr>
          <w:rFonts w:ascii="Times New Roman" w:eastAsia="Times New Roman" w:hAnsi="Times New Roman" w:cs="Times New Roman"/>
          <w:sz w:val="24"/>
          <w:szCs w:val="24"/>
        </w:rPr>
        <w:t xml:space="preserve"> L.). </w:t>
      </w:r>
      <w:r w:rsidRPr="00410BC0">
        <w:rPr>
          <w:rFonts w:ascii="Times New Roman" w:eastAsia="Times New Roman" w:hAnsi="Times New Roman" w:cs="Times New Roman"/>
          <w:i/>
          <w:iCs/>
          <w:sz w:val="24"/>
          <w:szCs w:val="24"/>
        </w:rPr>
        <w:t>International Journal of Environment and Climate Change, 12</w:t>
      </w:r>
      <w:r w:rsidRPr="00410BC0">
        <w:rPr>
          <w:rFonts w:ascii="Times New Roman" w:eastAsia="Times New Roman" w:hAnsi="Times New Roman" w:cs="Times New Roman"/>
          <w:sz w:val="24"/>
          <w:szCs w:val="24"/>
        </w:rPr>
        <w:t>(11), 1954–1964. https://doi.org/10.9734/ijecc/2022/v12i1131184</w:t>
      </w:r>
    </w:p>
    <w:p w14:paraId="57E35704" w14:textId="77777777" w:rsidR="00410BC0" w:rsidRPr="00572A7A" w:rsidRDefault="00410BC0" w:rsidP="00572A7A">
      <w:pPr>
        <w:spacing w:before="100" w:beforeAutospacing="1" w:after="100" w:afterAutospacing="1" w:line="240" w:lineRule="auto"/>
        <w:jc w:val="both"/>
        <w:rPr>
          <w:rFonts w:ascii="Times New Roman" w:eastAsia="Times New Roman" w:hAnsi="Times New Roman" w:cs="Times New Roman"/>
          <w:sz w:val="24"/>
          <w:szCs w:val="24"/>
          <w:lang w:bidi="hi-IN"/>
        </w:rPr>
      </w:pPr>
    </w:p>
    <w:sectPr w:rsidR="00410BC0" w:rsidRPr="00572A7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5CBE" w14:textId="77777777" w:rsidR="00B75C3E" w:rsidRDefault="00B75C3E" w:rsidP="00400D5E">
      <w:pPr>
        <w:spacing w:after="0" w:line="240" w:lineRule="auto"/>
      </w:pPr>
      <w:r>
        <w:separator/>
      </w:r>
    </w:p>
  </w:endnote>
  <w:endnote w:type="continuationSeparator" w:id="0">
    <w:p w14:paraId="28B13866" w14:textId="77777777" w:rsidR="00B75C3E" w:rsidRDefault="00B75C3E" w:rsidP="0040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0919" w14:textId="77777777" w:rsidR="00400D5E" w:rsidRDefault="0040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798D" w14:textId="77777777" w:rsidR="00400D5E" w:rsidRDefault="00400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BD05" w14:textId="77777777" w:rsidR="00400D5E" w:rsidRDefault="0040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971B5" w14:textId="77777777" w:rsidR="00B75C3E" w:rsidRDefault="00B75C3E" w:rsidP="00400D5E">
      <w:pPr>
        <w:spacing w:after="0" w:line="240" w:lineRule="auto"/>
      </w:pPr>
      <w:r>
        <w:separator/>
      </w:r>
    </w:p>
  </w:footnote>
  <w:footnote w:type="continuationSeparator" w:id="0">
    <w:p w14:paraId="4AC47B70" w14:textId="77777777" w:rsidR="00B75C3E" w:rsidRDefault="00B75C3E" w:rsidP="00400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B180" w14:textId="77777777" w:rsidR="00400D5E" w:rsidRDefault="00000000">
    <w:pPr>
      <w:pStyle w:val="Header"/>
    </w:pPr>
    <w:r>
      <w:rPr>
        <w:noProof/>
      </w:rPr>
      <w:pict w14:anchorId="24F0A8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77FF" w14:textId="77777777" w:rsidR="00400D5E" w:rsidRDefault="00000000">
    <w:pPr>
      <w:pStyle w:val="Header"/>
    </w:pPr>
    <w:r>
      <w:rPr>
        <w:noProof/>
      </w:rPr>
      <w:pict w14:anchorId="0AE9C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33C2" w14:textId="77777777" w:rsidR="00400D5E" w:rsidRDefault="00000000">
    <w:pPr>
      <w:pStyle w:val="Header"/>
    </w:pPr>
    <w:r>
      <w:rPr>
        <w:noProof/>
      </w:rPr>
      <w:pict w14:anchorId="46A7F0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6550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7EB"/>
    <w:multiLevelType w:val="multilevel"/>
    <w:tmpl w:val="9E08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550EB"/>
    <w:multiLevelType w:val="multilevel"/>
    <w:tmpl w:val="16CC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D30E8"/>
    <w:multiLevelType w:val="multilevel"/>
    <w:tmpl w:val="C7386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B4C45"/>
    <w:multiLevelType w:val="hybridMultilevel"/>
    <w:tmpl w:val="8A70823A"/>
    <w:lvl w:ilvl="0" w:tplc="E6AC0BB6">
      <w:start w:val="1"/>
      <w:numFmt w:val="lowerLetter"/>
      <w:lvlText w:val="(%1)"/>
      <w:lvlJc w:val="left"/>
      <w:pPr>
        <w:ind w:left="1353" w:hanging="360"/>
      </w:pPr>
      <w:rPr>
        <w:rFonts w:hint="default"/>
        <w:b/>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6C205493"/>
    <w:multiLevelType w:val="multilevel"/>
    <w:tmpl w:val="9F448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4473012">
    <w:abstractNumId w:val="1"/>
  </w:num>
  <w:num w:numId="2" w16cid:durableId="188494586">
    <w:abstractNumId w:val="2"/>
  </w:num>
  <w:num w:numId="3" w16cid:durableId="54548385">
    <w:abstractNumId w:val="0"/>
  </w:num>
  <w:num w:numId="4" w16cid:durableId="222260806">
    <w:abstractNumId w:val="4"/>
  </w:num>
  <w:num w:numId="5" w16cid:durableId="245119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0NDExMTYzNLK0MDZU0lEKTi0uzszPAykwrAUAxBo64SwAAAA="/>
  </w:docVars>
  <w:rsids>
    <w:rsidRoot w:val="00E372DB"/>
    <w:rsid w:val="00125B91"/>
    <w:rsid w:val="00137AF2"/>
    <w:rsid w:val="00146EAA"/>
    <w:rsid w:val="002E3ADF"/>
    <w:rsid w:val="0030549D"/>
    <w:rsid w:val="00384E2C"/>
    <w:rsid w:val="003C2B08"/>
    <w:rsid w:val="003E4698"/>
    <w:rsid w:val="00400D5E"/>
    <w:rsid w:val="00410BC0"/>
    <w:rsid w:val="00515C09"/>
    <w:rsid w:val="005549A4"/>
    <w:rsid w:val="00572A7A"/>
    <w:rsid w:val="006C43BB"/>
    <w:rsid w:val="00704F8A"/>
    <w:rsid w:val="00825C0E"/>
    <w:rsid w:val="00887192"/>
    <w:rsid w:val="008B5201"/>
    <w:rsid w:val="009C26F7"/>
    <w:rsid w:val="00A331DF"/>
    <w:rsid w:val="00A4563D"/>
    <w:rsid w:val="00B74B9E"/>
    <w:rsid w:val="00B75C3E"/>
    <w:rsid w:val="00B805C4"/>
    <w:rsid w:val="00CD626D"/>
    <w:rsid w:val="00D0758D"/>
    <w:rsid w:val="00E372DB"/>
    <w:rsid w:val="00EC793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DA8B0"/>
  <w15:chartTrackingRefBased/>
  <w15:docId w15:val="{B2228B86-B695-48E3-B9CC-AC6E7A58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E372DB"/>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E372DB"/>
    <w:rPr>
      <w:b/>
      <w:bCs/>
    </w:rPr>
  </w:style>
  <w:style w:type="character" w:styleId="Emphasis">
    <w:name w:val="Emphasis"/>
    <w:basedOn w:val="DefaultParagraphFont"/>
    <w:uiPriority w:val="20"/>
    <w:qFormat/>
    <w:rsid w:val="00E372DB"/>
    <w:rPr>
      <w:i/>
      <w:iCs/>
    </w:rPr>
  </w:style>
  <w:style w:type="character" w:styleId="Hyperlink">
    <w:name w:val="Hyperlink"/>
    <w:basedOn w:val="DefaultParagraphFont"/>
    <w:uiPriority w:val="99"/>
    <w:unhideWhenUsed/>
    <w:rsid w:val="00E372DB"/>
    <w:rPr>
      <w:color w:val="0000FF"/>
      <w:u w:val="single"/>
    </w:rPr>
  </w:style>
  <w:style w:type="paragraph" w:styleId="ListParagraph">
    <w:name w:val="List Paragraph"/>
    <w:basedOn w:val="Normal"/>
    <w:uiPriority w:val="34"/>
    <w:qFormat/>
    <w:rsid w:val="00E372DB"/>
    <w:pPr>
      <w:ind w:left="720"/>
      <w:contextualSpacing/>
    </w:pPr>
  </w:style>
  <w:style w:type="character" w:styleId="UnresolvedMention">
    <w:name w:val="Unresolved Mention"/>
    <w:basedOn w:val="DefaultParagraphFont"/>
    <w:uiPriority w:val="99"/>
    <w:semiHidden/>
    <w:unhideWhenUsed/>
    <w:rsid w:val="00137AF2"/>
    <w:rPr>
      <w:color w:val="605E5C"/>
      <w:shd w:val="clear" w:color="auto" w:fill="E1DFDD"/>
    </w:rPr>
  </w:style>
  <w:style w:type="paragraph" w:styleId="Header">
    <w:name w:val="header"/>
    <w:basedOn w:val="Normal"/>
    <w:link w:val="HeaderChar"/>
    <w:uiPriority w:val="99"/>
    <w:unhideWhenUsed/>
    <w:rsid w:val="00400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D5E"/>
  </w:style>
  <w:style w:type="paragraph" w:styleId="Footer">
    <w:name w:val="footer"/>
    <w:basedOn w:val="Normal"/>
    <w:link w:val="FooterChar"/>
    <w:uiPriority w:val="99"/>
    <w:unhideWhenUsed/>
    <w:rsid w:val="00400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D5E"/>
  </w:style>
  <w:style w:type="paragraph" w:customStyle="1" w:styleId="pdq2pgselectionanchorcontainer">
    <w:name w:val="pdq2pg_selectionanchorcontainer"/>
    <w:basedOn w:val="Normal"/>
    <w:rsid w:val="00572A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phytojournal.com/archives/2017.v6.i1.1105/nutrient-content-uptake-quality-of-chickpea-and-fertility-status-of-soil-as-influenced-by-fertilization-of-phosphorus-and-zinc?utm_source=chatgpt.com" TargetMode="External"/><Relationship Id="rId18" Type="http://schemas.openxmlformats.org/officeDocument/2006/relationships/hyperlink" Target="https://www.iiste.org/Journals/index.php/ALST/article/download/29317/30106?utm_source=chatgpt.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thepharmajournal.com/archives/2022/vol11issue5/PartO/11-5-130-206.pdf?utm_source=chatgpt.com" TargetMode="External"/><Relationship Id="rId7" Type="http://schemas.openxmlformats.org/officeDocument/2006/relationships/chart" Target="charts/chart1.xml"/><Relationship Id="rId12" Type="http://schemas.openxmlformats.org/officeDocument/2006/relationships/hyperlink" Target="https://iiste.org/Journals/index.php/JNSR/article/download/20087/20342?utm_source=chatgpt.com" TargetMode="External"/><Relationship Id="rId17" Type="http://schemas.openxmlformats.org/officeDocument/2006/relationships/hyperlink" Target="https://knowledgecenter.cimmyt.org/bib/23713?utm_source=chatgpt.com"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esagri.gov.in/document-report/agricultural-statistics-at-a-glance-2024/" TargetMode="External"/><Relationship Id="rId20" Type="http://schemas.openxmlformats.org/officeDocument/2006/relationships/hyperlink" Target="https://csp.futa.edu.ng/home/publications/4631/30?utm_source=chatgpt.com"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hyperlink" Target="https://doi.org/10.17957/IJAB/15.092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ccd.gov.in/uploads/Agricultural_Statistics_at_a_Glance_2023_64c3ac54bf.pdf?utm_source=chatgpt.com" TargetMode="External"/><Relationship Id="rId23" Type="http://schemas.openxmlformats.org/officeDocument/2006/relationships/hyperlink" Target="https://www.gkvsociety.com/control/uploads/effect-of-phosphorus-and-zinc-nutrition-on-yeild-nutrient-uptake-and-quality-of-chickpea.pdf?utm_source=chatgpt.com" TargetMode="External"/><Relationship Id="rId28" Type="http://schemas.openxmlformats.org/officeDocument/2006/relationships/footer" Target="footer2.xml"/><Relationship Id="rId10" Type="http://schemas.openxmlformats.org/officeDocument/2006/relationships/chart" Target="charts/chart4.xml"/><Relationship Id="rId19" Type="http://schemas.openxmlformats.org/officeDocument/2006/relationships/hyperlink" Target="https://arccjournals.com/journal/legume-research-an-international-journal/volume-29/issue-1-march-2006?utm_source=chatgp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www.chemijournal.com/archives/2019/vol7issue6/PartK/7-5-635-981.pdf?utm_source=chatgpt.com" TargetMode="External"/><Relationship Id="rId22" Type="http://schemas.openxmlformats.org/officeDocument/2006/relationships/hyperlink" Target="https://aaj.net.in/journal-category/archives-for-2011/?utm_source=chatgpt.com"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esktop\plant%20height_result_8.12.24.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PODS</a:t>
            </a:r>
            <a:r>
              <a:rPr lang="en-US" sz="1200" baseline="0">
                <a:latin typeface="Times New Roman" panose="02020603050405020304" pitchFamily="18" charset="0"/>
                <a:cs typeface="Times New Roman" panose="02020603050405020304" pitchFamily="18" charset="0"/>
              </a:rPr>
              <a:t> IN PLANT</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'no. of pods per plant'!$B$17</c:f>
              <c:strCache>
                <c:ptCount val="1"/>
                <c:pt idx="0">
                  <c:v>No. of pods per plant</c:v>
                </c:pt>
              </c:strCache>
            </c:strRef>
          </c:tx>
          <c:spPr>
            <a:solidFill>
              <a:schemeClr val="accent1"/>
            </a:solidFill>
            <a:ln>
              <a:noFill/>
            </a:ln>
            <a:effectLst/>
          </c:spPr>
          <c:invertIfNegative val="0"/>
          <c:cat>
            <c:strRef>
              <c:f>'no. of pods per plant'!$A$18:$A$27</c:f>
              <c:strCache>
                <c:ptCount val="10"/>
                <c:pt idx="0">
                  <c:v>T0</c:v>
                </c:pt>
                <c:pt idx="1">
                  <c:v>T1</c:v>
                </c:pt>
                <c:pt idx="2">
                  <c:v>T2</c:v>
                </c:pt>
                <c:pt idx="3">
                  <c:v>T3</c:v>
                </c:pt>
                <c:pt idx="4">
                  <c:v>T4</c:v>
                </c:pt>
                <c:pt idx="5">
                  <c:v>T5</c:v>
                </c:pt>
                <c:pt idx="6">
                  <c:v>T6</c:v>
                </c:pt>
                <c:pt idx="7">
                  <c:v>T7</c:v>
                </c:pt>
                <c:pt idx="8">
                  <c:v>T8</c:v>
                </c:pt>
                <c:pt idx="9">
                  <c:v>T9</c:v>
                </c:pt>
              </c:strCache>
            </c:strRef>
          </c:cat>
          <c:val>
            <c:numRef>
              <c:f>'no. of pods per plant'!$B$18:$B$27</c:f>
              <c:numCache>
                <c:formatCode>0.00</c:formatCode>
                <c:ptCount val="10"/>
                <c:pt idx="0">
                  <c:v>36.766666666666673</c:v>
                </c:pt>
                <c:pt idx="1">
                  <c:v>38.599999999999994</c:v>
                </c:pt>
                <c:pt idx="2">
                  <c:v>45.4</c:v>
                </c:pt>
                <c:pt idx="3">
                  <c:v>47.133333333333326</c:v>
                </c:pt>
                <c:pt idx="4">
                  <c:v>49.20000000000001</c:v>
                </c:pt>
                <c:pt idx="5">
                  <c:v>51.133333333333333</c:v>
                </c:pt>
                <c:pt idx="6">
                  <c:v>53.79999999999999</c:v>
                </c:pt>
                <c:pt idx="7">
                  <c:v>56.766666666666673</c:v>
                </c:pt>
                <c:pt idx="8">
                  <c:v>58.133333333333326</c:v>
                </c:pt>
                <c:pt idx="9">
                  <c:v>61.133333333333326</c:v>
                </c:pt>
              </c:numCache>
            </c:numRef>
          </c:val>
          <c:extLst>
            <c:ext xmlns:c16="http://schemas.microsoft.com/office/drawing/2014/chart" uri="{C3380CC4-5D6E-409C-BE32-E72D297353CC}">
              <c16:uniqueId val="{00000000-7BFF-48C6-B58B-3B8A257F8C7D}"/>
            </c:ext>
          </c:extLst>
        </c:ser>
        <c:ser>
          <c:idx val="1"/>
          <c:order val="1"/>
          <c:tx>
            <c:strRef>
              <c:f>'no. of pods per plant'!$C$17</c:f>
              <c:strCache>
                <c:ptCount val="1"/>
                <c:pt idx="0">
                  <c:v>No. of Seeds Per Pod</c:v>
                </c:pt>
              </c:strCache>
            </c:strRef>
          </c:tx>
          <c:spPr>
            <a:solidFill>
              <a:schemeClr val="accent2"/>
            </a:solidFill>
            <a:ln>
              <a:noFill/>
            </a:ln>
            <a:effectLst/>
          </c:spPr>
          <c:invertIfNegative val="0"/>
          <c:cat>
            <c:strRef>
              <c:f>'no. of pods per plant'!$A$18:$A$27</c:f>
              <c:strCache>
                <c:ptCount val="10"/>
                <c:pt idx="0">
                  <c:v>T0</c:v>
                </c:pt>
                <c:pt idx="1">
                  <c:v>T1</c:v>
                </c:pt>
                <c:pt idx="2">
                  <c:v>T2</c:v>
                </c:pt>
                <c:pt idx="3">
                  <c:v>T3</c:v>
                </c:pt>
                <c:pt idx="4">
                  <c:v>T4</c:v>
                </c:pt>
                <c:pt idx="5">
                  <c:v>T5</c:v>
                </c:pt>
                <c:pt idx="6">
                  <c:v>T6</c:v>
                </c:pt>
                <c:pt idx="7">
                  <c:v>T7</c:v>
                </c:pt>
                <c:pt idx="8">
                  <c:v>T8</c:v>
                </c:pt>
                <c:pt idx="9">
                  <c:v>T9</c:v>
                </c:pt>
              </c:strCache>
            </c:strRef>
          </c:cat>
          <c:val>
            <c:numRef>
              <c:f>'no. of pods per plant'!$C$18:$C$27</c:f>
              <c:numCache>
                <c:formatCode>0.00_ </c:formatCode>
                <c:ptCount val="10"/>
                <c:pt idx="0">
                  <c:v>1.63</c:v>
                </c:pt>
                <c:pt idx="1">
                  <c:v>1.8133333333333299</c:v>
                </c:pt>
                <c:pt idx="2">
                  <c:v>1.9566666666666701</c:v>
                </c:pt>
                <c:pt idx="3">
                  <c:v>2.1733333333333298</c:v>
                </c:pt>
                <c:pt idx="4">
                  <c:v>2.38</c:v>
                </c:pt>
                <c:pt idx="5">
                  <c:v>2.58</c:v>
                </c:pt>
                <c:pt idx="6">
                  <c:v>2.73</c:v>
                </c:pt>
                <c:pt idx="7" formatCode="General">
                  <c:v>2.89</c:v>
                </c:pt>
                <c:pt idx="8" formatCode="General">
                  <c:v>2.99</c:v>
                </c:pt>
                <c:pt idx="9">
                  <c:v>3.02</c:v>
                </c:pt>
              </c:numCache>
            </c:numRef>
          </c:val>
          <c:extLst>
            <c:ext xmlns:c16="http://schemas.microsoft.com/office/drawing/2014/chart" uri="{C3380CC4-5D6E-409C-BE32-E72D297353CC}">
              <c16:uniqueId val="{00000001-7BFF-48C6-B58B-3B8A257F8C7D}"/>
            </c:ext>
          </c:extLst>
        </c:ser>
        <c:dLbls>
          <c:showLegendKey val="0"/>
          <c:showVal val="0"/>
          <c:showCatName val="0"/>
          <c:showSerName val="0"/>
          <c:showPercent val="0"/>
          <c:showBubbleSize val="0"/>
        </c:dLbls>
        <c:gapWidth val="219"/>
        <c:overlap val="-27"/>
        <c:axId val="394562304"/>
        <c:axId val="394564264"/>
      </c:barChart>
      <c:catAx>
        <c:axId val="39456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4264"/>
        <c:crosses val="autoZero"/>
        <c:auto val="1"/>
        <c:lblAlgn val="ctr"/>
        <c:lblOffset val="100"/>
        <c:noMultiLvlLbl val="0"/>
      </c:catAx>
      <c:valAx>
        <c:axId val="39456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2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TEST</a:t>
            </a:r>
            <a:r>
              <a:rPr lang="en-US" baseline="0"/>
              <a:t> WEIGHT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'Test weight'!$A$16:$A$25</c:f>
              <c:strCache>
                <c:ptCount val="10"/>
                <c:pt idx="0">
                  <c:v>T0</c:v>
                </c:pt>
                <c:pt idx="1">
                  <c:v>T1</c:v>
                </c:pt>
                <c:pt idx="2">
                  <c:v>T2</c:v>
                </c:pt>
                <c:pt idx="3">
                  <c:v>T3</c:v>
                </c:pt>
                <c:pt idx="4">
                  <c:v>T4</c:v>
                </c:pt>
                <c:pt idx="5">
                  <c:v>T5</c:v>
                </c:pt>
                <c:pt idx="6">
                  <c:v>T6</c:v>
                </c:pt>
                <c:pt idx="7">
                  <c:v>T7</c:v>
                </c:pt>
                <c:pt idx="8">
                  <c:v>T8</c:v>
                </c:pt>
                <c:pt idx="9">
                  <c:v>T9</c:v>
                </c:pt>
              </c:strCache>
            </c:strRef>
          </c:cat>
          <c:val>
            <c:numRef>
              <c:f>'Test weight'!$B$16:$B$25</c:f>
              <c:numCache>
                <c:formatCode>General</c:formatCode>
                <c:ptCount val="10"/>
                <c:pt idx="0">
                  <c:v>239.4666666666667</c:v>
                </c:pt>
                <c:pt idx="1">
                  <c:v>242.56666666666663</c:v>
                </c:pt>
                <c:pt idx="2">
                  <c:v>245.33333333333334</c:v>
                </c:pt>
                <c:pt idx="3">
                  <c:v>249.9666666666667</c:v>
                </c:pt>
                <c:pt idx="4">
                  <c:v>251.77333333333334</c:v>
                </c:pt>
                <c:pt idx="5">
                  <c:v>255.39333333333335</c:v>
                </c:pt>
                <c:pt idx="6">
                  <c:v>261.07333333333332</c:v>
                </c:pt>
                <c:pt idx="7">
                  <c:v>264.20999999999998</c:v>
                </c:pt>
                <c:pt idx="8">
                  <c:v>266.3</c:v>
                </c:pt>
                <c:pt idx="9">
                  <c:v>270.23333333333335</c:v>
                </c:pt>
              </c:numCache>
            </c:numRef>
          </c:val>
          <c:extLst>
            <c:ext xmlns:c16="http://schemas.microsoft.com/office/drawing/2014/chart" uri="{C3380CC4-5D6E-409C-BE32-E72D297353CC}">
              <c16:uniqueId val="{00000000-BFB4-40C4-A56D-744B6FA9F6E6}"/>
            </c:ext>
          </c:extLst>
        </c:ser>
        <c:dLbls>
          <c:showLegendKey val="0"/>
          <c:showVal val="0"/>
          <c:showCatName val="0"/>
          <c:showSerName val="0"/>
          <c:showPercent val="0"/>
          <c:showBubbleSize val="0"/>
        </c:dLbls>
        <c:gapWidth val="219"/>
        <c:overlap val="-27"/>
        <c:axId val="394562696"/>
        <c:axId val="394565048"/>
      </c:barChart>
      <c:catAx>
        <c:axId val="394562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5048"/>
        <c:crosses val="autoZero"/>
        <c:auto val="1"/>
        <c:lblAlgn val="ctr"/>
        <c:lblOffset val="100"/>
        <c:noMultiLvlLbl val="0"/>
      </c:catAx>
      <c:valAx>
        <c:axId val="394565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2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Yields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'SEED YIELD (quatinalha)'!$B$43</c:f>
              <c:strCache>
                <c:ptCount val="1"/>
                <c:pt idx="0">
                  <c:v>Seed Yield (quatinal/ha)</c:v>
                </c:pt>
              </c:strCache>
            </c:strRef>
          </c:tx>
          <c:spPr>
            <a:solidFill>
              <a:schemeClr val="accent1"/>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(quatinalha)'!$B$44:$B$53</c:f>
              <c:numCache>
                <c:formatCode>0.00</c:formatCode>
                <c:ptCount val="10"/>
                <c:pt idx="0">
                  <c:v>12.44</c:v>
                </c:pt>
                <c:pt idx="1">
                  <c:v>13.25</c:v>
                </c:pt>
                <c:pt idx="2">
                  <c:v>13.753333333333332</c:v>
                </c:pt>
                <c:pt idx="3">
                  <c:v>13.699999999999998</c:v>
                </c:pt>
                <c:pt idx="4">
                  <c:v>13.18</c:v>
                </c:pt>
                <c:pt idx="5">
                  <c:v>13.979999999999999</c:v>
                </c:pt>
                <c:pt idx="6">
                  <c:v>14.633333333333333</c:v>
                </c:pt>
                <c:pt idx="7">
                  <c:v>17.633333333333336</c:v>
                </c:pt>
                <c:pt idx="8">
                  <c:v>19.366666666666667</c:v>
                </c:pt>
                <c:pt idx="9">
                  <c:v>20.2</c:v>
                </c:pt>
              </c:numCache>
            </c:numRef>
          </c:val>
          <c:extLst>
            <c:ext xmlns:c16="http://schemas.microsoft.com/office/drawing/2014/chart" uri="{C3380CC4-5D6E-409C-BE32-E72D297353CC}">
              <c16:uniqueId val="{00000000-FF1C-45E9-9C69-FF463E5606A3}"/>
            </c:ext>
          </c:extLst>
        </c:ser>
        <c:ser>
          <c:idx val="1"/>
          <c:order val="1"/>
          <c:tx>
            <c:strRef>
              <c:f>'SEED YIELD (quatinalha)'!$C$43</c:f>
              <c:strCache>
                <c:ptCount val="1"/>
                <c:pt idx="0">
                  <c:v>Straw Yield (Quatinal/ha)</c:v>
                </c:pt>
              </c:strCache>
            </c:strRef>
          </c:tx>
          <c:spPr>
            <a:solidFill>
              <a:schemeClr val="accent2"/>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(quatinalha)'!$C$44:$C$53</c:f>
              <c:numCache>
                <c:formatCode>0.00</c:formatCode>
                <c:ptCount val="10"/>
                <c:pt idx="0">
                  <c:v>14.036666666666667</c:v>
                </c:pt>
                <c:pt idx="1">
                  <c:v>14.920000000000002</c:v>
                </c:pt>
                <c:pt idx="2">
                  <c:v>15.89</c:v>
                </c:pt>
                <c:pt idx="3">
                  <c:v>15.946666666666665</c:v>
                </c:pt>
                <c:pt idx="4">
                  <c:v>14.64</c:v>
                </c:pt>
                <c:pt idx="5">
                  <c:v>15.979999999999999</c:v>
                </c:pt>
                <c:pt idx="6">
                  <c:v>16.599999999999998</c:v>
                </c:pt>
                <c:pt idx="7">
                  <c:v>19.099999999999998</c:v>
                </c:pt>
                <c:pt idx="8">
                  <c:v>21.166666666666668</c:v>
                </c:pt>
                <c:pt idx="9">
                  <c:v>24.8</c:v>
                </c:pt>
              </c:numCache>
            </c:numRef>
          </c:val>
          <c:extLst>
            <c:ext xmlns:c16="http://schemas.microsoft.com/office/drawing/2014/chart" uri="{C3380CC4-5D6E-409C-BE32-E72D297353CC}">
              <c16:uniqueId val="{00000001-FF1C-45E9-9C69-FF463E5606A3}"/>
            </c:ext>
          </c:extLst>
        </c:ser>
        <c:ser>
          <c:idx val="2"/>
          <c:order val="2"/>
          <c:tx>
            <c:strRef>
              <c:f>'SEED YIELD (quatinalha)'!$D$43</c:f>
              <c:strCache>
                <c:ptCount val="1"/>
                <c:pt idx="0">
                  <c:v>Seed Index </c:v>
                </c:pt>
              </c:strCache>
            </c:strRef>
          </c:tx>
          <c:spPr>
            <a:solidFill>
              <a:schemeClr val="accent3"/>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(quatinalha)'!$D$44:$D$53</c:f>
              <c:numCache>
                <c:formatCode>0.00</c:formatCode>
                <c:ptCount val="10"/>
                <c:pt idx="0">
                  <c:v>8.8333333333333339</c:v>
                </c:pt>
                <c:pt idx="1">
                  <c:v>9.8666666666666671</c:v>
                </c:pt>
                <c:pt idx="2">
                  <c:v>10.136666666666667</c:v>
                </c:pt>
                <c:pt idx="3">
                  <c:v>11.299999999999999</c:v>
                </c:pt>
                <c:pt idx="4">
                  <c:v>11.866666666666667</c:v>
                </c:pt>
                <c:pt idx="5">
                  <c:v>12.166666666666666</c:v>
                </c:pt>
                <c:pt idx="6">
                  <c:v>12.733333333333334</c:v>
                </c:pt>
                <c:pt idx="7">
                  <c:v>13.200000000000001</c:v>
                </c:pt>
                <c:pt idx="8">
                  <c:v>13.866666666666667</c:v>
                </c:pt>
                <c:pt idx="9">
                  <c:v>14.200000000000001</c:v>
                </c:pt>
              </c:numCache>
            </c:numRef>
          </c:val>
          <c:extLst>
            <c:ext xmlns:c16="http://schemas.microsoft.com/office/drawing/2014/chart" uri="{C3380CC4-5D6E-409C-BE32-E72D297353CC}">
              <c16:uniqueId val="{00000002-FF1C-45E9-9C69-FF463E5606A3}"/>
            </c:ext>
          </c:extLst>
        </c:ser>
        <c:ser>
          <c:idx val="3"/>
          <c:order val="3"/>
          <c:tx>
            <c:strRef>
              <c:f>'SEED YIELD (quatinalha)'!$E$43</c:f>
              <c:strCache>
                <c:ptCount val="1"/>
                <c:pt idx="0">
                  <c:v>Biological Yield </c:v>
                </c:pt>
              </c:strCache>
            </c:strRef>
          </c:tx>
          <c:spPr>
            <a:solidFill>
              <a:schemeClr val="accent4"/>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(quatinalha)'!$E$44:$E$53</c:f>
              <c:numCache>
                <c:formatCode>0.00</c:formatCode>
                <c:ptCount val="10"/>
                <c:pt idx="0">
                  <c:v>26.143333333333331</c:v>
                </c:pt>
                <c:pt idx="1">
                  <c:v>28.090000000000003</c:v>
                </c:pt>
                <c:pt idx="2">
                  <c:v>30.33666666666667</c:v>
                </c:pt>
                <c:pt idx="3">
                  <c:v>31.8</c:v>
                </c:pt>
                <c:pt idx="4">
                  <c:v>33.666666666666671</c:v>
                </c:pt>
                <c:pt idx="5">
                  <c:v>35.466666666666661</c:v>
                </c:pt>
                <c:pt idx="6">
                  <c:v>37.133333333333333</c:v>
                </c:pt>
                <c:pt idx="7">
                  <c:v>39.266666666666666</c:v>
                </c:pt>
                <c:pt idx="8">
                  <c:v>41.733333333333341</c:v>
                </c:pt>
                <c:pt idx="9">
                  <c:v>44.70000000000001</c:v>
                </c:pt>
              </c:numCache>
            </c:numRef>
          </c:val>
          <c:extLst>
            <c:ext xmlns:c16="http://schemas.microsoft.com/office/drawing/2014/chart" uri="{C3380CC4-5D6E-409C-BE32-E72D297353CC}">
              <c16:uniqueId val="{00000003-FF1C-45E9-9C69-FF463E5606A3}"/>
            </c:ext>
          </c:extLst>
        </c:ser>
        <c:ser>
          <c:idx val="4"/>
          <c:order val="4"/>
          <c:tx>
            <c:strRef>
              <c:f>'SEED YIELD (quatinalha)'!$F$43</c:f>
              <c:strCache>
                <c:ptCount val="1"/>
                <c:pt idx="0">
                  <c:v>Harvest Index</c:v>
                </c:pt>
              </c:strCache>
            </c:strRef>
          </c:tx>
          <c:spPr>
            <a:solidFill>
              <a:schemeClr val="accent5"/>
            </a:solidFill>
            <a:ln>
              <a:noFill/>
            </a:ln>
            <a:effectLst/>
          </c:spPr>
          <c:invertIfNegative val="0"/>
          <c:cat>
            <c:strRef>
              <c:f>'SEED YIELD (quatinalha)'!$A$44:$A$53</c:f>
              <c:strCache>
                <c:ptCount val="10"/>
                <c:pt idx="0">
                  <c:v>T0</c:v>
                </c:pt>
                <c:pt idx="1">
                  <c:v>T1</c:v>
                </c:pt>
                <c:pt idx="2">
                  <c:v>T2</c:v>
                </c:pt>
                <c:pt idx="3">
                  <c:v>T3</c:v>
                </c:pt>
                <c:pt idx="4">
                  <c:v>T4</c:v>
                </c:pt>
                <c:pt idx="5">
                  <c:v>T5</c:v>
                </c:pt>
                <c:pt idx="6">
                  <c:v>T6</c:v>
                </c:pt>
                <c:pt idx="7">
                  <c:v>T7</c:v>
                </c:pt>
                <c:pt idx="8">
                  <c:v>T8</c:v>
                </c:pt>
                <c:pt idx="9">
                  <c:v>T9</c:v>
                </c:pt>
              </c:strCache>
            </c:strRef>
          </c:cat>
          <c:val>
            <c:numRef>
              <c:f>'SEED YIELD (quatinalha)'!$F$44:$F$53</c:f>
              <c:numCache>
                <c:formatCode>0.00</c:formatCode>
                <c:ptCount val="10"/>
                <c:pt idx="0">
                  <c:v>33.78809129159761</c:v>
                </c:pt>
                <c:pt idx="1">
                  <c:v>35.125192832562</c:v>
                </c:pt>
                <c:pt idx="2">
                  <c:v>33.413910559279195</c:v>
                </c:pt>
                <c:pt idx="3">
                  <c:v>35.534591194968549</c:v>
                </c:pt>
                <c:pt idx="4">
                  <c:v>35.247524752475243</c:v>
                </c:pt>
                <c:pt idx="5">
                  <c:v>34.304511278195491</c:v>
                </c:pt>
                <c:pt idx="6">
                  <c:v>34.290843806104135</c:v>
                </c:pt>
                <c:pt idx="7">
                  <c:v>33.616298811544993</c:v>
                </c:pt>
                <c:pt idx="8">
                  <c:v>33.22683706070287</c:v>
                </c:pt>
                <c:pt idx="9">
                  <c:v>31.76733780760626</c:v>
                </c:pt>
              </c:numCache>
            </c:numRef>
          </c:val>
          <c:extLst>
            <c:ext xmlns:c16="http://schemas.microsoft.com/office/drawing/2014/chart" uri="{C3380CC4-5D6E-409C-BE32-E72D297353CC}">
              <c16:uniqueId val="{00000004-FF1C-45E9-9C69-FF463E5606A3}"/>
            </c:ext>
          </c:extLst>
        </c:ser>
        <c:dLbls>
          <c:showLegendKey val="0"/>
          <c:showVal val="0"/>
          <c:showCatName val="0"/>
          <c:showSerName val="0"/>
          <c:showPercent val="0"/>
          <c:showBubbleSize val="0"/>
        </c:dLbls>
        <c:gapWidth val="219"/>
        <c:overlap val="-27"/>
        <c:axId val="394563872"/>
        <c:axId val="394561520"/>
      </c:barChart>
      <c:catAx>
        <c:axId val="39456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1520"/>
        <c:crosses val="autoZero"/>
        <c:auto val="1"/>
        <c:lblAlgn val="ctr"/>
        <c:lblOffset val="100"/>
        <c:noMultiLvlLbl val="0"/>
      </c:catAx>
      <c:valAx>
        <c:axId val="394561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563872"/>
        <c:crosses val="autoZero"/>
        <c:crossBetween val="between"/>
      </c:valAx>
      <c:spPr>
        <a:noFill/>
        <a:ln>
          <a:noFill/>
        </a:ln>
        <a:effectLst/>
      </c:spPr>
    </c:plotArea>
    <c:legend>
      <c:legendPos val="b"/>
      <c:layout>
        <c:manualLayout>
          <c:xMode val="edge"/>
          <c:yMode val="edge"/>
          <c:x val="0"/>
          <c:y val="0.82291557305336838"/>
          <c:w val="1"/>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Sheet4!$L$4</c:f>
              <c:strCache>
                <c:ptCount val="1"/>
                <c:pt idx="0">
                  <c:v>Gross return</c:v>
                </c:pt>
              </c:strCache>
            </c:strRef>
          </c:tx>
          <c:spPr>
            <a:solidFill>
              <a:schemeClr val="accent1"/>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Sheet4!$L$5:$L$14</c:f>
              <c:numCache>
                <c:formatCode>General</c:formatCode>
                <c:ptCount val="10"/>
                <c:pt idx="0">
                  <c:v>49369</c:v>
                </c:pt>
                <c:pt idx="1">
                  <c:v>59800</c:v>
                </c:pt>
                <c:pt idx="2">
                  <c:v>67800</c:v>
                </c:pt>
                <c:pt idx="3">
                  <c:v>72290</c:v>
                </c:pt>
                <c:pt idx="4">
                  <c:v>77990</c:v>
                </c:pt>
                <c:pt idx="5">
                  <c:v>83619</c:v>
                </c:pt>
                <c:pt idx="6">
                  <c:v>88500</c:v>
                </c:pt>
                <c:pt idx="7">
                  <c:v>92398</c:v>
                </c:pt>
                <c:pt idx="8">
                  <c:v>99813</c:v>
                </c:pt>
                <c:pt idx="9">
                  <c:v>125187</c:v>
                </c:pt>
              </c:numCache>
            </c:numRef>
          </c:val>
          <c:extLst>
            <c:ext xmlns:c16="http://schemas.microsoft.com/office/drawing/2014/chart" uri="{C3380CC4-5D6E-409C-BE32-E72D297353CC}">
              <c16:uniqueId val="{00000000-B0EA-4F3D-800D-5C234AA0E2D2}"/>
            </c:ext>
          </c:extLst>
        </c:ser>
        <c:ser>
          <c:idx val="1"/>
          <c:order val="1"/>
          <c:tx>
            <c:strRef>
              <c:f>Sheet4!$M$4</c:f>
              <c:strCache>
                <c:ptCount val="1"/>
                <c:pt idx="0">
                  <c:v>Net Return</c:v>
                </c:pt>
              </c:strCache>
            </c:strRef>
          </c:tx>
          <c:spPr>
            <a:solidFill>
              <a:schemeClr val="accent2"/>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Sheet4!$M$5:$M$14</c:f>
              <c:numCache>
                <c:formatCode>General</c:formatCode>
                <c:ptCount val="10"/>
                <c:pt idx="0">
                  <c:v>18948</c:v>
                </c:pt>
                <c:pt idx="1">
                  <c:v>28350</c:v>
                </c:pt>
                <c:pt idx="2">
                  <c:v>34011</c:v>
                </c:pt>
                <c:pt idx="3">
                  <c:v>36840</c:v>
                </c:pt>
                <c:pt idx="4">
                  <c:v>41336</c:v>
                </c:pt>
                <c:pt idx="5">
                  <c:v>45719</c:v>
                </c:pt>
                <c:pt idx="6">
                  <c:v>50000</c:v>
                </c:pt>
                <c:pt idx="7">
                  <c:v>53498</c:v>
                </c:pt>
                <c:pt idx="8">
                  <c:v>59724</c:v>
                </c:pt>
                <c:pt idx="9">
                  <c:v>83131</c:v>
                </c:pt>
              </c:numCache>
            </c:numRef>
          </c:val>
          <c:extLst>
            <c:ext xmlns:c16="http://schemas.microsoft.com/office/drawing/2014/chart" uri="{C3380CC4-5D6E-409C-BE32-E72D297353CC}">
              <c16:uniqueId val="{00000001-B0EA-4F3D-800D-5C234AA0E2D2}"/>
            </c:ext>
          </c:extLst>
        </c:ser>
        <c:dLbls>
          <c:showLegendKey val="0"/>
          <c:showVal val="0"/>
          <c:showCatName val="0"/>
          <c:showSerName val="0"/>
          <c:showPercent val="0"/>
          <c:showBubbleSize val="0"/>
        </c:dLbls>
        <c:gapWidth val="219"/>
        <c:overlap val="-27"/>
        <c:axId val="394928304"/>
        <c:axId val="394927128"/>
      </c:barChart>
      <c:catAx>
        <c:axId val="39492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7128"/>
        <c:crosses val="autoZero"/>
        <c:auto val="1"/>
        <c:lblAlgn val="ctr"/>
        <c:lblOffset val="100"/>
        <c:noMultiLvlLbl val="0"/>
      </c:catAx>
      <c:valAx>
        <c:axId val="394927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Sheet4!$L$4</c:f>
              <c:strCache>
                <c:ptCount val="1"/>
                <c:pt idx="0">
                  <c:v>B:C Ratio</c:v>
                </c:pt>
              </c:strCache>
            </c:strRef>
          </c:tx>
          <c:spPr>
            <a:solidFill>
              <a:schemeClr val="accent1"/>
            </a:solidFill>
            <a:ln>
              <a:noFill/>
            </a:ln>
            <a:effectLst/>
          </c:spPr>
          <c:invertIfNegative val="0"/>
          <c:cat>
            <c:strRef>
              <c:f>Sheet4!$K$5:$K$14</c:f>
              <c:strCache>
                <c:ptCount val="10"/>
                <c:pt idx="0">
                  <c:v>T0</c:v>
                </c:pt>
                <c:pt idx="1">
                  <c:v>T1</c:v>
                </c:pt>
                <c:pt idx="2">
                  <c:v>T2</c:v>
                </c:pt>
                <c:pt idx="3">
                  <c:v>T3</c:v>
                </c:pt>
                <c:pt idx="4">
                  <c:v>T4</c:v>
                </c:pt>
                <c:pt idx="5">
                  <c:v>T5</c:v>
                </c:pt>
                <c:pt idx="6">
                  <c:v>T6</c:v>
                </c:pt>
                <c:pt idx="7">
                  <c:v>T7</c:v>
                </c:pt>
                <c:pt idx="8">
                  <c:v>T8</c:v>
                </c:pt>
                <c:pt idx="9">
                  <c:v>T9</c:v>
                </c:pt>
              </c:strCache>
            </c:strRef>
          </c:cat>
          <c:val>
            <c:numRef>
              <c:f>Sheet4!$L$5:$L$14</c:f>
              <c:numCache>
                <c:formatCode>0.00</c:formatCode>
                <c:ptCount val="10"/>
                <c:pt idx="0">
                  <c:v>0.62285920909897763</c:v>
                </c:pt>
                <c:pt idx="1">
                  <c:v>0.90143084260731321</c:v>
                </c:pt>
                <c:pt idx="2">
                  <c:v>1.0065701855633491</c:v>
                </c:pt>
                <c:pt idx="3">
                  <c:v>1.0392101551480959</c:v>
                </c:pt>
                <c:pt idx="4">
                  <c:v>1.1277350357396192</c:v>
                </c:pt>
                <c:pt idx="5">
                  <c:v>1.2063060686015832</c:v>
                </c:pt>
                <c:pt idx="6">
                  <c:v>1.2987012987012987</c:v>
                </c:pt>
                <c:pt idx="7">
                  <c:v>1.3752699228791774</c:v>
                </c:pt>
                <c:pt idx="8">
                  <c:v>1.4897852278679937</c:v>
                </c:pt>
                <c:pt idx="9">
                  <c:v>1.9766739585314819</c:v>
                </c:pt>
              </c:numCache>
            </c:numRef>
          </c:val>
          <c:extLst>
            <c:ext xmlns:c16="http://schemas.microsoft.com/office/drawing/2014/chart" uri="{C3380CC4-5D6E-409C-BE32-E72D297353CC}">
              <c16:uniqueId val="{00000000-C732-46DB-85E4-1D96186E869E}"/>
            </c:ext>
          </c:extLst>
        </c:ser>
        <c:dLbls>
          <c:showLegendKey val="0"/>
          <c:showVal val="0"/>
          <c:showCatName val="0"/>
          <c:showSerName val="0"/>
          <c:showPercent val="0"/>
          <c:showBubbleSize val="0"/>
        </c:dLbls>
        <c:gapWidth val="150"/>
        <c:axId val="394925560"/>
        <c:axId val="394926344"/>
      </c:barChart>
      <c:catAx>
        <c:axId val="39492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6344"/>
        <c:crosses val="autoZero"/>
        <c:auto val="1"/>
        <c:lblAlgn val="ctr"/>
        <c:lblOffset val="100"/>
        <c:noMultiLvlLbl val="0"/>
      </c:catAx>
      <c:valAx>
        <c:axId val="394926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92556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16</Pages>
  <Words>5918</Words>
  <Characters>33736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1020</cp:lastModifiedBy>
  <cp:revision>15</cp:revision>
  <dcterms:created xsi:type="dcterms:W3CDTF">2026-08-12T04:25:00Z</dcterms:created>
  <dcterms:modified xsi:type="dcterms:W3CDTF">2026-08-25T07:00:00Z</dcterms:modified>
</cp:coreProperties>
</file>