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C54C6" w14:textId="77777777" w:rsidR="00387382" w:rsidRPr="00387382" w:rsidRDefault="00387382" w:rsidP="00387382">
      <w:pPr>
        <w:pStyle w:val="Title"/>
        <w:jc w:val="both"/>
        <w:rPr>
          <w:rFonts w:ascii="Arial" w:hAnsi="Arial" w:cs="Arial"/>
          <w:bCs/>
          <w:i/>
          <w:iCs/>
          <w:u w:val="single"/>
        </w:rPr>
      </w:pPr>
      <w:r w:rsidRPr="00387382">
        <w:rPr>
          <w:rFonts w:ascii="Arial" w:hAnsi="Arial" w:cs="Arial"/>
          <w:bCs/>
          <w:i/>
          <w:iCs/>
          <w:u w:val="single"/>
        </w:rPr>
        <w:t>Original Research Article</w:t>
      </w:r>
    </w:p>
    <w:p w14:paraId="0D2D0C2B" w14:textId="77777777" w:rsidR="00754C9A" w:rsidRDefault="00754C9A" w:rsidP="00441B6F">
      <w:pPr>
        <w:pStyle w:val="Title"/>
        <w:spacing w:after="0"/>
        <w:jc w:val="both"/>
        <w:rPr>
          <w:rFonts w:ascii="Arial" w:hAnsi="Arial" w:cs="Arial"/>
        </w:rPr>
      </w:pPr>
    </w:p>
    <w:p w14:paraId="1438981A" w14:textId="77777777" w:rsidR="00163BC4" w:rsidRPr="00163BC4" w:rsidRDefault="004600D5" w:rsidP="00441B6F">
      <w:pPr>
        <w:pStyle w:val="Author"/>
        <w:spacing w:line="240" w:lineRule="auto"/>
        <w:rPr>
          <w:rFonts w:ascii="Arial" w:hAnsi="Arial" w:cs="Arial"/>
          <w:bCs/>
          <w:iCs/>
          <w:kern w:val="28"/>
          <w:sz w:val="36"/>
        </w:rPr>
      </w:pPr>
      <w:r w:rsidRPr="001153D2">
        <w:rPr>
          <w:rFonts w:ascii="Arial" w:hAnsi="Arial" w:cs="Arial"/>
          <w:bCs/>
          <w:sz w:val="36"/>
          <w:szCs w:val="36"/>
        </w:rPr>
        <w:t>Prevalence and Antibiotic Resistance Profiles of Hospital-Acquired and Community-Acquired Methicillin-Resistant </w:t>
      </w:r>
      <w:r w:rsidRPr="004600D5">
        <w:rPr>
          <w:rFonts w:ascii="Arial" w:hAnsi="Arial" w:cs="Arial"/>
          <w:i/>
          <w:iCs/>
          <w:sz w:val="36"/>
          <w:szCs w:val="36"/>
        </w:rPr>
        <w:t>Staphylococcus aureus</w:t>
      </w:r>
      <w:r w:rsidRPr="001153D2">
        <w:rPr>
          <w:rFonts w:ascii="Arial" w:hAnsi="Arial" w:cs="Arial"/>
          <w:bCs/>
          <w:sz w:val="36"/>
          <w:szCs w:val="36"/>
        </w:rPr>
        <w:t> Isolates in Edo State, Nigeria</w:t>
      </w:r>
    </w:p>
    <w:p w14:paraId="5A2FE60D" w14:textId="77777777" w:rsidR="00A258C3" w:rsidRPr="00790ADA" w:rsidRDefault="00A258C3" w:rsidP="00441B6F">
      <w:pPr>
        <w:pStyle w:val="Author"/>
        <w:spacing w:line="240" w:lineRule="auto"/>
        <w:jc w:val="both"/>
        <w:rPr>
          <w:rFonts w:ascii="Arial" w:hAnsi="Arial" w:cs="Arial"/>
          <w:sz w:val="36"/>
        </w:rPr>
      </w:pPr>
    </w:p>
    <w:p w14:paraId="7A995AEF" w14:textId="77777777" w:rsidR="00EB447C" w:rsidRDefault="00EB447C" w:rsidP="00EB447C">
      <w:pPr>
        <w:pStyle w:val="Affiliation"/>
        <w:jc w:val="both"/>
        <w:rPr>
          <w:rFonts w:ascii="Arial" w:hAnsi="Arial" w:cs="Arial"/>
        </w:rPr>
      </w:pPr>
    </w:p>
    <w:p w14:paraId="68427756" w14:textId="77777777" w:rsidR="00261F36" w:rsidRPr="00EB447C" w:rsidRDefault="00261F36" w:rsidP="00EB447C">
      <w:pPr>
        <w:pStyle w:val="Affiliation"/>
        <w:jc w:val="both"/>
        <w:rPr>
          <w:rFonts w:ascii="Arial" w:hAnsi="Arial" w:cs="Arial"/>
        </w:rPr>
      </w:pPr>
    </w:p>
    <w:p w14:paraId="58E90977" w14:textId="77777777" w:rsidR="00EB447C" w:rsidRPr="00FB3A86" w:rsidRDefault="00EB447C" w:rsidP="00441B6F">
      <w:pPr>
        <w:pStyle w:val="Affiliation"/>
        <w:spacing w:after="0" w:line="240" w:lineRule="auto"/>
        <w:jc w:val="both"/>
        <w:rPr>
          <w:rFonts w:ascii="Arial" w:hAnsi="Arial" w:cs="Arial"/>
        </w:rPr>
      </w:pPr>
    </w:p>
    <w:p w14:paraId="7F1CF14B" w14:textId="77777777" w:rsidR="00B01FCD" w:rsidRPr="00FB3A86" w:rsidRDefault="00F9211D" w:rsidP="00441B6F">
      <w:pPr>
        <w:pStyle w:val="Copyright"/>
        <w:spacing w:after="0" w:line="240" w:lineRule="auto"/>
        <w:jc w:val="both"/>
        <w:rPr>
          <w:rFonts w:ascii="Arial" w:hAnsi="Arial" w:cs="Arial"/>
        </w:rPr>
        <w:sectPr w:rsidR="00B01FCD" w:rsidRPr="00FB3A86" w:rsidSect="00EB447C">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79D0086E" wp14:editId="5A1A1CDD">
                <wp:extent cx="5303520" cy="635"/>
                <wp:effectExtent l="11430" t="11430" r="9525" b="17145"/>
                <wp:docPr id="24644607"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4AD23B71"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ZxuAEAAFcDAAAOAAAAZHJzL2Uyb0RvYy54bWysU8Fu2zAMvQ/YPwi6L3ZSZNiMOD2k6y7d&#10;FqDdBzCSbAuVRYFU4uTvJ6lJWmy3oT4IlEg+Pj7Sq9vj6MTBEFv0rZzPaimMV6it71v5++n+0x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" strokeweight="1.5pt">
                <w10:anchorlock/>
              </v:shape>
            </w:pict>
          </mc:Fallback>
        </mc:AlternateContent>
      </w:r>
      <w:r w:rsidR="00FB3A86">
        <w:rPr>
          <w:rFonts w:ascii="Arial" w:hAnsi="Arial" w:cs="Arial"/>
        </w:rPr>
        <w:t>.</w:t>
      </w:r>
    </w:p>
    <w:p w14:paraId="1461CD00" w14:textId="77777777" w:rsidR="004600D5" w:rsidRPr="001153D2" w:rsidRDefault="004600D5" w:rsidP="004600D5">
      <w:pPr>
        <w:spacing w:after="160"/>
        <w:jc w:val="both"/>
        <w:rPr>
          <w:rFonts w:ascii="Arial" w:hAnsi="Arial" w:cs="Arial"/>
          <w:b/>
          <w:bCs/>
          <w:sz w:val="22"/>
          <w:szCs w:val="22"/>
        </w:rPr>
      </w:pPr>
      <w:r w:rsidRPr="001153D2">
        <w:rPr>
          <w:rFonts w:ascii="Arial" w:hAnsi="Arial" w:cs="Arial"/>
          <w:b/>
          <w:bCs/>
          <w:sz w:val="22"/>
          <w:szCs w:val="22"/>
        </w:rPr>
        <w:t>ABSTRACT</w:t>
      </w:r>
    </w:p>
    <w:p w14:paraId="0EB075EC" w14:textId="77777777" w:rsidR="00605C84" w:rsidRDefault="00605C84" w:rsidP="00E43F87">
      <w:pPr>
        <w:pStyle w:val="NormalWeb"/>
        <w:jc w:val="both"/>
      </w:pPr>
      <w:r>
        <w:rPr>
          <w:rStyle w:val="Strong"/>
        </w:rPr>
        <w:t>Background:</w:t>
      </w:r>
      <w:r>
        <w:t xml:space="preserve"> Methicillin-resistant </w:t>
      </w:r>
      <w:r>
        <w:rPr>
          <w:rStyle w:val="Emphasis"/>
        </w:rPr>
        <w:t>Staphylococcus aureus</w:t>
      </w:r>
      <w:r>
        <w:t xml:space="preserve"> (MRSA) is an important antimicrobial-resistant pathogen in hospital and community settings.</w:t>
      </w:r>
    </w:p>
    <w:p w14:paraId="07022B21" w14:textId="77777777" w:rsidR="004600D5" w:rsidRPr="001153D2" w:rsidRDefault="004600D5" w:rsidP="00E43F87">
      <w:pPr>
        <w:jc w:val="both"/>
        <w:rPr>
          <w:rFonts w:ascii="Arial" w:hAnsi="Arial" w:cs="Arial"/>
        </w:rPr>
      </w:pPr>
      <w:r w:rsidRPr="001153D2">
        <w:rPr>
          <w:rFonts w:ascii="Arial" w:hAnsi="Arial" w:cs="Arial"/>
          <w:b/>
          <w:bCs/>
        </w:rPr>
        <w:t>Aims:</w:t>
      </w:r>
      <w:r w:rsidRPr="001153D2">
        <w:rPr>
          <w:rFonts w:ascii="Arial" w:hAnsi="Arial" w:cs="Arial"/>
        </w:rPr>
        <w:t> To determine the prevalence of hospital-acquired MRSA (HA-MRSA) and community-acquired MRSA (CA-MRSA), compare their antibiotic susceptibility patterns, and determine their multiple antibiotic resistance (MAR) indices.</w:t>
      </w:r>
    </w:p>
    <w:p w14:paraId="793D5851" w14:textId="77777777" w:rsidR="004600D5" w:rsidRPr="001153D2" w:rsidRDefault="004600D5" w:rsidP="00E43F87">
      <w:pPr>
        <w:jc w:val="both"/>
        <w:rPr>
          <w:rFonts w:ascii="Arial" w:hAnsi="Arial" w:cs="Arial"/>
        </w:rPr>
      </w:pPr>
      <w:r w:rsidRPr="001153D2">
        <w:rPr>
          <w:rFonts w:ascii="Arial" w:hAnsi="Arial" w:cs="Arial"/>
          <w:b/>
          <w:bCs/>
        </w:rPr>
        <w:t>Study Design:</w:t>
      </w:r>
      <w:r w:rsidRPr="001153D2">
        <w:rPr>
          <w:rFonts w:ascii="Arial" w:hAnsi="Arial" w:cs="Arial"/>
        </w:rPr>
        <w:t> A cross-sectional comparative study.</w:t>
      </w:r>
    </w:p>
    <w:p w14:paraId="417218A2" w14:textId="77777777" w:rsidR="004600D5" w:rsidRPr="001153D2" w:rsidRDefault="004600D5" w:rsidP="00E43F87">
      <w:pPr>
        <w:jc w:val="both"/>
        <w:rPr>
          <w:rFonts w:ascii="Arial" w:hAnsi="Arial" w:cs="Arial"/>
        </w:rPr>
      </w:pPr>
      <w:r w:rsidRPr="001153D2">
        <w:rPr>
          <w:rFonts w:ascii="Arial" w:hAnsi="Arial" w:cs="Arial"/>
          <w:b/>
          <w:bCs/>
        </w:rPr>
        <w:t>Place and Duration of Study:</w:t>
      </w:r>
      <w:r w:rsidRPr="001153D2">
        <w:rPr>
          <w:rFonts w:ascii="Arial" w:hAnsi="Arial" w:cs="Arial"/>
        </w:rPr>
        <w:t xml:space="preserve"> Irrua Specialist Teaching Hospital (ISTH), Irrua, and </w:t>
      </w:r>
      <w:proofErr w:type="spellStart"/>
      <w:r w:rsidRPr="001153D2">
        <w:rPr>
          <w:rFonts w:ascii="Arial" w:hAnsi="Arial" w:cs="Arial"/>
        </w:rPr>
        <w:t>Ekpoma</w:t>
      </w:r>
      <w:proofErr w:type="spellEnd"/>
      <w:r w:rsidRPr="001153D2">
        <w:rPr>
          <w:rFonts w:ascii="Arial" w:hAnsi="Arial" w:cs="Arial"/>
        </w:rPr>
        <w:t xml:space="preserve"> community, Edo State, Nigeria, </w:t>
      </w:r>
      <w:r>
        <w:rPr>
          <w:rFonts w:ascii="Arial" w:hAnsi="Arial" w:cs="Arial"/>
          <w:highlight w:val="yellow"/>
        </w:rPr>
        <w:t>from January to July 2023</w:t>
      </w:r>
      <w:r>
        <w:rPr>
          <w:rFonts w:ascii="Arial" w:hAnsi="Arial" w:cs="Arial"/>
        </w:rPr>
        <w:t>.</w:t>
      </w:r>
    </w:p>
    <w:p w14:paraId="5127C668" w14:textId="77777777" w:rsidR="004600D5" w:rsidRPr="001153D2" w:rsidRDefault="004600D5" w:rsidP="00E43F87">
      <w:pPr>
        <w:jc w:val="both"/>
        <w:rPr>
          <w:rFonts w:ascii="Arial" w:hAnsi="Arial" w:cs="Arial"/>
        </w:rPr>
      </w:pPr>
      <w:r w:rsidRPr="001153D2">
        <w:rPr>
          <w:rFonts w:ascii="Arial" w:hAnsi="Arial" w:cs="Arial"/>
          <w:b/>
          <w:bCs/>
        </w:rPr>
        <w:t>Methodology:</w:t>
      </w:r>
      <w:r w:rsidRPr="001153D2">
        <w:rPr>
          <w:rFonts w:ascii="Arial" w:hAnsi="Arial" w:cs="Arial"/>
        </w:rPr>
        <w:t> </w:t>
      </w:r>
      <w:r>
        <w:rPr>
          <w:rFonts w:ascii="Arial" w:hAnsi="Arial" w:cs="Arial"/>
          <w:highlight w:val="yellow"/>
        </w:rPr>
        <w:t>A total of 620 samples were collected</w:t>
      </w:r>
      <w:r>
        <w:rPr>
          <w:rFonts w:ascii="Arial" w:hAnsi="Arial" w:cs="Arial"/>
        </w:rPr>
        <w:t xml:space="preserve">, including </w:t>
      </w:r>
      <w:r>
        <w:rPr>
          <w:rFonts w:ascii="Arial" w:hAnsi="Arial" w:cs="Arial"/>
          <w:highlight w:val="yellow"/>
        </w:rPr>
        <w:t>310 nasal swab, wound swab, and fomite samples</w:t>
      </w:r>
      <w:r>
        <w:rPr>
          <w:rFonts w:ascii="Arial" w:hAnsi="Arial" w:cs="Arial"/>
        </w:rPr>
        <w:t xml:space="preserve"> from doctors, nurses, patients, cleaners, and fomites in </w:t>
      </w:r>
      <w:r>
        <w:rPr>
          <w:rFonts w:ascii="Arial" w:hAnsi="Arial" w:cs="Arial"/>
          <w:highlight w:val="yellow"/>
        </w:rPr>
        <w:t>14 departments</w:t>
      </w:r>
      <w:r>
        <w:rPr>
          <w:rFonts w:ascii="Arial" w:hAnsi="Arial" w:cs="Arial"/>
        </w:rPr>
        <w:t xml:space="preserve"> of ISTH, as well as 310 nasal swabs from apparently healthy </w:t>
      </w:r>
      <w:r>
        <w:rPr>
          <w:rFonts w:ascii="Arial" w:hAnsi="Arial" w:cs="Arial"/>
          <w:highlight w:val="yellow"/>
        </w:rPr>
        <w:t xml:space="preserve">individuals in </w:t>
      </w:r>
      <w:proofErr w:type="spellStart"/>
      <w:r w:rsidRPr="001153D2">
        <w:rPr>
          <w:rFonts w:ascii="Arial" w:hAnsi="Arial" w:cs="Arial"/>
        </w:rPr>
        <w:t>Ekpoma</w:t>
      </w:r>
      <w:proofErr w:type="spellEnd"/>
      <w:r w:rsidRPr="001153D2">
        <w:rPr>
          <w:rFonts w:ascii="Arial" w:hAnsi="Arial" w:cs="Arial"/>
        </w:rPr>
        <w:t xml:space="preserve"> community. The samples were cultured on Mannitol Salt Agar and isolates </w:t>
      </w:r>
      <w:r>
        <w:rPr>
          <w:rFonts w:ascii="Arial" w:hAnsi="Arial" w:cs="Arial"/>
          <w:highlight w:val="yellow"/>
        </w:rPr>
        <w:t xml:space="preserve">presumptively identified as </w:t>
      </w:r>
      <w:r>
        <w:rPr>
          <w:rFonts w:ascii="Arial" w:hAnsi="Arial" w:cs="Arial"/>
          <w:i/>
        </w:rPr>
        <w:t>Staphylococcus aureus</w:t>
      </w:r>
      <w:r>
        <w:rPr>
          <w:rFonts w:ascii="Arial" w:hAnsi="Arial" w:cs="Arial"/>
        </w:rPr>
        <w:t xml:space="preserve"> were </w:t>
      </w:r>
      <w:r>
        <w:rPr>
          <w:rFonts w:ascii="Arial" w:hAnsi="Arial" w:cs="Arial"/>
          <w:highlight w:val="yellow"/>
        </w:rPr>
        <w:t>tested</w:t>
      </w:r>
      <w:r w:rsidRPr="001153D2">
        <w:rPr>
          <w:rFonts w:ascii="Arial" w:hAnsi="Arial" w:cs="Arial"/>
        </w:rPr>
        <w:t xml:space="preserve"> on Oxacillin Resistant Screening Agar Base using 1 </w:t>
      </w:r>
      <w:proofErr w:type="spellStart"/>
      <w:r w:rsidRPr="001153D2">
        <w:rPr>
          <w:rFonts w:ascii="Arial" w:hAnsi="Arial" w:cs="Arial"/>
        </w:rPr>
        <w:t>μg</w:t>
      </w:r>
      <w:proofErr w:type="spellEnd"/>
      <w:r w:rsidRPr="001153D2">
        <w:rPr>
          <w:rFonts w:ascii="Arial" w:hAnsi="Arial" w:cs="Arial"/>
        </w:rPr>
        <w:t xml:space="preserve"> oxacillin </w:t>
      </w:r>
      <w:r>
        <w:rPr>
          <w:rFonts w:ascii="Arial" w:hAnsi="Arial" w:cs="Arial"/>
          <w:highlight w:val="yellow"/>
        </w:rPr>
        <w:t>discs</w:t>
      </w:r>
      <w:r>
        <w:rPr>
          <w:rFonts w:ascii="Arial" w:hAnsi="Arial" w:cs="Arial"/>
        </w:rPr>
        <w:t xml:space="preserve"> for confirmation. </w:t>
      </w:r>
      <w:r>
        <w:rPr>
          <w:rFonts w:ascii="Arial" w:hAnsi="Arial" w:cs="Arial"/>
          <w:highlight w:val="yellow"/>
        </w:rPr>
        <w:t>Susceptibility testing was conducted using the Kirby–Bauer disc diffusion method for</w:t>
      </w:r>
      <w:r>
        <w:rPr>
          <w:rFonts w:ascii="Arial" w:hAnsi="Arial" w:cs="Arial"/>
        </w:rPr>
        <w:t xml:space="preserve"> vancomycin, linezolid, cloxacillin, ciprofloxacin, gentamicin, tetracycline, and erythromycin.</w:t>
      </w:r>
    </w:p>
    <w:p w14:paraId="7DF36F86" w14:textId="77777777" w:rsidR="004600D5" w:rsidRPr="001153D2" w:rsidRDefault="004600D5" w:rsidP="00E43F87">
      <w:pPr>
        <w:jc w:val="both"/>
        <w:rPr>
          <w:rFonts w:ascii="Arial" w:hAnsi="Arial" w:cs="Arial"/>
        </w:rPr>
      </w:pPr>
      <w:r w:rsidRPr="001153D2">
        <w:rPr>
          <w:rFonts w:ascii="Arial" w:hAnsi="Arial" w:cs="Arial"/>
          <w:b/>
          <w:bCs/>
        </w:rPr>
        <w:t>Results:</w:t>
      </w:r>
      <w:r w:rsidRPr="001153D2">
        <w:rPr>
          <w:rFonts w:ascii="Arial" w:hAnsi="Arial" w:cs="Arial"/>
        </w:rPr>
        <w:t> </w:t>
      </w:r>
      <w:r>
        <w:rPr>
          <w:rFonts w:ascii="Arial" w:hAnsi="Arial" w:cs="Arial"/>
          <w:highlight w:val="yellow"/>
        </w:rPr>
        <w:t>The overall MRSA prevalence was</w:t>
      </w:r>
      <w:r>
        <w:rPr>
          <w:rFonts w:ascii="Arial" w:hAnsi="Arial" w:cs="Arial"/>
        </w:rPr>
        <w:t xml:space="preserve"> 22% (133/620), </w:t>
      </w:r>
      <w:r>
        <w:rPr>
          <w:rFonts w:ascii="Arial" w:hAnsi="Arial" w:cs="Arial"/>
          <w:highlight w:val="yellow"/>
        </w:rPr>
        <w:t>with HA-MRSA prevalence at</w:t>
      </w:r>
      <w:r>
        <w:rPr>
          <w:rFonts w:ascii="Arial" w:hAnsi="Arial" w:cs="Arial"/>
        </w:rPr>
        <w:t xml:space="preserve"> 27% (82/310) </w:t>
      </w:r>
      <w:r>
        <w:rPr>
          <w:rFonts w:ascii="Arial" w:hAnsi="Arial" w:cs="Arial"/>
          <w:highlight w:val="yellow"/>
        </w:rPr>
        <w:t>and CA-MRSA prevalence at</w:t>
      </w:r>
      <w:r>
        <w:rPr>
          <w:rFonts w:ascii="Arial" w:hAnsi="Arial" w:cs="Arial"/>
        </w:rPr>
        <w:t xml:space="preserve"> 17% (51/310). Fomites yielded the highest HA-MRSA proportion (32%), followed by cleaners (24%), nurses (19%), patients (13%), and doctors (12%). Markets (30%) and motor parks (27%) had the highest CA-MRSA prevalence. All isolates (100%) were sensitive to vancomycin and linezolid, while 96% of both groups were resistant to cloxacillin. HA-MRSA showed higher resistance to ciprofloxacin (41% vs 20%), gentamicin (45% vs 35%), and erythromycin (26% vs 6%) compared to CA-MRSA. MAR index ranged from 0.2–0.4 for HA-MRSA and 0.1–0.2 for CA-MRSA.</w:t>
      </w:r>
    </w:p>
    <w:p w14:paraId="7F0A6F85" w14:textId="77777777" w:rsidR="00636EB2" w:rsidRDefault="004600D5" w:rsidP="00E43F87">
      <w:pPr>
        <w:pStyle w:val="Body"/>
        <w:spacing w:after="0"/>
        <w:rPr>
          <w:rFonts w:ascii="Arial" w:hAnsi="Arial" w:cs="Arial"/>
        </w:rPr>
      </w:pPr>
      <w:r w:rsidRPr="001153D2">
        <w:rPr>
          <w:rFonts w:ascii="Arial" w:hAnsi="Arial" w:cs="Arial"/>
          <w:b/>
          <w:bCs/>
        </w:rPr>
        <w:t>Conclusion:</w:t>
      </w:r>
      <w:r w:rsidRPr="001153D2">
        <w:rPr>
          <w:rFonts w:ascii="Arial" w:hAnsi="Arial" w:cs="Arial"/>
        </w:rPr>
        <w:t xml:space="preserve"> HA-MRSA isolates exhibited higher antibiotic resistance and MAR indices than CA-MRSA, indicating antibiotic overuse in hospital settings. </w:t>
      </w:r>
      <w:r>
        <w:rPr>
          <w:rFonts w:ascii="Arial" w:hAnsi="Arial" w:cs="Arial"/>
          <w:highlight w:val="yellow"/>
        </w:rPr>
        <w:t>Strengthened antibiotic stewardship and infection-control measures are advocated.</w:t>
      </w:r>
    </w:p>
    <w:p w14:paraId="4E654DA8" w14:textId="77777777" w:rsidR="004600D5" w:rsidRDefault="004600D5" w:rsidP="004600D5">
      <w:pPr>
        <w:pStyle w:val="Body"/>
        <w:spacing w:after="0"/>
        <w:rPr>
          <w:rFonts w:ascii="Arial" w:hAnsi="Arial" w:cs="Arial"/>
          <w:i/>
        </w:rPr>
      </w:pPr>
    </w:p>
    <w:p w14:paraId="1F61081D" w14:textId="4A2883E1" w:rsidR="00A24E7E" w:rsidRDefault="008E5F54" w:rsidP="00441B6F">
      <w:pPr>
        <w:pStyle w:val="Body"/>
        <w:spacing w:after="0"/>
        <w:rPr>
          <w:rFonts w:ascii="Arial" w:hAnsi="Arial" w:cs="Arial"/>
          <w:i/>
        </w:rPr>
      </w:pPr>
      <w:r w:rsidRPr="008E5F54">
        <w:rPr>
          <w:rFonts w:ascii="Arial" w:hAnsi="Arial" w:cs="Arial"/>
          <w:b/>
          <w:bCs/>
          <w:i/>
        </w:rPr>
        <w:lastRenderedPageBreak/>
        <w:t>Keywords:</w:t>
      </w:r>
      <w:r w:rsidRPr="008E5F54">
        <w:rPr>
          <w:rFonts w:ascii="Arial" w:hAnsi="Arial" w:cs="Arial"/>
          <w:i/>
        </w:rPr>
        <w:t xml:space="preserve"> </w:t>
      </w:r>
      <w:r w:rsidR="00A84979">
        <w:t>Methicillin-resistant Staphylococcus aureus; hospital-acquired MRSA; community-acquired MRSA; antimicrobial resistance; nasal carriage; antibiotic susceptibility; antibiogram; multiple antibiotic resistance index</w:t>
      </w:r>
    </w:p>
    <w:p w14:paraId="68811175" w14:textId="77777777" w:rsidR="00790ADA" w:rsidRDefault="00790ADA" w:rsidP="00441B6F">
      <w:pPr>
        <w:pStyle w:val="Body"/>
        <w:spacing w:after="0"/>
        <w:rPr>
          <w:rFonts w:ascii="Arial" w:hAnsi="Arial" w:cs="Arial"/>
          <w:i/>
        </w:rPr>
      </w:pPr>
    </w:p>
    <w:p w14:paraId="3A8795F0" w14:textId="77777777" w:rsidR="0024282C" w:rsidRDefault="0024282C" w:rsidP="00441B6F">
      <w:pPr>
        <w:pStyle w:val="Body"/>
        <w:spacing w:after="0"/>
        <w:rPr>
          <w:rFonts w:ascii="Arial" w:hAnsi="Arial" w:cs="Arial"/>
          <w:i/>
          <w:sz w:val="18"/>
        </w:rPr>
      </w:pPr>
    </w:p>
    <w:p w14:paraId="7E8FE942" w14:textId="77777777" w:rsidR="00505F06" w:rsidRPr="00A24E7E" w:rsidRDefault="00505F06" w:rsidP="00441B6F">
      <w:pPr>
        <w:pStyle w:val="Body"/>
        <w:spacing w:after="0"/>
        <w:rPr>
          <w:rFonts w:ascii="Arial" w:hAnsi="Arial" w:cs="Arial"/>
          <w:i/>
        </w:rPr>
      </w:pPr>
    </w:p>
    <w:p w14:paraId="71F47758" w14:textId="77777777" w:rsidR="007F7B32" w:rsidRDefault="00902823" w:rsidP="00441B6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r w:rsidR="007F7B32">
        <w:rPr>
          <w:rFonts w:ascii="Arial" w:hAnsi="Arial" w:cs="Arial"/>
        </w:rPr>
        <w:t xml:space="preserve"> </w:t>
      </w:r>
    </w:p>
    <w:p w14:paraId="4A935A3D" w14:textId="77777777" w:rsidR="00790ADA" w:rsidRPr="00FB3A86" w:rsidRDefault="00790ADA" w:rsidP="00441B6F">
      <w:pPr>
        <w:pStyle w:val="AbstHead"/>
        <w:spacing w:after="0"/>
        <w:jc w:val="both"/>
        <w:rPr>
          <w:rFonts w:ascii="Arial" w:hAnsi="Arial" w:cs="Arial"/>
        </w:rPr>
      </w:pPr>
    </w:p>
    <w:p w14:paraId="31609301" w14:textId="3F76BA8C" w:rsidR="00055BD4" w:rsidRPr="00CA2F00" w:rsidRDefault="004600D5" w:rsidP="00CA2F00">
      <w:pPr>
        <w:spacing w:after="240"/>
        <w:jc w:val="both"/>
        <w:rPr>
          <w:bCs/>
        </w:rPr>
      </w:pPr>
      <w:r>
        <w:t xml:space="preserve">Methicillin-resistant </w:t>
      </w:r>
      <w:r>
        <w:rPr>
          <w:i/>
        </w:rPr>
        <w:t>Staphylococcus aureus</w:t>
      </w:r>
      <w:r>
        <w:t xml:space="preserve"> (MRSA) is an important antimicrobial-resistant pathogen </w:t>
      </w:r>
      <w:r>
        <w:rPr>
          <w:highlight w:val="yellow"/>
        </w:rPr>
        <w:t>characterised</w:t>
      </w:r>
      <w:r>
        <w:t xml:space="preserve"> phenotypically by resistance to methicillin and other beta-lactam agents. Resistance is commonly mediated by mecA, which encodes penicillin-binding protein 2a (PBP2a), although phenotypic susceptibility testing alone does not establish the presence of mecA. MRSA causes difficult-to-treat infections, including </w:t>
      </w:r>
      <w:r>
        <w:rPr>
          <w:highlight w:val="yellow"/>
        </w:rPr>
        <w:t>bacteraemia</w:t>
      </w:r>
      <w:r>
        <w:t xml:space="preserve">, pneumonia, endocarditis, and surgical-site infections. MRSA remains a major public-health concern, and the World Health Organization continues to classify methicillin-resistant </w:t>
      </w:r>
      <w:r>
        <w:rPr>
          <w:i/>
        </w:rPr>
        <w:t>S. aureus</w:t>
      </w:r>
      <w:r>
        <w:t xml:space="preserve"> among high-priority antibiotic-resistant pathogens (WHO, 2024). Recent Nigerian surveillance and studies also demonstrate substantial resistance among S. aureus and MRSA isolates, supporting continued local surveillance (</w:t>
      </w:r>
      <w:proofErr w:type="spellStart"/>
      <w:r>
        <w:t>Adeiza</w:t>
      </w:r>
      <w:proofErr w:type="spellEnd"/>
      <w:r>
        <w:t xml:space="preserve"> </w:t>
      </w:r>
      <w:r w:rsidR="00CD12AA" w:rsidRPr="00CD12AA">
        <w:rPr>
          <w:i/>
          <w:iCs/>
        </w:rPr>
        <w:t>et al</w:t>
      </w:r>
      <w:r>
        <w:t xml:space="preserve">., 2020; Iheanacho &amp; Eze, 2022; Ezeh </w:t>
      </w:r>
      <w:r w:rsidR="00CD12AA" w:rsidRPr="00CD12AA">
        <w:rPr>
          <w:i/>
          <w:iCs/>
        </w:rPr>
        <w:t>et al</w:t>
      </w:r>
      <w:r>
        <w:t>., 2023).</w:t>
      </w:r>
      <w:r w:rsidR="00CA2F00">
        <w:t xml:space="preserve"> </w:t>
      </w:r>
      <w:r w:rsidRPr="00CA2F00">
        <w:rPr>
          <w:bCs/>
          <w:highlight w:val="yellow"/>
        </w:rPr>
        <w:t>A recent clinical review also emphasises the importance of MRSA colonisation, infection prevention, and susceptibility-informed management (Parsons et al., 2026).</w:t>
      </w:r>
    </w:p>
    <w:p w14:paraId="179BB06F" w14:textId="584D1383" w:rsidR="00055BD4" w:rsidRPr="00853ECC" w:rsidRDefault="004600D5" w:rsidP="00853ECC">
      <w:pPr>
        <w:spacing w:after="240"/>
        <w:jc w:val="both"/>
        <w:rPr>
          <w:bCs/>
        </w:rPr>
      </w:pPr>
      <w:r>
        <w:t xml:space="preserve">The epidemiology of MRSA has evolved considerably. Although MRSA was historically </w:t>
      </w:r>
      <w:r>
        <w:rPr>
          <w:highlight w:val="yellow"/>
        </w:rPr>
        <w:t>associated primarily with healthcare settings</w:t>
      </w:r>
      <w:r>
        <w:t xml:space="preserve">, community-associated MRSA is also established among people without recent healthcare exposure. Hospital- and community-associated strains may differ in epidemiology and resistance patterns, although these categories cannot be assigned to specific genetic lineages without molecular </w:t>
      </w:r>
      <w:r>
        <w:rPr>
          <w:highlight w:val="yellow"/>
        </w:rPr>
        <w:t>characterisation</w:t>
      </w:r>
      <w:r>
        <w:t>. Therefore, the present study uses HA-MRSA and CA-MRSA as epidemiological categories based on the sampling settings and participant characteristics rather than as molecularly defined strain types.</w:t>
      </w:r>
      <w:r w:rsidR="00853ECC">
        <w:t xml:space="preserve"> </w:t>
      </w:r>
      <w:r w:rsidRPr="00853ECC">
        <w:rPr>
          <w:bCs/>
          <w:highlight w:val="yellow"/>
        </w:rPr>
        <w:t>An African systematic review of asymptomatic MRSA carriage identified differences among healthcare workers, hospitalised patients, and community populations, supporting careful interpretation of setting-specific carriage estimates (Azzam et al., 2025).</w:t>
      </w:r>
    </w:p>
    <w:p w14:paraId="193CDF8B" w14:textId="06E79C3A" w:rsidR="004600D5" w:rsidRPr="001153D2" w:rsidRDefault="00000000" w:rsidP="00B70B14">
      <w:pPr>
        <w:keepLines/>
        <w:spacing w:after="240"/>
        <w:jc w:val="both"/>
        <w:rPr>
          <w:rFonts w:ascii="Arial" w:hAnsi="Arial" w:cs="Arial"/>
        </w:rPr>
      </w:pPr>
      <w:r w:rsidRPr="003D5CF5">
        <w:rPr>
          <w:bCs/>
          <w:highlight w:val="yellow"/>
        </w:rPr>
        <w:t>A study comparing phenotypic screening with mecA detection in bovine MRSA isolates also illustrates the importance of distinguishing culture-based identification from molecular confirmation (Diwakar et al., 2026).</w:t>
      </w:r>
      <w:r w:rsidR="00B70B14">
        <w:rPr>
          <w:bCs/>
          <w:highlight w:val="yellow"/>
        </w:rPr>
        <w:t xml:space="preserve"> </w:t>
      </w:r>
      <w:r w:rsidR="004600D5">
        <w:rPr>
          <w:highlight w:val="yellow"/>
        </w:rPr>
        <w:t>In Nigeria and across Africa</w:t>
      </w:r>
      <w:r w:rsidR="004600D5">
        <w:t xml:space="preserve">, MRSA prevalence varies by setting, population, specimen type, and detection method. A Nigerian systematic review reported substantial regional variation, </w:t>
      </w:r>
      <w:r w:rsidR="004600D5">
        <w:rPr>
          <w:highlight w:val="yellow"/>
        </w:rPr>
        <w:t>whereas more recent national</w:t>
      </w:r>
      <w:r w:rsidR="004600D5">
        <w:t xml:space="preserve"> and multicentre studies continue to document high levels of antimicrobial resistance among </w:t>
      </w:r>
      <w:r w:rsidR="004600D5">
        <w:rPr>
          <w:i/>
        </w:rPr>
        <w:t>S. aureus</w:t>
      </w:r>
      <w:r w:rsidR="004600D5">
        <w:t xml:space="preserve"> isolates (Abubakar &amp; Sulaiman, 2018; </w:t>
      </w:r>
      <w:proofErr w:type="spellStart"/>
      <w:r w:rsidR="004600D5">
        <w:t>Adeiza</w:t>
      </w:r>
      <w:proofErr w:type="spellEnd"/>
      <w:r w:rsidR="004600D5">
        <w:t xml:space="preserve"> </w:t>
      </w:r>
      <w:r w:rsidR="00CD12AA" w:rsidRPr="00CD12AA">
        <w:rPr>
          <w:i/>
          <w:iCs/>
        </w:rPr>
        <w:t>et al</w:t>
      </w:r>
      <w:r w:rsidR="004600D5">
        <w:t xml:space="preserve">., 2020; Ezeh </w:t>
      </w:r>
      <w:r w:rsidR="00CD12AA" w:rsidRPr="00CD12AA">
        <w:rPr>
          <w:i/>
          <w:iCs/>
        </w:rPr>
        <w:t>et al</w:t>
      </w:r>
      <w:r w:rsidR="004600D5">
        <w:t xml:space="preserve">., 2023). A recent African systematic review and meta-analysis likewise found a substantial pooled proportion of MRSA and emphasized the need for continued surveillance and infection-control interventions (Azzam </w:t>
      </w:r>
      <w:r w:rsidR="00CD12AA" w:rsidRPr="00CD12AA">
        <w:rPr>
          <w:i/>
          <w:iCs/>
        </w:rPr>
        <w:t>et al</w:t>
      </w:r>
      <w:r w:rsidR="004600D5">
        <w:t>., 2026). However, data directly comparing hospital- and community-associated MRSA in Edo State remain limited.</w:t>
      </w:r>
    </w:p>
    <w:p w14:paraId="57F22B84" w14:textId="6EA27062" w:rsidR="004600D5" w:rsidRPr="001153D2" w:rsidRDefault="00000000" w:rsidP="004B32E9">
      <w:pPr>
        <w:keepLines/>
        <w:spacing w:after="240"/>
        <w:jc w:val="both"/>
        <w:rPr>
          <w:rFonts w:ascii="Arial" w:hAnsi="Arial" w:cs="Arial"/>
        </w:rPr>
      </w:pPr>
      <w:r w:rsidRPr="00EF1AA7">
        <w:rPr>
          <w:bCs/>
          <w:highlight w:val="yellow"/>
        </w:rPr>
        <w:lastRenderedPageBreak/>
        <w:t>A hospital-based investigation in northeastern Nigeria also documented MRSA in clinical samples and assessed the antimicrobial susceptibility of the recovered isolates (Bilyaminu et al., 2025).</w:t>
      </w:r>
      <w:r w:rsidR="00EF1AA7" w:rsidRPr="00EF1AA7">
        <w:rPr>
          <w:bCs/>
          <w:highlight w:val="yellow"/>
        </w:rPr>
        <w:t xml:space="preserve"> </w:t>
      </w:r>
      <w:r w:rsidRPr="00EF1AA7">
        <w:rPr>
          <w:bCs/>
          <w:highlight w:val="yellow"/>
        </w:rPr>
        <w:t xml:space="preserve">A separate </w:t>
      </w:r>
      <w:proofErr w:type="spellStart"/>
      <w:r w:rsidRPr="00EF1AA7">
        <w:rPr>
          <w:bCs/>
          <w:highlight w:val="yellow"/>
        </w:rPr>
        <w:t>multicentre</w:t>
      </w:r>
      <w:proofErr w:type="spellEnd"/>
      <w:r w:rsidRPr="00EF1AA7">
        <w:rPr>
          <w:bCs/>
          <w:highlight w:val="yellow"/>
        </w:rPr>
        <w:t xml:space="preserve"> investigation in Enugu combined antimicrobial susceptibility testing, MAR index assessment, and mecA detection to characterise MRSA among hospitalised patients (Ann et al., 2026).</w:t>
      </w:r>
      <w:r w:rsidR="004B32E9">
        <w:rPr>
          <w:bCs/>
        </w:rPr>
        <w:t xml:space="preserve"> </w:t>
      </w:r>
      <w:r w:rsidR="004600D5">
        <w:t xml:space="preserve">The clinical implications of MRSA include prolonged illness, increased healthcare </w:t>
      </w:r>
      <w:r w:rsidR="004600D5">
        <w:rPr>
          <w:highlight w:val="yellow"/>
        </w:rPr>
        <w:t>utilisation</w:t>
      </w:r>
      <w:r w:rsidR="004600D5">
        <w:t xml:space="preserve">, and limited therapeutic options. Antimicrobial susceptibility testing is therefore important for guiding treatment and surveillance. </w:t>
      </w:r>
      <w:r w:rsidR="004600D5">
        <w:rPr>
          <w:highlight w:val="yellow"/>
        </w:rPr>
        <w:t>The multiple antibiotic resistance (MAR) index</w:t>
      </w:r>
      <w:r w:rsidR="004600D5">
        <w:t xml:space="preserve"> is also used as an indicator of the extent of resistance among isolates and can help identify settings </w:t>
      </w:r>
      <w:r w:rsidR="004600D5">
        <w:rPr>
          <w:highlight w:val="yellow"/>
        </w:rPr>
        <w:t>where resistant organisms may frequently be encountered</w:t>
      </w:r>
      <w:r w:rsidR="004600D5">
        <w:t xml:space="preserve"> (Krumperman, 1983). However, a high MAR index should be interpreted as a marker of resistance burden and should not, by itself, be taken as direct evidence of antibiotic misuse or overprescribing.</w:t>
      </w:r>
    </w:p>
    <w:p w14:paraId="007C3CFA" w14:textId="77777777" w:rsidR="00B01FCD" w:rsidRDefault="004600D5" w:rsidP="004600D5">
      <w:pPr>
        <w:pStyle w:val="Body"/>
        <w:spacing w:after="0"/>
        <w:rPr>
          <w:rFonts w:ascii="Arial" w:hAnsi="Arial" w:cs="Arial"/>
        </w:rPr>
      </w:pPr>
      <w:r>
        <w:t xml:space="preserve">Although the clinical importance of MRSA is well </w:t>
      </w:r>
      <w:r>
        <w:rPr>
          <w:highlight w:val="yellow"/>
        </w:rPr>
        <w:t>recognised</w:t>
      </w:r>
      <w:r>
        <w:t xml:space="preserve">, </w:t>
      </w:r>
      <w:r>
        <w:rPr>
          <w:highlight w:val="yellow"/>
        </w:rPr>
        <w:t>there is limited literature comparing</w:t>
      </w:r>
      <w:r>
        <w:t xml:space="preserve"> HA-MRSA and CA-MRSA in Edo State, Nigeria. The present study </w:t>
      </w:r>
      <w:r>
        <w:rPr>
          <w:highlight w:val="yellow"/>
        </w:rPr>
        <w:t>was conducted to determine</w:t>
      </w:r>
      <w:r>
        <w:t xml:space="preserve"> the prevalence, antibiotic resistance profile, and MAR index of phenotypically detected HA-MRSA and CA-MRSA from ISTH and the Ekpoma community. The objectives were to determine the prevalence of HA-MRSA among samples obtained at ISTH, determine the prevalence of CA-MRSA among apparently healthy individuals in Ekpoma, compare the antibiotic susceptibility profiles of the two groups, and determine their MAR indices.</w:t>
      </w:r>
    </w:p>
    <w:p w14:paraId="393BE404" w14:textId="77777777" w:rsidR="00790ADA" w:rsidRPr="00FB3A86" w:rsidRDefault="00790ADA" w:rsidP="00441B6F">
      <w:pPr>
        <w:pStyle w:val="Body"/>
        <w:spacing w:after="0"/>
        <w:rPr>
          <w:rFonts w:ascii="Arial" w:hAnsi="Arial" w:cs="Arial"/>
        </w:rPr>
      </w:pPr>
    </w:p>
    <w:p w14:paraId="49A732D6" w14:textId="77777777" w:rsidR="007F7B32" w:rsidRDefault="00902823" w:rsidP="00441B6F">
      <w:pPr>
        <w:pStyle w:val="AbstHead"/>
        <w:spacing w:after="0"/>
        <w:jc w:val="both"/>
        <w:rPr>
          <w:rFonts w:ascii="Arial" w:hAnsi="Arial" w:cs="Arial"/>
        </w:rPr>
      </w:pPr>
      <w:r>
        <w:rPr>
          <w:rFonts w:ascii="Arial" w:hAnsi="Arial" w:cs="Arial"/>
        </w:rPr>
        <w:t>2. material and method</w:t>
      </w:r>
      <w:r w:rsidR="00000F8F">
        <w:rPr>
          <w:rFonts w:ascii="Arial" w:hAnsi="Arial" w:cs="Arial"/>
        </w:rPr>
        <w:t xml:space="preserve">s </w:t>
      </w:r>
    </w:p>
    <w:p w14:paraId="2E5628B0" w14:textId="77777777" w:rsidR="00790ADA" w:rsidRPr="00FB3A86" w:rsidRDefault="00790ADA" w:rsidP="00441B6F">
      <w:pPr>
        <w:pStyle w:val="AbstHead"/>
        <w:spacing w:after="0"/>
        <w:jc w:val="both"/>
        <w:rPr>
          <w:rFonts w:ascii="Arial" w:hAnsi="Arial" w:cs="Arial"/>
        </w:rPr>
      </w:pPr>
    </w:p>
    <w:p w14:paraId="3A63C5D3" w14:textId="77777777" w:rsidR="004600D5" w:rsidRPr="001153D2" w:rsidRDefault="004600D5" w:rsidP="004600D5">
      <w:pPr>
        <w:jc w:val="both"/>
        <w:rPr>
          <w:rFonts w:ascii="Arial" w:hAnsi="Arial" w:cs="Arial"/>
          <w:b/>
          <w:bCs/>
        </w:rPr>
      </w:pPr>
      <w:r w:rsidRPr="001153D2">
        <w:rPr>
          <w:rFonts w:ascii="Arial" w:hAnsi="Arial" w:cs="Arial"/>
          <w:b/>
          <w:bCs/>
        </w:rPr>
        <w:t>2.1 Study Area and Population</w:t>
      </w:r>
    </w:p>
    <w:p w14:paraId="20A8F9FC" w14:textId="77777777" w:rsidR="004600D5" w:rsidRPr="001153D2" w:rsidRDefault="004600D5" w:rsidP="004600D5">
      <w:pPr>
        <w:spacing w:after="240"/>
        <w:jc w:val="both"/>
        <w:rPr>
          <w:rFonts w:ascii="Arial" w:hAnsi="Arial" w:cs="Arial"/>
        </w:rPr>
      </w:pPr>
      <w:r w:rsidRPr="001153D2">
        <w:rPr>
          <w:rFonts w:ascii="Arial" w:hAnsi="Arial" w:cs="Arial"/>
        </w:rPr>
        <w:t xml:space="preserve">The study was carried out in </w:t>
      </w:r>
      <w:proofErr w:type="spellStart"/>
      <w:r w:rsidRPr="001153D2">
        <w:rPr>
          <w:rFonts w:ascii="Arial" w:hAnsi="Arial" w:cs="Arial"/>
        </w:rPr>
        <w:t>Ekpoma</w:t>
      </w:r>
      <w:proofErr w:type="spellEnd"/>
      <w:r w:rsidRPr="001153D2">
        <w:rPr>
          <w:rFonts w:ascii="Arial" w:hAnsi="Arial" w:cs="Arial"/>
        </w:rPr>
        <w:t xml:space="preserve"> community and Irrua Specialist Teaching Hospital (ISTH), Irrua, Edo State, Nigeria. </w:t>
      </w:r>
      <w:proofErr w:type="spellStart"/>
      <w:r w:rsidRPr="001153D2">
        <w:rPr>
          <w:rFonts w:ascii="Arial" w:hAnsi="Arial" w:cs="Arial"/>
        </w:rPr>
        <w:t>Ekpoma</w:t>
      </w:r>
      <w:proofErr w:type="spellEnd"/>
      <w:r w:rsidRPr="001153D2">
        <w:rPr>
          <w:rFonts w:ascii="Arial" w:hAnsi="Arial" w:cs="Arial"/>
        </w:rPr>
        <w:t xml:space="preserve"> is the administrative capital of Esan West Local Government Area, located at latitude 6°45'N, longitude 6°08'E, with a population of more than 80,000. Irrua is the administrative capital of Esan Central Local Government Area, located at latitude 5°15'48"E, with a population of about 40,000. </w:t>
      </w:r>
      <w:r>
        <w:rPr>
          <w:rFonts w:ascii="Arial" w:hAnsi="Arial" w:cs="Arial"/>
          <w:highlight w:val="yellow"/>
        </w:rPr>
        <w:t>ISTH is a federal government teaching hospital</w:t>
      </w:r>
      <w:r>
        <w:rPr>
          <w:rFonts w:ascii="Arial" w:hAnsi="Arial" w:cs="Arial"/>
        </w:rPr>
        <w:t xml:space="preserve"> and the teaching hospital for Ambrose Alli University's </w:t>
      </w:r>
      <w:r>
        <w:rPr>
          <w:rFonts w:ascii="Arial" w:hAnsi="Arial" w:cs="Arial"/>
          <w:highlight w:val="yellow"/>
        </w:rPr>
        <w:t>medical programme</w:t>
      </w:r>
      <w:r>
        <w:rPr>
          <w:rFonts w:ascii="Arial" w:hAnsi="Arial" w:cs="Arial"/>
        </w:rPr>
        <w:t>.</w:t>
      </w:r>
    </w:p>
    <w:p w14:paraId="0D8AF338" w14:textId="77777777" w:rsidR="004600D5" w:rsidRPr="001153D2" w:rsidRDefault="004600D5" w:rsidP="004600D5">
      <w:pPr>
        <w:spacing w:after="240"/>
        <w:jc w:val="both"/>
        <w:rPr>
          <w:rFonts w:ascii="Arial" w:hAnsi="Arial" w:cs="Arial"/>
        </w:rPr>
      </w:pPr>
      <w:r>
        <w:rPr>
          <w:rFonts w:ascii="Arial" w:hAnsi="Arial" w:cs="Arial"/>
          <w:highlight w:val="yellow"/>
        </w:rPr>
        <w:t>The study population comprised two groups</w:t>
      </w:r>
      <w:r>
        <w:rPr>
          <w:rFonts w:ascii="Arial" w:hAnsi="Arial" w:cs="Arial"/>
        </w:rPr>
        <w:t xml:space="preserve">: </w:t>
      </w:r>
      <w:r>
        <w:rPr>
          <w:rFonts w:ascii="Arial" w:hAnsi="Arial" w:cs="Arial"/>
          <w:highlight w:val="yellow"/>
        </w:rPr>
        <w:t>HA-MRSA isolation involved</w:t>
      </w:r>
      <w:r>
        <w:rPr>
          <w:rFonts w:ascii="Arial" w:hAnsi="Arial" w:cs="Arial"/>
        </w:rPr>
        <w:t xml:space="preserve"> doctors, nurses, patients, cleaners, and fomites from ISTH, Irrua; while </w:t>
      </w:r>
      <w:r>
        <w:rPr>
          <w:rFonts w:ascii="Arial" w:hAnsi="Arial" w:cs="Arial"/>
          <w:highlight w:val="yellow"/>
        </w:rPr>
        <w:t>CA-MRSA isolation was carried out among</w:t>
      </w:r>
      <w:r>
        <w:rPr>
          <w:rFonts w:ascii="Arial" w:hAnsi="Arial" w:cs="Arial"/>
        </w:rPr>
        <w:t xml:space="preserve"> apparently healthy residents of </w:t>
      </w:r>
      <w:proofErr w:type="spellStart"/>
      <w:r w:rsidRPr="001153D2">
        <w:rPr>
          <w:rFonts w:ascii="Arial" w:hAnsi="Arial" w:cs="Arial"/>
        </w:rPr>
        <w:t>Ekpoma</w:t>
      </w:r>
      <w:proofErr w:type="spellEnd"/>
      <w:r w:rsidRPr="001153D2">
        <w:rPr>
          <w:rFonts w:ascii="Arial" w:hAnsi="Arial" w:cs="Arial"/>
        </w:rPr>
        <w:t xml:space="preserve"> </w:t>
      </w:r>
      <w:r>
        <w:rPr>
          <w:rFonts w:ascii="Arial" w:hAnsi="Arial" w:cs="Arial"/>
          <w:highlight w:val="yellow"/>
        </w:rPr>
        <w:t>community who had not visited</w:t>
      </w:r>
      <w:r>
        <w:rPr>
          <w:rFonts w:ascii="Arial" w:hAnsi="Arial" w:cs="Arial"/>
        </w:rPr>
        <w:t xml:space="preserve"> any hospital within the year prior to the study.</w:t>
      </w:r>
    </w:p>
    <w:p w14:paraId="26A16770" w14:textId="77777777" w:rsidR="004600D5" w:rsidRPr="001153D2" w:rsidRDefault="004600D5" w:rsidP="004600D5">
      <w:pPr>
        <w:jc w:val="both"/>
        <w:rPr>
          <w:rFonts w:ascii="Arial" w:hAnsi="Arial" w:cs="Arial"/>
          <w:b/>
          <w:bCs/>
        </w:rPr>
      </w:pPr>
      <w:r w:rsidRPr="001153D2">
        <w:rPr>
          <w:rFonts w:ascii="Arial" w:hAnsi="Arial" w:cs="Arial"/>
          <w:b/>
          <w:bCs/>
        </w:rPr>
        <w:t>2.2 Sample Size Determination</w:t>
      </w:r>
    </w:p>
    <w:p w14:paraId="190A0117" w14:textId="77777777" w:rsidR="004600D5" w:rsidRPr="001153D2" w:rsidRDefault="004600D5" w:rsidP="004600D5">
      <w:pPr>
        <w:spacing w:after="160"/>
        <w:jc w:val="both"/>
        <w:rPr>
          <w:rFonts w:ascii="Arial" w:hAnsi="Arial" w:cs="Arial"/>
        </w:rPr>
      </w:pPr>
      <w:r>
        <w:rPr>
          <w:rFonts w:ascii="Arial" w:hAnsi="Arial" w:cs="Arial"/>
          <w:highlight w:val="yellow"/>
        </w:rPr>
        <w:t>The sample size was determined</w:t>
      </w:r>
      <w:r>
        <w:rPr>
          <w:rFonts w:ascii="Arial" w:hAnsi="Arial" w:cs="Arial"/>
        </w:rPr>
        <w:t xml:space="preserve"> using Bartlett's formula (Bartlett </w:t>
      </w:r>
      <w:r w:rsidR="00CD12AA" w:rsidRPr="00CD12AA">
        <w:rPr>
          <w:rFonts w:ascii="Arial" w:hAnsi="Arial" w:cs="Arial"/>
          <w:i/>
          <w:iCs/>
        </w:rPr>
        <w:t>et al</w:t>
      </w:r>
      <w:r w:rsidRPr="001153D2">
        <w:rPr>
          <w:rFonts w:ascii="Arial" w:hAnsi="Arial" w:cs="Arial"/>
        </w:rPr>
        <w:t>., 2001):</w:t>
      </w:r>
    </w:p>
    <w:p w14:paraId="2FD89B2F" w14:textId="77777777" w:rsidR="004600D5" w:rsidRPr="001153D2" w:rsidRDefault="004600D5" w:rsidP="004600D5">
      <w:pPr>
        <w:spacing w:after="160"/>
        <w:jc w:val="both"/>
        <w:rPr>
          <w:rFonts w:ascii="Arial" w:hAnsi="Arial" w:cs="Arial"/>
        </w:rPr>
      </w:pPr>
      <m:oMathPara>
        <m:oMath>
          <m:r>
            <w:rPr>
              <w:rFonts w:ascii="Cambria Math" w:hAnsi="Cambria Math" w:cs="Arial"/>
            </w:rPr>
            <m:t>N=</m:t>
          </m:r>
          <m:f>
            <m:fPr>
              <m:ctrlPr>
                <w:rPr>
                  <w:rFonts w:ascii="Cambria Math" w:hAnsi="Cambria Math" w:cs="Arial"/>
                </w:rPr>
              </m:ctrlPr>
            </m:fPr>
            <m:num>
              <m:r>
                <w:rPr>
                  <w:rFonts w:ascii="Cambria Math" w:hAnsi="Cambria Math" w:cs="Arial"/>
                </w:rPr>
                <m:t>P</m:t>
              </m:r>
              <m:d>
                <m:dPr>
                  <m:ctrlPr>
                    <w:rPr>
                      <w:rFonts w:ascii="Cambria Math" w:hAnsi="Cambria Math" w:cs="Arial"/>
                    </w:rPr>
                  </m:ctrlPr>
                </m:dPr>
                <m:e>
                  <m:r>
                    <w:rPr>
                      <w:rFonts w:ascii="Cambria Math" w:hAnsi="Cambria Math" w:cs="Arial"/>
                    </w:rPr>
                    <m:t>100-P</m:t>
                  </m:r>
                </m:e>
              </m:d>
              <m:sSup>
                <m:sSupPr>
                  <m:ctrlPr>
                    <w:rPr>
                      <w:rFonts w:ascii="Cambria Math" w:hAnsi="Cambria Math" w:cs="Arial"/>
                    </w:rPr>
                  </m:ctrlPr>
                </m:sSupPr>
                <m:e>
                  <m:r>
                    <w:rPr>
                      <w:rFonts w:ascii="Cambria Math" w:hAnsi="Cambria Math" w:cs="Arial"/>
                    </w:rPr>
                    <m:t>Z</m:t>
                  </m:r>
                </m:e>
                <m:sup>
                  <m:r>
                    <w:rPr>
                      <w:rFonts w:ascii="Cambria Math" w:hAnsi="Cambria Math" w:cs="Arial"/>
                    </w:rPr>
                    <m:t>2</m:t>
                  </m:r>
                </m:sup>
              </m:sSup>
            </m:num>
            <m:den>
              <m:sSup>
                <m:sSupPr>
                  <m:ctrlPr>
                    <w:rPr>
                      <w:rFonts w:ascii="Cambria Math" w:hAnsi="Cambria Math" w:cs="Arial"/>
                    </w:rPr>
                  </m:ctrlPr>
                </m:sSupPr>
                <m:e>
                  <m:r>
                    <w:rPr>
                      <w:rFonts w:ascii="Cambria Math" w:hAnsi="Cambria Math" w:cs="Arial"/>
                    </w:rPr>
                    <m:t>E</m:t>
                  </m:r>
                </m:e>
                <m:sup>
                  <m:r>
                    <w:rPr>
                      <w:rFonts w:ascii="Cambria Math" w:hAnsi="Cambria Math" w:cs="Arial"/>
                    </w:rPr>
                    <m:t>2</m:t>
                  </m:r>
                </m:sup>
              </m:sSup>
            </m:den>
          </m:f>
        </m:oMath>
      </m:oMathPara>
    </w:p>
    <w:p w14:paraId="23C62D06" w14:textId="77777777" w:rsidR="004600D5" w:rsidRPr="001153D2" w:rsidRDefault="004600D5" w:rsidP="004600D5">
      <w:pPr>
        <w:tabs>
          <w:tab w:val="num" w:pos="720"/>
        </w:tabs>
        <w:spacing w:after="160"/>
        <w:jc w:val="both"/>
        <w:rPr>
          <w:rFonts w:ascii="Arial" w:hAnsi="Arial" w:cs="Arial"/>
        </w:rPr>
      </w:pPr>
      <w:r w:rsidRPr="001153D2">
        <w:rPr>
          <w:rFonts w:ascii="Arial" w:hAnsi="Arial" w:cs="Arial"/>
        </w:rPr>
        <w:t xml:space="preserve">Where: </w:t>
      </w:r>
      <m:oMath>
        <m:r>
          <w:rPr>
            <w:rFonts w:ascii="Cambria Math" w:hAnsi="Cambria Math" w:cs="Arial"/>
          </w:rPr>
          <m:t>N</m:t>
        </m:r>
      </m:oMath>
      <w:r w:rsidRPr="001153D2">
        <w:rPr>
          <w:rFonts w:ascii="Arial" w:hAnsi="Arial" w:cs="Arial"/>
        </w:rPr>
        <w:t xml:space="preserve"> = required sample size, </w:t>
      </w:r>
      <m:oMath>
        <m:r>
          <w:rPr>
            <w:rFonts w:ascii="Cambria Math" w:hAnsi="Cambria Math" w:cs="Arial"/>
          </w:rPr>
          <m:t>P</m:t>
        </m:r>
      </m:oMath>
      <w:r w:rsidRPr="001153D2">
        <w:rPr>
          <w:rFonts w:ascii="Arial" w:hAnsi="Arial" w:cs="Arial"/>
        </w:rPr>
        <w:t xml:space="preserve"> = percentage occurrence of the event (30%; </w:t>
      </w:r>
      <w:r>
        <w:rPr>
          <w:rFonts w:ascii="Arial" w:hAnsi="Arial" w:cs="Arial"/>
          <w:highlight w:val="yellow"/>
        </w:rPr>
        <w:t>Ogefere and Ogunleye, 2019</w:t>
      </w:r>
      <w:r>
        <w:rPr>
          <w:rFonts w:ascii="Arial" w:hAnsi="Arial" w:cs="Arial"/>
        </w:rPr>
        <w:t xml:space="preserve">), </w:t>
      </w:r>
      <m:oMath>
        <m:r>
          <w:rPr>
            <w:rFonts w:ascii="Cambria Math" w:hAnsi="Cambria Math" w:cs="Arial"/>
          </w:rPr>
          <m:t>E</m:t>
        </m:r>
      </m:oMath>
      <w:r w:rsidRPr="001153D2">
        <w:rPr>
          <w:rFonts w:ascii="Arial" w:hAnsi="Arial" w:cs="Arial"/>
        </w:rPr>
        <w:t xml:space="preserve"> = percentage error required (5%), </w:t>
      </w:r>
      <m:oMath>
        <m:r>
          <w:rPr>
            <w:rFonts w:ascii="Cambria Math" w:hAnsi="Cambria Math" w:cs="Arial"/>
          </w:rPr>
          <m:t>Z</m:t>
        </m:r>
      </m:oMath>
      <w:r w:rsidRPr="001153D2">
        <w:rPr>
          <w:rFonts w:ascii="Arial" w:hAnsi="Arial" w:cs="Arial"/>
        </w:rPr>
        <w:t> = statistical value corresponding to confidence level (95%) which is 1.96</w:t>
      </w:r>
    </w:p>
    <w:p w14:paraId="04B9F595" w14:textId="77777777" w:rsidR="004600D5" w:rsidRPr="001153D2" w:rsidRDefault="004600D5" w:rsidP="004600D5">
      <w:pPr>
        <w:spacing w:after="160"/>
        <w:jc w:val="both"/>
        <w:rPr>
          <w:rFonts w:ascii="Arial" w:hAnsi="Arial" w:cs="Arial"/>
        </w:rPr>
      </w:pPr>
      <w:r w:rsidRPr="001153D2">
        <w:rPr>
          <w:rFonts w:ascii="Arial" w:hAnsi="Arial" w:cs="Arial"/>
        </w:rPr>
        <w:t>Inputting these figures into Bartlett's formula:</w:t>
      </w:r>
    </w:p>
    <w:p w14:paraId="6D0F03A8" w14:textId="77777777" w:rsidR="004600D5" w:rsidRPr="001153D2" w:rsidRDefault="004600D5" w:rsidP="004600D5">
      <w:pPr>
        <w:spacing w:after="160"/>
        <w:jc w:val="both"/>
        <w:rPr>
          <w:rFonts w:ascii="Arial" w:hAnsi="Arial" w:cs="Arial"/>
        </w:rPr>
      </w:pPr>
      <m:oMathPara>
        <m:oMath>
          <m:r>
            <w:rPr>
              <w:rFonts w:ascii="Cambria Math" w:hAnsi="Cambria Math" w:cs="Arial"/>
            </w:rPr>
            <m:t>N=</m:t>
          </m:r>
          <m:f>
            <m:fPr>
              <m:ctrlPr>
                <w:rPr>
                  <w:rFonts w:ascii="Cambria Math" w:hAnsi="Cambria Math" w:cs="Arial"/>
                </w:rPr>
              </m:ctrlPr>
            </m:fPr>
            <m:num>
              <m:r>
                <w:rPr>
                  <w:rFonts w:ascii="Cambria Math" w:hAnsi="Cambria Math" w:cs="Arial"/>
                </w:rPr>
                <m:t>30</m:t>
              </m:r>
              <m:d>
                <m:dPr>
                  <m:ctrlPr>
                    <w:rPr>
                      <w:rFonts w:ascii="Cambria Math" w:hAnsi="Cambria Math" w:cs="Arial"/>
                    </w:rPr>
                  </m:ctrlPr>
                </m:dPr>
                <m:e>
                  <m:r>
                    <w:rPr>
                      <w:rFonts w:ascii="Cambria Math" w:hAnsi="Cambria Math" w:cs="Arial"/>
                    </w:rPr>
                    <m:t>100-30</m:t>
                  </m:r>
                </m:e>
              </m:d>
              <m:sSup>
                <m:sSupPr>
                  <m:ctrlPr>
                    <w:rPr>
                      <w:rFonts w:ascii="Cambria Math" w:hAnsi="Cambria Math" w:cs="Arial"/>
                    </w:rPr>
                  </m:ctrlPr>
                </m:sSupPr>
                <m:e>
                  <m:d>
                    <m:dPr>
                      <m:ctrlPr>
                        <w:rPr>
                          <w:rFonts w:ascii="Cambria Math" w:hAnsi="Cambria Math" w:cs="Arial"/>
                        </w:rPr>
                      </m:ctrlPr>
                    </m:dPr>
                    <m:e>
                      <m:r>
                        <w:rPr>
                          <w:rFonts w:ascii="Cambria Math" w:hAnsi="Cambria Math" w:cs="Arial"/>
                        </w:rPr>
                        <m:t>1.96</m:t>
                      </m:r>
                    </m:e>
                  </m:d>
                </m:e>
                <m:sup>
                  <m:r>
                    <w:rPr>
                      <w:rFonts w:ascii="Cambria Math" w:hAnsi="Cambria Math" w:cs="Arial"/>
                    </w:rPr>
                    <m:t>2</m:t>
                  </m:r>
                </m:sup>
              </m:sSup>
            </m:num>
            <m:den>
              <m:sSup>
                <m:sSupPr>
                  <m:ctrlPr>
                    <w:rPr>
                      <w:rFonts w:ascii="Cambria Math" w:hAnsi="Cambria Math" w:cs="Arial"/>
                    </w:rPr>
                  </m:ctrlPr>
                </m:sSupPr>
                <m:e>
                  <m:r>
                    <w:rPr>
                      <w:rFonts w:ascii="Cambria Math" w:hAnsi="Cambria Math" w:cs="Arial"/>
                    </w:rPr>
                    <m:t>5</m:t>
                  </m:r>
                </m:e>
                <m:sup>
                  <m:r>
                    <w:rPr>
                      <w:rFonts w:ascii="Cambria Math" w:hAnsi="Cambria Math" w:cs="Arial"/>
                    </w:rPr>
                    <m:t>2</m:t>
                  </m:r>
                </m:sup>
              </m:sSup>
            </m:den>
          </m:f>
        </m:oMath>
      </m:oMathPara>
    </w:p>
    <w:p w14:paraId="740C3C83" w14:textId="77777777" w:rsidR="004600D5" w:rsidRPr="001153D2" w:rsidRDefault="004600D5" w:rsidP="004600D5">
      <w:pPr>
        <w:spacing w:after="160"/>
        <w:jc w:val="both"/>
        <w:rPr>
          <w:rFonts w:ascii="Arial" w:hAnsi="Arial" w:cs="Arial"/>
        </w:rPr>
      </w:pPr>
      <m:oMathPara>
        <m:oMath>
          <m:r>
            <w:rPr>
              <w:rFonts w:ascii="Cambria Math" w:hAnsi="Cambria Math" w:cs="Arial"/>
            </w:rPr>
            <m:t>N=</m:t>
          </m:r>
          <m:f>
            <m:fPr>
              <m:ctrlPr>
                <w:rPr>
                  <w:rFonts w:ascii="Cambria Math" w:hAnsi="Cambria Math" w:cs="Arial"/>
                </w:rPr>
              </m:ctrlPr>
            </m:fPr>
            <m:num>
              <m:r>
                <w:rPr>
                  <w:rFonts w:ascii="Cambria Math" w:hAnsi="Cambria Math" w:cs="Arial"/>
                </w:rPr>
                <m:t>30×70×3.8416</m:t>
              </m:r>
            </m:num>
            <m:den>
              <m:r>
                <w:rPr>
                  <w:rFonts w:ascii="Cambria Math" w:hAnsi="Cambria Math" w:cs="Arial"/>
                </w:rPr>
                <m:t>25</m:t>
              </m:r>
            </m:den>
          </m:f>
        </m:oMath>
      </m:oMathPara>
    </w:p>
    <w:p w14:paraId="147A70CB" w14:textId="77777777" w:rsidR="004600D5" w:rsidRPr="001153D2" w:rsidRDefault="004600D5" w:rsidP="004600D5">
      <w:pPr>
        <w:spacing w:after="160"/>
        <w:jc w:val="both"/>
        <w:rPr>
          <w:rFonts w:ascii="Arial" w:hAnsi="Arial" w:cs="Arial"/>
        </w:rPr>
      </w:pPr>
      <m:oMathPara>
        <m:oMath>
          <m:r>
            <w:rPr>
              <w:rFonts w:ascii="Cambria Math" w:hAnsi="Cambria Math" w:cs="Arial"/>
            </w:rPr>
            <w:lastRenderedPageBreak/>
            <m:t>N=</m:t>
          </m:r>
          <m:f>
            <m:fPr>
              <m:ctrlPr>
                <w:rPr>
                  <w:rFonts w:ascii="Cambria Math" w:hAnsi="Cambria Math" w:cs="Arial"/>
                </w:rPr>
              </m:ctrlPr>
            </m:fPr>
            <m:num>
              <m:r>
                <w:rPr>
                  <w:rFonts w:ascii="Cambria Math" w:hAnsi="Cambria Math" w:cs="Arial"/>
                </w:rPr>
                <m:t>8067.36</m:t>
              </m:r>
            </m:num>
            <m:den>
              <m:r>
                <w:rPr>
                  <w:rFonts w:ascii="Cambria Math" w:hAnsi="Cambria Math" w:cs="Arial"/>
                </w:rPr>
                <m:t>25</m:t>
              </m:r>
            </m:den>
          </m:f>
        </m:oMath>
      </m:oMathPara>
    </w:p>
    <w:p w14:paraId="3845D152" w14:textId="77777777" w:rsidR="004600D5" w:rsidRPr="001153D2" w:rsidRDefault="004600D5" w:rsidP="004600D5">
      <w:pPr>
        <w:spacing w:after="160"/>
        <w:jc w:val="both"/>
        <w:rPr>
          <w:rFonts w:ascii="Arial" w:hAnsi="Arial" w:cs="Arial"/>
        </w:rPr>
      </w:pPr>
      <m:oMathPara>
        <m:oMath>
          <m:r>
            <w:rPr>
              <w:rFonts w:ascii="Cambria Math" w:hAnsi="Cambria Math" w:cs="Arial"/>
            </w:rPr>
            <m:t>N=322.7≈310</m:t>
          </m:r>
        </m:oMath>
      </m:oMathPara>
    </w:p>
    <w:p w14:paraId="697C0BC1" w14:textId="77777777" w:rsidR="004600D5" w:rsidRPr="001153D2" w:rsidRDefault="004600D5" w:rsidP="004600D5">
      <w:pPr>
        <w:spacing w:after="160"/>
        <w:jc w:val="both"/>
        <w:rPr>
          <w:rFonts w:ascii="Arial" w:hAnsi="Arial" w:cs="Arial"/>
        </w:rPr>
      </w:pPr>
      <w:r w:rsidRPr="001153D2">
        <w:rPr>
          <w:rFonts w:ascii="Arial" w:hAnsi="Arial" w:cs="Arial"/>
        </w:rPr>
        <w:t xml:space="preserve">Hence, a total of 310 samples were required from each study population, </w:t>
      </w:r>
      <w:r>
        <w:rPr>
          <w:rFonts w:ascii="Arial" w:hAnsi="Arial" w:cs="Arial"/>
          <w:highlight w:val="yellow"/>
        </w:rPr>
        <w:t>giving 620 samples in total</w:t>
      </w:r>
      <w:r>
        <w:rPr>
          <w:rFonts w:ascii="Arial" w:hAnsi="Arial" w:cs="Arial"/>
        </w:rPr>
        <w:t xml:space="preserve"> for this study (both CA-MRSA and HA-MRSA).</w:t>
      </w:r>
    </w:p>
    <w:p w14:paraId="4DC29564" w14:textId="28EC861F" w:rsidR="004600D5" w:rsidRPr="001153D2" w:rsidRDefault="004600D5" w:rsidP="00D74F93">
      <w:pPr>
        <w:jc w:val="both"/>
        <w:rPr>
          <w:rFonts w:ascii="Arial" w:hAnsi="Arial" w:cs="Arial"/>
        </w:rPr>
      </w:pPr>
    </w:p>
    <w:p w14:paraId="3CE9F991" w14:textId="77777777" w:rsidR="004600D5" w:rsidRPr="001153D2" w:rsidRDefault="004600D5" w:rsidP="004600D5">
      <w:pPr>
        <w:jc w:val="both"/>
        <w:rPr>
          <w:rFonts w:ascii="Arial" w:hAnsi="Arial" w:cs="Arial"/>
          <w:b/>
          <w:bCs/>
        </w:rPr>
      </w:pPr>
      <w:r w:rsidRPr="001153D2">
        <w:rPr>
          <w:rFonts w:ascii="Arial" w:hAnsi="Arial" w:cs="Arial"/>
          <w:b/>
          <w:bCs/>
        </w:rPr>
        <w:t>2.4 Sample Collection</w:t>
      </w:r>
    </w:p>
    <w:p w14:paraId="7717FA27" w14:textId="77777777" w:rsidR="004600D5" w:rsidRPr="001153D2" w:rsidRDefault="004600D5" w:rsidP="004600D5">
      <w:pPr>
        <w:spacing w:after="160"/>
        <w:jc w:val="both"/>
        <w:rPr>
          <w:rFonts w:ascii="Arial" w:hAnsi="Arial" w:cs="Arial"/>
        </w:rPr>
      </w:pPr>
      <w:r>
        <w:rPr>
          <w:rFonts w:ascii="Arial" w:hAnsi="Arial" w:cs="Arial"/>
          <w:highlight w:val="yellow"/>
        </w:rPr>
        <w:t>The HA-MRSA sample comprised</w:t>
      </w:r>
      <w:r>
        <w:rPr>
          <w:rFonts w:ascii="Arial" w:hAnsi="Arial" w:cs="Arial"/>
        </w:rPr>
        <w:t xml:space="preserve"> 310 nasal, wound, and fomite samples collected from </w:t>
      </w:r>
      <w:r>
        <w:rPr>
          <w:rFonts w:ascii="Arial" w:hAnsi="Arial" w:cs="Arial"/>
          <w:highlight w:val="yellow"/>
        </w:rPr>
        <w:t>14 clinical departments</w:t>
      </w:r>
      <w:r>
        <w:rPr>
          <w:rFonts w:ascii="Arial" w:hAnsi="Arial" w:cs="Arial"/>
        </w:rPr>
        <w:t xml:space="preserve"> of ISTH. For each department, </w:t>
      </w:r>
      <w:r>
        <w:rPr>
          <w:rFonts w:ascii="Arial" w:hAnsi="Arial" w:cs="Arial"/>
          <w:highlight w:val="yellow"/>
        </w:rPr>
        <w:t>20–25 samples</w:t>
      </w:r>
      <w:r>
        <w:rPr>
          <w:rFonts w:ascii="Arial" w:hAnsi="Arial" w:cs="Arial"/>
        </w:rPr>
        <w:t xml:space="preserve"> were collected based on the number of shifts. Nasal and wound samples </w:t>
      </w:r>
      <w:r>
        <w:rPr>
          <w:rFonts w:ascii="Arial" w:hAnsi="Arial" w:cs="Arial"/>
          <w:highlight w:val="yellow"/>
        </w:rPr>
        <w:t>were obtained using</w:t>
      </w:r>
      <w:r>
        <w:rPr>
          <w:rFonts w:ascii="Arial" w:hAnsi="Arial" w:cs="Arial"/>
        </w:rPr>
        <w:t xml:space="preserve"> sterile swab sticks (Oxoid) from doctors, nurses, cleaners, and patients; similarly, fomites were also sampled by swabbing. For CA-MRSA, 310 nasal swabs were obtained from healthy individuals from the </w:t>
      </w:r>
      <w:proofErr w:type="spellStart"/>
      <w:r w:rsidRPr="001153D2">
        <w:rPr>
          <w:rFonts w:ascii="Arial" w:hAnsi="Arial" w:cs="Arial"/>
        </w:rPr>
        <w:t>Ekpoma</w:t>
      </w:r>
      <w:proofErr w:type="spellEnd"/>
      <w:r w:rsidRPr="001153D2">
        <w:rPr>
          <w:rFonts w:ascii="Arial" w:hAnsi="Arial" w:cs="Arial"/>
        </w:rPr>
        <w:t xml:space="preserve"> community including schools, churches, markets, and motor parks.</w:t>
      </w:r>
    </w:p>
    <w:p w14:paraId="6DE49922" w14:textId="77777777" w:rsidR="004600D5" w:rsidRPr="001153D2" w:rsidRDefault="004600D5" w:rsidP="004600D5">
      <w:pPr>
        <w:jc w:val="both"/>
        <w:rPr>
          <w:rFonts w:ascii="Arial" w:hAnsi="Arial" w:cs="Arial"/>
          <w:b/>
          <w:bCs/>
        </w:rPr>
      </w:pPr>
      <w:r w:rsidRPr="001153D2">
        <w:rPr>
          <w:rFonts w:ascii="Arial" w:hAnsi="Arial" w:cs="Arial"/>
          <w:b/>
          <w:bCs/>
        </w:rPr>
        <w:t>2.5 Isolation and Identification of </w:t>
      </w:r>
      <w:r>
        <w:rPr>
          <w:rFonts w:ascii="Arial" w:hAnsi="Arial" w:cs="Arial"/>
          <w:b/>
          <w:bCs/>
          <w:i/>
        </w:rPr>
        <w:t>Staphylococcus aureus</w:t>
      </w:r>
    </w:p>
    <w:p w14:paraId="75D3AE00" w14:textId="77777777" w:rsidR="004600D5" w:rsidRPr="001153D2" w:rsidRDefault="004600D5" w:rsidP="004600D5">
      <w:pPr>
        <w:spacing w:after="160"/>
        <w:jc w:val="both"/>
        <w:rPr>
          <w:rFonts w:ascii="Arial" w:hAnsi="Arial" w:cs="Arial"/>
        </w:rPr>
      </w:pPr>
      <w:r w:rsidRPr="001153D2">
        <w:rPr>
          <w:rFonts w:ascii="Arial" w:hAnsi="Arial" w:cs="Arial"/>
        </w:rPr>
        <w:t xml:space="preserve">Swab samples were streaked on Mannitol Salt Agar (MSA) and incubated for 24 hours at 37°C. The presumptive </w:t>
      </w:r>
      <w:r w:rsidRPr="001153D2">
        <w:rPr>
          <w:rFonts w:ascii="Arial" w:hAnsi="Arial" w:cs="Arial"/>
          <w:i/>
          <w:iCs/>
        </w:rPr>
        <w:t xml:space="preserve">S. aureus </w:t>
      </w:r>
      <w:r w:rsidRPr="001153D2">
        <w:rPr>
          <w:rFonts w:ascii="Arial" w:hAnsi="Arial" w:cs="Arial"/>
        </w:rPr>
        <w:t>strains (yellow colonies resulting from the fermentation of mannitol) and coagulase-negative staphylococci (</w:t>
      </w:r>
      <w:proofErr w:type="spellStart"/>
      <w:r w:rsidRPr="001153D2">
        <w:rPr>
          <w:rFonts w:ascii="Arial" w:hAnsi="Arial" w:cs="Arial"/>
        </w:rPr>
        <w:t>CoNS</w:t>
      </w:r>
      <w:proofErr w:type="spellEnd"/>
      <w:r w:rsidRPr="001153D2">
        <w:rPr>
          <w:rFonts w:ascii="Arial" w:hAnsi="Arial" w:cs="Arial"/>
        </w:rPr>
        <w:t xml:space="preserve">) underwent Gram staining and various biochemical tests such as catalase, coagulase, oxidase, citrate, indole, urease, and </w:t>
      </w:r>
      <w:r>
        <w:rPr>
          <w:rFonts w:ascii="Arial" w:hAnsi="Arial" w:cs="Arial"/>
          <w:highlight w:val="yellow"/>
        </w:rPr>
        <w:t>sugar metabolism tests</w:t>
      </w:r>
      <w:r>
        <w:rPr>
          <w:rFonts w:ascii="Arial" w:hAnsi="Arial" w:cs="Arial"/>
        </w:rPr>
        <w:t xml:space="preserve"> using standard protocols (Cheesbrough, 2000).</w:t>
      </w:r>
    </w:p>
    <w:p w14:paraId="54C7318E" w14:textId="77777777" w:rsidR="004600D5" w:rsidRPr="001153D2" w:rsidRDefault="004600D5" w:rsidP="004600D5">
      <w:pPr>
        <w:jc w:val="both"/>
        <w:rPr>
          <w:rFonts w:ascii="Arial" w:hAnsi="Arial" w:cs="Arial"/>
          <w:b/>
          <w:bCs/>
        </w:rPr>
      </w:pPr>
      <w:r w:rsidRPr="001153D2">
        <w:rPr>
          <w:rFonts w:ascii="Arial" w:hAnsi="Arial" w:cs="Arial"/>
          <w:b/>
          <w:bCs/>
        </w:rPr>
        <w:t>2.6 Isolation of MRSA</w:t>
      </w:r>
    </w:p>
    <w:p w14:paraId="78C502A7" w14:textId="77777777" w:rsidR="004600D5" w:rsidRPr="001153D2" w:rsidRDefault="004600D5" w:rsidP="004600D5">
      <w:pPr>
        <w:spacing w:after="240"/>
        <w:jc w:val="both"/>
        <w:rPr>
          <w:rFonts w:ascii="Arial" w:hAnsi="Arial" w:cs="Arial"/>
        </w:rPr>
      </w:pPr>
      <w:r>
        <w:t xml:space="preserve">MRSA was screened among presumptive </w:t>
      </w:r>
      <w:r>
        <w:rPr>
          <w:i/>
        </w:rPr>
        <w:t>S. aureus</w:t>
      </w:r>
      <w:r>
        <w:t xml:space="preserve"> isolates using Oxacillin Resistant Screening Agar Base (ORSAB), </w:t>
      </w:r>
      <w:r>
        <w:rPr>
          <w:highlight w:val="yellow"/>
        </w:rPr>
        <w:t>with identification based on the characteristic colour change</w:t>
      </w:r>
      <w:r>
        <w:t xml:space="preserve"> from pale blue to deep blue. Putative MRSA isolates were further assessed by </w:t>
      </w:r>
      <w:r>
        <w:rPr>
          <w:highlight w:val="yellow"/>
        </w:rPr>
        <w:t>disc</w:t>
      </w:r>
      <w:r>
        <w:t xml:space="preserve"> diffusion using 1 μg oxacillin </w:t>
      </w:r>
      <w:r>
        <w:rPr>
          <w:highlight w:val="yellow"/>
        </w:rPr>
        <w:t>discs</w:t>
      </w:r>
      <w:r>
        <w:t xml:space="preserve"> on 5% NaCl Mueller-Hinton agar. Zones of inhibition were measured after 24 hours of incubation at 37°C and interpreted according to the CLSI standard used for the original laboratory testing (CLSI, 2017). Because no PCR or other molecular assay was performed, the isolates are referred to in this manuscript as phenotypically detected MRSA, and no inference about mecA carriage is made.</w:t>
      </w:r>
    </w:p>
    <w:p w14:paraId="3903BA5A" w14:textId="77777777" w:rsidR="004600D5" w:rsidRPr="001153D2" w:rsidRDefault="004600D5" w:rsidP="004600D5">
      <w:pPr>
        <w:jc w:val="both"/>
        <w:rPr>
          <w:rFonts w:ascii="Arial" w:hAnsi="Arial" w:cs="Arial"/>
          <w:b/>
          <w:bCs/>
        </w:rPr>
      </w:pPr>
      <w:r w:rsidRPr="001153D2">
        <w:rPr>
          <w:rFonts w:ascii="Arial" w:hAnsi="Arial" w:cs="Arial"/>
          <w:b/>
          <w:bCs/>
        </w:rPr>
        <w:t>2.7 Antibiotic Susceptibility Testing</w:t>
      </w:r>
    </w:p>
    <w:p w14:paraId="5F10E7EF" w14:textId="77777777" w:rsidR="004600D5" w:rsidRPr="001153D2" w:rsidRDefault="004600D5" w:rsidP="004600D5">
      <w:pPr>
        <w:spacing w:after="240"/>
        <w:jc w:val="both"/>
        <w:rPr>
          <w:rFonts w:ascii="Arial" w:hAnsi="Arial" w:cs="Arial"/>
        </w:rPr>
      </w:pPr>
      <w:r>
        <w:t xml:space="preserve">Susceptibility testing of all phenotypically confirmed MRSA isolates was carried out using vancomycin (1 μg), linezolid (1 μg), cloxacillin (5 μg), ciprofloxacin (5 μg), gentamicin (5 μg), tetracycline (10 μg), and erythromycin (5 μg). A 0.5 McFarland suspension of each isolate was used to inoculate 5% NaCl Mueller-Hinton agar plates, after which </w:t>
      </w:r>
      <w:r>
        <w:rPr>
          <w:highlight w:val="yellow"/>
        </w:rPr>
        <w:t>antibiotic discs were applied</w:t>
      </w:r>
      <w:r>
        <w:t xml:space="preserve">. Plates were incubated for 24 hours at 37°C. Results were interpreted using the CLSI criteria reported for the original testing (CLSI, 2017). Current CLSI standards </w:t>
      </w:r>
      <w:r>
        <w:rPr>
          <w:highlight w:val="yellow"/>
        </w:rPr>
        <w:t>emphasise</w:t>
      </w:r>
      <w:r>
        <w:t xml:space="preserve"> </w:t>
      </w:r>
      <w:r>
        <w:rPr>
          <w:highlight w:val="yellow"/>
        </w:rPr>
        <w:t>standardised</w:t>
      </w:r>
      <w:r>
        <w:t xml:space="preserve"> </w:t>
      </w:r>
      <w:r>
        <w:rPr>
          <w:highlight w:val="yellow"/>
        </w:rPr>
        <w:t>disc</w:t>
      </w:r>
      <w:r>
        <w:t>-diffusion and dilution procedures and regular updating of breakpoints and quality-control requirements (CLSI, 2026).</w:t>
      </w:r>
    </w:p>
    <w:p w14:paraId="269EA27A" w14:textId="77777777" w:rsidR="004600D5" w:rsidRPr="001153D2" w:rsidRDefault="004600D5" w:rsidP="004600D5">
      <w:pPr>
        <w:jc w:val="both"/>
        <w:rPr>
          <w:rFonts w:ascii="Arial" w:hAnsi="Arial" w:cs="Arial"/>
          <w:b/>
          <w:bCs/>
        </w:rPr>
      </w:pPr>
      <w:r w:rsidRPr="001153D2">
        <w:rPr>
          <w:rFonts w:ascii="Arial" w:hAnsi="Arial" w:cs="Arial"/>
          <w:b/>
          <w:bCs/>
        </w:rPr>
        <w:t>2.8 Determination of Multiple Antibiotic Resistance (MAR) Index</w:t>
      </w:r>
    </w:p>
    <w:p w14:paraId="2ECBF651" w14:textId="77777777" w:rsidR="004600D5" w:rsidRPr="001153D2" w:rsidRDefault="004600D5" w:rsidP="004600D5">
      <w:pPr>
        <w:spacing w:after="160"/>
        <w:jc w:val="both"/>
        <w:rPr>
          <w:rFonts w:ascii="Arial" w:hAnsi="Arial" w:cs="Arial"/>
        </w:rPr>
      </w:pPr>
      <w:r w:rsidRPr="001153D2">
        <w:rPr>
          <w:rFonts w:ascii="Arial" w:hAnsi="Arial" w:cs="Arial"/>
        </w:rPr>
        <w:t>The MAR index was calculated as the ratio of the number of antibiotics to which an isolate was resistant (</w:t>
      </w:r>
      <m:oMath>
        <m:r>
          <w:rPr>
            <w:rFonts w:ascii="Cambria Math" w:hAnsi="Cambria Math" w:cs="Arial"/>
          </w:rPr>
          <m:t>a</m:t>
        </m:r>
      </m:oMath>
      <w:r w:rsidRPr="001153D2">
        <w:rPr>
          <w:rFonts w:ascii="Arial" w:hAnsi="Arial" w:cs="Arial"/>
        </w:rPr>
        <w:t>) to the total number of antibiotics tested (</w:t>
      </w:r>
      <m:oMath>
        <m:r>
          <w:rPr>
            <w:rFonts w:ascii="Cambria Math" w:hAnsi="Cambria Math" w:cs="Arial"/>
          </w:rPr>
          <m:t>b</m:t>
        </m:r>
      </m:oMath>
      <w:r w:rsidRPr="001153D2">
        <w:rPr>
          <w:rFonts w:ascii="Arial" w:hAnsi="Arial" w:cs="Arial"/>
        </w:rPr>
        <w:t>) (Krumperman, 1983):</w:t>
      </w:r>
    </w:p>
    <w:p w14:paraId="61B54CA7" w14:textId="77777777" w:rsidR="004600D5" w:rsidRPr="001153D2" w:rsidRDefault="004600D5" w:rsidP="004600D5">
      <w:pPr>
        <w:spacing w:after="160"/>
        <w:jc w:val="both"/>
        <w:rPr>
          <w:rFonts w:ascii="Arial" w:hAnsi="Arial" w:cs="Arial"/>
        </w:rPr>
      </w:pPr>
      <m:oMathPara>
        <m:oMath>
          <m:r>
            <m:rPr>
              <m:nor/>
            </m:rPr>
            <w:rPr>
              <w:rFonts w:ascii="Arial" w:hAnsi="Arial" w:cs="Arial"/>
            </w:rPr>
            <m:t>MAR Index</m:t>
          </m:r>
          <m:r>
            <w:rPr>
              <w:rFonts w:ascii="Cambria Math" w:hAnsi="Cambria Math" w:cs="Arial"/>
            </w:rPr>
            <m:t>=</m:t>
          </m:r>
          <m:f>
            <m:fPr>
              <m:ctrlPr>
                <w:rPr>
                  <w:rFonts w:ascii="Cambria Math" w:hAnsi="Cambria Math" w:cs="Arial"/>
                </w:rPr>
              </m:ctrlPr>
            </m:fPr>
            <m:num>
              <m:r>
                <w:rPr>
                  <w:rFonts w:ascii="Cambria Math" w:hAnsi="Cambria Math" w:cs="Arial"/>
                </w:rPr>
                <m:t>a</m:t>
              </m:r>
            </m:num>
            <m:den>
              <m:r>
                <w:rPr>
                  <w:rFonts w:ascii="Cambria Math" w:hAnsi="Cambria Math" w:cs="Arial"/>
                </w:rPr>
                <m:t>b</m:t>
              </m:r>
            </m:den>
          </m:f>
        </m:oMath>
      </m:oMathPara>
    </w:p>
    <w:p w14:paraId="034A8A99" w14:textId="77777777" w:rsidR="004600D5" w:rsidRPr="001153D2" w:rsidRDefault="004600D5" w:rsidP="004600D5">
      <w:pPr>
        <w:tabs>
          <w:tab w:val="num" w:pos="720"/>
        </w:tabs>
        <w:spacing w:after="160"/>
        <w:jc w:val="both"/>
        <w:rPr>
          <w:rFonts w:ascii="Arial" w:hAnsi="Arial" w:cs="Arial"/>
        </w:rPr>
      </w:pPr>
      <w:r w:rsidRPr="001153D2">
        <w:rPr>
          <w:rFonts w:ascii="Arial" w:hAnsi="Arial" w:cs="Arial"/>
        </w:rPr>
        <w:t xml:space="preserve">Where: </w:t>
      </w:r>
      <m:oMath>
        <m:r>
          <w:rPr>
            <w:rFonts w:ascii="Cambria Math" w:hAnsi="Cambria Math" w:cs="Arial"/>
          </w:rPr>
          <m:t>a</m:t>
        </m:r>
      </m:oMath>
      <w:r w:rsidRPr="001153D2">
        <w:rPr>
          <w:rFonts w:ascii="Arial" w:hAnsi="Arial" w:cs="Arial"/>
        </w:rPr>
        <w:t xml:space="preserve"> = number of antibiotics to which the isolate was resistant, </w:t>
      </w:r>
      <m:oMath>
        <m:r>
          <w:rPr>
            <w:rFonts w:ascii="Cambria Math" w:hAnsi="Cambria Math" w:cs="Arial"/>
          </w:rPr>
          <m:t>b</m:t>
        </m:r>
      </m:oMath>
      <w:r w:rsidRPr="001153D2">
        <w:rPr>
          <w:rFonts w:ascii="Arial" w:hAnsi="Arial" w:cs="Arial"/>
        </w:rPr>
        <w:t> = total number of antibiotics tested</w:t>
      </w:r>
    </w:p>
    <w:p w14:paraId="5DB3C095" w14:textId="77777777" w:rsidR="004600D5" w:rsidRPr="001153D2" w:rsidRDefault="004600D5" w:rsidP="004600D5">
      <w:pPr>
        <w:spacing w:after="160"/>
        <w:jc w:val="both"/>
        <w:rPr>
          <w:rFonts w:ascii="Arial" w:hAnsi="Arial" w:cs="Arial"/>
        </w:rPr>
      </w:pPr>
      <w:r>
        <w:t xml:space="preserve">A MAR index greater than 0.2 was treated as an indicator of a high-risk source of antibiotic exposure/resistance, following Krumperman (1983). In this study, MAR was interpreted as a </w:t>
      </w:r>
      <w:r>
        <w:lastRenderedPageBreak/>
        <w:t>descriptive indicator of the resistance burden rather than direct evidence of antibiotic prescribing or consumption.</w:t>
      </w:r>
    </w:p>
    <w:p w14:paraId="53F00C64" w14:textId="77777777" w:rsidR="004600D5" w:rsidRPr="001153D2" w:rsidRDefault="004600D5" w:rsidP="004600D5">
      <w:pPr>
        <w:jc w:val="both"/>
        <w:rPr>
          <w:rFonts w:ascii="Arial" w:hAnsi="Arial" w:cs="Arial"/>
          <w:b/>
          <w:bCs/>
        </w:rPr>
      </w:pPr>
      <w:r w:rsidRPr="001153D2">
        <w:rPr>
          <w:rFonts w:ascii="Arial" w:hAnsi="Arial" w:cs="Arial"/>
          <w:b/>
          <w:bCs/>
        </w:rPr>
        <w:t>2.9 Statistical Analysis</w:t>
      </w:r>
    </w:p>
    <w:p w14:paraId="3B183743" w14:textId="77777777" w:rsidR="00AA74E0" w:rsidRDefault="004600D5" w:rsidP="004600D5">
      <w:pPr>
        <w:pStyle w:val="Body"/>
        <w:spacing w:after="0"/>
        <w:rPr>
          <w:rFonts w:ascii="Arial" w:hAnsi="Arial" w:cs="Arial"/>
        </w:rPr>
      </w:pPr>
      <w:r>
        <w:t xml:space="preserve">Data were </w:t>
      </w:r>
      <w:r>
        <w:rPr>
          <w:highlight w:val="yellow"/>
        </w:rPr>
        <w:t>summarised</w:t>
      </w:r>
      <w:r>
        <w:t xml:space="preserve"> using frequencies, percentages, and MAR indices. Prevalence in the HA-MRSA and CA-MRSA groups was compared using </w:t>
      </w:r>
      <w:r>
        <w:rPr>
          <w:highlight w:val="yellow"/>
        </w:rPr>
        <w:t>Pearson’s chi-square test</w:t>
      </w:r>
      <w:r>
        <w:t xml:space="preserve">, and 95% confidence intervals (CIs) were calculated for prevalence estimates. For antibiotic-specific resistance comparisons, </w:t>
      </w:r>
      <w:r>
        <w:rPr>
          <w:highlight w:val="yellow"/>
        </w:rPr>
        <w:t>two-sided Fisher’s exact tests</w:t>
      </w:r>
      <w:r>
        <w:t xml:space="preserve"> were used because some cell counts were small. Statistical significance was set at p &lt; 0.05. Analyses were based on the aggregate counts reported in the study tables.</w:t>
      </w:r>
    </w:p>
    <w:p w14:paraId="2B0CE480" w14:textId="77777777" w:rsidR="00790ADA" w:rsidRPr="00FB3A86" w:rsidRDefault="00790ADA" w:rsidP="00441B6F">
      <w:pPr>
        <w:pStyle w:val="Body"/>
        <w:spacing w:after="0"/>
        <w:rPr>
          <w:rFonts w:ascii="Arial" w:hAnsi="Arial" w:cs="Arial"/>
        </w:rPr>
      </w:pPr>
    </w:p>
    <w:p w14:paraId="28A6D034" w14:textId="77777777" w:rsidR="00902823" w:rsidRDefault="00000F8F" w:rsidP="00441B6F">
      <w:pPr>
        <w:pStyle w:val="Head1"/>
        <w:spacing w:after="0"/>
        <w:jc w:val="both"/>
        <w:rPr>
          <w:rFonts w:ascii="Arial" w:hAnsi="Arial" w:cs="Arial"/>
        </w:rPr>
      </w:pPr>
      <w:r>
        <w:rPr>
          <w:rFonts w:ascii="Arial" w:hAnsi="Arial" w:cs="Arial"/>
        </w:rPr>
        <w:t>3</w:t>
      </w:r>
      <w:r w:rsidR="00902823">
        <w:rPr>
          <w:rFonts w:ascii="Arial" w:hAnsi="Arial" w:cs="Arial"/>
        </w:rPr>
        <w:t xml:space="preserve">. </w:t>
      </w:r>
      <w:r>
        <w:rPr>
          <w:rFonts w:ascii="Arial" w:hAnsi="Arial" w:cs="Arial"/>
        </w:rPr>
        <w:t>results and discussion</w:t>
      </w:r>
    </w:p>
    <w:p w14:paraId="228E1C3B" w14:textId="77777777" w:rsidR="00790ADA" w:rsidRPr="00FB3A86" w:rsidRDefault="00790ADA" w:rsidP="00441B6F">
      <w:pPr>
        <w:pStyle w:val="Head1"/>
        <w:spacing w:after="0"/>
        <w:jc w:val="both"/>
        <w:rPr>
          <w:rFonts w:ascii="Arial" w:hAnsi="Arial" w:cs="Arial"/>
        </w:rPr>
      </w:pPr>
    </w:p>
    <w:p w14:paraId="40DDC5E5" w14:textId="77777777" w:rsidR="004600D5" w:rsidRPr="001153D2" w:rsidRDefault="004600D5" w:rsidP="004600D5">
      <w:pPr>
        <w:jc w:val="both"/>
        <w:rPr>
          <w:rFonts w:ascii="Arial" w:hAnsi="Arial" w:cs="Arial"/>
          <w:b/>
          <w:bCs/>
        </w:rPr>
      </w:pPr>
      <w:r w:rsidRPr="001153D2">
        <w:rPr>
          <w:rFonts w:ascii="Arial" w:hAnsi="Arial" w:cs="Arial"/>
          <w:b/>
          <w:bCs/>
        </w:rPr>
        <w:t>3.1 Prevalence of MRSA in the Studied Populations</w:t>
      </w:r>
    </w:p>
    <w:p w14:paraId="16FDC074" w14:textId="77777777" w:rsidR="004600D5" w:rsidRPr="001153D2" w:rsidRDefault="004600D5" w:rsidP="004600D5">
      <w:pPr>
        <w:jc w:val="both"/>
        <w:rPr>
          <w:rFonts w:ascii="Arial" w:hAnsi="Arial" w:cs="Arial"/>
        </w:rPr>
      </w:pPr>
      <w:r>
        <w:t xml:space="preserve">A total of 133 MRSA isolates were detected among 620 samples, </w:t>
      </w:r>
      <w:r>
        <w:rPr>
          <w:highlight w:val="yellow"/>
        </w:rPr>
        <w:t>yielding an overall prevalence</w:t>
      </w:r>
      <w:r>
        <w:t xml:space="preserve"> of 21.5% (95% CI: 18.4–24.9%). Among the 310 hospital samples, 82 were HA-MRSA (26.5%; 95% CI: 21.9–31.6%), </w:t>
      </w:r>
      <w:r>
        <w:rPr>
          <w:highlight w:val="yellow"/>
        </w:rPr>
        <w:t>and 51 of the 310 community samples were</w:t>
      </w:r>
      <w:r>
        <w:t xml:space="preserve"> CA-MRSA (16.5%; 95% CI: 12.7–21.0%). The difference in prevalence between the two groups was statistically significant (χ² = 9.20, p = 0.002). These findings indicate a substantial MRSA burden in both settings and are broadly consistent with the continued burden of antimicrobial-resistant </w:t>
      </w:r>
      <w:r>
        <w:rPr>
          <w:i/>
        </w:rPr>
        <w:t>S. aureus</w:t>
      </w:r>
      <w:r>
        <w:t xml:space="preserve"> reported in Nigeria (</w:t>
      </w:r>
      <w:proofErr w:type="spellStart"/>
      <w:r>
        <w:t>Adeiza</w:t>
      </w:r>
      <w:proofErr w:type="spellEnd"/>
      <w:r>
        <w:t xml:space="preserve"> </w:t>
      </w:r>
      <w:r w:rsidR="00CD12AA" w:rsidRPr="00CD12AA">
        <w:rPr>
          <w:i/>
          <w:iCs/>
        </w:rPr>
        <w:t>et al</w:t>
      </w:r>
      <w:r>
        <w:t xml:space="preserve">., 2020; Ezeh </w:t>
      </w:r>
      <w:r w:rsidR="00CD12AA" w:rsidRPr="00CD12AA">
        <w:rPr>
          <w:i/>
          <w:iCs/>
        </w:rPr>
        <w:t>et al</w:t>
      </w:r>
      <w:r>
        <w:t>., 2023). Differences between studies may reflect variation in population, specimen type, sampling design, and MRSA detection methods.</w:t>
      </w:r>
    </w:p>
    <w:p w14:paraId="1FCCE8F3" w14:textId="77777777" w:rsidR="004600D5" w:rsidRPr="001153D2" w:rsidRDefault="004600D5" w:rsidP="004600D5">
      <w:pPr>
        <w:spacing w:after="160"/>
        <w:jc w:val="both"/>
        <w:rPr>
          <w:rFonts w:ascii="Arial" w:hAnsi="Arial" w:cs="Arial"/>
        </w:rPr>
      </w:pPr>
      <w:r>
        <w:t xml:space="preserve">The HA-MRSA prevalence in this study was comparable to some earlier reports from Edo State, although direct comparisons should be made cautiously because </w:t>
      </w:r>
      <w:r>
        <w:rPr>
          <w:highlight w:val="yellow"/>
        </w:rPr>
        <w:t>the hospital group in the present study included</w:t>
      </w:r>
      <w:r>
        <w:t xml:space="preserve"> healthcare workers, patients, cleaners, and fomites rather than patients alone. The CA-MRSA prevalence among apparently healthy community participants also indicates that phenotypic MRSA carriage was present outside the hospital setting. More recent Nigerian studies have similarly emphasized the importance of surveillance of MRSA and antimicrobial resistance in both clinical and community-related settings (</w:t>
      </w:r>
      <w:proofErr w:type="spellStart"/>
      <w:r>
        <w:t>Adeiza</w:t>
      </w:r>
      <w:proofErr w:type="spellEnd"/>
      <w:r>
        <w:t xml:space="preserve"> </w:t>
      </w:r>
      <w:r w:rsidR="00CD12AA" w:rsidRPr="00CD12AA">
        <w:rPr>
          <w:i/>
          <w:iCs/>
        </w:rPr>
        <w:t>et al</w:t>
      </w:r>
      <w:r>
        <w:t xml:space="preserve">., 2020; Ezeh </w:t>
      </w:r>
      <w:r w:rsidR="00CD12AA" w:rsidRPr="00CD12AA">
        <w:rPr>
          <w:i/>
          <w:iCs/>
        </w:rPr>
        <w:t>et al</w:t>
      </w:r>
      <w:r>
        <w:t>., 2023).</w:t>
      </w:r>
    </w:p>
    <w:p w14:paraId="13117EB5" w14:textId="77777777" w:rsidR="004600D5" w:rsidRPr="001153D2" w:rsidRDefault="004600D5" w:rsidP="004600D5">
      <w:pPr>
        <w:jc w:val="both"/>
        <w:rPr>
          <w:rFonts w:ascii="Arial" w:hAnsi="Arial" w:cs="Arial"/>
        </w:rPr>
      </w:pPr>
      <w:r w:rsidRPr="001153D2">
        <w:rPr>
          <w:rFonts w:ascii="Arial" w:hAnsi="Arial" w:cs="Arial"/>
          <w:b/>
          <w:bCs/>
        </w:rPr>
        <w:t>Table 1: Prevalence of MRSA among the Studied Population</w:t>
      </w:r>
    </w:p>
    <w:tbl>
      <w:tblPr>
        <w:tblStyle w:val="ListTable6Colorful"/>
        <w:tblW w:w="7038" w:type="dxa"/>
        <w:jc w:val="center"/>
        <w:tblLook w:val="0420" w:firstRow="1" w:lastRow="0" w:firstColumn="0" w:lastColumn="0" w:noHBand="0" w:noVBand="1"/>
      </w:tblPr>
      <w:tblGrid>
        <w:gridCol w:w="2538"/>
        <w:gridCol w:w="1710"/>
        <w:gridCol w:w="2790"/>
      </w:tblGrid>
      <w:tr w:rsidR="004600D5" w:rsidRPr="001153D2" w14:paraId="01512E25" w14:textId="77777777" w:rsidTr="004600D5">
        <w:trPr>
          <w:cnfStyle w:val="100000000000" w:firstRow="1" w:lastRow="0" w:firstColumn="0" w:lastColumn="0" w:oddVBand="0" w:evenVBand="0" w:oddHBand="0" w:evenHBand="0" w:firstRowFirstColumn="0" w:firstRowLastColumn="0" w:lastRowFirstColumn="0" w:lastRowLastColumn="0"/>
          <w:jc w:val="center"/>
        </w:trPr>
        <w:tc>
          <w:tcPr>
            <w:tcW w:w="2538" w:type="dxa"/>
            <w:hideMark/>
          </w:tcPr>
          <w:p w14:paraId="2136A3B9"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Sample Source</w:t>
            </w:r>
          </w:p>
        </w:tc>
        <w:tc>
          <w:tcPr>
            <w:tcW w:w="1710" w:type="dxa"/>
            <w:hideMark/>
          </w:tcPr>
          <w:p w14:paraId="4833AC00"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No. of Samples</w:t>
            </w:r>
          </w:p>
        </w:tc>
        <w:tc>
          <w:tcPr>
            <w:tcW w:w="2790" w:type="dxa"/>
            <w:hideMark/>
          </w:tcPr>
          <w:p w14:paraId="015A53E5"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No. (%) Positive for MRSA</w:t>
            </w:r>
          </w:p>
        </w:tc>
      </w:tr>
      <w:tr w:rsidR="004600D5" w:rsidRPr="001153D2" w14:paraId="258C8B70" w14:textId="77777777" w:rsidTr="004600D5">
        <w:trPr>
          <w:cnfStyle w:val="000000100000" w:firstRow="0" w:lastRow="0" w:firstColumn="0" w:lastColumn="0" w:oddVBand="0" w:evenVBand="0" w:oddHBand="1" w:evenHBand="0" w:firstRowFirstColumn="0" w:firstRowLastColumn="0" w:lastRowFirstColumn="0" w:lastRowLastColumn="0"/>
          <w:jc w:val="center"/>
        </w:trPr>
        <w:tc>
          <w:tcPr>
            <w:tcW w:w="2538" w:type="dxa"/>
            <w:shd w:val="clear" w:color="auto" w:fill="auto"/>
            <w:hideMark/>
          </w:tcPr>
          <w:p w14:paraId="2263EC87"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Hospital (HA-MRSA)</w:t>
            </w:r>
          </w:p>
        </w:tc>
        <w:tc>
          <w:tcPr>
            <w:tcW w:w="1710" w:type="dxa"/>
            <w:shd w:val="clear" w:color="auto" w:fill="auto"/>
            <w:hideMark/>
          </w:tcPr>
          <w:p w14:paraId="6E75C706"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310</w:t>
            </w:r>
          </w:p>
        </w:tc>
        <w:tc>
          <w:tcPr>
            <w:tcW w:w="2790" w:type="dxa"/>
            <w:shd w:val="clear" w:color="auto" w:fill="auto"/>
            <w:hideMark/>
          </w:tcPr>
          <w:p w14:paraId="376129C7"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82 (27)</w:t>
            </w:r>
          </w:p>
        </w:tc>
      </w:tr>
      <w:tr w:rsidR="004600D5" w:rsidRPr="001153D2" w14:paraId="43FB8969" w14:textId="77777777" w:rsidTr="004600D5">
        <w:trPr>
          <w:jc w:val="center"/>
        </w:trPr>
        <w:tc>
          <w:tcPr>
            <w:tcW w:w="2538" w:type="dxa"/>
            <w:hideMark/>
          </w:tcPr>
          <w:p w14:paraId="1BCE20DB"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Community (CA-MRSA)</w:t>
            </w:r>
          </w:p>
        </w:tc>
        <w:tc>
          <w:tcPr>
            <w:tcW w:w="1710" w:type="dxa"/>
            <w:hideMark/>
          </w:tcPr>
          <w:p w14:paraId="4DCF2AE1"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310</w:t>
            </w:r>
          </w:p>
        </w:tc>
        <w:tc>
          <w:tcPr>
            <w:tcW w:w="2790" w:type="dxa"/>
            <w:hideMark/>
          </w:tcPr>
          <w:p w14:paraId="1FACD1DB"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51 (17)</w:t>
            </w:r>
          </w:p>
        </w:tc>
      </w:tr>
      <w:tr w:rsidR="004600D5" w:rsidRPr="001153D2" w14:paraId="7D24822B" w14:textId="77777777" w:rsidTr="004600D5">
        <w:trPr>
          <w:cnfStyle w:val="000000100000" w:firstRow="0" w:lastRow="0" w:firstColumn="0" w:lastColumn="0" w:oddVBand="0" w:evenVBand="0" w:oddHBand="1" w:evenHBand="0" w:firstRowFirstColumn="0" w:firstRowLastColumn="0" w:lastRowFirstColumn="0" w:lastRowLastColumn="0"/>
          <w:jc w:val="center"/>
        </w:trPr>
        <w:tc>
          <w:tcPr>
            <w:tcW w:w="2538" w:type="dxa"/>
            <w:shd w:val="clear" w:color="auto" w:fill="auto"/>
            <w:hideMark/>
          </w:tcPr>
          <w:p w14:paraId="23D36C98" w14:textId="77777777" w:rsidR="004600D5" w:rsidRPr="001153D2" w:rsidRDefault="004600D5" w:rsidP="00AE0B90">
            <w:pPr>
              <w:jc w:val="both"/>
              <w:rPr>
                <w:rFonts w:ascii="Arial" w:hAnsi="Arial" w:cs="Arial"/>
                <w:sz w:val="20"/>
                <w:szCs w:val="20"/>
              </w:rPr>
            </w:pPr>
            <w:r w:rsidRPr="001153D2">
              <w:rPr>
                <w:rFonts w:ascii="Arial" w:hAnsi="Arial" w:cs="Arial"/>
                <w:b/>
                <w:bCs/>
                <w:sz w:val="20"/>
                <w:szCs w:val="20"/>
              </w:rPr>
              <w:t>Total</w:t>
            </w:r>
          </w:p>
        </w:tc>
        <w:tc>
          <w:tcPr>
            <w:tcW w:w="1710" w:type="dxa"/>
            <w:shd w:val="clear" w:color="auto" w:fill="auto"/>
            <w:hideMark/>
          </w:tcPr>
          <w:p w14:paraId="00F9C8D5" w14:textId="77777777" w:rsidR="004600D5" w:rsidRPr="001153D2" w:rsidRDefault="004600D5" w:rsidP="00AE0B90">
            <w:pPr>
              <w:jc w:val="both"/>
              <w:rPr>
                <w:rFonts w:ascii="Arial" w:hAnsi="Arial" w:cs="Arial"/>
                <w:sz w:val="20"/>
                <w:szCs w:val="20"/>
              </w:rPr>
            </w:pPr>
            <w:r w:rsidRPr="001153D2">
              <w:rPr>
                <w:rFonts w:ascii="Arial" w:hAnsi="Arial" w:cs="Arial"/>
                <w:b/>
                <w:bCs/>
                <w:sz w:val="20"/>
                <w:szCs w:val="20"/>
              </w:rPr>
              <w:t>620</w:t>
            </w:r>
          </w:p>
        </w:tc>
        <w:tc>
          <w:tcPr>
            <w:tcW w:w="2790" w:type="dxa"/>
            <w:shd w:val="clear" w:color="auto" w:fill="auto"/>
            <w:hideMark/>
          </w:tcPr>
          <w:p w14:paraId="099A3D0B" w14:textId="77777777" w:rsidR="004600D5" w:rsidRPr="001153D2" w:rsidRDefault="004600D5" w:rsidP="00AE0B90">
            <w:pPr>
              <w:jc w:val="both"/>
              <w:rPr>
                <w:rFonts w:ascii="Arial" w:hAnsi="Arial" w:cs="Arial"/>
                <w:sz w:val="20"/>
                <w:szCs w:val="20"/>
              </w:rPr>
            </w:pPr>
            <w:r w:rsidRPr="001153D2">
              <w:rPr>
                <w:rFonts w:ascii="Arial" w:hAnsi="Arial" w:cs="Arial"/>
                <w:b/>
                <w:bCs/>
                <w:sz w:val="20"/>
                <w:szCs w:val="20"/>
              </w:rPr>
              <w:t>133 (22)</w:t>
            </w:r>
          </w:p>
        </w:tc>
      </w:tr>
    </w:tbl>
    <w:p w14:paraId="7CA2B9A5" w14:textId="77777777" w:rsidR="004600D5" w:rsidRPr="001153D2" w:rsidRDefault="004600D5" w:rsidP="004600D5">
      <w:pPr>
        <w:jc w:val="both"/>
        <w:rPr>
          <w:rFonts w:ascii="Arial" w:hAnsi="Arial" w:cs="Arial"/>
          <w:b/>
          <w:bCs/>
        </w:rPr>
      </w:pPr>
    </w:p>
    <w:p w14:paraId="09B8E781" w14:textId="77777777" w:rsidR="004600D5" w:rsidRPr="001153D2" w:rsidRDefault="004600D5" w:rsidP="004600D5">
      <w:pPr>
        <w:jc w:val="both"/>
        <w:rPr>
          <w:rFonts w:ascii="Arial" w:hAnsi="Arial" w:cs="Arial"/>
          <w:b/>
          <w:bCs/>
        </w:rPr>
      </w:pPr>
      <w:r w:rsidRPr="001153D2">
        <w:rPr>
          <w:rFonts w:ascii="Arial" w:hAnsi="Arial" w:cs="Arial"/>
          <w:b/>
          <w:bCs/>
        </w:rPr>
        <w:t>3.2 Distribution of HA-MRSA According to Subjects and Hospital Departments</w:t>
      </w:r>
    </w:p>
    <w:p w14:paraId="1595FD62" w14:textId="77777777" w:rsidR="004600D5" w:rsidRPr="001153D2" w:rsidRDefault="004600D5" w:rsidP="004600D5">
      <w:pPr>
        <w:spacing w:after="160"/>
        <w:jc w:val="both"/>
        <w:rPr>
          <w:rFonts w:ascii="Arial" w:hAnsi="Arial" w:cs="Arial"/>
        </w:rPr>
      </w:pPr>
      <w:r>
        <w:t xml:space="preserve">Among the 82 HA-MRSA isolates, the largest proportion was recovered from fomites (32%), followed by cleaners (24%), nurses (19%), patients (13%), and doctors (12%) (Table 2). </w:t>
      </w:r>
      <w:r>
        <w:rPr>
          <w:highlight w:val="yellow"/>
        </w:rPr>
        <w:t>This distribution identifies fomites and frequently exposed occupational groups as important sources from which MRSA was detected</w:t>
      </w:r>
      <w:r>
        <w:t xml:space="preserve"> in the hospital setting. However, the cross-sectional design does not establish a direction of transmission. The findings are consistent with the established importance of contaminated surfaces and close contact in healthcare-associated transmission, and they support continued attention to environmental cleaning and hand hygiene.</w:t>
      </w:r>
    </w:p>
    <w:p w14:paraId="362650F3" w14:textId="77777777" w:rsidR="004600D5" w:rsidRPr="001153D2" w:rsidRDefault="004600D5" w:rsidP="004600D5">
      <w:pPr>
        <w:spacing w:after="240"/>
        <w:jc w:val="both"/>
        <w:rPr>
          <w:rFonts w:ascii="Arial" w:hAnsi="Arial" w:cs="Arial"/>
        </w:rPr>
      </w:pPr>
      <w:r>
        <w:rPr>
          <w:highlight w:val="yellow"/>
        </w:rPr>
        <w:t>The observed pattern of isolation</w:t>
      </w:r>
      <w:r>
        <w:t xml:space="preserve"> (fomites &gt; cleaners &gt; nurses &gt; patients &gt; doctors) should therefore be interpreted descriptively rather than as proof of a transmission chain. Differences between groups may reflect differences in exposure, sampling intensity, </w:t>
      </w:r>
      <w:r>
        <w:rPr>
          <w:highlight w:val="yellow"/>
        </w:rPr>
        <w:t>colonisation</w:t>
      </w:r>
      <w:r>
        <w:t xml:space="preserve"> status, or other unmeasured factors. The distribution of MRSA among hospital departments showed the highest proportions in the male surgical ward (13%), female surgical ward (11%), and laundry (11%), while MCH and ICU had the lowest proportions (4% each) (Table 2).</w:t>
      </w:r>
    </w:p>
    <w:p w14:paraId="76FC4487" w14:textId="77777777" w:rsidR="004600D5" w:rsidRPr="001153D2" w:rsidRDefault="004600D5" w:rsidP="004600D5">
      <w:pPr>
        <w:spacing w:after="160"/>
        <w:jc w:val="both"/>
        <w:rPr>
          <w:rFonts w:ascii="Arial" w:hAnsi="Arial" w:cs="Arial"/>
        </w:rPr>
      </w:pPr>
      <w:r>
        <w:lastRenderedPageBreak/>
        <w:t>Surgical wards and laundry areas may provide opportunities for MRSA persistence and transmission because of contact with wounds, equipment, linens, and other frequently handled materials. Nevertheless, the study did not measure environmental cleaning frequency, hand-hygiene compliance, antibiotic consumption, or patient-level risk factors, so explanations for the departmental differences remain hypotheses requiring further investigation.</w:t>
      </w:r>
    </w:p>
    <w:p w14:paraId="46DDEF78" w14:textId="77777777" w:rsidR="004600D5" w:rsidRPr="001153D2" w:rsidRDefault="004600D5" w:rsidP="004600D5">
      <w:pPr>
        <w:jc w:val="both"/>
        <w:rPr>
          <w:rFonts w:ascii="Arial" w:hAnsi="Arial" w:cs="Arial"/>
        </w:rPr>
      </w:pPr>
      <w:r w:rsidRPr="001153D2">
        <w:rPr>
          <w:rFonts w:ascii="Arial" w:hAnsi="Arial" w:cs="Arial"/>
          <w:b/>
          <w:bCs/>
        </w:rPr>
        <w:t>Table 2: Distribution of HA-MRSA Isolates in ISTH</w:t>
      </w:r>
    </w:p>
    <w:tbl>
      <w:tblPr>
        <w:tblStyle w:val="ListTable6Colorful"/>
        <w:tblW w:w="6768" w:type="dxa"/>
        <w:jc w:val="center"/>
        <w:tblLook w:val="0420" w:firstRow="1" w:lastRow="0" w:firstColumn="0" w:lastColumn="0" w:noHBand="0" w:noVBand="1"/>
      </w:tblPr>
      <w:tblGrid>
        <w:gridCol w:w="2178"/>
        <w:gridCol w:w="2430"/>
        <w:gridCol w:w="2160"/>
      </w:tblGrid>
      <w:tr w:rsidR="004600D5" w:rsidRPr="001153D2" w14:paraId="50A220A5" w14:textId="77777777" w:rsidTr="004600D5">
        <w:trPr>
          <w:cnfStyle w:val="100000000000" w:firstRow="1" w:lastRow="0" w:firstColumn="0" w:lastColumn="0" w:oddVBand="0" w:evenVBand="0" w:oddHBand="0" w:evenHBand="0" w:firstRowFirstColumn="0" w:firstRowLastColumn="0" w:lastRowFirstColumn="0" w:lastRowLastColumn="0"/>
          <w:jc w:val="center"/>
        </w:trPr>
        <w:tc>
          <w:tcPr>
            <w:tcW w:w="2178" w:type="dxa"/>
            <w:hideMark/>
          </w:tcPr>
          <w:p w14:paraId="4B38B552"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Department/Ward</w:t>
            </w:r>
          </w:p>
        </w:tc>
        <w:tc>
          <w:tcPr>
            <w:tcW w:w="2430" w:type="dxa"/>
            <w:hideMark/>
          </w:tcPr>
          <w:p w14:paraId="5990E5C0"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No. of MRSA Isolates</w:t>
            </w:r>
          </w:p>
        </w:tc>
        <w:tc>
          <w:tcPr>
            <w:tcW w:w="2160" w:type="dxa"/>
            <w:hideMark/>
          </w:tcPr>
          <w:p w14:paraId="26CAE439"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Percentage (%)</w:t>
            </w:r>
          </w:p>
        </w:tc>
      </w:tr>
      <w:tr w:rsidR="004600D5" w:rsidRPr="001153D2" w14:paraId="6E9E2E19" w14:textId="77777777" w:rsidTr="004600D5">
        <w:trPr>
          <w:cnfStyle w:val="000000100000" w:firstRow="0" w:lastRow="0" w:firstColumn="0" w:lastColumn="0" w:oddVBand="0" w:evenVBand="0" w:oddHBand="1" w:evenHBand="0" w:firstRowFirstColumn="0" w:firstRowLastColumn="0" w:lastRowFirstColumn="0" w:lastRowLastColumn="0"/>
          <w:jc w:val="center"/>
        </w:trPr>
        <w:tc>
          <w:tcPr>
            <w:tcW w:w="2178" w:type="dxa"/>
            <w:shd w:val="clear" w:color="auto" w:fill="auto"/>
            <w:hideMark/>
          </w:tcPr>
          <w:p w14:paraId="76CB2DC8"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Male Surgical</w:t>
            </w:r>
          </w:p>
        </w:tc>
        <w:tc>
          <w:tcPr>
            <w:tcW w:w="2430" w:type="dxa"/>
            <w:shd w:val="clear" w:color="auto" w:fill="auto"/>
            <w:hideMark/>
          </w:tcPr>
          <w:p w14:paraId="6BA85BAC"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11</w:t>
            </w:r>
          </w:p>
        </w:tc>
        <w:tc>
          <w:tcPr>
            <w:tcW w:w="2160" w:type="dxa"/>
            <w:shd w:val="clear" w:color="auto" w:fill="auto"/>
            <w:hideMark/>
          </w:tcPr>
          <w:p w14:paraId="34D1C5CE"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13</w:t>
            </w:r>
          </w:p>
        </w:tc>
      </w:tr>
      <w:tr w:rsidR="004600D5" w:rsidRPr="001153D2" w14:paraId="38AA4BEE" w14:textId="77777777" w:rsidTr="004600D5">
        <w:trPr>
          <w:jc w:val="center"/>
        </w:trPr>
        <w:tc>
          <w:tcPr>
            <w:tcW w:w="2178" w:type="dxa"/>
            <w:hideMark/>
          </w:tcPr>
          <w:p w14:paraId="455B731D"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Female Surgical</w:t>
            </w:r>
          </w:p>
        </w:tc>
        <w:tc>
          <w:tcPr>
            <w:tcW w:w="2430" w:type="dxa"/>
            <w:hideMark/>
          </w:tcPr>
          <w:p w14:paraId="605BE717"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9</w:t>
            </w:r>
          </w:p>
        </w:tc>
        <w:tc>
          <w:tcPr>
            <w:tcW w:w="2160" w:type="dxa"/>
            <w:hideMark/>
          </w:tcPr>
          <w:p w14:paraId="40BD491A"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11</w:t>
            </w:r>
          </w:p>
        </w:tc>
      </w:tr>
      <w:tr w:rsidR="004600D5" w:rsidRPr="001153D2" w14:paraId="0E881CCF" w14:textId="77777777" w:rsidTr="004600D5">
        <w:trPr>
          <w:cnfStyle w:val="000000100000" w:firstRow="0" w:lastRow="0" w:firstColumn="0" w:lastColumn="0" w:oddVBand="0" w:evenVBand="0" w:oddHBand="1" w:evenHBand="0" w:firstRowFirstColumn="0" w:firstRowLastColumn="0" w:lastRowFirstColumn="0" w:lastRowLastColumn="0"/>
          <w:jc w:val="center"/>
        </w:trPr>
        <w:tc>
          <w:tcPr>
            <w:tcW w:w="2178" w:type="dxa"/>
            <w:shd w:val="clear" w:color="auto" w:fill="auto"/>
            <w:hideMark/>
          </w:tcPr>
          <w:p w14:paraId="782FA8FF"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Laundry</w:t>
            </w:r>
          </w:p>
        </w:tc>
        <w:tc>
          <w:tcPr>
            <w:tcW w:w="2430" w:type="dxa"/>
            <w:shd w:val="clear" w:color="auto" w:fill="auto"/>
            <w:hideMark/>
          </w:tcPr>
          <w:p w14:paraId="57734009"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9</w:t>
            </w:r>
          </w:p>
        </w:tc>
        <w:tc>
          <w:tcPr>
            <w:tcW w:w="2160" w:type="dxa"/>
            <w:shd w:val="clear" w:color="auto" w:fill="auto"/>
            <w:hideMark/>
          </w:tcPr>
          <w:p w14:paraId="7B6C8DC8"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11</w:t>
            </w:r>
          </w:p>
        </w:tc>
      </w:tr>
      <w:tr w:rsidR="004600D5" w:rsidRPr="001153D2" w14:paraId="5320C106" w14:textId="77777777" w:rsidTr="004600D5">
        <w:trPr>
          <w:jc w:val="center"/>
        </w:trPr>
        <w:tc>
          <w:tcPr>
            <w:tcW w:w="2178" w:type="dxa"/>
            <w:hideMark/>
          </w:tcPr>
          <w:p w14:paraId="16C5DB16"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A&amp;E</w:t>
            </w:r>
          </w:p>
        </w:tc>
        <w:tc>
          <w:tcPr>
            <w:tcW w:w="2430" w:type="dxa"/>
            <w:hideMark/>
          </w:tcPr>
          <w:p w14:paraId="3F72A313"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7</w:t>
            </w:r>
          </w:p>
        </w:tc>
        <w:tc>
          <w:tcPr>
            <w:tcW w:w="2160" w:type="dxa"/>
            <w:hideMark/>
          </w:tcPr>
          <w:p w14:paraId="2BE6DFB4"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9</w:t>
            </w:r>
          </w:p>
        </w:tc>
      </w:tr>
      <w:tr w:rsidR="004600D5" w:rsidRPr="001153D2" w14:paraId="4D66DC84" w14:textId="77777777" w:rsidTr="004600D5">
        <w:trPr>
          <w:cnfStyle w:val="000000100000" w:firstRow="0" w:lastRow="0" w:firstColumn="0" w:lastColumn="0" w:oddVBand="0" w:evenVBand="0" w:oddHBand="1" w:evenHBand="0" w:firstRowFirstColumn="0" w:firstRowLastColumn="0" w:lastRowFirstColumn="0" w:lastRowLastColumn="0"/>
          <w:jc w:val="center"/>
        </w:trPr>
        <w:tc>
          <w:tcPr>
            <w:tcW w:w="2178" w:type="dxa"/>
            <w:shd w:val="clear" w:color="auto" w:fill="auto"/>
            <w:hideMark/>
          </w:tcPr>
          <w:p w14:paraId="2A99EBB5"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Lassa Ward</w:t>
            </w:r>
          </w:p>
        </w:tc>
        <w:tc>
          <w:tcPr>
            <w:tcW w:w="2430" w:type="dxa"/>
            <w:shd w:val="clear" w:color="auto" w:fill="auto"/>
            <w:hideMark/>
          </w:tcPr>
          <w:p w14:paraId="6DF44123"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6</w:t>
            </w:r>
          </w:p>
        </w:tc>
        <w:tc>
          <w:tcPr>
            <w:tcW w:w="2160" w:type="dxa"/>
            <w:shd w:val="clear" w:color="auto" w:fill="auto"/>
            <w:hideMark/>
          </w:tcPr>
          <w:p w14:paraId="4E73D95E"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7</w:t>
            </w:r>
          </w:p>
        </w:tc>
      </w:tr>
      <w:tr w:rsidR="004600D5" w:rsidRPr="001153D2" w14:paraId="21E7F5FC" w14:textId="77777777" w:rsidTr="004600D5">
        <w:trPr>
          <w:jc w:val="center"/>
        </w:trPr>
        <w:tc>
          <w:tcPr>
            <w:tcW w:w="2178" w:type="dxa"/>
            <w:hideMark/>
          </w:tcPr>
          <w:p w14:paraId="7E2686F8"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Ophthalmology</w:t>
            </w:r>
          </w:p>
        </w:tc>
        <w:tc>
          <w:tcPr>
            <w:tcW w:w="2430" w:type="dxa"/>
            <w:hideMark/>
          </w:tcPr>
          <w:p w14:paraId="2714E230"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6</w:t>
            </w:r>
          </w:p>
        </w:tc>
        <w:tc>
          <w:tcPr>
            <w:tcW w:w="2160" w:type="dxa"/>
            <w:hideMark/>
          </w:tcPr>
          <w:p w14:paraId="67361C48"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7</w:t>
            </w:r>
          </w:p>
        </w:tc>
      </w:tr>
      <w:tr w:rsidR="004600D5" w:rsidRPr="001153D2" w14:paraId="1B2F3EF7" w14:textId="77777777" w:rsidTr="004600D5">
        <w:trPr>
          <w:cnfStyle w:val="000000100000" w:firstRow="0" w:lastRow="0" w:firstColumn="0" w:lastColumn="0" w:oddVBand="0" w:evenVBand="0" w:oddHBand="1" w:evenHBand="0" w:firstRowFirstColumn="0" w:firstRowLastColumn="0" w:lastRowFirstColumn="0" w:lastRowLastColumn="0"/>
          <w:jc w:val="center"/>
        </w:trPr>
        <w:tc>
          <w:tcPr>
            <w:tcW w:w="2178" w:type="dxa"/>
            <w:shd w:val="clear" w:color="auto" w:fill="auto"/>
            <w:hideMark/>
          </w:tcPr>
          <w:p w14:paraId="5AD499BD" w14:textId="77777777" w:rsidR="004600D5" w:rsidRPr="001153D2" w:rsidRDefault="004600D5" w:rsidP="00AE0B90">
            <w:pPr>
              <w:jc w:val="both"/>
              <w:rPr>
                <w:rFonts w:ascii="Arial" w:hAnsi="Arial" w:cs="Arial"/>
                <w:sz w:val="20"/>
                <w:szCs w:val="20"/>
              </w:rPr>
            </w:pPr>
            <w:proofErr w:type="spellStart"/>
            <w:r w:rsidRPr="001153D2">
              <w:rPr>
                <w:rFonts w:ascii="Arial" w:hAnsi="Arial" w:cs="Arial"/>
                <w:sz w:val="20"/>
                <w:szCs w:val="20"/>
              </w:rPr>
              <w:t>Labour</w:t>
            </w:r>
            <w:proofErr w:type="spellEnd"/>
            <w:r w:rsidRPr="001153D2">
              <w:rPr>
                <w:rFonts w:ascii="Arial" w:hAnsi="Arial" w:cs="Arial"/>
                <w:sz w:val="20"/>
                <w:szCs w:val="20"/>
              </w:rPr>
              <w:t xml:space="preserve"> Ward</w:t>
            </w:r>
          </w:p>
        </w:tc>
        <w:tc>
          <w:tcPr>
            <w:tcW w:w="2430" w:type="dxa"/>
            <w:shd w:val="clear" w:color="auto" w:fill="auto"/>
            <w:hideMark/>
          </w:tcPr>
          <w:p w14:paraId="291AD5A8"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6</w:t>
            </w:r>
          </w:p>
        </w:tc>
        <w:tc>
          <w:tcPr>
            <w:tcW w:w="2160" w:type="dxa"/>
            <w:shd w:val="clear" w:color="auto" w:fill="auto"/>
            <w:hideMark/>
          </w:tcPr>
          <w:p w14:paraId="05835A63"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7</w:t>
            </w:r>
          </w:p>
        </w:tc>
      </w:tr>
      <w:tr w:rsidR="004600D5" w:rsidRPr="001153D2" w14:paraId="48F5D74B" w14:textId="77777777" w:rsidTr="004600D5">
        <w:trPr>
          <w:jc w:val="center"/>
        </w:trPr>
        <w:tc>
          <w:tcPr>
            <w:tcW w:w="2178" w:type="dxa"/>
            <w:hideMark/>
          </w:tcPr>
          <w:p w14:paraId="7E8F49A4"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Gynecology</w:t>
            </w:r>
          </w:p>
        </w:tc>
        <w:tc>
          <w:tcPr>
            <w:tcW w:w="2430" w:type="dxa"/>
            <w:hideMark/>
          </w:tcPr>
          <w:p w14:paraId="5A091675"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5</w:t>
            </w:r>
          </w:p>
        </w:tc>
        <w:tc>
          <w:tcPr>
            <w:tcW w:w="2160" w:type="dxa"/>
            <w:hideMark/>
          </w:tcPr>
          <w:p w14:paraId="29AF6657"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6</w:t>
            </w:r>
          </w:p>
        </w:tc>
      </w:tr>
      <w:tr w:rsidR="004600D5" w:rsidRPr="001153D2" w14:paraId="333DAEFD" w14:textId="77777777" w:rsidTr="004600D5">
        <w:trPr>
          <w:cnfStyle w:val="000000100000" w:firstRow="0" w:lastRow="0" w:firstColumn="0" w:lastColumn="0" w:oddVBand="0" w:evenVBand="0" w:oddHBand="1" w:evenHBand="0" w:firstRowFirstColumn="0" w:firstRowLastColumn="0" w:lastRowFirstColumn="0" w:lastRowLastColumn="0"/>
          <w:jc w:val="center"/>
        </w:trPr>
        <w:tc>
          <w:tcPr>
            <w:tcW w:w="2178" w:type="dxa"/>
            <w:shd w:val="clear" w:color="auto" w:fill="auto"/>
            <w:hideMark/>
          </w:tcPr>
          <w:p w14:paraId="1A514139"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Radiology</w:t>
            </w:r>
          </w:p>
        </w:tc>
        <w:tc>
          <w:tcPr>
            <w:tcW w:w="2430" w:type="dxa"/>
            <w:shd w:val="clear" w:color="auto" w:fill="auto"/>
            <w:hideMark/>
          </w:tcPr>
          <w:p w14:paraId="3A3FED8A"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5</w:t>
            </w:r>
          </w:p>
        </w:tc>
        <w:tc>
          <w:tcPr>
            <w:tcW w:w="2160" w:type="dxa"/>
            <w:shd w:val="clear" w:color="auto" w:fill="auto"/>
            <w:hideMark/>
          </w:tcPr>
          <w:p w14:paraId="4188AC10"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6</w:t>
            </w:r>
          </w:p>
        </w:tc>
      </w:tr>
      <w:tr w:rsidR="004600D5" w:rsidRPr="001153D2" w14:paraId="5C6C85AD" w14:textId="77777777" w:rsidTr="004600D5">
        <w:trPr>
          <w:jc w:val="center"/>
        </w:trPr>
        <w:tc>
          <w:tcPr>
            <w:tcW w:w="2178" w:type="dxa"/>
            <w:hideMark/>
          </w:tcPr>
          <w:p w14:paraId="606EFD32"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Pediatrics</w:t>
            </w:r>
          </w:p>
        </w:tc>
        <w:tc>
          <w:tcPr>
            <w:tcW w:w="2430" w:type="dxa"/>
            <w:hideMark/>
          </w:tcPr>
          <w:p w14:paraId="1CF4467A"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4</w:t>
            </w:r>
          </w:p>
        </w:tc>
        <w:tc>
          <w:tcPr>
            <w:tcW w:w="2160" w:type="dxa"/>
            <w:hideMark/>
          </w:tcPr>
          <w:p w14:paraId="62406B98"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5</w:t>
            </w:r>
          </w:p>
        </w:tc>
      </w:tr>
      <w:tr w:rsidR="004600D5" w:rsidRPr="001153D2" w14:paraId="1EEDFC9F" w14:textId="77777777" w:rsidTr="004600D5">
        <w:trPr>
          <w:cnfStyle w:val="000000100000" w:firstRow="0" w:lastRow="0" w:firstColumn="0" w:lastColumn="0" w:oddVBand="0" w:evenVBand="0" w:oddHBand="1" w:evenHBand="0" w:firstRowFirstColumn="0" w:firstRowLastColumn="0" w:lastRowFirstColumn="0" w:lastRowLastColumn="0"/>
          <w:jc w:val="center"/>
        </w:trPr>
        <w:tc>
          <w:tcPr>
            <w:tcW w:w="2178" w:type="dxa"/>
            <w:shd w:val="clear" w:color="auto" w:fill="auto"/>
            <w:hideMark/>
          </w:tcPr>
          <w:p w14:paraId="4A51276C"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Post-natal</w:t>
            </w:r>
          </w:p>
        </w:tc>
        <w:tc>
          <w:tcPr>
            <w:tcW w:w="2430" w:type="dxa"/>
            <w:shd w:val="clear" w:color="auto" w:fill="auto"/>
            <w:hideMark/>
          </w:tcPr>
          <w:p w14:paraId="26623174"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4</w:t>
            </w:r>
          </w:p>
        </w:tc>
        <w:tc>
          <w:tcPr>
            <w:tcW w:w="2160" w:type="dxa"/>
            <w:shd w:val="clear" w:color="auto" w:fill="auto"/>
            <w:hideMark/>
          </w:tcPr>
          <w:p w14:paraId="200FF31A"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5</w:t>
            </w:r>
          </w:p>
        </w:tc>
      </w:tr>
      <w:tr w:rsidR="004600D5" w:rsidRPr="001153D2" w14:paraId="13C248B3" w14:textId="77777777" w:rsidTr="004600D5">
        <w:trPr>
          <w:jc w:val="center"/>
        </w:trPr>
        <w:tc>
          <w:tcPr>
            <w:tcW w:w="2178" w:type="dxa"/>
            <w:hideMark/>
          </w:tcPr>
          <w:p w14:paraId="2B0120E0"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SCBU</w:t>
            </w:r>
          </w:p>
        </w:tc>
        <w:tc>
          <w:tcPr>
            <w:tcW w:w="2430" w:type="dxa"/>
            <w:hideMark/>
          </w:tcPr>
          <w:p w14:paraId="6557054B"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4</w:t>
            </w:r>
          </w:p>
        </w:tc>
        <w:tc>
          <w:tcPr>
            <w:tcW w:w="2160" w:type="dxa"/>
            <w:hideMark/>
          </w:tcPr>
          <w:p w14:paraId="5672F8DE"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5</w:t>
            </w:r>
          </w:p>
        </w:tc>
      </w:tr>
      <w:tr w:rsidR="004600D5" w:rsidRPr="001153D2" w14:paraId="769B846A" w14:textId="77777777" w:rsidTr="004600D5">
        <w:trPr>
          <w:cnfStyle w:val="000000100000" w:firstRow="0" w:lastRow="0" w:firstColumn="0" w:lastColumn="0" w:oddVBand="0" w:evenVBand="0" w:oddHBand="1" w:evenHBand="0" w:firstRowFirstColumn="0" w:firstRowLastColumn="0" w:lastRowFirstColumn="0" w:lastRowLastColumn="0"/>
          <w:jc w:val="center"/>
        </w:trPr>
        <w:tc>
          <w:tcPr>
            <w:tcW w:w="2178" w:type="dxa"/>
            <w:shd w:val="clear" w:color="auto" w:fill="auto"/>
            <w:hideMark/>
          </w:tcPr>
          <w:p w14:paraId="1F6BABA8"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MCH</w:t>
            </w:r>
          </w:p>
        </w:tc>
        <w:tc>
          <w:tcPr>
            <w:tcW w:w="2430" w:type="dxa"/>
            <w:shd w:val="clear" w:color="auto" w:fill="auto"/>
            <w:hideMark/>
          </w:tcPr>
          <w:p w14:paraId="00A52174"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3</w:t>
            </w:r>
          </w:p>
        </w:tc>
        <w:tc>
          <w:tcPr>
            <w:tcW w:w="2160" w:type="dxa"/>
            <w:shd w:val="clear" w:color="auto" w:fill="auto"/>
            <w:hideMark/>
          </w:tcPr>
          <w:p w14:paraId="5A011550"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4</w:t>
            </w:r>
          </w:p>
        </w:tc>
      </w:tr>
      <w:tr w:rsidR="004600D5" w:rsidRPr="001153D2" w14:paraId="42F464B7" w14:textId="77777777" w:rsidTr="004600D5">
        <w:trPr>
          <w:jc w:val="center"/>
        </w:trPr>
        <w:tc>
          <w:tcPr>
            <w:tcW w:w="2178" w:type="dxa"/>
            <w:hideMark/>
          </w:tcPr>
          <w:p w14:paraId="4733C075"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ICU</w:t>
            </w:r>
          </w:p>
        </w:tc>
        <w:tc>
          <w:tcPr>
            <w:tcW w:w="2430" w:type="dxa"/>
            <w:hideMark/>
          </w:tcPr>
          <w:p w14:paraId="276B1C5A"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3</w:t>
            </w:r>
          </w:p>
        </w:tc>
        <w:tc>
          <w:tcPr>
            <w:tcW w:w="2160" w:type="dxa"/>
            <w:hideMark/>
          </w:tcPr>
          <w:p w14:paraId="532B65FC"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4</w:t>
            </w:r>
          </w:p>
        </w:tc>
      </w:tr>
      <w:tr w:rsidR="004600D5" w:rsidRPr="001153D2" w14:paraId="126CD67C" w14:textId="77777777" w:rsidTr="004600D5">
        <w:trPr>
          <w:cnfStyle w:val="000000100000" w:firstRow="0" w:lastRow="0" w:firstColumn="0" w:lastColumn="0" w:oddVBand="0" w:evenVBand="0" w:oddHBand="1" w:evenHBand="0" w:firstRowFirstColumn="0" w:firstRowLastColumn="0" w:lastRowFirstColumn="0" w:lastRowLastColumn="0"/>
          <w:jc w:val="center"/>
        </w:trPr>
        <w:tc>
          <w:tcPr>
            <w:tcW w:w="2178" w:type="dxa"/>
            <w:shd w:val="clear" w:color="auto" w:fill="auto"/>
            <w:hideMark/>
          </w:tcPr>
          <w:p w14:paraId="34C89719" w14:textId="77777777" w:rsidR="004600D5" w:rsidRPr="001153D2" w:rsidRDefault="004600D5" w:rsidP="00AE0B90">
            <w:pPr>
              <w:jc w:val="both"/>
              <w:rPr>
                <w:rFonts w:ascii="Arial" w:hAnsi="Arial" w:cs="Arial"/>
                <w:sz w:val="20"/>
                <w:szCs w:val="20"/>
              </w:rPr>
            </w:pPr>
            <w:r w:rsidRPr="001153D2">
              <w:rPr>
                <w:rFonts w:ascii="Arial" w:hAnsi="Arial" w:cs="Arial"/>
                <w:b/>
                <w:bCs/>
                <w:sz w:val="20"/>
                <w:szCs w:val="20"/>
              </w:rPr>
              <w:t>Total</w:t>
            </w:r>
          </w:p>
        </w:tc>
        <w:tc>
          <w:tcPr>
            <w:tcW w:w="2430" w:type="dxa"/>
            <w:shd w:val="clear" w:color="auto" w:fill="auto"/>
            <w:hideMark/>
          </w:tcPr>
          <w:p w14:paraId="0E597306" w14:textId="77777777" w:rsidR="004600D5" w:rsidRPr="001153D2" w:rsidRDefault="004600D5" w:rsidP="00AE0B90">
            <w:pPr>
              <w:jc w:val="both"/>
              <w:rPr>
                <w:rFonts w:ascii="Arial" w:hAnsi="Arial" w:cs="Arial"/>
                <w:sz w:val="20"/>
                <w:szCs w:val="20"/>
              </w:rPr>
            </w:pPr>
            <w:r w:rsidRPr="001153D2">
              <w:rPr>
                <w:rFonts w:ascii="Arial" w:hAnsi="Arial" w:cs="Arial"/>
                <w:b/>
                <w:bCs/>
                <w:sz w:val="20"/>
                <w:szCs w:val="20"/>
              </w:rPr>
              <w:t>82</w:t>
            </w:r>
          </w:p>
        </w:tc>
        <w:tc>
          <w:tcPr>
            <w:tcW w:w="2160" w:type="dxa"/>
            <w:shd w:val="clear" w:color="auto" w:fill="auto"/>
            <w:hideMark/>
          </w:tcPr>
          <w:p w14:paraId="189E77F6" w14:textId="77777777" w:rsidR="004600D5" w:rsidRPr="001153D2" w:rsidRDefault="004600D5" w:rsidP="00AE0B90">
            <w:pPr>
              <w:jc w:val="both"/>
              <w:rPr>
                <w:rFonts w:ascii="Arial" w:hAnsi="Arial" w:cs="Arial"/>
                <w:sz w:val="20"/>
                <w:szCs w:val="20"/>
              </w:rPr>
            </w:pPr>
            <w:r w:rsidRPr="001153D2">
              <w:rPr>
                <w:rFonts w:ascii="Arial" w:hAnsi="Arial" w:cs="Arial"/>
                <w:b/>
                <w:bCs/>
                <w:sz w:val="20"/>
                <w:szCs w:val="20"/>
              </w:rPr>
              <w:t>100</w:t>
            </w:r>
          </w:p>
        </w:tc>
      </w:tr>
    </w:tbl>
    <w:p w14:paraId="746D1CC6" w14:textId="77777777" w:rsidR="004600D5" w:rsidRPr="001153D2" w:rsidRDefault="004600D5" w:rsidP="004600D5">
      <w:pPr>
        <w:jc w:val="both"/>
        <w:rPr>
          <w:rFonts w:ascii="Arial" w:hAnsi="Arial" w:cs="Arial"/>
          <w:b/>
          <w:bCs/>
        </w:rPr>
      </w:pPr>
    </w:p>
    <w:p w14:paraId="18F5CDF2" w14:textId="77777777" w:rsidR="004600D5" w:rsidRPr="001153D2" w:rsidRDefault="004600D5" w:rsidP="004600D5">
      <w:pPr>
        <w:jc w:val="both"/>
        <w:rPr>
          <w:rFonts w:ascii="Arial" w:hAnsi="Arial" w:cs="Arial"/>
          <w:b/>
          <w:bCs/>
        </w:rPr>
      </w:pPr>
      <w:r w:rsidRPr="001153D2">
        <w:rPr>
          <w:rFonts w:ascii="Arial" w:hAnsi="Arial" w:cs="Arial"/>
          <w:b/>
          <w:bCs/>
        </w:rPr>
        <w:t xml:space="preserve">3.3 Distribution of CA-MRSA from Different Sites in </w:t>
      </w:r>
      <w:proofErr w:type="spellStart"/>
      <w:r w:rsidRPr="001153D2">
        <w:rPr>
          <w:rFonts w:ascii="Arial" w:hAnsi="Arial" w:cs="Arial"/>
          <w:b/>
          <w:bCs/>
        </w:rPr>
        <w:t>Ekpoma</w:t>
      </w:r>
      <w:proofErr w:type="spellEnd"/>
      <w:r w:rsidRPr="001153D2">
        <w:rPr>
          <w:rFonts w:ascii="Arial" w:hAnsi="Arial" w:cs="Arial"/>
          <w:b/>
          <w:bCs/>
        </w:rPr>
        <w:t xml:space="preserve"> Community</w:t>
      </w:r>
    </w:p>
    <w:p w14:paraId="28EA73B0" w14:textId="77777777" w:rsidR="004600D5" w:rsidRPr="001153D2" w:rsidRDefault="004600D5" w:rsidP="004600D5">
      <w:pPr>
        <w:spacing w:after="160"/>
        <w:jc w:val="both"/>
        <w:rPr>
          <w:rFonts w:ascii="Arial" w:hAnsi="Arial" w:cs="Arial"/>
        </w:rPr>
      </w:pPr>
      <w:r>
        <w:t xml:space="preserve">Among the 310 community samples, markets had the highest proportion of CA-MRSA isolates (30%), followed by motor parks (27%), schools (19%), and churches (8%) (Table 3). These findings show that phenotypic MRSA carriage occurred across several community settings. The higher proportions observed in markets and motor parks may be related to crowding and frequent interpersonal contact, but </w:t>
      </w:r>
      <w:r>
        <w:rPr>
          <w:highlight w:val="yellow"/>
        </w:rPr>
        <w:t>this study did not measure</w:t>
      </w:r>
      <w:r>
        <w:t xml:space="preserve"> contact patterns or other behavioural risk factors and therefore cannot establish these factors as causes.</w:t>
      </w:r>
    </w:p>
    <w:p w14:paraId="4564F84F" w14:textId="77777777" w:rsidR="004600D5" w:rsidRPr="001153D2" w:rsidRDefault="004600D5" w:rsidP="004600D5">
      <w:pPr>
        <w:spacing w:after="160"/>
        <w:jc w:val="both"/>
        <w:rPr>
          <w:rFonts w:ascii="Arial" w:hAnsi="Arial" w:cs="Arial"/>
        </w:rPr>
      </w:pPr>
      <w:r>
        <w:rPr>
          <w:highlight w:val="yellow"/>
        </w:rPr>
        <w:t>The detection of CA-MRSA</w:t>
      </w:r>
      <w:r>
        <w:t xml:space="preserve"> among apparently healthy community participants is relevant to public-health surveillance because asymptomatic carriage can contribute to the circulation of resistant </w:t>
      </w:r>
      <w:r>
        <w:rPr>
          <w:highlight w:val="yellow"/>
        </w:rPr>
        <w:t>organisms</w:t>
      </w:r>
      <w:r>
        <w:t xml:space="preserve">. The finding also supports the importance of culture and susceptibility testing when clinically indicated. Recent Nigerian research has continued to report substantial antimicrobial resistance among </w:t>
      </w:r>
      <w:r>
        <w:rPr>
          <w:i/>
        </w:rPr>
        <w:t>S. aureus</w:t>
      </w:r>
      <w:r>
        <w:t xml:space="preserve"> and MRSA, reinforcing the need for surveillance and infection-prevention measures (</w:t>
      </w:r>
      <w:proofErr w:type="spellStart"/>
      <w:r>
        <w:t>Adeiza</w:t>
      </w:r>
      <w:proofErr w:type="spellEnd"/>
      <w:r>
        <w:t xml:space="preserve"> </w:t>
      </w:r>
      <w:r w:rsidR="00CD12AA" w:rsidRPr="00CD12AA">
        <w:rPr>
          <w:i/>
          <w:iCs/>
        </w:rPr>
        <w:t>et al</w:t>
      </w:r>
      <w:r>
        <w:t xml:space="preserve">., 2020; Ezeh </w:t>
      </w:r>
      <w:r w:rsidR="00CD12AA" w:rsidRPr="00CD12AA">
        <w:rPr>
          <w:i/>
          <w:iCs/>
        </w:rPr>
        <w:t>et al</w:t>
      </w:r>
      <w:r>
        <w:t>., 2023).</w:t>
      </w:r>
    </w:p>
    <w:p w14:paraId="4D96D294" w14:textId="77777777" w:rsidR="004600D5" w:rsidRPr="001153D2" w:rsidRDefault="004600D5" w:rsidP="004600D5">
      <w:pPr>
        <w:jc w:val="both"/>
        <w:rPr>
          <w:rFonts w:ascii="Arial" w:hAnsi="Arial" w:cs="Arial"/>
        </w:rPr>
      </w:pPr>
      <w:r w:rsidRPr="001153D2">
        <w:rPr>
          <w:rFonts w:ascii="Arial" w:hAnsi="Arial" w:cs="Arial"/>
          <w:b/>
          <w:bCs/>
        </w:rPr>
        <w:t xml:space="preserve">Table 3: Distribution of CA-MRSA in </w:t>
      </w:r>
      <w:proofErr w:type="spellStart"/>
      <w:r w:rsidRPr="001153D2">
        <w:rPr>
          <w:rFonts w:ascii="Arial" w:hAnsi="Arial" w:cs="Arial"/>
          <w:b/>
          <w:bCs/>
        </w:rPr>
        <w:t>Ekpoma</w:t>
      </w:r>
      <w:proofErr w:type="spellEnd"/>
      <w:r w:rsidRPr="001153D2">
        <w:rPr>
          <w:rFonts w:ascii="Arial" w:hAnsi="Arial" w:cs="Arial"/>
          <w:b/>
          <w:bCs/>
        </w:rPr>
        <w:t xml:space="preserve"> Community</w:t>
      </w:r>
    </w:p>
    <w:tbl>
      <w:tblPr>
        <w:tblStyle w:val="ListTable6Colorful"/>
        <w:tblW w:w="6048" w:type="dxa"/>
        <w:jc w:val="center"/>
        <w:tblLook w:val="0420" w:firstRow="1" w:lastRow="0" w:firstColumn="0" w:lastColumn="0" w:noHBand="0" w:noVBand="1"/>
      </w:tblPr>
      <w:tblGrid>
        <w:gridCol w:w="2178"/>
        <w:gridCol w:w="1890"/>
        <w:gridCol w:w="1980"/>
      </w:tblGrid>
      <w:tr w:rsidR="004600D5" w:rsidRPr="001153D2" w14:paraId="618E48CE" w14:textId="77777777" w:rsidTr="004600D5">
        <w:trPr>
          <w:cnfStyle w:val="100000000000" w:firstRow="1" w:lastRow="0" w:firstColumn="0" w:lastColumn="0" w:oddVBand="0" w:evenVBand="0" w:oddHBand="0" w:evenHBand="0" w:firstRowFirstColumn="0" w:firstRowLastColumn="0" w:lastRowFirstColumn="0" w:lastRowLastColumn="0"/>
          <w:jc w:val="center"/>
        </w:trPr>
        <w:tc>
          <w:tcPr>
            <w:tcW w:w="2178" w:type="dxa"/>
            <w:hideMark/>
          </w:tcPr>
          <w:p w14:paraId="2E19567A"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Sample Source</w:t>
            </w:r>
          </w:p>
        </w:tc>
        <w:tc>
          <w:tcPr>
            <w:tcW w:w="1890" w:type="dxa"/>
            <w:hideMark/>
          </w:tcPr>
          <w:p w14:paraId="1D175094"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No. of Samples</w:t>
            </w:r>
          </w:p>
        </w:tc>
        <w:tc>
          <w:tcPr>
            <w:tcW w:w="1980" w:type="dxa"/>
            <w:hideMark/>
          </w:tcPr>
          <w:p w14:paraId="227AF178"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No. (%) Positive</w:t>
            </w:r>
          </w:p>
        </w:tc>
      </w:tr>
      <w:tr w:rsidR="004600D5" w:rsidRPr="001153D2" w14:paraId="21AD9C20" w14:textId="77777777" w:rsidTr="004600D5">
        <w:trPr>
          <w:cnfStyle w:val="000000100000" w:firstRow="0" w:lastRow="0" w:firstColumn="0" w:lastColumn="0" w:oddVBand="0" w:evenVBand="0" w:oddHBand="1" w:evenHBand="0" w:firstRowFirstColumn="0" w:firstRowLastColumn="0" w:lastRowFirstColumn="0" w:lastRowLastColumn="0"/>
          <w:jc w:val="center"/>
        </w:trPr>
        <w:tc>
          <w:tcPr>
            <w:tcW w:w="2178" w:type="dxa"/>
            <w:shd w:val="clear" w:color="auto" w:fill="auto"/>
            <w:hideMark/>
          </w:tcPr>
          <w:p w14:paraId="2A8BFA3A"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Schools</w:t>
            </w:r>
          </w:p>
        </w:tc>
        <w:tc>
          <w:tcPr>
            <w:tcW w:w="1890" w:type="dxa"/>
            <w:shd w:val="clear" w:color="auto" w:fill="auto"/>
            <w:hideMark/>
          </w:tcPr>
          <w:p w14:paraId="570B526B"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130</w:t>
            </w:r>
          </w:p>
        </w:tc>
        <w:tc>
          <w:tcPr>
            <w:tcW w:w="1980" w:type="dxa"/>
            <w:shd w:val="clear" w:color="auto" w:fill="auto"/>
            <w:hideMark/>
          </w:tcPr>
          <w:p w14:paraId="6865BA6B"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25 (19)</w:t>
            </w:r>
          </w:p>
        </w:tc>
      </w:tr>
      <w:tr w:rsidR="004600D5" w:rsidRPr="001153D2" w14:paraId="09205561" w14:textId="77777777" w:rsidTr="004600D5">
        <w:trPr>
          <w:jc w:val="center"/>
        </w:trPr>
        <w:tc>
          <w:tcPr>
            <w:tcW w:w="2178" w:type="dxa"/>
            <w:hideMark/>
          </w:tcPr>
          <w:p w14:paraId="1C4B37C4"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Churches</w:t>
            </w:r>
          </w:p>
        </w:tc>
        <w:tc>
          <w:tcPr>
            <w:tcW w:w="1890" w:type="dxa"/>
            <w:hideMark/>
          </w:tcPr>
          <w:p w14:paraId="0CA72044"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120</w:t>
            </w:r>
          </w:p>
        </w:tc>
        <w:tc>
          <w:tcPr>
            <w:tcW w:w="1980" w:type="dxa"/>
            <w:hideMark/>
          </w:tcPr>
          <w:p w14:paraId="028D7DD0"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9 (8)</w:t>
            </w:r>
          </w:p>
        </w:tc>
      </w:tr>
      <w:tr w:rsidR="004600D5" w:rsidRPr="001153D2" w14:paraId="5367FFDD" w14:textId="77777777" w:rsidTr="004600D5">
        <w:trPr>
          <w:cnfStyle w:val="000000100000" w:firstRow="0" w:lastRow="0" w:firstColumn="0" w:lastColumn="0" w:oddVBand="0" w:evenVBand="0" w:oddHBand="1" w:evenHBand="0" w:firstRowFirstColumn="0" w:firstRowLastColumn="0" w:lastRowFirstColumn="0" w:lastRowLastColumn="0"/>
          <w:jc w:val="center"/>
        </w:trPr>
        <w:tc>
          <w:tcPr>
            <w:tcW w:w="2178" w:type="dxa"/>
            <w:shd w:val="clear" w:color="auto" w:fill="auto"/>
            <w:hideMark/>
          </w:tcPr>
          <w:p w14:paraId="3878224A"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Markets</w:t>
            </w:r>
          </w:p>
        </w:tc>
        <w:tc>
          <w:tcPr>
            <w:tcW w:w="1890" w:type="dxa"/>
            <w:shd w:val="clear" w:color="auto" w:fill="auto"/>
            <w:hideMark/>
          </w:tcPr>
          <w:p w14:paraId="73C83641"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30</w:t>
            </w:r>
          </w:p>
        </w:tc>
        <w:tc>
          <w:tcPr>
            <w:tcW w:w="1980" w:type="dxa"/>
            <w:shd w:val="clear" w:color="auto" w:fill="auto"/>
            <w:hideMark/>
          </w:tcPr>
          <w:p w14:paraId="62D6542C"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9 (30)</w:t>
            </w:r>
          </w:p>
        </w:tc>
      </w:tr>
      <w:tr w:rsidR="004600D5" w:rsidRPr="001153D2" w14:paraId="702CA067" w14:textId="77777777" w:rsidTr="004600D5">
        <w:trPr>
          <w:jc w:val="center"/>
        </w:trPr>
        <w:tc>
          <w:tcPr>
            <w:tcW w:w="2178" w:type="dxa"/>
            <w:hideMark/>
          </w:tcPr>
          <w:p w14:paraId="57CF9FFE"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Motor Parks</w:t>
            </w:r>
          </w:p>
        </w:tc>
        <w:tc>
          <w:tcPr>
            <w:tcW w:w="1890" w:type="dxa"/>
            <w:hideMark/>
          </w:tcPr>
          <w:p w14:paraId="5339C3E4"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30</w:t>
            </w:r>
          </w:p>
        </w:tc>
        <w:tc>
          <w:tcPr>
            <w:tcW w:w="1980" w:type="dxa"/>
            <w:hideMark/>
          </w:tcPr>
          <w:p w14:paraId="6A1CDBE4"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8 (27)</w:t>
            </w:r>
          </w:p>
        </w:tc>
      </w:tr>
      <w:tr w:rsidR="004600D5" w:rsidRPr="001153D2" w14:paraId="5DD48EE7" w14:textId="77777777" w:rsidTr="004600D5">
        <w:trPr>
          <w:cnfStyle w:val="000000100000" w:firstRow="0" w:lastRow="0" w:firstColumn="0" w:lastColumn="0" w:oddVBand="0" w:evenVBand="0" w:oddHBand="1" w:evenHBand="0" w:firstRowFirstColumn="0" w:firstRowLastColumn="0" w:lastRowFirstColumn="0" w:lastRowLastColumn="0"/>
          <w:jc w:val="center"/>
        </w:trPr>
        <w:tc>
          <w:tcPr>
            <w:tcW w:w="2178" w:type="dxa"/>
            <w:shd w:val="clear" w:color="auto" w:fill="auto"/>
            <w:hideMark/>
          </w:tcPr>
          <w:p w14:paraId="7B1282CE" w14:textId="77777777" w:rsidR="004600D5" w:rsidRPr="001153D2" w:rsidRDefault="004600D5" w:rsidP="00AE0B90">
            <w:pPr>
              <w:jc w:val="both"/>
              <w:rPr>
                <w:rFonts w:ascii="Arial" w:hAnsi="Arial" w:cs="Arial"/>
                <w:sz w:val="20"/>
                <w:szCs w:val="20"/>
              </w:rPr>
            </w:pPr>
            <w:r w:rsidRPr="001153D2">
              <w:rPr>
                <w:rFonts w:ascii="Arial" w:hAnsi="Arial" w:cs="Arial"/>
                <w:b/>
                <w:bCs/>
                <w:sz w:val="20"/>
                <w:szCs w:val="20"/>
              </w:rPr>
              <w:t>Total</w:t>
            </w:r>
          </w:p>
        </w:tc>
        <w:tc>
          <w:tcPr>
            <w:tcW w:w="1890" w:type="dxa"/>
            <w:shd w:val="clear" w:color="auto" w:fill="auto"/>
            <w:hideMark/>
          </w:tcPr>
          <w:p w14:paraId="10310E8D" w14:textId="77777777" w:rsidR="004600D5" w:rsidRPr="001153D2" w:rsidRDefault="004600D5" w:rsidP="00AE0B90">
            <w:pPr>
              <w:jc w:val="both"/>
              <w:rPr>
                <w:rFonts w:ascii="Arial" w:hAnsi="Arial" w:cs="Arial"/>
                <w:sz w:val="20"/>
                <w:szCs w:val="20"/>
              </w:rPr>
            </w:pPr>
            <w:r w:rsidRPr="001153D2">
              <w:rPr>
                <w:rFonts w:ascii="Arial" w:hAnsi="Arial" w:cs="Arial"/>
                <w:b/>
                <w:bCs/>
                <w:sz w:val="20"/>
                <w:szCs w:val="20"/>
              </w:rPr>
              <w:t>310</w:t>
            </w:r>
          </w:p>
        </w:tc>
        <w:tc>
          <w:tcPr>
            <w:tcW w:w="1980" w:type="dxa"/>
            <w:shd w:val="clear" w:color="auto" w:fill="auto"/>
            <w:hideMark/>
          </w:tcPr>
          <w:p w14:paraId="4507F87C" w14:textId="77777777" w:rsidR="004600D5" w:rsidRPr="001153D2" w:rsidRDefault="004600D5" w:rsidP="00AE0B90">
            <w:pPr>
              <w:jc w:val="both"/>
              <w:rPr>
                <w:rFonts w:ascii="Arial" w:hAnsi="Arial" w:cs="Arial"/>
                <w:sz w:val="20"/>
                <w:szCs w:val="20"/>
              </w:rPr>
            </w:pPr>
            <w:r w:rsidRPr="001153D2">
              <w:rPr>
                <w:rFonts w:ascii="Arial" w:hAnsi="Arial" w:cs="Arial"/>
                <w:b/>
                <w:bCs/>
                <w:sz w:val="20"/>
                <w:szCs w:val="20"/>
              </w:rPr>
              <w:t>51 (17)</w:t>
            </w:r>
          </w:p>
        </w:tc>
      </w:tr>
    </w:tbl>
    <w:p w14:paraId="3E7B164D" w14:textId="77777777" w:rsidR="004600D5" w:rsidRPr="001153D2" w:rsidRDefault="004600D5" w:rsidP="004600D5">
      <w:pPr>
        <w:jc w:val="both"/>
        <w:rPr>
          <w:rFonts w:ascii="Arial" w:hAnsi="Arial" w:cs="Arial"/>
          <w:b/>
          <w:bCs/>
        </w:rPr>
      </w:pPr>
    </w:p>
    <w:p w14:paraId="13134E69" w14:textId="77777777" w:rsidR="004600D5" w:rsidRPr="001153D2" w:rsidRDefault="004600D5" w:rsidP="004600D5">
      <w:pPr>
        <w:jc w:val="both"/>
        <w:rPr>
          <w:rFonts w:ascii="Arial" w:hAnsi="Arial" w:cs="Arial"/>
          <w:b/>
          <w:bCs/>
        </w:rPr>
      </w:pPr>
      <w:r w:rsidRPr="001153D2">
        <w:rPr>
          <w:rFonts w:ascii="Arial" w:hAnsi="Arial" w:cs="Arial"/>
          <w:b/>
          <w:bCs/>
        </w:rPr>
        <w:t>3.4 Antibiogram of HA-MRSA Isolates</w:t>
      </w:r>
    </w:p>
    <w:p w14:paraId="66B3BBBA" w14:textId="77777777" w:rsidR="004600D5" w:rsidRPr="001153D2" w:rsidRDefault="004600D5" w:rsidP="004600D5">
      <w:pPr>
        <w:spacing w:after="160"/>
        <w:jc w:val="both"/>
        <w:rPr>
          <w:rFonts w:ascii="Arial" w:hAnsi="Arial" w:cs="Arial"/>
        </w:rPr>
      </w:pPr>
      <w:r>
        <w:t xml:space="preserve">Vancomycin and linezolid showed 100% susceptibility among the 82 HA-MRSA isolates tested. Resistance rates were 96% to cloxacillin, 41% to ciprofloxacin, 45% to gentamicin, 26% to erythromycin, and 9% to tetracycline (Table 4). These findings indicate preserved </w:t>
      </w:r>
      <w:r>
        <w:rPr>
          <w:highlight w:val="yellow"/>
        </w:rPr>
        <w:t>in vitro activity</w:t>
      </w:r>
      <w:r>
        <w:t xml:space="preserve"> of vancomycin and linezolid against the isolates tested, while resistance to several other agents was substantial. The results should support local surveillance and susceptibility-guided therapy rather than routine empirical use of any particular agent.</w:t>
      </w:r>
    </w:p>
    <w:p w14:paraId="1835C782" w14:textId="77777777" w:rsidR="004600D5" w:rsidRPr="001153D2" w:rsidRDefault="004600D5" w:rsidP="004600D5">
      <w:pPr>
        <w:spacing w:after="160"/>
        <w:jc w:val="both"/>
        <w:rPr>
          <w:rFonts w:ascii="Arial" w:hAnsi="Arial" w:cs="Arial"/>
        </w:rPr>
      </w:pPr>
      <w:r>
        <w:lastRenderedPageBreak/>
        <w:t xml:space="preserve">The high cloxacillin resistance is consistent with the phenotypic definition of the isolates as MRSA, but it does not establish the presence of mecA because no molecular assay was performed. The difference in ciprofloxacin resistance between HA-MRSA and CA-MRSA was statistically significant (41% vs 20%; </w:t>
      </w:r>
      <w:r>
        <w:rPr>
          <w:highlight w:val="yellow"/>
        </w:rPr>
        <w:t>Fisher’s exact p</w:t>
      </w:r>
      <w:r>
        <w:t xml:space="preserve"> = 0.013), whereas the difference for gentamicin was not statistically significant (45% vs 35%; p = 0.283). Current surveillance literature similarly demonstrates considerable variation in antimicrobial resistance among </w:t>
      </w:r>
      <w:r>
        <w:rPr>
          <w:i/>
        </w:rPr>
        <w:t>S. aureus</w:t>
      </w:r>
      <w:r>
        <w:t xml:space="preserve"> isolates and supports continued susceptibility testing and stewardship (Ezeh </w:t>
      </w:r>
      <w:r w:rsidR="00CD12AA" w:rsidRPr="00CD12AA">
        <w:rPr>
          <w:i/>
          <w:iCs/>
        </w:rPr>
        <w:t>et al</w:t>
      </w:r>
      <w:r>
        <w:t>., 2023; WHO, 2024).</w:t>
      </w:r>
    </w:p>
    <w:p w14:paraId="62338025" w14:textId="77777777" w:rsidR="004600D5" w:rsidRPr="001153D2" w:rsidRDefault="004600D5" w:rsidP="004600D5">
      <w:pPr>
        <w:jc w:val="both"/>
        <w:rPr>
          <w:rFonts w:ascii="Arial" w:hAnsi="Arial" w:cs="Arial"/>
        </w:rPr>
      </w:pPr>
      <w:r w:rsidRPr="001153D2">
        <w:rPr>
          <w:rFonts w:ascii="Arial" w:hAnsi="Arial" w:cs="Arial"/>
          <w:b/>
          <w:bCs/>
        </w:rPr>
        <w:t>Table 4: Antibiogram of HA-MRSA Isolates (n=82)</w:t>
      </w:r>
    </w:p>
    <w:tbl>
      <w:tblPr>
        <w:tblStyle w:val="ListTable6Colorful"/>
        <w:tblW w:w="0" w:type="auto"/>
        <w:jc w:val="center"/>
        <w:tblLook w:val="0420" w:firstRow="1" w:lastRow="0" w:firstColumn="0" w:lastColumn="0" w:noHBand="0" w:noVBand="1"/>
      </w:tblPr>
      <w:tblGrid>
        <w:gridCol w:w="1383"/>
        <w:gridCol w:w="1461"/>
        <w:gridCol w:w="1772"/>
        <w:gridCol w:w="1483"/>
      </w:tblGrid>
      <w:tr w:rsidR="004600D5" w:rsidRPr="001153D2" w14:paraId="415CB47D" w14:textId="77777777" w:rsidTr="004600D5">
        <w:trPr>
          <w:cnfStyle w:val="100000000000" w:firstRow="1" w:lastRow="0" w:firstColumn="0" w:lastColumn="0" w:oddVBand="0" w:evenVBand="0" w:oddHBand="0" w:evenHBand="0" w:firstRowFirstColumn="0" w:firstRowLastColumn="0" w:lastRowFirstColumn="0" w:lastRowLastColumn="0"/>
          <w:jc w:val="center"/>
        </w:trPr>
        <w:tc>
          <w:tcPr>
            <w:tcW w:w="0" w:type="auto"/>
            <w:hideMark/>
          </w:tcPr>
          <w:p w14:paraId="6CC7F4F0"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Antibiotic</w:t>
            </w:r>
          </w:p>
        </w:tc>
        <w:tc>
          <w:tcPr>
            <w:tcW w:w="0" w:type="auto"/>
            <w:hideMark/>
          </w:tcPr>
          <w:p w14:paraId="4E0C91CC"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Sensitive (%)</w:t>
            </w:r>
          </w:p>
        </w:tc>
        <w:tc>
          <w:tcPr>
            <w:tcW w:w="0" w:type="auto"/>
            <w:hideMark/>
          </w:tcPr>
          <w:p w14:paraId="53422DA1"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Intermediate (%)</w:t>
            </w:r>
          </w:p>
        </w:tc>
        <w:tc>
          <w:tcPr>
            <w:tcW w:w="0" w:type="auto"/>
            <w:hideMark/>
          </w:tcPr>
          <w:p w14:paraId="2CDD5042"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Resistant (%)</w:t>
            </w:r>
          </w:p>
        </w:tc>
      </w:tr>
      <w:tr w:rsidR="004600D5" w:rsidRPr="001153D2" w14:paraId="6575A51D" w14:textId="77777777" w:rsidTr="004600D5">
        <w:trPr>
          <w:cnfStyle w:val="000000100000" w:firstRow="0" w:lastRow="0" w:firstColumn="0" w:lastColumn="0" w:oddVBand="0" w:evenVBand="0" w:oddHBand="1" w:evenHBand="0" w:firstRowFirstColumn="0" w:firstRowLastColumn="0" w:lastRowFirstColumn="0" w:lastRowLastColumn="0"/>
          <w:jc w:val="center"/>
        </w:trPr>
        <w:tc>
          <w:tcPr>
            <w:tcW w:w="0" w:type="auto"/>
            <w:shd w:val="clear" w:color="auto" w:fill="auto"/>
            <w:hideMark/>
          </w:tcPr>
          <w:p w14:paraId="1C850850"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Vancomycin</w:t>
            </w:r>
          </w:p>
        </w:tc>
        <w:tc>
          <w:tcPr>
            <w:tcW w:w="0" w:type="auto"/>
            <w:shd w:val="clear" w:color="auto" w:fill="auto"/>
            <w:hideMark/>
          </w:tcPr>
          <w:p w14:paraId="369CA3EE"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82 (100)</w:t>
            </w:r>
          </w:p>
        </w:tc>
        <w:tc>
          <w:tcPr>
            <w:tcW w:w="0" w:type="auto"/>
            <w:shd w:val="clear" w:color="auto" w:fill="auto"/>
            <w:hideMark/>
          </w:tcPr>
          <w:p w14:paraId="3249A426"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0 (0)</w:t>
            </w:r>
          </w:p>
        </w:tc>
        <w:tc>
          <w:tcPr>
            <w:tcW w:w="0" w:type="auto"/>
            <w:shd w:val="clear" w:color="auto" w:fill="auto"/>
            <w:hideMark/>
          </w:tcPr>
          <w:p w14:paraId="4E2B129B"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0 (0)</w:t>
            </w:r>
          </w:p>
        </w:tc>
      </w:tr>
      <w:tr w:rsidR="004600D5" w:rsidRPr="001153D2" w14:paraId="78EA6843" w14:textId="77777777" w:rsidTr="004600D5">
        <w:trPr>
          <w:jc w:val="center"/>
        </w:trPr>
        <w:tc>
          <w:tcPr>
            <w:tcW w:w="0" w:type="auto"/>
            <w:hideMark/>
          </w:tcPr>
          <w:p w14:paraId="6D4C3D72"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Linezolid</w:t>
            </w:r>
          </w:p>
        </w:tc>
        <w:tc>
          <w:tcPr>
            <w:tcW w:w="0" w:type="auto"/>
            <w:hideMark/>
          </w:tcPr>
          <w:p w14:paraId="20DE3E8B"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82 (100)</w:t>
            </w:r>
          </w:p>
        </w:tc>
        <w:tc>
          <w:tcPr>
            <w:tcW w:w="0" w:type="auto"/>
            <w:hideMark/>
          </w:tcPr>
          <w:p w14:paraId="0912255A"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0 (0)</w:t>
            </w:r>
          </w:p>
        </w:tc>
        <w:tc>
          <w:tcPr>
            <w:tcW w:w="0" w:type="auto"/>
            <w:hideMark/>
          </w:tcPr>
          <w:p w14:paraId="182FB2C8"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0 (0)</w:t>
            </w:r>
          </w:p>
        </w:tc>
      </w:tr>
      <w:tr w:rsidR="004600D5" w:rsidRPr="001153D2" w14:paraId="035BA9A9" w14:textId="77777777" w:rsidTr="004600D5">
        <w:trPr>
          <w:cnfStyle w:val="000000100000" w:firstRow="0" w:lastRow="0" w:firstColumn="0" w:lastColumn="0" w:oddVBand="0" w:evenVBand="0" w:oddHBand="1" w:evenHBand="0" w:firstRowFirstColumn="0" w:firstRowLastColumn="0" w:lastRowFirstColumn="0" w:lastRowLastColumn="0"/>
          <w:jc w:val="center"/>
        </w:trPr>
        <w:tc>
          <w:tcPr>
            <w:tcW w:w="0" w:type="auto"/>
            <w:shd w:val="clear" w:color="auto" w:fill="auto"/>
            <w:hideMark/>
          </w:tcPr>
          <w:p w14:paraId="53AEC8BA"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Cloxacillin</w:t>
            </w:r>
          </w:p>
        </w:tc>
        <w:tc>
          <w:tcPr>
            <w:tcW w:w="0" w:type="auto"/>
            <w:shd w:val="clear" w:color="auto" w:fill="auto"/>
            <w:hideMark/>
          </w:tcPr>
          <w:p w14:paraId="7357611B"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0 (0)</w:t>
            </w:r>
          </w:p>
        </w:tc>
        <w:tc>
          <w:tcPr>
            <w:tcW w:w="0" w:type="auto"/>
            <w:shd w:val="clear" w:color="auto" w:fill="auto"/>
            <w:hideMark/>
          </w:tcPr>
          <w:p w14:paraId="7A354B55"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3 (4)</w:t>
            </w:r>
          </w:p>
        </w:tc>
        <w:tc>
          <w:tcPr>
            <w:tcW w:w="0" w:type="auto"/>
            <w:shd w:val="clear" w:color="auto" w:fill="auto"/>
            <w:hideMark/>
          </w:tcPr>
          <w:p w14:paraId="6997E5E6"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79 (96)</w:t>
            </w:r>
          </w:p>
        </w:tc>
      </w:tr>
      <w:tr w:rsidR="004600D5" w:rsidRPr="001153D2" w14:paraId="12134C61" w14:textId="77777777" w:rsidTr="004600D5">
        <w:trPr>
          <w:jc w:val="center"/>
        </w:trPr>
        <w:tc>
          <w:tcPr>
            <w:tcW w:w="0" w:type="auto"/>
            <w:hideMark/>
          </w:tcPr>
          <w:p w14:paraId="6E886A98"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Ciprofloxacin</w:t>
            </w:r>
          </w:p>
        </w:tc>
        <w:tc>
          <w:tcPr>
            <w:tcW w:w="0" w:type="auto"/>
            <w:hideMark/>
          </w:tcPr>
          <w:p w14:paraId="026E3DE3"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48 (59)</w:t>
            </w:r>
          </w:p>
        </w:tc>
        <w:tc>
          <w:tcPr>
            <w:tcW w:w="0" w:type="auto"/>
            <w:hideMark/>
          </w:tcPr>
          <w:p w14:paraId="5A48D9E5"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0 (0)</w:t>
            </w:r>
          </w:p>
        </w:tc>
        <w:tc>
          <w:tcPr>
            <w:tcW w:w="0" w:type="auto"/>
            <w:hideMark/>
          </w:tcPr>
          <w:p w14:paraId="37DC1B62"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34 (41)</w:t>
            </w:r>
          </w:p>
        </w:tc>
      </w:tr>
      <w:tr w:rsidR="004600D5" w:rsidRPr="001153D2" w14:paraId="13B5BDD5" w14:textId="77777777" w:rsidTr="004600D5">
        <w:trPr>
          <w:cnfStyle w:val="000000100000" w:firstRow="0" w:lastRow="0" w:firstColumn="0" w:lastColumn="0" w:oddVBand="0" w:evenVBand="0" w:oddHBand="1" w:evenHBand="0" w:firstRowFirstColumn="0" w:firstRowLastColumn="0" w:lastRowFirstColumn="0" w:lastRowLastColumn="0"/>
          <w:jc w:val="center"/>
        </w:trPr>
        <w:tc>
          <w:tcPr>
            <w:tcW w:w="0" w:type="auto"/>
            <w:shd w:val="clear" w:color="auto" w:fill="auto"/>
            <w:hideMark/>
          </w:tcPr>
          <w:p w14:paraId="0965ED8C"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Tetracycline</w:t>
            </w:r>
          </w:p>
        </w:tc>
        <w:tc>
          <w:tcPr>
            <w:tcW w:w="0" w:type="auto"/>
            <w:shd w:val="clear" w:color="auto" w:fill="auto"/>
            <w:hideMark/>
          </w:tcPr>
          <w:p w14:paraId="2656D234"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74 (90)</w:t>
            </w:r>
          </w:p>
        </w:tc>
        <w:tc>
          <w:tcPr>
            <w:tcW w:w="0" w:type="auto"/>
            <w:shd w:val="clear" w:color="auto" w:fill="auto"/>
            <w:hideMark/>
          </w:tcPr>
          <w:p w14:paraId="6BCACD29"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1 (1)</w:t>
            </w:r>
          </w:p>
        </w:tc>
        <w:tc>
          <w:tcPr>
            <w:tcW w:w="0" w:type="auto"/>
            <w:shd w:val="clear" w:color="auto" w:fill="auto"/>
            <w:hideMark/>
          </w:tcPr>
          <w:p w14:paraId="5E2D878B"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7 (9)</w:t>
            </w:r>
          </w:p>
        </w:tc>
      </w:tr>
      <w:tr w:rsidR="004600D5" w:rsidRPr="001153D2" w14:paraId="571F6002" w14:textId="77777777" w:rsidTr="004600D5">
        <w:trPr>
          <w:jc w:val="center"/>
        </w:trPr>
        <w:tc>
          <w:tcPr>
            <w:tcW w:w="0" w:type="auto"/>
            <w:hideMark/>
          </w:tcPr>
          <w:p w14:paraId="3E406228"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Gentamicin</w:t>
            </w:r>
          </w:p>
        </w:tc>
        <w:tc>
          <w:tcPr>
            <w:tcW w:w="0" w:type="auto"/>
            <w:hideMark/>
          </w:tcPr>
          <w:p w14:paraId="470260D6"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43 (52)</w:t>
            </w:r>
          </w:p>
        </w:tc>
        <w:tc>
          <w:tcPr>
            <w:tcW w:w="0" w:type="auto"/>
            <w:hideMark/>
          </w:tcPr>
          <w:p w14:paraId="4149D672"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2 (2)</w:t>
            </w:r>
          </w:p>
        </w:tc>
        <w:tc>
          <w:tcPr>
            <w:tcW w:w="0" w:type="auto"/>
            <w:hideMark/>
          </w:tcPr>
          <w:p w14:paraId="48B4B20C"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37 (45)</w:t>
            </w:r>
          </w:p>
        </w:tc>
      </w:tr>
      <w:tr w:rsidR="004600D5" w:rsidRPr="001153D2" w14:paraId="2631CD7B" w14:textId="77777777" w:rsidTr="004600D5">
        <w:trPr>
          <w:cnfStyle w:val="000000100000" w:firstRow="0" w:lastRow="0" w:firstColumn="0" w:lastColumn="0" w:oddVBand="0" w:evenVBand="0" w:oddHBand="1" w:evenHBand="0" w:firstRowFirstColumn="0" w:firstRowLastColumn="0" w:lastRowFirstColumn="0" w:lastRowLastColumn="0"/>
          <w:jc w:val="center"/>
        </w:trPr>
        <w:tc>
          <w:tcPr>
            <w:tcW w:w="0" w:type="auto"/>
            <w:shd w:val="clear" w:color="auto" w:fill="auto"/>
            <w:hideMark/>
          </w:tcPr>
          <w:p w14:paraId="69B30AE9"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Erythromycin</w:t>
            </w:r>
          </w:p>
        </w:tc>
        <w:tc>
          <w:tcPr>
            <w:tcW w:w="0" w:type="auto"/>
            <w:shd w:val="clear" w:color="auto" w:fill="auto"/>
            <w:hideMark/>
          </w:tcPr>
          <w:p w14:paraId="14B672DA"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61 (74)</w:t>
            </w:r>
          </w:p>
        </w:tc>
        <w:tc>
          <w:tcPr>
            <w:tcW w:w="0" w:type="auto"/>
            <w:shd w:val="clear" w:color="auto" w:fill="auto"/>
            <w:hideMark/>
          </w:tcPr>
          <w:p w14:paraId="3660BF61"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0 (0)</w:t>
            </w:r>
          </w:p>
        </w:tc>
        <w:tc>
          <w:tcPr>
            <w:tcW w:w="0" w:type="auto"/>
            <w:shd w:val="clear" w:color="auto" w:fill="auto"/>
            <w:hideMark/>
          </w:tcPr>
          <w:p w14:paraId="389AD032"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21 (26)</w:t>
            </w:r>
          </w:p>
        </w:tc>
      </w:tr>
    </w:tbl>
    <w:p w14:paraId="5FA4ADD1" w14:textId="77777777" w:rsidR="004600D5" w:rsidRPr="001153D2" w:rsidRDefault="004600D5" w:rsidP="004600D5">
      <w:pPr>
        <w:jc w:val="both"/>
        <w:rPr>
          <w:rFonts w:ascii="Arial" w:hAnsi="Arial" w:cs="Arial"/>
          <w:b/>
          <w:bCs/>
        </w:rPr>
      </w:pPr>
    </w:p>
    <w:p w14:paraId="4BAD055D" w14:textId="77777777" w:rsidR="004600D5" w:rsidRPr="001153D2" w:rsidRDefault="004600D5" w:rsidP="004600D5">
      <w:pPr>
        <w:jc w:val="both"/>
        <w:rPr>
          <w:rFonts w:ascii="Arial" w:hAnsi="Arial" w:cs="Arial"/>
          <w:b/>
          <w:bCs/>
        </w:rPr>
      </w:pPr>
      <w:r w:rsidRPr="001153D2">
        <w:rPr>
          <w:rFonts w:ascii="Arial" w:hAnsi="Arial" w:cs="Arial"/>
          <w:b/>
          <w:bCs/>
        </w:rPr>
        <w:t>3.5 Antibiogram of CA-MRSA Isolates</w:t>
      </w:r>
    </w:p>
    <w:p w14:paraId="47B3A3D7" w14:textId="77777777" w:rsidR="004600D5" w:rsidRPr="001153D2" w:rsidRDefault="004600D5" w:rsidP="004600D5">
      <w:pPr>
        <w:spacing w:after="160"/>
        <w:jc w:val="both"/>
        <w:rPr>
          <w:rFonts w:ascii="Arial" w:hAnsi="Arial" w:cs="Arial"/>
        </w:rPr>
      </w:pPr>
      <w:r>
        <w:t>All CA-MRSA isolates (n = 51; 100%) were susceptible to vancomycin and linezolid. Resistance rates for cloxacillin, ciprofloxacin, gentamicin, erythromycin, and tetracycline were 96%, 20%, 35%, 6%, and 8%, respectively (Table 5). Compared with HA-MRSA, CA-MRSA showed lower resistance to ciprofloxacin (20% vs 41%; p = 0.013) and erythromycin (6% vs 26%; p = 0.005), while the difference in gentamicin resistance was not statistically significant (35% vs 45%; p = 0.283). These differences are compatible with different epidemiological settings, but antibiotic consumption and prescribing practices were not measured in this study and therefore cannot be used to establish the cause of the observed resistance differences.</w:t>
      </w:r>
    </w:p>
    <w:p w14:paraId="51A14DE4" w14:textId="77777777" w:rsidR="004600D5" w:rsidRPr="001153D2" w:rsidRDefault="004600D5" w:rsidP="004600D5">
      <w:pPr>
        <w:jc w:val="both"/>
        <w:rPr>
          <w:rFonts w:ascii="Arial" w:hAnsi="Arial" w:cs="Arial"/>
        </w:rPr>
      </w:pPr>
      <w:r w:rsidRPr="001153D2">
        <w:rPr>
          <w:rFonts w:ascii="Arial" w:hAnsi="Arial" w:cs="Arial"/>
          <w:b/>
          <w:bCs/>
        </w:rPr>
        <w:t>Table 5: Antibiogram of CA-MRSA Isolates (n=51)</w:t>
      </w:r>
    </w:p>
    <w:tbl>
      <w:tblPr>
        <w:tblStyle w:val="ListTable6Colorful"/>
        <w:tblW w:w="0" w:type="auto"/>
        <w:jc w:val="center"/>
        <w:tblLook w:val="0420" w:firstRow="1" w:lastRow="0" w:firstColumn="0" w:lastColumn="0" w:noHBand="0" w:noVBand="1"/>
      </w:tblPr>
      <w:tblGrid>
        <w:gridCol w:w="1383"/>
        <w:gridCol w:w="1461"/>
        <w:gridCol w:w="1772"/>
        <w:gridCol w:w="1483"/>
      </w:tblGrid>
      <w:tr w:rsidR="004600D5" w:rsidRPr="001153D2" w14:paraId="121774DF" w14:textId="77777777" w:rsidTr="004600D5">
        <w:trPr>
          <w:cnfStyle w:val="100000000000" w:firstRow="1" w:lastRow="0" w:firstColumn="0" w:lastColumn="0" w:oddVBand="0" w:evenVBand="0" w:oddHBand="0" w:evenHBand="0" w:firstRowFirstColumn="0" w:firstRowLastColumn="0" w:lastRowFirstColumn="0" w:lastRowLastColumn="0"/>
          <w:jc w:val="center"/>
        </w:trPr>
        <w:tc>
          <w:tcPr>
            <w:tcW w:w="0" w:type="auto"/>
            <w:hideMark/>
          </w:tcPr>
          <w:p w14:paraId="3435F50D"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Antibiotic</w:t>
            </w:r>
          </w:p>
        </w:tc>
        <w:tc>
          <w:tcPr>
            <w:tcW w:w="0" w:type="auto"/>
            <w:hideMark/>
          </w:tcPr>
          <w:p w14:paraId="1506C9AB"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Sensitive (%)</w:t>
            </w:r>
          </w:p>
        </w:tc>
        <w:tc>
          <w:tcPr>
            <w:tcW w:w="0" w:type="auto"/>
            <w:hideMark/>
          </w:tcPr>
          <w:p w14:paraId="407365B6"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Intermediate (%)</w:t>
            </w:r>
          </w:p>
        </w:tc>
        <w:tc>
          <w:tcPr>
            <w:tcW w:w="0" w:type="auto"/>
            <w:hideMark/>
          </w:tcPr>
          <w:p w14:paraId="2611C0A0"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Resistant (%)</w:t>
            </w:r>
          </w:p>
        </w:tc>
      </w:tr>
      <w:tr w:rsidR="004600D5" w:rsidRPr="001153D2" w14:paraId="58F4DE80" w14:textId="77777777" w:rsidTr="004600D5">
        <w:trPr>
          <w:cnfStyle w:val="000000100000" w:firstRow="0" w:lastRow="0" w:firstColumn="0" w:lastColumn="0" w:oddVBand="0" w:evenVBand="0" w:oddHBand="1" w:evenHBand="0" w:firstRowFirstColumn="0" w:firstRowLastColumn="0" w:lastRowFirstColumn="0" w:lastRowLastColumn="0"/>
          <w:jc w:val="center"/>
        </w:trPr>
        <w:tc>
          <w:tcPr>
            <w:tcW w:w="0" w:type="auto"/>
            <w:shd w:val="clear" w:color="auto" w:fill="auto"/>
            <w:hideMark/>
          </w:tcPr>
          <w:p w14:paraId="28EB5213"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Vancomycin</w:t>
            </w:r>
          </w:p>
        </w:tc>
        <w:tc>
          <w:tcPr>
            <w:tcW w:w="0" w:type="auto"/>
            <w:shd w:val="clear" w:color="auto" w:fill="auto"/>
            <w:hideMark/>
          </w:tcPr>
          <w:p w14:paraId="66B86C2E"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51 (100)</w:t>
            </w:r>
          </w:p>
        </w:tc>
        <w:tc>
          <w:tcPr>
            <w:tcW w:w="0" w:type="auto"/>
            <w:shd w:val="clear" w:color="auto" w:fill="auto"/>
            <w:hideMark/>
          </w:tcPr>
          <w:p w14:paraId="4C1B1347"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0 (0)</w:t>
            </w:r>
          </w:p>
        </w:tc>
        <w:tc>
          <w:tcPr>
            <w:tcW w:w="0" w:type="auto"/>
            <w:shd w:val="clear" w:color="auto" w:fill="auto"/>
            <w:hideMark/>
          </w:tcPr>
          <w:p w14:paraId="45BF5A38"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0 (0)</w:t>
            </w:r>
          </w:p>
        </w:tc>
      </w:tr>
      <w:tr w:rsidR="004600D5" w:rsidRPr="001153D2" w14:paraId="092D269A" w14:textId="77777777" w:rsidTr="004600D5">
        <w:trPr>
          <w:jc w:val="center"/>
        </w:trPr>
        <w:tc>
          <w:tcPr>
            <w:tcW w:w="0" w:type="auto"/>
            <w:hideMark/>
          </w:tcPr>
          <w:p w14:paraId="4508AB44"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Linezolid</w:t>
            </w:r>
          </w:p>
        </w:tc>
        <w:tc>
          <w:tcPr>
            <w:tcW w:w="0" w:type="auto"/>
            <w:hideMark/>
          </w:tcPr>
          <w:p w14:paraId="789F3694"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51 (100)</w:t>
            </w:r>
          </w:p>
        </w:tc>
        <w:tc>
          <w:tcPr>
            <w:tcW w:w="0" w:type="auto"/>
            <w:hideMark/>
          </w:tcPr>
          <w:p w14:paraId="0EFDB4AB"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0 (0)</w:t>
            </w:r>
          </w:p>
        </w:tc>
        <w:tc>
          <w:tcPr>
            <w:tcW w:w="0" w:type="auto"/>
            <w:hideMark/>
          </w:tcPr>
          <w:p w14:paraId="3608C2FD"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0 (0)</w:t>
            </w:r>
          </w:p>
        </w:tc>
      </w:tr>
      <w:tr w:rsidR="004600D5" w:rsidRPr="001153D2" w14:paraId="6AA85DAA" w14:textId="77777777" w:rsidTr="004600D5">
        <w:trPr>
          <w:cnfStyle w:val="000000100000" w:firstRow="0" w:lastRow="0" w:firstColumn="0" w:lastColumn="0" w:oddVBand="0" w:evenVBand="0" w:oddHBand="1" w:evenHBand="0" w:firstRowFirstColumn="0" w:firstRowLastColumn="0" w:lastRowFirstColumn="0" w:lastRowLastColumn="0"/>
          <w:jc w:val="center"/>
        </w:trPr>
        <w:tc>
          <w:tcPr>
            <w:tcW w:w="0" w:type="auto"/>
            <w:shd w:val="clear" w:color="auto" w:fill="auto"/>
            <w:hideMark/>
          </w:tcPr>
          <w:p w14:paraId="242E8863"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Cloxacillin</w:t>
            </w:r>
          </w:p>
        </w:tc>
        <w:tc>
          <w:tcPr>
            <w:tcW w:w="0" w:type="auto"/>
            <w:shd w:val="clear" w:color="auto" w:fill="auto"/>
            <w:hideMark/>
          </w:tcPr>
          <w:p w14:paraId="2832F869"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0 (0)</w:t>
            </w:r>
          </w:p>
        </w:tc>
        <w:tc>
          <w:tcPr>
            <w:tcW w:w="0" w:type="auto"/>
            <w:shd w:val="clear" w:color="auto" w:fill="auto"/>
            <w:hideMark/>
          </w:tcPr>
          <w:p w14:paraId="4670A1B2"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2 (4)</w:t>
            </w:r>
          </w:p>
        </w:tc>
        <w:tc>
          <w:tcPr>
            <w:tcW w:w="0" w:type="auto"/>
            <w:shd w:val="clear" w:color="auto" w:fill="auto"/>
            <w:hideMark/>
          </w:tcPr>
          <w:p w14:paraId="69F8036D"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49 (96)</w:t>
            </w:r>
          </w:p>
        </w:tc>
      </w:tr>
      <w:tr w:rsidR="004600D5" w:rsidRPr="001153D2" w14:paraId="2AD46FB1" w14:textId="77777777" w:rsidTr="004600D5">
        <w:trPr>
          <w:jc w:val="center"/>
        </w:trPr>
        <w:tc>
          <w:tcPr>
            <w:tcW w:w="0" w:type="auto"/>
            <w:hideMark/>
          </w:tcPr>
          <w:p w14:paraId="581E2044"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Ciprofloxacin</w:t>
            </w:r>
          </w:p>
        </w:tc>
        <w:tc>
          <w:tcPr>
            <w:tcW w:w="0" w:type="auto"/>
            <w:hideMark/>
          </w:tcPr>
          <w:p w14:paraId="16C8C4EB"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39 (76)</w:t>
            </w:r>
          </w:p>
        </w:tc>
        <w:tc>
          <w:tcPr>
            <w:tcW w:w="0" w:type="auto"/>
            <w:hideMark/>
          </w:tcPr>
          <w:p w14:paraId="2F373AA6"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2 (4)</w:t>
            </w:r>
          </w:p>
        </w:tc>
        <w:tc>
          <w:tcPr>
            <w:tcW w:w="0" w:type="auto"/>
            <w:hideMark/>
          </w:tcPr>
          <w:p w14:paraId="74D1AC85"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10 (20)</w:t>
            </w:r>
          </w:p>
        </w:tc>
      </w:tr>
      <w:tr w:rsidR="004600D5" w:rsidRPr="001153D2" w14:paraId="313246AE" w14:textId="77777777" w:rsidTr="004600D5">
        <w:trPr>
          <w:cnfStyle w:val="000000100000" w:firstRow="0" w:lastRow="0" w:firstColumn="0" w:lastColumn="0" w:oddVBand="0" w:evenVBand="0" w:oddHBand="1" w:evenHBand="0" w:firstRowFirstColumn="0" w:firstRowLastColumn="0" w:lastRowFirstColumn="0" w:lastRowLastColumn="0"/>
          <w:jc w:val="center"/>
        </w:trPr>
        <w:tc>
          <w:tcPr>
            <w:tcW w:w="0" w:type="auto"/>
            <w:shd w:val="clear" w:color="auto" w:fill="auto"/>
            <w:hideMark/>
          </w:tcPr>
          <w:p w14:paraId="32CD9911"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Tetracycline</w:t>
            </w:r>
          </w:p>
        </w:tc>
        <w:tc>
          <w:tcPr>
            <w:tcW w:w="0" w:type="auto"/>
            <w:shd w:val="clear" w:color="auto" w:fill="auto"/>
            <w:hideMark/>
          </w:tcPr>
          <w:p w14:paraId="1475EAC2"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47 (92)</w:t>
            </w:r>
          </w:p>
        </w:tc>
        <w:tc>
          <w:tcPr>
            <w:tcW w:w="0" w:type="auto"/>
            <w:shd w:val="clear" w:color="auto" w:fill="auto"/>
            <w:hideMark/>
          </w:tcPr>
          <w:p w14:paraId="0ABBD631"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0 (0)</w:t>
            </w:r>
          </w:p>
        </w:tc>
        <w:tc>
          <w:tcPr>
            <w:tcW w:w="0" w:type="auto"/>
            <w:shd w:val="clear" w:color="auto" w:fill="auto"/>
            <w:hideMark/>
          </w:tcPr>
          <w:p w14:paraId="6314D4BD"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4 (8)</w:t>
            </w:r>
          </w:p>
        </w:tc>
      </w:tr>
      <w:tr w:rsidR="004600D5" w:rsidRPr="001153D2" w14:paraId="5FF4A1B3" w14:textId="77777777" w:rsidTr="004600D5">
        <w:trPr>
          <w:jc w:val="center"/>
        </w:trPr>
        <w:tc>
          <w:tcPr>
            <w:tcW w:w="0" w:type="auto"/>
            <w:hideMark/>
          </w:tcPr>
          <w:p w14:paraId="70CE49E4"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Gentamicin</w:t>
            </w:r>
          </w:p>
        </w:tc>
        <w:tc>
          <w:tcPr>
            <w:tcW w:w="0" w:type="auto"/>
            <w:hideMark/>
          </w:tcPr>
          <w:p w14:paraId="34F59103"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32 (63)</w:t>
            </w:r>
          </w:p>
        </w:tc>
        <w:tc>
          <w:tcPr>
            <w:tcW w:w="0" w:type="auto"/>
            <w:hideMark/>
          </w:tcPr>
          <w:p w14:paraId="4BC8EA32"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1 (2)</w:t>
            </w:r>
          </w:p>
        </w:tc>
        <w:tc>
          <w:tcPr>
            <w:tcW w:w="0" w:type="auto"/>
            <w:hideMark/>
          </w:tcPr>
          <w:p w14:paraId="75CD4C4A"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18 (35)</w:t>
            </w:r>
          </w:p>
        </w:tc>
      </w:tr>
      <w:tr w:rsidR="004600D5" w:rsidRPr="001153D2" w14:paraId="1F54FD65" w14:textId="77777777" w:rsidTr="004600D5">
        <w:trPr>
          <w:cnfStyle w:val="000000100000" w:firstRow="0" w:lastRow="0" w:firstColumn="0" w:lastColumn="0" w:oddVBand="0" w:evenVBand="0" w:oddHBand="1" w:evenHBand="0" w:firstRowFirstColumn="0" w:firstRowLastColumn="0" w:lastRowFirstColumn="0" w:lastRowLastColumn="0"/>
          <w:jc w:val="center"/>
        </w:trPr>
        <w:tc>
          <w:tcPr>
            <w:tcW w:w="0" w:type="auto"/>
            <w:shd w:val="clear" w:color="auto" w:fill="auto"/>
            <w:hideMark/>
          </w:tcPr>
          <w:p w14:paraId="46EC42BE"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Erythromycin</w:t>
            </w:r>
          </w:p>
        </w:tc>
        <w:tc>
          <w:tcPr>
            <w:tcW w:w="0" w:type="auto"/>
            <w:shd w:val="clear" w:color="auto" w:fill="auto"/>
            <w:hideMark/>
          </w:tcPr>
          <w:p w14:paraId="70C95062"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47 (92)</w:t>
            </w:r>
          </w:p>
        </w:tc>
        <w:tc>
          <w:tcPr>
            <w:tcW w:w="0" w:type="auto"/>
            <w:shd w:val="clear" w:color="auto" w:fill="auto"/>
            <w:hideMark/>
          </w:tcPr>
          <w:p w14:paraId="761DA5E0"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1 (2)</w:t>
            </w:r>
          </w:p>
        </w:tc>
        <w:tc>
          <w:tcPr>
            <w:tcW w:w="0" w:type="auto"/>
            <w:shd w:val="clear" w:color="auto" w:fill="auto"/>
            <w:hideMark/>
          </w:tcPr>
          <w:p w14:paraId="6A718054" w14:textId="77777777" w:rsidR="004600D5" w:rsidRPr="001153D2" w:rsidRDefault="004600D5" w:rsidP="00AE0B90">
            <w:pPr>
              <w:jc w:val="both"/>
              <w:rPr>
                <w:rFonts w:ascii="Arial" w:hAnsi="Arial" w:cs="Arial"/>
                <w:sz w:val="20"/>
                <w:szCs w:val="20"/>
              </w:rPr>
            </w:pPr>
            <w:r w:rsidRPr="001153D2">
              <w:rPr>
                <w:rFonts w:ascii="Arial" w:hAnsi="Arial" w:cs="Arial"/>
                <w:sz w:val="20"/>
                <w:szCs w:val="20"/>
              </w:rPr>
              <w:t>3 (6)</w:t>
            </w:r>
          </w:p>
        </w:tc>
      </w:tr>
    </w:tbl>
    <w:p w14:paraId="1A89CE3B" w14:textId="77777777" w:rsidR="004600D5" w:rsidRPr="001153D2" w:rsidRDefault="004600D5" w:rsidP="004600D5">
      <w:pPr>
        <w:jc w:val="both"/>
        <w:rPr>
          <w:rFonts w:ascii="Arial" w:hAnsi="Arial" w:cs="Arial"/>
          <w:b/>
          <w:bCs/>
        </w:rPr>
      </w:pPr>
    </w:p>
    <w:p w14:paraId="33B96C4D" w14:textId="77777777" w:rsidR="004600D5" w:rsidRPr="007B3AC6" w:rsidRDefault="004600D5" w:rsidP="004600D5">
      <w:pPr>
        <w:jc w:val="both"/>
        <w:rPr>
          <w:rFonts w:ascii="Arial" w:hAnsi="Arial" w:cs="Arial"/>
          <w:b/>
          <w:bCs/>
        </w:rPr>
      </w:pPr>
      <w:r w:rsidRPr="007B3AC6">
        <w:rPr>
          <w:b/>
          <w:bCs/>
        </w:rPr>
        <w:t>3.6 Multiple Antibiotic Resistance (MAR) Index</w:t>
      </w:r>
    </w:p>
    <w:p w14:paraId="6B7C88A8" w14:textId="77777777" w:rsidR="004600D5" w:rsidRPr="001153D2" w:rsidRDefault="004600D5" w:rsidP="004600D5">
      <w:pPr>
        <w:spacing w:after="160"/>
        <w:jc w:val="both"/>
        <w:rPr>
          <w:rFonts w:ascii="Arial" w:hAnsi="Arial" w:cs="Arial"/>
        </w:rPr>
      </w:pPr>
      <w:r>
        <w:t xml:space="preserve">The MAR index for HA-MRSA ranged from 0.2 to 0.4, with the highest values in the female surgical ward and laundry (0.4). MAR indices for the Lassa ward, A&amp;E, and male surgical ward were 0.3, while the remaining departments had values of 0.2 </w:t>
      </w:r>
      <w:r>
        <w:rPr>
          <w:highlight w:val="yellow"/>
        </w:rPr>
        <w:t>except the ICU (0.1)</w:t>
      </w:r>
      <w:r>
        <w:t xml:space="preserve"> (Table 6). The CA-MRSA MAR index ranged from 0.1 to 0.2 (Table 6). Following Krumperman (1983), values above 0.2 were treated as indicators of high-risk sources of antibiotic exposure/resistance. These findings show a higher resistance burden among the hospital isolates, but they do not by themselves demonstrate antibiotic misuse, overprescribing, or a specific transmission pathway.</w:t>
      </w:r>
    </w:p>
    <w:p w14:paraId="23938833" w14:textId="77777777" w:rsidR="004600D5" w:rsidRPr="001153D2" w:rsidRDefault="004600D5" w:rsidP="004600D5">
      <w:pPr>
        <w:spacing w:after="160"/>
        <w:jc w:val="both"/>
        <w:rPr>
          <w:rFonts w:ascii="Arial" w:hAnsi="Arial" w:cs="Arial"/>
        </w:rPr>
      </w:pPr>
      <w:r>
        <w:rPr>
          <w:highlight w:val="yellow"/>
        </w:rPr>
        <w:t>The lower MAR-index range</w:t>
      </w:r>
      <w:r>
        <w:t xml:space="preserve"> observed among CA-MRSA isolates indicates a lower number of antibiotics to which the isolates were resistant in the tested panel. However, the MAR index is a descriptive measure derived from susceptibility results and should not be interpreted as a direct measure of antibiotic consumption. Further studies that combine microbiological </w:t>
      </w:r>
      <w:r>
        <w:lastRenderedPageBreak/>
        <w:t>surveillance with antibiotic-use data are needed to determine whether prescribing or consumption patterns explain the observed differences.</w:t>
      </w:r>
    </w:p>
    <w:p w14:paraId="6DDCC70B" w14:textId="77777777" w:rsidR="004600D5" w:rsidRPr="007B3AC6" w:rsidRDefault="004600D5" w:rsidP="004600D5">
      <w:pPr>
        <w:jc w:val="both"/>
        <w:rPr>
          <w:rFonts w:ascii="Arial" w:hAnsi="Arial" w:cs="Arial"/>
          <w:b/>
          <w:bCs/>
        </w:rPr>
      </w:pPr>
      <w:r w:rsidRPr="007B3AC6">
        <w:rPr>
          <w:b/>
          <w:bCs/>
        </w:rPr>
        <w:t>3.7 General Comparison between HA-MRSA and CA-MRSA</w:t>
      </w:r>
    </w:p>
    <w:p w14:paraId="49CCEBE1" w14:textId="77777777" w:rsidR="004600D5" w:rsidRPr="001153D2" w:rsidRDefault="004600D5" w:rsidP="004600D5">
      <w:pPr>
        <w:spacing w:after="160"/>
        <w:jc w:val="both"/>
        <w:rPr>
          <w:rFonts w:ascii="Arial" w:hAnsi="Arial" w:cs="Arial"/>
        </w:rPr>
      </w:pPr>
      <w:r>
        <w:t xml:space="preserve">The main comparative findings are </w:t>
      </w:r>
      <w:r>
        <w:rPr>
          <w:highlight w:val="yellow"/>
        </w:rPr>
        <w:t>summarised</w:t>
      </w:r>
      <w:r>
        <w:t xml:space="preserve"> in Table 6. HA-MRSA was more prevalent than CA-MRSA (26.5% vs 16.5%; p = 0.002). HA-MRSA also showed higher resistance to ciprofloxacin and erythromycin, with no statistically significant difference in gentamicin resistance. </w:t>
      </w:r>
      <w:r>
        <w:rPr>
          <w:highlight w:val="yellow"/>
        </w:rPr>
        <w:t>The MAR-index range was higher</w:t>
      </w:r>
      <w:r>
        <w:t xml:space="preserve"> in the hospital group (0.2–0.4) than in the community group (0.1–0.2). Because molecular typing, antibiotic-consumption data, and detailed patient-level risk factors were not collected, the observed differences should be interpreted as epidemiological associations rather than evidence of distinct genetic lineages or specific causes of resistance.</w:t>
      </w:r>
    </w:p>
    <w:p w14:paraId="5581EC61" w14:textId="77777777" w:rsidR="004600D5" w:rsidRPr="001153D2" w:rsidRDefault="004600D5" w:rsidP="004600D5">
      <w:pPr>
        <w:spacing w:after="160"/>
        <w:jc w:val="both"/>
        <w:rPr>
          <w:rFonts w:ascii="Arial" w:hAnsi="Arial" w:cs="Arial"/>
        </w:rPr>
      </w:pPr>
      <w:r>
        <w:t xml:space="preserve">The findings have clinical and public-health relevance because the hospital group showed a greater resistance burden across several tested antibiotics. This supports infection-prevention measures, antimicrobial stewardship, and routine susceptibility testing. The community findings also demonstrate the need for surveillance beyond healthcare facilities. These implications are consistent with current evidence identifying MRSA as an important antimicrobial-resistance threat and emphasizing surveillance, infection prevention, and appropriate antimicrobial use (WHO, 2024; Azzam </w:t>
      </w:r>
      <w:r w:rsidR="00CD12AA" w:rsidRPr="00CD12AA">
        <w:rPr>
          <w:i/>
          <w:iCs/>
        </w:rPr>
        <w:t>et al</w:t>
      </w:r>
      <w:r>
        <w:t>., 2026).</w:t>
      </w:r>
    </w:p>
    <w:p w14:paraId="745636AD" w14:textId="77777777" w:rsidR="004600D5" w:rsidRPr="007B3AC6" w:rsidRDefault="004600D5" w:rsidP="004600D5">
      <w:pPr>
        <w:jc w:val="both"/>
        <w:rPr>
          <w:rFonts w:ascii="Arial" w:hAnsi="Arial" w:cs="Arial"/>
          <w:b/>
          <w:bCs/>
        </w:rPr>
      </w:pPr>
      <w:r w:rsidRPr="007B3AC6">
        <w:rPr>
          <w:b/>
          <w:bCs/>
        </w:rPr>
        <w:t>Table 6: General Comparison between HA-MRSA and CA-MRSA</w:t>
      </w:r>
    </w:p>
    <w:tbl>
      <w:tblPr>
        <w:tblStyle w:val="ListTable6Colorful"/>
        <w:tblW w:w="5958" w:type="dxa"/>
        <w:jc w:val="center"/>
        <w:tblLook w:val="0420" w:firstRow="1" w:lastRow="0" w:firstColumn="0" w:lastColumn="0" w:noHBand="0" w:noVBand="1"/>
      </w:tblPr>
      <w:tblGrid>
        <w:gridCol w:w="2628"/>
        <w:gridCol w:w="1710"/>
        <w:gridCol w:w="1620"/>
      </w:tblGrid>
      <w:tr w:rsidR="004600D5" w:rsidRPr="007B3AC6" w14:paraId="23D42527" w14:textId="77777777" w:rsidTr="007B3AC6">
        <w:trPr>
          <w:cnfStyle w:val="100000000000" w:firstRow="1" w:lastRow="0" w:firstColumn="0" w:lastColumn="0" w:oddVBand="0" w:evenVBand="0" w:oddHBand="0" w:evenHBand="0" w:firstRowFirstColumn="0" w:firstRowLastColumn="0" w:lastRowFirstColumn="0" w:lastRowLastColumn="0"/>
          <w:jc w:val="center"/>
        </w:trPr>
        <w:tc>
          <w:tcPr>
            <w:tcW w:w="2628" w:type="dxa"/>
            <w:hideMark/>
          </w:tcPr>
          <w:p w14:paraId="2A7C8B34" w14:textId="77777777" w:rsidR="00F11B31" w:rsidRPr="007B3AC6" w:rsidRDefault="00000000">
            <w:pPr>
              <w:rPr>
                <w:sz w:val="20"/>
                <w:szCs w:val="20"/>
              </w:rPr>
            </w:pPr>
            <w:r w:rsidRPr="007B3AC6">
              <w:rPr>
                <w:sz w:val="20"/>
                <w:szCs w:val="20"/>
              </w:rPr>
              <w:t>Parameter</w:t>
            </w:r>
          </w:p>
        </w:tc>
        <w:tc>
          <w:tcPr>
            <w:tcW w:w="1710" w:type="dxa"/>
            <w:hideMark/>
          </w:tcPr>
          <w:p w14:paraId="06F50337" w14:textId="77777777" w:rsidR="00F11B31" w:rsidRPr="007B3AC6" w:rsidRDefault="00000000">
            <w:pPr>
              <w:rPr>
                <w:sz w:val="20"/>
                <w:szCs w:val="20"/>
              </w:rPr>
            </w:pPr>
            <w:r w:rsidRPr="007B3AC6">
              <w:rPr>
                <w:sz w:val="20"/>
                <w:szCs w:val="20"/>
              </w:rPr>
              <w:t>HA-MRSA</w:t>
            </w:r>
          </w:p>
        </w:tc>
        <w:tc>
          <w:tcPr>
            <w:tcW w:w="1620" w:type="dxa"/>
            <w:hideMark/>
          </w:tcPr>
          <w:p w14:paraId="008906BD" w14:textId="77777777" w:rsidR="00F11B31" w:rsidRPr="007B3AC6" w:rsidRDefault="00000000">
            <w:pPr>
              <w:rPr>
                <w:sz w:val="20"/>
                <w:szCs w:val="20"/>
              </w:rPr>
            </w:pPr>
            <w:r w:rsidRPr="007B3AC6">
              <w:rPr>
                <w:sz w:val="20"/>
                <w:szCs w:val="20"/>
              </w:rPr>
              <w:t>CA-MRSA</w:t>
            </w:r>
          </w:p>
        </w:tc>
      </w:tr>
      <w:tr w:rsidR="004600D5" w:rsidRPr="007B3AC6" w14:paraId="10FD30B1" w14:textId="77777777" w:rsidTr="007B3AC6">
        <w:trPr>
          <w:cnfStyle w:val="000000100000" w:firstRow="0" w:lastRow="0" w:firstColumn="0" w:lastColumn="0" w:oddVBand="0" w:evenVBand="0" w:oddHBand="1" w:evenHBand="0" w:firstRowFirstColumn="0" w:firstRowLastColumn="0" w:lastRowFirstColumn="0" w:lastRowLastColumn="0"/>
          <w:jc w:val="center"/>
        </w:trPr>
        <w:tc>
          <w:tcPr>
            <w:tcW w:w="2628" w:type="dxa"/>
            <w:shd w:val="clear" w:color="auto" w:fill="auto"/>
            <w:hideMark/>
          </w:tcPr>
          <w:p w14:paraId="1CA20E41" w14:textId="77777777" w:rsidR="00F11B31" w:rsidRPr="007B3AC6" w:rsidRDefault="00000000">
            <w:pPr>
              <w:rPr>
                <w:sz w:val="20"/>
                <w:szCs w:val="20"/>
              </w:rPr>
            </w:pPr>
            <w:r w:rsidRPr="007B3AC6">
              <w:rPr>
                <w:sz w:val="20"/>
                <w:szCs w:val="20"/>
              </w:rPr>
              <w:t>Prevalence</w:t>
            </w:r>
          </w:p>
        </w:tc>
        <w:tc>
          <w:tcPr>
            <w:tcW w:w="1710" w:type="dxa"/>
            <w:shd w:val="clear" w:color="auto" w:fill="auto"/>
            <w:hideMark/>
          </w:tcPr>
          <w:p w14:paraId="1009A4BA" w14:textId="77777777" w:rsidR="00F11B31" w:rsidRPr="007B3AC6" w:rsidRDefault="00000000">
            <w:pPr>
              <w:rPr>
                <w:sz w:val="20"/>
                <w:szCs w:val="20"/>
              </w:rPr>
            </w:pPr>
            <w:r w:rsidRPr="007B3AC6">
              <w:rPr>
                <w:sz w:val="20"/>
                <w:szCs w:val="20"/>
              </w:rPr>
              <w:t>26.5% (82/310)</w:t>
            </w:r>
          </w:p>
        </w:tc>
        <w:tc>
          <w:tcPr>
            <w:tcW w:w="1620" w:type="dxa"/>
            <w:shd w:val="clear" w:color="auto" w:fill="auto"/>
            <w:hideMark/>
          </w:tcPr>
          <w:p w14:paraId="5D012BE1" w14:textId="77777777" w:rsidR="00F11B31" w:rsidRPr="007B3AC6" w:rsidRDefault="00000000">
            <w:pPr>
              <w:rPr>
                <w:sz w:val="20"/>
                <w:szCs w:val="20"/>
              </w:rPr>
            </w:pPr>
            <w:r w:rsidRPr="007B3AC6">
              <w:rPr>
                <w:sz w:val="20"/>
                <w:szCs w:val="20"/>
              </w:rPr>
              <w:t>16.5% (51/310)</w:t>
            </w:r>
          </w:p>
        </w:tc>
      </w:tr>
      <w:tr w:rsidR="004600D5" w:rsidRPr="007B3AC6" w14:paraId="65ABEEAE" w14:textId="77777777" w:rsidTr="007B3AC6">
        <w:trPr>
          <w:jc w:val="center"/>
        </w:trPr>
        <w:tc>
          <w:tcPr>
            <w:tcW w:w="2628" w:type="dxa"/>
            <w:hideMark/>
          </w:tcPr>
          <w:p w14:paraId="5C41BF48" w14:textId="77777777" w:rsidR="00F11B31" w:rsidRPr="007B3AC6" w:rsidRDefault="00000000">
            <w:pPr>
              <w:rPr>
                <w:sz w:val="20"/>
                <w:szCs w:val="20"/>
              </w:rPr>
            </w:pPr>
            <w:r w:rsidRPr="007B3AC6">
              <w:rPr>
                <w:sz w:val="20"/>
                <w:szCs w:val="20"/>
              </w:rPr>
              <w:t>Cloxacillin resistance</w:t>
            </w:r>
          </w:p>
        </w:tc>
        <w:tc>
          <w:tcPr>
            <w:tcW w:w="1710" w:type="dxa"/>
            <w:hideMark/>
          </w:tcPr>
          <w:p w14:paraId="615403D9" w14:textId="77777777" w:rsidR="00F11B31" w:rsidRPr="007B3AC6" w:rsidRDefault="00000000">
            <w:pPr>
              <w:rPr>
                <w:sz w:val="20"/>
                <w:szCs w:val="20"/>
              </w:rPr>
            </w:pPr>
            <w:r w:rsidRPr="007B3AC6">
              <w:rPr>
                <w:sz w:val="20"/>
                <w:szCs w:val="20"/>
              </w:rPr>
              <w:t>96%</w:t>
            </w:r>
          </w:p>
        </w:tc>
        <w:tc>
          <w:tcPr>
            <w:tcW w:w="1620" w:type="dxa"/>
            <w:hideMark/>
          </w:tcPr>
          <w:p w14:paraId="6F247BBD" w14:textId="77777777" w:rsidR="00F11B31" w:rsidRPr="007B3AC6" w:rsidRDefault="00000000">
            <w:pPr>
              <w:rPr>
                <w:sz w:val="20"/>
                <w:szCs w:val="20"/>
              </w:rPr>
            </w:pPr>
            <w:r w:rsidRPr="007B3AC6">
              <w:rPr>
                <w:sz w:val="20"/>
                <w:szCs w:val="20"/>
              </w:rPr>
              <w:t>96%</w:t>
            </w:r>
          </w:p>
        </w:tc>
      </w:tr>
      <w:tr w:rsidR="004600D5" w:rsidRPr="007B3AC6" w14:paraId="1B16B0DE" w14:textId="77777777" w:rsidTr="007B3AC6">
        <w:trPr>
          <w:cnfStyle w:val="000000100000" w:firstRow="0" w:lastRow="0" w:firstColumn="0" w:lastColumn="0" w:oddVBand="0" w:evenVBand="0" w:oddHBand="1" w:evenHBand="0" w:firstRowFirstColumn="0" w:firstRowLastColumn="0" w:lastRowFirstColumn="0" w:lastRowLastColumn="0"/>
          <w:jc w:val="center"/>
        </w:trPr>
        <w:tc>
          <w:tcPr>
            <w:tcW w:w="2628" w:type="dxa"/>
            <w:shd w:val="clear" w:color="auto" w:fill="auto"/>
            <w:hideMark/>
          </w:tcPr>
          <w:p w14:paraId="0FF06E25" w14:textId="77777777" w:rsidR="00F11B31" w:rsidRPr="007B3AC6" w:rsidRDefault="00000000">
            <w:pPr>
              <w:rPr>
                <w:sz w:val="20"/>
                <w:szCs w:val="20"/>
              </w:rPr>
            </w:pPr>
            <w:r w:rsidRPr="007B3AC6">
              <w:rPr>
                <w:sz w:val="20"/>
                <w:szCs w:val="20"/>
              </w:rPr>
              <w:t>Ciprofloxacin resistance</w:t>
            </w:r>
          </w:p>
        </w:tc>
        <w:tc>
          <w:tcPr>
            <w:tcW w:w="1710" w:type="dxa"/>
            <w:shd w:val="clear" w:color="auto" w:fill="auto"/>
            <w:hideMark/>
          </w:tcPr>
          <w:p w14:paraId="15BE2842" w14:textId="77777777" w:rsidR="00F11B31" w:rsidRPr="007B3AC6" w:rsidRDefault="00000000">
            <w:pPr>
              <w:rPr>
                <w:sz w:val="20"/>
                <w:szCs w:val="20"/>
              </w:rPr>
            </w:pPr>
            <w:r w:rsidRPr="007B3AC6">
              <w:rPr>
                <w:sz w:val="20"/>
                <w:szCs w:val="20"/>
              </w:rPr>
              <w:t>41%</w:t>
            </w:r>
          </w:p>
        </w:tc>
        <w:tc>
          <w:tcPr>
            <w:tcW w:w="1620" w:type="dxa"/>
            <w:shd w:val="clear" w:color="auto" w:fill="auto"/>
            <w:hideMark/>
          </w:tcPr>
          <w:p w14:paraId="3B1B22E6" w14:textId="77777777" w:rsidR="00F11B31" w:rsidRPr="007B3AC6" w:rsidRDefault="00000000">
            <w:pPr>
              <w:rPr>
                <w:sz w:val="20"/>
                <w:szCs w:val="20"/>
              </w:rPr>
            </w:pPr>
            <w:r w:rsidRPr="007B3AC6">
              <w:rPr>
                <w:sz w:val="20"/>
                <w:szCs w:val="20"/>
              </w:rPr>
              <w:t>20%</w:t>
            </w:r>
          </w:p>
        </w:tc>
      </w:tr>
      <w:tr w:rsidR="004600D5" w:rsidRPr="007B3AC6" w14:paraId="57C94917" w14:textId="77777777" w:rsidTr="007B3AC6">
        <w:trPr>
          <w:jc w:val="center"/>
        </w:trPr>
        <w:tc>
          <w:tcPr>
            <w:tcW w:w="2628" w:type="dxa"/>
            <w:hideMark/>
          </w:tcPr>
          <w:p w14:paraId="508BE9EC" w14:textId="77777777" w:rsidR="00F11B31" w:rsidRPr="007B3AC6" w:rsidRDefault="00000000">
            <w:pPr>
              <w:rPr>
                <w:sz w:val="20"/>
                <w:szCs w:val="20"/>
              </w:rPr>
            </w:pPr>
            <w:r w:rsidRPr="007B3AC6">
              <w:rPr>
                <w:sz w:val="20"/>
                <w:szCs w:val="20"/>
              </w:rPr>
              <w:t>Gentamicin resistance</w:t>
            </w:r>
          </w:p>
        </w:tc>
        <w:tc>
          <w:tcPr>
            <w:tcW w:w="1710" w:type="dxa"/>
            <w:hideMark/>
          </w:tcPr>
          <w:p w14:paraId="2299E232" w14:textId="77777777" w:rsidR="00F11B31" w:rsidRPr="007B3AC6" w:rsidRDefault="00000000">
            <w:pPr>
              <w:rPr>
                <w:sz w:val="20"/>
                <w:szCs w:val="20"/>
              </w:rPr>
            </w:pPr>
            <w:r w:rsidRPr="007B3AC6">
              <w:rPr>
                <w:sz w:val="20"/>
                <w:szCs w:val="20"/>
              </w:rPr>
              <w:t>45%</w:t>
            </w:r>
          </w:p>
        </w:tc>
        <w:tc>
          <w:tcPr>
            <w:tcW w:w="1620" w:type="dxa"/>
            <w:hideMark/>
          </w:tcPr>
          <w:p w14:paraId="04875B61" w14:textId="77777777" w:rsidR="00F11B31" w:rsidRPr="007B3AC6" w:rsidRDefault="00000000">
            <w:pPr>
              <w:rPr>
                <w:sz w:val="20"/>
                <w:szCs w:val="20"/>
              </w:rPr>
            </w:pPr>
            <w:r w:rsidRPr="007B3AC6">
              <w:rPr>
                <w:sz w:val="20"/>
                <w:szCs w:val="20"/>
              </w:rPr>
              <w:t>35%</w:t>
            </w:r>
          </w:p>
        </w:tc>
      </w:tr>
      <w:tr w:rsidR="00F11B31" w:rsidRPr="007B3AC6" w14:paraId="5B844E2F" w14:textId="77777777" w:rsidTr="007B3AC6">
        <w:trPr>
          <w:cnfStyle w:val="000000100000" w:firstRow="0" w:lastRow="0" w:firstColumn="0" w:lastColumn="0" w:oddVBand="0" w:evenVBand="0" w:oddHBand="1" w:evenHBand="0" w:firstRowFirstColumn="0" w:firstRowLastColumn="0" w:lastRowFirstColumn="0" w:lastRowLastColumn="0"/>
          <w:jc w:val="center"/>
        </w:trPr>
        <w:tc>
          <w:tcPr>
            <w:tcW w:w="2628" w:type="dxa"/>
            <w:shd w:val="clear" w:color="auto" w:fill="auto"/>
          </w:tcPr>
          <w:p w14:paraId="6005E1AD" w14:textId="77777777" w:rsidR="00F11B31" w:rsidRPr="007B3AC6" w:rsidRDefault="00000000">
            <w:pPr>
              <w:rPr>
                <w:sz w:val="20"/>
                <w:szCs w:val="20"/>
              </w:rPr>
            </w:pPr>
            <w:r w:rsidRPr="007B3AC6">
              <w:rPr>
                <w:sz w:val="20"/>
                <w:szCs w:val="20"/>
              </w:rPr>
              <w:t>Erythromycin resistance</w:t>
            </w:r>
          </w:p>
        </w:tc>
        <w:tc>
          <w:tcPr>
            <w:tcW w:w="1710" w:type="dxa"/>
            <w:shd w:val="clear" w:color="auto" w:fill="auto"/>
          </w:tcPr>
          <w:p w14:paraId="5CAFA062" w14:textId="77777777" w:rsidR="00F11B31" w:rsidRPr="007B3AC6" w:rsidRDefault="00000000">
            <w:pPr>
              <w:rPr>
                <w:sz w:val="20"/>
                <w:szCs w:val="20"/>
              </w:rPr>
            </w:pPr>
            <w:r w:rsidRPr="007B3AC6">
              <w:rPr>
                <w:sz w:val="20"/>
                <w:szCs w:val="20"/>
              </w:rPr>
              <w:t>26%</w:t>
            </w:r>
          </w:p>
        </w:tc>
        <w:tc>
          <w:tcPr>
            <w:tcW w:w="1620" w:type="dxa"/>
            <w:shd w:val="clear" w:color="auto" w:fill="auto"/>
          </w:tcPr>
          <w:p w14:paraId="58A8B714" w14:textId="77777777" w:rsidR="00F11B31" w:rsidRPr="007B3AC6" w:rsidRDefault="00000000">
            <w:pPr>
              <w:rPr>
                <w:sz w:val="20"/>
                <w:szCs w:val="20"/>
              </w:rPr>
            </w:pPr>
            <w:r w:rsidRPr="007B3AC6">
              <w:rPr>
                <w:sz w:val="20"/>
                <w:szCs w:val="20"/>
              </w:rPr>
              <w:t>6%</w:t>
            </w:r>
          </w:p>
        </w:tc>
      </w:tr>
      <w:tr w:rsidR="00F11B31" w:rsidRPr="007B3AC6" w14:paraId="22771F55" w14:textId="77777777" w:rsidTr="007B3AC6">
        <w:trPr>
          <w:jc w:val="center"/>
        </w:trPr>
        <w:tc>
          <w:tcPr>
            <w:tcW w:w="2628" w:type="dxa"/>
          </w:tcPr>
          <w:p w14:paraId="7DB84BB2" w14:textId="77777777" w:rsidR="00F11B31" w:rsidRPr="007B3AC6" w:rsidRDefault="00000000">
            <w:pPr>
              <w:rPr>
                <w:sz w:val="20"/>
                <w:szCs w:val="20"/>
              </w:rPr>
            </w:pPr>
            <w:r w:rsidRPr="007B3AC6">
              <w:rPr>
                <w:sz w:val="20"/>
                <w:szCs w:val="20"/>
              </w:rPr>
              <w:t>Tetracycline resistance</w:t>
            </w:r>
          </w:p>
        </w:tc>
        <w:tc>
          <w:tcPr>
            <w:tcW w:w="1710" w:type="dxa"/>
          </w:tcPr>
          <w:p w14:paraId="223CD7B6" w14:textId="77777777" w:rsidR="00F11B31" w:rsidRPr="007B3AC6" w:rsidRDefault="00000000">
            <w:pPr>
              <w:rPr>
                <w:sz w:val="20"/>
                <w:szCs w:val="20"/>
              </w:rPr>
            </w:pPr>
            <w:r w:rsidRPr="007B3AC6">
              <w:rPr>
                <w:sz w:val="20"/>
                <w:szCs w:val="20"/>
              </w:rPr>
              <w:t>9%</w:t>
            </w:r>
          </w:p>
        </w:tc>
        <w:tc>
          <w:tcPr>
            <w:tcW w:w="1620" w:type="dxa"/>
          </w:tcPr>
          <w:p w14:paraId="132C3843" w14:textId="77777777" w:rsidR="00F11B31" w:rsidRPr="007B3AC6" w:rsidRDefault="00000000">
            <w:pPr>
              <w:rPr>
                <w:sz w:val="20"/>
                <w:szCs w:val="20"/>
              </w:rPr>
            </w:pPr>
            <w:r w:rsidRPr="007B3AC6">
              <w:rPr>
                <w:sz w:val="20"/>
                <w:szCs w:val="20"/>
              </w:rPr>
              <w:t>8%</w:t>
            </w:r>
          </w:p>
        </w:tc>
      </w:tr>
      <w:tr w:rsidR="00F11B31" w:rsidRPr="007B3AC6" w14:paraId="31BF0D31" w14:textId="77777777" w:rsidTr="007B3AC6">
        <w:trPr>
          <w:cnfStyle w:val="000000100000" w:firstRow="0" w:lastRow="0" w:firstColumn="0" w:lastColumn="0" w:oddVBand="0" w:evenVBand="0" w:oddHBand="1" w:evenHBand="0" w:firstRowFirstColumn="0" w:firstRowLastColumn="0" w:lastRowFirstColumn="0" w:lastRowLastColumn="0"/>
          <w:jc w:val="center"/>
        </w:trPr>
        <w:tc>
          <w:tcPr>
            <w:tcW w:w="2628" w:type="dxa"/>
            <w:shd w:val="clear" w:color="auto" w:fill="auto"/>
          </w:tcPr>
          <w:p w14:paraId="4EF9D42C" w14:textId="77777777" w:rsidR="00F11B31" w:rsidRPr="007B3AC6" w:rsidRDefault="00000000">
            <w:pPr>
              <w:rPr>
                <w:sz w:val="20"/>
                <w:szCs w:val="20"/>
              </w:rPr>
            </w:pPr>
            <w:r w:rsidRPr="007B3AC6">
              <w:rPr>
                <w:sz w:val="20"/>
                <w:szCs w:val="20"/>
              </w:rPr>
              <w:t>MAR index</w:t>
            </w:r>
          </w:p>
        </w:tc>
        <w:tc>
          <w:tcPr>
            <w:tcW w:w="1710" w:type="dxa"/>
            <w:shd w:val="clear" w:color="auto" w:fill="auto"/>
          </w:tcPr>
          <w:p w14:paraId="614D8316" w14:textId="77777777" w:rsidR="00F11B31" w:rsidRPr="007B3AC6" w:rsidRDefault="00000000">
            <w:pPr>
              <w:rPr>
                <w:sz w:val="20"/>
                <w:szCs w:val="20"/>
              </w:rPr>
            </w:pPr>
            <w:r w:rsidRPr="007B3AC6">
              <w:rPr>
                <w:sz w:val="20"/>
                <w:szCs w:val="20"/>
              </w:rPr>
              <w:t>0.2–0.4</w:t>
            </w:r>
          </w:p>
        </w:tc>
        <w:tc>
          <w:tcPr>
            <w:tcW w:w="1620" w:type="dxa"/>
            <w:shd w:val="clear" w:color="auto" w:fill="auto"/>
          </w:tcPr>
          <w:p w14:paraId="75AABA6E" w14:textId="77777777" w:rsidR="00F11B31" w:rsidRPr="007B3AC6" w:rsidRDefault="00000000">
            <w:pPr>
              <w:rPr>
                <w:sz w:val="20"/>
                <w:szCs w:val="20"/>
              </w:rPr>
            </w:pPr>
            <w:r w:rsidRPr="007B3AC6">
              <w:rPr>
                <w:sz w:val="20"/>
                <w:szCs w:val="20"/>
              </w:rPr>
              <w:t>0.1–0.2</w:t>
            </w:r>
          </w:p>
        </w:tc>
      </w:tr>
    </w:tbl>
    <w:p w14:paraId="0969D4C4" w14:textId="77777777" w:rsidR="004600D5" w:rsidRDefault="004600D5" w:rsidP="004600D5">
      <w:pPr>
        <w:spacing w:after="160"/>
        <w:jc w:val="both"/>
        <w:rPr>
          <w:rFonts w:ascii="Arial" w:hAnsi="Arial" w:cs="Arial"/>
          <w:b/>
          <w:bCs/>
        </w:rPr>
      </w:pPr>
    </w:p>
    <w:p w14:paraId="3C140D04" w14:textId="77777777" w:rsidR="004600D5" w:rsidRPr="007B3AC6" w:rsidRDefault="004600D5" w:rsidP="004600D5">
      <w:pPr>
        <w:spacing w:after="160"/>
        <w:jc w:val="both"/>
        <w:rPr>
          <w:rFonts w:ascii="Arial" w:hAnsi="Arial" w:cs="Arial"/>
          <w:b/>
          <w:bCs/>
        </w:rPr>
      </w:pPr>
      <w:r w:rsidRPr="007B3AC6">
        <w:rPr>
          <w:b/>
          <w:bCs/>
        </w:rPr>
        <w:t>3.8 Implications for Clinical Practice and Public Health</w:t>
      </w:r>
    </w:p>
    <w:p w14:paraId="68441390" w14:textId="77777777" w:rsidR="004600D5" w:rsidRPr="001153D2" w:rsidRDefault="004600D5" w:rsidP="004600D5">
      <w:pPr>
        <w:spacing w:after="240"/>
        <w:jc w:val="both"/>
        <w:rPr>
          <w:rFonts w:ascii="Arial" w:hAnsi="Arial" w:cs="Arial"/>
        </w:rPr>
      </w:pPr>
      <w:r>
        <w:t>The findings have several implications for clinical practice and public health in Edo State. First, the substantial prevalence of phenotypic MRSA in both hospital and community samples supports continued surveillance of MRSA carriage and resistance patterns. Hospitals should strengthen hand hygiene, environmental cleaning, equipment disinfection, and appropriate infection-prevention practices.</w:t>
      </w:r>
    </w:p>
    <w:p w14:paraId="16AF7599" w14:textId="77777777" w:rsidR="004600D5" w:rsidRPr="001153D2" w:rsidRDefault="004600D5" w:rsidP="004600D5">
      <w:pPr>
        <w:spacing w:after="240"/>
        <w:jc w:val="both"/>
        <w:rPr>
          <w:rFonts w:ascii="Arial" w:hAnsi="Arial" w:cs="Arial"/>
        </w:rPr>
      </w:pPr>
      <w:r>
        <w:t xml:space="preserve">Second, the higher MAR indices observed among HA-MRSA isolates support antimicrobial-stewardship activities aimed at </w:t>
      </w:r>
      <w:r>
        <w:rPr>
          <w:highlight w:val="yellow"/>
        </w:rPr>
        <w:t>optimising</w:t>
      </w:r>
      <w:r>
        <w:t xml:space="preserve"> </w:t>
      </w:r>
      <w:r>
        <w:rPr>
          <w:highlight w:val="yellow"/>
        </w:rPr>
        <w:t>antibiotic selection, dosage, and duration</w:t>
      </w:r>
      <w:r>
        <w:t>. However, because antibiotic prescribing and consumption were not measured, the present findings should not be interpreted as direct evidence of overprescription or misuse.</w:t>
      </w:r>
    </w:p>
    <w:p w14:paraId="643F32D7" w14:textId="77777777" w:rsidR="004600D5" w:rsidRPr="001153D2" w:rsidRDefault="004600D5" w:rsidP="004600D5">
      <w:pPr>
        <w:spacing w:after="240"/>
        <w:jc w:val="both"/>
        <w:rPr>
          <w:rFonts w:ascii="Arial" w:hAnsi="Arial" w:cs="Arial"/>
        </w:rPr>
      </w:pPr>
      <w:r>
        <w:t xml:space="preserve">Third, detection of phenotypic CA-MRSA among apparently healthy community participants supports public education on hand hygiene, wound care, and appropriate antibiotic use. Interventions should </w:t>
      </w:r>
      <w:r>
        <w:rPr>
          <w:highlight w:val="yellow"/>
        </w:rPr>
        <w:t>emphasise</w:t>
      </w:r>
      <w:r>
        <w:t xml:space="preserve"> </w:t>
      </w:r>
      <w:r>
        <w:rPr>
          <w:highlight w:val="yellow"/>
        </w:rPr>
        <w:t>obtaining a microbiological diagnosis</w:t>
      </w:r>
      <w:r>
        <w:t xml:space="preserve"> and susceptibility information when clinically indicated rather than assuming that all community infections are MRSA.</w:t>
      </w:r>
    </w:p>
    <w:p w14:paraId="678E4E26" w14:textId="77777777" w:rsidR="004600D5" w:rsidRPr="001153D2" w:rsidRDefault="004600D5" w:rsidP="004600D5">
      <w:pPr>
        <w:spacing w:after="240"/>
        <w:jc w:val="both"/>
        <w:rPr>
          <w:rFonts w:ascii="Arial" w:hAnsi="Arial" w:cs="Arial"/>
        </w:rPr>
      </w:pPr>
      <w:r>
        <w:t xml:space="preserve">Fourth, the high proportion of HA-MRSA detected from fomites supports </w:t>
      </w:r>
      <w:r>
        <w:rPr>
          <w:highlight w:val="yellow"/>
        </w:rPr>
        <w:t>prioritising</w:t>
      </w:r>
      <w:r>
        <w:t xml:space="preserve"> environmental cleaning and disinfection of high-contact surfaces. Future studies should measure environmental contamination, cleaning practices, hand-hygiene compliance, and contact patterns to clarify the factors associated with hospital MRSA carriage.</w:t>
      </w:r>
    </w:p>
    <w:p w14:paraId="59590529" w14:textId="77777777" w:rsidR="00C30A0F" w:rsidRDefault="004600D5" w:rsidP="004600D5">
      <w:pPr>
        <w:pStyle w:val="Body"/>
        <w:spacing w:after="0"/>
        <w:rPr>
          <w:rFonts w:ascii="Arial" w:hAnsi="Arial" w:cs="Arial"/>
        </w:rPr>
      </w:pPr>
      <w:r>
        <w:lastRenderedPageBreak/>
        <w:t xml:space="preserve">Finally, clinicians should consider local susceptibility data when selecting empirical therapy and should use culture and susceptibility testing whenever appropriate. Vancomycin and linezolid showed </w:t>
      </w:r>
      <w:r>
        <w:rPr>
          <w:highlight w:val="yellow"/>
        </w:rPr>
        <w:t>100% in vitro susceptibility</w:t>
      </w:r>
      <w:r>
        <w:t xml:space="preserve"> in this study, but these results should not be generalized beyond the study setting or interpreted as a recommendation for routine use without clinical indication and susceptibility guidance.</w:t>
      </w:r>
    </w:p>
    <w:p w14:paraId="4727CB50" w14:textId="77777777" w:rsidR="00E053D0" w:rsidRDefault="00E053D0" w:rsidP="00441B6F">
      <w:pPr>
        <w:pStyle w:val="Body"/>
        <w:spacing w:after="0"/>
        <w:rPr>
          <w:rFonts w:ascii="Arial" w:hAnsi="Arial" w:cs="Arial"/>
        </w:rPr>
      </w:pPr>
    </w:p>
    <w:p w14:paraId="5CAF9899" w14:textId="77777777" w:rsidR="00790ADA" w:rsidRPr="007B3AC6" w:rsidRDefault="00790ADA" w:rsidP="00441B6F">
      <w:pPr>
        <w:pStyle w:val="Body"/>
        <w:spacing w:after="0"/>
        <w:rPr>
          <w:rFonts w:ascii="Arial" w:hAnsi="Arial" w:cs="Arial"/>
          <w:b/>
          <w:bCs/>
        </w:rPr>
      </w:pPr>
      <w:r w:rsidRPr="007B3AC6">
        <w:rPr>
          <w:b/>
          <w:bCs/>
        </w:rPr>
        <w:t>3.9 Limitations of the Study</w:t>
      </w:r>
    </w:p>
    <w:p w14:paraId="577E0BEF" w14:textId="77777777" w:rsidR="00F11B31" w:rsidRDefault="00000000">
      <w:pPr>
        <w:pStyle w:val="Body"/>
      </w:pPr>
      <w:r>
        <w:t xml:space="preserve">This study has several limitations. It was conducted in </w:t>
      </w:r>
      <w:r>
        <w:rPr>
          <w:highlight w:val="yellow"/>
        </w:rPr>
        <w:t>a single teaching hospital and one community</w:t>
      </w:r>
      <w:r>
        <w:t xml:space="preserve">, </w:t>
      </w:r>
      <w:r>
        <w:rPr>
          <w:highlight w:val="yellow"/>
        </w:rPr>
        <w:t>so the findings may not be generalisable</w:t>
      </w:r>
      <w:r>
        <w:t xml:space="preserve"> to all hospitals or communities in Nigeria. The cross-sectional design limits causal inference and does not establish transmission pathways. MRSA classification was phenotypic; no PCR or other molecular assay was performed, so mecA carriage and strain relatedness could not be confirmed. Antibiotic prescribing or consumption, hand-hygiene compliance, environmental cleaning practices, and individual-level risk factors were not measured. Future studies should address these limitations through multicentre sampling, </w:t>
      </w:r>
      <w:r>
        <w:rPr>
          <w:highlight w:val="yellow"/>
        </w:rPr>
        <w:t>standardised</w:t>
      </w:r>
      <w:r>
        <w:t xml:space="preserve"> MIC testing, molecular </w:t>
      </w:r>
      <w:r>
        <w:rPr>
          <w:highlight w:val="yellow"/>
        </w:rPr>
        <w:t>characterisation</w:t>
      </w:r>
      <w:r>
        <w:t>, and integrated antimicrobial-use data.</w:t>
      </w:r>
    </w:p>
    <w:p w14:paraId="199CAE50" w14:textId="77777777" w:rsidR="00B01FCD" w:rsidRDefault="00000F8F" w:rsidP="00441B6F">
      <w:pPr>
        <w:pStyle w:val="ConcHead"/>
        <w:spacing w:after="0"/>
        <w:jc w:val="both"/>
        <w:rPr>
          <w:rFonts w:ascii="Arial" w:hAnsi="Arial" w:cs="Arial"/>
        </w:rPr>
      </w:pPr>
      <w:r>
        <w:t>4. CONCLUSION</w:t>
      </w:r>
    </w:p>
    <w:p w14:paraId="2AD7E86A" w14:textId="77777777" w:rsidR="00790ADA" w:rsidRPr="00FB3A86" w:rsidRDefault="00790ADA" w:rsidP="00441B6F">
      <w:pPr>
        <w:pStyle w:val="ConcHead"/>
        <w:spacing w:after="0"/>
        <w:jc w:val="both"/>
        <w:rPr>
          <w:rFonts w:ascii="Arial" w:hAnsi="Arial" w:cs="Arial"/>
        </w:rPr>
      </w:pPr>
    </w:p>
    <w:p w14:paraId="37FBEA93" w14:textId="77777777" w:rsidR="004600D5" w:rsidRPr="001153D2" w:rsidRDefault="004600D5" w:rsidP="004600D5">
      <w:pPr>
        <w:spacing w:after="160"/>
        <w:jc w:val="both"/>
        <w:rPr>
          <w:rFonts w:ascii="Arial" w:hAnsi="Arial" w:cs="Arial"/>
        </w:rPr>
      </w:pPr>
      <w:r>
        <w:t>MRSA was detected in 21.5% of the 620 samples studied, with a higher prevalence in the hospital group (26.5%) than in the community group (16.5%; p = 0.002). Fomites accounted for the largest proportion of HA-MRSA isolates, while markets and motor parks had the highest proportions of CA-MRSA among the sampled community sites. All tested isolates were susceptible to vancomycin and linezolid, while cloxacillin resistance was 96% in both groups. HA-MRSA showed significantly higher resistance to ciprofloxacin and erythromycin than CA-MRSA, whereas the difference in gentamicin resistance was not statistically significant. The HA-MRSA group also had a higher MAR index range (0.2–0.4 vs 0.1–0.2). Overall, the findings support continued MRSA surveillance, infection prevention, environmental hygiene, antimicrobial stewardship, and susceptibility-guided treatment. The study does not establish mecA carriage, antibiotic misuse, overprescription, or transmission pathways because these were not directly measured.</w:t>
      </w:r>
    </w:p>
    <w:p w14:paraId="5662C87E" w14:textId="77777777" w:rsidR="004600D5" w:rsidRPr="001153D2" w:rsidRDefault="004600D5" w:rsidP="004600D5">
      <w:pPr>
        <w:numPr>
          <w:ilvl w:val="0"/>
          <w:numId w:val="31"/>
        </w:numPr>
        <w:spacing w:after="160"/>
        <w:jc w:val="both"/>
        <w:rPr>
          <w:rFonts w:ascii="Arial" w:hAnsi="Arial" w:cs="Arial"/>
        </w:rPr>
      </w:pPr>
      <w:r>
        <w:t xml:space="preserve">Healthcare providers should maintain </w:t>
      </w:r>
      <w:r>
        <w:rPr>
          <w:highlight w:val="yellow"/>
        </w:rPr>
        <w:t>effective hand hygiene, environmental cleaning and disinfection</w:t>
      </w:r>
      <w:r>
        <w:t xml:space="preserve"> of frequently touched surfaces and fomites. Infection-prevention measures should be strengthened in departments where MRSA was frequently detected.</w:t>
      </w:r>
    </w:p>
    <w:p w14:paraId="26B2615E" w14:textId="77777777" w:rsidR="004600D5" w:rsidRPr="001153D2" w:rsidRDefault="004600D5" w:rsidP="004600D5">
      <w:pPr>
        <w:numPr>
          <w:ilvl w:val="0"/>
          <w:numId w:val="31"/>
        </w:numPr>
        <w:spacing w:after="160"/>
        <w:jc w:val="both"/>
        <w:rPr>
          <w:rFonts w:ascii="Arial" w:hAnsi="Arial" w:cs="Arial"/>
        </w:rPr>
      </w:pPr>
      <w:r>
        <w:t>Antimicrobial stewardship programmes should be strengthened to promote rational antibiotic selection, dosing, and duration. The MAR findings should be used as a signal for surveillance rather than as direct evidence of overprescription.</w:t>
      </w:r>
    </w:p>
    <w:p w14:paraId="244E1397" w14:textId="77777777" w:rsidR="004600D5" w:rsidRPr="001153D2" w:rsidRDefault="004600D5" w:rsidP="004600D5">
      <w:pPr>
        <w:numPr>
          <w:ilvl w:val="0"/>
          <w:numId w:val="31"/>
        </w:numPr>
        <w:spacing w:after="160"/>
        <w:jc w:val="both"/>
        <w:rPr>
          <w:rFonts w:ascii="Arial" w:hAnsi="Arial" w:cs="Arial"/>
        </w:rPr>
      </w:pPr>
      <w:r>
        <w:t xml:space="preserve">Public-health education should </w:t>
      </w:r>
      <w:r>
        <w:rPr>
          <w:highlight w:val="yellow"/>
        </w:rPr>
        <w:t>emphasise</w:t>
      </w:r>
      <w:r>
        <w:t xml:space="preserve"> hand hygiene, wound care, and appropriate antibiotic use, </w:t>
      </w:r>
      <w:r>
        <w:rPr>
          <w:highlight w:val="yellow"/>
        </w:rPr>
        <w:t>including the avoidance of self-medication and incomplete courses of antibiotics</w:t>
      </w:r>
      <w:r>
        <w:t>.</w:t>
      </w:r>
    </w:p>
    <w:p w14:paraId="6252436C" w14:textId="77777777" w:rsidR="004600D5" w:rsidRPr="001153D2" w:rsidRDefault="004600D5" w:rsidP="004600D5">
      <w:pPr>
        <w:numPr>
          <w:ilvl w:val="0"/>
          <w:numId w:val="31"/>
        </w:numPr>
        <w:spacing w:after="160"/>
        <w:jc w:val="both"/>
        <w:rPr>
          <w:rFonts w:ascii="Arial" w:hAnsi="Arial" w:cs="Arial"/>
        </w:rPr>
      </w:pPr>
      <w:r>
        <w:t>Routine monitoring of MRSA prevalence and antimicrobial susceptibility should continue in both hospital and community settings. Future studies should include antibiotic-use data and patient-level risk factors to investigate determinants of resistance.</w:t>
      </w:r>
    </w:p>
    <w:p w14:paraId="08F16F96" w14:textId="77777777" w:rsidR="004600D5" w:rsidRPr="001153D2" w:rsidRDefault="004600D5" w:rsidP="004600D5">
      <w:pPr>
        <w:numPr>
          <w:ilvl w:val="0"/>
          <w:numId w:val="31"/>
        </w:numPr>
        <w:spacing w:after="160"/>
        <w:jc w:val="both"/>
        <w:rPr>
          <w:rFonts w:ascii="Arial" w:hAnsi="Arial" w:cs="Arial"/>
        </w:rPr>
      </w:pPr>
      <w:r>
        <w:t xml:space="preserve">Molecular </w:t>
      </w:r>
      <w:r>
        <w:rPr>
          <w:highlight w:val="yellow"/>
        </w:rPr>
        <w:t>characterisation</w:t>
      </w:r>
      <w:r>
        <w:t xml:space="preserve">, including PCR-based detection of mecA and other relevant resistance or virulence determinants, should be incorporated in future studies to distinguish phenotypic resistance from specific genetic mechanisms and to </w:t>
      </w:r>
      <w:r>
        <w:rPr>
          <w:highlight w:val="yellow"/>
        </w:rPr>
        <w:t>characterise</w:t>
      </w:r>
      <w:r>
        <w:t xml:space="preserve"> circulating lineages.</w:t>
      </w:r>
    </w:p>
    <w:p w14:paraId="31528FCE" w14:textId="77777777" w:rsidR="004600D5" w:rsidRPr="00D74F93" w:rsidRDefault="004600D5" w:rsidP="007B3AC6">
      <w:pPr>
        <w:numPr>
          <w:ilvl w:val="0"/>
          <w:numId w:val="31"/>
        </w:numPr>
        <w:spacing w:after="160"/>
        <w:jc w:val="both"/>
        <w:rPr>
          <w:rFonts w:ascii="Arial" w:hAnsi="Arial" w:cs="Arial"/>
        </w:rPr>
      </w:pPr>
      <w:r>
        <w:lastRenderedPageBreak/>
        <w:t>Future multicentre studies should also investigate environmental contamination, healthcare-worker carriage, and possible transmission links between hospital and community settings.</w:t>
      </w:r>
    </w:p>
    <w:p w14:paraId="49B54D5A" w14:textId="77777777" w:rsidR="00D74F93" w:rsidRDefault="00D74F93" w:rsidP="00D74F93">
      <w:pPr>
        <w:spacing w:after="160"/>
        <w:jc w:val="both"/>
      </w:pPr>
    </w:p>
    <w:p w14:paraId="4763A229" w14:textId="77777777" w:rsidR="00790ADA" w:rsidRPr="00FB3A86" w:rsidRDefault="00790ADA" w:rsidP="00441B6F">
      <w:pPr>
        <w:pStyle w:val="Body"/>
        <w:spacing w:after="0"/>
        <w:rPr>
          <w:rFonts w:ascii="Arial" w:hAnsi="Arial" w:cs="Arial"/>
        </w:rPr>
      </w:pPr>
    </w:p>
    <w:p w14:paraId="5450CDF1" w14:textId="77777777" w:rsidR="00F9211D" w:rsidRDefault="00F9211D" w:rsidP="00F9211D">
      <w:pPr>
        <w:pStyle w:val="ReferHead"/>
        <w:spacing w:after="0"/>
        <w:jc w:val="both"/>
        <w:rPr>
          <w:rFonts w:ascii="Arial" w:hAnsi="Arial" w:cs="Arial"/>
          <w:bCs/>
          <w:caps w:val="0"/>
          <w:szCs w:val="22"/>
          <w:lang w:val="en-GB"/>
        </w:rPr>
      </w:pPr>
      <w:r w:rsidRPr="00F9211D">
        <w:rPr>
          <w:rFonts w:ascii="Arial" w:hAnsi="Arial" w:cs="Arial"/>
          <w:bCs/>
          <w:caps w:val="0"/>
          <w:szCs w:val="22"/>
          <w:lang w:val="en-GB"/>
        </w:rPr>
        <w:t>COMPETING INTERESTS</w:t>
      </w:r>
    </w:p>
    <w:p w14:paraId="3AF98898" w14:textId="77777777" w:rsidR="00F9211D" w:rsidRPr="00F9211D" w:rsidRDefault="00F9211D" w:rsidP="00F9211D">
      <w:pPr>
        <w:pStyle w:val="ReferHead"/>
        <w:spacing w:after="0"/>
        <w:jc w:val="both"/>
        <w:rPr>
          <w:rFonts w:ascii="Arial" w:hAnsi="Arial" w:cs="Arial"/>
          <w:bCs/>
          <w:caps w:val="0"/>
          <w:szCs w:val="22"/>
          <w:lang w:val="en-GB"/>
        </w:rPr>
      </w:pPr>
    </w:p>
    <w:p w14:paraId="11F9F43B" w14:textId="77777777" w:rsidR="00F9211D" w:rsidRPr="00F9211D" w:rsidRDefault="00F9211D" w:rsidP="00F9211D">
      <w:pPr>
        <w:pStyle w:val="ReferHead"/>
        <w:jc w:val="both"/>
        <w:rPr>
          <w:rFonts w:ascii="Arial" w:hAnsi="Arial" w:cs="Arial"/>
          <w:b w:val="0"/>
          <w:caps w:val="0"/>
          <w:sz w:val="20"/>
          <w:lang w:val="en-GB"/>
        </w:rPr>
      </w:pPr>
      <w:r w:rsidRPr="00F9211D">
        <w:rPr>
          <w:rFonts w:ascii="Arial" w:hAnsi="Arial" w:cs="Arial"/>
          <w:b w:val="0"/>
          <w:caps w:val="0"/>
          <w:sz w:val="20"/>
          <w:lang w:val="en-GB"/>
        </w:rPr>
        <w:t>The authors declare no competing interests.</w:t>
      </w:r>
    </w:p>
    <w:p w14:paraId="3D1B3A13" w14:textId="77777777" w:rsidR="00F9211D" w:rsidRDefault="00F9211D" w:rsidP="00F9211D">
      <w:pPr>
        <w:pStyle w:val="ReferHead"/>
        <w:spacing w:after="0"/>
        <w:jc w:val="both"/>
        <w:rPr>
          <w:rFonts w:ascii="Arial" w:hAnsi="Arial" w:cs="Arial"/>
          <w:bCs/>
          <w:caps w:val="0"/>
          <w:szCs w:val="22"/>
          <w:lang w:val="en-GB"/>
        </w:rPr>
      </w:pPr>
      <w:r w:rsidRPr="00F9211D">
        <w:rPr>
          <w:rFonts w:ascii="Arial" w:hAnsi="Arial" w:cs="Arial"/>
          <w:bCs/>
          <w:caps w:val="0"/>
          <w:szCs w:val="22"/>
          <w:lang w:val="en-GB"/>
        </w:rPr>
        <w:t>CONSENT</w:t>
      </w:r>
    </w:p>
    <w:p w14:paraId="588FBF0C" w14:textId="77777777" w:rsidR="00F9211D" w:rsidRPr="00F9211D" w:rsidRDefault="00F9211D" w:rsidP="00F9211D">
      <w:pPr>
        <w:pStyle w:val="ReferHead"/>
        <w:spacing w:after="0"/>
        <w:jc w:val="both"/>
        <w:rPr>
          <w:rFonts w:ascii="Arial" w:hAnsi="Arial" w:cs="Arial"/>
          <w:bCs/>
          <w:caps w:val="0"/>
          <w:szCs w:val="22"/>
          <w:lang w:val="en-GB"/>
        </w:rPr>
      </w:pPr>
    </w:p>
    <w:p w14:paraId="1DA10887" w14:textId="77777777" w:rsidR="001A29D8" w:rsidRDefault="00F9211D" w:rsidP="00F9211D">
      <w:pPr>
        <w:pStyle w:val="ReferHead"/>
        <w:spacing w:after="0"/>
        <w:jc w:val="both"/>
        <w:rPr>
          <w:rFonts w:ascii="Arial" w:hAnsi="Arial" w:cs="Arial"/>
          <w:b w:val="0"/>
          <w:caps w:val="0"/>
          <w:sz w:val="20"/>
          <w:lang w:val="en-GB"/>
        </w:rPr>
      </w:pPr>
      <w:r w:rsidRPr="00F9211D">
        <w:rPr>
          <w:rFonts w:ascii="Arial" w:hAnsi="Arial" w:cs="Arial"/>
          <w:b w:val="0"/>
          <w:caps w:val="0"/>
          <w:sz w:val="20"/>
          <w:lang w:val="en-GB"/>
        </w:rPr>
        <w:t>Informed consent was obtained from all participants. Ethical approval was granted by the Ethical Committee of Irrua Specialist Teaching Hospital, Irrua, Edo State, Nigeria.</w:t>
      </w:r>
    </w:p>
    <w:p w14:paraId="3DC8D626" w14:textId="77777777" w:rsidR="00D74F93" w:rsidRDefault="00D74F93" w:rsidP="00F9211D">
      <w:pPr>
        <w:pStyle w:val="ReferHead"/>
        <w:spacing w:after="0"/>
        <w:jc w:val="both"/>
        <w:rPr>
          <w:rFonts w:ascii="Arial" w:hAnsi="Arial" w:cs="Arial"/>
          <w:b w:val="0"/>
          <w:caps w:val="0"/>
          <w:sz w:val="20"/>
          <w:lang w:val="en-GB"/>
        </w:rPr>
      </w:pPr>
    </w:p>
    <w:p w14:paraId="24B92A89" w14:textId="77777777" w:rsidR="00D74F93" w:rsidRPr="00F9211D" w:rsidRDefault="00D74F93" w:rsidP="00F9211D">
      <w:pPr>
        <w:pStyle w:val="ReferHead"/>
        <w:spacing w:after="0"/>
        <w:jc w:val="both"/>
        <w:rPr>
          <w:rFonts w:ascii="Arial" w:hAnsi="Arial" w:cs="Arial"/>
          <w:b w:val="0"/>
          <w:caps w:val="0"/>
          <w:sz w:val="20"/>
          <w:lang w:val="en-GB"/>
        </w:rPr>
      </w:pPr>
    </w:p>
    <w:p w14:paraId="45D0DC5D" w14:textId="77777777" w:rsidR="005C784C" w:rsidRDefault="005C784C" w:rsidP="00441B6F">
      <w:pPr>
        <w:pStyle w:val="ReferHead"/>
        <w:spacing w:after="0"/>
        <w:jc w:val="both"/>
        <w:rPr>
          <w:rFonts w:ascii="Arial" w:hAnsi="Arial" w:cs="Arial"/>
          <w:b w:val="0"/>
          <w:caps w:val="0"/>
          <w:sz w:val="20"/>
        </w:rPr>
      </w:pPr>
    </w:p>
    <w:p w14:paraId="78A2B3E6" w14:textId="77777777" w:rsidR="005C784C" w:rsidRDefault="005C784C" w:rsidP="00441B6F">
      <w:pPr>
        <w:pStyle w:val="ReferHead"/>
        <w:spacing w:after="0"/>
        <w:jc w:val="both"/>
        <w:rPr>
          <w:rFonts w:ascii="Arial" w:hAnsi="Arial" w:cs="Arial"/>
          <w:bCs/>
        </w:rPr>
      </w:pPr>
      <w:r>
        <w:rPr>
          <w:rFonts w:ascii="Arial" w:hAnsi="Arial" w:cs="Arial"/>
          <w:bCs/>
        </w:rPr>
        <w:t xml:space="preserve">Ethical approval </w:t>
      </w:r>
    </w:p>
    <w:p w14:paraId="14DC6FC6" w14:textId="77777777" w:rsidR="005C784C" w:rsidRPr="002B685A" w:rsidRDefault="005C784C" w:rsidP="00441B6F">
      <w:pPr>
        <w:pStyle w:val="ReferHead"/>
        <w:spacing w:after="0"/>
        <w:jc w:val="both"/>
        <w:rPr>
          <w:rFonts w:ascii="Arial" w:hAnsi="Arial" w:cs="Arial"/>
          <w:bCs/>
        </w:rPr>
      </w:pPr>
    </w:p>
    <w:p w14:paraId="67B8C416" w14:textId="77777777" w:rsidR="0041027F" w:rsidRDefault="004600D5" w:rsidP="00F64E92">
      <w:pPr>
        <w:pStyle w:val="ReferHead"/>
        <w:jc w:val="both"/>
        <w:rPr>
          <w:rFonts w:ascii="Arial" w:hAnsi="Arial" w:cs="Arial"/>
          <w:b w:val="0"/>
          <w:caps w:val="0"/>
          <w:sz w:val="20"/>
        </w:rPr>
      </w:pPr>
      <w:r w:rsidRPr="004600D5">
        <w:rPr>
          <w:rFonts w:ascii="Arial" w:hAnsi="Arial" w:cs="Arial"/>
          <w:b w:val="0"/>
          <w:caps w:val="0"/>
          <w:sz w:val="20"/>
        </w:rPr>
        <w:t>Ethical approval was obtained from the Ethical Committee of ISTH, Irrua, before commencement of the study.</w:t>
      </w:r>
    </w:p>
    <w:p w14:paraId="364772EF" w14:textId="77777777" w:rsidR="004D5B76" w:rsidRPr="00F64E92" w:rsidRDefault="00F64E92" w:rsidP="00F64E92">
      <w:pPr>
        <w:spacing w:after="240"/>
        <w:rPr>
          <w:rFonts w:ascii="Arial" w:hAnsi="Arial" w:cs="Arial"/>
          <w:b/>
          <w:sz w:val="22"/>
          <w:szCs w:val="22"/>
        </w:rPr>
      </w:pPr>
      <w:r w:rsidRPr="00F64E92">
        <w:rPr>
          <w:rFonts w:ascii="Arial" w:hAnsi="Arial" w:cs="Arial"/>
          <w:b/>
          <w:sz w:val="22"/>
          <w:szCs w:val="22"/>
        </w:rPr>
        <w:t>DECLARATION OF AI USE</w:t>
      </w:r>
    </w:p>
    <w:p w14:paraId="6E1106B9" w14:textId="77777777" w:rsidR="004D5B76" w:rsidRDefault="004D5B76" w:rsidP="00F64E92">
      <w:pPr>
        <w:spacing w:after="240"/>
        <w:jc w:val="both"/>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E3BE77D" w14:textId="77777777" w:rsidR="004D5B76" w:rsidRDefault="004D5B76" w:rsidP="004D5B76">
      <w:pPr>
        <w:pStyle w:val="DefAcrHead"/>
        <w:spacing w:after="0"/>
        <w:jc w:val="both"/>
        <w:rPr>
          <w:rFonts w:ascii="Arial" w:hAnsi="Arial" w:cs="Arial"/>
        </w:rPr>
      </w:pPr>
      <w:r w:rsidRPr="00FB3A86">
        <w:rPr>
          <w:rFonts w:ascii="Arial" w:hAnsi="Arial" w:cs="Arial"/>
        </w:rPr>
        <w:t>Definitions, Acronyms, Abbreviations</w:t>
      </w:r>
    </w:p>
    <w:p w14:paraId="7B2C58AF" w14:textId="77777777" w:rsidR="004D5B76" w:rsidRDefault="004D5B76" w:rsidP="004D5B76">
      <w:pPr>
        <w:pStyle w:val="Body"/>
        <w:spacing w:after="0"/>
        <w:rPr>
          <w:rFonts w:ascii="Arial" w:hAnsi="Arial" w:cs="Arial"/>
          <w:lang w:val="en-GB"/>
        </w:rPr>
      </w:pPr>
    </w:p>
    <w:p w14:paraId="6F532D34" w14:textId="77777777" w:rsidR="004D5B76" w:rsidRPr="00F9211D" w:rsidRDefault="004D5B76" w:rsidP="004D5B76">
      <w:pPr>
        <w:pStyle w:val="Body"/>
        <w:spacing w:after="0"/>
        <w:rPr>
          <w:rFonts w:ascii="Arial" w:hAnsi="Arial" w:cs="Arial"/>
          <w:b/>
          <w:bCs/>
          <w:lang w:val="en-GB"/>
        </w:rPr>
      </w:pPr>
      <w:r w:rsidRPr="00F9211D">
        <w:rPr>
          <w:rFonts w:ascii="Arial" w:hAnsi="Arial" w:cs="Arial"/>
          <w:b/>
          <w:bCs/>
          <w:lang w:val="en-GB"/>
        </w:rPr>
        <w:t>Definitions</w:t>
      </w:r>
    </w:p>
    <w:p w14:paraId="64FA1900" w14:textId="77777777" w:rsidR="004D5B76" w:rsidRDefault="004D5B76" w:rsidP="004D5B76">
      <w:pPr>
        <w:pStyle w:val="Body"/>
        <w:spacing w:after="0"/>
        <w:rPr>
          <w:rFonts w:ascii="Arial" w:hAnsi="Arial" w:cs="Arial"/>
          <w:lang w:val="en-GB"/>
        </w:rPr>
      </w:pPr>
    </w:p>
    <w:p w14:paraId="699E119B" w14:textId="77777777" w:rsidR="004D5B76" w:rsidRPr="00F9211D" w:rsidRDefault="004D5B76" w:rsidP="004D5B76">
      <w:pPr>
        <w:pStyle w:val="Body"/>
        <w:spacing w:after="0"/>
        <w:rPr>
          <w:rFonts w:ascii="Arial" w:hAnsi="Arial" w:cs="Arial"/>
          <w:lang w:val="en-GB"/>
        </w:rPr>
      </w:pPr>
      <w:r w:rsidRPr="00F9211D">
        <w:rPr>
          <w:rFonts w:ascii="Arial" w:hAnsi="Arial" w:cs="Arial"/>
          <w:lang w:val="en-GB"/>
        </w:rPr>
        <w:t>Antibiogram: The measurement of the susceptibility of bacteria to antibiotics to determine resistance patterns.</w:t>
      </w:r>
    </w:p>
    <w:p w14:paraId="701643C4" w14:textId="77777777" w:rsidR="004D5B76" w:rsidRPr="00F9211D" w:rsidRDefault="004D5B76" w:rsidP="004D5B76">
      <w:pPr>
        <w:pStyle w:val="Body"/>
        <w:spacing w:after="0"/>
        <w:rPr>
          <w:rFonts w:ascii="Arial" w:hAnsi="Arial" w:cs="Arial"/>
          <w:lang w:val="en-GB"/>
        </w:rPr>
      </w:pPr>
    </w:p>
    <w:p w14:paraId="2132BBF4" w14:textId="77777777" w:rsidR="004D5B76" w:rsidRPr="00F9211D" w:rsidRDefault="004D5B76" w:rsidP="004D5B76">
      <w:pPr>
        <w:pStyle w:val="Body"/>
        <w:spacing w:after="0"/>
        <w:rPr>
          <w:rFonts w:ascii="Arial" w:hAnsi="Arial" w:cs="Arial"/>
          <w:lang w:val="en-GB"/>
        </w:rPr>
      </w:pPr>
      <w:r w:rsidRPr="00F9211D">
        <w:rPr>
          <w:rFonts w:ascii="Arial" w:hAnsi="Arial" w:cs="Arial"/>
          <w:lang w:val="en-GB"/>
        </w:rPr>
        <w:t>Biofilm: A community of microorganisms attached to a surface by a self-produced polymeric matrix.</w:t>
      </w:r>
    </w:p>
    <w:p w14:paraId="32613BF6" w14:textId="77777777" w:rsidR="004D5B76" w:rsidRPr="00F9211D" w:rsidRDefault="004D5B76" w:rsidP="004D5B76">
      <w:pPr>
        <w:pStyle w:val="Body"/>
        <w:spacing w:after="0"/>
        <w:rPr>
          <w:rFonts w:ascii="Arial" w:hAnsi="Arial" w:cs="Arial"/>
          <w:lang w:val="en-GB"/>
        </w:rPr>
      </w:pPr>
    </w:p>
    <w:p w14:paraId="5746084F" w14:textId="77777777" w:rsidR="004D5B76" w:rsidRPr="00F9211D" w:rsidRDefault="004D5B76" w:rsidP="004D5B76">
      <w:pPr>
        <w:pStyle w:val="Body"/>
        <w:spacing w:after="0"/>
        <w:rPr>
          <w:rFonts w:ascii="Arial" w:hAnsi="Arial" w:cs="Arial"/>
          <w:lang w:val="en-GB"/>
        </w:rPr>
      </w:pPr>
      <w:r w:rsidRPr="00F9211D">
        <w:rPr>
          <w:rFonts w:ascii="Arial" w:hAnsi="Arial" w:cs="Arial"/>
          <w:lang w:val="en-GB"/>
        </w:rPr>
        <w:t>Fomites: Inanimate objects or surfaces that can carry infectious agents.</w:t>
      </w:r>
    </w:p>
    <w:p w14:paraId="34B9A487" w14:textId="77777777" w:rsidR="004D5B76" w:rsidRPr="00F9211D" w:rsidRDefault="004D5B76" w:rsidP="004D5B76">
      <w:pPr>
        <w:pStyle w:val="Body"/>
        <w:spacing w:after="0"/>
        <w:rPr>
          <w:rFonts w:ascii="Arial" w:hAnsi="Arial" w:cs="Arial"/>
          <w:lang w:val="en-GB"/>
        </w:rPr>
      </w:pPr>
    </w:p>
    <w:p w14:paraId="50E9A31D" w14:textId="77777777" w:rsidR="004D5B76" w:rsidRPr="00F9211D" w:rsidRDefault="004D5B76" w:rsidP="004D5B76">
      <w:pPr>
        <w:pStyle w:val="Body"/>
        <w:spacing w:after="0"/>
        <w:rPr>
          <w:rFonts w:ascii="Arial" w:hAnsi="Arial" w:cs="Arial"/>
          <w:lang w:val="en-GB"/>
        </w:rPr>
      </w:pPr>
      <w:r w:rsidRPr="00F9211D">
        <w:rPr>
          <w:rFonts w:ascii="Arial" w:hAnsi="Arial" w:cs="Arial"/>
          <w:lang w:val="en-GB"/>
        </w:rPr>
        <w:t xml:space="preserve">MAR Index: Multiple Antibiotic Resistance Index; </w:t>
      </w:r>
      <w:r>
        <w:rPr>
          <w:rFonts w:ascii="Arial" w:hAnsi="Arial" w:cs="Arial"/>
          <w:highlight w:val="yellow"/>
          <w:lang w:val="en-GB"/>
        </w:rPr>
        <w:t>ratio of the number of antibiotics to which an isolate is resistant to the total number of antibiotics tested</w:t>
      </w:r>
      <w:r>
        <w:rPr>
          <w:rFonts w:ascii="Arial" w:hAnsi="Arial" w:cs="Arial"/>
          <w:lang w:val="en-GB"/>
        </w:rPr>
        <w:t>.</w:t>
      </w:r>
    </w:p>
    <w:p w14:paraId="2E2361BC" w14:textId="77777777" w:rsidR="004D5B76" w:rsidRPr="00F9211D" w:rsidRDefault="004D5B76" w:rsidP="004D5B76">
      <w:pPr>
        <w:pStyle w:val="Body"/>
        <w:spacing w:after="0"/>
        <w:rPr>
          <w:rFonts w:ascii="Arial" w:hAnsi="Arial" w:cs="Arial"/>
          <w:lang w:val="en-GB"/>
        </w:rPr>
      </w:pPr>
    </w:p>
    <w:p w14:paraId="1E6926BE" w14:textId="77777777" w:rsidR="004D5B76" w:rsidRPr="00F9211D" w:rsidRDefault="004D5B76" w:rsidP="004D5B76">
      <w:pPr>
        <w:pStyle w:val="Body"/>
        <w:spacing w:after="0"/>
        <w:rPr>
          <w:rFonts w:ascii="Arial" w:hAnsi="Arial" w:cs="Arial"/>
          <w:lang w:val="en-GB"/>
        </w:rPr>
      </w:pPr>
      <w:r w:rsidRPr="00F9211D">
        <w:rPr>
          <w:rFonts w:ascii="Arial" w:hAnsi="Arial" w:cs="Arial"/>
          <w:lang w:val="en-GB"/>
        </w:rPr>
        <w:t xml:space="preserve">MRSA: </w:t>
      </w:r>
      <w:r>
        <w:rPr>
          <w:rFonts w:ascii="Arial" w:hAnsi="Arial" w:cs="Arial"/>
          <w:i/>
          <w:lang w:val="en-GB"/>
        </w:rPr>
        <w:t>Staphylococcus aureus</w:t>
      </w:r>
      <w:r>
        <w:rPr>
          <w:rFonts w:ascii="Arial" w:hAnsi="Arial" w:cs="Arial"/>
          <w:lang w:val="en-GB"/>
        </w:rPr>
        <w:t xml:space="preserve"> resistant to methicillin and other beta-lactam antibiotics.</w:t>
      </w:r>
    </w:p>
    <w:p w14:paraId="42FFF867" w14:textId="77777777" w:rsidR="004D5B76" w:rsidRPr="00F9211D" w:rsidRDefault="004D5B76" w:rsidP="004D5B76">
      <w:pPr>
        <w:pStyle w:val="Body"/>
        <w:spacing w:after="0"/>
        <w:rPr>
          <w:rFonts w:ascii="Arial" w:hAnsi="Arial" w:cs="Arial"/>
          <w:lang w:val="en-GB"/>
        </w:rPr>
      </w:pPr>
    </w:p>
    <w:p w14:paraId="70E955CA" w14:textId="77777777" w:rsidR="004D5B76" w:rsidRPr="00F9211D" w:rsidRDefault="004D5B76" w:rsidP="004D5B76">
      <w:pPr>
        <w:pStyle w:val="Body"/>
        <w:spacing w:after="0"/>
        <w:rPr>
          <w:rFonts w:ascii="Arial" w:hAnsi="Arial" w:cs="Arial"/>
          <w:lang w:val="en-GB"/>
        </w:rPr>
      </w:pPr>
      <w:r w:rsidRPr="00F9211D">
        <w:rPr>
          <w:rFonts w:ascii="Arial" w:hAnsi="Arial" w:cs="Arial"/>
          <w:lang w:val="en-GB"/>
        </w:rPr>
        <w:t>Prevalence: The proportion of a population found to have a condition at a specific time.</w:t>
      </w:r>
    </w:p>
    <w:p w14:paraId="428D266F" w14:textId="77777777" w:rsidR="004D5B76" w:rsidRPr="00F9211D" w:rsidRDefault="004D5B76" w:rsidP="004D5B76">
      <w:pPr>
        <w:pStyle w:val="Body"/>
        <w:spacing w:after="0"/>
        <w:rPr>
          <w:rFonts w:ascii="Arial" w:hAnsi="Arial" w:cs="Arial"/>
          <w:lang w:val="en-GB"/>
        </w:rPr>
      </w:pPr>
    </w:p>
    <w:p w14:paraId="3C085A80" w14:textId="77777777" w:rsidR="004D5B76" w:rsidRPr="00F9211D" w:rsidRDefault="004D5B76" w:rsidP="004D5B76">
      <w:pPr>
        <w:pStyle w:val="Body"/>
        <w:spacing w:after="0"/>
        <w:rPr>
          <w:rFonts w:ascii="Arial" w:hAnsi="Arial" w:cs="Arial"/>
          <w:lang w:val="en-GB"/>
        </w:rPr>
      </w:pPr>
      <w:r w:rsidRPr="00F9211D">
        <w:rPr>
          <w:rFonts w:ascii="Arial" w:hAnsi="Arial" w:cs="Arial"/>
          <w:lang w:val="en-GB"/>
        </w:rPr>
        <w:t>Virulence: The degree of pathogenicity or harmfulness of a microorganism.</w:t>
      </w:r>
    </w:p>
    <w:p w14:paraId="2784A2BD" w14:textId="77777777" w:rsidR="004D5B76" w:rsidRPr="00F9211D" w:rsidRDefault="004D5B76" w:rsidP="004D5B76">
      <w:pPr>
        <w:pStyle w:val="Body"/>
        <w:spacing w:after="0"/>
        <w:rPr>
          <w:rFonts w:ascii="Arial" w:hAnsi="Arial" w:cs="Arial"/>
          <w:lang w:val="en-GB"/>
        </w:rPr>
      </w:pPr>
    </w:p>
    <w:p w14:paraId="2663F604" w14:textId="77777777" w:rsidR="004D5B76" w:rsidRDefault="004D5B76" w:rsidP="004D5B76">
      <w:pPr>
        <w:pStyle w:val="Body"/>
        <w:spacing w:after="0"/>
        <w:rPr>
          <w:rFonts w:ascii="Arial" w:hAnsi="Arial" w:cs="Arial"/>
          <w:b/>
          <w:bCs/>
          <w:lang w:val="en-GB"/>
        </w:rPr>
      </w:pPr>
      <w:r w:rsidRPr="00F9211D">
        <w:rPr>
          <w:rFonts w:ascii="Arial" w:hAnsi="Arial" w:cs="Arial"/>
          <w:b/>
          <w:bCs/>
          <w:lang w:val="en-GB"/>
        </w:rPr>
        <w:t>Acronyms and Abbreviations</w:t>
      </w:r>
    </w:p>
    <w:p w14:paraId="63E1CA9F" w14:textId="77777777" w:rsidR="004D5B76" w:rsidRPr="00F9211D" w:rsidRDefault="004D5B76" w:rsidP="004D5B76">
      <w:pPr>
        <w:pStyle w:val="Body"/>
        <w:spacing w:after="0"/>
        <w:rPr>
          <w:rFonts w:ascii="Arial" w:hAnsi="Arial" w:cs="Arial"/>
          <w:b/>
          <w:bCs/>
          <w:lang w:val="en-GB"/>
        </w:rPr>
      </w:pPr>
    </w:p>
    <w:p w14:paraId="6827276D" w14:textId="77777777" w:rsidR="004D5B76" w:rsidRPr="00F9211D" w:rsidRDefault="004D5B76" w:rsidP="004D5B76">
      <w:pPr>
        <w:pStyle w:val="Body"/>
        <w:spacing w:after="0"/>
        <w:rPr>
          <w:rFonts w:ascii="Arial" w:hAnsi="Arial" w:cs="Arial"/>
          <w:lang w:val="en-GB"/>
        </w:rPr>
      </w:pPr>
      <w:r w:rsidRPr="00F9211D">
        <w:rPr>
          <w:rFonts w:ascii="Arial" w:hAnsi="Arial" w:cs="Arial"/>
          <w:lang w:val="en-GB"/>
        </w:rPr>
        <w:t>A&amp;E — Accident and Emergency</w:t>
      </w:r>
    </w:p>
    <w:p w14:paraId="41206F7E" w14:textId="77777777" w:rsidR="004D5B76" w:rsidRPr="00F9211D" w:rsidRDefault="004D5B76" w:rsidP="004D5B76">
      <w:pPr>
        <w:pStyle w:val="Body"/>
        <w:spacing w:after="0"/>
        <w:rPr>
          <w:rFonts w:ascii="Arial" w:hAnsi="Arial" w:cs="Arial"/>
          <w:lang w:val="en-GB"/>
        </w:rPr>
      </w:pPr>
    </w:p>
    <w:p w14:paraId="14620806" w14:textId="77777777" w:rsidR="004D5B76" w:rsidRPr="00F9211D" w:rsidRDefault="004D5B76" w:rsidP="004D5B76">
      <w:pPr>
        <w:pStyle w:val="Body"/>
        <w:spacing w:after="0"/>
        <w:rPr>
          <w:rFonts w:ascii="Arial" w:hAnsi="Arial" w:cs="Arial"/>
          <w:lang w:val="en-GB"/>
        </w:rPr>
      </w:pPr>
      <w:r w:rsidRPr="00F9211D">
        <w:rPr>
          <w:rFonts w:ascii="Arial" w:hAnsi="Arial" w:cs="Arial"/>
          <w:lang w:val="en-GB"/>
        </w:rPr>
        <w:t xml:space="preserve">CA-MRSA — Community-Acquired Methicillin-Resistant </w:t>
      </w:r>
      <w:r>
        <w:rPr>
          <w:rFonts w:ascii="Arial" w:hAnsi="Arial" w:cs="Arial"/>
          <w:i/>
          <w:lang w:val="en-GB"/>
        </w:rPr>
        <w:t>Staphylococcus aureus</w:t>
      </w:r>
    </w:p>
    <w:p w14:paraId="0FDA7A17" w14:textId="77777777" w:rsidR="004D5B76" w:rsidRPr="00F9211D" w:rsidRDefault="004D5B76" w:rsidP="004D5B76">
      <w:pPr>
        <w:pStyle w:val="Body"/>
        <w:spacing w:after="0"/>
        <w:rPr>
          <w:rFonts w:ascii="Arial" w:hAnsi="Arial" w:cs="Arial"/>
          <w:lang w:val="en-GB"/>
        </w:rPr>
      </w:pPr>
    </w:p>
    <w:p w14:paraId="4B8A88C4" w14:textId="77777777" w:rsidR="004D5B76" w:rsidRPr="00F9211D" w:rsidRDefault="004D5B76" w:rsidP="004D5B76">
      <w:pPr>
        <w:pStyle w:val="Body"/>
        <w:spacing w:after="0"/>
        <w:rPr>
          <w:rFonts w:ascii="Arial" w:hAnsi="Arial" w:cs="Arial"/>
          <w:lang w:val="en-GB"/>
        </w:rPr>
      </w:pPr>
      <w:r w:rsidRPr="00F9211D">
        <w:rPr>
          <w:rFonts w:ascii="Arial" w:hAnsi="Arial" w:cs="Arial"/>
          <w:lang w:val="en-GB"/>
        </w:rPr>
        <w:t>CLSI — Clinical and Laboratory Standards Institute</w:t>
      </w:r>
    </w:p>
    <w:p w14:paraId="1CAD9AD3" w14:textId="77777777" w:rsidR="004D5B76" w:rsidRPr="00F9211D" w:rsidRDefault="004D5B76" w:rsidP="004D5B76">
      <w:pPr>
        <w:pStyle w:val="Body"/>
        <w:spacing w:after="0"/>
        <w:rPr>
          <w:rFonts w:ascii="Arial" w:hAnsi="Arial" w:cs="Arial"/>
          <w:lang w:val="en-GB"/>
        </w:rPr>
      </w:pPr>
    </w:p>
    <w:p w14:paraId="4B195F67" w14:textId="77777777" w:rsidR="004D5B76" w:rsidRPr="00F9211D" w:rsidRDefault="004D5B76" w:rsidP="004D5B76">
      <w:pPr>
        <w:pStyle w:val="Body"/>
        <w:spacing w:after="0"/>
        <w:rPr>
          <w:rFonts w:ascii="Arial" w:hAnsi="Arial" w:cs="Arial"/>
          <w:lang w:val="en-GB"/>
        </w:rPr>
      </w:pPr>
      <w:proofErr w:type="spellStart"/>
      <w:r w:rsidRPr="00F9211D">
        <w:rPr>
          <w:rFonts w:ascii="Arial" w:hAnsi="Arial" w:cs="Arial"/>
          <w:lang w:val="en-GB"/>
        </w:rPr>
        <w:t>CoNS</w:t>
      </w:r>
      <w:proofErr w:type="spellEnd"/>
      <w:r w:rsidRPr="00F9211D">
        <w:rPr>
          <w:rFonts w:ascii="Arial" w:hAnsi="Arial" w:cs="Arial"/>
          <w:lang w:val="en-GB"/>
        </w:rPr>
        <w:t xml:space="preserve"> — Coagulase-Negative Staphylococci</w:t>
      </w:r>
    </w:p>
    <w:p w14:paraId="276DC896" w14:textId="77777777" w:rsidR="004D5B76" w:rsidRPr="00F9211D" w:rsidRDefault="004D5B76" w:rsidP="004D5B76">
      <w:pPr>
        <w:pStyle w:val="Body"/>
        <w:spacing w:after="0"/>
        <w:rPr>
          <w:rFonts w:ascii="Arial" w:hAnsi="Arial" w:cs="Arial"/>
          <w:lang w:val="en-GB"/>
        </w:rPr>
      </w:pPr>
    </w:p>
    <w:p w14:paraId="39B4F7FC" w14:textId="77777777" w:rsidR="004D5B76" w:rsidRPr="00F9211D" w:rsidRDefault="004D5B76" w:rsidP="004D5B76">
      <w:pPr>
        <w:pStyle w:val="Body"/>
        <w:spacing w:after="0"/>
        <w:rPr>
          <w:rFonts w:ascii="Arial" w:hAnsi="Arial" w:cs="Arial"/>
          <w:lang w:val="en-GB"/>
        </w:rPr>
      </w:pPr>
      <w:r w:rsidRPr="00F9211D">
        <w:rPr>
          <w:rFonts w:ascii="Arial" w:hAnsi="Arial" w:cs="Arial"/>
          <w:lang w:val="en-GB"/>
        </w:rPr>
        <w:t xml:space="preserve">HA-MRSA — Hospital-Acquired Methicillin-Resistant </w:t>
      </w:r>
      <w:r>
        <w:rPr>
          <w:rFonts w:ascii="Arial" w:hAnsi="Arial" w:cs="Arial"/>
          <w:i/>
          <w:lang w:val="en-GB"/>
        </w:rPr>
        <w:t>Staphylococcus aureus</w:t>
      </w:r>
    </w:p>
    <w:p w14:paraId="6E9A620D" w14:textId="77777777" w:rsidR="004D5B76" w:rsidRPr="00F9211D" w:rsidRDefault="004D5B76" w:rsidP="004D5B76">
      <w:pPr>
        <w:pStyle w:val="Body"/>
        <w:spacing w:after="0"/>
        <w:rPr>
          <w:rFonts w:ascii="Arial" w:hAnsi="Arial" w:cs="Arial"/>
          <w:lang w:val="en-GB"/>
        </w:rPr>
      </w:pPr>
    </w:p>
    <w:p w14:paraId="33B06EF4" w14:textId="77777777" w:rsidR="004D5B76" w:rsidRPr="00F9211D" w:rsidRDefault="004D5B76" w:rsidP="004D5B76">
      <w:pPr>
        <w:pStyle w:val="Body"/>
        <w:spacing w:after="0"/>
        <w:rPr>
          <w:rFonts w:ascii="Arial" w:hAnsi="Arial" w:cs="Arial"/>
          <w:lang w:val="en-GB"/>
        </w:rPr>
      </w:pPr>
      <w:r w:rsidRPr="00F9211D">
        <w:rPr>
          <w:rFonts w:ascii="Arial" w:hAnsi="Arial" w:cs="Arial"/>
          <w:lang w:val="en-GB"/>
        </w:rPr>
        <w:t>ICU — Intensive Care Unit</w:t>
      </w:r>
    </w:p>
    <w:p w14:paraId="129D6594" w14:textId="77777777" w:rsidR="004D5B76" w:rsidRPr="00F9211D" w:rsidRDefault="004D5B76" w:rsidP="004D5B76">
      <w:pPr>
        <w:pStyle w:val="Body"/>
        <w:spacing w:after="0"/>
        <w:rPr>
          <w:rFonts w:ascii="Arial" w:hAnsi="Arial" w:cs="Arial"/>
          <w:lang w:val="en-GB"/>
        </w:rPr>
      </w:pPr>
    </w:p>
    <w:p w14:paraId="3B4E9790" w14:textId="77777777" w:rsidR="004D5B76" w:rsidRPr="00F9211D" w:rsidRDefault="004D5B76" w:rsidP="004D5B76">
      <w:pPr>
        <w:pStyle w:val="Body"/>
        <w:spacing w:after="0"/>
        <w:rPr>
          <w:rFonts w:ascii="Arial" w:hAnsi="Arial" w:cs="Arial"/>
          <w:lang w:val="en-GB"/>
        </w:rPr>
      </w:pPr>
      <w:r w:rsidRPr="00F9211D">
        <w:rPr>
          <w:rFonts w:ascii="Arial" w:hAnsi="Arial" w:cs="Arial"/>
          <w:lang w:val="en-GB"/>
        </w:rPr>
        <w:t>ISTH — Irrua Specialist Teaching Hospital</w:t>
      </w:r>
    </w:p>
    <w:p w14:paraId="51193D03" w14:textId="77777777" w:rsidR="004D5B76" w:rsidRPr="00F9211D" w:rsidRDefault="004D5B76" w:rsidP="004D5B76">
      <w:pPr>
        <w:pStyle w:val="Body"/>
        <w:spacing w:after="0"/>
        <w:rPr>
          <w:rFonts w:ascii="Arial" w:hAnsi="Arial" w:cs="Arial"/>
          <w:lang w:val="en-GB"/>
        </w:rPr>
      </w:pPr>
    </w:p>
    <w:p w14:paraId="504683CA" w14:textId="77777777" w:rsidR="004D5B76" w:rsidRPr="00F9211D" w:rsidRDefault="004D5B76" w:rsidP="004D5B76">
      <w:pPr>
        <w:pStyle w:val="Body"/>
        <w:spacing w:after="0"/>
        <w:rPr>
          <w:rFonts w:ascii="Arial" w:hAnsi="Arial" w:cs="Arial"/>
          <w:lang w:val="en-GB"/>
        </w:rPr>
      </w:pPr>
      <w:r w:rsidRPr="00F9211D">
        <w:rPr>
          <w:rFonts w:ascii="Arial" w:hAnsi="Arial" w:cs="Arial"/>
          <w:lang w:val="en-GB"/>
        </w:rPr>
        <w:t>MAR — Multiple Antibiotic Resistance</w:t>
      </w:r>
    </w:p>
    <w:p w14:paraId="3C3AC535" w14:textId="77777777" w:rsidR="004D5B76" w:rsidRPr="00F9211D" w:rsidRDefault="004D5B76" w:rsidP="004D5B76">
      <w:pPr>
        <w:pStyle w:val="Body"/>
        <w:spacing w:after="0"/>
        <w:rPr>
          <w:rFonts w:ascii="Arial" w:hAnsi="Arial" w:cs="Arial"/>
          <w:lang w:val="en-GB"/>
        </w:rPr>
      </w:pPr>
    </w:p>
    <w:p w14:paraId="35AC6084" w14:textId="77777777" w:rsidR="004D5B76" w:rsidRPr="00F9211D" w:rsidRDefault="004D5B76" w:rsidP="004D5B76">
      <w:pPr>
        <w:pStyle w:val="Body"/>
        <w:spacing w:after="0"/>
        <w:rPr>
          <w:rFonts w:ascii="Arial" w:hAnsi="Arial" w:cs="Arial"/>
          <w:lang w:val="en-GB"/>
        </w:rPr>
      </w:pPr>
      <w:r w:rsidRPr="00F9211D">
        <w:rPr>
          <w:rFonts w:ascii="Arial" w:hAnsi="Arial" w:cs="Arial"/>
          <w:lang w:val="en-GB"/>
        </w:rPr>
        <w:t>MCH — Mother and Child Health</w:t>
      </w:r>
    </w:p>
    <w:p w14:paraId="30FF6EC3" w14:textId="77777777" w:rsidR="004D5B76" w:rsidRPr="00F9211D" w:rsidRDefault="004D5B76" w:rsidP="004D5B76">
      <w:pPr>
        <w:pStyle w:val="Body"/>
        <w:spacing w:after="0"/>
        <w:rPr>
          <w:rFonts w:ascii="Arial" w:hAnsi="Arial" w:cs="Arial"/>
          <w:lang w:val="en-GB"/>
        </w:rPr>
      </w:pPr>
    </w:p>
    <w:p w14:paraId="5248FB44" w14:textId="77777777" w:rsidR="004D5B76" w:rsidRPr="00F9211D" w:rsidRDefault="004D5B76" w:rsidP="004D5B76">
      <w:pPr>
        <w:pStyle w:val="Body"/>
        <w:spacing w:after="0"/>
        <w:rPr>
          <w:rFonts w:ascii="Arial" w:hAnsi="Arial" w:cs="Arial"/>
          <w:lang w:val="en-GB"/>
        </w:rPr>
      </w:pPr>
      <w:r w:rsidRPr="00F9211D">
        <w:rPr>
          <w:rFonts w:ascii="Arial" w:hAnsi="Arial" w:cs="Arial"/>
          <w:lang w:val="en-GB"/>
        </w:rPr>
        <w:t xml:space="preserve">MRSA — Methicillin-Resistant </w:t>
      </w:r>
      <w:r>
        <w:rPr>
          <w:rFonts w:ascii="Arial" w:hAnsi="Arial" w:cs="Arial"/>
          <w:i/>
          <w:lang w:val="en-GB"/>
        </w:rPr>
        <w:t>Staphylococcus aureus</w:t>
      </w:r>
    </w:p>
    <w:p w14:paraId="54DC4408" w14:textId="77777777" w:rsidR="004D5B76" w:rsidRPr="00F9211D" w:rsidRDefault="004D5B76" w:rsidP="004D5B76">
      <w:pPr>
        <w:pStyle w:val="Body"/>
        <w:spacing w:after="0"/>
        <w:rPr>
          <w:rFonts w:ascii="Arial" w:hAnsi="Arial" w:cs="Arial"/>
          <w:lang w:val="en-GB"/>
        </w:rPr>
      </w:pPr>
    </w:p>
    <w:p w14:paraId="212AC911" w14:textId="77777777" w:rsidR="004D5B76" w:rsidRPr="00F9211D" w:rsidRDefault="004D5B76" w:rsidP="004D5B76">
      <w:pPr>
        <w:pStyle w:val="Body"/>
        <w:spacing w:after="0"/>
        <w:rPr>
          <w:rFonts w:ascii="Arial" w:hAnsi="Arial" w:cs="Arial"/>
          <w:lang w:val="en-GB"/>
        </w:rPr>
      </w:pPr>
      <w:r w:rsidRPr="00F9211D">
        <w:rPr>
          <w:rFonts w:ascii="Arial" w:hAnsi="Arial" w:cs="Arial"/>
          <w:lang w:val="en-GB"/>
        </w:rPr>
        <w:t>MSA — Mannitol Salt Agar</w:t>
      </w:r>
    </w:p>
    <w:p w14:paraId="017042B5" w14:textId="77777777" w:rsidR="004D5B76" w:rsidRPr="00F9211D" w:rsidRDefault="004D5B76" w:rsidP="004D5B76">
      <w:pPr>
        <w:pStyle w:val="Body"/>
        <w:spacing w:after="0"/>
        <w:rPr>
          <w:rFonts w:ascii="Arial" w:hAnsi="Arial" w:cs="Arial"/>
          <w:lang w:val="en-GB"/>
        </w:rPr>
      </w:pPr>
    </w:p>
    <w:p w14:paraId="4ABBCFB4" w14:textId="77777777" w:rsidR="004D5B76" w:rsidRPr="00F9211D" w:rsidRDefault="004D5B76" w:rsidP="004D5B76">
      <w:pPr>
        <w:pStyle w:val="Body"/>
        <w:spacing w:after="0"/>
        <w:rPr>
          <w:rFonts w:ascii="Arial" w:hAnsi="Arial" w:cs="Arial"/>
          <w:lang w:val="en-GB"/>
        </w:rPr>
      </w:pPr>
      <w:r w:rsidRPr="00F9211D">
        <w:rPr>
          <w:rFonts w:ascii="Arial" w:hAnsi="Arial" w:cs="Arial"/>
          <w:lang w:val="en-GB"/>
        </w:rPr>
        <w:t xml:space="preserve">MSSA — Methicillin-Susceptible </w:t>
      </w:r>
      <w:r>
        <w:rPr>
          <w:rFonts w:ascii="Arial" w:hAnsi="Arial" w:cs="Arial"/>
          <w:i/>
          <w:lang w:val="en-GB"/>
        </w:rPr>
        <w:t>Staphylococcus aureus</w:t>
      </w:r>
    </w:p>
    <w:p w14:paraId="221BFDD7" w14:textId="77777777" w:rsidR="004D5B76" w:rsidRPr="00F9211D" w:rsidRDefault="004D5B76" w:rsidP="004D5B76">
      <w:pPr>
        <w:pStyle w:val="Body"/>
        <w:spacing w:after="0"/>
        <w:rPr>
          <w:rFonts w:ascii="Arial" w:hAnsi="Arial" w:cs="Arial"/>
          <w:lang w:val="en-GB"/>
        </w:rPr>
      </w:pPr>
    </w:p>
    <w:p w14:paraId="26E5F10E" w14:textId="77777777" w:rsidR="004D5B76" w:rsidRPr="00F9211D" w:rsidRDefault="004D5B76" w:rsidP="004D5B76">
      <w:pPr>
        <w:pStyle w:val="Body"/>
        <w:spacing w:after="0"/>
        <w:rPr>
          <w:rFonts w:ascii="Arial" w:hAnsi="Arial" w:cs="Arial"/>
          <w:lang w:val="en-GB"/>
        </w:rPr>
      </w:pPr>
      <w:r w:rsidRPr="00F9211D">
        <w:rPr>
          <w:rFonts w:ascii="Arial" w:hAnsi="Arial" w:cs="Arial"/>
          <w:lang w:val="en-GB"/>
        </w:rPr>
        <w:t>ORSAB — Oxacillin Resistant Screening Agar Base</w:t>
      </w:r>
    </w:p>
    <w:p w14:paraId="5E5D78A8" w14:textId="77777777" w:rsidR="004D5B76" w:rsidRPr="00F9211D" w:rsidRDefault="004D5B76" w:rsidP="004D5B76">
      <w:pPr>
        <w:pStyle w:val="Body"/>
        <w:spacing w:after="0"/>
        <w:rPr>
          <w:rFonts w:ascii="Arial" w:hAnsi="Arial" w:cs="Arial"/>
          <w:lang w:val="en-GB"/>
        </w:rPr>
      </w:pPr>
    </w:p>
    <w:p w14:paraId="42EAA550" w14:textId="77777777" w:rsidR="004D5B76" w:rsidRPr="00F9211D" w:rsidRDefault="004D5B76" w:rsidP="004D5B76">
      <w:pPr>
        <w:pStyle w:val="Body"/>
        <w:spacing w:after="0"/>
        <w:rPr>
          <w:rFonts w:ascii="Arial" w:hAnsi="Arial" w:cs="Arial"/>
          <w:lang w:val="en-GB"/>
        </w:rPr>
      </w:pPr>
      <w:r w:rsidRPr="00F9211D">
        <w:rPr>
          <w:rFonts w:ascii="Arial" w:hAnsi="Arial" w:cs="Arial"/>
          <w:lang w:val="en-GB"/>
        </w:rPr>
        <w:t>PBP2a — Penicillin-Binding Protein 2a</w:t>
      </w:r>
    </w:p>
    <w:p w14:paraId="3ED4D790" w14:textId="77777777" w:rsidR="004D5B76" w:rsidRPr="00F9211D" w:rsidRDefault="004D5B76" w:rsidP="004D5B76">
      <w:pPr>
        <w:pStyle w:val="Body"/>
        <w:spacing w:after="0"/>
        <w:rPr>
          <w:rFonts w:ascii="Arial" w:hAnsi="Arial" w:cs="Arial"/>
          <w:lang w:val="en-GB"/>
        </w:rPr>
      </w:pPr>
    </w:p>
    <w:p w14:paraId="065E7F91" w14:textId="77777777" w:rsidR="004D5B76" w:rsidRPr="00F9211D" w:rsidRDefault="004D5B76" w:rsidP="004D5B76">
      <w:pPr>
        <w:pStyle w:val="Body"/>
        <w:spacing w:after="0"/>
        <w:rPr>
          <w:rFonts w:ascii="Arial" w:hAnsi="Arial" w:cs="Arial"/>
          <w:lang w:val="en-GB"/>
        </w:rPr>
      </w:pPr>
      <w:r w:rsidRPr="00F9211D">
        <w:rPr>
          <w:rFonts w:ascii="Arial" w:hAnsi="Arial" w:cs="Arial"/>
          <w:lang w:val="en-GB"/>
        </w:rPr>
        <w:t>PCR — Polymerase Chain Reaction</w:t>
      </w:r>
    </w:p>
    <w:p w14:paraId="72507F64" w14:textId="77777777" w:rsidR="004D5B76" w:rsidRPr="00F9211D" w:rsidRDefault="004D5B76" w:rsidP="004D5B76">
      <w:pPr>
        <w:pStyle w:val="Body"/>
        <w:spacing w:after="0"/>
        <w:rPr>
          <w:rFonts w:ascii="Arial" w:hAnsi="Arial" w:cs="Arial"/>
          <w:lang w:val="en-GB"/>
        </w:rPr>
      </w:pPr>
    </w:p>
    <w:p w14:paraId="1534157E" w14:textId="77777777" w:rsidR="004D5B76" w:rsidRPr="00F9211D" w:rsidRDefault="004D5B76" w:rsidP="004D5B76">
      <w:pPr>
        <w:pStyle w:val="Body"/>
        <w:spacing w:after="0"/>
        <w:rPr>
          <w:rFonts w:ascii="Arial" w:hAnsi="Arial" w:cs="Arial"/>
          <w:lang w:val="en-GB"/>
        </w:rPr>
      </w:pPr>
      <w:r w:rsidRPr="00F9211D">
        <w:rPr>
          <w:rFonts w:ascii="Arial" w:hAnsi="Arial" w:cs="Arial"/>
          <w:lang w:val="en-GB"/>
        </w:rPr>
        <w:t xml:space="preserve">PVL — Panton-Valentine </w:t>
      </w:r>
      <w:proofErr w:type="spellStart"/>
      <w:r w:rsidRPr="00F9211D">
        <w:rPr>
          <w:rFonts w:ascii="Arial" w:hAnsi="Arial" w:cs="Arial"/>
          <w:lang w:val="en-GB"/>
        </w:rPr>
        <w:t>Leukocidin</w:t>
      </w:r>
      <w:proofErr w:type="spellEnd"/>
    </w:p>
    <w:p w14:paraId="0A29477C" w14:textId="77777777" w:rsidR="004D5B76" w:rsidRPr="00F9211D" w:rsidRDefault="004D5B76" w:rsidP="004D5B76">
      <w:pPr>
        <w:pStyle w:val="Body"/>
        <w:spacing w:after="0"/>
        <w:rPr>
          <w:rFonts w:ascii="Arial" w:hAnsi="Arial" w:cs="Arial"/>
          <w:lang w:val="en-GB"/>
        </w:rPr>
      </w:pPr>
    </w:p>
    <w:p w14:paraId="6CA8292D" w14:textId="77777777" w:rsidR="004D5B76" w:rsidRPr="00F9211D" w:rsidRDefault="004D5B76" w:rsidP="004D5B76">
      <w:pPr>
        <w:pStyle w:val="Body"/>
        <w:spacing w:after="0"/>
        <w:rPr>
          <w:rFonts w:ascii="Arial" w:hAnsi="Arial" w:cs="Arial"/>
          <w:lang w:val="en-GB"/>
        </w:rPr>
      </w:pPr>
      <w:r w:rsidRPr="00F9211D">
        <w:rPr>
          <w:rFonts w:ascii="Arial" w:hAnsi="Arial" w:cs="Arial"/>
          <w:lang w:val="en-GB"/>
        </w:rPr>
        <w:t>SCBU — Special Care Baby Unit</w:t>
      </w:r>
    </w:p>
    <w:p w14:paraId="0A4087FB" w14:textId="77777777" w:rsidR="004D5B76" w:rsidRPr="00F9211D" w:rsidRDefault="004D5B76" w:rsidP="004D5B76">
      <w:pPr>
        <w:pStyle w:val="Body"/>
        <w:spacing w:after="0"/>
        <w:rPr>
          <w:rFonts w:ascii="Arial" w:hAnsi="Arial" w:cs="Arial"/>
          <w:lang w:val="en-GB"/>
        </w:rPr>
      </w:pPr>
    </w:p>
    <w:p w14:paraId="68AD598F" w14:textId="77777777" w:rsidR="004D5B76" w:rsidRPr="00F9211D" w:rsidRDefault="004D5B76" w:rsidP="004D5B76">
      <w:pPr>
        <w:pStyle w:val="Body"/>
        <w:spacing w:after="0"/>
        <w:rPr>
          <w:rFonts w:ascii="Arial" w:hAnsi="Arial" w:cs="Arial"/>
          <w:lang w:val="en-GB"/>
        </w:rPr>
      </w:pPr>
      <w:proofErr w:type="spellStart"/>
      <w:r w:rsidRPr="00F9211D">
        <w:rPr>
          <w:rFonts w:ascii="Arial" w:hAnsi="Arial" w:cs="Arial"/>
          <w:lang w:val="en-GB"/>
        </w:rPr>
        <w:t>SCCmec</w:t>
      </w:r>
      <w:proofErr w:type="spellEnd"/>
      <w:r w:rsidRPr="00F9211D">
        <w:rPr>
          <w:rFonts w:ascii="Arial" w:hAnsi="Arial" w:cs="Arial"/>
          <w:lang w:val="en-GB"/>
        </w:rPr>
        <w:t xml:space="preserve"> — Staphylococcal Cassette Chromosome </w:t>
      </w:r>
      <w:proofErr w:type="spellStart"/>
      <w:r w:rsidRPr="00F9211D">
        <w:rPr>
          <w:rFonts w:ascii="Arial" w:hAnsi="Arial" w:cs="Arial"/>
          <w:lang w:val="en-GB"/>
        </w:rPr>
        <w:t>mec</w:t>
      </w:r>
      <w:proofErr w:type="spellEnd"/>
    </w:p>
    <w:p w14:paraId="5D51B7B0" w14:textId="77777777" w:rsidR="004D5B76" w:rsidRPr="00FB3A86" w:rsidRDefault="004D5B76" w:rsidP="004D5B76">
      <w:pPr>
        <w:pStyle w:val="Appendix"/>
        <w:spacing w:after="0"/>
        <w:jc w:val="both"/>
        <w:rPr>
          <w:rFonts w:ascii="Arial" w:hAnsi="Arial" w:cs="Arial"/>
          <w:b w:val="0"/>
        </w:rPr>
        <w:sectPr w:rsidR="004D5B76" w:rsidRPr="00FB3A86" w:rsidSect="004D5B76">
          <w:headerReference w:type="even" r:id="rId14"/>
          <w:headerReference w:type="default" r:id="rId15"/>
          <w:footerReference w:type="default" r:id="rId16"/>
          <w:headerReference w:type="first" r:id="rId17"/>
          <w:type w:val="continuous"/>
          <w:pgSz w:w="12240" w:h="15840"/>
          <w:pgMar w:top="1440" w:right="2016" w:bottom="2016" w:left="2016" w:header="720" w:footer="1123" w:gutter="0"/>
          <w:cols w:space="720"/>
          <w:docGrid w:linePitch="272"/>
        </w:sectPr>
      </w:pPr>
    </w:p>
    <w:p w14:paraId="2300B4A1" w14:textId="77777777" w:rsidR="004D5B76" w:rsidRPr="00FB3A86" w:rsidRDefault="004D5B76" w:rsidP="004D5B76">
      <w:pPr>
        <w:pStyle w:val="Appendix"/>
        <w:spacing w:after="0"/>
        <w:jc w:val="both"/>
        <w:rPr>
          <w:rFonts w:ascii="Arial" w:hAnsi="Arial" w:cs="Arial"/>
          <w:b w:val="0"/>
        </w:rPr>
      </w:pPr>
    </w:p>
    <w:p w14:paraId="6D1E4839" w14:textId="77777777" w:rsidR="004D5B76" w:rsidRPr="002D08AC" w:rsidRDefault="004D5B76" w:rsidP="004D5B76">
      <w:pPr>
        <w:rPr>
          <w:rFonts w:ascii="Arial" w:hAnsi="Arial" w:cs="Arial"/>
        </w:rPr>
      </w:pPr>
    </w:p>
    <w:p w14:paraId="3DC59457" w14:textId="77777777" w:rsidR="004D5B76" w:rsidRPr="004600D5" w:rsidRDefault="004D5B76" w:rsidP="00441B6F">
      <w:pPr>
        <w:pStyle w:val="ReferHead"/>
        <w:spacing w:after="0"/>
        <w:jc w:val="both"/>
        <w:rPr>
          <w:rFonts w:ascii="Arial" w:hAnsi="Arial" w:cs="Arial"/>
          <w:b w:val="0"/>
          <w:caps w:val="0"/>
          <w:sz w:val="20"/>
        </w:rPr>
      </w:pPr>
    </w:p>
    <w:p w14:paraId="5FD89B28" w14:textId="77777777" w:rsidR="00860000" w:rsidRDefault="00860000" w:rsidP="00441B6F">
      <w:pPr>
        <w:pStyle w:val="ReferHead"/>
        <w:spacing w:after="0"/>
        <w:jc w:val="both"/>
        <w:rPr>
          <w:rFonts w:ascii="Arial" w:hAnsi="Arial" w:cs="Arial"/>
        </w:rPr>
      </w:pPr>
    </w:p>
    <w:p w14:paraId="13C5274C" w14:textId="77777777" w:rsidR="00B01FCD" w:rsidRDefault="00B01FCD" w:rsidP="00441B6F">
      <w:pPr>
        <w:pStyle w:val="ReferHead"/>
        <w:spacing w:after="0"/>
        <w:jc w:val="both"/>
        <w:rPr>
          <w:rFonts w:ascii="Arial" w:hAnsi="Arial" w:cs="Arial"/>
        </w:rPr>
      </w:pPr>
      <w:r w:rsidRPr="00FB3A86">
        <w:rPr>
          <w:rFonts w:ascii="Arial" w:hAnsi="Arial" w:cs="Arial"/>
        </w:rPr>
        <w:t>References</w:t>
      </w:r>
    </w:p>
    <w:p w14:paraId="0D815951" w14:textId="77777777" w:rsidR="00790ADA" w:rsidRPr="00FB3A86" w:rsidRDefault="00790ADA" w:rsidP="00441B6F">
      <w:pPr>
        <w:pStyle w:val="ReferHead"/>
        <w:spacing w:after="0"/>
        <w:jc w:val="both"/>
        <w:rPr>
          <w:rFonts w:ascii="Arial" w:hAnsi="Arial" w:cs="Arial"/>
        </w:rPr>
      </w:pPr>
    </w:p>
    <w:p w14:paraId="52DDEA3D" w14:textId="77777777" w:rsidR="007B3AC6" w:rsidRDefault="007B3AC6" w:rsidP="00F9211D">
      <w:pPr>
        <w:pStyle w:val="Body"/>
        <w:spacing w:after="0"/>
      </w:pPr>
    </w:p>
    <w:p w14:paraId="51FF753E" w14:textId="77777777" w:rsidR="00D576EE" w:rsidRPr="00D576EE" w:rsidRDefault="00D576EE" w:rsidP="00D576EE">
      <w:pPr>
        <w:spacing w:before="100" w:beforeAutospacing="1" w:after="100" w:afterAutospacing="1"/>
        <w:rPr>
          <w:rFonts w:ascii="Times New Roman" w:hAnsi="Times New Roman"/>
          <w:sz w:val="24"/>
          <w:szCs w:val="24"/>
        </w:rPr>
      </w:pPr>
      <w:r w:rsidRPr="00D576EE">
        <w:rPr>
          <w:rFonts w:ascii="Times New Roman" w:hAnsi="Times New Roman"/>
          <w:sz w:val="24"/>
          <w:szCs w:val="24"/>
        </w:rPr>
        <w:t xml:space="preserve">Abubakar, U., &amp; Sulaiman, S. A. S. (2018). Prevalence, trend and antimicrobial susceptibility of methicillin resistant Staphylococcus aureus in Nigeria: A systematic review. Journal of Infection and Public Health, 11(6), 763–770. </w:t>
      </w:r>
      <w:hyperlink r:id="rId18" w:history="1">
        <w:r w:rsidRPr="00D576EE">
          <w:rPr>
            <w:rFonts w:ascii="Times New Roman" w:hAnsi="Times New Roman"/>
            <w:color w:val="0000FF"/>
            <w:sz w:val="24"/>
            <w:szCs w:val="24"/>
            <w:u w:val="single"/>
          </w:rPr>
          <w:t>https://doi.org/10.1016/j.jiph.2018.05.013</w:t>
        </w:r>
      </w:hyperlink>
    </w:p>
    <w:p w14:paraId="5041B911" w14:textId="77777777" w:rsidR="00D576EE" w:rsidRPr="00D576EE" w:rsidRDefault="00D576EE" w:rsidP="00D576EE">
      <w:pPr>
        <w:spacing w:before="100" w:beforeAutospacing="1" w:after="100" w:afterAutospacing="1"/>
        <w:rPr>
          <w:rFonts w:ascii="Times New Roman" w:hAnsi="Times New Roman"/>
          <w:sz w:val="24"/>
          <w:szCs w:val="24"/>
        </w:rPr>
      </w:pPr>
      <w:proofErr w:type="spellStart"/>
      <w:r w:rsidRPr="00D576EE">
        <w:rPr>
          <w:rFonts w:ascii="Times New Roman" w:hAnsi="Times New Roman"/>
          <w:sz w:val="24"/>
          <w:szCs w:val="24"/>
        </w:rPr>
        <w:t>Adeiza</w:t>
      </w:r>
      <w:proofErr w:type="spellEnd"/>
      <w:r w:rsidRPr="00D576EE">
        <w:rPr>
          <w:rFonts w:ascii="Times New Roman" w:hAnsi="Times New Roman"/>
          <w:sz w:val="24"/>
          <w:szCs w:val="24"/>
        </w:rPr>
        <w:t xml:space="preserve">, S. S., </w:t>
      </w:r>
      <w:proofErr w:type="spellStart"/>
      <w:r w:rsidRPr="00D576EE">
        <w:rPr>
          <w:rFonts w:ascii="Times New Roman" w:hAnsi="Times New Roman"/>
          <w:sz w:val="24"/>
          <w:szCs w:val="24"/>
        </w:rPr>
        <w:t>Onaolapo</w:t>
      </w:r>
      <w:proofErr w:type="spellEnd"/>
      <w:r w:rsidRPr="00D576EE">
        <w:rPr>
          <w:rFonts w:ascii="Times New Roman" w:hAnsi="Times New Roman"/>
          <w:sz w:val="24"/>
          <w:szCs w:val="24"/>
        </w:rPr>
        <w:t xml:space="preserve">, J. A., &amp; Olayinka, B. O. (2020). Prevalence, risk-factors, and antimicrobial susceptibility profile of methicillin-resistant Staphylococcus </w:t>
      </w:r>
      <w:r w:rsidRPr="00D576EE">
        <w:rPr>
          <w:rFonts w:ascii="Times New Roman" w:hAnsi="Times New Roman"/>
          <w:sz w:val="24"/>
          <w:szCs w:val="24"/>
        </w:rPr>
        <w:lastRenderedPageBreak/>
        <w:t xml:space="preserve">aureus (MRSA) obtained from nares of patients and staff of Sokoto state-owned hospitals in Nigeria. GMS Hygiene and Infection Control, 15, Article Doc25. </w:t>
      </w:r>
      <w:hyperlink r:id="rId19" w:history="1">
        <w:r w:rsidRPr="00D576EE">
          <w:rPr>
            <w:rFonts w:ascii="Times New Roman" w:hAnsi="Times New Roman"/>
            <w:color w:val="0000FF"/>
            <w:sz w:val="24"/>
            <w:szCs w:val="24"/>
            <w:u w:val="single"/>
          </w:rPr>
          <w:t>https://doi.org/10.3205/dgkh000360</w:t>
        </w:r>
      </w:hyperlink>
    </w:p>
    <w:p w14:paraId="0465B073" w14:textId="77777777" w:rsidR="00D576EE" w:rsidRPr="00D576EE" w:rsidRDefault="00D576EE" w:rsidP="00D576EE">
      <w:pPr>
        <w:spacing w:before="100" w:beforeAutospacing="1" w:after="100" w:afterAutospacing="1"/>
        <w:rPr>
          <w:rFonts w:ascii="Times New Roman" w:hAnsi="Times New Roman"/>
          <w:sz w:val="24"/>
          <w:szCs w:val="24"/>
        </w:rPr>
      </w:pPr>
      <w:r w:rsidRPr="00D576EE">
        <w:rPr>
          <w:rFonts w:ascii="Times New Roman" w:hAnsi="Times New Roman"/>
          <w:sz w:val="24"/>
          <w:szCs w:val="24"/>
        </w:rPr>
        <w:t xml:space="preserve">Ann, E. K., Nweze, E. I., Eze, E. A., </w:t>
      </w:r>
      <w:proofErr w:type="spellStart"/>
      <w:r w:rsidRPr="00D576EE">
        <w:rPr>
          <w:rFonts w:ascii="Times New Roman" w:hAnsi="Times New Roman"/>
          <w:sz w:val="24"/>
          <w:szCs w:val="24"/>
        </w:rPr>
        <w:t>Nwafia</w:t>
      </w:r>
      <w:proofErr w:type="spellEnd"/>
      <w:r w:rsidRPr="00D576EE">
        <w:rPr>
          <w:rFonts w:ascii="Times New Roman" w:hAnsi="Times New Roman"/>
          <w:sz w:val="24"/>
          <w:szCs w:val="24"/>
        </w:rPr>
        <w:t xml:space="preserve">, I. N., </w:t>
      </w:r>
      <w:proofErr w:type="spellStart"/>
      <w:r w:rsidRPr="00D576EE">
        <w:rPr>
          <w:rFonts w:ascii="Times New Roman" w:hAnsi="Times New Roman"/>
          <w:sz w:val="24"/>
          <w:szCs w:val="24"/>
        </w:rPr>
        <w:t>Maduakor</w:t>
      </w:r>
      <w:proofErr w:type="spellEnd"/>
      <w:r w:rsidRPr="00D576EE">
        <w:rPr>
          <w:rFonts w:ascii="Times New Roman" w:hAnsi="Times New Roman"/>
          <w:sz w:val="24"/>
          <w:szCs w:val="24"/>
        </w:rPr>
        <w:t xml:space="preserve">, U. C., </w:t>
      </w:r>
      <w:proofErr w:type="spellStart"/>
      <w:r w:rsidRPr="00D576EE">
        <w:rPr>
          <w:rFonts w:ascii="Times New Roman" w:hAnsi="Times New Roman"/>
          <w:sz w:val="24"/>
          <w:szCs w:val="24"/>
        </w:rPr>
        <w:t>Ogundeji</w:t>
      </w:r>
      <w:proofErr w:type="spellEnd"/>
      <w:r w:rsidRPr="00D576EE">
        <w:rPr>
          <w:rFonts w:ascii="Times New Roman" w:hAnsi="Times New Roman"/>
          <w:sz w:val="24"/>
          <w:szCs w:val="24"/>
        </w:rPr>
        <w:t xml:space="preserve">, E. B., &amp; Ene, P. C. (2026). Molecular </w:t>
      </w:r>
      <w:proofErr w:type="spellStart"/>
      <w:r w:rsidRPr="00D576EE">
        <w:rPr>
          <w:rFonts w:ascii="Times New Roman" w:hAnsi="Times New Roman"/>
          <w:sz w:val="24"/>
          <w:szCs w:val="24"/>
        </w:rPr>
        <w:t>characterisation</w:t>
      </w:r>
      <w:proofErr w:type="spellEnd"/>
      <w:r w:rsidRPr="00D576EE">
        <w:rPr>
          <w:rFonts w:ascii="Times New Roman" w:hAnsi="Times New Roman"/>
          <w:sz w:val="24"/>
          <w:szCs w:val="24"/>
        </w:rPr>
        <w:t xml:space="preserve"> of methicillin-resistant Staphylococcus aureus (MRSA) isolated from </w:t>
      </w:r>
      <w:proofErr w:type="spellStart"/>
      <w:r w:rsidRPr="00D576EE">
        <w:rPr>
          <w:rFonts w:ascii="Times New Roman" w:hAnsi="Times New Roman"/>
          <w:sz w:val="24"/>
          <w:szCs w:val="24"/>
        </w:rPr>
        <w:t>hospitalised</w:t>
      </w:r>
      <w:proofErr w:type="spellEnd"/>
      <w:r w:rsidRPr="00D576EE">
        <w:rPr>
          <w:rFonts w:ascii="Times New Roman" w:hAnsi="Times New Roman"/>
          <w:sz w:val="24"/>
          <w:szCs w:val="24"/>
        </w:rPr>
        <w:t xml:space="preserve"> patients in public tertiary hospitals in Enugu, Nigeria: A multi-</w:t>
      </w:r>
      <w:proofErr w:type="spellStart"/>
      <w:r w:rsidRPr="00D576EE">
        <w:rPr>
          <w:rFonts w:ascii="Times New Roman" w:hAnsi="Times New Roman"/>
          <w:sz w:val="24"/>
          <w:szCs w:val="24"/>
        </w:rPr>
        <w:t>centre</w:t>
      </w:r>
      <w:proofErr w:type="spellEnd"/>
      <w:r w:rsidRPr="00D576EE">
        <w:rPr>
          <w:rFonts w:ascii="Times New Roman" w:hAnsi="Times New Roman"/>
          <w:sz w:val="24"/>
          <w:szCs w:val="24"/>
        </w:rPr>
        <w:t xml:space="preserve"> study. International Journal of Pathogen Research, 15(4), 95–108. </w:t>
      </w:r>
      <w:hyperlink r:id="rId20" w:history="1">
        <w:r w:rsidRPr="00D576EE">
          <w:rPr>
            <w:rFonts w:ascii="Times New Roman" w:hAnsi="Times New Roman"/>
            <w:color w:val="0000FF"/>
            <w:sz w:val="24"/>
            <w:szCs w:val="24"/>
            <w:u w:val="single"/>
          </w:rPr>
          <w:t>https://doi.org/10.9734/ijpr/2026/v15i4471</w:t>
        </w:r>
      </w:hyperlink>
    </w:p>
    <w:p w14:paraId="4C2ED523" w14:textId="77777777" w:rsidR="00D576EE" w:rsidRPr="00D576EE" w:rsidRDefault="00D576EE" w:rsidP="00D576EE">
      <w:pPr>
        <w:spacing w:before="100" w:beforeAutospacing="1" w:after="100" w:afterAutospacing="1"/>
        <w:rPr>
          <w:rFonts w:ascii="Times New Roman" w:hAnsi="Times New Roman"/>
          <w:sz w:val="24"/>
          <w:szCs w:val="24"/>
        </w:rPr>
      </w:pPr>
      <w:r w:rsidRPr="00D576EE">
        <w:rPr>
          <w:rFonts w:ascii="Times New Roman" w:hAnsi="Times New Roman"/>
          <w:sz w:val="24"/>
          <w:szCs w:val="24"/>
        </w:rPr>
        <w:t xml:space="preserve">Azzam, A., Khaled, H., Fayed, H. M., Mansour, Y., Eldalil, M., Elshennawy, E., Salem, H., &amp; </w:t>
      </w:r>
      <w:proofErr w:type="spellStart"/>
      <w:r w:rsidRPr="00D576EE">
        <w:rPr>
          <w:rFonts w:ascii="Times New Roman" w:hAnsi="Times New Roman"/>
          <w:sz w:val="24"/>
          <w:szCs w:val="24"/>
        </w:rPr>
        <w:t>Elkatan</w:t>
      </w:r>
      <w:proofErr w:type="spellEnd"/>
      <w:r w:rsidRPr="00D576EE">
        <w:rPr>
          <w:rFonts w:ascii="Times New Roman" w:hAnsi="Times New Roman"/>
          <w:sz w:val="24"/>
          <w:szCs w:val="24"/>
        </w:rPr>
        <w:t xml:space="preserve">, H. A. (2025). Prevalence, antibiogram, and risk factors of methicillin-resistant Staphylococcus aureus (MRSA) asymptomatic carriage in Africa: A systematic review and meta-analysis. BMC Infectious Diseases, 25, Article 505. </w:t>
      </w:r>
      <w:hyperlink r:id="rId21" w:history="1">
        <w:r w:rsidRPr="00D576EE">
          <w:rPr>
            <w:rFonts w:ascii="Times New Roman" w:hAnsi="Times New Roman"/>
            <w:color w:val="0000FF"/>
            <w:sz w:val="24"/>
            <w:szCs w:val="24"/>
            <w:u w:val="single"/>
          </w:rPr>
          <w:t>https://doi.org/10.1186/s12879-025-10819-4</w:t>
        </w:r>
      </w:hyperlink>
    </w:p>
    <w:p w14:paraId="3BB383BF" w14:textId="77777777" w:rsidR="00D576EE" w:rsidRPr="00D576EE" w:rsidRDefault="00D576EE" w:rsidP="00D576EE">
      <w:pPr>
        <w:spacing w:before="100" w:beforeAutospacing="1" w:after="100" w:afterAutospacing="1"/>
        <w:rPr>
          <w:rFonts w:ascii="Times New Roman" w:hAnsi="Times New Roman"/>
          <w:sz w:val="24"/>
          <w:szCs w:val="24"/>
        </w:rPr>
      </w:pPr>
      <w:r w:rsidRPr="00D576EE">
        <w:rPr>
          <w:rFonts w:ascii="Times New Roman" w:hAnsi="Times New Roman"/>
          <w:sz w:val="24"/>
          <w:szCs w:val="24"/>
        </w:rPr>
        <w:t xml:space="preserve">Azzam, A., Khaled, H., Salem, A., Sayed, M., </w:t>
      </w:r>
      <w:proofErr w:type="spellStart"/>
      <w:r w:rsidRPr="00D576EE">
        <w:rPr>
          <w:rFonts w:ascii="Times New Roman" w:hAnsi="Times New Roman"/>
          <w:sz w:val="24"/>
          <w:szCs w:val="24"/>
        </w:rPr>
        <w:t>Mohieldein</w:t>
      </w:r>
      <w:proofErr w:type="spellEnd"/>
      <w:r w:rsidRPr="00D576EE">
        <w:rPr>
          <w:rFonts w:ascii="Times New Roman" w:hAnsi="Times New Roman"/>
          <w:sz w:val="24"/>
          <w:szCs w:val="24"/>
        </w:rPr>
        <w:t xml:space="preserve">, A., Elsayed, M. S., Lotfy, E. M., Abdullah, H. H. A. M., Hassan, F. E., Marei, H., Hassan, N., </w:t>
      </w:r>
      <w:proofErr w:type="spellStart"/>
      <w:r w:rsidRPr="00D576EE">
        <w:rPr>
          <w:rFonts w:ascii="Times New Roman" w:hAnsi="Times New Roman"/>
          <w:sz w:val="24"/>
          <w:szCs w:val="24"/>
        </w:rPr>
        <w:t>Abdulnaby</w:t>
      </w:r>
      <w:proofErr w:type="spellEnd"/>
      <w:r w:rsidRPr="00D576EE">
        <w:rPr>
          <w:rFonts w:ascii="Times New Roman" w:hAnsi="Times New Roman"/>
          <w:sz w:val="24"/>
          <w:szCs w:val="24"/>
        </w:rPr>
        <w:t xml:space="preserve">, E., Kamel, G. A. M., Osman, I., Reda, M. A., Ismail, D., Nazih, M., Salem, H., Basil, A., &amp; Rady, D. (2026). Proportion and antibiogram of methicillin-resistant Staphylococcus aureus (MRSA) in Africa: A systematic review and meta-analysis. Antimicrobial Resistance &amp; Infection Control, 15, Article 13. </w:t>
      </w:r>
      <w:hyperlink r:id="rId22" w:history="1">
        <w:r w:rsidRPr="00D576EE">
          <w:rPr>
            <w:rFonts w:ascii="Times New Roman" w:hAnsi="Times New Roman"/>
            <w:color w:val="0000FF"/>
            <w:sz w:val="24"/>
            <w:szCs w:val="24"/>
            <w:u w:val="single"/>
          </w:rPr>
          <w:t>https://doi.org/10.1186/s13756-025-01687-3</w:t>
        </w:r>
      </w:hyperlink>
    </w:p>
    <w:p w14:paraId="70D1FCAB" w14:textId="41F4B736" w:rsidR="00D576EE" w:rsidRPr="00D576EE" w:rsidRDefault="00D576EE" w:rsidP="00D576EE">
      <w:pPr>
        <w:spacing w:before="100" w:beforeAutospacing="1" w:after="100" w:afterAutospacing="1"/>
        <w:rPr>
          <w:rFonts w:ascii="Times New Roman" w:hAnsi="Times New Roman"/>
          <w:sz w:val="24"/>
          <w:szCs w:val="24"/>
        </w:rPr>
      </w:pPr>
      <w:r w:rsidRPr="00D576EE">
        <w:rPr>
          <w:rFonts w:ascii="Times New Roman" w:hAnsi="Times New Roman"/>
          <w:sz w:val="24"/>
          <w:szCs w:val="24"/>
        </w:rPr>
        <w:t xml:space="preserve">Bartlett, J. E., II, </w:t>
      </w:r>
      <w:proofErr w:type="spellStart"/>
      <w:r w:rsidRPr="00D576EE">
        <w:rPr>
          <w:rFonts w:ascii="Times New Roman" w:hAnsi="Times New Roman"/>
          <w:sz w:val="24"/>
          <w:szCs w:val="24"/>
        </w:rPr>
        <w:t>Kotrlik</w:t>
      </w:r>
      <w:proofErr w:type="spellEnd"/>
      <w:r w:rsidRPr="00D576EE">
        <w:rPr>
          <w:rFonts w:ascii="Times New Roman" w:hAnsi="Times New Roman"/>
          <w:sz w:val="24"/>
          <w:szCs w:val="24"/>
        </w:rPr>
        <w:t xml:space="preserve">, J. W., &amp; Higgins, C. C. (2001). Organizational research: Determining appropriate sample size in survey research. Information Technology, Learning, and Performance Journal, 19(1), 43–50. </w:t>
      </w:r>
    </w:p>
    <w:p w14:paraId="42D7147F" w14:textId="77777777" w:rsidR="00D576EE" w:rsidRPr="00D576EE" w:rsidRDefault="00D576EE" w:rsidP="00D576EE">
      <w:pPr>
        <w:spacing w:before="100" w:beforeAutospacing="1" w:after="100" w:afterAutospacing="1"/>
        <w:rPr>
          <w:rFonts w:ascii="Times New Roman" w:hAnsi="Times New Roman"/>
          <w:sz w:val="24"/>
          <w:szCs w:val="24"/>
        </w:rPr>
      </w:pPr>
      <w:r w:rsidRPr="00D576EE">
        <w:rPr>
          <w:rFonts w:ascii="Times New Roman" w:hAnsi="Times New Roman"/>
          <w:sz w:val="24"/>
          <w:szCs w:val="24"/>
        </w:rPr>
        <w:t xml:space="preserve">Bilyaminu, U., </w:t>
      </w:r>
      <w:proofErr w:type="spellStart"/>
      <w:r w:rsidRPr="00D576EE">
        <w:rPr>
          <w:rFonts w:ascii="Times New Roman" w:hAnsi="Times New Roman"/>
          <w:sz w:val="24"/>
          <w:szCs w:val="24"/>
        </w:rPr>
        <w:t>Saggah</w:t>
      </w:r>
      <w:proofErr w:type="spellEnd"/>
      <w:r w:rsidRPr="00D576EE">
        <w:rPr>
          <w:rFonts w:ascii="Times New Roman" w:hAnsi="Times New Roman"/>
          <w:sz w:val="24"/>
          <w:szCs w:val="24"/>
        </w:rPr>
        <w:t xml:space="preserve">, A. M., Abubakar, B. M., &amp; Moi, I. M. (2025). Methicillin-resistant Staphylococcus aureus colonization and associated factors in clinical isolates among patients attending a tertiary medical </w:t>
      </w:r>
      <w:proofErr w:type="spellStart"/>
      <w:r w:rsidRPr="00D576EE">
        <w:rPr>
          <w:rFonts w:ascii="Times New Roman" w:hAnsi="Times New Roman"/>
          <w:sz w:val="24"/>
          <w:szCs w:val="24"/>
        </w:rPr>
        <w:t>centre</w:t>
      </w:r>
      <w:proofErr w:type="spellEnd"/>
      <w:r w:rsidRPr="00D576EE">
        <w:rPr>
          <w:rFonts w:ascii="Times New Roman" w:hAnsi="Times New Roman"/>
          <w:sz w:val="24"/>
          <w:szCs w:val="24"/>
        </w:rPr>
        <w:t xml:space="preserve"> in Nigeria. BMC Infectious Diseases, 25, Article 1777. </w:t>
      </w:r>
      <w:hyperlink r:id="rId23" w:history="1">
        <w:r w:rsidRPr="00D576EE">
          <w:rPr>
            <w:rFonts w:ascii="Times New Roman" w:hAnsi="Times New Roman"/>
            <w:color w:val="0000FF"/>
            <w:sz w:val="24"/>
            <w:szCs w:val="24"/>
            <w:u w:val="single"/>
          </w:rPr>
          <w:t>https://doi.org/10.1186/s12879-025-12166-w</w:t>
        </w:r>
      </w:hyperlink>
    </w:p>
    <w:p w14:paraId="503A2706" w14:textId="77777777" w:rsidR="00D576EE" w:rsidRPr="00D576EE" w:rsidRDefault="00D576EE" w:rsidP="00D576EE">
      <w:pPr>
        <w:spacing w:before="100" w:beforeAutospacing="1" w:after="100" w:afterAutospacing="1"/>
        <w:rPr>
          <w:rFonts w:ascii="Times New Roman" w:hAnsi="Times New Roman"/>
          <w:sz w:val="24"/>
          <w:szCs w:val="24"/>
        </w:rPr>
      </w:pPr>
      <w:r w:rsidRPr="00D576EE">
        <w:rPr>
          <w:rFonts w:ascii="Times New Roman" w:hAnsi="Times New Roman"/>
          <w:sz w:val="24"/>
          <w:szCs w:val="24"/>
        </w:rPr>
        <w:t xml:space="preserve">Cheesbrough, M. (2000). District laboratory practice in tropical countries: Part 2 (1st ed.). Cambridge University Press. </w:t>
      </w:r>
      <w:hyperlink r:id="rId24" w:history="1">
        <w:r w:rsidRPr="00D576EE">
          <w:rPr>
            <w:rFonts w:ascii="Times New Roman" w:hAnsi="Times New Roman"/>
            <w:color w:val="0000FF"/>
            <w:sz w:val="24"/>
            <w:szCs w:val="24"/>
            <w:u w:val="single"/>
          </w:rPr>
          <w:t>https://assets.cambridge.org/052194/1652/full_version/0521941652_pub.pdf</w:t>
        </w:r>
      </w:hyperlink>
    </w:p>
    <w:p w14:paraId="61F7F7AE" w14:textId="77777777" w:rsidR="00D576EE" w:rsidRPr="00D576EE" w:rsidRDefault="00D576EE" w:rsidP="00D576EE">
      <w:pPr>
        <w:spacing w:before="100" w:beforeAutospacing="1" w:after="100" w:afterAutospacing="1"/>
        <w:rPr>
          <w:rFonts w:ascii="Times New Roman" w:hAnsi="Times New Roman"/>
          <w:sz w:val="24"/>
          <w:szCs w:val="24"/>
        </w:rPr>
      </w:pPr>
      <w:r w:rsidRPr="00D576EE">
        <w:rPr>
          <w:rFonts w:ascii="Times New Roman" w:hAnsi="Times New Roman"/>
          <w:sz w:val="24"/>
          <w:szCs w:val="24"/>
        </w:rPr>
        <w:t xml:space="preserve">Clinical and Laboratory Standards Institute. (2017). Performance standards for antimicrobial susceptibility testing (27th ed., CLSI supplement M100). </w:t>
      </w:r>
      <w:hyperlink r:id="rId25" w:history="1">
        <w:r w:rsidRPr="00D576EE">
          <w:rPr>
            <w:rFonts w:ascii="Times New Roman" w:hAnsi="Times New Roman"/>
            <w:color w:val="0000FF"/>
            <w:sz w:val="24"/>
            <w:szCs w:val="24"/>
            <w:u w:val="single"/>
          </w:rPr>
          <w:t>https://clsi.org/media/1469/m100s27_sample.pdf</w:t>
        </w:r>
      </w:hyperlink>
    </w:p>
    <w:p w14:paraId="00E5BAA3" w14:textId="77777777" w:rsidR="00D576EE" w:rsidRPr="00D576EE" w:rsidRDefault="00D576EE" w:rsidP="00D576EE">
      <w:pPr>
        <w:spacing w:before="100" w:beforeAutospacing="1" w:after="100" w:afterAutospacing="1"/>
        <w:rPr>
          <w:rFonts w:ascii="Times New Roman" w:hAnsi="Times New Roman"/>
          <w:sz w:val="24"/>
          <w:szCs w:val="24"/>
        </w:rPr>
      </w:pPr>
      <w:r w:rsidRPr="00D576EE">
        <w:rPr>
          <w:rFonts w:ascii="Times New Roman" w:hAnsi="Times New Roman"/>
          <w:sz w:val="24"/>
          <w:szCs w:val="24"/>
        </w:rPr>
        <w:t xml:space="preserve">Clinical and Laboratory Standards Institute. (2026). Performance standards for antimicrobial susceptibility testing (36th ed., CLSI standard M100). </w:t>
      </w:r>
      <w:hyperlink r:id="rId26" w:history="1">
        <w:r w:rsidRPr="00D576EE">
          <w:rPr>
            <w:rFonts w:ascii="Times New Roman" w:hAnsi="Times New Roman"/>
            <w:color w:val="0000FF"/>
            <w:sz w:val="24"/>
            <w:szCs w:val="24"/>
            <w:u w:val="single"/>
          </w:rPr>
          <w:t>https://clsi.org/shop/standards/m100/</w:t>
        </w:r>
      </w:hyperlink>
    </w:p>
    <w:p w14:paraId="0835AC53" w14:textId="77777777" w:rsidR="00D576EE" w:rsidRPr="00D576EE" w:rsidRDefault="00D576EE" w:rsidP="00D576EE">
      <w:pPr>
        <w:spacing w:before="100" w:beforeAutospacing="1" w:after="100" w:afterAutospacing="1"/>
        <w:rPr>
          <w:rFonts w:ascii="Times New Roman" w:hAnsi="Times New Roman"/>
          <w:sz w:val="24"/>
          <w:szCs w:val="24"/>
        </w:rPr>
      </w:pPr>
      <w:r w:rsidRPr="00D576EE">
        <w:rPr>
          <w:rFonts w:ascii="Times New Roman" w:hAnsi="Times New Roman"/>
          <w:sz w:val="24"/>
          <w:szCs w:val="24"/>
        </w:rPr>
        <w:lastRenderedPageBreak/>
        <w:t xml:space="preserve">Diwakar, R. P., Yadav, V., Singh, A., Kumar, P., Verma, M. K., &amp; Yadav, S. K. (2026). Comparative analysis of phenotypic and molecular characterization of methicillin-resistant Staphylococcus aureus (MRSA) in </w:t>
      </w:r>
      <w:proofErr w:type="spellStart"/>
      <w:r w:rsidRPr="00D576EE">
        <w:rPr>
          <w:rFonts w:ascii="Times New Roman" w:hAnsi="Times New Roman"/>
          <w:sz w:val="24"/>
          <w:szCs w:val="24"/>
        </w:rPr>
        <w:t>mastitic</w:t>
      </w:r>
      <w:proofErr w:type="spellEnd"/>
      <w:r w:rsidRPr="00D576EE">
        <w:rPr>
          <w:rFonts w:ascii="Times New Roman" w:hAnsi="Times New Roman"/>
          <w:sz w:val="24"/>
          <w:szCs w:val="24"/>
        </w:rPr>
        <w:t xml:space="preserve"> cows. Uttar Pradesh Journal of Zoology, 47(12), 114–122. </w:t>
      </w:r>
      <w:hyperlink r:id="rId27" w:history="1">
        <w:r w:rsidRPr="00D576EE">
          <w:rPr>
            <w:rFonts w:ascii="Times New Roman" w:hAnsi="Times New Roman"/>
            <w:color w:val="0000FF"/>
            <w:sz w:val="24"/>
            <w:szCs w:val="24"/>
            <w:u w:val="single"/>
          </w:rPr>
          <w:t>https://doi.org/10.56557/upjoz/2026/v47i125713</w:t>
        </w:r>
      </w:hyperlink>
    </w:p>
    <w:p w14:paraId="0E20ACF8" w14:textId="77777777" w:rsidR="00D576EE" w:rsidRPr="00D576EE" w:rsidRDefault="00D576EE" w:rsidP="00D576EE">
      <w:pPr>
        <w:spacing w:before="100" w:beforeAutospacing="1" w:after="100" w:afterAutospacing="1"/>
        <w:rPr>
          <w:rFonts w:ascii="Times New Roman" w:hAnsi="Times New Roman"/>
          <w:sz w:val="24"/>
          <w:szCs w:val="24"/>
        </w:rPr>
      </w:pPr>
      <w:r w:rsidRPr="00D576EE">
        <w:rPr>
          <w:rFonts w:ascii="Times New Roman" w:hAnsi="Times New Roman"/>
          <w:sz w:val="24"/>
          <w:szCs w:val="24"/>
        </w:rPr>
        <w:t xml:space="preserve">Ezeh, C. K., Eze, C. N., </w:t>
      </w:r>
      <w:proofErr w:type="spellStart"/>
      <w:r w:rsidRPr="00D576EE">
        <w:rPr>
          <w:rFonts w:ascii="Times New Roman" w:hAnsi="Times New Roman"/>
          <w:sz w:val="24"/>
          <w:szCs w:val="24"/>
        </w:rPr>
        <w:t>Dibua</w:t>
      </w:r>
      <w:proofErr w:type="spellEnd"/>
      <w:r w:rsidRPr="00D576EE">
        <w:rPr>
          <w:rFonts w:ascii="Times New Roman" w:hAnsi="Times New Roman"/>
          <w:sz w:val="24"/>
          <w:szCs w:val="24"/>
        </w:rPr>
        <w:t xml:space="preserve">, M. E. U., &amp; </w:t>
      </w:r>
      <w:proofErr w:type="spellStart"/>
      <w:r w:rsidRPr="00D576EE">
        <w:rPr>
          <w:rFonts w:ascii="Times New Roman" w:hAnsi="Times New Roman"/>
          <w:sz w:val="24"/>
          <w:szCs w:val="24"/>
        </w:rPr>
        <w:t>Emencheta</w:t>
      </w:r>
      <w:proofErr w:type="spellEnd"/>
      <w:r w:rsidRPr="00D576EE">
        <w:rPr>
          <w:rFonts w:ascii="Times New Roman" w:hAnsi="Times New Roman"/>
          <w:sz w:val="24"/>
          <w:szCs w:val="24"/>
        </w:rPr>
        <w:t xml:space="preserve">, S. C. (2023). A meta-analysis on the prevalence of resistance of Staphylococcus aureus to different antibiotics in Nigeria. Antimicrobial Resistance &amp; Infection Control, 12, Article 40. </w:t>
      </w:r>
      <w:hyperlink r:id="rId28" w:history="1">
        <w:r w:rsidRPr="00D576EE">
          <w:rPr>
            <w:rFonts w:ascii="Times New Roman" w:hAnsi="Times New Roman"/>
            <w:color w:val="0000FF"/>
            <w:sz w:val="24"/>
            <w:szCs w:val="24"/>
            <w:u w:val="single"/>
          </w:rPr>
          <w:t>https://doi.org/10.1186/s13756-023-01243-x</w:t>
        </w:r>
      </w:hyperlink>
    </w:p>
    <w:p w14:paraId="169869A5" w14:textId="77777777" w:rsidR="00D576EE" w:rsidRPr="00D576EE" w:rsidRDefault="00D576EE" w:rsidP="00D576EE">
      <w:pPr>
        <w:spacing w:before="100" w:beforeAutospacing="1" w:after="100" w:afterAutospacing="1"/>
        <w:rPr>
          <w:rFonts w:ascii="Times New Roman" w:hAnsi="Times New Roman"/>
          <w:sz w:val="24"/>
          <w:szCs w:val="24"/>
        </w:rPr>
      </w:pPr>
      <w:r w:rsidRPr="00D576EE">
        <w:rPr>
          <w:rFonts w:ascii="Times New Roman" w:hAnsi="Times New Roman"/>
          <w:sz w:val="24"/>
          <w:szCs w:val="24"/>
        </w:rPr>
        <w:t xml:space="preserve">Iheanacho, C. O., &amp; Eze, U. I. H. (2022). Antimicrobial resistance in Nigeria: Challenges and charting the way forward. European Journal of Hospital Pharmacy, 29(2), 119. </w:t>
      </w:r>
      <w:hyperlink r:id="rId29" w:history="1">
        <w:r w:rsidRPr="00D576EE">
          <w:rPr>
            <w:rFonts w:ascii="Times New Roman" w:hAnsi="Times New Roman"/>
            <w:color w:val="0000FF"/>
            <w:sz w:val="24"/>
            <w:szCs w:val="24"/>
            <w:u w:val="single"/>
          </w:rPr>
          <w:t>https://doi.org/10.1136/ejhpharm-2021-002762</w:t>
        </w:r>
      </w:hyperlink>
    </w:p>
    <w:p w14:paraId="70199BF8" w14:textId="77777777" w:rsidR="00D576EE" w:rsidRPr="00D576EE" w:rsidRDefault="00D576EE" w:rsidP="00D576EE">
      <w:pPr>
        <w:spacing w:before="100" w:beforeAutospacing="1" w:after="100" w:afterAutospacing="1"/>
        <w:rPr>
          <w:rFonts w:ascii="Times New Roman" w:hAnsi="Times New Roman"/>
          <w:sz w:val="24"/>
          <w:szCs w:val="24"/>
        </w:rPr>
      </w:pPr>
      <w:proofErr w:type="spellStart"/>
      <w:r w:rsidRPr="00D576EE">
        <w:rPr>
          <w:rFonts w:ascii="Times New Roman" w:hAnsi="Times New Roman"/>
          <w:sz w:val="24"/>
          <w:szCs w:val="24"/>
        </w:rPr>
        <w:t>Krumperman</w:t>
      </w:r>
      <w:proofErr w:type="spellEnd"/>
      <w:r w:rsidRPr="00D576EE">
        <w:rPr>
          <w:rFonts w:ascii="Times New Roman" w:hAnsi="Times New Roman"/>
          <w:sz w:val="24"/>
          <w:szCs w:val="24"/>
        </w:rPr>
        <w:t xml:space="preserve">, P. H. (1983). Multiple antibiotic resistance indexing of Escherichia coli to identify high-risk sources of fecal contamination of foods. Applied and Environmental Microbiology, 46(1), 165–170. </w:t>
      </w:r>
      <w:hyperlink r:id="rId30" w:history="1">
        <w:r w:rsidRPr="00D576EE">
          <w:rPr>
            <w:rFonts w:ascii="Times New Roman" w:hAnsi="Times New Roman"/>
            <w:color w:val="0000FF"/>
            <w:sz w:val="24"/>
            <w:szCs w:val="24"/>
            <w:u w:val="single"/>
          </w:rPr>
          <w:t>https://doi.org/10.1128/aem.46.1.165-170.1983</w:t>
        </w:r>
      </w:hyperlink>
    </w:p>
    <w:p w14:paraId="2181640E" w14:textId="77777777" w:rsidR="00D576EE" w:rsidRPr="00D576EE" w:rsidRDefault="00D576EE" w:rsidP="00D576EE">
      <w:pPr>
        <w:spacing w:before="100" w:beforeAutospacing="1" w:after="100" w:afterAutospacing="1"/>
        <w:rPr>
          <w:rFonts w:ascii="Times New Roman" w:hAnsi="Times New Roman"/>
          <w:sz w:val="24"/>
          <w:szCs w:val="24"/>
        </w:rPr>
      </w:pPr>
      <w:proofErr w:type="spellStart"/>
      <w:r w:rsidRPr="00D576EE">
        <w:rPr>
          <w:rFonts w:ascii="Times New Roman" w:hAnsi="Times New Roman"/>
          <w:sz w:val="24"/>
          <w:szCs w:val="24"/>
        </w:rPr>
        <w:t>Ogefere</w:t>
      </w:r>
      <w:proofErr w:type="spellEnd"/>
      <w:r w:rsidRPr="00D576EE">
        <w:rPr>
          <w:rFonts w:ascii="Times New Roman" w:hAnsi="Times New Roman"/>
          <w:sz w:val="24"/>
          <w:szCs w:val="24"/>
        </w:rPr>
        <w:t xml:space="preserve">, H. O., &amp; Ogunleye, L. A. (2019). Molecular characterization of methicillin-resistant staphylococci among apparently healthy students. </w:t>
      </w:r>
      <w:proofErr w:type="spellStart"/>
      <w:r w:rsidRPr="00D576EE">
        <w:rPr>
          <w:rFonts w:ascii="Times New Roman" w:hAnsi="Times New Roman"/>
          <w:sz w:val="24"/>
          <w:szCs w:val="24"/>
        </w:rPr>
        <w:t>Universa</w:t>
      </w:r>
      <w:proofErr w:type="spellEnd"/>
      <w:r w:rsidRPr="00D576EE">
        <w:rPr>
          <w:rFonts w:ascii="Times New Roman" w:hAnsi="Times New Roman"/>
          <w:sz w:val="24"/>
          <w:szCs w:val="24"/>
        </w:rPr>
        <w:t xml:space="preserve"> Medicina, 38(1), 25–32. </w:t>
      </w:r>
      <w:hyperlink r:id="rId31" w:history="1">
        <w:r w:rsidRPr="00D576EE">
          <w:rPr>
            <w:rFonts w:ascii="Times New Roman" w:hAnsi="Times New Roman"/>
            <w:color w:val="0000FF"/>
            <w:sz w:val="24"/>
            <w:szCs w:val="24"/>
            <w:u w:val="single"/>
          </w:rPr>
          <w:t>https://doi.org/10.18051/UnivMed.2019.v38.25-32</w:t>
        </w:r>
      </w:hyperlink>
    </w:p>
    <w:p w14:paraId="7BE83EFB" w14:textId="77777777" w:rsidR="00D576EE" w:rsidRPr="00D576EE" w:rsidRDefault="00D576EE" w:rsidP="00D576EE">
      <w:pPr>
        <w:spacing w:before="100" w:beforeAutospacing="1" w:after="100" w:afterAutospacing="1"/>
        <w:rPr>
          <w:rFonts w:ascii="Times New Roman" w:hAnsi="Times New Roman"/>
          <w:sz w:val="24"/>
          <w:szCs w:val="24"/>
        </w:rPr>
      </w:pPr>
      <w:r w:rsidRPr="00D576EE">
        <w:rPr>
          <w:rFonts w:ascii="Times New Roman" w:hAnsi="Times New Roman"/>
          <w:sz w:val="24"/>
          <w:szCs w:val="24"/>
        </w:rPr>
        <w:t xml:space="preserve">Parsons, J. B., </w:t>
      </w:r>
      <w:proofErr w:type="spellStart"/>
      <w:r w:rsidRPr="00D576EE">
        <w:rPr>
          <w:rFonts w:ascii="Times New Roman" w:hAnsi="Times New Roman"/>
          <w:sz w:val="24"/>
          <w:szCs w:val="24"/>
        </w:rPr>
        <w:t>Westgeest</w:t>
      </w:r>
      <w:proofErr w:type="spellEnd"/>
      <w:r w:rsidRPr="00D576EE">
        <w:rPr>
          <w:rFonts w:ascii="Times New Roman" w:hAnsi="Times New Roman"/>
          <w:sz w:val="24"/>
          <w:szCs w:val="24"/>
        </w:rPr>
        <w:t xml:space="preserve">, A. C., Conlon, B. P., Harbarth, S., Howden, B. P., Kim, Y. S., King, H. A., </w:t>
      </w:r>
      <w:proofErr w:type="spellStart"/>
      <w:r w:rsidRPr="00D576EE">
        <w:rPr>
          <w:rFonts w:ascii="Times New Roman" w:hAnsi="Times New Roman"/>
          <w:sz w:val="24"/>
          <w:szCs w:val="24"/>
        </w:rPr>
        <w:t>Lambregts</w:t>
      </w:r>
      <w:proofErr w:type="spellEnd"/>
      <w:r w:rsidRPr="00D576EE">
        <w:rPr>
          <w:rFonts w:ascii="Times New Roman" w:hAnsi="Times New Roman"/>
          <w:sz w:val="24"/>
          <w:szCs w:val="24"/>
        </w:rPr>
        <w:t xml:space="preserve">, M. M. C., Miller, L. G., Patel, R., Wang, M., &amp; Fowler, V. G., Jr. (2026). Methicillin-resistant Staphylococcus aureus. Nature Reviews Disease Primers, 12, Article 53. </w:t>
      </w:r>
      <w:hyperlink r:id="rId32" w:history="1">
        <w:r w:rsidRPr="00D576EE">
          <w:rPr>
            <w:rFonts w:ascii="Times New Roman" w:hAnsi="Times New Roman"/>
            <w:color w:val="0000FF"/>
            <w:sz w:val="24"/>
            <w:szCs w:val="24"/>
            <w:u w:val="single"/>
          </w:rPr>
          <w:t>https://doi.org/10.1038/s41572-026-00729-3</w:t>
        </w:r>
      </w:hyperlink>
    </w:p>
    <w:p w14:paraId="17C5117B" w14:textId="77777777" w:rsidR="00D576EE" w:rsidRPr="00D576EE" w:rsidRDefault="00D576EE" w:rsidP="00D576EE">
      <w:pPr>
        <w:spacing w:before="100" w:beforeAutospacing="1" w:after="100" w:afterAutospacing="1"/>
        <w:rPr>
          <w:rFonts w:ascii="Times New Roman" w:hAnsi="Times New Roman"/>
          <w:sz w:val="24"/>
          <w:szCs w:val="24"/>
        </w:rPr>
      </w:pPr>
      <w:r w:rsidRPr="00D576EE">
        <w:rPr>
          <w:rFonts w:ascii="Times New Roman" w:hAnsi="Times New Roman"/>
          <w:sz w:val="24"/>
          <w:szCs w:val="24"/>
        </w:rPr>
        <w:t xml:space="preserve">World Health Organization. (2024). WHO bacterial priority pathogens list, 2024: Bacterial pathogens of public health importance to guide research, development and strategies to prevent and control antimicrobial resistance. </w:t>
      </w:r>
      <w:hyperlink r:id="rId33" w:history="1">
        <w:r w:rsidRPr="00D576EE">
          <w:rPr>
            <w:rFonts w:ascii="Times New Roman" w:hAnsi="Times New Roman"/>
            <w:color w:val="0000FF"/>
            <w:sz w:val="24"/>
            <w:szCs w:val="24"/>
            <w:u w:val="single"/>
          </w:rPr>
          <w:t>https://www.who.int/publications/i/item/9789240093461</w:t>
        </w:r>
      </w:hyperlink>
    </w:p>
    <w:p w14:paraId="44A1A2F5" w14:textId="77777777" w:rsidR="00D576EE" w:rsidRPr="00F9211D" w:rsidRDefault="00D576EE" w:rsidP="00F9211D">
      <w:pPr>
        <w:pStyle w:val="Body"/>
        <w:spacing w:after="0"/>
      </w:pPr>
    </w:p>
    <w:p w14:paraId="267019DA" w14:textId="77777777" w:rsidR="00441B6F" w:rsidRDefault="00441B6F" w:rsidP="00441B6F">
      <w:pPr>
        <w:pStyle w:val="Body"/>
        <w:spacing w:after="0"/>
        <w:jc w:val="left"/>
      </w:pPr>
    </w:p>
    <w:p w14:paraId="359C850E" w14:textId="77777777" w:rsidR="00441B6F" w:rsidRDefault="00441B6F" w:rsidP="00441B6F">
      <w:pPr>
        <w:pStyle w:val="Body"/>
        <w:spacing w:after="0"/>
        <w:jc w:val="left"/>
        <w:rPr>
          <w:rFonts w:ascii="Arial" w:hAnsi="Arial" w:cs="Arial"/>
        </w:rPr>
      </w:pPr>
    </w:p>
    <w:sectPr w:rsidR="00441B6F" w:rsidSect="004D5B76">
      <w:type w:val="continuous"/>
      <w:pgSz w:w="12240" w:h="15840"/>
      <w:pgMar w:top="1440" w:right="2016" w:bottom="2016" w:left="2016" w:header="720" w:footer="112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CDBBF" w14:textId="77777777" w:rsidR="00EB1134" w:rsidRDefault="00EB1134" w:rsidP="00C37E61">
      <w:r>
        <w:separator/>
      </w:r>
    </w:p>
  </w:endnote>
  <w:endnote w:type="continuationSeparator" w:id="0">
    <w:p w14:paraId="176A7A44" w14:textId="77777777" w:rsidR="00EB1134" w:rsidRDefault="00EB1134"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F87FB" w14:textId="77777777" w:rsidR="00261F36" w:rsidRDefault="00261F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2D0B0" w14:textId="77777777" w:rsidR="00261F36" w:rsidRDefault="00261F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00F0F" w14:textId="77777777" w:rsidR="009E048A" w:rsidRDefault="009E048A">
    <w:pPr>
      <w:pStyle w:val="Footer"/>
      <w:rPr>
        <w:rFonts w:ascii="Arial" w:hAnsi="Arial" w:cs="Arial"/>
        <w:sz w:val="16"/>
      </w:rPr>
    </w:pPr>
  </w:p>
  <w:p w14:paraId="55CE658D" w14:textId="77777777" w:rsidR="009E048A" w:rsidRDefault="009E048A" w:rsidP="009E048A">
    <w:pPr>
      <w:pStyle w:val="Footer"/>
      <w:jc w:val="center"/>
      <w:rPr>
        <w:rFonts w:ascii="Arial" w:hAnsi="Arial" w:cs="Arial"/>
        <w:sz w:val="16"/>
      </w:rPr>
    </w:pPr>
    <w:r>
      <w:rPr>
        <w:rFonts w:ascii="Arial" w:hAnsi="Arial" w:cs="Arial"/>
        <w:sz w:val="16"/>
      </w:rPr>
      <w:t>______________________________________________________________________</w:t>
    </w:r>
    <w:r w:rsidR="00BF121F">
      <w:rPr>
        <w:rFonts w:ascii="Arial" w:hAnsi="Arial" w:cs="Arial"/>
        <w:sz w:val="16"/>
      </w:rPr>
      <w:t>______________________</w:t>
    </w:r>
  </w:p>
  <w:p w14:paraId="6A1AA76A" w14:textId="77777777" w:rsidR="009E048A" w:rsidRDefault="009E048A">
    <w:pPr>
      <w:pStyle w:val="Footer"/>
      <w:rPr>
        <w:rFonts w:ascii="Arial" w:hAnsi="Arial" w:cs="Arial"/>
        <w:sz w:val="16"/>
      </w:rPr>
    </w:pPr>
  </w:p>
  <w:p w14:paraId="1B957B81" w14:textId="77777777" w:rsidR="00754C9A" w:rsidRPr="009E048A" w:rsidRDefault="00754C9A">
    <w:pPr>
      <w:pStyle w:val="Footer"/>
      <w:rPr>
        <w:rFonts w:ascii="Arial" w:hAnsi="Arial" w:cs="Arial"/>
        <w:i/>
        <w:sz w:val="16"/>
      </w:rPr>
    </w:pPr>
    <w:r w:rsidRPr="009E048A">
      <w:rPr>
        <w:rFonts w:ascii="Arial" w:hAnsi="Arial" w:cs="Arial"/>
        <w:i/>
        <w:sz w:val="16"/>
      </w:rPr>
      <w:t>*Corresponding author: Email: XYZ@ABC.COM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D597D" w14:textId="77777777" w:rsidR="004D5B76" w:rsidRPr="00C37E61" w:rsidRDefault="004D5B76"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8B71B" w14:textId="77777777" w:rsidR="00EB1134" w:rsidRDefault="00EB1134" w:rsidP="00C37E61">
      <w:r>
        <w:separator/>
      </w:r>
    </w:p>
  </w:footnote>
  <w:footnote w:type="continuationSeparator" w:id="0">
    <w:p w14:paraId="03753292" w14:textId="77777777" w:rsidR="00EB1134" w:rsidRDefault="00EB1134"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46143" w14:textId="77777777" w:rsidR="00261F36" w:rsidRDefault="00000000">
    <w:pPr>
      <w:pStyle w:val="Header"/>
    </w:pPr>
    <w:r>
      <w:rPr>
        <w:noProof/>
      </w:rPr>
      <w:pict w14:anchorId="361F83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2658282"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84292" w14:textId="77777777" w:rsidR="00261F36" w:rsidRDefault="00000000">
    <w:pPr>
      <w:pStyle w:val="Header"/>
    </w:pPr>
    <w:r>
      <w:rPr>
        <w:noProof/>
      </w:rPr>
      <w:pict w14:anchorId="327887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2658283"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5478B" w14:textId="77777777" w:rsidR="00296529" w:rsidRPr="00296529" w:rsidRDefault="00000000" w:rsidP="00296529">
    <w:pPr>
      <w:ind w:left="2160"/>
      <w:jc w:val="center"/>
      <w:rPr>
        <w:rFonts w:ascii="Times New Roman" w:eastAsia="Calibri" w:hAnsi="Times New Roman"/>
        <w:i/>
        <w:sz w:val="18"/>
        <w:szCs w:val="22"/>
      </w:rPr>
    </w:pPr>
    <w:r>
      <w:rPr>
        <w:noProof/>
      </w:rPr>
      <w:pict w14:anchorId="1E5F9E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2658281"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7D4671EA"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128D16B8"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49AD5C4C"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1ABAA614"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05821846"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6AE9E216"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3AB58" w14:textId="77777777" w:rsidR="00261F36" w:rsidRDefault="00000000">
    <w:pPr>
      <w:pStyle w:val="Header"/>
    </w:pPr>
    <w:r>
      <w:rPr>
        <w:noProof/>
      </w:rPr>
      <w:pict w14:anchorId="7849C4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2658285" o:spid="_x0000_s1031"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4F7C80BF">
        <v:shape id="_x0000_s1030"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4CB9F" w14:textId="77777777" w:rsidR="00261F36" w:rsidRDefault="00000000">
    <w:pPr>
      <w:pStyle w:val="Header"/>
    </w:pPr>
    <w:r>
      <w:rPr>
        <w:noProof/>
      </w:rPr>
      <w:pict w14:anchorId="572DBA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2658286" o:spid="_x0000_s1033"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2E451C6B">
        <v:shape id="_x0000_s1032"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25304" w14:textId="77777777" w:rsidR="00261F36" w:rsidRPr="00296529" w:rsidRDefault="00000000" w:rsidP="00296529">
    <w:pPr>
      <w:ind w:left="2160"/>
      <w:jc w:val="center"/>
      <w:rPr>
        <w:rFonts w:ascii="Times New Roman" w:eastAsia="Calibri" w:hAnsi="Times New Roman"/>
        <w:i/>
        <w:sz w:val="18"/>
        <w:szCs w:val="22"/>
      </w:rPr>
    </w:pPr>
    <w:r>
      <w:rPr>
        <w:noProof/>
      </w:rPr>
      <w:pict w14:anchorId="25526EB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2658284" o:spid="_x0000_s1029" type="#_x0000_t136" style="position:absolute;left:0;text-align:left;margin-left:0;margin-top:0;width:520.65pt;height:57.85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40B72524">
        <v:shape id="_x0000_s1028" type="#_x0000_t136" style="position:absolute;left:0;text-align:left;margin-left:0;margin-top:0;width:520.65pt;height:57.85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4DF77F05" w14:textId="77777777" w:rsidR="00261F36" w:rsidRPr="00296529" w:rsidRDefault="00261F36"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2AD0AFFF" w14:textId="77777777" w:rsidR="00261F36" w:rsidRPr="00296529" w:rsidRDefault="00261F36" w:rsidP="00296529">
    <w:pPr>
      <w:jc w:val="center"/>
      <w:rPr>
        <w:rFonts w:ascii="Times New Roman" w:eastAsia="Calibri" w:hAnsi="Times New Roman"/>
        <w:i/>
        <w:sz w:val="18"/>
        <w:szCs w:val="22"/>
      </w:rPr>
    </w:pPr>
    <w:r>
      <w:rPr>
        <w:rFonts w:ascii="Times New Roman" w:eastAsia="Calibri" w:hAnsi="Times New Roman"/>
        <w:i/>
        <w:sz w:val="18"/>
        <w:szCs w:val="22"/>
      </w:rPr>
      <w:t>.</w:t>
    </w:r>
  </w:p>
  <w:p w14:paraId="22FC8090" w14:textId="77777777" w:rsidR="00261F36" w:rsidRPr="00296529" w:rsidRDefault="00261F36"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4BDCCD42" w14:textId="77777777" w:rsidR="00261F36" w:rsidRDefault="00261F36"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70BB389C" w14:textId="77777777" w:rsidR="00261F36" w:rsidRDefault="00261F36"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5977BE7E" w14:textId="77777777" w:rsidR="00261F36" w:rsidRDefault="00261F36">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EC1B20"/>
    <w:multiLevelType w:val="multilevel"/>
    <w:tmpl w:val="1D18753E"/>
    <w:lvl w:ilvl="0">
      <w:start w:val="1"/>
      <w:numFmt w:val="lowerRoman"/>
      <w:lvlText w:val="%1."/>
      <w:lvlJc w:val="righ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0"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1"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3"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4"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5"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7"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99379733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127817547">
    <w:abstractNumId w:val="15"/>
  </w:num>
  <w:num w:numId="3" w16cid:durableId="270210722">
    <w:abstractNumId w:val="24"/>
  </w:num>
  <w:num w:numId="4" w16cid:durableId="1842087515">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417219888">
    <w:abstractNumId w:val="7"/>
  </w:num>
  <w:num w:numId="6" w16cid:durableId="1798571421">
    <w:abstractNumId w:val="6"/>
  </w:num>
  <w:num w:numId="7" w16cid:durableId="922571905">
    <w:abstractNumId w:val="1"/>
  </w:num>
  <w:num w:numId="8" w16cid:durableId="1218055954">
    <w:abstractNumId w:val="12"/>
  </w:num>
  <w:num w:numId="9" w16cid:durableId="329874782">
    <w:abstractNumId w:val="26"/>
  </w:num>
  <w:num w:numId="10" w16cid:durableId="1967344970">
    <w:abstractNumId w:val="2"/>
  </w:num>
  <w:num w:numId="11" w16cid:durableId="412317892">
    <w:abstractNumId w:val="19"/>
  </w:num>
  <w:num w:numId="12" w16cid:durableId="1162699396">
    <w:abstractNumId w:val="3"/>
  </w:num>
  <w:num w:numId="13" w16cid:durableId="1799378455">
    <w:abstractNumId w:val="18"/>
  </w:num>
  <w:num w:numId="14" w16cid:durableId="1847285408">
    <w:abstractNumId w:val="8"/>
  </w:num>
  <w:num w:numId="15" w16cid:durableId="302076680">
    <w:abstractNumId w:val="22"/>
  </w:num>
  <w:num w:numId="16" w16cid:durableId="2101171267">
    <w:abstractNumId w:val="5"/>
  </w:num>
  <w:num w:numId="17" w16cid:durableId="2095474162">
    <w:abstractNumId w:val="23"/>
  </w:num>
  <w:num w:numId="18" w16cid:durableId="726026076">
    <w:abstractNumId w:val="14"/>
  </w:num>
  <w:num w:numId="19" w16cid:durableId="1507742585">
    <w:abstractNumId w:val="29"/>
  </w:num>
  <w:num w:numId="20" w16cid:durableId="1414359059">
    <w:abstractNumId w:val="11"/>
  </w:num>
  <w:num w:numId="21" w16cid:durableId="780808669">
    <w:abstractNumId w:val="9"/>
  </w:num>
  <w:num w:numId="22" w16cid:durableId="85656562">
    <w:abstractNumId w:val="13"/>
  </w:num>
  <w:num w:numId="23" w16cid:durableId="1114595123">
    <w:abstractNumId w:val="20"/>
  </w:num>
  <w:num w:numId="24" w16cid:durableId="1717074228">
    <w:abstractNumId w:val="27"/>
  </w:num>
  <w:num w:numId="25" w16cid:durableId="1206672560">
    <w:abstractNumId w:val="4"/>
  </w:num>
  <w:num w:numId="26" w16cid:durableId="121193178">
    <w:abstractNumId w:val="16"/>
  </w:num>
  <w:num w:numId="27" w16cid:durableId="1448308770">
    <w:abstractNumId w:val="21"/>
  </w:num>
  <w:num w:numId="28" w16cid:durableId="2027902646">
    <w:abstractNumId w:val="28"/>
  </w:num>
  <w:num w:numId="29" w16cid:durableId="452793216">
    <w:abstractNumId w:val="25"/>
  </w:num>
  <w:num w:numId="30" w16cid:durableId="511115286">
    <w:abstractNumId w:val="10"/>
  </w:num>
  <w:num w:numId="31" w16cid:durableId="80015215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OyMLS0tDC1NDY3NDZS0lEKTi0uzszPAykwrAUAxUi1EiwAAAA="/>
  </w:docVars>
  <w:rsids>
    <w:rsidRoot w:val="00AA6219"/>
    <w:rsid w:val="00000F8F"/>
    <w:rsid w:val="00030174"/>
    <w:rsid w:val="0004579C"/>
    <w:rsid w:val="00055BD4"/>
    <w:rsid w:val="000A47FA"/>
    <w:rsid w:val="000A65D3"/>
    <w:rsid w:val="000B1E33"/>
    <w:rsid w:val="000C132A"/>
    <w:rsid w:val="000D689F"/>
    <w:rsid w:val="000E7B7B"/>
    <w:rsid w:val="000E7D62"/>
    <w:rsid w:val="00103357"/>
    <w:rsid w:val="00123C9F"/>
    <w:rsid w:val="00126190"/>
    <w:rsid w:val="00130F17"/>
    <w:rsid w:val="001320BF"/>
    <w:rsid w:val="00163BC4"/>
    <w:rsid w:val="00191062"/>
    <w:rsid w:val="00192B72"/>
    <w:rsid w:val="001A29D8"/>
    <w:rsid w:val="001A5CAA"/>
    <w:rsid w:val="001B0427"/>
    <w:rsid w:val="001D3A51"/>
    <w:rsid w:val="001E10D2"/>
    <w:rsid w:val="001E25B4"/>
    <w:rsid w:val="001E44FE"/>
    <w:rsid w:val="00200595"/>
    <w:rsid w:val="00204835"/>
    <w:rsid w:val="00231920"/>
    <w:rsid w:val="0023195C"/>
    <w:rsid w:val="0024282C"/>
    <w:rsid w:val="002460DC"/>
    <w:rsid w:val="00250985"/>
    <w:rsid w:val="002556F6"/>
    <w:rsid w:val="00261F36"/>
    <w:rsid w:val="00283105"/>
    <w:rsid w:val="00284C4C"/>
    <w:rsid w:val="00287E68"/>
    <w:rsid w:val="00296529"/>
    <w:rsid w:val="00297885"/>
    <w:rsid w:val="002B27FB"/>
    <w:rsid w:val="002B685A"/>
    <w:rsid w:val="002C57D2"/>
    <w:rsid w:val="002C5BD1"/>
    <w:rsid w:val="002E0D56"/>
    <w:rsid w:val="002E727A"/>
    <w:rsid w:val="00315186"/>
    <w:rsid w:val="0033343E"/>
    <w:rsid w:val="003512C2"/>
    <w:rsid w:val="00371FB6"/>
    <w:rsid w:val="003755E0"/>
    <w:rsid w:val="003763C1"/>
    <w:rsid w:val="00376BBE"/>
    <w:rsid w:val="00387382"/>
    <w:rsid w:val="0039224F"/>
    <w:rsid w:val="003A43A4"/>
    <w:rsid w:val="003A7E18"/>
    <w:rsid w:val="003C4C86"/>
    <w:rsid w:val="003C6258"/>
    <w:rsid w:val="003D5CF5"/>
    <w:rsid w:val="003E2904"/>
    <w:rsid w:val="003E3399"/>
    <w:rsid w:val="00401927"/>
    <w:rsid w:val="0041027F"/>
    <w:rsid w:val="00412475"/>
    <w:rsid w:val="00423789"/>
    <w:rsid w:val="00440F43"/>
    <w:rsid w:val="00441B6F"/>
    <w:rsid w:val="00446221"/>
    <w:rsid w:val="00450E62"/>
    <w:rsid w:val="004539DB"/>
    <w:rsid w:val="004600D5"/>
    <w:rsid w:val="00471A80"/>
    <w:rsid w:val="004B32E9"/>
    <w:rsid w:val="004D305E"/>
    <w:rsid w:val="004D4277"/>
    <w:rsid w:val="004D5B76"/>
    <w:rsid w:val="00502516"/>
    <w:rsid w:val="00505F06"/>
    <w:rsid w:val="00506828"/>
    <w:rsid w:val="0053056E"/>
    <w:rsid w:val="00534BAA"/>
    <w:rsid w:val="00554FDA"/>
    <w:rsid w:val="005C784C"/>
    <w:rsid w:val="005D17F6"/>
    <w:rsid w:val="005E5539"/>
    <w:rsid w:val="00602BF5"/>
    <w:rsid w:val="00605C84"/>
    <w:rsid w:val="00617FDD"/>
    <w:rsid w:val="00633614"/>
    <w:rsid w:val="00633F68"/>
    <w:rsid w:val="00636EB2"/>
    <w:rsid w:val="006375B8"/>
    <w:rsid w:val="0066510A"/>
    <w:rsid w:val="0067176A"/>
    <w:rsid w:val="00673F9F"/>
    <w:rsid w:val="00686953"/>
    <w:rsid w:val="00687DEA"/>
    <w:rsid w:val="00687E67"/>
    <w:rsid w:val="006967F7"/>
    <w:rsid w:val="006A250C"/>
    <w:rsid w:val="006B21D3"/>
    <w:rsid w:val="006B57D0"/>
    <w:rsid w:val="006D30FF"/>
    <w:rsid w:val="006D6940"/>
    <w:rsid w:val="006F11EC"/>
    <w:rsid w:val="0070082C"/>
    <w:rsid w:val="007369E6"/>
    <w:rsid w:val="00746E59"/>
    <w:rsid w:val="00754C9A"/>
    <w:rsid w:val="0075599A"/>
    <w:rsid w:val="00761D52"/>
    <w:rsid w:val="0077749E"/>
    <w:rsid w:val="007801A6"/>
    <w:rsid w:val="00790ADA"/>
    <w:rsid w:val="007A7FC7"/>
    <w:rsid w:val="007B3AC6"/>
    <w:rsid w:val="007D2288"/>
    <w:rsid w:val="007D7B2D"/>
    <w:rsid w:val="007E088F"/>
    <w:rsid w:val="007F7B32"/>
    <w:rsid w:val="00804BC2"/>
    <w:rsid w:val="0081431A"/>
    <w:rsid w:val="0083216F"/>
    <w:rsid w:val="00853ECC"/>
    <w:rsid w:val="00860000"/>
    <w:rsid w:val="00863BD3"/>
    <w:rsid w:val="008641ED"/>
    <w:rsid w:val="00866D66"/>
    <w:rsid w:val="008671C6"/>
    <w:rsid w:val="00875803"/>
    <w:rsid w:val="008B459E"/>
    <w:rsid w:val="008E13AE"/>
    <w:rsid w:val="008E1506"/>
    <w:rsid w:val="008E2F12"/>
    <w:rsid w:val="008E5F54"/>
    <w:rsid w:val="008E710C"/>
    <w:rsid w:val="008F69D6"/>
    <w:rsid w:val="00902823"/>
    <w:rsid w:val="00915CA6"/>
    <w:rsid w:val="00927834"/>
    <w:rsid w:val="009500A6"/>
    <w:rsid w:val="00957C18"/>
    <w:rsid w:val="009659BA"/>
    <w:rsid w:val="00976609"/>
    <w:rsid w:val="00983040"/>
    <w:rsid w:val="009A2EC2"/>
    <w:rsid w:val="009B3FB9"/>
    <w:rsid w:val="009C2465"/>
    <w:rsid w:val="009D35A0"/>
    <w:rsid w:val="009D7EB7"/>
    <w:rsid w:val="009E048A"/>
    <w:rsid w:val="009E08E9"/>
    <w:rsid w:val="009E3DB9"/>
    <w:rsid w:val="009E6E35"/>
    <w:rsid w:val="009F0EDA"/>
    <w:rsid w:val="009F3D26"/>
    <w:rsid w:val="00A03B96"/>
    <w:rsid w:val="00A05B19"/>
    <w:rsid w:val="00A1134E"/>
    <w:rsid w:val="00A24E7E"/>
    <w:rsid w:val="00A258C3"/>
    <w:rsid w:val="00A347C0"/>
    <w:rsid w:val="00A51431"/>
    <w:rsid w:val="00A539AD"/>
    <w:rsid w:val="00A84979"/>
    <w:rsid w:val="00A94063"/>
    <w:rsid w:val="00AA6219"/>
    <w:rsid w:val="00AA74E0"/>
    <w:rsid w:val="00AB703F"/>
    <w:rsid w:val="00AC6BB8"/>
    <w:rsid w:val="00AE008F"/>
    <w:rsid w:val="00B01FCD"/>
    <w:rsid w:val="00B1776C"/>
    <w:rsid w:val="00B52583"/>
    <w:rsid w:val="00B52896"/>
    <w:rsid w:val="00B70B14"/>
    <w:rsid w:val="00B95236"/>
    <w:rsid w:val="00B96BD9"/>
    <w:rsid w:val="00BA1B01"/>
    <w:rsid w:val="00BA2641"/>
    <w:rsid w:val="00BB1E7F"/>
    <w:rsid w:val="00BB37AA"/>
    <w:rsid w:val="00BC53A0"/>
    <w:rsid w:val="00BE62AD"/>
    <w:rsid w:val="00BF121F"/>
    <w:rsid w:val="00BF1F80"/>
    <w:rsid w:val="00C166EF"/>
    <w:rsid w:val="00C17EB0"/>
    <w:rsid w:val="00C27F5F"/>
    <w:rsid w:val="00C30A0F"/>
    <w:rsid w:val="00C353C3"/>
    <w:rsid w:val="00C37E61"/>
    <w:rsid w:val="00C70F1B"/>
    <w:rsid w:val="00C71A47"/>
    <w:rsid w:val="00C7464C"/>
    <w:rsid w:val="00C850E6"/>
    <w:rsid w:val="00C85588"/>
    <w:rsid w:val="00C93CAA"/>
    <w:rsid w:val="00CA2F00"/>
    <w:rsid w:val="00CD12AA"/>
    <w:rsid w:val="00CD6755"/>
    <w:rsid w:val="00CD6856"/>
    <w:rsid w:val="00CE0089"/>
    <w:rsid w:val="00CE793C"/>
    <w:rsid w:val="00CF193C"/>
    <w:rsid w:val="00CF4AF5"/>
    <w:rsid w:val="00D173F1"/>
    <w:rsid w:val="00D36784"/>
    <w:rsid w:val="00D576EE"/>
    <w:rsid w:val="00D74CB0"/>
    <w:rsid w:val="00D74F93"/>
    <w:rsid w:val="00D8295D"/>
    <w:rsid w:val="00DC2A65"/>
    <w:rsid w:val="00DE15F0"/>
    <w:rsid w:val="00DE5663"/>
    <w:rsid w:val="00DE78AA"/>
    <w:rsid w:val="00E053D0"/>
    <w:rsid w:val="00E15994"/>
    <w:rsid w:val="00E3114E"/>
    <w:rsid w:val="00E31A70"/>
    <w:rsid w:val="00E35B02"/>
    <w:rsid w:val="00E43803"/>
    <w:rsid w:val="00E43F87"/>
    <w:rsid w:val="00E66496"/>
    <w:rsid w:val="00E66B35"/>
    <w:rsid w:val="00E66E10"/>
    <w:rsid w:val="00E769F6"/>
    <w:rsid w:val="00E8407C"/>
    <w:rsid w:val="00E84F3C"/>
    <w:rsid w:val="00EA012C"/>
    <w:rsid w:val="00EA571E"/>
    <w:rsid w:val="00EB1134"/>
    <w:rsid w:val="00EB447C"/>
    <w:rsid w:val="00EC6A55"/>
    <w:rsid w:val="00ED0288"/>
    <w:rsid w:val="00ED0CA6"/>
    <w:rsid w:val="00ED32D5"/>
    <w:rsid w:val="00EE17F9"/>
    <w:rsid w:val="00EE52CB"/>
    <w:rsid w:val="00EF1AA7"/>
    <w:rsid w:val="00EF581D"/>
    <w:rsid w:val="00EF7FD8"/>
    <w:rsid w:val="00F06F59"/>
    <w:rsid w:val="00F11B31"/>
    <w:rsid w:val="00F17988"/>
    <w:rsid w:val="00F469F0"/>
    <w:rsid w:val="00F53273"/>
    <w:rsid w:val="00F64E92"/>
    <w:rsid w:val="00F70E3F"/>
    <w:rsid w:val="00F755E4"/>
    <w:rsid w:val="00F77D02"/>
    <w:rsid w:val="00F9211D"/>
    <w:rsid w:val="00FB3A86"/>
    <w:rsid w:val="00FC44B3"/>
    <w:rsid w:val="00FD36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FAE784"/>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2">
    <w:name w:val="heading 2"/>
    <w:basedOn w:val="Normal"/>
    <w:next w:val="Normal"/>
    <w:link w:val="Heading2Char"/>
    <w:semiHidden/>
    <w:unhideWhenUsed/>
    <w:qFormat/>
    <w:rsid w:val="00F9211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4600D5"/>
    <w:pPr>
      <w:keepNext/>
      <w:keepLines/>
      <w:spacing w:before="160" w:after="80" w:line="278" w:lineRule="auto"/>
      <w:outlineLvl w:val="2"/>
    </w:pPr>
    <w:rPr>
      <w:rFonts w:asciiTheme="minorHAnsi" w:eastAsiaTheme="majorEastAsia" w:hAnsiTheme="minorHAnsi" w:cstheme="majorBidi"/>
      <w:color w:val="365F91" w:themeColor="accent1" w:themeShade="BF"/>
      <w:kern w:val="2"/>
      <w:sz w:val="28"/>
      <w:szCs w:val="28"/>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character" w:customStyle="1" w:styleId="Heading3Char">
    <w:name w:val="Heading 3 Char"/>
    <w:basedOn w:val="DefaultParagraphFont"/>
    <w:link w:val="Heading3"/>
    <w:uiPriority w:val="9"/>
    <w:semiHidden/>
    <w:rsid w:val="004600D5"/>
    <w:rPr>
      <w:rFonts w:asciiTheme="minorHAnsi" w:eastAsiaTheme="majorEastAsia" w:hAnsiTheme="minorHAnsi" w:cstheme="majorBidi"/>
      <w:color w:val="365F91" w:themeColor="accent1" w:themeShade="BF"/>
      <w:kern w:val="2"/>
      <w:sz w:val="28"/>
      <w:szCs w:val="28"/>
      <w:lang w:val="en-GB" w:eastAsia="zh-CN"/>
    </w:rPr>
  </w:style>
  <w:style w:type="table" w:styleId="ListTable6Colorful">
    <w:name w:val="List Table 6 Colorful"/>
    <w:basedOn w:val="TableNormal"/>
    <w:uiPriority w:val="51"/>
    <w:rsid w:val="004600D5"/>
    <w:rPr>
      <w:rFonts w:asciiTheme="minorHAnsi" w:eastAsiaTheme="minorEastAsia" w:hAnsiTheme="minorHAnsi" w:cstheme="minorBidi"/>
      <w:color w:val="000000" w:themeColor="text1"/>
      <w:kern w:val="2"/>
      <w:sz w:val="24"/>
      <w:szCs w:val="24"/>
      <w:lang w:eastAsia="zh-CN"/>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2Char">
    <w:name w:val="Heading 2 Char"/>
    <w:basedOn w:val="DefaultParagraphFont"/>
    <w:link w:val="Heading2"/>
    <w:semiHidden/>
    <w:rsid w:val="00F9211D"/>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semiHidden/>
    <w:unhideWhenUsed/>
    <w:rsid w:val="00605C84"/>
    <w:pPr>
      <w:spacing w:before="100" w:beforeAutospacing="1" w:after="100" w:afterAutospacing="1"/>
    </w:pPr>
    <w:rPr>
      <w:rFonts w:ascii="Times New Roman" w:hAnsi="Times New Roman"/>
      <w:sz w:val="24"/>
      <w:szCs w:val="24"/>
    </w:rPr>
  </w:style>
  <w:style w:type="character" w:styleId="Strong">
    <w:name w:val="Strong"/>
    <w:basedOn w:val="DefaultParagraphFont"/>
    <w:uiPriority w:val="22"/>
    <w:qFormat/>
    <w:rsid w:val="00605C8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doi.org/10.1016/j.jiph.2018.05.013" TargetMode="External"/><Relationship Id="rId26" Type="http://schemas.openxmlformats.org/officeDocument/2006/relationships/hyperlink" Target="https://clsi.org/shop/standards/m100/" TargetMode="External"/><Relationship Id="rId3" Type="http://schemas.openxmlformats.org/officeDocument/2006/relationships/styles" Target="styles.xml"/><Relationship Id="rId21" Type="http://schemas.openxmlformats.org/officeDocument/2006/relationships/hyperlink" Target="https://doi.org/10.1186/s12879-025-10819-4"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yperlink" Target="https://clsi.org/media/1469/m100s27_sample.pdf" TargetMode="External"/><Relationship Id="rId33" Type="http://schemas.openxmlformats.org/officeDocument/2006/relationships/hyperlink" Target="https://www.who.int/publications/i/item/9789240093461" TargetMode="Externa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https://doi.org/10.9734/ijpr/2026/v15i4471" TargetMode="External"/><Relationship Id="rId29" Type="http://schemas.openxmlformats.org/officeDocument/2006/relationships/hyperlink" Target="https://doi.org/10.1136/ejhpharm-2021-00276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assets.cambridge.org/052194/1652/full_version/0521941652_pub.pdf" TargetMode="External"/><Relationship Id="rId32" Type="http://schemas.openxmlformats.org/officeDocument/2006/relationships/hyperlink" Target="https://doi.org/10.1038/s41572-026-00729-3" TargetMode="Externa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yperlink" Target="https://doi.org/10.1186/s12879-025-12166-w" TargetMode="External"/><Relationship Id="rId28" Type="http://schemas.openxmlformats.org/officeDocument/2006/relationships/hyperlink" Target="https://doi.org/10.1186/s13756-023-01243-x" TargetMode="External"/><Relationship Id="rId10" Type="http://schemas.openxmlformats.org/officeDocument/2006/relationships/footer" Target="footer1.xml"/><Relationship Id="rId19" Type="http://schemas.openxmlformats.org/officeDocument/2006/relationships/hyperlink" Target="https://doi.org/10.3205/dgkh000360" TargetMode="External"/><Relationship Id="rId31" Type="http://schemas.openxmlformats.org/officeDocument/2006/relationships/hyperlink" Target="https://doi.org/10.18051/UnivMed.2019.v38.25-32"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https://doi.org/10.1186/s13756-025-01687-3" TargetMode="External"/><Relationship Id="rId27" Type="http://schemas.openxmlformats.org/officeDocument/2006/relationships/hyperlink" Target="https://doi.org/10.56557/upjoz/2026/v47i125713" TargetMode="External"/><Relationship Id="rId30" Type="http://schemas.openxmlformats.org/officeDocument/2006/relationships/hyperlink" Target="https://doi.org/10.1128/aem.46.1.165-170.1983" TargetMode="External"/><Relationship Id="rId35" Type="http://schemas.openxmlformats.org/officeDocument/2006/relationships/theme" Target="theme/theme1.xml"/><Relationship Id="rId8"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30</TotalTime>
  <Pages>1</Pages>
  <Words>5390</Words>
  <Characters>30727</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36045</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CPU 1117</cp:lastModifiedBy>
  <cp:revision>33</cp:revision>
  <cp:lastPrinted>1999-07-06T11:00:00Z</cp:lastPrinted>
  <dcterms:created xsi:type="dcterms:W3CDTF">2026-09-30T02:55:00Z</dcterms:created>
  <dcterms:modified xsi:type="dcterms:W3CDTF">2026-10-13T05:56:00Z</dcterms:modified>
</cp:coreProperties>
</file>