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06D70" w14:textId="77777777" w:rsidR="00305E66" w:rsidRDefault="00D93510" w:rsidP="00D93510">
      <w:pPr>
        <w:spacing w:after="0" w:line="240" w:lineRule="auto"/>
        <w:jc w:val="center"/>
        <w:outlineLvl w:val="3"/>
        <w:rPr>
          <w:rFonts w:ascii="Times New Roman" w:hAnsi="Times New Roman" w:cs="Times New Roman"/>
          <w:b/>
          <w:bCs/>
          <w:sz w:val="20"/>
          <w:szCs w:val="20"/>
        </w:rPr>
      </w:pPr>
      <w:r w:rsidRPr="00D93510">
        <w:rPr>
          <w:rFonts w:ascii="Times New Roman" w:hAnsi="Times New Roman" w:cs="Times New Roman"/>
          <w:b/>
          <w:bCs/>
          <w:sz w:val="20"/>
          <w:szCs w:val="20"/>
        </w:rPr>
        <w:t>Spatiotemporal Monitoring of Heavy Metal Attenuation and Ecological Risk Dynamics in Oil-Degraded Soils of Eleme, Niger Delta, Nigeria</w:t>
      </w:r>
    </w:p>
    <w:p w14:paraId="49F33FB9" w14:textId="77777777" w:rsidR="00D93510" w:rsidRPr="00D93510" w:rsidRDefault="00D93510" w:rsidP="00D93510">
      <w:pPr>
        <w:spacing w:after="0" w:line="240" w:lineRule="auto"/>
        <w:jc w:val="both"/>
        <w:outlineLvl w:val="3"/>
        <w:rPr>
          <w:rFonts w:ascii="Times New Roman" w:eastAsia="Times New Roman" w:hAnsi="Times New Roman" w:cs="Times New Roman"/>
          <w:sz w:val="20"/>
          <w:szCs w:val="20"/>
        </w:rPr>
      </w:pPr>
    </w:p>
    <w:p w14:paraId="13E0747A" w14:textId="77777777" w:rsidR="008D1E44" w:rsidRPr="00C9208D" w:rsidRDefault="008D1E44" w:rsidP="00A2072B">
      <w:pPr>
        <w:spacing w:after="0" w:line="240" w:lineRule="auto"/>
        <w:outlineLvl w:val="3"/>
        <w:rPr>
          <w:rFonts w:ascii="Times New Roman" w:eastAsia="Times New Roman" w:hAnsi="Times New Roman" w:cs="Times New Roman"/>
          <w:b/>
          <w:bCs/>
          <w:sz w:val="20"/>
          <w:szCs w:val="20"/>
        </w:rPr>
      </w:pPr>
      <w:r w:rsidRPr="00C9208D">
        <w:rPr>
          <w:rFonts w:ascii="Times New Roman" w:eastAsia="Times New Roman" w:hAnsi="Times New Roman" w:cs="Times New Roman"/>
          <w:b/>
          <w:bCs/>
          <w:sz w:val="20"/>
          <w:szCs w:val="20"/>
        </w:rPr>
        <w:t>Abstract</w:t>
      </w:r>
    </w:p>
    <w:p w14:paraId="24E11EC0" w14:textId="0B77BAB7" w:rsidR="008B5CFA" w:rsidRPr="001564D0" w:rsidRDefault="001564D0" w:rsidP="001564D0">
      <w:pPr>
        <w:spacing w:after="0" w:line="240" w:lineRule="auto"/>
        <w:ind w:firstLine="426"/>
        <w:jc w:val="both"/>
        <w:outlineLvl w:val="3"/>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This study aims to address this gap by u</w:t>
      </w:r>
      <w:r>
        <w:rPr>
          <w:rFonts w:ascii="Times New Roman" w:hAnsi="Times New Roman" w:cs="Times New Roman"/>
          <w:color w:val="000000" w:themeColor="text1"/>
          <w:sz w:val="20"/>
          <w:szCs w:val="20"/>
          <w:highlight w:val="yellow"/>
        </w:rPr>
        <w:t>s</w:t>
      </w:r>
      <w:r>
        <w:rPr>
          <w:rFonts w:ascii="Times New Roman" w:hAnsi="Times New Roman" w:cs="Times New Roman"/>
          <w:color w:val="000000" w:themeColor="text1"/>
          <w:sz w:val="20"/>
          <w:szCs w:val="20"/>
        </w:rPr>
        <w:t>ing spatiotemporal mapping and monitoring of heavy</w:t>
      </w:r>
      <w:r>
        <w:rPr>
          <w:rFonts w:ascii="Times New Roman" w:hAnsi="Times New Roman" w:cs="Times New Roman"/>
          <w:color w:val="000000" w:themeColor="text1"/>
          <w:sz w:val="20"/>
          <w:szCs w:val="20"/>
          <w:highlight w:val="yellow"/>
        </w:rPr>
        <w:t>-</w:t>
      </w:r>
      <w:r>
        <w:rPr>
          <w:rFonts w:ascii="Times New Roman" w:hAnsi="Times New Roman" w:cs="Times New Roman"/>
          <w:color w:val="000000" w:themeColor="text1"/>
          <w:sz w:val="20"/>
          <w:szCs w:val="20"/>
        </w:rPr>
        <w:t>metal concentrations and</w:t>
      </w:r>
      <w:r>
        <w:rPr>
          <w:rFonts w:ascii="Times New Roman" w:hAnsi="Times New Roman" w:cs="Times New Roman"/>
          <w:color w:val="000000" w:themeColor="text1"/>
          <w:sz w:val="20"/>
          <w:szCs w:val="20"/>
          <w:highlight w:val="yellow"/>
        </w:rPr>
        <w:t xml:space="preserve"> assessing</w:t>
      </w:r>
      <w:r>
        <w:rPr>
          <w:rFonts w:ascii="Times New Roman" w:hAnsi="Times New Roman" w:cs="Times New Roman"/>
          <w:color w:val="000000" w:themeColor="text1"/>
          <w:sz w:val="20"/>
          <w:szCs w:val="20"/>
        </w:rPr>
        <w:t xml:space="preserve"> their corresponding pollution levels and ecological risk</w:t>
      </w:r>
      <w:r>
        <w:rPr>
          <w:rFonts w:ascii="Times New Roman" w:hAnsi="Times New Roman" w:cs="Times New Roman"/>
          <w:color w:val="000000" w:themeColor="text1"/>
          <w:sz w:val="20"/>
          <w:szCs w:val="20"/>
          <w:highlight w:val="yellow"/>
        </w:rPr>
        <w:t>s</w:t>
      </w:r>
      <w:r>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highlight w:val="yellow"/>
        </w:rPr>
        <w:t>to ev</w:t>
      </w:r>
      <w:r>
        <w:rPr>
          <w:rFonts w:ascii="Times New Roman" w:hAnsi="Times New Roman" w:cs="Times New Roman"/>
          <w:color w:val="000000" w:themeColor="text1"/>
          <w:sz w:val="20"/>
          <w:szCs w:val="20"/>
        </w:rPr>
        <w:t>a</w:t>
      </w:r>
      <w:r>
        <w:rPr>
          <w:rFonts w:ascii="Times New Roman" w:hAnsi="Times New Roman" w:cs="Times New Roman"/>
          <w:color w:val="000000" w:themeColor="text1"/>
          <w:sz w:val="20"/>
          <w:szCs w:val="20"/>
          <w:highlight w:val="yellow"/>
        </w:rPr>
        <w:t>luat</w:t>
      </w:r>
      <w:r>
        <w:rPr>
          <w:rFonts w:ascii="Times New Roman" w:hAnsi="Times New Roman" w:cs="Times New Roman"/>
          <w:color w:val="000000" w:themeColor="text1"/>
          <w:sz w:val="20"/>
          <w:szCs w:val="20"/>
        </w:rPr>
        <w:t>e</w:t>
      </w:r>
      <w:r>
        <w:rPr>
          <w:rFonts w:ascii="Times New Roman" w:hAnsi="Times New Roman" w:cs="Times New Roman"/>
          <w:color w:val="000000" w:themeColor="text1"/>
          <w:sz w:val="20"/>
          <w:szCs w:val="20"/>
          <w:highlight w:val="yellow"/>
        </w:rPr>
        <w:t xml:space="preserve"> th</w:t>
      </w:r>
      <w:r>
        <w:rPr>
          <w:rFonts w:ascii="Times New Roman" w:hAnsi="Times New Roman" w:cs="Times New Roman"/>
          <w:color w:val="000000" w:themeColor="text1"/>
          <w:sz w:val="20"/>
          <w:szCs w:val="20"/>
        </w:rPr>
        <w:t xml:space="preserve">e environmental quality of oil-degraded sites. </w:t>
      </w:r>
      <w:r w:rsidR="00D82D11">
        <w:rPr>
          <w:rFonts w:ascii="Times New Roman" w:eastAsia="Times New Roman" w:hAnsi="Times New Roman" w:cs="Times New Roman"/>
          <w:color w:val="000000" w:themeColor="text1"/>
          <w:sz w:val="20"/>
          <w:szCs w:val="20"/>
        </w:rPr>
        <w:t>This study investigates the presence of metals, their pollution levels, and the associated ecological risks at an oil</w:t>
      </w:r>
      <w:r w:rsidR="00D82D11">
        <w:rPr>
          <w:rFonts w:ascii="Times New Roman" w:eastAsia="Times New Roman" w:hAnsi="Times New Roman" w:cs="Times New Roman"/>
          <w:color w:val="000000" w:themeColor="text1"/>
          <w:sz w:val="20"/>
          <w:szCs w:val="20"/>
          <w:highlight w:val="yellow"/>
        </w:rPr>
        <w:t>-</w:t>
      </w:r>
      <w:r w:rsidR="00D82D11">
        <w:rPr>
          <w:rFonts w:ascii="Times New Roman" w:eastAsia="Times New Roman" w:hAnsi="Times New Roman" w:cs="Times New Roman"/>
          <w:color w:val="000000" w:themeColor="text1"/>
          <w:sz w:val="20"/>
          <w:szCs w:val="20"/>
        </w:rPr>
        <w:t xml:space="preserve">spill site in Eleme, Nigeria. Twenty-six soil samples were </w:t>
      </w:r>
      <w:proofErr w:type="spellStart"/>
      <w:r w:rsidR="00D82D11">
        <w:rPr>
          <w:rFonts w:ascii="Times New Roman" w:eastAsia="Times New Roman" w:hAnsi="Times New Roman" w:cs="Times New Roman"/>
          <w:color w:val="000000" w:themeColor="text1"/>
          <w:sz w:val="20"/>
          <w:szCs w:val="20"/>
        </w:rPr>
        <w:t>analy</w:t>
      </w:r>
      <w:r w:rsidR="00D82D11">
        <w:rPr>
          <w:rFonts w:ascii="Times New Roman" w:eastAsia="Times New Roman" w:hAnsi="Times New Roman" w:cs="Times New Roman"/>
          <w:color w:val="000000" w:themeColor="text1"/>
          <w:sz w:val="20"/>
          <w:szCs w:val="20"/>
          <w:highlight w:val="yellow"/>
        </w:rPr>
        <w:t>s</w:t>
      </w:r>
      <w:r w:rsidR="00D82D11">
        <w:rPr>
          <w:rFonts w:ascii="Times New Roman" w:eastAsia="Times New Roman" w:hAnsi="Times New Roman" w:cs="Times New Roman"/>
          <w:color w:val="000000" w:themeColor="text1"/>
          <w:sz w:val="20"/>
          <w:szCs w:val="20"/>
        </w:rPr>
        <w:t>ed</w:t>
      </w:r>
      <w:proofErr w:type="spellEnd"/>
      <w:r w:rsidR="00D82D11">
        <w:rPr>
          <w:rFonts w:ascii="Times New Roman" w:eastAsia="Times New Roman" w:hAnsi="Times New Roman" w:cs="Times New Roman"/>
          <w:color w:val="000000" w:themeColor="text1"/>
          <w:sz w:val="20"/>
          <w:szCs w:val="20"/>
        </w:rPr>
        <w:t xml:space="preserve">, </w:t>
      </w:r>
      <w:r w:rsidR="00D82D11">
        <w:rPr>
          <w:rFonts w:ascii="Times New Roman" w:eastAsia="Times New Roman" w:hAnsi="Times New Roman" w:cs="Times New Roman"/>
          <w:color w:val="000000" w:themeColor="text1"/>
          <w:sz w:val="20"/>
          <w:szCs w:val="20"/>
          <w:highlight w:val="yellow"/>
        </w:rPr>
        <w:t>compr</w:t>
      </w:r>
      <w:r w:rsidR="00D82D11">
        <w:rPr>
          <w:rFonts w:ascii="Times New Roman" w:eastAsia="Times New Roman" w:hAnsi="Times New Roman" w:cs="Times New Roman"/>
          <w:color w:val="000000" w:themeColor="text1"/>
          <w:sz w:val="20"/>
          <w:szCs w:val="20"/>
        </w:rPr>
        <w:t>i</w:t>
      </w:r>
      <w:r w:rsidR="00D82D11">
        <w:rPr>
          <w:rFonts w:ascii="Times New Roman" w:eastAsia="Times New Roman" w:hAnsi="Times New Roman" w:cs="Times New Roman"/>
          <w:color w:val="000000" w:themeColor="text1"/>
          <w:sz w:val="20"/>
          <w:szCs w:val="20"/>
          <w:highlight w:val="yellow"/>
        </w:rPr>
        <w:t>sing</w:t>
      </w:r>
      <w:r w:rsidR="00D82D11">
        <w:rPr>
          <w:rFonts w:ascii="Times New Roman" w:eastAsia="Times New Roman" w:hAnsi="Times New Roman" w:cs="Times New Roman"/>
          <w:color w:val="000000" w:themeColor="text1"/>
          <w:sz w:val="20"/>
          <w:szCs w:val="20"/>
        </w:rPr>
        <w:t xml:space="preserve"> twenty-two from the spill site and four from reference sites. The concentrations of cadmium (Cd), chromium (Cr), copper (Cu), iron (Fe), nickel (Ni), lead (Pb), and zinc (Zn) were </w:t>
      </w:r>
      <w:r w:rsidR="00D82D11">
        <w:rPr>
          <w:rFonts w:ascii="Times New Roman" w:eastAsia="Times New Roman" w:hAnsi="Times New Roman" w:cs="Times New Roman"/>
          <w:color w:val="000000" w:themeColor="text1"/>
          <w:sz w:val="20"/>
          <w:szCs w:val="20"/>
          <w:highlight w:val="yellow"/>
        </w:rPr>
        <w:t>de</w:t>
      </w:r>
      <w:r w:rsidR="00D82D11">
        <w:rPr>
          <w:rFonts w:ascii="Times New Roman" w:eastAsia="Times New Roman" w:hAnsi="Times New Roman" w:cs="Times New Roman"/>
          <w:color w:val="000000" w:themeColor="text1"/>
          <w:sz w:val="20"/>
          <w:szCs w:val="20"/>
        </w:rPr>
        <w:t>t</w:t>
      </w:r>
      <w:r w:rsidR="00D82D11">
        <w:rPr>
          <w:rFonts w:ascii="Times New Roman" w:eastAsia="Times New Roman" w:hAnsi="Times New Roman" w:cs="Times New Roman"/>
          <w:color w:val="000000" w:themeColor="text1"/>
          <w:sz w:val="20"/>
          <w:szCs w:val="20"/>
          <w:highlight w:val="yellow"/>
        </w:rPr>
        <w:t>erm</w:t>
      </w:r>
      <w:r w:rsidR="00D82D11">
        <w:rPr>
          <w:rFonts w:ascii="Times New Roman" w:eastAsia="Times New Roman" w:hAnsi="Times New Roman" w:cs="Times New Roman"/>
          <w:color w:val="000000" w:themeColor="text1"/>
          <w:sz w:val="20"/>
          <w:szCs w:val="20"/>
        </w:rPr>
        <w:t xml:space="preserve">ined </w:t>
      </w:r>
      <w:r w:rsidR="00D82D11">
        <w:rPr>
          <w:rFonts w:ascii="Times New Roman" w:eastAsia="Times New Roman" w:hAnsi="Times New Roman" w:cs="Times New Roman"/>
          <w:color w:val="000000" w:themeColor="text1"/>
          <w:sz w:val="20"/>
          <w:szCs w:val="20"/>
          <w:highlight w:val="yellow"/>
        </w:rPr>
        <w:t>du</w:t>
      </w:r>
      <w:r w:rsidR="00D82D11">
        <w:rPr>
          <w:rFonts w:ascii="Times New Roman" w:eastAsia="Times New Roman" w:hAnsi="Times New Roman" w:cs="Times New Roman"/>
          <w:color w:val="000000" w:themeColor="text1"/>
          <w:sz w:val="20"/>
          <w:szCs w:val="20"/>
        </w:rPr>
        <w:t>r</w:t>
      </w:r>
      <w:r w:rsidR="00D82D11">
        <w:rPr>
          <w:rFonts w:ascii="Times New Roman" w:eastAsia="Times New Roman" w:hAnsi="Times New Roman" w:cs="Times New Roman"/>
          <w:color w:val="000000" w:themeColor="text1"/>
          <w:sz w:val="20"/>
          <w:szCs w:val="20"/>
          <w:highlight w:val="yellow"/>
        </w:rPr>
        <w:t>ing</w:t>
      </w:r>
      <w:r w:rsidR="00D82D11">
        <w:rPr>
          <w:rFonts w:ascii="Times New Roman" w:eastAsia="Times New Roman" w:hAnsi="Times New Roman" w:cs="Times New Roman"/>
          <w:color w:val="000000" w:themeColor="text1"/>
          <w:sz w:val="20"/>
          <w:szCs w:val="20"/>
        </w:rPr>
        <w:t xml:space="preserve"> two sampling phases</w:t>
      </w:r>
      <w:r w:rsidR="00D82D11">
        <w:rPr>
          <w:rFonts w:ascii="Times New Roman" w:eastAsia="Times New Roman" w:hAnsi="Times New Roman" w:cs="Times New Roman"/>
          <w:color w:val="000000" w:themeColor="text1"/>
          <w:sz w:val="20"/>
          <w:szCs w:val="20"/>
          <w:highlight w:val="yellow"/>
        </w:rPr>
        <w:t xml:space="preserve"> at a six-month interval</w:t>
      </w:r>
      <w:r w:rsidR="00D82D11">
        <w:rPr>
          <w:rFonts w:ascii="Times New Roman" w:eastAsia="Times New Roman" w:hAnsi="Times New Roman" w:cs="Times New Roman"/>
          <w:color w:val="000000" w:themeColor="text1"/>
          <w:sz w:val="20"/>
          <w:szCs w:val="20"/>
        </w:rPr>
        <w:t xml:space="preserve">. The </w:t>
      </w:r>
      <w:proofErr w:type="spellStart"/>
      <w:r w:rsidR="00D82D11">
        <w:rPr>
          <w:rFonts w:ascii="Times New Roman" w:eastAsia="Times New Roman" w:hAnsi="Times New Roman" w:cs="Times New Roman"/>
          <w:color w:val="000000" w:themeColor="text1"/>
          <w:sz w:val="20"/>
          <w:szCs w:val="20"/>
        </w:rPr>
        <w:t>geoaccumulation</w:t>
      </w:r>
      <w:proofErr w:type="spellEnd"/>
      <w:r w:rsidR="00D82D11">
        <w:rPr>
          <w:rFonts w:ascii="Times New Roman" w:eastAsia="Times New Roman" w:hAnsi="Times New Roman" w:cs="Times New Roman"/>
          <w:color w:val="000000" w:themeColor="text1"/>
          <w:sz w:val="20"/>
          <w:szCs w:val="20"/>
        </w:rPr>
        <w:t xml:space="preserve"> index (</w:t>
      </w:r>
      <w:proofErr w:type="spellStart"/>
      <w:r w:rsidR="00D82D11">
        <w:rPr>
          <w:rFonts w:ascii="Times New Roman" w:eastAsia="Times New Roman" w:hAnsi="Times New Roman" w:cs="Times New Roman"/>
          <w:color w:val="000000" w:themeColor="text1"/>
          <w:sz w:val="20"/>
          <w:szCs w:val="20"/>
        </w:rPr>
        <w:t>Igeo</w:t>
      </w:r>
      <w:proofErr w:type="spellEnd"/>
      <w:r w:rsidR="00D82D11">
        <w:rPr>
          <w:rFonts w:ascii="Times New Roman" w:eastAsia="Times New Roman" w:hAnsi="Times New Roman" w:cs="Times New Roman"/>
          <w:color w:val="000000" w:themeColor="text1"/>
          <w:sz w:val="20"/>
          <w:szCs w:val="20"/>
        </w:rPr>
        <w:t xml:space="preserve">) showed values &lt; 2 after the first sampling phase, indicating moderate contamination, </w:t>
      </w:r>
      <w:r w:rsidR="00D82D11">
        <w:rPr>
          <w:rFonts w:ascii="Times New Roman" w:eastAsia="Times New Roman" w:hAnsi="Times New Roman" w:cs="Times New Roman"/>
          <w:color w:val="000000" w:themeColor="text1"/>
          <w:sz w:val="20"/>
          <w:szCs w:val="20"/>
          <w:highlight w:val="yellow"/>
        </w:rPr>
        <w:t>and</w:t>
      </w:r>
      <w:r w:rsidR="00D82D11">
        <w:rPr>
          <w:rFonts w:ascii="Times New Roman" w:eastAsia="Times New Roman" w:hAnsi="Times New Roman" w:cs="Times New Roman"/>
          <w:color w:val="000000" w:themeColor="text1"/>
          <w:sz w:val="20"/>
          <w:szCs w:val="20"/>
        </w:rPr>
        <w:t xml:space="preserve"> values &lt; 1 after the second phase, signifying uncontaminated levels. The metal pollution index (MPI) decreased from 1.01 to 0.59, indicating a significant reduction in pollution associated with post-remediation activities such as metal </w:t>
      </w:r>
      <w:proofErr w:type="spellStart"/>
      <w:r w:rsidR="00D82D11">
        <w:rPr>
          <w:rFonts w:ascii="Times New Roman" w:eastAsia="Times New Roman" w:hAnsi="Times New Roman" w:cs="Times New Roman"/>
          <w:color w:val="000000" w:themeColor="text1"/>
          <w:sz w:val="20"/>
          <w:szCs w:val="20"/>
        </w:rPr>
        <w:t>immobili</w:t>
      </w:r>
      <w:r w:rsidR="00D82D11">
        <w:rPr>
          <w:rFonts w:ascii="Times New Roman" w:eastAsia="Times New Roman" w:hAnsi="Times New Roman" w:cs="Times New Roman"/>
          <w:color w:val="000000" w:themeColor="text1"/>
          <w:sz w:val="20"/>
          <w:szCs w:val="20"/>
          <w:highlight w:val="yellow"/>
        </w:rPr>
        <w:t>s</w:t>
      </w:r>
      <w:r w:rsidR="00D82D11">
        <w:rPr>
          <w:rFonts w:ascii="Times New Roman" w:eastAsia="Times New Roman" w:hAnsi="Times New Roman" w:cs="Times New Roman"/>
          <w:color w:val="000000" w:themeColor="text1"/>
          <w:sz w:val="20"/>
          <w:szCs w:val="20"/>
        </w:rPr>
        <w:t>ation</w:t>
      </w:r>
      <w:proofErr w:type="spellEnd"/>
      <w:r w:rsidR="00D82D11">
        <w:rPr>
          <w:rFonts w:ascii="Times New Roman" w:eastAsia="Times New Roman" w:hAnsi="Times New Roman" w:cs="Times New Roman"/>
          <w:color w:val="000000" w:themeColor="text1"/>
          <w:sz w:val="20"/>
          <w:szCs w:val="20"/>
        </w:rPr>
        <w:t xml:space="preserve"> and leaching, as well as environmental processes such as rainfall, weathering, and groundwater movement. The contamination factor (CF) primarily indicated low contamination for most heavy metals across the samples, except Cd, which remained persistent, </w:t>
      </w:r>
      <w:r w:rsidR="00D82D11">
        <w:rPr>
          <w:rFonts w:ascii="Times New Roman" w:eastAsia="Times New Roman" w:hAnsi="Times New Roman" w:cs="Times New Roman"/>
          <w:color w:val="000000" w:themeColor="text1"/>
          <w:sz w:val="20"/>
          <w:szCs w:val="20"/>
          <w:highlight w:val="yellow"/>
        </w:rPr>
        <w:t>while</w:t>
      </w:r>
      <w:r w:rsidR="00D82D11">
        <w:rPr>
          <w:rFonts w:ascii="Times New Roman" w:eastAsia="Times New Roman" w:hAnsi="Times New Roman" w:cs="Times New Roman"/>
          <w:color w:val="000000" w:themeColor="text1"/>
          <w:sz w:val="20"/>
          <w:szCs w:val="20"/>
        </w:rPr>
        <w:t xml:space="preserve"> the potential ecological risk index (PERI) revealed a shift from moderate to low ecological risk. The findings sh</w:t>
      </w:r>
      <w:r w:rsidR="00D82D11">
        <w:rPr>
          <w:rFonts w:ascii="Times New Roman" w:eastAsia="Times New Roman" w:hAnsi="Times New Roman" w:cs="Times New Roman"/>
          <w:color w:val="000000" w:themeColor="text1"/>
          <w:sz w:val="20"/>
          <w:szCs w:val="20"/>
          <w:highlight w:val="yellow"/>
        </w:rPr>
        <w:t>ow</w:t>
      </w:r>
      <w:r w:rsidR="00D82D11">
        <w:rPr>
          <w:rFonts w:ascii="Times New Roman" w:eastAsia="Times New Roman" w:hAnsi="Times New Roman" w:cs="Times New Roman"/>
          <w:color w:val="000000" w:themeColor="text1"/>
          <w:sz w:val="20"/>
          <w:szCs w:val="20"/>
        </w:rPr>
        <w:t xml:space="preserve">ed progressive contaminant reduction and improved environmental quality, </w:t>
      </w:r>
      <w:r w:rsidR="00D82D11">
        <w:rPr>
          <w:rFonts w:ascii="Times New Roman" w:eastAsia="Times New Roman" w:hAnsi="Times New Roman" w:cs="Times New Roman"/>
          <w:color w:val="000000" w:themeColor="text1"/>
          <w:sz w:val="20"/>
          <w:szCs w:val="20"/>
          <w:highlight w:val="yellow"/>
        </w:rPr>
        <w:t>w</w:t>
      </w:r>
      <w:r w:rsidR="00D82D11">
        <w:rPr>
          <w:rFonts w:ascii="Times New Roman" w:eastAsia="Times New Roman" w:hAnsi="Times New Roman" w:cs="Times New Roman"/>
          <w:color w:val="000000" w:themeColor="text1"/>
          <w:sz w:val="20"/>
          <w:szCs w:val="20"/>
        </w:rPr>
        <w:t>i</w:t>
      </w:r>
      <w:r w:rsidR="00D82D11">
        <w:rPr>
          <w:rFonts w:ascii="Times New Roman" w:eastAsia="Times New Roman" w:hAnsi="Times New Roman" w:cs="Times New Roman"/>
          <w:color w:val="000000" w:themeColor="text1"/>
          <w:sz w:val="20"/>
          <w:szCs w:val="20"/>
          <w:highlight w:val="yellow"/>
        </w:rPr>
        <w:t>th</w:t>
      </w:r>
      <w:r w:rsidR="00D82D11">
        <w:rPr>
          <w:rFonts w:ascii="Times New Roman" w:eastAsia="Times New Roman" w:hAnsi="Times New Roman" w:cs="Times New Roman"/>
          <w:color w:val="000000" w:themeColor="text1"/>
          <w:sz w:val="20"/>
          <w:szCs w:val="20"/>
        </w:rPr>
        <w:t xml:space="preserve"> heavy</w:t>
      </w:r>
      <w:r w:rsidR="00D82D11">
        <w:rPr>
          <w:rFonts w:ascii="Times New Roman" w:eastAsia="Times New Roman" w:hAnsi="Times New Roman" w:cs="Times New Roman"/>
          <w:color w:val="000000" w:themeColor="text1"/>
          <w:sz w:val="20"/>
          <w:szCs w:val="20"/>
          <w:highlight w:val="yellow"/>
        </w:rPr>
        <w:t>-</w:t>
      </w:r>
      <w:r w:rsidR="00D82D11">
        <w:rPr>
          <w:rFonts w:ascii="Times New Roman" w:eastAsia="Times New Roman" w:hAnsi="Times New Roman" w:cs="Times New Roman"/>
          <w:color w:val="000000" w:themeColor="text1"/>
          <w:sz w:val="20"/>
          <w:szCs w:val="20"/>
        </w:rPr>
        <w:t>metal concentration</w:t>
      </w:r>
      <w:r w:rsidR="00D82D11">
        <w:rPr>
          <w:rFonts w:ascii="Times New Roman" w:eastAsia="Times New Roman" w:hAnsi="Times New Roman" w:cs="Times New Roman"/>
          <w:color w:val="000000" w:themeColor="text1"/>
          <w:sz w:val="20"/>
          <w:szCs w:val="20"/>
          <w:highlight w:val="yellow"/>
        </w:rPr>
        <w:t>s spatially concentrated</w:t>
      </w:r>
      <w:r w:rsidR="00D82D11">
        <w:rPr>
          <w:rFonts w:ascii="Times New Roman" w:eastAsia="Times New Roman" w:hAnsi="Times New Roman" w:cs="Times New Roman"/>
          <w:color w:val="000000" w:themeColor="text1"/>
          <w:sz w:val="20"/>
          <w:szCs w:val="20"/>
        </w:rPr>
        <w:t xml:space="preserve"> in the southern parts </w:t>
      </w:r>
      <w:r w:rsidR="00D82D11">
        <w:rPr>
          <w:rFonts w:ascii="Times New Roman" w:eastAsia="Times New Roman" w:hAnsi="Times New Roman" w:cs="Times New Roman"/>
          <w:color w:val="000000" w:themeColor="text1"/>
          <w:sz w:val="20"/>
          <w:szCs w:val="20"/>
          <w:highlight w:val="yellow"/>
        </w:rPr>
        <w:t>of the s</w:t>
      </w:r>
      <w:r w:rsidR="00D82D11">
        <w:rPr>
          <w:rFonts w:ascii="Times New Roman" w:eastAsia="Times New Roman" w:hAnsi="Times New Roman" w:cs="Times New Roman"/>
          <w:color w:val="000000" w:themeColor="text1"/>
          <w:sz w:val="20"/>
          <w:szCs w:val="20"/>
        </w:rPr>
        <w:t>it</w:t>
      </w:r>
      <w:r w:rsidR="00D82D11">
        <w:rPr>
          <w:rFonts w:ascii="Times New Roman" w:eastAsia="Times New Roman" w:hAnsi="Times New Roman" w:cs="Times New Roman"/>
          <w:color w:val="000000" w:themeColor="text1"/>
          <w:sz w:val="20"/>
          <w:szCs w:val="20"/>
          <w:highlight w:val="yellow"/>
        </w:rPr>
        <w:t>e and</w:t>
      </w:r>
      <w:r w:rsidR="00D82D11">
        <w:rPr>
          <w:rFonts w:ascii="Times New Roman" w:eastAsia="Times New Roman" w:hAnsi="Times New Roman" w:cs="Times New Roman"/>
          <w:color w:val="000000" w:themeColor="text1"/>
          <w:sz w:val="20"/>
          <w:szCs w:val="20"/>
        </w:rPr>
        <w:t xml:space="preserve"> significant second-phase reductions, particularly </w:t>
      </w:r>
      <w:r w:rsidR="00D82D11">
        <w:rPr>
          <w:rFonts w:ascii="Times New Roman" w:eastAsia="Times New Roman" w:hAnsi="Times New Roman" w:cs="Times New Roman"/>
          <w:color w:val="000000" w:themeColor="text1"/>
          <w:sz w:val="20"/>
          <w:szCs w:val="20"/>
          <w:highlight w:val="yellow"/>
        </w:rPr>
        <w:t>f</w:t>
      </w:r>
      <w:r w:rsidR="00D82D11">
        <w:rPr>
          <w:rFonts w:ascii="Times New Roman" w:eastAsia="Times New Roman" w:hAnsi="Times New Roman" w:cs="Times New Roman"/>
          <w:color w:val="000000" w:themeColor="text1"/>
          <w:sz w:val="20"/>
          <w:szCs w:val="20"/>
        </w:rPr>
        <w:t>o</w:t>
      </w:r>
      <w:r w:rsidR="00D82D11">
        <w:rPr>
          <w:rFonts w:ascii="Times New Roman" w:eastAsia="Times New Roman" w:hAnsi="Times New Roman" w:cs="Times New Roman"/>
          <w:color w:val="000000" w:themeColor="text1"/>
          <w:sz w:val="20"/>
          <w:szCs w:val="20"/>
          <w:highlight w:val="yellow"/>
        </w:rPr>
        <w:t>r</w:t>
      </w:r>
      <w:r w:rsidR="00D82D11">
        <w:rPr>
          <w:rFonts w:ascii="Times New Roman" w:eastAsia="Times New Roman" w:hAnsi="Times New Roman" w:cs="Times New Roman"/>
          <w:color w:val="000000" w:themeColor="text1"/>
          <w:sz w:val="20"/>
          <w:szCs w:val="20"/>
        </w:rPr>
        <w:t xml:space="preserve"> Cr and Pb, </w:t>
      </w:r>
      <w:r w:rsidR="00D82D11">
        <w:rPr>
          <w:rFonts w:ascii="Times New Roman" w:eastAsia="Times New Roman" w:hAnsi="Times New Roman" w:cs="Times New Roman"/>
          <w:color w:val="000000" w:themeColor="text1"/>
          <w:sz w:val="20"/>
          <w:szCs w:val="20"/>
          <w:highlight w:val="yellow"/>
        </w:rPr>
        <w:t xml:space="preserve">which </w:t>
      </w:r>
      <w:r w:rsidR="00D82D11">
        <w:rPr>
          <w:rFonts w:ascii="Times New Roman" w:eastAsia="Times New Roman" w:hAnsi="Times New Roman" w:cs="Times New Roman"/>
          <w:color w:val="000000" w:themeColor="text1"/>
          <w:sz w:val="20"/>
          <w:szCs w:val="20"/>
        </w:rPr>
        <w:t>f</w:t>
      </w:r>
      <w:r w:rsidR="00D82D11">
        <w:rPr>
          <w:rFonts w:ascii="Times New Roman" w:eastAsia="Times New Roman" w:hAnsi="Times New Roman" w:cs="Times New Roman"/>
          <w:color w:val="000000" w:themeColor="text1"/>
          <w:sz w:val="20"/>
          <w:szCs w:val="20"/>
          <w:highlight w:val="yellow"/>
        </w:rPr>
        <w:t>e</w:t>
      </w:r>
      <w:r w:rsidR="00D82D11">
        <w:rPr>
          <w:rFonts w:ascii="Times New Roman" w:eastAsia="Times New Roman" w:hAnsi="Times New Roman" w:cs="Times New Roman"/>
          <w:color w:val="000000" w:themeColor="text1"/>
          <w:sz w:val="20"/>
          <w:szCs w:val="20"/>
        </w:rPr>
        <w:t xml:space="preserve">ll within permissible limits of the U.S. Environmental Protection Agency (USEPA). However, Cd, Zn, and Fe remained persistent in certain areas, reflecting ongoing attenuation dynamics that </w:t>
      </w:r>
      <w:r w:rsidR="00D82D11">
        <w:rPr>
          <w:rFonts w:ascii="Times New Roman" w:eastAsia="Times New Roman" w:hAnsi="Times New Roman" w:cs="Times New Roman"/>
          <w:color w:val="000000" w:themeColor="text1"/>
          <w:sz w:val="20"/>
          <w:szCs w:val="20"/>
          <w:highlight w:val="yellow"/>
        </w:rPr>
        <w:t>m</w:t>
      </w:r>
      <w:r w:rsidR="00D82D11">
        <w:rPr>
          <w:rFonts w:ascii="Times New Roman" w:eastAsia="Times New Roman" w:hAnsi="Times New Roman" w:cs="Times New Roman"/>
          <w:color w:val="000000" w:themeColor="text1"/>
          <w:sz w:val="20"/>
          <w:szCs w:val="20"/>
        </w:rPr>
        <w:t>ay affect heavy</w:t>
      </w:r>
      <w:r w:rsidR="00D82D11">
        <w:rPr>
          <w:rFonts w:ascii="Times New Roman" w:eastAsia="Times New Roman" w:hAnsi="Times New Roman" w:cs="Times New Roman"/>
          <w:color w:val="000000" w:themeColor="text1"/>
          <w:sz w:val="20"/>
          <w:szCs w:val="20"/>
          <w:highlight w:val="yellow"/>
        </w:rPr>
        <w:t>-</w:t>
      </w:r>
      <w:r w:rsidR="00D82D11">
        <w:rPr>
          <w:rFonts w:ascii="Times New Roman" w:eastAsia="Times New Roman" w:hAnsi="Times New Roman" w:cs="Times New Roman"/>
          <w:color w:val="000000" w:themeColor="text1"/>
          <w:sz w:val="20"/>
          <w:szCs w:val="20"/>
        </w:rPr>
        <w:t xml:space="preserve">metal </w:t>
      </w:r>
      <w:proofErr w:type="spellStart"/>
      <w:r w:rsidR="00D82D11">
        <w:rPr>
          <w:rFonts w:ascii="Times New Roman" w:eastAsia="Times New Roman" w:hAnsi="Times New Roman" w:cs="Times New Roman"/>
          <w:color w:val="000000" w:themeColor="text1"/>
          <w:sz w:val="20"/>
          <w:szCs w:val="20"/>
        </w:rPr>
        <w:t>behaviour</w:t>
      </w:r>
      <w:proofErr w:type="spellEnd"/>
      <w:r w:rsidR="00D82D11">
        <w:rPr>
          <w:rFonts w:ascii="Times New Roman" w:eastAsia="Times New Roman" w:hAnsi="Times New Roman" w:cs="Times New Roman"/>
          <w:color w:val="000000" w:themeColor="text1"/>
          <w:sz w:val="20"/>
          <w:szCs w:val="20"/>
        </w:rPr>
        <w:t xml:space="preserve"> and mobility and highlighting the need for targeted remedial efforts and public health protection.</w:t>
      </w:r>
    </w:p>
    <w:p w14:paraId="6B656897" w14:textId="77777777" w:rsidR="005E45F3" w:rsidRPr="00C9208D" w:rsidRDefault="005E45F3" w:rsidP="0001578B">
      <w:pPr>
        <w:spacing w:after="0" w:line="240" w:lineRule="auto"/>
        <w:jc w:val="both"/>
        <w:rPr>
          <w:rFonts w:ascii="Times New Roman" w:eastAsia="Times New Roman" w:hAnsi="Times New Roman" w:cs="Times New Roman"/>
          <w:sz w:val="20"/>
          <w:szCs w:val="20"/>
        </w:rPr>
      </w:pPr>
    </w:p>
    <w:p w14:paraId="0661D7D3" w14:textId="13343DB1" w:rsidR="00305E66" w:rsidRPr="00C9208D" w:rsidRDefault="001E4BD6" w:rsidP="0001578B">
      <w:pPr>
        <w:spacing w:after="0" w:line="240" w:lineRule="auto"/>
        <w:jc w:val="both"/>
        <w:rPr>
          <w:rFonts w:ascii="Times New Roman" w:eastAsia="Times New Roman" w:hAnsi="Times New Roman" w:cs="Times New Roman"/>
          <w:sz w:val="20"/>
          <w:szCs w:val="20"/>
        </w:rPr>
      </w:pPr>
      <w:r w:rsidRPr="00C9208D">
        <w:rPr>
          <w:rFonts w:ascii="Times New Roman" w:eastAsia="Times New Roman" w:hAnsi="Times New Roman" w:cs="Times New Roman"/>
          <w:b/>
          <w:bCs/>
          <w:sz w:val="20"/>
          <w:szCs w:val="20"/>
        </w:rPr>
        <w:t>Keywords:</w:t>
      </w:r>
      <w:r w:rsidRPr="00C9208D">
        <w:rPr>
          <w:sz w:val="20"/>
          <w:szCs w:val="20"/>
        </w:rPr>
        <w:t xml:space="preserve"> </w:t>
      </w:r>
      <w:r w:rsidR="00EF4C88" w:rsidRPr="00EF4C88">
        <w:rPr>
          <w:rFonts w:ascii="Times New Roman" w:eastAsia="Times New Roman" w:hAnsi="Times New Roman" w:cs="Times New Roman"/>
          <w:color w:val="000000" w:themeColor="text1"/>
          <w:sz w:val="20"/>
          <w:szCs w:val="20"/>
        </w:rPr>
        <w:t xml:space="preserve">Spatiotemporal monitoring; Heavy metals; Soil contamination; Oil spill; Natural attenuation; </w:t>
      </w:r>
      <w:proofErr w:type="spellStart"/>
      <w:r w:rsidR="00EF4C88" w:rsidRPr="00EF4C88">
        <w:rPr>
          <w:rFonts w:ascii="Times New Roman" w:eastAsia="Times New Roman" w:hAnsi="Times New Roman" w:cs="Times New Roman"/>
          <w:color w:val="000000" w:themeColor="text1"/>
          <w:sz w:val="20"/>
          <w:szCs w:val="20"/>
        </w:rPr>
        <w:t>Geoaccumulation</w:t>
      </w:r>
      <w:proofErr w:type="spellEnd"/>
      <w:r w:rsidR="00EF4C88" w:rsidRPr="00EF4C88">
        <w:rPr>
          <w:rFonts w:ascii="Times New Roman" w:eastAsia="Times New Roman" w:hAnsi="Times New Roman" w:cs="Times New Roman"/>
          <w:color w:val="000000" w:themeColor="text1"/>
          <w:sz w:val="20"/>
          <w:szCs w:val="20"/>
        </w:rPr>
        <w:t xml:space="preserve"> index; Metal pollution index; Ecological risk; Geospatial analysis; </w:t>
      </w:r>
    </w:p>
    <w:p w14:paraId="72A170F2" w14:textId="77777777" w:rsidR="00AF6995" w:rsidRPr="0039550E" w:rsidRDefault="008D1E44" w:rsidP="00B273A5">
      <w:pPr>
        <w:spacing w:after="0" w:line="240" w:lineRule="auto"/>
        <w:jc w:val="both"/>
        <w:outlineLvl w:val="3"/>
        <w:rPr>
          <w:rFonts w:ascii="Times New Roman" w:eastAsia="Times New Roman" w:hAnsi="Times New Roman" w:cs="Times New Roman"/>
          <w:b/>
          <w:bCs/>
          <w:sz w:val="20"/>
          <w:szCs w:val="20"/>
        </w:rPr>
      </w:pPr>
      <w:r w:rsidRPr="00C9208D">
        <w:rPr>
          <w:rFonts w:ascii="Times New Roman" w:eastAsia="Times New Roman" w:hAnsi="Times New Roman" w:cs="Times New Roman"/>
          <w:b/>
          <w:bCs/>
          <w:sz w:val="20"/>
          <w:szCs w:val="20"/>
        </w:rPr>
        <w:t>1. Introduction</w:t>
      </w:r>
    </w:p>
    <w:p w14:paraId="3676F611" w14:textId="77777777" w:rsidR="003639BC" w:rsidRPr="003639BC" w:rsidRDefault="001A3C4C" w:rsidP="00B273A5">
      <w:pPr>
        <w:spacing w:after="0" w:line="240" w:lineRule="auto"/>
        <w:jc w:val="both"/>
        <w:outlineLvl w:val="3"/>
        <w:rPr>
          <w:rFonts w:ascii="Times New Roman" w:hAnsi="Times New Roman" w:cs="Times New Roman"/>
          <w:sz w:val="20"/>
          <w:szCs w:val="20"/>
        </w:rPr>
      </w:pPr>
      <w:r>
        <w:rPr>
          <w:rFonts w:ascii="Times New Roman" w:hAnsi="Times New Roman" w:cs="Times New Roman"/>
          <w:color w:val="000000" w:themeColor="text1"/>
          <w:sz w:val="20"/>
          <w:szCs w:val="20"/>
        </w:rPr>
        <w:t xml:space="preserve">The exploration and mining of crude oil in the Niger Delta, along with the transportation and processing of oil through extensive networks of pipelines, have caused significant environmental degradation within the region </w:t>
      </w:r>
      <w:r>
        <w:rPr>
          <w:rFonts w:ascii="Times New Roman" w:hAnsi="Times New Roman" w:cs="Times New Roman"/>
          <w:sz w:val="20"/>
          <w:szCs w:val="20"/>
        </w:rPr>
        <w:t>(</w:t>
      </w:r>
      <w:r>
        <w:rPr>
          <w:rFonts w:ascii="Times New Roman" w:hAnsi="Times New Roman" w:cs="Times New Roman"/>
          <w:color w:val="2660F0"/>
          <w:sz w:val="20"/>
          <w:szCs w:val="20"/>
        </w:rPr>
        <w:t>George et al., 2023</w:t>
      </w:r>
      <w:r>
        <w:rPr>
          <w:rFonts w:ascii="Times New Roman" w:hAnsi="Times New Roman" w:cs="Times New Roman"/>
          <w:sz w:val="20"/>
          <w:szCs w:val="20"/>
        </w:rPr>
        <w:t>;</w:t>
      </w:r>
      <w:r>
        <w:rPr>
          <w:rFonts w:ascii="Times New Roman" w:hAnsi="Times New Roman" w:cs="Times New Roman"/>
          <w:color w:val="2660F0"/>
          <w:sz w:val="20"/>
          <w:szCs w:val="20"/>
        </w:rPr>
        <w:t xml:space="preserve"> </w:t>
      </w:r>
      <w:proofErr w:type="spellStart"/>
      <w:r>
        <w:rPr>
          <w:rFonts w:ascii="Times New Roman" w:hAnsi="Times New Roman" w:cs="Times New Roman"/>
          <w:color w:val="2660F0"/>
          <w:sz w:val="20"/>
          <w:szCs w:val="20"/>
        </w:rPr>
        <w:t>Onomhoale</w:t>
      </w:r>
      <w:proofErr w:type="spellEnd"/>
      <w:r>
        <w:rPr>
          <w:rFonts w:ascii="Times New Roman" w:hAnsi="Times New Roman" w:cs="Times New Roman"/>
          <w:color w:val="2660F0"/>
          <w:sz w:val="20"/>
          <w:szCs w:val="20"/>
        </w:rPr>
        <w:t xml:space="preserve"> et al., 2025b</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 xml:space="preserve">The primary source of this environmental damage is petroleum hydrocarbon contamination from pipeline leaks and spills, which is exacerbated by pipeline corrosion and sabotage </w:t>
      </w:r>
      <w:r>
        <w:rPr>
          <w:rFonts w:ascii="Times New Roman" w:hAnsi="Times New Roman" w:cs="Times New Roman"/>
          <w:sz w:val="20"/>
          <w:szCs w:val="20"/>
        </w:rPr>
        <w:t>(</w:t>
      </w:r>
      <w:r>
        <w:rPr>
          <w:rFonts w:ascii="Times New Roman" w:hAnsi="Times New Roman" w:cs="Times New Roman"/>
          <w:color w:val="2660F0"/>
          <w:sz w:val="20"/>
          <w:szCs w:val="20"/>
        </w:rPr>
        <w:t>Ahmed et al., 2019</w:t>
      </w:r>
      <w:r>
        <w:rPr>
          <w:rFonts w:ascii="Times New Roman" w:hAnsi="Times New Roman" w:cs="Times New Roman"/>
          <w:sz w:val="20"/>
          <w:szCs w:val="20"/>
        </w:rPr>
        <w:t xml:space="preserve">; </w:t>
      </w:r>
      <w:r>
        <w:rPr>
          <w:rFonts w:ascii="Times New Roman" w:hAnsi="Times New Roman" w:cs="Times New Roman"/>
          <w:color w:val="2660F0"/>
          <w:sz w:val="20"/>
          <w:szCs w:val="20"/>
        </w:rPr>
        <w:t>Onwuka et al., 2021</w:t>
      </w:r>
      <w:r>
        <w:rPr>
          <w:rFonts w:ascii="Times New Roman" w:hAnsi="Times New Roman" w:cs="Times New Roman"/>
          <w:sz w:val="20"/>
          <w:szCs w:val="20"/>
        </w:rPr>
        <w:t xml:space="preserve">). These spills have significantly polluted soils and groundwater systems, adversely affecting environmental quality, public health, </w:t>
      </w:r>
      <w:r>
        <w:rPr>
          <w:rFonts w:ascii="Times New Roman" w:hAnsi="Times New Roman" w:cs="Times New Roman"/>
          <w:sz w:val="20"/>
          <w:szCs w:val="20"/>
          <w:highlight w:val="yellow"/>
        </w:rPr>
        <w:t xml:space="preserve">and </w:t>
      </w:r>
      <w:r>
        <w:rPr>
          <w:rFonts w:ascii="Times New Roman" w:hAnsi="Times New Roman" w:cs="Times New Roman"/>
          <w:sz w:val="20"/>
          <w:szCs w:val="20"/>
        </w:rPr>
        <w:t>economic stability and</w:t>
      </w:r>
      <w:r>
        <w:rPr>
          <w:rFonts w:ascii="Times New Roman" w:hAnsi="Times New Roman" w:cs="Times New Roman"/>
          <w:sz w:val="20"/>
          <w:szCs w:val="20"/>
          <w:highlight w:val="yellow"/>
        </w:rPr>
        <w:t xml:space="preserve"> contributing to</w:t>
      </w:r>
      <w:r>
        <w:rPr>
          <w:rFonts w:ascii="Times New Roman" w:hAnsi="Times New Roman" w:cs="Times New Roman"/>
          <w:sz w:val="20"/>
          <w:szCs w:val="20"/>
        </w:rPr>
        <w:t xml:space="preserve"> social displacement (</w:t>
      </w:r>
      <w:r>
        <w:rPr>
          <w:rFonts w:ascii="Times New Roman" w:hAnsi="Times New Roman" w:cs="Times New Roman"/>
          <w:color w:val="2660F0"/>
          <w:sz w:val="20"/>
          <w:szCs w:val="20"/>
        </w:rPr>
        <w:t>Bello et al., 2019</w:t>
      </w:r>
      <w:r>
        <w:rPr>
          <w:rFonts w:ascii="Times New Roman" w:hAnsi="Times New Roman" w:cs="Times New Roman"/>
          <w:color w:val="000000" w:themeColor="text1"/>
          <w:sz w:val="20"/>
          <w:szCs w:val="20"/>
        </w:rPr>
        <w:t>;</w:t>
      </w:r>
      <w:r>
        <w:rPr>
          <w:rFonts w:ascii="Times New Roman" w:hAnsi="Times New Roman" w:cs="Times New Roman"/>
          <w:color w:val="2660F0"/>
          <w:sz w:val="20"/>
          <w:szCs w:val="20"/>
        </w:rPr>
        <w:t xml:space="preserve"> Jimoh et al., 2020</w:t>
      </w:r>
      <w:r>
        <w:rPr>
          <w:rFonts w:ascii="Times New Roman" w:hAnsi="Times New Roman" w:cs="Times New Roman"/>
          <w:color w:val="000000" w:themeColor="text1"/>
          <w:sz w:val="20"/>
          <w:szCs w:val="20"/>
        </w:rPr>
        <w:t>;</w:t>
      </w:r>
      <w:r>
        <w:rPr>
          <w:rFonts w:ascii="Times New Roman" w:hAnsi="Times New Roman" w:cs="Times New Roman"/>
          <w:color w:val="2660F0"/>
          <w:sz w:val="20"/>
          <w:szCs w:val="20"/>
        </w:rPr>
        <w:t xml:space="preserve"> Ahmed et al., 2024d</w:t>
      </w:r>
      <w:r>
        <w:rPr>
          <w:rFonts w:ascii="Times New Roman" w:hAnsi="Times New Roman" w:cs="Times New Roman"/>
          <w:sz w:val="20"/>
          <w:szCs w:val="20"/>
        </w:rPr>
        <w:t>). T</w:t>
      </w:r>
      <w:r>
        <w:rPr>
          <w:rFonts w:ascii="Times New Roman" w:hAnsi="Times New Roman" w:cs="Times New Roman"/>
          <w:color w:val="000000" w:themeColor="text1"/>
          <w:sz w:val="20"/>
          <w:szCs w:val="20"/>
        </w:rPr>
        <w:t>he urgency o</w:t>
      </w:r>
      <w:r>
        <w:rPr>
          <w:rFonts w:ascii="Times New Roman" w:hAnsi="Times New Roman" w:cs="Times New Roman"/>
          <w:color w:val="000000" w:themeColor="text1"/>
          <w:sz w:val="20"/>
          <w:szCs w:val="20"/>
          <w:highlight w:val="yellow"/>
        </w:rPr>
        <w:t>f</w:t>
      </w:r>
      <w:r>
        <w:rPr>
          <w:rFonts w:ascii="Times New Roman" w:hAnsi="Times New Roman" w:cs="Times New Roman"/>
          <w:color w:val="000000" w:themeColor="text1"/>
          <w:sz w:val="20"/>
          <w:szCs w:val="20"/>
        </w:rPr>
        <w:t xml:space="preserve"> identify</w:t>
      </w:r>
      <w:r>
        <w:rPr>
          <w:rFonts w:ascii="Times New Roman" w:hAnsi="Times New Roman" w:cs="Times New Roman"/>
          <w:color w:val="000000" w:themeColor="text1"/>
          <w:sz w:val="20"/>
          <w:szCs w:val="20"/>
          <w:highlight w:val="yellow"/>
        </w:rPr>
        <w:t>ing</w:t>
      </w:r>
      <w:r>
        <w:rPr>
          <w:rFonts w:ascii="Times New Roman" w:hAnsi="Times New Roman" w:cs="Times New Roman"/>
          <w:color w:val="000000" w:themeColor="text1"/>
          <w:sz w:val="20"/>
          <w:szCs w:val="20"/>
        </w:rPr>
        <w:t xml:space="preserve"> and assess</w:t>
      </w:r>
      <w:r>
        <w:rPr>
          <w:rFonts w:ascii="Times New Roman" w:hAnsi="Times New Roman" w:cs="Times New Roman"/>
          <w:color w:val="000000" w:themeColor="text1"/>
          <w:sz w:val="20"/>
          <w:szCs w:val="20"/>
          <w:highlight w:val="yellow"/>
        </w:rPr>
        <w:t>ing</w:t>
      </w:r>
      <w:r>
        <w:rPr>
          <w:rFonts w:ascii="Times New Roman" w:hAnsi="Times New Roman" w:cs="Times New Roman"/>
          <w:color w:val="000000" w:themeColor="text1"/>
          <w:sz w:val="20"/>
          <w:szCs w:val="20"/>
        </w:rPr>
        <w:t xml:space="preserve"> these contaminated sites cannot be </w:t>
      </w:r>
      <w:proofErr w:type="spellStart"/>
      <w:r>
        <w:rPr>
          <w:rFonts w:ascii="Times New Roman" w:hAnsi="Times New Roman" w:cs="Times New Roman"/>
          <w:color w:val="000000" w:themeColor="text1"/>
          <w:sz w:val="20"/>
          <w:szCs w:val="20"/>
        </w:rPr>
        <w:t>overemphasi</w:t>
      </w:r>
      <w:r>
        <w:rPr>
          <w:rFonts w:ascii="Times New Roman" w:hAnsi="Times New Roman" w:cs="Times New Roman"/>
          <w:color w:val="000000" w:themeColor="text1"/>
          <w:sz w:val="20"/>
          <w:szCs w:val="20"/>
          <w:highlight w:val="yellow"/>
        </w:rPr>
        <w:t>s</w:t>
      </w:r>
      <w:r>
        <w:rPr>
          <w:rFonts w:ascii="Times New Roman" w:hAnsi="Times New Roman" w:cs="Times New Roman"/>
          <w:color w:val="000000" w:themeColor="text1"/>
          <w:sz w:val="20"/>
          <w:szCs w:val="20"/>
        </w:rPr>
        <w:t>ed</w:t>
      </w:r>
      <w:proofErr w:type="spellEnd"/>
      <w:r>
        <w:rPr>
          <w:rFonts w:ascii="Times New Roman" w:hAnsi="Times New Roman" w:cs="Times New Roman"/>
          <w:color w:val="000000" w:themeColor="text1"/>
          <w:sz w:val="20"/>
          <w:szCs w:val="20"/>
        </w:rPr>
        <w:t xml:space="preserve">. Effective monitoring and remedial approaches are required </w:t>
      </w:r>
      <w:r>
        <w:rPr>
          <w:rFonts w:ascii="Times New Roman" w:hAnsi="Times New Roman" w:cs="Times New Roman"/>
          <w:color w:val="000000" w:themeColor="text1"/>
          <w:sz w:val="20"/>
          <w:szCs w:val="20"/>
          <w:highlight w:val="yellow"/>
        </w:rPr>
        <w:t>t</w:t>
      </w:r>
      <w:r>
        <w:rPr>
          <w:rFonts w:ascii="Times New Roman" w:hAnsi="Times New Roman" w:cs="Times New Roman"/>
          <w:color w:val="000000" w:themeColor="text1"/>
          <w:sz w:val="20"/>
          <w:szCs w:val="20"/>
        </w:rPr>
        <w:t>o</w:t>
      </w:r>
      <w:r>
        <w:rPr>
          <w:rFonts w:ascii="Times New Roman" w:hAnsi="Times New Roman" w:cs="Times New Roman"/>
          <w:color w:val="000000" w:themeColor="text1"/>
          <w:sz w:val="20"/>
          <w:szCs w:val="20"/>
          <w:highlight w:val="yellow"/>
        </w:rPr>
        <w:t xml:space="preserve"> </w:t>
      </w:r>
      <w:r>
        <w:rPr>
          <w:rFonts w:ascii="Times New Roman" w:hAnsi="Times New Roman" w:cs="Times New Roman"/>
          <w:color w:val="000000" w:themeColor="text1"/>
          <w:sz w:val="20"/>
          <w:szCs w:val="20"/>
        </w:rPr>
        <w:t>r</w:t>
      </w:r>
      <w:r>
        <w:rPr>
          <w:rFonts w:ascii="Times New Roman" w:hAnsi="Times New Roman" w:cs="Times New Roman"/>
          <w:color w:val="000000" w:themeColor="text1"/>
          <w:sz w:val="20"/>
          <w:szCs w:val="20"/>
          <w:highlight w:val="yellow"/>
        </w:rPr>
        <w:t>educe</w:t>
      </w:r>
      <w:r>
        <w:rPr>
          <w:rFonts w:ascii="Times New Roman" w:hAnsi="Times New Roman" w:cs="Times New Roman"/>
          <w:color w:val="000000" w:themeColor="text1"/>
          <w:sz w:val="20"/>
          <w:szCs w:val="20"/>
        </w:rPr>
        <w:t xml:space="preserve"> contaminant</w:t>
      </w:r>
      <w:r>
        <w:rPr>
          <w:rFonts w:ascii="Times New Roman" w:hAnsi="Times New Roman" w:cs="Times New Roman"/>
          <w:color w:val="000000" w:themeColor="text1"/>
          <w:sz w:val="20"/>
          <w:szCs w:val="20"/>
          <w:highlight w:val="yellow"/>
        </w:rPr>
        <w:t>s</w:t>
      </w:r>
      <w:r>
        <w:rPr>
          <w:rFonts w:ascii="Times New Roman" w:hAnsi="Times New Roman" w:cs="Times New Roman"/>
          <w:color w:val="000000" w:themeColor="text1"/>
          <w:sz w:val="20"/>
          <w:szCs w:val="20"/>
        </w:rPr>
        <w:t>, enhance</w:t>
      </w:r>
      <w:r>
        <w:rPr>
          <w:rFonts w:ascii="Times New Roman" w:hAnsi="Times New Roman" w:cs="Times New Roman"/>
          <w:color w:val="000000" w:themeColor="text1"/>
          <w:sz w:val="20"/>
          <w:szCs w:val="20"/>
          <w:highlight w:val="yellow"/>
        </w:rPr>
        <w:t xml:space="preserve"> the restoration of</w:t>
      </w:r>
      <w:r>
        <w:rPr>
          <w:rFonts w:ascii="Times New Roman" w:hAnsi="Times New Roman" w:cs="Times New Roman"/>
          <w:color w:val="000000" w:themeColor="text1"/>
          <w:sz w:val="20"/>
          <w:szCs w:val="20"/>
        </w:rPr>
        <w:t xml:space="preserve"> impacted soils, and ensure the efficiency and sustainability of clean-up efforts </w:t>
      </w:r>
      <w:r>
        <w:rPr>
          <w:rFonts w:ascii="Times New Roman" w:hAnsi="Times New Roman" w:cs="Times New Roman"/>
          <w:sz w:val="20"/>
          <w:szCs w:val="20"/>
        </w:rPr>
        <w:t>(</w:t>
      </w:r>
      <w:r>
        <w:rPr>
          <w:rFonts w:ascii="Times New Roman" w:hAnsi="Times New Roman" w:cs="Times New Roman"/>
          <w:color w:val="2660F0"/>
          <w:sz w:val="20"/>
          <w:szCs w:val="20"/>
        </w:rPr>
        <w:t>Aparicio et al., 2022</w:t>
      </w:r>
      <w:r>
        <w:rPr>
          <w:rFonts w:ascii="Times New Roman" w:hAnsi="Times New Roman" w:cs="Times New Roman"/>
          <w:color w:val="000000" w:themeColor="text1"/>
          <w:sz w:val="20"/>
          <w:szCs w:val="20"/>
        </w:rPr>
        <w:t>;</w:t>
      </w:r>
      <w:r>
        <w:rPr>
          <w:rFonts w:ascii="Times New Roman" w:hAnsi="Times New Roman" w:cs="Times New Roman"/>
          <w:color w:val="2660F0"/>
          <w:sz w:val="20"/>
          <w:szCs w:val="20"/>
        </w:rPr>
        <w:t xml:space="preserve"> </w:t>
      </w:r>
      <w:proofErr w:type="spellStart"/>
      <w:r>
        <w:rPr>
          <w:rFonts w:ascii="Times New Roman" w:hAnsi="Times New Roman" w:cs="Times New Roman"/>
          <w:color w:val="2660F0"/>
          <w:sz w:val="20"/>
          <w:szCs w:val="20"/>
        </w:rPr>
        <w:t>Onomhoale</w:t>
      </w:r>
      <w:proofErr w:type="spellEnd"/>
      <w:r>
        <w:rPr>
          <w:rFonts w:ascii="Times New Roman" w:hAnsi="Times New Roman" w:cs="Times New Roman"/>
          <w:color w:val="2660F0"/>
          <w:sz w:val="20"/>
          <w:szCs w:val="20"/>
        </w:rPr>
        <w:t xml:space="preserve"> et al., 2025a</w:t>
      </w:r>
      <w:r>
        <w:rPr>
          <w:rFonts w:ascii="Times New Roman" w:hAnsi="Times New Roman" w:cs="Times New Roman"/>
          <w:sz w:val="20"/>
          <w:szCs w:val="20"/>
        </w:rPr>
        <w:t>). The capacity to monitor soil health is critical to ensuring ecosystem functionality, as soil directly supports a range of vital environmental processes (</w:t>
      </w:r>
      <w:r>
        <w:rPr>
          <w:rFonts w:ascii="Times New Roman" w:hAnsi="Times New Roman" w:cs="Times New Roman"/>
          <w:color w:val="2660F0"/>
          <w:sz w:val="20"/>
          <w:szCs w:val="20"/>
        </w:rPr>
        <w:t>USDA, 2001</w:t>
      </w:r>
      <w:r>
        <w:rPr>
          <w:rFonts w:ascii="Times New Roman" w:hAnsi="Times New Roman" w:cs="Times New Roman"/>
          <w:color w:val="000000" w:themeColor="text1"/>
          <w:sz w:val="20"/>
          <w:szCs w:val="20"/>
        </w:rPr>
        <w:t>;</w:t>
      </w:r>
      <w:r>
        <w:rPr>
          <w:rFonts w:ascii="Times New Roman" w:hAnsi="Times New Roman" w:cs="Times New Roman"/>
          <w:color w:val="2660F0"/>
          <w:sz w:val="20"/>
          <w:szCs w:val="20"/>
        </w:rPr>
        <w:t xml:space="preserve"> USEPA, 2011</w:t>
      </w:r>
      <w:r>
        <w:rPr>
          <w:rFonts w:ascii="Times New Roman" w:hAnsi="Times New Roman" w:cs="Times New Roman"/>
          <w:sz w:val="20"/>
          <w:szCs w:val="20"/>
        </w:rPr>
        <w:t xml:space="preserve">). </w:t>
      </w:r>
      <w:r>
        <w:rPr>
          <w:rFonts w:ascii="Times New Roman" w:eastAsia="Times New Roman" w:hAnsi="Times New Roman"/>
          <w:b/>
          <w:sz w:val="20"/>
          <w:highlight w:val="yellow"/>
        </w:rPr>
        <w:t>Recent field evidence from the Niger Delta further indicates that oil-pipeline spills can alter soil-fertility indicators, reinforcing the need for site-specific monitoring during remediation and recovery (</w:t>
      </w:r>
      <w:proofErr w:type="spellStart"/>
      <w:r>
        <w:rPr>
          <w:rFonts w:ascii="Times New Roman" w:eastAsia="Times New Roman" w:hAnsi="Times New Roman"/>
          <w:b/>
          <w:sz w:val="20"/>
          <w:highlight w:val="yellow"/>
        </w:rPr>
        <w:t>Owordi</w:t>
      </w:r>
      <w:proofErr w:type="spellEnd"/>
      <w:r>
        <w:rPr>
          <w:rFonts w:ascii="Times New Roman" w:eastAsia="Times New Roman" w:hAnsi="Times New Roman"/>
          <w:b/>
          <w:sz w:val="20"/>
          <w:highlight w:val="yellow"/>
        </w:rPr>
        <w:t xml:space="preserve"> et al., 2025).</w:t>
      </w:r>
    </w:p>
    <w:p w14:paraId="0CCAB149" w14:textId="5B766A9B" w:rsidR="00D85E07" w:rsidRDefault="00786B08" w:rsidP="003C33C2">
      <w:pPr>
        <w:spacing w:after="0" w:line="240" w:lineRule="auto"/>
        <w:ind w:firstLine="426"/>
        <w:jc w:val="both"/>
        <w:outlineLvl w:val="3"/>
        <w:rPr>
          <w:rFonts w:ascii="Times New Roman" w:hAnsi="Times New Roman" w:cs="Times New Roman"/>
          <w:sz w:val="20"/>
          <w:szCs w:val="20"/>
        </w:rPr>
      </w:pPr>
      <w:r>
        <w:rPr>
          <w:rFonts w:ascii="Times New Roman" w:hAnsi="Times New Roman" w:cs="Times New Roman"/>
          <w:sz w:val="20"/>
          <w:szCs w:val="20"/>
        </w:rPr>
        <w:t>Spatiotemporal heavy</w:t>
      </w:r>
      <w:r>
        <w:rPr>
          <w:rFonts w:ascii="Times New Roman" w:hAnsi="Times New Roman" w:cs="Times New Roman"/>
          <w:sz w:val="20"/>
          <w:szCs w:val="20"/>
          <w:highlight w:val="yellow"/>
        </w:rPr>
        <w:t>-</w:t>
      </w:r>
      <w:r>
        <w:rPr>
          <w:rFonts w:ascii="Times New Roman" w:hAnsi="Times New Roman" w:cs="Times New Roman"/>
          <w:sz w:val="20"/>
          <w:szCs w:val="20"/>
        </w:rPr>
        <w:t xml:space="preserve">metal assessment </w:t>
      </w:r>
      <w:r>
        <w:rPr>
          <w:rFonts w:ascii="Times New Roman" w:hAnsi="Times New Roman" w:cs="Times New Roman"/>
          <w:sz w:val="20"/>
          <w:szCs w:val="20"/>
          <w:highlight w:val="yellow"/>
        </w:rPr>
        <w:t>involv</w:t>
      </w:r>
      <w:r>
        <w:rPr>
          <w:rFonts w:ascii="Times New Roman" w:hAnsi="Times New Roman" w:cs="Times New Roman"/>
          <w:sz w:val="20"/>
          <w:szCs w:val="20"/>
        </w:rPr>
        <w:t>es monitoring contaminant concentration</w:t>
      </w:r>
      <w:r>
        <w:rPr>
          <w:rFonts w:ascii="Times New Roman" w:hAnsi="Times New Roman" w:cs="Times New Roman"/>
          <w:sz w:val="20"/>
          <w:szCs w:val="20"/>
          <w:highlight w:val="yellow"/>
        </w:rPr>
        <w:t>s</w:t>
      </w:r>
      <w:r>
        <w:rPr>
          <w:rFonts w:ascii="Times New Roman" w:hAnsi="Times New Roman" w:cs="Times New Roman"/>
          <w:sz w:val="20"/>
          <w:szCs w:val="20"/>
        </w:rPr>
        <w:t xml:space="preserve"> and distribution</w:t>
      </w:r>
      <w:r>
        <w:rPr>
          <w:rFonts w:ascii="Times New Roman" w:hAnsi="Times New Roman" w:cs="Times New Roman"/>
          <w:sz w:val="20"/>
          <w:szCs w:val="20"/>
          <w:highlight w:val="yellow"/>
        </w:rPr>
        <w:t>s</w:t>
      </w:r>
      <w:r>
        <w:rPr>
          <w:rFonts w:ascii="Times New Roman" w:hAnsi="Times New Roman" w:cs="Times New Roman"/>
          <w:sz w:val="20"/>
          <w:szCs w:val="20"/>
        </w:rPr>
        <w:t xml:space="preserve"> and mapping reduction</w:t>
      </w:r>
      <w:r>
        <w:rPr>
          <w:rFonts w:ascii="Times New Roman" w:hAnsi="Times New Roman" w:cs="Times New Roman"/>
          <w:sz w:val="20"/>
          <w:szCs w:val="20"/>
          <w:highlight w:val="yellow"/>
        </w:rPr>
        <w:t>s</w:t>
      </w:r>
      <w:r>
        <w:rPr>
          <w:rFonts w:ascii="Times New Roman" w:hAnsi="Times New Roman" w:cs="Times New Roman"/>
          <w:sz w:val="20"/>
          <w:szCs w:val="20"/>
        </w:rPr>
        <w:t xml:space="preserve"> </w:t>
      </w:r>
      <w:r>
        <w:rPr>
          <w:rFonts w:ascii="Times New Roman" w:hAnsi="Times New Roman" w:cs="Times New Roman"/>
          <w:sz w:val="20"/>
          <w:szCs w:val="20"/>
          <w:highlight w:val="yellow"/>
        </w:rPr>
        <w:t>at</w:t>
      </w:r>
      <w:r>
        <w:rPr>
          <w:rFonts w:ascii="Times New Roman" w:hAnsi="Times New Roman" w:cs="Times New Roman"/>
          <w:sz w:val="20"/>
          <w:szCs w:val="20"/>
        </w:rPr>
        <w:t xml:space="preserve"> impacted sites </w:t>
      </w:r>
      <w:r>
        <w:rPr>
          <w:rFonts w:ascii="Times New Roman" w:hAnsi="Times New Roman" w:cs="Times New Roman"/>
          <w:sz w:val="20"/>
          <w:szCs w:val="20"/>
          <w:highlight w:val="yellow"/>
        </w:rPr>
        <w:t>acr</w:t>
      </w:r>
      <w:r>
        <w:rPr>
          <w:rFonts w:ascii="Times New Roman" w:hAnsi="Times New Roman" w:cs="Times New Roman"/>
          <w:sz w:val="20"/>
          <w:szCs w:val="20"/>
        </w:rPr>
        <w:t>o</w:t>
      </w:r>
      <w:r>
        <w:rPr>
          <w:rFonts w:ascii="Times New Roman" w:hAnsi="Times New Roman" w:cs="Times New Roman"/>
          <w:sz w:val="20"/>
          <w:szCs w:val="20"/>
          <w:highlight w:val="yellow"/>
        </w:rPr>
        <w:t>ss</w:t>
      </w:r>
      <w:r>
        <w:rPr>
          <w:rFonts w:ascii="Times New Roman" w:hAnsi="Times New Roman" w:cs="Times New Roman"/>
          <w:sz w:val="20"/>
          <w:szCs w:val="20"/>
        </w:rPr>
        <w:t xml:space="preserve"> geographic space and time (</w:t>
      </w:r>
      <w:r>
        <w:rPr>
          <w:rFonts w:ascii="Times New Roman" w:hAnsi="Times New Roman" w:cs="Times New Roman"/>
          <w:color w:val="2660F0"/>
          <w:sz w:val="20"/>
          <w:szCs w:val="20"/>
        </w:rPr>
        <w:t>Mohamed et al., 2024</w:t>
      </w:r>
      <w:r>
        <w:rPr>
          <w:rFonts w:ascii="Times New Roman" w:hAnsi="Times New Roman" w:cs="Times New Roman"/>
          <w:sz w:val="20"/>
          <w:szCs w:val="20"/>
        </w:rPr>
        <w:t xml:space="preserve">; </w:t>
      </w:r>
      <w:r>
        <w:rPr>
          <w:rFonts w:ascii="Times New Roman" w:hAnsi="Times New Roman" w:cs="Times New Roman"/>
          <w:color w:val="2660F0"/>
          <w:sz w:val="20"/>
          <w:szCs w:val="20"/>
        </w:rPr>
        <w:t>Muhammad et al., 2024</w:t>
      </w:r>
      <w:r>
        <w:rPr>
          <w:rFonts w:ascii="Times New Roman" w:hAnsi="Times New Roman" w:cs="Times New Roman"/>
          <w:sz w:val="20"/>
          <w:szCs w:val="20"/>
        </w:rPr>
        <w:t xml:space="preserve">), which </w:t>
      </w:r>
      <w:r>
        <w:rPr>
          <w:rFonts w:ascii="Times New Roman" w:hAnsi="Times New Roman" w:cs="Times New Roman"/>
          <w:sz w:val="20"/>
          <w:szCs w:val="20"/>
          <w:highlight w:val="yellow"/>
        </w:rPr>
        <w:t>in</w:t>
      </w:r>
      <w:r>
        <w:rPr>
          <w:rFonts w:ascii="Times New Roman" w:hAnsi="Times New Roman" w:cs="Times New Roman"/>
          <w:sz w:val="20"/>
          <w:szCs w:val="20"/>
        </w:rPr>
        <w:t>f</w:t>
      </w:r>
      <w:r>
        <w:rPr>
          <w:rFonts w:ascii="Times New Roman" w:hAnsi="Times New Roman" w:cs="Times New Roman"/>
          <w:sz w:val="20"/>
          <w:szCs w:val="20"/>
          <w:highlight w:val="yellow"/>
        </w:rPr>
        <w:t>lu</w:t>
      </w:r>
      <w:r>
        <w:rPr>
          <w:rFonts w:ascii="Times New Roman" w:hAnsi="Times New Roman" w:cs="Times New Roman"/>
          <w:sz w:val="20"/>
          <w:szCs w:val="20"/>
        </w:rPr>
        <w:t>e</w:t>
      </w:r>
      <w:r>
        <w:rPr>
          <w:rFonts w:ascii="Times New Roman" w:hAnsi="Times New Roman" w:cs="Times New Roman"/>
          <w:sz w:val="20"/>
          <w:szCs w:val="20"/>
          <w:highlight w:val="yellow"/>
        </w:rPr>
        <w:t>n</w:t>
      </w:r>
      <w:r>
        <w:rPr>
          <w:rFonts w:ascii="Times New Roman" w:hAnsi="Times New Roman" w:cs="Times New Roman"/>
          <w:sz w:val="20"/>
          <w:szCs w:val="20"/>
        </w:rPr>
        <w:t>c</w:t>
      </w:r>
      <w:r>
        <w:rPr>
          <w:rFonts w:ascii="Times New Roman" w:hAnsi="Times New Roman" w:cs="Times New Roman"/>
          <w:sz w:val="20"/>
          <w:szCs w:val="20"/>
          <w:highlight w:val="yellow"/>
        </w:rPr>
        <w:t>e</w:t>
      </w:r>
      <w:r>
        <w:rPr>
          <w:rFonts w:ascii="Times New Roman" w:hAnsi="Times New Roman" w:cs="Times New Roman"/>
          <w:sz w:val="20"/>
          <w:szCs w:val="20"/>
        </w:rPr>
        <w:t xml:space="preserve"> risks to human health and the environment (</w:t>
      </w:r>
      <w:r>
        <w:rPr>
          <w:rFonts w:ascii="Times New Roman" w:hAnsi="Times New Roman" w:cs="Times New Roman"/>
          <w:color w:val="2660F0"/>
          <w:sz w:val="20"/>
          <w:szCs w:val="20"/>
        </w:rPr>
        <w:t>Seifu &amp; Elias, 201</w:t>
      </w:r>
      <w:r w:rsidR="00592893">
        <w:rPr>
          <w:rFonts w:ascii="Times New Roman" w:hAnsi="Times New Roman" w:cs="Times New Roman"/>
          <w:color w:val="2660F0"/>
          <w:sz w:val="20"/>
          <w:szCs w:val="20"/>
        </w:rPr>
        <w:t>9</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 xml:space="preserve">The choice of parameters for monitoring varies depending on the type and chemical concentration of contaminants, such as heavy metals </w:t>
      </w:r>
      <w:r>
        <w:rPr>
          <w:rFonts w:ascii="Times New Roman" w:hAnsi="Times New Roman" w:cs="Times New Roman"/>
          <w:sz w:val="20"/>
          <w:szCs w:val="20"/>
        </w:rPr>
        <w:t>(</w:t>
      </w:r>
      <w:r>
        <w:rPr>
          <w:rFonts w:ascii="Times New Roman" w:hAnsi="Times New Roman" w:cs="Times New Roman"/>
          <w:color w:val="2660F0"/>
          <w:sz w:val="20"/>
          <w:szCs w:val="20"/>
        </w:rPr>
        <w:t>Dhaliwal et al., 2020</w:t>
      </w:r>
      <w:r>
        <w:rPr>
          <w:rFonts w:ascii="Times New Roman" w:hAnsi="Times New Roman" w:cs="Times New Roman"/>
          <w:sz w:val="20"/>
          <w:szCs w:val="20"/>
        </w:rPr>
        <w:t xml:space="preserve">). Soil geochemistry is crucial </w:t>
      </w:r>
      <w:r>
        <w:rPr>
          <w:rFonts w:ascii="Times New Roman" w:hAnsi="Times New Roman" w:cs="Times New Roman"/>
          <w:sz w:val="20"/>
          <w:szCs w:val="20"/>
          <w:highlight w:val="yellow"/>
        </w:rPr>
        <w:t>for</w:t>
      </w:r>
      <w:r>
        <w:rPr>
          <w:rFonts w:ascii="Times New Roman" w:hAnsi="Times New Roman" w:cs="Times New Roman"/>
          <w:sz w:val="20"/>
          <w:szCs w:val="20"/>
        </w:rPr>
        <w:t xml:space="preserve"> understanding contaminant </w:t>
      </w:r>
      <w:proofErr w:type="spellStart"/>
      <w:r>
        <w:rPr>
          <w:rFonts w:ascii="Times New Roman" w:hAnsi="Times New Roman" w:cs="Times New Roman"/>
          <w:sz w:val="20"/>
          <w:szCs w:val="20"/>
        </w:rPr>
        <w:t>behaviour</w:t>
      </w:r>
      <w:proofErr w:type="spellEnd"/>
      <w:r>
        <w:rPr>
          <w:rFonts w:ascii="Times New Roman" w:hAnsi="Times New Roman" w:cs="Times New Roman"/>
          <w:sz w:val="20"/>
          <w:szCs w:val="20"/>
        </w:rPr>
        <w:t xml:space="preserve"> and fate within soils (</w:t>
      </w:r>
      <w:r>
        <w:rPr>
          <w:rFonts w:ascii="Times New Roman" w:hAnsi="Times New Roman" w:cs="Times New Roman"/>
          <w:color w:val="2660F0"/>
          <w:sz w:val="20"/>
          <w:szCs w:val="20"/>
        </w:rPr>
        <w:t xml:space="preserve">Singh &amp; Steinnes, </w:t>
      </w:r>
      <w:r w:rsidR="00592893">
        <w:rPr>
          <w:rFonts w:ascii="Times New Roman" w:hAnsi="Times New Roman" w:cs="Times New Roman"/>
          <w:color w:val="2660F0"/>
          <w:sz w:val="20"/>
          <w:szCs w:val="20"/>
        </w:rPr>
        <w:t>2020</w:t>
      </w:r>
      <w:r>
        <w:rPr>
          <w:rFonts w:ascii="Times New Roman" w:hAnsi="Times New Roman" w:cs="Times New Roman"/>
          <w:color w:val="2660F0"/>
          <w:sz w:val="20"/>
          <w:szCs w:val="20"/>
        </w:rPr>
        <w:t xml:space="preserve">). </w:t>
      </w:r>
      <w:r>
        <w:rPr>
          <w:rFonts w:ascii="Times New Roman" w:hAnsi="Times New Roman" w:cs="Times New Roman"/>
          <w:sz w:val="20"/>
          <w:szCs w:val="20"/>
        </w:rPr>
        <w:t xml:space="preserve">Detailed chemical analyses of soil samples offer valuable </w:t>
      </w:r>
      <w:r>
        <w:rPr>
          <w:rFonts w:ascii="Times New Roman" w:hAnsi="Times New Roman" w:cs="Times New Roman"/>
          <w:sz w:val="20"/>
          <w:szCs w:val="20"/>
          <w:highlight w:val="yellow"/>
        </w:rPr>
        <w:t>insigh</w:t>
      </w:r>
      <w:r>
        <w:rPr>
          <w:rFonts w:ascii="Times New Roman" w:hAnsi="Times New Roman" w:cs="Times New Roman"/>
          <w:sz w:val="20"/>
          <w:szCs w:val="20"/>
        </w:rPr>
        <w:t>ts into the composition, speciation, and transformation of hydrocarbon contaminants and associated inorganic pollutants such as heavy metals (</w:t>
      </w:r>
      <w:r>
        <w:rPr>
          <w:rFonts w:ascii="Times New Roman" w:hAnsi="Times New Roman" w:cs="Times New Roman"/>
          <w:color w:val="2660F0"/>
          <w:sz w:val="20"/>
          <w:szCs w:val="20"/>
        </w:rPr>
        <w:t>Lehmann et al., 2020</w:t>
      </w:r>
      <w:r>
        <w:rPr>
          <w:rFonts w:ascii="Times New Roman" w:hAnsi="Times New Roman" w:cs="Times New Roman"/>
          <w:color w:val="000000" w:themeColor="text1"/>
          <w:sz w:val="20"/>
          <w:szCs w:val="20"/>
        </w:rPr>
        <w:t>;</w:t>
      </w:r>
      <w:r>
        <w:rPr>
          <w:rFonts w:ascii="Times New Roman" w:hAnsi="Times New Roman" w:cs="Times New Roman"/>
          <w:sz w:val="20"/>
          <w:szCs w:val="20"/>
        </w:rPr>
        <w:t xml:space="preserve"> </w:t>
      </w:r>
      <w:r>
        <w:rPr>
          <w:rFonts w:ascii="Times New Roman" w:hAnsi="Times New Roman" w:cs="Times New Roman"/>
          <w:color w:val="2660F0"/>
          <w:sz w:val="20"/>
          <w:szCs w:val="20"/>
        </w:rPr>
        <w:t>Kara, 2024</w:t>
      </w:r>
      <w:r>
        <w:rPr>
          <w:rFonts w:ascii="Times New Roman" w:hAnsi="Times New Roman" w:cs="Times New Roman"/>
          <w:sz w:val="20"/>
          <w:szCs w:val="20"/>
        </w:rPr>
        <w:t xml:space="preserve">). Oil spills </w:t>
      </w:r>
      <w:r>
        <w:rPr>
          <w:rFonts w:ascii="Times New Roman" w:hAnsi="Times New Roman" w:cs="Times New Roman"/>
          <w:sz w:val="20"/>
          <w:szCs w:val="20"/>
          <w:highlight w:val="yellow"/>
        </w:rPr>
        <w:t xml:space="preserve">can lead to </w:t>
      </w:r>
      <w:r>
        <w:rPr>
          <w:rFonts w:ascii="Times New Roman" w:hAnsi="Times New Roman" w:cs="Times New Roman"/>
          <w:sz w:val="20"/>
          <w:szCs w:val="20"/>
        </w:rPr>
        <w:t>significant accumulat</w:t>
      </w:r>
      <w:r>
        <w:rPr>
          <w:rFonts w:ascii="Times New Roman" w:hAnsi="Times New Roman" w:cs="Times New Roman"/>
          <w:sz w:val="20"/>
          <w:szCs w:val="20"/>
          <w:highlight w:val="yellow"/>
        </w:rPr>
        <w:t>ion of</w:t>
      </w:r>
      <w:r>
        <w:rPr>
          <w:rFonts w:ascii="Times New Roman" w:hAnsi="Times New Roman" w:cs="Times New Roman"/>
          <w:sz w:val="20"/>
          <w:szCs w:val="20"/>
        </w:rPr>
        <w:t xml:space="preserve"> heavy metals in soils, which may be essential or harmful to organisms. Heavy metals such as zinc (Zn), nickel (Ni), copper (Cu), and iron (Fe) are required </w:t>
      </w:r>
      <w:r>
        <w:rPr>
          <w:rFonts w:ascii="Times New Roman" w:hAnsi="Times New Roman" w:cs="Times New Roman"/>
          <w:color w:val="000000" w:themeColor="text1"/>
          <w:sz w:val="20"/>
          <w:szCs w:val="20"/>
        </w:rPr>
        <w:t xml:space="preserve">in trace </w:t>
      </w:r>
      <w:r>
        <w:rPr>
          <w:rFonts w:ascii="Times New Roman" w:hAnsi="Times New Roman" w:cs="Times New Roman"/>
          <w:color w:val="000000" w:themeColor="text1"/>
          <w:sz w:val="20"/>
          <w:szCs w:val="20"/>
          <w:highlight w:val="yellow"/>
        </w:rPr>
        <w:t xml:space="preserve">amounts </w:t>
      </w:r>
      <w:r>
        <w:rPr>
          <w:rFonts w:ascii="Times New Roman" w:hAnsi="Times New Roman" w:cs="Times New Roman"/>
          <w:color w:val="000000" w:themeColor="text1"/>
          <w:sz w:val="20"/>
          <w:szCs w:val="20"/>
        </w:rPr>
        <w:t>by organisms, whe</w:t>
      </w:r>
      <w:r>
        <w:rPr>
          <w:rFonts w:ascii="Times New Roman" w:hAnsi="Times New Roman" w:cs="Times New Roman"/>
          <w:color w:val="000000" w:themeColor="text1"/>
          <w:sz w:val="20"/>
          <w:szCs w:val="20"/>
          <w:highlight w:val="yellow"/>
        </w:rPr>
        <w:t>reas</w:t>
      </w:r>
      <w:r>
        <w:rPr>
          <w:rFonts w:ascii="Times New Roman" w:hAnsi="Times New Roman" w:cs="Times New Roman"/>
          <w:color w:val="000000" w:themeColor="text1"/>
          <w:sz w:val="20"/>
          <w:szCs w:val="20"/>
        </w:rPr>
        <w:t xml:space="preserve"> heavy metals </w:t>
      </w:r>
      <w:r>
        <w:rPr>
          <w:rFonts w:ascii="Times New Roman" w:hAnsi="Times New Roman" w:cs="Times New Roman"/>
          <w:color w:val="000000" w:themeColor="text1"/>
          <w:sz w:val="20"/>
          <w:szCs w:val="20"/>
          <w:highlight w:val="yellow"/>
        </w:rPr>
        <w:t>such as</w:t>
      </w:r>
      <w:r>
        <w:rPr>
          <w:rFonts w:ascii="Times New Roman" w:hAnsi="Times New Roman" w:cs="Times New Roman"/>
          <w:color w:val="000000" w:themeColor="text1"/>
          <w:sz w:val="20"/>
          <w:szCs w:val="20"/>
        </w:rPr>
        <w:t xml:space="preserve"> lead (Pb), cadmium (Cd), and mercury (Hg) are highly toxic and </w:t>
      </w:r>
      <w:r>
        <w:rPr>
          <w:rFonts w:ascii="Times New Roman" w:hAnsi="Times New Roman" w:cs="Times New Roman"/>
          <w:color w:val="000000" w:themeColor="text1"/>
          <w:sz w:val="20"/>
          <w:szCs w:val="20"/>
          <w:highlight w:val="yellow"/>
        </w:rPr>
        <w:t>provi</w:t>
      </w:r>
      <w:r>
        <w:rPr>
          <w:rFonts w:ascii="Times New Roman" w:hAnsi="Times New Roman" w:cs="Times New Roman"/>
          <w:sz w:val="20"/>
          <w:szCs w:val="20"/>
        </w:rPr>
        <w:t>d</w:t>
      </w:r>
      <w:r>
        <w:rPr>
          <w:rFonts w:ascii="Times New Roman" w:hAnsi="Times New Roman" w:cs="Times New Roman"/>
          <w:sz w:val="20"/>
          <w:szCs w:val="20"/>
          <w:highlight w:val="yellow"/>
        </w:rPr>
        <w:t>e</w:t>
      </w:r>
      <w:r>
        <w:rPr>
          <w:rFonts w:ascii="Times New Roman" w:hAnsi="Times New Roman" w:cs="Times New Roman"/>
          <w:sz w:val="20"/>
          <w:szCs w:val="20"/>
        </w:rPr>
        <w:t xml:space="preserve"> no benefit</w:t>
      </w:r>
      <w:r>
        <w:rPr>
          <w:rFonts w:ascii="Times New Roman" w:hAnsi="Times New Roman" w:cs="Times New Roman"/>
          <w:sz w:val="20"/>
          <w:szCs w:val="20"/>
          <w:highlight w:val="yellow"/>
        </w:rPr>
        <w:t xml:space="preserve"> to</w:t>
      </w:r>
      <w:r>
        <w:rPr>
          <w:rFonts w:ascii="Times New Roman" w:hAnsi="Times New Roman" w:cs="Times New Roman"/>
          <w:sz w:val="20"/>
          <w:szCs w:val="20"/>
        </w:rPr>
        <w:t xml:space="preserve"> organisms (</w:t>
      </w:r>
      <w:r>
        <w:rPr>
          <w:rFonts w:ascii="Times New Roman" w:hAnsi="Times New Roman" w:cs="Times New Roman"/>
          <w:color w:val="2660F0"/>
          <w:sz w:val="20"/>
          <w:szCs w:val="20"/>
        </w:rPr>
        <w:t>Aparicio et al., 2022</w:t>
      </w:r>
      <w:r>
        <w:rPr>
          <w:rFonts w:ascii="Times New Roman" w:hAnsi="Times New Roman" w:cs="Times New Roman"/>
          <w:sz w:val="20"/>
          <w:szCs w:val="20"/>
        </w:rPr>
        <w:t xml:space="preserve">). </w:t>
      </w:r>
      <w:r>
        <w:rPr>
          <w:rFonts w:ascii="Times New Roman" w:hAnsi="Times New Roman" w:cs="Times New Roman"/>
          <w:sz w:val="20"/>
          <w:szCs w:val="20"/>
          <w:highlight w:val="yellow"/>
        </w:rPr>
        <w:t>G</w:t>
      </w:r>
      <w:r>
        <w:rPr>
          <w:rFonts w:ascii="Times New Roman" w:hAnsi="Times New Roman" w:cs="Times New Roman"/>
          <w:sz w:val="20"/>
          <w:szCs w:val="20"/>
        </w:rPr>
        <w:t xml:space="preserve">rowing concern regarding the toxicity and accumulation of heavy metals within environmental systems </w:t>
      </w:r>
      <w:proofErr w:type="spellStart"/>
      <w:r>
        <w:rPr>
          <w:rFonts w:ascii="Times New Roman" w:hAnsi="Times New Roman" w:cs="Times New Roman"/>
          <w:sz w:val="20"/>
          <w:szCs w:val="20"/>
        </w:rPr>
        <w:t>emphasi</w:t>
      </w:r>
      <w:r>
        <w:rPr>
          <w:rFonts w:ascii="Times New Roman" w:hAnsi="Times New Roman" w:cs="Times New Roman"/>
          <w:sz w:val="20"/>
          <w:szCs w:val="20"/>
          <w:highlight w:val="yellow"/>
        </w:rPr>
        <w:t>s</w:t>
      </w:r>
      <w:r>
        <w:rPr>
          <w:rFonts w:ascii="Times New Roman" w:hAnsi="Times New Roman" w:cs="Times New Roman"/>
          <w:sz w:val="20"/>
          <w:szCs w:val="20"/>
        </w:rPr>
        <w:t>es</w:t>
      </w:r>
      <w:proofErr w:type="spellEnd"/>
      <w:r>
        <w:rPr>
          <w:rFonts w:ascii="Times New Roman" w:hAnsi="Times New Roman" w:cs="Times New Roman"/>
          <w:sz w:val="20"/>
          <w:szCs w:val="20"/>
        </w:rPr>
        <w:t xml:space="preserve"> the need for effective attenuation evaluation, especially in areas impacted by oil spills (</w:t>
      </w:r>
      <w:proofErr w:type="spellStart"/>
      <w:r>
        <w:rPr>
          <w:rFonts w:ascii="Times New Roman" w:hAnsi="Times New Roman" w:cs="Times New Roman"/>
          <w:color w:val="2660F0"/>
          <w:sz w:val="20"/>
          <w:szCs w:val="20"/>
        </w:rPr>
        <w:t>Imasuen</w:t>
      </w:r>
      <w:proofErr w:type="spellEnd"/>
      <w:r>
        <w:rPr>
          <w:rFonts w:ascii="Times New Roman" w:hAnsi="Times New Roman" w:cs="Times New Roman"/>
          <w:color w:val="2660F0"/>
          <w:sz w:val="20"/>
          <w:szCs w:val="20"/>
        </w:rPr>
        <w:t xml:space="preserve"> et al., 2014</w:t>
      </w:r>
      <w:r>
        <w:rPr>
          <w:rFonts w:ascii="Times New Roman" w:hAnsi="Times New Roman" w:cs="Times New Roman"/>
          <w:color w:val="000000" w:themeColor="text1"/>
          <w:sz w:val="20"/>
          <w:szCs w:val="20"/>
        </w:rPr>
        <w:t>;</w:t>
      </w:r>
      <w:r>
        <w:rPr>
          <w:rFonts w:ascii="Times New Roman" w:hAnsi="Times New Roman" w:cs="Times New Roman"/>
          <w:color w:val="2660F0"/>
          <w:sz w:val="20"/>
          <w:szCs w:val="20"/>
        </w:rPr>
        <w:t xml:space="preserve"> Jayakumar et al., 2021</w:t>
      </w:r>
      <w:r>
        <w:rPr>
          <w:rFonts w:ascii="Times New Roman" w:hAnsi="Times New Roman" w:cs="Times New Roman"/>
          <w:sz w:val="20"/>
          <w:szCs w:val="20"/>
        </w:rPr>
        <w:t xml:space="preserve">). </w:t>
      </w:r>
      <w:r>
        <w:rPr>
          <w:rFonts w:ascii="Times New Roman" w:eastAsia="Times New Roman" w:hAnsi="Times New Roman"/>
          <w:b/>
          <w:sz w:val="20"/>
          <w:highlight w:val="yellow"/>
        </w:rPr>
        <w:t>Recent remote-sensing assessments across the Niger Delta have also demonstrated the value of geospatial methods for delineating contaminated land and tracking oil-spill-related environmental degradation at broad spatial scales (</w:t>
      </w:r>
      <w:proofErr w:type="spellStart"/>
      <w:r>
        <w:rPr>
          <w:rFonts w:ascii="Times New Roman" w:eastAsia="Times New Roman" w:hAnsi="Times New Roman"/>
          <w:b/>
          <w:sz w:val="20"/>
          <w:highlight w:val="yellow"/>
        </w:rPr>
        <w:t>Adebangbe</w:t>
      </w:r>
      <w:proofErr w:type="spellEnd"/>
      <w:r>
        <w:rPr>
          <w:rFonts w:ascii="Times New Roman" w:eastAsia="Times New Roman" w:hAnsi="Times New Roman"/>
          <w:b/>
          <w:sz w:val="20"/>
          <w:highlight w:val="yellow"/>
        </w:rPr>
        <w:t xml:space="preserve"> et al., 2025).</w:t>
      </w:r>
    </w:p>
    <w:p w14:paraId="56FFFF75" w14:textId="49C263CC" w:rsidR="00D85E07" w:rsidRPr="00D85E07" w:rsidRDefault="0083587B" w:rsidP="00DC31C3">
      <w:pPr>
        <w:spacing w:after="0" w:line="240" w:lineRule="auto"/>
        <w:ind w:firstLine="426"/>
        <w:jc w:val="both"/>
        <w:outlineLvl w:val="3"/>
        <w:rPr>
          <w:rFonts w:ascii="Times New Roman" w:hAnsi="Times New Roman" w:cs="Times New Roman"/>
          <w:sz w:val="20"/>
          <w:szCs w:val="20"/>
        </w:rPr>
      </w:pPr>
      <w:r>
        <w:rPr>
          <w:rFonts w:ascii="Times New Roman" w:hAnsi="Times New Roman" w:cs="Times New Roman"/>
          <w:sz w:val="20"/>
          <w:szCs w:val="20"/>
        </w:rPr>
        <w:t xml:space="preserve">Assessing environmental quality and human health involves </w:t>
      </w:r>
      <w:proofErr w:type="spellStart"/>
      <w:r>
        <w:rPr>
          <w:rFonts w:ascii="Times New Roman" w:hAnsi="Times New Roman" w:cs="Times New Roman"/>
          <w:sz w:val="20"/>
          <w:szCs w:val="20"/>
        </w:rPr>
        <w:t>analy</w:t>
      </w:r>
      <w:r>
        <w:rPr>
          <w:rFonts w:ascii="Times New Roman" w:hAnsi="Times New Roman" w:cs="Times New Roman"/>
          <w:sz w:val="20"/>
          <w:szCs w:val="20"/>
          <w:highlight w:val="yellow"/>
        </w:rPr>
        <w:t>s</w:t>
      </w:r>
      <w:r>
        <w:rPr>
          <w:rFonts w:ascii="Times New Roman" w:hAnsi="Times New Roman" w:cs="Times New Roman"/>
          <w:sz w:val="20"/>
          <w:szCs w:val="20"/>
        </w:rPr>
        <w:t>ing</w:t>
      </w:r>
      <w:proofErr w:type="spellEnd"/>
      <w:r>
        <w:rPr>
          <w:rFonts w:ascii="Times New Roman" w:hAnsi="Times New Roman" w:cs="Times New Roman"/>
          <w:sz w:val="20"/>
          <w:szCs w:val="20"/>
        </w:rPr>
        <w:t xml:space="preserve"> various ecosystem parameters, including chemical factors such as heavy</w:t>
      </w:r>
      <w:r>
        <w:rPr>
          <w:rFonts w:ascii="Times New Roman" w:hAnsi="Times New Roman" w:cs="Times New Roman"/>
          <w:sz w:val="20"/>
          <w:szCs w:val="20"/>
          <w:highlight w:val="yellow"/>
        </w:rPr>
        <w:t>-</w:t>
      </w:r>
      <w:r>
        <w:rPr>
          <w:rFonts w:ascii="Times New Roman" w:hAnsi="Times New Roman" w:cs="Times New Roman"/>
          <w:sz w:val="20"/>
          <w:szCs w:val="20"/>
        </w:rPr>
        <w:t>metal concentrations, which are vital indicators for evaluating ecological conditions (</w:t>
      </w:r>
      <w:r>
        <w:rPr>
          <w:rFonts w:ascii="Times New Roman" w:hAnsi="Times New Roman" w:cs="Times New Roman"/>
          <w:color w:val="2660F0"/>
          <w:sz w:val="20"/>
          <w:szCs w:val="20"/>
        </w:rPr>
        <w:t>Khatri &amp; Tyagi, 2015</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 xml:space="preserve">Heavy metals </w:t>
      </w:r>
      <w:r>
        <w:rPr>
          <w:rFonts w:ascii="Times New Roman" w:hAnsi="Times New Roman" w:cs="Times New Roman"/>
          <w:color w:val="000000" w:themeColor="text1"/>
          <w:sz w:val="20"/>
          <w:szCs w:val="20"/>
          <w:highlight w:val="yellow"/>
        </w:rPr>
        <w:t>such as</w:t>
      </w:r>
      <w:r>
        <w:rPr>
          <w:rFonts w:ascii="Times New Roman" w:hAnsi="Times New Roman" w:cs="Times New Roman"/>
          <w:color w:val="000000" w:themeColor="text1"/>
          <w:sz w:val="20"/>
          <w:szCs w:val="20"/>
        </w:rPr>
        <w:t xml:space="preserve"> cadmium (Cd) are highly toxic and can accumulate in geosystems, posing significant risks to human and environmental health </w:t>
      </w:r>
      <w:r>
        <w:rPr>
          <w:rFonts w:ascii="Times New Roman" w:hAnsi="Times New Roman" w:cs="Times New Roman"/>
          <w:sz w:val="20"/>
          <w:szCs w:val="20"/>
        </w:rPr>
        <w:t>(</w:t>
      </w:r>
      <w:r>
        <w:rPr>
          <w:rFonts w:ascii="Times New Roman" w:hAnsi="Times New Roman" w:cs="Times New Roman"/>
          <w:color w:val="2660F0"/>
          <w:sz w:val="20"/>
          <w:szCs w:val="20"/>
        </w:rPr>
        <w:t>Khan et al., 2017</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 xml:space="preserve">Prolonged cadmium exposure can lead to severe </w:t>
      </w:r>
      <w:r>
        <w:rPr>
          <w:rFonts w:ascii="Times New Roman" w:hAnsi="Times New Roman" w:cs="Times New Roman"/>
          <w:color w:val="000000" w:themeColor="text1"/>
          <w:sz w:val="20"/>
          <w:szCs w:val="20"/>
        </w:rPr>
        <w:lastRenderedPageBreak/>
        <w:t xml:space="preserve">health issues, such as kidney, lung, and bone damage </w:t>
      </w:r>
      <w:r>
        <w:rPr>
          <w:rFonts w:ascii="Times New Roman" w:hAnsi="Times New Roman" w:cs="Times New Roman"/>
          <w:sz w:val="20"/>
          <w:szCs w:val="20"/>
        </w:rPr>
        <w:t>(</w:t>
      </w:r>
      <w:r>
        <w:rPr>
          <w:rFonts w:ascii="Times New Roman" w:hAnsi="Times New Roman" w:cs="Times New Roman"/>
          <w:color w:val="2660F0"/>
          <w:sz w:val="20"/>
          <w:szCs w:val="20"/>
        </w:rPr>
        <w:t>Mishra et al., 2019</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In plants, cadmium accumulation can interfere with nutrient uptake, hamper growth, and threaten food safety</w:t>
      </w:r>
      <w:r>
        <w:rPr>
          <w:rFonts w:ascii="Times New Roman" w:hAnsi="Times New Roman" w:cs="Times New Roman"/>
          <w:sz w:val="20"/>
          <w:szCs w:val="20"/>
        </w:rPr>
        <w:t xml:space="preserve"> (</w:t>
      </w:r>
      <w:r w:rsidR="00592893" w:rsidRPr="00592893">
        <w:rPr>
          <w:rFonts w:ascii="Times New Roman" w:hAnsi="Times New Roman" w:cs="Times New Roman"/>
          <w:color w:val="2660F0"/>
          <w:sz w:val="20"/>
          <w:szCs w:val="20"/>
        </w:rPr>
        <w:t>Shammas</w:t>
      </w:r>
      <w:r>
        <w:rPr>
          <w:rFonts w:ascii="Times New Roman" w:hAnsi="Times New Roman" w:cs="Times New Roman"/>
          <w:color w:val="2660F0"/>
          <w:sz w:val="20"/>
          <w:szCs w:val="20"/>
        </w:rPr>
        <w:t xml:space="preserve"> et al., 2020</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Similarly, Pb has been widely regarded as a hazard to human</w:t>
      </w:r>
      <w:r>
        <w:rPr>
          <w:rFonts w:ascii="Times New Roman" w:hAnsi="Times New Roman" w:cs="Times New Roman"/>
          <w:color w:val="000000" w:themeColor="text1"/>
          <w:sz w:val="20"/>
          <w:szCs w:val="20"/>
          <w:highlight w:val="yellow"/>
        </w:rPr>
        <w:t xml:space="preserve"> health</w:t>
      </w:r>
      <w:r>
        <w:rPr>
          <w:rFonts w:ascii="Times New Roman" w:hAnsi="Times New Roman" w:cs="Times New Roman"/>
          <w:color w:val="000000" w:themeColor="text1"/>
          <w:sz w:val="20"/>
          <w:szCs w:val="20"/>
        </w:rPr>
        <w:t>, p</w:t>
      </w:r>
      <w:r>
        <w:rPr>
          <w:rFonts w:ascii="Times New Roman" w:hAnsi="Times New Roman" w:cs="Times New Roman"/>
          <w:color w:val="000000" w:themeColor="text1"/>
          <w:sz w:val="20"/>
          <w:szCs w:val="20"/>
          <w:highlight w:val="yellow"/>
        </w:rPr>
        <w:t>arti</w:t>
      </w:r>
      <w:r>
        <w:rPr>
          <w:rFonts w:ascii="Times New Roman" w:hAnsi="Times New Roman" w:cs="Times New Roman"/>
          <w:color w:val="000000" w:themeColor="text1"/>
          <w:sz w:val="20"/>
          <w:szCs w:val="20"/>
        </w:rPr>
        <w:t>c</w:t>
      </w:r>
      <w:r>
        <w:rPr>
          <w:rFonts w:ascii="Times New Roman" w:hAnsi="Times New Roman" w:cs="Times New Roman"/>
          <w:color w:val="000000" w:themeColor="text1"/>
          <w:sz w:val="20"/>
          <w:szCs w:val="20"/>
          <w:highlight w:val="yellow"/>
        </w:rPr>
        <w:t>ul</w:t>
      </w:r>
      <w:r>
        <w:rPr>
          <w:rFonts w:ascii="Times New Roman" w:hAnsi="Times New Roman" w:cs="Times New Roman"/>
          <w:color w:val="000000" w:themeColor="text1"/>
          <w:sz w:val="20"/>
          <w:szCs w:val="20"/>
        </w:rPr>
        <w:t>a</w:t>
      </w:r>
      <w:r>
        <w:rPr>
          <w:rFonts w:ascii="Times New Roman" w:hAnsi="Times New Roman" w:cs="Times New Roman"/>
          <w:color w:val="000000" w:themeColor="text1"/>
          <w:sz w:val="20"/>
          <w:szCs w:val="20"/>
          <w:highlight w:val="yellow"/>
        </w:rPr>
        <w:t>r</w:t>
      </w:r>
      <w:r>
        <w:rPr>
          <w:rFonts w:ascii="Times New Roman" w:hAnsi="Times New Roman" w:cs="Times New Roman"/>
          <w:color w:val="000000" w:themeColor="text1"/>
          <w:sz w:val="20"/>
          <w:szCs w:val="20"/>
        </w:rPr>
        <w:t xml:space="preserve">ly </w:t>
      </w:r>
      <w:r>
        <w:rPr>
          <w:rFonts w:ascii="Times New Roman" w:hAnsi="Times New Roman" w:cs="Times New Roman"/>
          <w:color w:val="000000" w:themeColor="text1"/>
          <w:sz w:val="20"/>
          <w:szCs w:val="20"/>
          <w:highlight w:val="yellow"/>
        </w:rPr>
        <w:t>to ch</w:t>
      </w:r>
      <w:r>
        <w:rPr>
          <w:rFonts w:ascii="Times New Roman" w:hAnsi="Times New Roman" w:cs="Times New Roman"/>
          <w:color w:val="000000" w:themeColor="text1"/>
          <w:sz w:val="20"/>
          <w:szCs w:val="20"/>
        </w:rPr>
        <w:t>i</w:t>
      </w:r>
      <w:r>
        <w:rPr>
          <w:rFonts w:ascii="Times New Roman" w:hAnsi="Times New Roman" w:cs="Times New Roman"/>
          <w:color w:val="000000" w:themeColor="text1"/>
          <w:sz w:val="20"/>
          <w:szCs w:val="20"/>
          <w:highlight w:val="yellow"/>
        </w:rPr>
        <w:t>ldre</w:t>
      </w:r>
      <w:r>
        <w:rPr>
          <w:rFonts w:ascii="Times New Roman" w:hAnsi="Times New Roman" w:cs="Times New Roman"/>
          <w:color w:val="000000" w:themeColor="text1"/>
          <w:sz w:val="20"/>
          <w:szCs w:val="20"/>
        </w:rPr>
        <w:t>n</w:t>
      </w:r>
      <w:r>
        <w:rPr>
          <w:rFonts w:ascii="Times New Roman" w:hAnsi="Times New Roman" w:cs="Times New Roman"/>
          <w:color w:val="000000" w:themeColor="text1"/>
          <w:sz w:val="20"/>
          <w:szCs w:val="20"/>
          <w:highlight w:val="yellow"/>
        </w:rPr>
        <w:t>'s</w:t>
      </w:r>
      <w:r>
        <w:rPr>
          <w:rFonts w:ascii="Times New Roman" w:hAnsi="Times New Roman" w:cs="Times New Roman"/>
          <w:color w:val="000000" w:themeColor="text1"/>
          <w:sz w:val="20"/>
          <w:szCs w:val="20"/>
        </w:rPr>
        <w:t xml:space="preserve"> nervous system</w:t>
      </w:r>
      <w:r>
        <w:rPr>
          <w:rFonts w:ascii="Times New Roman" w:hAnsi="Times New Roman" w:cs="Times New Roman"/>
          <w:color w:val="000000" w:themeColor="text1"/>
          <w:sz w:val="20"/>
          <w:szCs w:val="20"/>
          <w:highlight w:val="yellow"/>
        </w:rPr>
        <w:t>s</w:t>
      </w:r>
      <w:r>
        <w:rPr>
          <w:rFonts w:ascii="Times New Roman" w:hAnsi="Times New Roman" w:cs="Times New Roman"/>
          <w:color w:val="000000" w:themeColor="text1"/>
          <w:sz w:val="20"/>
          <w:szCs w:val="20"/>
        </w:rPr>
        <w:t>, cardiovascular health, and cognitive development</w:t>
      </w:r>
      <w:r>
        <w:rPr>
          <w:rFonts w:ascii="Times New Roman" w:hAnsi="Times New Roman" w:cs="Times New Roman"/>
          <w:color w:val="FF0000"/>
          <w:sz w:val="20"/>
          <w:szCs w:val="20"/>
        </w:rPr>
        <w:t xml:space="preserve"> </w:t>
      </w:r>
      <w:r>
        <w:rPr>
          <w:rFonts w:ascii="Times New Roman" w:hAnsi="Times New Roman" w:cs="Times New Roman"/>
          <w:sz w:val="20"/>
          <w:szCs w:val="20"/>
        </w:rPr>
        <w:t>(</w:t>
      </w:r>
      <w:proofErr w:type="spellStart"/>
      <w:r>
        <w:rPr>
          <w:rFonts w:ascii="Times New Roman" w:hAnsi="Times New Roman" w:cs="Times New Roman"/>
          <w:color w:val="2660F0"/>
          <w:sz w:val="20"/>
          <w:szCs w:val="20"/>
        </w:rPr>
        <w:t>Imasuen</w:t>
      </w:r>
      <w:proofErr w:type="spellEnd"/>
      <w:r>
        <w:rPr>
          <w:rFonts w:ascii="Times New Roman" w:hAnsi="Times New Roman" w:cs="Times New Roman"/>
          <w:color w:val="2660F0"/>
          <w:sz w:val="20"/>
          <w:szCs w:val="20"/>
        </w:rPr>
        <w:t xml:space="preserve"> et al., 2014</w:t>
      </w:r>
      <w:r>
        <w:rPr>
          <w:rFonts w:ascii="Times New Roman" w:hAnsi="Times New Roman" w:cs="Times New Roman"/>
          <w:sz w:val="20"/>
          <w:szCs w:val="20"/>
        </w:rPr>
        <w:t xml:space="preserve">). </w:t>
      </w:r>
      <w:r>
        <w:rPr>
          <w:rFonts w:ascii="Times New Roman" w:hAnsi="Times New Roman" w:cs="Times New Roman"/>
          <w:color w:val="000000" w:themeColor="text1"/>
          <w:sz w:val="20"/>
          <w:szCs w:val="20"/>
          <w:highlight w:val="yellow"/>
        </w:rPr>
        <w:t>E</w:t>
      </w:r>
      <w:r>
        <w:rPr>
          <w:rFonts w:ascii="Times New Roman" w:hAnsi="Times New Roman" w:cs="Times New Roman"/>
          <w:color w:val="000000" w:themeColor="text1"/>
          <w:sz w:val="20"/>
          <w:szCs w:val="20"/>
        </w:rPr>
        <w:t>nvironmental exposure</w:t>
      </w:r>
      <w:r>
        <w:rPr>
          <w:rFonts w:ascii="Times New Roman" w:hAnsi="Times New Roman" w:cs="Times New Roman"/>
          <w:color w:val="000000" w:themeColor="text1"/>
          <w:sz w:val="20"/>
          <w:szCs w:val="20"/>
          <w:highlight w:val="yellow"/>
        </w:rPr>
        <w:t xml:space="preserve"> to lead</w:t>
      </w:r>
      <w:r>
        <w:rPr>
          <w:rFonts w:ascii="Times New Roman" w:hAnsi="Times New Roman" w:cs="Times New Roman"/>
          <w:color w:val="000000" w:themeColor="text1"/>
          <w:sz w:val="20"/>
          <w:szCs w:val="20"/>
        </w:rPr>
        <w:t xml:space="preserve"> can also harm animal life and contribute to bioaccumulation in the food chain </w:t>
      </w:r>
      <w:r>
        <w:rPr>
          <w:rFonts w:ascii="Times New Roman" w:hAnsi="Times New Roman" w:cs="Times New Roman"/>
          <w:sz w:val="20"/>
          <w:szCs w:val="20"/>
        </w:rPr>
        <w:t>(</w:t>
      </w:r>
      <w:proofErr w:type="spellStart"/>
      <w:r>
        <w:rPr>
          <w:rFonts w:ascii="Times New Roman" w:hAnsi="Times New Roman" w:cs="Times New Roman"/>
          <w:color w:val="2660F0"/>
          <w:sz w:val="20"/>
          <w:szCs w:val="20"/>
        </w:rPr>
        <w:t>Ukaogo</w:t>
      </w:r>
      <w:proofErr w:type="spellEnd"/>
      <w:r>
        <w:rPr>
          <w:rFonts w:ascii="Times New Roman" w:hAnsi="Times New Roman" w:cs="Times New Roman"/>
          <w:color w:val="2660F0"/>
          <w:sz w:val="20"/>
          <w:szCs w:val="20"/>
        </w:rPr>
        <w:t xml:space="preserve"> et al., 2020</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Essential trace elements, such as Cu and Zn, require careful monitoring, as elevated levels can damage ecosystem</w:t>
      </w:r>
      <w:r>
        <w:rPr>
          <w:rFonts w:ascii="Times New Roman" w:hAnsi="Times New Roman" w:cs="Times New Roman"/>
          <w:color w:val="000000" w:themeColor="text1"/>
          <w:sz w:val="20"/>
          <w:szCs w:val="20"/>
          <w:highlight w:val="yellow"/>
        </w:rPr>
        <w:t>s</w:t>
      </w:r>
      <w:r>
        <w:rPr>
          <w:rFonts w:ascii="Times New Roman" w:hAnsi="Times New Roman" w:cs="Times New Roman"/>
          <w:color w:val="000000" w:themeColor="text1"/>
          <w:sz w:val="20"/>
          <w:szCs w:val="20"/>
        </w:rPr>
        <w:t xml:space="preserve"> </w:t>
      </w:r>
      <w:r>
        <w:rPr>
          <w:rFonts w:ascii="Times New Roman" w:hAnsi="Times New Roman" w:cs="Times New Roman"/>
          <w:sz w:val="20"/>
          <w:szCs w:val="20"/>
        </w:rPr>
        <w:t>(</w:t>
      </w:r>
      <w:proofErr w:type="spellStart"/>
      <w:r>
        <w:rPr>
          <w:rFonts w:ascii="Times New Roman" w:hAnsi="Times New Roman" w:cs="Times New Roman"/>
          <w:color w:val="2660F0"/>
          <w:sz w:val="20"/>
          <w:szCs w:val="20"/>
        </w:rPr>
        <w:t>Omokpariola</w:t>
      </w:r>
      <w:proofErr w:type="spellEnd"/>
      <w:r>
        <w:rPr>
          <w:rFonts w:ascii="Times New Roman" w:hAnsi="Times New Roman" w:cs="Times New Roman"/>
          <w:color w:val="2660F0"/>
          <w:sz w:val="20"/>
          <w:szCs w:val="20"/>
        </w:rPr>
        <w:t xml:space="preserve"> et al., 2022</w:t>
      </w:r>
      <w:r>
        <w:rPr>
          <w:rFonts w:ascii="Times New Roman" w:hAnsi="Times New Roman" w:cs="Times New Roman"/>
          <w:sz w:val="20"/>
          <w:szCs w:val="20"/>
        </w:rPr>
        <w:t xml:space="preserve">). Elevated Ni levels in environmental systems can impair the growth and development of organisms and pose </w:t>
      </w:r>
      <w:r>
        <w:rPr>
          <w:rFonts w:ascii="Times New Roman" w:hAnsi="Times New Roman" w:cs="Times New Roman"/>
          <w:sz w:val="20"/>
          <w:szCs w:val="20"/>
          <w:highlight w:val="yellow"/>
        </w:rPr>
        <w:t xml:space="preserve">risks to </w:t>
      </w:r>
      <w:r>
        <w:rPr>
          <w:rFonts w:ascii="Times New Roman" w:hAnsi="Times New Roman" w:cs="Times New Roman"/>
          <w:sz w:val="20"/>
          <w:szCs w:val="20"/>
        </w:rPr>
        <w:t>human health when accumulated in the food chain (</w:t>
      </w:r>
      <w:r>
        <w:rPr>
          <w:rFonts w:ascii="Times New Roman" w:hAnsi="Times New Roman" w:cs="Times New Roman"/>
          <w:color w:val="2660F0"/>
          <w:sz w:val="20"/>
          <w:szCs w:val="20"/>
        </w:rPr>
        <w:t>Lee et al., 202</w:t>
      </w:r>
      <w:r w:rsidR="00592893">
        <w:rPr>
          <w:rFonts w:ascii="Times New Roman" w:hAnsi="Times New Roman" w:cs="Times New Roman"/>
          <w:color w:val="2660F0"/>
          <w:sz w:val="20"/>
          <w:szCs w:val="20"/>
        </w:rPr>
        <w:t>4</w:t>
      </w:r>
      <w:r>
        <w:rPr>
          <w:rFonts w:ascii="Times New Roman" w:hAnsi="Times New Roman" w:cs="Times New Roman"/>
          <w:sz w:val="20"/>
          <w:szCs w:val="20"/>
        </w:rPr>
        <w:t>). Chronic exposure to high nickel concentrations can result in liver damage, respiratory issues, and skin irritation (</w:t>
      </w:r>
      <w:r>
        <w:rPr>
          <w:rFonts w:ascii="Times New Roman" w:hAnsi="Times New Roman" w:cs="Times New Roman"/>
          <w:color w:val="2660F0"/>
          <w:sz w:val="20"/>
          <w:szCs w:val="20"/>
        </w:rPr>
        <w:t>Chinedu &amp; Chukwuemeka, 2018</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Chromium (Cr), particularly hexavalent chromium (</w:t>
      </w:r>
      <w:proofErr w:type="gramStart"/>
      <w:r>
        <w:rPr>
          <w:rFonts w:ascii="Times New Roman" w:hAnsi="Times New Roman" w:cs="Times New Roman"/>
          <w:color w:val="000000" w:themeColor="text1"/>
          <w:sz w:val="20"/>
          <w:szCs w:val="20"/>
        </w:rPr>
        <w:t>Cr(</w:t>
      </w:r>
      <w:proofErr w:type="gramEnd"/>
      <w:r>
        <w:rPr>
          <w:rFonts w:ascii="Times New Roman" w:hAnsi="Times New Roman" w:cs="Times New Roman"/>
          <w:color w:val="000000" w:themeColor="text1"/>
          <w:sz w:val="20"/>
          <w:szCs w:val="20"/>
        </w:rPr>
        <w:t xml:space="preserve">VI)), is another hazardous metal that can cause severe environmental and health impacts. Long-term exposure to chromium has been linked to respiratory disorders, kidney damage, and various cancers </w:t>
      </w:r>
      <w:r>
        <w:rPr>
          <w:rFonts w:ascii="Times New Roman" w:hAnsi="Times New Roman" w:cs="Times New Roman"/>
          <w:sz w:val="20"/>
          <w:szCs w:val="20"/>
        </w:rPr>
        <w:t>(</w:t>
      </w:r>
      <w:r>
        <w:rPr>
          <w:rFonts w:ascii="Times New Roman" w:hAnsi="Times New Roman" w:cs="Times New Roman"/>
          <w:color w:val="2660F0"/>
          <w:sz w:val="20"/>
          <w:szCs w:val="20"/>
        </w:rPr>
        <w:t>USDA, 2000</w:t>
      </w:r>
      <w:r>
        <w:rPr>
          <w:rFonts w:ascii="Times New Roman" w:hAnsi="Times New Roman" w:cs="Times New Roman"/>
          <w:sz w:val="20"/>
          <w:szCs w:val="20"/>
        </w:rPr>
        <w:t xml:space="preserve">). Iron (Fe) is a critical nutrient for organisms, but it can become problematic when present in excess. Elevated iron concentrations can lead to eutrophication of water bodies, fostering </w:t>
      </w:r>
      <w:r>
        <w:rPr>
          <w:rFonts w:ascii="Times New Roman" w:hAnsi="Times New Roman" w:cs="Times New Roman"/>
          <w:sz w:val="20"/>
          <w:szCs w:val="20"/>
          <w:highlight w:val="yellow"/>
        </w:rPr>
        <w:t>algal</w:t>
      </w:r>
      <w:r>
        <w:rPr>
          <w:rFonts w:ascii="Times New Roman" w:hAnsi="Times New Roman" w:cs="Times New Roman"/>
          <w:sz w:val="20"/>
          <w:szCs w:val="20"/>
        </w:rPr>
        <w:t xml:space="preserve"> growth that depletes oxygen levels and disrupts aquatic ecosystems (</w:t>
      </w:r>
      <w:proofErr w:type="spellStart"/>
      <w:r>
        <w:rPr>
          <w:rFonts w:ascii="Times New Roman" w:hAnsi="Times New Roman" w:cs="Times New Roman"/>
          <w:color w:val="2660F0"/>
          <w:sz w:val="20"/>
          <w:szCs w:val="20"/>
        </w:rPr>
        <w:t>Desaules</w:t>
      </w:r>
      <w:proofErr w:type="spellEnd"/>
      <w:r>
        <w:rPr>
          <w:rFonts w:ascii="Times New Roman" w:hAnsi="Times New Roman" w:cs="Times New Roman"/>
          <w:color w:val="2660F0"/>
          <w:sz w:val="20"/>
          <w:szCs w:val="20"/>
        </w:rPr>
        <w:t>, 2012</w:t>
      </w:r>
      <w:r>
        <w:rPr>
          <w:rFonts w:ascii="Times New Roman" w:hAnsi="Times New Roman" w:cs="Times New Roman"/>
          <w:color w:val="000000" w:themeColor="text1"/>
          <w:sz w:val="20"/>
          <w:szCs w:val="20"/>
        </w:rPr>
        <w:t>). Excessive iron can also affect plant and animal health by altering the soil's nutrient balance</w:t>
      </w:r>
      <w:r>
        <w:rPr>
          <w:rFonts w:ascii="Times New Roman" w:hAnsi="Times New Roman" w:cs="Times New Roman"/>
          <w:color w:val="FF0000"/>
          <w:sz w:val="20"/>
          <w:szCs w:val="20"/>
        </w:rPr>
        <w:t xml:space="preserve"> </w:t>
      </w:r>
      <w:r>
        <w:rPr>
          <w:rFonts w:ascii="Times New Roman" w:hAnsi="Times New Roman" w:cs="Times New Roman"/>
          <w:sz w:val="20"/>
          <w:szCs w:val="20"/>
        </w:rPr>
        <w:t>(</w:t>
      </w:r>
      <w:r>
        <w:rPr>
          <w:rFonts w:ascii="Times New Roman" w:hAnsi="Times New Roman" w:cs="Times New Roman"/>
          <w:color w:val="2660F0"/>
          <w:sz w:val="20"/>
          <w:szCs w:val="20"/>
        </w:rPr>
        <w:t>Rajendran et al., 2022</w:t>
      </w:r>
      <w:r>
        <w:rPr>
          <w:rFonts w:ascii="Times New Roman" w:hAnsi="Times New Roman" w:cs="Times New Roman"/>
          <w:sz w:val="20"/>
          <w:szCs w:val="20"/>
        </w:rPr>
        <w:t>).</w:t>
      </w:r>
      <w:r>
        <w:rPr>
          <w:rFonts w:ascii="Times New Roman" w:eastAsia="Times New Roman" w:hAnsi="Times New Roman"/>
          <w:b/>
          <w:sz w:val="20"/>
          <w:highlight w:val="yellow"/>
        </w:rPr>
        <w:t xml:space="preserve"> Seasonal assessment of groundwater and surface water in a crude-oil-contaminated Niger Delta community further showed that contaminant profiles varied between wet and dry seasons, supporting repeated temporal monitoring of oil-impacted environments (</w:t>
      </w:r>
      <w:proofErr w:type="spellStart"/>
      <w:r>
        <w:rPr>
          <w:rFonts w:ascii="Times New Roman" w:eastAsia="Times New Roman" w:hAnsi="Times New Roman"/>
          <w:b/>
          <w:sz w:val="20"/>
          <w:highlight w:val="yellow"/>
        </w:rPr>
        <w:t>Akinpelumi</w:t>
      </w:r>
      <w:proofErr w:type="spellEnd"/>
      <w:r>
        <w:rPr>
          <w:rFonts w:ascii="Times New Roman" w:eastAsia="Times New Roman" w:hAnsi="Times New Roman"/>
          <w:b/>
          <w:sz w:val="20"/>
          <w:highlight w:val="yellow"/>
        </w:rPr>
        <w:t xml:space="preserve"> et al., 2025).</w:t>
      </w:r>
    </w:p>
    <w:p w14:paraId="35F7FF59" w14:textId="77777777" w:rsidR="00B273A5" w:rsidRDefault="00E81B37" w:rsidP="00FD062C">
      <w:pPr>
        <w:spacing w:after="0" w:line="240" w:lineRule="auto"/>
        <w:ind w:firstLine="426"/>
        <w:jc w:val="both"/>
        <w:outlineLvl w:val="3"/>
        <w:rPr>
          <w:rFonts w:ascii="Times New Roman" w:hAnsi="Times New Roman" w:cs="Times New Roman"/>
          <w:sz w:val="20"/>
          <w:szCs w:val="20"/>
        </w:rPr>
      </w:pPr>
      <w:r>
        <w:rPr>
          <w:rFonts w:ascii="Times New Roman" w:hAnsi="Times New Roman" w:cs="Times New Roman"/>
          <w:sz w:val="20"/>
          <w:szCs w:val="20"/>
        </w:rPr>
        <w:t>To assess contamination levels, various pollution indices are used to quantify the extent of pollution and ecological disruption caused by heavy metals in the environment (</w:t>
      </w:r>
      <w:proofErr w:type="spellStart"/>
      <w:r>
        <w:rPr>
          <w:rFonts w:ascii="Times New Roman" w:hAnsi="Times New Roman" w:cs="Times New Roman"/>
          <w:color w:val="2660F0"/>
          <w:sz w:val="20"/>
          <w:szCs w:val="20"/>
        </w:rPr>
        <w:t>Onyele</w:t>
      </w:r>
      <w:proofErr w:type="spellEnd"/>
      <w:r>
        <w:rPr>
          <w:rFonts w:ascii="Times New Roman" w:hAnsi="Times New Roman" w:cs="Times New Roman"/>
          <w:color w:val="2660F0"/>
          <w:sz w:val="20"/>
          <w:szCs w:val="20"/>
        </w:rPr>
        <w:t xml:space="preserve"> &amp; Anyanwu, 2018</w:t>
      </w:r>
      <w:r>
        <w:rPr>
          <w:rFonts w:ascii="Times New Roman" w:hAnsi="Times New Roman" w:cs="Times New Roman"/>
          <w:sz w:val="20"/>
          <w:szCs w:val="20"/>
        </w:rPr>
        <w:t xml:space="preserve">). These indices include the </w:t>
      </w:r>
      <w:proofErr w:type="spellStart"/>
      <w:r>
        <w:rPr>
          <w:rFonts w:ascii="Times New Roman" w:hAnsi="Times New Roman" w:cs="Times New Roman"/>
          <w:sz w:val="20"/>
          <w:szCs w:val="20"/>
        </w:rPr>
        <w:t>Geoaccumulation</w:t>
      </w:r>
      <w:proofErr w:type="spellEnd"/>
      <w:r>
        <w:rPr>
          <w:rFonts w:ascii="Times New Roman" w:hAnsi="Times New Roman" w:cs="Times New Roman"/>
          <w:sz w:val="20"/>
          <w:szCs w:val="20"/>
        </w:rPr>
        <w:t xml:space="preserve"> Index (</w:t>
      </w:r>
      <w:proofErr w:type="spellStart"/>
      <w:r>
        <w:rPr>
          <w:rFonts w:ascii="Times New Roman" w:hAnsi="Times New Roman" w:cs="Times New Roman"/>
          <w:i/>
          <w:iCs/>
          <w:sz w:val="20"/>
          <w:szCs w:val="20"/>
        </w:rPr>
        <w:t>I</w:t>
      </w:r>
      <w:r>
        <w:rPr>
          <w:rFonts w:ascii="Times New Roman" w:hAnsi="Times New Roman" w:cs="Times New Roman"/>
          <w:i/>
          <w:iCs/>
          <w:sz w:val="20"/>
          <w:szCs w:val="20"/>
          <w:vertAlign w:val="subscript"/>
        </w:rPr>
        <w:t>geo</w:t>
      </w:r>
      <w:proofErr w:type="spellEnd"/>
      <w:r>
        <w:rPr>
          <w:rFonts w:ascii="Times New Roman" w:hAnsi="Times New Roman" w:cs="Times New Roman"/>
          <w:sz w:val="20"/>
          <w:szCs w:val="20"/>
        </w:rPr>
        <w:t>), Contamination Factor (</w:t>
      </w:r>
      <w:r>
        <w:rPr>
          <w:rFonts w:ascii="Times New Roman" w:hAnsi="Times New Roman" w:cs="Times New Roman"/>
          <w:i/>
          <w:iCs/>
          <w:sz w:val="20"/>
          <w:szCs w:val="20"/>
        </w:rPr>
        <w:t>CF</w:t>
      </w:r>
      <w:r>
        <w:rPr>
          <w:rFonts w:ascii="Times New Roman" w:hAnsi="Times New Roman" w:cs="Times New Roman"/>
          <w:sz w:val="20"/>
          <w:szCs w:val="20"/>
        </w:rPr>
        <w:t>), and Metal Pollution Index (</w:t>
      </w:r>
      <w:r>
        <w:rPr>
          <w:rFonts w:ascii="Times New Roman" w:hAnsi="Times New Roman" w:cs="Times New Roman"/>
          <w:i/>
          <w:iCs/>
          <w:sz w:val="20"/>
          <w:szCs w:val="20"/>
        </w:rPr>
        <w:t>MPI</w:t>
      </w:r>
      <w:r>
        <w:rPr>
          <w:rFonts w:ascii="Times New Roman" w:hAnsi="Times New Roman" w:cs="Times New Roman"/>
          <w:sz w:val="20"/>
          <w:szCs w:val="20"/>
        </w:rPr>
        <w:t>) (</w:t>
      </w:r>
      <w:r>
        <w:rPr>
          <w:rFonts w:ascii="Times New Roman" w:hAnsi="Times New Roman" w:cs="Times New Roman"/>
          <w:color w:val="2660F0"/>
          <w:sz w:val="20"/>
          <w:szCs w:val="20"/>
        </w:rPr>
        <w:t>Kolawole et al., 2023</w:t>
      </w:r>
      <w:r>
        <w:rPr>
          <w:rFonts w:ascii="Times New Roman" w:hAnsi="Times New Roman" w:cs="Times New Roman"/>
          <w:sz w:val="20"/>
          <w:szCs w:val="20"/>
        </w:rPr>
        <w:t xml:space="preserve">). The </w:t>
      </w:r>
      <w:proofErr w:type="spellStart"/>
      <w:r>
        <w:rPr>
          <w:rFonts w:ascii="Times New Roman" w:hAnsi="Times New Roman" w:cs="Times New Roman"/>
          <w:i/>
          <w:iCs/>
          <w:sz w:val="20"/>
          <w:szCs w:val="20"/>
        </w:rPr>
        <w:t>I</w:t>
      </w:r>
      <w:r>
        <w:rPr>
          <w:rFonts w:ascii="Times New Roman" w:hAnsi="Times New Roman" w:cs="Times New Roman"/>
          <w:i/>
          <w:iCs/>
          <w:sz w:val="20"/>
          <w:szCs w:val="20"/>
          <w:vertAlign w:val="subscript"/>
        </w:rPr>
        <w:t>geo</w:t>
      </w:r>
      <w:proofErr w:type="spellEnd"/>
      <w:r>
        <w:rPr>
          <w:rFonts w:ascii="Times New Roman" w:hAnsi="Times New Roman" w:cs="Times New Roman"/>
          <w:sz w:val="20"/>
          <w:szCs w:val="20"/>
        </w:rPr>
        <w:t xml:space="preserve"> measures the degree of environmental contamination by comparing </w:t>
      </w:r>
      <w:r>
        <w:rPr>
          <w:rFonts w:ascii="Times New Roman" w:hAnsi="Times New Roman" w:cs="Times New Roman"/>
          <w:sz w:val="20"/>
          <w:szCs w:val="20"/>
          <w:highlight w:val="yellow"/>
        </w:rPr>
        <w:t>t</w:t>
      </w:r>
      <w:r>
        <w:rPr>
          <w:rFonts w:ascii="Times New Roman" w:hAnsi="Times New Roman" w:cs="Times New Roman"/>
          <w:sz w:val="20"/>
          <w:szCs w:val="20"/>
        </w:rPr>
        <w:t>he current concentration</w:t>
      </w:r>
      <w:r>
        <w:rPr>
          <w:rFonts w:ascii="Times New Roman" w:hAnsi="Times New Roman" w:cs="Times New Roman"/>
          <w:sz w:val="20"/>
          <w:szCs w:val="20"/>
          <w:highlight w:val="yellow"/>
        </w:rPr>
        <w:t>s</w:t>
      </w:r>
      <w:r>
        <w:rPr>
          <w:rFonts w:ascii="Times New Roman" w:hAnsi="Times New Roman" w:cs="Times New Roman"/>
          <w:sz w:val="20"/>
          <w:szCs w:val="20"/>
        </w:rPr>
        <w:t xml:space="preserve"> </w:t>
      </w:r>
      <w:r>
        <w:rPr>
          <w:rFonts w:ascii="Times New Roman" w:hAnsi="Times New Roman" w:cs="Times New Roman"/>
          <w:sz w:val="20"/>
          <w:szCs w:val="20"/>
          <w:highlight w:val="yellow"/>
        </w:rPr>
        <w:t>of heavy me</w:t>
      </w:r>
      <w:r>
        <w:rPr>
          <w:rFonts w:ascii="Times New Roman" w:hAnsi="Times New Roman" w:cs="Times New Roman"/>
          <w:sz w:val="20"/>
          <w:szCs w:val="20"/>
        </w:rPr>
        <w:t>t</w:t>
      </w:r>
      <w:r>
        <w:rPr>
          <w:rFonts w:ascii="Times New Roman" w:hAnsi="Times New Roman" w:cs="Times New Roman"/>
          <w:sz w:val="20"/>
          <w:szCs w:val="20"/>
          <w:highlight w:val="yellow"/>
        </w:rPr>
        <w:t>als with</w:t>
      </w:r>
      <w:r>
        <w:rPr>
          <w:rFonts w:ascii="Times New Roman" w:hAnsi="Times New Roman" w:cs="Times New Roman"/>
          <w:sz w:val="20"/>
          <w:szCs w:val="20"/>
        </w:rPr>
        <w:t xml:space="preserve"> their natural background levels, with higher values indicating</w:t>
      </w:r>
      <w:r>
        <w:rPr>
          <w:rFonts w:ascii="Times New Roman" w:hAnsi="Times New Roman" w:cs="Times New Roman"/>
          <w:sz w:val="20"/>
          <w:szCs w:val="20"/>
          <w:highlight w:val="yellow"/>
        </w:rPr>
        <w:t xml:space="preserve"> more</w:t>
      </w:r>
      <w:r>
        <w:rPr>
          <w:rFonts w:ascii="Times New Roman" w:hAnsi="Times New Roman" w:cs="Times New Roman"/>
          <w:sz w:val="20"/>
          <w:szCs w:val="20"/>
        </w:rPr>
        <w:t xml:space="preserve"> severe contamination (</w:t>
      </w:r>
      <w:r>
        <w:rPr>
          <w:rFonts w:ascii="Times New Roman" w:hAnsi="Times New Roman" w:cs="Times New Roman"/>
          <w:color w:val="2660F0"/>
          <w:sz w:val="20"/>
          <w:szCs w:val="20"/>
        </w:rPr>
        <w:t>Müller, 1969</w:t>
      </w:r>
      <w:r>
        <w:rPr>
          <w:rFonts w:ascii="Times New Roman" w:hAnsi="Times New Roman" w:cs="Times New Roman"/>
          <w:sz w:val="20"/>
          <w:szCs w:val="20"/>
        </w:rPr>
        <w:t xml:space="preserve">). The </w:t>
      </w:r>
      <w:r>
        <w:rPr>
          <w:rFonts w:ascii="Times New Roman" w:hAnsi="Times New Roman" w:cs="Times New Roman"/>
          <w:i/>
          <w:iCs/>
          <w:sz w:val="20"/>
          <w:szCs w:val="20"/>
        </w:rPr>
        <w:t>MPI</w:t>
      </w:r>
      <w:r>
        <w:rPr>
          <w:rFonts w:ascii="Times New Roman" w:hAnsi="Times New Roman" w:cs="Times New Roman"/>
          <w:sz w:val="20"/>
          <w:szCs w:val="20"/>
        </w:rPr>
        <w:t xml:space="preserve"> integrates the concentrations of multiple heavy metals to generate a comprehensive measure of pollution, </w:t>
      </w:r>
      <w:r>
        <w:rPr>
          <w:rFonts w:ascii="Times New Roman" w:hAnsi="Times New Roman" w:cs="Times New Roman"/>
          <w:sz w:val="20"/>
          <w:szCs w:val="20"/>
          <w:highlight w:val="yellow"/>
        </w:rPr>
        <w:t>while</w:t>
      </w:r>
      <w:r>
        <w:rPr>
          <w:rFonts w:ascii="Times New Roman" w:hAnsi="Times New Roman" w:cs="Times New Roman"/>
          <w:sz w:val="20"/>
          <w:szCs w:val="20"/>
        </w:rPr>
        <w:t xml:space="preserve"> the CF assesses the degree of contamination by calculating the ratio of metal concentration to a reference value (</w:t>
      </w:r>
      <w:r>
        <w:rPr>
          <w:rFonts w:ascii="Times New Roman" w:hAnsi="Times New Roman" w:cs="Times New Roman"/>
          <w:color w:val="2660F0"/>
          <w:sz w:val="20"/>
          <w:szCs w:val="20"/>
        </w:rPr>
        <w:t>Ahmed et al., 2024a</w:t>
      </w:r>
      <w:r>
        <w:rPr>
          <w:rFonts w:ascii="Times New Roman" w:hAnsi="Times New Roman" w:cs="Times New Roman"/>
          <w:sz w:val="20"/>
          <w:szCs w:val="20"/>
        </w:rPr>
        <w:t>). Higher index values imply g</w:t>
      </w:r>
      <w:r>
        <w:rPr>
          <w:rFonts w:ascii="Times New Roman" w:hAnsi="Times New Roman" w:cs="Times New Roman"/>
          <w:sz w:val="20"/>
          <w:szCs w:val="20"/>
          <w:highlight w:val="yellow"/>
        </w:rPr>
        <w:t>reat</w:t>
      </w:r>
      <w:r>
        <w:rPr>
          <w:rFonts w:ascii="Times New Roman" w:hAnsi="Times New Roman" w:cs="Times New Roman"/>
          <w:sz w:val="20"/>
          <w:szCs w:val="20"/>
        </w:rPr>
        <w:t xml:space="preserve">er pollution severity, usually linked to anthropogenic activities </w:t>
      </w:r>
      <w:r>
        <w:rPr>
          <w:rFonts w:ascii="Times New Roman" w:hAnsi="Times New Roman" w:cs="Times New Roman"/>
          <w:sz w:val="20"/>
          <w:szCs w:val="20"/>
          <w:highlight w:val="yellow"/>
        </w:rPr>
        <w:t>such as</w:t>
      </w:r>
      <w:r>
        <w:rPr>
          <w:rFonts w:ascii="Times New Roman" w:hAnsi="Times New Roman" w:cs="Times New Roman"/>
          <w:sz w:val="20"/>
          <w:szCs w:val="20"/>
        </w:rPr>
        <w:t xml:space="preserve"> mining, industrial emissions, and oil spills (</w:t>
      </w:r>
      <w:r>
        <w:rPr>
          <w:rFonts w:ascii="Times New Roman" w:hAnsi="Times New Roman" w:cs="Times New Roman"/>
          <w:color w:val="2660F0"/>
          <w:sz w:val="20"/>
          <w:szCs w:val="20"/>
        </w:rPr>
        <w:t>Jimoh et al., 2020</w:t>
      </w:r>
      <w:r>
        <w:rPr>
          <w:rFonts w:ascii="Times New Roman" w:hAnsi="Times New Roman" w:cs="Times New Roman"/>
          <w:sz w:val="20"/>
          <w:szCs w:val="20"/>
        </w:rPr>
        <w:t>). In combination with pollution indicators, risk assessments are crucial for evaluating the potential impacts of contamination on the environment and human health (</w:t>
      </w:r>
      <w:proofErr w:type="spellStart"/>
      <w:r>
        <w:rPr>
          <w:rFonts w:ascii="Times New Roman" w:hAnsi="Times New Roman" w:cs="Times New Roman"/>
          <w:color w:val="2660F0"/>
          <w:sz w:val="20"/>
          <w:szCs w:val="20"/>
        </w:rPr>
        <w:t>Ordinioha</w:t>
      </w:r>
      <w:proofErr w:type="spellEnd"/>
      <w:r>
        <w:rPr>
          <w:rFonts w:ascii="Times New Roman" w:hAnsi="Times New Roman" w:cs="Times New Roman"/>
          <w:color w:val="2660F0"/>
          <w:sz w:val="20"/>
          <w:szCs w:val="20"/>
        </w:rPr>
        <w:t xml:space="preserve"> &amp; </w:t>
      </w:r>
      <w:proofErr w:type="spellStart"/>
      <w:r>
        <w:rPr>
          <w:rFonts w:ascii="Times New Roman" w:hAnsi="Times New Roman" w:cs="Times New Roman"/>
          <w:color w:val="2660F0"/>
          <w:sz w:val="20"/>
          <w:szCs w:val="20"/>
        </w:rPr>
        <w:t>Brisibe</w:t>
      </w:r>
      <w:proofErr w:type="spellEnd"/>
      <w:r>
        <w:rPr>
          <w:rFonts w:ascii="Times New Roman" w:hAnsi="Times New Roman" w:cs="Times New Roman"/>
          <w:color w:val="2660F0"/>
          <w:sz w:val="20"/>
          <w:szCs w:val="20"/>
        </w:rPr>
        <w:t>, 2013</w:t>
      </w:r>
      <w:r>
        <w:rPr>
          <w:rFonts w:ascii="Times New Roman" w:hAnsi="Times New Roman" w:cs="Times New Roman"/>
          <w:sz w:val="20"/>
          <w:szCs w:val="20"/>
        </w:rPr>
        <w:t xml:space="preserve">). The </w:t>
      </w:r>
      <w:r>
        <w:rPr>
          <w:rFonts w:ascii="Times New Roman" w:hAnsi="Times New Roman" w:cs="Times New Roman"/>
          <w:sz w:val="20"/>
          <w:szCs w:val="20"/>
          <w:highlight w:val="yellow"/>
        </w:rPr>
        <w:t>P</w:t>
      </w:r>
      <w:r>
        <w:rPr>
          <w:rFonts w:ascii="Times New Roman" w:hAnsi="Times New Roman" w:cs="Times New Roman"/>
          <w:sz w:val="20"/>
          <w:szCs w:val="20"/>
        </w:rPr>
        <w:t>otential Ecological Risk Index (</w:t>
      </w:r>
      <w:r>
        <w:rPr>
          <w:rFonts w:ascii="Times New Roman" w:hAnsi="Times New Roman" w:cs="Times New Roman"/>
          <w:i/>
          <w:iCs/>
          <w:sz w:val="20"/>
          <w:szCs w:val="20"/>
        </w:rPr>
        <w:t>PERI</w:t>
      </w:r>
      <w:r>
        <w:rPr>
          <w:rFonts w:ascii="Times New Roman" w:hAnsi="Times New Roman" w:cs="Times New Roman"/>
          <w:sz w:val="20"/>
          <w:szCs w:val="20"/>
        </w:rPr>
        <w:t xml:space="preserve">) is a vital tool </w:t>
      </w:r>
      <w:r>
        <w:rPr>
          <w:rFonts w:ascii="Times New Roman" w:hAnsi="Times New Roman" w:cs="Times New Roman"/>
          <w:sz w:val="20"/>
          <w:szCs w:val="20"/>
          <w:highlight w:val="yellow"/>
        </w:rPr>
        <w:t>f</w:t>
      </w:r>
      <w:r>
        <w:rPr>
          <w:rFonts w:ascii="Times New Roman" w:hAnsi="Times New Roman" w:cs="Times New Roman"/>
          <w:sz w:val="20"/>
          <w:szCs w:val="20"/>
        </w:rPr>
        <w:t>o</w:t>
      </w:r>
      <w:r>
        <w:rPr>
          <w:rFonts w:ascii="Times New Roman" w:hAnsi="Times New Roman" w:cs="Times New Roman"/>
          <w:sz w:val="20"/>
          <w:szCs w:val="20"/>
          <w:highlight w:val="yellow"/>
        </w:rPr>
        <w:t>r</w:t>
      </w:r>
      <w:r>
        <w:rPr>
          <w:rFonts w:ascii="Times New Roman" w:hAnsi="Times New Roman" w:cs="Times New Roman"/>
          <w:sz w:val="20"/>
          <w:szCs w:val="20"/>
        </w:rPr>
        <w:t xml:space="preserve"> assess</w:t>
      </w:r>
      <w:r>
        <w:rPr>
          <w:rFonts w:ascii="Times New Roman" w:hAnsi="Times New Roman" w:cs="Times New Roman"/>
          <w:sz w:val="20"/>
          <w:szCs w:val="20"/>
          <w:highlight w:val="yellow"/>
        </w:rPr>
        <w:t>ing</w:t>
      </w:r>
      <w:r>
        <w:rPr>
          <w:rFonts w:ascii="Times New Roman" w:hAnsi="Times New Roman" w:cs="Times New Roman"/>
          <w:sz w:val="20"/>
          <w:szCs w:val="20"/>
        </w:rPr>
        <w:t xml:space="preserve"> </w:t>
      </w:r>
      <w:r>
        <w:rPr>
          <w:rFonts w:ascii="Times New Roman" w:hAnsi="Times New Roman" w:cs="Times New Roman"/>
          <w:sz w:val="20"/>
          <w:szCs w:val="20"/>
          <w:highlight w:val="yellow"/>
        </w:rPr>
        <w:t>t</w:t>
      </w:r>
      <w:r>
        <w:rPr>
          <w:rFonts w:ascii="Times New Roman" w:hAnsi="Times New Roman" w:cs="Times New Roman"/>
          <w:sz w:val="20"/>
          <w:szCs w:val="20"/>
        </w:rPr>
        <w:t xml:space="preserve">he ecological risks </w:t>
      </w:r>
      <w:r>
        <w:rPr>
          <w:rFonts w:ascii="Times New Roman" w:hAnsi="Times New Roman" w:cs="Times New Roman"/>
          <w:sz w:val="20"/>
          <w:szCs w:val="20"/>
          <w:highlight w:val="yellow"/>
        </w:rPr>
        <w:t xml:space="preserve">of heavy metals </w:t>
      </w:r>
      <w:r>
        <w:rPr>
          <w:rFonts w:ascii="Times New Roman" w:hAnsi="Times New Roman" w:cs="Times New Roman"/>
          <w:sz w:val="20"/>
          <w:szCs w:val="20"/>
        </w:rPr>
        <w:t>by providing a</w:t>
      </w:r>
      <w:r>
        <w:rPr>
          <w:rFonts w:ascii="Times New Roman" w:hAnsi="Times New Roman" w:cs="Times New Roman"/>
          <w:sz w:val="20"/>
          <w:szCs w:val="20"/>
          <w:highlight w:val="yellow"/>
        </w:rPr>
        <w:t>n</w:t>
      </w:r>
      <w:r>
        <w:rPr>
          <w:rFonts w:ascii="Times New Roman" w:hAnsi="Times New Roman" w:cs="Times New Roman"/>
          <w:sz w:val="20"/>
          <w:szCs w:val="20"/>
        </w:rPr>
        <w:t xml:space="preserve"> </w:t>
      </w:r>
      <w:r>
        <w:rPr>
          <w:rFonts w:ascii="Times New Roman" w:hAnsi="Times New Roman" w:cs="Times New Roman"/>
          <w:sz w:val="20"/>
          <w:szCs w:val="20"/>
          <w:highlight w:val="yellow"/>
        </w:rPr>
        <w:t>int</w:t>
      </w:r>
      <w:r>
        <w:rPr>
          <w:rFonts w:ascii="Times New Roman" w:hAnsi="Times New Roman" w:cs="Times New Roman"/>
          <w:sz w:val="20"/>
          <w:szCs w:val="20"/>
        </w:rPr>
        <w:t>e</w:t>
      </w:r>
      <w:r>
        <w:rPr>
          <w:rFonts w:ascii="Times New Roman" w:hAnsi="Times New Roman" w:cs="Times New Roman"/>
          <w:sz w:val="20"/>
          <w:szCs w:val="20"/>
          <w:highlight w:val="yellow"/>
        </w:rPr>
        <w:t>grat</w:t>
      </w:r>
      <w:r>
        <w:rPr>
          <w:rFonts w:ascii="Times New Roman" w:hAnsi="Times New Roman" w:cs="Times New Roman"/>
          <w:sz w:val="20"/>
          <w:szCs w:val="20"/>
        </w:rPr>
        <w:t>e</w:t>
      </w:r>
      <w:r>
        <w:rPr>
          <w:rFonts w:ascii="Times New Roman" w:hAnsi="Times New Roman" w:cs="Times New Roman"/>
          <w:sz w:val="20"/>
          <w:szCs w:val="20"/>
          <w:highlight w:val="yellow"/>
        </w:rPr>
        <w:t>d</w:t>
      </w:r>
      <w:r>
        <w:rPr>
          <w:rFonts w:ascii="Times New Roman" w:hAnsi="Times New Roman" w:cs="Times New Roman"/>
          <w:sz w:val="20"/>
          <w:szCs w:val="20"/>
        </w:rPr>
        <w:t xml:space="preserve"> measure of the potential harm caused by specific metals based on their toxicity and environmental concentration</w:t>
      </w:r>
      <w:r>
        <w:rPr>
          <w:rFonts w:ascii="Times New Roman" w:hAnsi="Times New Roman" w:cs="Times New Roman"/>
          <w:sz w:val="20"/>
          <w:szCs w:val="20"/>
          <w:highlight w:val="yellow"/>
        </w:rPr>
        <w:t>s</w:t>
      </w:r>
      <w:r>
        <w:rPr>
          <w:rFonts w:ascii="Times New Roman" w:hAnsi="Times New Roman" w:cs="Times New Roman"/>
          <w:sz w:val="20"/>
          <w:szCs w:val="20"/>
        </w:rPr>
        <w:t xml:space="preserve"> (</w:t>
      </w:r>
      <w:r>
        <w:rPr>
          <w:rFonts w:ascii="Times New Roman" w:hAnsi="Times New Roman" w:cs="Times New Roman"/>
          <w:color w:val="2660F0"/>
          <w:sz w:val="20"/>
          <w:szCs w:val="20"/>
        </w:rPr>
        <w:t>Bello et al., 2019</w:t>
      </w:r>
      <w:r>
        <w:rPr>
          <w:rFonts w:ascii="Times New Roman" w:hAnsi="Times New Roman" w:cs="Times New Roman"/>
          <w:color w:val="000000" w:themeColor="text1"/>
          <w:sz w:val="20"/>
          <w:szCs w:val="20"/>
        </w:rPr>
        <w:t>;</w:t>
      </w:r>
      <w:r>
        <w:rPr>
          <w:rFonts w:ascii="Times New Roman" w:hAnsi="Times New Roman" w:cs="Times New Roman"/>
          <w:color w:val="2660F0"/>
          <w:sz w:val="20"/>
          <w:szCs w:val="20"/>
        </w:rPr>
        <w:t xml:space="preserve"> Ahmed et al., 2024e</w:t>
      </w:r>
      <w:r>
        <w:rPr>
          <w:rFonts w:ascii="Times New Roman" w:hAnsi="Times New Roman" w:cs="Times New Roman"/>
          <w:sz w:val="20"/>
          <w:szCs w:val="20"/>
        </w:rPr>
        <w:t xml:space="preserve">). </w:t>
      </w:r>
      <w:r>
        <w:rPr>
          <w:rFonts w:ascii="Times New Roman" w:hAnsi="Times New Roman" w:cs="Times New Roman"/>
          <w:i/>
          <w:iCs/>
          <w:sz w:val="20"/>
          <w:szCs w:val="20"/>
        </w:rPr>
        <w:t>MPI</w:t>
      </w:r>
      <w:r>
        <w:rPr>
          <w:rFonts w:ascii="Times New Roman" w:hAnsi="Times New Roman" w:cs="Times New Roman"/>
          <w:sz w:val="20"/>
          <w:szCs w:val="20"/>
        </w:rPr>
        <w:t xml:space="preserve"> and </w:t>
      </w:r>
      <w:r>
        <w:rPr>
          <w:rFonts w:ascii="Times New Roman" w:hAnsi="Times New Roman" w:cs="Times New Roman"/>
          <w:i/>
          <w:iCs/>
          <w:sz w:val="20"/>
          <w:szCs w:val="20"/>
        </w:rPr>
        <w:t>PERI</w:t>
      </w:r>
      <w:r>
        <w:rPr>
          <w:rFonts w:ascii="Times New Roman" w:hAnsi="Times New Roman" w:cs="Times New Roman"/>
          <w:sz w:val="20"/>
          <w:szCs w:val="20"/>
        </w:rPr>
        <w:t xml:space="preserve"> are i</w:t>
      </w:r>
      <w:r>
        <w:rPr>
          <w:rFonts w:ascii="Times New Roman" w:hAnsi="Times New Roman" w:cs="Times New Roman"/>
          <w:sz w:val="20"/>
          <w:szCs w:val="20"/>
          <w:highlight w:val="yellow"/>
        </w:rPr>
        <w:t>mport</w:t>
      </w:r>
      <w:r>
        <w:rPr>
          <w:rFonts w:ascii="Times New Roman" w:hAnsi="Times New Roman" w:cs="Times New Roman"/>
          <w:sz w:val="20"/>
          <w:szCs w:val="20"/>
        </w:rPr>
        <w:t xml:space="preserve">ant </w:t>
      </w:r>
      <w:r>
        <w:rPr>
          <w:rFonts w:ascii="Times New Roman" w:hAnsi="Times New Roman" w:cs="Times New Roman"/>
          <w:sz w:val="20"/>
          <w:szCs w:val="20"/>
          <w:highlight w:val="yellow"/>
        </w:rPr>
        <w:t>for</w:t>
      </w:r>
      <w:r>
        <w:rPr>
          <w:rFonts w:ascii="Times New Roman" w:hAnsi="Times New Roman" w:cs="Times New Roman"/>
          <w:sz w:val="20"/>
          <w:szCs w:val="20"/>
        </w:rPr>
        <w:t xml:space="preserve"> assessing ecological risks and environmental contamination levels. Monitoring these environmental</w:t>
      </w:r>
      <w:r>
        <w:rPr>
          <w:rFonts w:ascii="Times New Roman" w:hAnsi="Times New Roman" w:cs="Times New Roman"/>
          <w:sz w:val="20"/>
          <w:szCs w:val="20"/>
          <w:highlight w:val="yellow"/>
        </w:rPr>
        <w:t>-</w:t>
      </w:r>
      <w:r>
        <w:rPr>
          <w:rFonts w:ascii="Times New Roman" w:hAnsi="Times New Roman" w:cs="Times New Roman"/>
          <w:sz w:val="20"/>
          <w:szCs w:val="20"/>
        </w:rPr>
        <w:t>quality indicators is crucial for evaluating overall ecosystem health, as they pr</w:t>
      </w:r>
      <w:r>
        <w:rPr>
          <w:rFonts w:ascii="Times New Roman" w:hAnsi="Times New Roman" w:cs="Times New Roman"/>
          <w:sz w:val="20"/>
          <w:szCs w:val="20"/>
          <w:highlight w:val="yellow"/>
        </w:rPr>
        <w:t>ovid</w:t>
      </w:r>
      <w:r>
        <w:rPr>
          <w:rFonts w:ascii="Times New Roman" w:hAnsi="Times New Roman" w:cs="Times New Roman"/>
          <w:sz w:val="20"/>
          <w:szCs w:val="20"/>
        </w:rPr>
        <w:t>e integrated measures of contamination levels (</w:t>
      </w:r>
      <w:r>
        <w:rPr>
          <w:rFonts w:ascii="Times New Roman" w:hAnsi="Times New Roman" w:cs="Times New Roman"/>
          <w:color w:val="2660F0"/>
          <w:sz w:val="20"/>
          <w:szCs w:val="20"/>
        </w:rPr>
        <w:t>Rahman et al., 2019</w:t>
      </w:r>
      <w:r>
        <w:rPr>
          <w:rFonts w:ascii="Times New Roman" w:hAnsi="Times New Roman" w:cs="Times New Roman"/>
          <w:color w:val="000000" w:themeColor="text1"/>
          <w:sz w:val="20"/>
          <w:szCs w:val="20"/>
        </w:rPr>
        <w:t xml:space="preserve">; </w:t>
      </w:r>
      <w:r>
        <w:rPr>
          <w:rFonts w:ascii="Times New Roman" w:hAnsi="Times New Roman" w:cs="Times New Roman"/>
          <w:color w:val="2660F0"/>
          <w:sz w:val="20"/>
          <w:szCs w:val="20"/>
        </w:rPr>
        <w:t>Ahmed et al., 2024a</w:t>
      </w:r>
      <w:r>
        <w:rPr>
          <w:rFonts w:ascii="Times New Roman" w:hAnsi="Times New Roman" w:cs="Times New Roman"/>
          <w:sz w:val="20"/>
          <w:szCs w:val="20"/>
        </w:rPr>
        <w:t xml:space="preserve">). Elevated </w:t>
      </w:r>
      <w:r>
        <w:rPr>
          <w:rFonts w:ascii="Times New Roman" w:hAnsi="Times New Roman" w:cs="Times New Roman"/>
          <w:i/>
          <w:iCs/>
          <w:sz w:val="20"/>
          <w:szCs w:val="20"/>
        </w:rPr>
        <w:t>PERI</w:t>
      </w:r>
      <w:r>
        <w:rPr>
          <w:rFonts w:ascii="Times New Roman" w:hAnsi="Times New Roman" w:cs="Times New Roman"/>
          <w:sz w:val="20"/>
          <w:szCs w:val="20"/>
        </w:rPr>
        <w:t xml:space="preserve"> and </w:t>
      </w:r>
      <w:r>
        <w:rPr>
          <w:rFonts w:ascii="Times New Roman" w:hAnsi="Times New Roman" w:cs="Times New Roman"/>
          <w:i/>
          <w:iCs/>
          <w:sz w:val="20"/>
          <w:szCs w:val="20"/>
        </w:rPr>
        <w:t>HPI</w:t>
      </w:r>
      <w:r>
        <w:rPr>
          <w:rFonts w:ascii="Times New Roman" w:hAnsi="Times New Roman" w:cs="Times New Roman"/>
          <w:sz w:val="20"/>
          <w:szCs w:val="20"/>
        </w:rPr>
        <w:t xml:space="preserve"> values typically imply </w:t>
      </w:r>
      <w:r>
        <w:rPr>
          <w:rFonts w:ascii="Times New Roman" w:hAnsi="Times New Roman" w:cs="Times New Roman"/>
          <w:sz w:val="20"/>
          <w:szCs w:val="20"/>
          <w:highlight w:val="yellow"/>
        </w:rPr>
        <w:t xml:space="preserve">that </w:t>
      </w:r>
      <w:r>
        <w:rPr>
          <w:rFonts w:ascii="Times New Roman" w:hAnsi="Times New Roman" w:cs="Times New Roman"/>
          <w:sz w:val="20"/>
          <w:szCs w:val="20"/>
        </w:rPr>
        <w:t>higher metal concentrations have detrimental environmental effects, including soil degradation and biodiversity disruption (</w:t>
      </w:r>
      <w:r>
        <w:rPr>
          <w:rFonts w:ascii="Times New Roman" w:hAnsi="Times New Roman" w:cs="Times New Roman"/>
          <w:color w:val="2660F0"/>
          <w:sz w:val="20"/>
          <w:szCs w:val="20"/>
        </w:rPr>
        <w:t>Jimoh et al., 2020</w:t>
      </w:r>
      <w:r>
        <w:rPr>
          <w:rFonts w:ascii="Times New Roman" w:hAnsi="Times New Roman" w:cs="Times New Roman"/>
          <w:color w:val="000000" w:themeColor="text1"/>
          <w:sz w:val="20"/>
          <w:szCs w:val="20"/>
        </w:rPr>
        <w:t>;</w:t>
      </w:r>
      <w:r>
        <w:rPr>
          <w:rFonts w:ascii="Times New Roman" w:hAnsi="Times New Roman" w:cs="Times New Roman"/>
          <w:color w:val="2660F0"/>
          <w:sz w:val="20"/>
          <w:szCs w:val="20"/>
        </w:rPr>
        <w:t xml:space="preserve"> Ahmed et al., 2024b</w:t>
      </w:r>
      <w:r>
        <w:rPr>
          <w:rFonts w:ascii="Times New Roman" w:hAnsi="Times New Roman" w:cs="Times New Roman"/>
          <w:sz w:val="20"/>
          <w:szCs w:val="20"/>
        </w:rPr>
        <w:t xml:space="preserve">). </w:t>
      </w:r>
      <w:r>
        <w:rPr>
          <w:rFonts w:ascii="Times New Roman" w:hAnsi="Times New Roman" w:cs="Times New Roman"/>
          <w:sz w:val="20"/>
          <w:szCs w:val="20"/>
          <w:highlight w:val="yellow"/>
        </w:rPr>
        <w:t>A</w:t>
      </w:r>
      <w:r>
        <w:rPr>
          <w:rFonts w:ascii="Times New Roman" w:hAnsi="Times New Roman" w:cs="Times New Roman"/>
          <w:sz w:val="20"/>
          <w:szCs w:val="20"/>
        </w:rPr>
        <w:t>ccumulation</w:t>
      </w:r>
      <w:r>
        <w:rPr>
          <w:rFonts w:ascii="Times New Roman" w:hAnsi="Times New Roman" w:cs="Times New Roman"/>
          <w:sz w:val="20"/>
          <w:szCs w:val="20"/>
          <w:highlight w:val="yellow"/>
        </w:rPr>
        <w:t xml:space="preserve"> of these metal</w:t>
      </w:r>
      <w:r>
        <w:rPr>
          <w:rFonts w:ascii="Times New Roman" w:hAnsi="Times New Roman" w:cs="Times New Roman"/>
          <w:sz w:val="20"/>
          <w:szCs w:val="20"/>
        </w:rPr>
        <w:t xml:space="preserve">s in organisms can </w:t>
      </w:r>
      <w:r>
        <w:rPr>
          <w:rFonts w:ascii="Times New Roman" w:hAnsi="Times New Roman" w:cs="Times New Roman"/>
          <w:sz w:val="20"/>
          <w:szCs w:val="20"/>
          <w:highlight w:val="yellow"/>
        </w:rPr>
        <w:t>p</w:t>
      </w:r>
      <w:r>
        <w:rPr>
          <w:rFonts w:ascii="Times New Roman" w:hAnsi="Times New Roman" w:cs="Times New Roman"/>
          <w:sz w:val="20"/>
          <w:szCs w:val="20"/>
        </w:rPr>
        <w:t>ose considerable risks to human and animal health</w:t>
      </w:r>
      <w:r>
        <w:rPr>
          <w:rFonts w:ascii="Times New Roman" w:hAnsi="Times New Roman" w:cs="Times New Roman"/>
          <w:sz w:val="20"/>
          <w:szCs w:val="20"/>
          <w:highlight w:val="yellow"/>
        </w:rPr>
        <w:t xml:space="preserve"> where populations</w:t>
      </w:r>
      <w:r>
        <w:rPr>
          <w:rFonts w:ascii="Times New Roman" w:hAnsi="Times New Roman" w:cs="Times New Roman"/>
          <w:sz w:val="20"/>
          <w:szCs w:val="20"/>
        </w:rPr>
        <w:t xml:space="preserve"> rely on these ecosystems for sustenance (</w:t>
      </w:r>
      <w:proofErr w:type="spellStart"/>
      <w:r>
        <w:rPr>
          <w:rFonts w:ascii="Times New Roman" w:hAnsi="Times New Roman" w:cs="Times New Roman"/>
          <w:color w:val="2660F0"/>
          <w:sz w:val="20"/>
          <w:szCs w:val="20"/>
        </w:rPr>
        <w:t>Kacholi</w:t>
      </w:r>
      <w:proofErr w:type="spellEnd"/>
      <w:r>
        <w:rPr>
          <w:rFonts w:ascii="Times New Roman" w:hAnsi="Times New Roman" w:cs="Times New Roman"/>
          <w:color w:val="2660F0"/>
          <w:sz w:val="20"/>
          <w:szCs w:val="20"/>
        </w:rPr>
        <w:t xml:space="preserve"> &amp; Sahu, 2018</w:t>
      </w:r>
      <w:r>
        <w:rPr>
          <w:rFonts w:ascii="Times New Roman" w:hAnsi="Times New Roman" w:cs="Times New Roman"/>
          <w:sz w:val="20"/>
          <w:szCs w:val="20"/>
        </w:rPr>
        <w:t>). Likewise, lower values of these indices suggest reduced contamination levels, contributing to healthier and more sustainable ecosystems (</w:t>
      </w:r>
      <w:r>
        <w:rPr>
          <w:rFonts w:ascii="Times New Roman" w:hAnsi="Times New Roman" w:cs="Times New Roman"/>
          <w:color w:val="2660F0"/>
          <w:sz w:val="20"/>
          <w:szCs w:val="20"/>
        </w:rPr>
        <w:t>Li et al., 2012</w:t>
      </w:r>
      <w:r>
        <w:rPr>
          <w:rFonts w:ascii="Times New Roman" w:hAnsi="Times New Roman" w:cs="Times New Roman"/>
          <w:sz w:val="20"/>
          <w:szCs w:val="20"/>
        </w:rPr>
        <w:t>).</w:t>
      </w:r>
      <w:r>
        <w:rPr>
          <w:rFonts w:ascii="Times New Roman" w:eastAsia="Times New Roman" w:hAnsi="Times New Roman"/>
          <w:b/>
          <w:sz w:val="20"/>
          <w:highlight w:val="yellow"/>
        </w:rPr>
        <w:t xml:space="preserve"> A recent assessment of oil-producing areas in southern Nigeria likewise showed that the combined use of contamination factors, </w:t>
      </w:r>
      <w:proofErr w:type="spellStart"/>
      <w:r>
        <w:rPr>
          <w:rFonts w:ascii="Times New Roman" w:eastAsia="Times New Roman" w:hAnsi="Times New Roman"/>
          <w:b/>
          <w:sz w:val="20"/>
          <w:highlight w:val="yellow"/>
        </w:rPr>
        <w:t>geoaccumulation</w:t>
      </w:r>
      <w:proofErr w:type="spellEnd"/>
      <w:r>
        <w:rPr>
          <w:rFonts w:ascii="Times New Roman" w:eastAsia="Times New Roman" w:hAnsi="Times New Roman"/>
          <w:b/>
          <w:sz w:val="20"/>
          <w:highlight w:val="yellow"/>
        </w:rPr>
        <w:t xml:space="preserve"> indices, and ecological risk indices can distinguish overall risk conditions from </w:t>
      </w:r>
      <w:proofErr w:type="spellStart"/>
      <w:r>
        <w:rPr>
          <w:rFonts w:ascii="Times New Roman" w:eastAsia="Times New Roman" w:hAnsi="Times New Roman"/>
          <w:b/>
          <w:sz w:val="20"/>
          <w:highlight w:val="yellow"/>
        </w:rPr>
        <w:t>localised</w:t>
      </w:r>
      <w:proofErr w:type="spellEnd"/>
      <w:r>
        <w:rPr>
          <w:rFonts w:ascii="Times New Roman" w:eastAsia="Times New Roman" w:hAnsi="Times New Roman"/>
          <w:b/>
          <w:sz w:val="20"/>
          <w:highlight w:val="yellow"/>
        </w:rPr>
        <w:t xml:space="preserve"> cadmium enrichment and thereby support monitoring priorities (Ubong et al., 2026).</w:t>
      </w:r>
    </w:p>
    <w:p w14:paraId="060BDCFE" w14:textId="77777777" w:rsidR="0078175C" w:rsidRDefault="004110B9" w:rsidP="0078175C">
      <w:pPr>
        <w:spacing w:after="0" w:line="240" w:lineRule="auto"/>
        <w:ind w:firstLine="426"/>
        <w:jc w:val="both"/>
        <w:outlineLvl w:val="3"/>
        <w:rPr>
          <w:rFonts w:ascii="Times New Roman" w:hAnsi="Times New Roman" w:cs="Times New Roman"/>
          <w:color w:val="000000" w:themeColor="text1"/>
          <w:sz w:val="20"/>
          <w:szCs w:val="20"/>
        </w:rPr>
      </w:pPr>
      <w:r>
        <w:rPr>
          <w:rFonts w:ascii="Times New Roman" w:hAnsi="Times New Roman" w:cs="Times New Roman"/>
          <w:sz w:val="20"/>
          <w:szCs w:val="20"/>
        </w:rPr>
        <w:t xml:space="preserve">Understanding and managing pollution indices, potential risks, contaminant levels, and their distributions </w:t>
      </w:r>
      <w:r>
        <w:rPr>
          <w:rFonts w:ascii="Times New Roman" w:hAnsi="Times New Roman" w:cs="Times New Roman"/>
          <w:sz w:val="20"/>
          <w:szCs w:val="20"/>
          <w:highlight w:val="yellow"/>
        </w:rPr>
        <w:t>across</w:t>
      </w:r>
      <w:r>
        <w:rPr>
          <w:rFonts w:ascii="Times New Roman" w:hAnsi="Times New Roman" w:cs="Times New Roman"/>
          <w:sz w:val="20"/>
          <w:szCs w:val="20"/>
        </w:rPr>
        <w:t xml:space="preserve"> geographic locations over specific periods </w:t>
      </w:r>
      <w:r>
        <w:rPr>
          <w:rFonts w:ascii="Times New Roman" w:hAnsi="Times New Roman" w:cs="Times New Roman"/>
          <w:sz w:val="20"/>
          <w:szCs w:val="20"/>
          <w:highlight w:val="yellow"/>
        </w:rPr>
        <w:t>are</w:t>
      </w:r>
      <w:r>
        <w:rPr>
          <w:rFonts w:ascii="Times New Roman" w:hAnsi="Times New Roman" w:cs="Times New Roman"/>
          <w:sz w:val="20"/>
          <w:szCs w:val="20"/>
        </w:rPr>
        <w:t xml:space="preserve"> crucial for</w:t>
      </w:r>
      <w:r>
        <w:rPr>
          <w:rFonts w:ascii="Times New Roman" w:hAnsi="Times New Roman" w:cs="Times New Roman"/>
          <w:sz w:val="20"/>
          <w:szCs w:val="20"/>
          <w:highlight w:val="yellow"/>
        </w:rPr>
        <w:t xml:space="preserve"> the</w:t>
      </w:r>
      <w:r>
        <w:rPr>
          <w:rFonts w:ascii="Times New Roman" w:hAnsi="Times New Roman" w:cs="Times New Roman"/>
          <w:sz w:val="20"/>
          <w:szCs w:val="20"/>
        </w:rPr>
        <w:t xml:space="preserve"> sustainable environmental management of oil-impacted sites (</w:t>
      </w:r>
      <w:r>
        <w:rPr>
          <w:rFonts w:ascii="Times New Roman" w:hAnsi="Times New Roman" w:cs="Times New Roman"/>
          <w:color w:val="2660F0"/>
          <w:sz w:val="20"/>
          <w:szCs w:val="20"/>
        </w:rPr>
        <w:t>Mohamed et al., 2024</w:t>
      </w:r>
      <w:r>
        <w:rPr>
          <w:rFonts w:ascii="Times New Roman" w:hAnsi="Times New Roman" w:cs="Times New Roman"/>
          <w:sz w:val="20"/>
          <w:szCs w:val="20"/>
        </w:rPr>
        <w:t xml:space="preserve">). </w:t>
      </w:r>
      <w:r>
        <w:rPr>
          <w:rFonts w:ascii="Times New Roman" w:hAnsi="Times New Roman" w:cs="Times New Roman"/>
          <w:sz w:val="20"/>
          <w:szCs w:val="20"/>
          <w:highlight w:val="yellow"/>
        </w:rPr>
        <w:t>By</w:t>
      </w:r>
      <w:r>
        <w:rPr>
          <w:rFonts w:ascii="Times New Roman" w:hAnsi="Times New Roman" w:cs="Times New Roman"/>
          <w:sz w:val="20"/>
          <w:szCs w:val="20"/>
        </w:rPr>
        <w:t xml:space="preserve"> tracking pollution levels and assessing associated risks, the current health and quality</w:t>
      </w:r>
      <w:r>
        <w:rPr>
          <w:rFonts w:ascii="Times New Roman" w:hAnsi="Times New Roman" w:cs="Times New Roman"/>
          <w:sz w:val="20"/>
          <w:szCs w:val="20"/>
          <w:highlight w:val="yellow"/>
        </w:rPr>
        <w:t xml:space="preserve"> of a site</w:t>
      </w:r>
      <w:r>
        <w:rPr>
          <w:rFonts w:ascii="Times New Roman" w:hAnsi="Times New Roman" w:cs="Times New Roman"/>
          <w:sz w:val="20"/>
          <w:szCs w:val="20"/>
        </w:rPr>
        <w:t xml:space="preserve"> can be determined, making it possible to implement targeted strategies to mitigate the harmful effects of heavy</w:t>
      </w:r>
      <w:r>
        <w:rPr>
          <w:rFonts w:ascii="Times New Roman" w:hAnsi="Times New Roman" w:cs="Times New Roman"/>
          <w:sz w:val="20"/>
          <w:szCs w:val="20"/>
          <w:highlight w:val="yellow"/>
        </w:rPr>
        <w:t>-</w:t>
      </w:r>
      <w:r>
        <w:rPr>
          <w:rFonts w:ascii="Times New Roman" w:hAnsi="Times New Roman" w:cs="Times New Roman"/>
          <w:sz w:val="20"/>
          <w:szCs w:val="20"/>
        </w:rPr>
        <w:t>metal pollution (</w:t>
      </w:r>
      <w:r>
        <w:rPr>
          <w:rFonts w:ascii="Times New Roman" w:hAnsi="Times New Roman" w:cs="Times New Roman"/>
          <w:color w:val="2660F0"/>
          <w:sz w:val="20"/>
          <w:szCs w:val="20"/>
        </w:rPr>
        <w:t>N</w:t>
      </w:r>
      <w:r>
        <w:rPr>
          <w:rFonts w:ascii="Times New Roman" w:hAnsi="Times New Roman" w:cs="Times New Roman"/>
          <w:color w:val="2660F0"/>
          <w:sz w:val="20"/>
          <w:szCs w:val="20"/>
          <w:highlight w:val="yellow"/>
        </w:rPr>
        <w:t>i</w:t>
      </w:r>
      <w:r>
        <w:rPr>
          <w:rFonts w:ascii="Times New Roman" w:hAnsi="Times New Roman" w:cs="Times New Roman"/>
          <w:color w:val="2660F0"/>
          <w:sz w:val="20"/>
          <w:szCs w:val="20"/>
        </w:rPr>
        <w:t>eder</w:t>
      </w:r>
      <w:r>
        <w:rPr>
          <w:rFonts w:ascii="Times New Roman" w:hAnsi="Times New Roman" w:cs="Times New Roman"/>
          <w:color w:val="2660F0"/>
          <w:sz w:val="20"/>
          <w:szCs w:val="20"/>
          <w:highlight w:val="yellow"/>
        </w:rPr>
        <w:t xml:space="preserve"> et</w:t>
      </w:r>
      <w:r>
        <w:rPr>
          <w:rFonts w:ascii="Times New Roman" w:hAnsi="Times New Roman" w:cs="Times New Roman"/>
          <w:color w:val="2660F0"/>
          <w:sz w:val="20"/>
          <w:szCs w:val="20"/>
        </w:rPr>
        <w:t xml:space="preserve"> al., 2018</w:t>
      </w:r>
      <w:r>
        <w:rPr>
          <w:rFonts w:ascii="Times New Roman" w:hAnsi="Times New Roman" w:cs="Times New Roman"/>
          <w:sz w:val="20"/>
          <w:szCs w:val="20"/>
        </w:rPr>
        <w:t>), thereby ensuring the protection and restoration of ecosystems and the well-being of human populations that depend on these ecosystems for water, food, and other resources (</w:t>
      </w:r>
      <w:r>
        <w:rPr>
          <w:rFonts w:ascii="Times New Roman" w:hAnsi="Times New Roman" w:cs="Times New Roman"/>
          <w:color w:val="2660F0"/>
          <w:sz w:val="20"/>
          <w:szCs w:val="20"/>
        </w:rPr>
        <w:t>Perera et al., 2024</w:t>
      </w:r>
      <w:r>
        <w:rPr>
          <w:rFonts w:ascii="Times New Roman" w:hAnsi="Times New Roman" w:cs="Times New Roman"/>
          <w:sz w:val="20"/>
          <w:szCs w:val="20"/>
        </w:rPr>
        <w:t xml:space="preserve">). These indices and assessments are particularly relevant for regions </w:t>
      </w:r>
      <w:r>
        <w:rPr>
          <w:rFonts w:ascii="Times New Roman" w:hAnsi="Times New Roman" w:cs="Times New Roman"/>
          <w:sz w:val="20"/>
          <w:szCs w:val="20"/>
          <w:highlight w:val="yellow"/>
        </w:rPr>
        <w:t>such as</w:t>
      </w:r>
      <w:r>
        <w:rPr>
          <w:rFonts w:ascii="Times New Roman" w:hAnsi="Times New Roman" w:cs="Times New Roman"/>
          <w:sz w:val="20"/>
          <w:szCs w:val="20"/>
        </w:rPr>
        <w:t xml:space="preserve"> the Niger Delta, where oil spills and industrial activities have led to widespread pollution of water, soil, and the food chain (</w:t>
      </w:r>
      <w:r>
        <w:rPr>
          <w:rFonts w:ascii="Times New Roman" w:hAnsi="Times New Roman" w:cs="Times New Roman"/>
          <w:color w:val="2660F0"/>
          <w:sz w:val="20"/>
          <w:szCs w:val="20"/>
        </w:rPr>
        <w:t>Muhammad et al., 2024</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Eleme Local Government Area (LGA), in the Niger Delta, has been particularly affected by oil spills, resulting in extensive soil contamination</w:t>
      </w:r>
      <w:r>
        <w:rPr>
          <w:rFonts w:ascii="Times New Roman" w:hAnsi="Times New Roman" w:cs="Times New Roman"/>
          <w:color w:val="FF0000"/>
          <w:sz w:val="20"/>
          <w:szCs w:val="20"/>
        </w:rPr>
        <w:t xml:space="preserve"> </w:t>
      </w:r>
      <w:r>
        <w:rPr>
          <w:rFonts w:ascii="Times New Roman" w:hAnsi="Times New Roman" w:cs="Times New Roman"/>
          <w:sz w:val="20"/>
          <w:szCs w:val="20"/>
        </w:rPr>
        <w:t>(</w:t>
      </w:r>
      <w:r>
        <w:rPr>
          <w:rFonts w:ascii="Times New Roman" w:hAnsi="Times New Roman" w:cs="Times New Roman"/>
          <w:color w:val="2660F0"/>
          <w:sz w:val="20"/>
          <w:szCs w:val="20"/>
        </w:rPr>
        <w:t>Ahmed et al., 2024e</w:t>
      </w:r>
      <w:r>
        <w:rPr>
          <w:rFonts w:ascii="Times New Roman" w:hAnsi="Times New Roman" w:cs="Times New Roman"/>
          <w:color w:val="000000" w:themeColor="text1"/>
          <w:sz w:val="20"/>
          <w:szCs w:val="20"/>
        </w:rPr>
        <w:t>;</w:t>
      </w:r>
      <w:r>
        <w:rPr>
          <w:rFonts w:ascii="Times New Roman" w:hAnsi="Times New Roman" w:cs="Times New Roman"/>
          <w:color w:val="2660F0"/>
          <w:sz w:val="20"/>
          <w:szCs w:val="20"/>
        </w:rPr>
        <w:t xml:space="preserve"> </w:t>
      </w:r>
      <w:proofErr w:type="spellStart"/>
      <w:r>
        <w:rPr>
          <w:rFonts w:ascii="Times New Roman" w:hAnsi="Times New Roman" w:cs="Times New Roman"/>
          <w:color w:val="2660F0"/>
          <w:sz w:val="20"/>
          <w:szCs w:val="20"/>
        </w:rPr>
        <w:t>Onomhoale</w:t>
      </w:r>
      <w:proofErr w:type="spellEnd"/>
      <w:r>
        <w:rPr>
          <w:rFonts w:ascii="Times New Roman" w:hAnsi="Times New Roman" w:cs="Times New Roman"/>
          <w:color w:val="2660F0"/>
          <w:sz w:val="20"/>
          <w:szCs w:val="20"/>
        </w:rPr>
        <w:t xml:space="preserve"> et al., 2025a</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 xml:space="preserve">The inorganic residues, particularly heavy metals, left behind by these spills pose significant risks to environmental health and human well-being. </w:t>
      </w:r>
      <w:r>
        <w:rPr>
          <w:rFonts w:ascii="Times New Roman" w:hAnsi="Times New Roman" w:cs="Times New Roman"/>
          <w:sz w:val="20"/>
          <w:szCs w:val="20"/>
        </w:rPr>
        <w:t>The challenge of effectively mapping and monitoring these contaminants</w:t>
      </w:r>
      <w:r>
        <w:rPr>
          <w:rFonts w:ascii="Times New Roman" w:hAnsi="Times New Roman" w:cs="Times New Roman"/>
          <w:sz w:val="20"/>
          <w:szCs w:val="20"/>
          <w:highlight w:val="yellow"/>
        </w:rPr>
        <w:t>,</w:t>
      </w:r>
      <w:r>
        <w:rPr>
          <w:rFonts w:ascii="Times New Roman" w:hAnsi="Times New Roman" w:cs="Times New Roman"/>
          <w:sz w:val="20"/>
          <w:szCs w:val="20"/>
        </w:rPr>
        <w:t xml:space="preserve"> even after treatment</w:t>
      </w:r>
      <w:r>
        <w:rPr>
          <w:rFonts w:ascii="Times New Roman" w:hAnsi="Times New Roman" w:cs="Times New Roman"/>
          <w:sz w:val="20"/>
          <w:szCs w:val="20"/>
          <w:highlight w:val="yellow"/>
        </w:rPr>
        <w:t>,</w:t>
      </w:r>
      <w:r>
        <w:rPr>
          <w:rFonts w:ascii="Times New Roman" w:hAnsi="Times New Roman" w:cs="Times New Roman"/>
          <w:sz w:val="20"/>
          <w:szCs w:val="20"/>
        </w:rPr>
        <w:t xml:space="preserve"> remains a critical concern (</w:t>
      </w:r>
      <w:r>
        <w:rPr>
          <w:rFonts w:ascii="Times New Roman" w:hAnsi="Times New Roman" w:cs="Times New Roman"/>
          <w:color w:val="2660F0"/>
          <w:sz w:val="20"/>
          <w:szCs w:val="20"/>
        </w:rPr>
        <w:t>George et al., 2023</w:t>
      </w:r>
      <w:r>
        <w:rPr>
          <w:rFonts w:ascii="Times New Roman" w:hAnsi="Times New Roman" w:cs="Times New Roman"/>
          <w:color w:val="000000" w:themeColor="text1"/>
          <w:sz w:val="20"/>
          <w:szCs w:val="20"/>
        </w:rPr>
        <w:t>;</w:t>
      </w:r>
      <w:r>
        <w:rPr>
          <w:rFonts w:ascii="Times New Roman" w:hAnsi="Times New Roman" w:cs="Times New Roman"/>
          <w:color w:val="2660F0"/>
          <w:sz w:val="20"/>
          <w:szCs w:val="20"/>
        </w:rPr>
        <w:t xml:space="preserve"> Muhammad et al., 2024</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This study aims to address this gap by u</w:t>
      </w:r>
      <w:r>
        <w:rPr>
          <w:rFonts w:ascii="Times New Roman" w:hAnsi="Times New Roman" w:cs="Times New Roman"/>
          <w:color w:val="000000" w:themeColor="text1"/>
          <w:sz w:val="20"/>
          <w:szCs w:val="20"/>
          <w:highlight w:val="yellow"/>
        </w:rPr>
        <w:t>s</w:t>
      </w:r>
      <w:r>
        <w:rPr>
          <w:rFonts w:ascii="Times New Roman" w:hAnsi="Times New Roman" w:cs="Times New Roman"/>
          <w:color w:val="000000" w:themeColor="text1"/>
          <w:sz w:val="20"/>
          <w:szCs w:val="20"/>
        </w:rPr>
        <w:t>ing spatiotemporal mapping and monitoring of heavy</w:t>
      </w:r>
      <w:r>
        <w:rPr>
          <w:rFonts w:ascii="Times New Roman" w:hAnsi="Times New Roman" w:cs="Times New Roman"/>
          <w:color w:val="000000" w:themeColor="text1"/>
          <w:sz w:val="20"/>
          <w:szCs w:val="20"/>
          <w:highlight w:val="yellow"/>
        </w:rPr>
        <w:t>-</w:t>
      </w:r>
      <w:r>
        <w:rPr>
          <w:rFonts w:ascii="Times New Roman" w:hAnsi="Times New Roman" w:cs="Times New Roman"/>
          <w:color w:val="000000" w:themeColor="text1"/>
          <w:sz w:val="20"/>
          <w:szCs w:val="20"/>
        </w:rPr>
        <w:t>metal concentrations and</w:t>
      </w:r>
      <w:r>
        <w:rPr>
          <w:rFonts w:ascii="Times New Roman" w:hAnsi="Times New Roman" w:cs="Times New Roman"/>
          <w:color w:val="000000" w:themeColor="text1"/>
          <w:sz w:val="20"/>
          <w:szCs w:val="20"/>
          <w:highlight w:val="yellow"/>
        </w:rPr>
        <w:t xml:space="preserve"> assessing</w:t>
      </w:r>
      <w:r>
        <w:rPr>
          <w:rFonts w:ascii="Times New Roman" w:hAnsi="Times New Roman" w:cs="Times New Roman"/>
          <w:color w:val="000000" w:themeColor="text1"/>
          <w:sz w:val="20"/>
          <w:szCs w:val="20"/>
        </w:rPr>
        <w:t xml:space="preserve"> their corresponding pollution levels and ecological risk</w:t>
      </w:r>
      <w:r>
        <w:rPr>
          <w:rFonts w:ascii="Times New Roman" w:hAnsi="Times New Roman" w:cs="Times New Roman"/>
          <w:color w:val="000000" w:themeColor="text1"/>
          <w:sz w:val="20"/>
          <w:szCs w:val="20"/>
          <w:highlight w:val="yellow"/>
        </w:rPr>
        <w:t>s</w:t>
      </w:r>
      <w:r>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highlight w:val="yellow"/>
        </w:rPr>
        <w:t>to ev</w:t>
      </w:r>
      <w:r>
        <w:rPr>
          <w:rFonts w:ascii="Times New Roman" w:hAnsi="Times New Roman" w:cs="Times New Roman"/>
          <w:color w:val="000000" w:themeColor="text1"/>
          <w:sz w:val="20"/>
          <w:szCs w:val="20"/>
        </w:rPr>
        <w:t>a</w:t>
      </w:r>
      <w:r>
        <w:rPr>
          <w:rFonts w:ascii="Times New Roman" w:hAnsi="Times New Roman" w:cs="Times New Roman"/>
          <w:color w:val="000000" w:themeColor="text1"/>
          <w:sz w:val="20"/>
          <w:szCs w:val="20"/>
          <w:highlight w:val="yellow"/>
        </w:rPr>
        <w:t>luat</w:t>
      </w:r>
      <w:r>
        <w:rPr>
          <w:rFonts w:ascii="Times New Roman" w:hAnsi="Times New Roman" w:cs="Times New Roman"/>
          <w:color w:val="000000" w:themeColor="text1"/>
          <w:sz w:val="20"/>
          <w:szCs w:val="20"/>
        </w:rPr>
        <w:t>e</w:t>
      </w:r>
      <w:r>
        <w:rPr>
          <w:rFonts w:ascii="Times New Roman" w:hAnsi="Times New Roman" w:cs="Times New Roman"/>
          <w:color w:val="000000" w:themeColor="text1"/>
          <w:sz w:val="20"/>
          <w:szCs w:val="20"/>
          <w:highlight w:val="yellow"/>
        </w:rPr>
        <w:t xml:space="preserve"> th</w:t>
      </w:r>
      <w:r>
        <w:rPr>
          <w:rFonts w:ascii="Times New Roman" w:hAnsi="Times New Roman" w:cs="Times New Roman"/>
          <w:color w:val="000000" w:themeColor="text1"/>
          <w:sz w:val="20"/>
          <w:szCs w:val="20"/>
        </w:rPr>
        <w:t>e environmental quality of oil-degraded sites.</w:t>
      </w:r>
    </w:p>
    <w:p w14:paraId="10299FB8" w14:textId="77777777" w:rsidR="0078175C" w:rsidRDefault="0078175C" w:rsidP="007B7546">
      <w:pPr>
        <w:spacing w:after="0" w:line="240" w:lineRule="auto"/>
        <w:jc w:val="both"/>
        <w:outlineLvl w:val="3"/>
        <w:rPr>
          <w:rFonts w:ascii="Times New Roman" w:hAnsi="Times New Roman" w:cs="Times New Roman"/>
          <w:color w:val="000000" w:themeColor="text1"/>
          <w:sz w:val="20"/>
          <w:szCs w:val="20"/>
        </w:rPr>
      </w:pPr>
    </w:p>
    <w:p w14:paraId="27E10619" w14:textId="77777777" w:rsidR="008D1E44" w:rsidRPr="005250A6" w:rsidRDefault="00C9208D" w:rsidP="001B0D09">
      <w:pPr>
        <w:spacing w:after="0" w:line="240" w:lineRule="auto"/>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r w:rsidR="008D1E44" w:rsidRPr="005250A6">
        <w:rPr>
          <w:rFonts w:ascii="Times New Roman" w:eastAsia="Times New Roman" w:hAnsi="Times New Roman" w:cs="Times New Roman"/>
          <w:b/>
          <w:bCs/>
          <w:sz w:val="20"/>
          <w:szCs w:val="20"/>
        </w:rPr>
        <w:t>. Materials and Methods</w:t>
      </w:r>
      <w:r w:rsidR="00D40426" w:rsidRPr="005250A6">
        <w:rPr>
          <w:rFonts w:ascii="Times New Roman" w:eastAsia="Times New Roman" w:hAnsi="Times New Roman" w:cs="Times New Roman"/>
          <w:b/>
          <w:bCs/>
          <w:sz w:val="20"/>
          <w:szCs w:val="20"/>
        </w:rPr>
        <w:t xml:space="preserve"> </w:t>
      </w:r>
    </w:p>
    <w:p w14:paraId="7EB3C605" w14:textId="77777777" w:rsidR="001B0D09" w:rsidRPr="005250A6" w:rsidRDefault="001B0D09" w:rsidP="001B0D09">
      <w:pPr>
        <w:spacing w:after="0" w:line="240" w:lineRule="auto"/>
        <w:outlineLvl w:val="3"/>
        <w:rPr>
          <w:rFonts w:ascii="Times New Roman" w:eastAsia="Times New Roman" w:hAnsi="Times New Roman" w:cs="Times New Roman"/>
          <w:sz w:val="20"/>
          <w:szCs w:val="20"/>
        </w:rPr>
      </w:pPr>
    </w:p>
    <w:p w14:paraId="51C09EF5" w14:textId="77777777" w:rsidR="009A7BF5" w:rsidRPr="005250A6" w:rsidRDefault="00A179DC" w:rsidP="005E14F2">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r w:rsidR="00432307" w:rsidRPr="005250A6">
        <w:rPr>
          <w:rFonts w:ascii="Times New Roman" w:eastAsia="Times New Roman" w:hAnsi="Times New Roman" w:cs="Times New Roman"/>
          <w:b/>
          <w:bCs/>
          <w:sz w:val="20"/>
          <w:szCs w:val="20"/>
        </w:rPr>
        <w:t xml:space="preserve">.1 </w:t>
      </w:r>
      <w:r w:rsidR="006662F0" w:rsidRPr="005250A6">
        <w:rPr>
          <w:rFonts w:ascii="Times New Roman" w:eastAsia="Times New Roman" w:hAnsi="Times New Roman" w:cs="Times New Roman"/>
          <w:b/>
          <w:bCs/>
          <w:sz w:val="20"/>
          <w:szCs w:val="20"/>
        </w:rPr>
        <w:t>Field</w:t>
      </w:r>
      <w:r w:rsidR="00DC20D2">
        <w:rPr>
          <w:rFonts w:ascii="Times New Roman" w:eastAsia="Times New Roman" w:hAnsi="Times New Roman" w:cs="Times New Roman"/>
          <w:b/>
          <w:bCs/>
          <w:sz w:val="20"/>
          <w:szCs w:val="20"/>
        </w:rPr>
        <w:t xml:space="preserve">work </w:t>
      </w:r>
      <w:r w:rsidR="00771EF3" w:rsidRPr="005250A6">
        <w:rPr>
          <w:rFonts w:ascii="Times New Roman" w:eastAsia="Times New Roman" w:hAnsi="Times New Roman" w:cs="Times New Roman"/>
          <w:b/>
          <w:bCs/>
          <w:sz w:val="20"/>
          <w:szCs w:val="20"/>
        </w:rPr>
        <w:t xml:space="preserve">and </w:t>
      </w:r>
      <w:r w:rsidR="008744BF">
        <w:rPr>
          <w:rFonts w:ascii="Times New Roman" w:eastAsia="Times New Roman" w:hAnsi="Times New Roman" w:cs="Times New Roman"/>
          <w:b/>
          <w:bCs/>
          <w:sz w:val="20"/>
          <w:szCs w:val="20"/>
        </w:rPr>
        <w:t>Laboratory Analysis</w:t>
      </w:r>
    </w:p>
    <w:p w14:paraId="659F01A1" w14:textId="77777777" w:rsidR="00AF6995" w:rsidRPr="005250A6" w:rsidRDefault="00AF6995" w:rsidP="005E14F2">
      <w:pPr>
        <w:spacing w:after="0" w:line="240" w:lineRule="auto"/>
        <w:jc w:val="both"/>
        <w:rPr>
          <w:rFonts w:ascii="Times New Roman" w:eastAsia="Times New Roman" w:hAnsi="Times New Roman" w:cs="Times New Roman"/>
          <w:sz w:val="20"/>
          <w:szCs w:val="20"/>
        </w:rPr>
      </w:pPr>
    </w:p>
    <w:p w14:paraId="200E7B85" w14:textId="77777777" w:rsidR="005250A6" w:rsidRPr="005250A6" w:rsidRDefault="00A179DC" w:rsidP="005E14F2">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w:t>
      </w:r>
      <w:r w:rsidR="005250A6" w:rsidRPr="005250A6">
        <w:rPr>
          <w:rFonts w:ascii="Times New Roman" w:hAnsi="Times New Roman" w:cs="Times New Roman"/>
          <w:b/>
          <w:bCs/>
          <w:sz w:val="20"/>
          <w:szCs w:val="20"/>
        </w:rPr>
        <w:t xml:space="preserve">.1.1 </w:t>
      </w:r>
      <w:r w:rsidR="00FE7C07">
        <w:rPr>
          <w:rFonts w:ascii="Times New Roman" w:hAnsi="Times New Roman" w:cs="Times New Roman"/>
          <w:b/>
          <w:bCs/>
          <w:sz w:val="20"/>
          <w:szCs w:val="20"/>
        </w:rPr>
        <w:t>Field</w:t>
      </w:r>
      <w:r w:rsidR="00A21CD9">
        <w:rPr>
          <w:rFonts w:ascii="Times New Roman" w:hAnsi="Times New Roman" w:cs="Times New Roman"/>
          <w:b/>
          <w:bCs/>
          <w:sz w:val="20"/>
          <w:szCs w:val="20"/>
        </w:rPr>
        <w:t xml:space="preserve"> Description</w:t>
      </w:r>
      <w:r w:rsidR="005250A6" w:rsidRPr="005250A6">
        <w:rPr>
          <w:rFonts w:ascii="Times New Roman" w:hAnsi="Times New Roman" w:cs="Times New Roman"/>
          <w:b/>
          <w:bCs/>
          <w:sz w:val="20"/>
          <w:szCs w:val="20"/>
        </w:rPr>
        <w:t xml:space="preserve"> </w:t>
      </w:r>
      <w:r w:rsidR="00A21CD9">
        <w:rPr>
          <w:rFonts w:ascii="Times New Roman" w:hAnsi="Times New Roman" w:cs="Times New Roman"/>
          <w:b/>
          <w:bCs/>
          <w:sz w:val="20"/>
          <w:szCs w:val="20"/>
        </w:rPr>
        <w:t>and Sampling</w:t>
      </w:r>
    </w:p>
    <w:p w14:paraId="66A564B9" w14:textId="5EF471C1" w:rsidR="001D0AA5" w:rsidRDefault="004837CD" w:rsidP="007B7546">
      <w:pPr>
        <w:spacing w:after="0" w:line="240" w:lineRule="auto"/>
        <w:ind w:firstLine="426"/>
        <w:jc w:val="both"/>
        <w:rPr>
          <w:rFonts w:ascii="Times New Roman" w:eastAsia="Times New Roman" w:hAnsi="Times New Roman" w:cs="Times New Roman"/>
          <w:color w:val="000000"/>
          <w:sz w:val="20"/>
          <w:szCs w:val="20"/>
          <w:lang w:val="en-GB"/>
        </w:rPr>
      </w:pPr>
      <w:bookmarkStart w:id="0" w:name="_tyjcwt" w:colFirst="0" w:colLast="0"/>
      <w:bookmarkEnd w:id="0"/>
      <w:r>
        <w:rPr>
          <w:rFonts w:ascii="Times New Roman" w:hAnsi="Times New Roman" w:cs="Times New Roman"/>
          <w:color w:val="000000" w:themeColor="text1"/>
          <w:sz w:val="20"/>
          <w:szCs w:val="20"/>
        </w:rPr>
        <w:t>The study commenced with a reconnaissance survey to understand the layout of the study area and identify critical sites for data collection. The study activities included grading the site for soil collection</w:t>
      </w:r>
      <w:r>
        <w:rPr>
          <w:rFonts w:ascii="Times New Roman" w:hAnsi="Times New Roman" w:cs="Times New Roman"/>
          <w:color w:val="000000" w:themeColor="text1"/>
          <w:sz w:val="20"/>
          <w:szCs w:val="20"/>
          <w:highlight w:val="yellow"/>
        </w:rPr>
        <w:t>,</w:t>
      </w:r>
      <w:r>
        <w:rPr>
          <w:rFonts w:ascii="Times New Roman" w:hAnsi="Times New Roman" w:cs="Times New Roman"/>
          <w:color w:val="000000" w:themeColor="text1"/>
          <w:sz w:val="20"/>
          <w:szCs w:val="20"/>
        </w:rPr>
        <w:t xml:space="preserve"> using simple hand augers to conduct geochemical soil sampling, and preparing and </w:t>
      </w:r>
      <w:proofErr w:type="spellStart"/>
      <w:r>
        <w:rPr>
          <w:rFonts w:ascii="Times New Roman" w:hAnsi="Times New Roman" w:cs="Times New Roman"/>
          <w:color w:val="000000" w:themeColor="text1"/>
          <w:sz w:val="20"/>
          <w:szCs w:val="20"/>
        </w:rPr>
        <w:t>analy</w:t>
      </w:r>
      <w:r>
        <w:rPr>
          <w:rFonts w:ascii="Times New Roman" w:hAnsi="Times New Roman" w:cs="Times New Roman"/>
          <w:color w:val="000000" w:themeColor="text1"/>
          <w:sz w:val="20"/>
          <w:szCs w:val="20"/>
          <w:highlight w:val="yellow"/>
        </w:rPr>
        <w:t>s</w:t>
      </w:r>
      <w:r>
        <w:rPr>
          <w:rFonts w:ascii="Times New Roman" w:hAnsi="Times New Roman" w:cs="Times New Roman"/>
          <w:color w:val="000000" w:themeColor="text1"/>
          <w:sz w:val="20"/>
          <w:szCs w:val="20"/>
        </w:rPr>
        <w:t>ing</w:t>
      </w:r>
      <w:proofErr w:type="spellEnd"/>
      <w:r>
        <w:rPr>
          <w:rFonts w:ascii="Times New Roman" w:hAnsi="Times New Roman" w:cs="Times New Roman"/>
          <w:color w:val="000000" w:themeColor="text1"/>
          <w:sz w:val="20"/>
          <w:szCs w:val="20"/>
        </w:rPr>
        <w:t xml:space="preserve"> samples in the laboratory. </w:t>
      </w:r>
      <w:r>
        <w:rPr>
          <w:rFonts w:ascii="Times New Roman" w:hAnsi="Times New Roman" w:cs="Times New Roman"/>
          <w:sz w:val="20"/>
          <w:szCs w:val="20"/>
        </w:rPr>
        <w:t xml:space="preserve">The </w:t>
      </w:r>
      <w:r>
        <w:rPr>
          <w:rFonts w:ascii="Times New Roman" w:eastAsia="Times New Roman" w:hAnsi="Times New Roman" w:cs="Times New Roman"/>
          <w:color w:val="000000"/>
          <w:sz w:val="20"/>
          <w:szCs w:val="20"/>
          <w:lang w:val="en-GB"/>
        </w:rPr>
        <w:t>Eleme L.G.A. of Rivers State, Nigeria, is the study area; it lies roughly at Latitude 4</w:t>
      </w:r>
      <w:r>
        <w:rPr>
          <w:rFonts w:ascii="Times New Roman" w:eastAsia="Times New Roman" w:hAnsi="Times New Roman" w:cs="Times New Roman"/>
          <w:color w:val="000000"/>
          <w:sz w:val="20"/>
          <w:szCs w:val="20"/>
          <w:vertAlign w:val="superscript"/>
          <w:lang w:val="en-GB"/>
        </w:rPr>
        <w:t>o</w:t>
      </w:r>
      <w:r>
        <w:rPr>
          <w:rFonts w:ascii="Times New Roman" w:eastAsia="Times New Roman" w:hAnsi="Times New Roman" w:cs="Times New Roman"/>
          <w:color w:val="000000"/>
          <w:sz w:val="20"/>
          <w:szCs w:val="20"/>
          <w:lang w:val="en-GB"/>
        </w:rPr>
        <w:t xml:space="preserve"> 46'29.60'' N and Longitude 7</w:t>
      </w:r>
      <w:r>
        <w:rPr>
          <w:rFonts w:ascii="Times New Roman" w:eastAsia="Times New Roman" w:hAnsi="Times New Roman" w:cs="Times New Roman"/>
          <w:color w:val="000000"/>
          <w:sz w:val="20"/>
          <w:szCs w:val="20"/>
          <w:vertAlign w:val="superscript"/>
          <w:lang w:val="en-GB"/>
        </w:rPr>
        <w:t>o</w:t>
      </w:r>
      <w:r>
        <w:rPr>
          <w:rFonts w:ascii="Times New Roman" w:eastAsia="Times New Roman" w:hAnsi="Times New Roman" w:cs="Times New Roman"/>
          <w:color w:val="000000"/>
          <w:sz w:val="20"/>
          <w:szCs w:val="20"/>
          <w:lang w:val="en-GB"/>
        </w:rPr>
        <w:t xml:space="preserve"> 07'35.46'' E, as shown in </w:t>
      </w:r>
      <w:r>
        <w:rPr>
          <w:rFonts w:ascii="Times New Roman" w:eastAsia="Times New Roman" w:hAnsi="Times New Roman" w:cs="Times New Roman"/>
          <w:color w:val="2660F0"/>
          <w:sz w:val="20"/>
          <w:szCs w:val="20"/>
          <w:lang w:val="en-GB"/>
        </w:rPr>
        <w:t>Fig. 1</w:t>
      </w:r>
      <w:r>
        <w:rPr>
          <w:rFonts w:ascii="Times New Roman" w:eastAsia="Times New Roman" w:hAnsi="Times New Roman" w:cs="Times New Roman"/>
          <w:color w:val="000000"/>
          <w:sz w:val="20"/>
          <w:szCs w:val="20"/>
          <w:lang w:val="en-GB"/>
        </w:rPr>
        <w:t>. Eleme occupies around 230 km</w:t>
      </w:r>
      <w:r>
        <w:rPr>
          <w:rFonts w:ascii="Times New Roman" w:eastAsia="Times New Roman" w:hAnsi="Times New Roman" w:cs="Times New Roman"/>
          <w:color w:val="000000"/>
          <w:sz w:val="20"/>
          <w:szCs w:val="20"/>
          <w:vertAlign w:val="superscript"/>
          <w:lang w:val="en-GB"/>
        </w:rPr>
        <w:t>2</w:t>
      </w:r>
      <w:r>
        <w:rPr>
          <w:rFonts w:ascii="Times New Roman" w:eastAsia="Times New Roman" w:hAnsi="Times New Roman" w:cs="Times New Roman"/>
          <w:color w:val="000000"/>
          <w:sz w:val="20"/>
          <w:szCs w:val="20"/>
          <w:lang w:val="en-GB"/>
        </w:rPr>
        <w:t xml:space="preserve"> and is an important town </w:t>
      </w:r>
      <w:r>
        <w:rPr>
          <w:rFonts w:ascii="Times New Roman" w:eastAsia="Times New Roman" w:hAnsi="Times New Roman" w:cs="Times New Roman"/>
          <w:color w:val="000000"/>
          <w:sz w:val="20"/>
          <w:szCs w:val="20"/>
          <w:highlight w:val="yellow"/>
          <w:lang w:val="en-GB"/>
        </w:rPr>
        <w:t>beca</w:t>
      </w:r>
      <w:r>
        <w:rPr>
          <w:rFonts w:ascii="Times New Roman" w:eastAsia="Times New Roman" w:hAnsi="Times New Roman" w:cs="Times New Roman"/>
          <w:color w:val="000000"/>
          <w:sz w:val="20"/>
          <w:szCs w:val="20"/>
          <w:lang w:val="en-GB"/>
        </w:rPr>
        <w:t>u</w:t>
      </w:r>
      <w:r>
        <w:rPr>
          <w:rFonts w:ascii="Times New Roman" w:eastAsia="Times New Roman" w:hAnsi="Times New Roman" w:cs="Times New Roman"/>
          <w:color w:val="000000"/>
          <w:sz w:val="20"/>
          <w:szCs w:val="20"/>
          <w:highlight w:val="yellow"/>
          <w:lang w:val="en-GB"/>
        </w:rPr>
        <w:t>s</w:t>
      </w:r>
      <w:r>
        <w:rPr>
          <w:rFonts w:ascii="Times New Roman" w:eastAsia="Times New Roman" w:hAnsi="Times New Roman" w:cs="Times New Roman"/>
          <w:color w:val="000000"/>
          <w:sz w:val="20"/>
          <w:szCs w:val="20"/>
          <w:lang w:val="en-GB"/>
        </w:rPr>
        <w:t>e o</w:t>
      </w:r>
      <w:r>
        <w:rPr>
          <w:rFonts w:ascii="Times New Roman" w:eastAsia="Times New Roman" w:hAnsi="Times New Roman" w:cs="Times New Roman"/>
          <w:color w:val="000000"/>
          <w:sz w:val="20"/>
          <w:szCs w:val="20"/>
          <w:highlight w:val="yellow"/>
          <w:lang w:val="en-GB"/>
        </w:rPr>
        <w:t>f</w:t>
      </w:r>
      <w:r>
        <w:rPr>
          <w:rFonts w:ascii="Times New Roman" w:eastAsia="Times New Roman" w:hAnsi="Times New Roman" w:cs="Times New Roman"/>
          <w:color w:val="000000"/>
          <w:sz w:val="20"/>
          <w:szCs w:val="20"/>
          <w:lang w:val="en-GB"/>
        </w:rPr>
        <w:t xml:space="preserve"> extensive oil and gas industr</w:t>
      </w:r>
      <w:r>
        <w:rPr>
          <w:rFonts w:ascii="Times New Roman" w:eastAsia="Times New Roman" w:hAnsi="Times New Roman" w:cs="Times New Roman"/>
          <w:color w:val="000000"/>
          <w:sz w:val="20"/>
          <w:szCs w:val="20"/>
          <w:highlight w:val="yellow"/>
          <w:lang w:val="en-GB"/>
        </w:rPr>
        <w:t>y activit</w:t>
      </w:r>
      <w:r>
        <w:rPr>
          <w:rFonts w:ascii="Times New Roman" w:eastAsia="Times New Roman" w:hAnsi="Times New Roman" w:cs="Times New Roman"/>
          <w:color w:val="000000"/>
          <w:sz w:val="20"/>
          <w:szCs w:val="20"/>
          <w:lang w:val="en-GB"/>
        </w:rPr>
        <w:t>ies</w:t>
      </w:r>
      <w:r>
        <w:rPr>
          <w:rFonts w:ascii="Times New Roman" w:eastAsia="Times New Roman" w:hAnsi="Times New Roman" w:cs="Times New Roman"/>
          <w:color w:val="000000"/>
          <w:sz w:val="20"/>
          <w:szCs w:val="20"/>
          <w:highlight w:val="yellow"/>
          <w:lang w:val="en-GB"/>
        </w:rPr>
        <w:t>,</w:t>
      </w:r>
      <w:r>
        <w:rPr>
          <w:rFonts w:ascii="Times New Roman" w:eastAsia="Times New Roman" w:hAnsi="Times New Roman" w:cs="Times New Roman"/>
          <w:color w:val="000000"/>
          <w:sz w:val="20"/>
          <w:szCs w:val="20"/>
          <w:lang w:val="en-GB"/>
        </w:rPr>
        <w:t xml:space="preserve"> including the Onne Oil and Gas Free Zone and the Nigerian National Petroleum Corporation (NNPC) refinery (</w:t>
      </w:r>
      <w:r>
        <w:rPr>
          <w:rFonts w:ascii="Times New Roman" w:eastAsia="Times New Roman" w:hAnsi="Times New Roman" w:cs="Times New Roman"/>
          <w:color w:val="2660F0"/>
          <w:sz w:val="20"/>
          <w:szCs w:val="20"/>
          <w:lang w:val="en-GB"/>
        </w:rPr>
        <w:t>Amadi, 20</w:t>
      </w:r>
      <w:r w:rsidR="00592893">
        <w:rPr>
          <w:rFonts w:ascii="Times New Roman" w:eastAsia="Times New Roman" w:hAnsi="Times New Roman" w:cs="Times New Roman"/>
          <w:color w:val="2660F0"/>
          <w:sz w:val="20"/>
          <w:szCs w:val="20"/>
          <w:lang w:val="en-GB"/>
        </w:rPr>
        <w:t>20</w:t>
      </w:r>
      <w:r>
        <w:rPr>
          <w:rFonts w:ascii="Times New Roman" w:eastAsia="Times New Roman" w:hAnsi="Times New Roman" w:cs="Times New Roman"/>
          <w:color w:val="000000"/>
          <w:sz w:val="20"/>
          <w:szCs w:val="20"/>
          <w:lang w:val="en-GB"/>
        </w:rPr>
        <w:t xml:space="preserve">). </w:t>
      </w:r>
      <w:r>
        <w:rPr>
          <w:rFonts w:ascii="Times New Roman" w:eastAsia="Times New Roman" w:hAnsi="Times New Roman" w:cs="Times New Roman"/>
          <w:color w:val="000000" w:themeColor="text1"/>
          <w:sz w:val="20"/>
          <w:szCs w:val="20"/>
          <w:lang w:val="en-GB"/>
        </w:rPr>
        <w:t xml:space="preserve">Agriculture has been </w:t>
      </w:r>
      <w:r>
        <w:rPr>
          <w:rFonts w:ascii="Times New Roman" w:eastAsia="Times New Roman" w:hAnsi="Times New Roman" w:cs="Times New Roman"/>
          <w:color w:val="000000" w:themeColor="text1"/>
          <w:sz w:val="20"/>
          <w:szCs w:val="20"/>
          <w:highlight w:val="yellow"/>
          <w:lang w:val="en-GB"/>
        </w:rPr>
        <w:t>a</w:t>
      </w:r>
      <w:r>
        <w:rPr>
          <w:rFonts w:ascii="Times New Roman" w:eastAsia="Times New Roman" w:hAnsi="Times New Roman" w:cs="Times New Roman"/>
          <w:color w:val="000000" w:themeColor="text1"/>
          <w:sz w:val="20"/>
          <w:szCs w:val="20"/>
          <w:lang w:val="en-GB"/>
        </w:rPr>
        <w:t xml:space="preserve"> primary occupation</w:t>
      </w:r>
      <w:r>
        <w:rPr>
          <w:rFonts w:ascii="Times New Roman" w:eastAsia="Times New Roman" w:hAnsi="Times New Roman" w:cs="Times New Roman"/>
          <w:color w:val="000000" w:themeColor="text1"/>
          <w:sz w:val="20"/>
          <w:szCs w:val="20"/>
          <w:highlight w:val="yellow"/>
          <w:lang w:val="en-GB"/>
        </w:rPr>
        <w:t xml:space="preserve"> in Eleme</w:t>
      </w:r>
      <w:r>
        <w:rPr>
          <w:rFonts w:ascii="Times New Roman" w:eastAsia="Times New Roman" w:hAnsi="Times New Roman" w:cs="Times New Roman"/>
          <w:color w:val="000000" w:themeColor="text1"/>
          <w:sz w:val="20"/>
          <w:szCs w:val="20"/>
          <w:lang w:val="en-GB"/>
        </w:rPr>
        <w:t xml:space="preserve">, and farming and fishing </w:t>
      </w:r>
      <w:r>
        <w:rPr>
          <w:rFonts w:ascii="Times New Roman" w:eastAsia="Times New Roman" w:hAnsi="Times New Roman" w:cs="Times New Roman"/>
          <w:color w:val="000000" w:themeColor="text1"/>
          <w:sz w:val="20"/>
          <w:szCs w:val="20"/>
          <w:highlight w:val="yellow"/>
          <w:lang w:val="en-GB"/>
        </w:rPr>
        <w:t>fo</w:t>
      </w:r>
      <w:r>
        <w:rPr>
          <w:rFonts w:ascii="Times New Roman" w:eastAsia="Times New Roman" w:hAnsi="Times New Roman" w:cs="Times New Roman"/>
          <w:color w:val="000000" w:themeColor="text1"/>
          <w:sz w:val="20"/>
          <w:szCs w:val="20"/>
          <w:lang w:val="en-GB"/>
        </w:rPr>
        <w:t>r</w:t>
      </w:r>
      <w:r>
        <w:rPr>
          <w:rFonts w:ascii="Times New Roman" w:eastAsia="Times New Roman" w:hAnsi="Times New Roman" w:cs="Times New Roman"/>
          <w:color w:val="000000" w:themeColor="text1"/>
          <w:sz w:val="20"/>
          <w:szCs w:val="20"/>
          <w:highlight w:val="yellow"/>
          <w:lang w:val="en-GB"/>
        </w:rPr>
        <w:t>m</w:t>
      </w:r>
      <w:r>
        <w:rPr>
          <w:rFonts w:ascii="Times New Roman" w:eastAsia="Times New Roman" w:hAnsi="Times New Roman" w:cs="Times New Roman"/>
          <w:color w:val="000000" w:themeColor="text1"/>
          <w:sz w:val="20"/>
          <w:szCs w:val="20"/>
          <w:lang w:val="en-GB"/>
        </w:rPr>
        <w:t xml:space="preserve"> the basis of </w:t>
      </w:r>
      <w:r>
        <w:rPr>
          <w:rFonts w:ascii="Times New Roman" w:eastAsia="Times New Roman" w:hAnsi="Times New Roman" w:cs="Times New Roman"/>
          <w:color w:val="000000" w:themeColor="text1"/>
          <w:sz w:val="20"/>
          <w:szCs w:val="20"/>
          <w:highlight w:val="yellow"/>
          <w:lang w:val="en-GB"/>
        </w:rPr>
        <w:t>local</w:t>
      </w:r>
      <w:r>
        <w:rPr>
          <w:rFonts w:ascii="Times New Roman" w:eastAsia="Times New Roman" w:hAnsi="Times New Roman" w:cs="Times New Roman"/>
          <w:color w:val="000000" w:themeColor="text1"/>
          <w:sz w:val="20"/>
          <w:szCs w:val="20"/>
          <w:lang w:val="en-GB"/>
        </w:rPr>
        <w:t xml:space="preserve"> livelihood</w:t>
      </w:r>
      <w:r>
        <w:rPr>
          <w:rFonts w:ascii="Times New Roman" w:eastAsia="Times New Roman" w:hAnsi="Times New Roman" w:cs="Times New Roman"/>
          <w:color w:val="000000" w:themeColor="text1"/>
          <w:sz w:val="20"/>
          <w:szCs w:val="20"/>
          <w:highlight w:val="yellow"/>
          <w:lang w:val="en-GB"/>
        </w:rPr>
        <w:t>s</w:t>
      </w:r>
      <w:r>
        <w:rPr>
          <w:rFonts w:ascii="Times New Roman" w:eastAsia="Times New Roman" w:hAnsi="Times New Roman" w:cs="Times New Roman"/>
          <w:color w:val="000000" w:themeColor="text1"/>
          <w:sz w:val="20"/>
          <w:szCs w:val="20"/>
          <w:lang w:val="en-GB"/>
        </w:rPr>
        <w:t xml:space="preserve">. The main crops cultivated in the area include yams, cassava, and pumpkin, </w:t>
      </w:r>
      <w:r>
        <w:rPr>
          <w:rFonts w:ascii="Times New Roman" w:eastAsia="Times New Roman" w:hAnsi="Times New Roman" w:cs="Times New Roman"/>
          <w:color w:val="000000" w:themeColor="text1"/>
          <w:sz w:val="20"/>
          <w:szCs w:val="20"/>
          <w:highlight w:val="yellow"/>
          <w:lang w:val="en-GB"/>
        </w:rPr>
        <w:t>under</w:t>
      </w:r>
      <w:r>
        <w:rPr>
          <w:rFonts w:ascii="Times New Roman" w:eastAsia="Times New Roman" w:hAnsi="Times New Roman" w:cs="Times New Roman"/>
          <w:color w:val="000000" w:themeColor="text1"/>
          <w:sz w:val="20"/>
          <w:szCs w:val="20"/>
          <w:lang w:val="en-GB"/>
        </w:rPr>
        <w:t>s</w:t>
      </w:r>
      <w:r>
        <w:rPr>
          <w:rFonts w:ascii="Times New Roman" w:eastAsia="Times New Roman" w:hAnsi="Times New Roman" w:cs="Times New Roman"/>
          <w:color w:val="000000" w:themeColor="text1"/>
          <w:sz w:val="20"/>
          <w:szCs w:val="20"/>
          <w:highlight w:val="yellow"/>
          <w:lang w:val="en-GB"/>
        </w:rPr>
        <w:t>co</w:t>
      </w:r>
      <w:r>
        <w:rPr>
          <w:rFonts w:ascii="Times New Roman" w:eastAsia="Times New Roman" w:hAnsi="Times New Roman" w:cs="Times New Roman"/>
          <w:color w:val="000000" w:themeColor="text1"/>
          <w:sz w:val="20"/>
          <w:szCs w:val="20"/>
          <w:lang w:val="en-GB"/>
        </w:rPr>
        <w:t>ring the critical need for healthy and uncontaminated soils to prevent food-borne diseases</w:t>
      </w:r>
      <w:r>
        <w:rPr>
          <w:rFonts w:ascii="Times New Roman" w:eastAsia="Times New Roman" w:hAnsi="Times New Roman" w:cs="Times New Roman"/>
          <w:color w:val="FF0000"/>
          <w:sz w:val="20"/>
          <w:szCs w:val="20"/>
          <w:lang w:val="en-GB"/>
        </w:rPr>
        <w:t xml:space="preserve"> </w:t>
      </w:r>
      <w:r>
        <w:rPr>
          <w:rFonts w:ascii="Times New Roman" w:eastAsia="Times New Roman" w:hAnsi="Times New Roman" w:cs="Times New Roman"/>
          <w:color w:val="000000"/>
          <w:sz w:val="20"/>
          <w:szCs w:val="20"/>
          <w:lang w:val="en-GB"/>
        </w:rPr>
        <w:t>(</w:t>
      </w:r>
      <w:r>
        <w:rPr>
          <w:rFonts w:ascii="Times New Roman" w:eastAsia="Times New Roman" w:hAnsi="Times New Roman" w:cs="Times New Roman"/>
          <w:color w:val="2660F0"/>
          <w:sz w:val="20"/>
          <w:szCs w:val="20"/>
          <w:lang w:val="en-GB"/>
        </w:rPr>
        <w:t>Ngulube, 2011</w:t>
      </w:r>
      <w:r>
        <w:rPr>
          <w:rFonts w:ascii="Times New Roman" w:eastAsia="Times New Roman" w:hAnsi="Times New Roman" w:cs="Times New Roman"/>
          <w:color w:val="000000"/>
          <w:sz w:val="20"/>
          <w:szCs w:val="20"/>
          <w:lang w:val="en-GB"/>
        </w:rPr>
        <w:t>).</w:t>
      </w:r>
    </w:p>
    <w:p w14:paraId="7215EB04" w14:textId="77777777" w:rsidR="00305E66" w:rsidRDefault="00305E66" w:rsidP="008A3E4E">
      <w:pPr>
        <w:spacing w:after="0" w:line="240" w:lineRule="auto"/>
        <w:jc w:val="center"/>
        <w:rPr>
          <w:rFonts w:ascii="Times New Roman" w:hAnsi="Times New Roman" w:cs="Times New Roman"/>
          <w:b/>
          <w:bCs/>
          <w:sz w:val="20"/>
          <w:szCs w:val="20"/>
        </w:rPr>
      </w:pPr>
    </w:p>
    <w:p w14:paraId="4DE5E22D" w14:textId="77777777" w:rsidR="00B52182" w:rsidRPr="00DD2F57" w:rsidRDefault="00B52182" w:rsidP="008A3E4E">
      <w:pPr>
        <w:spacing w:after="0" w:line="240" w:lineRule="auto"/>
        <w:jc w:val="center"/>
        <w:rPr>
          <w:rFonts w:ascii="Times New Roman" w:hAnsi="Times New Roman" w:cs="Times New Roman"/>
          <w:sz w:val="20"/>
          <w:szCs w:val="20"/>
          <w:lang w:val="en-GB"/>
        </w:rPr>
      </w:pPr>
      <w:r w:rsidRPr="00DD2F57">
        <w:rPr>
          <w:rFonts w:ascii="Times New Roman" w:hAnsi="Times New Roman" w:cs="Times New Roman"/>
          <w:b/>
          <w:bCs/>
          <w:sz w:val="20"/>
          <w:szCs w:val="20"/>
        </w:rPr>
        <w:t xml:space="preserve">Table </w:t>
      </w:r>
      <w:bookmarkStart w:id="1" w:name="_Hlk145600208"/>
      <w:r w:rsidRPr="00DD2F57">
        <w:rPr>
          <w:rFonts w:ascii="Times New Roman" w:hAnsi="Times New Roman" w:cs="Times New Roman"/>
          <w:b/>
          <w:bCs/>
          <w:sz w:val="20"/>
          <w:szCs w:val="20"/>
        </w:rPr>
        <w:t>1</w:t>
      </w:r>
      <w:r w:rsidR="007D3926">
        <w:rPr>
          <w:rFonts w:ascii="Times New Roman" w:hAnsi="Times New Roman" w:cs="Times New Roman"/>
          <w:b/>
          <w:bCs/>
          <w:sz w:val="20"/>
          <w:szCs w:val="20"/>
        </w:rPr>
        <w:t>.</w:t>
      </w:r>
      <w:r w:rsidRPr="00DD2F57">
        <w:rPr>
          <w:rFonts w:ascii="Times New Roman" w:hAnsi="Times New Roman" w:cs="Times New Roman"/>
          <w:b/>
          <w:bCs/>
          <w:sz w:val="20"/>
          <w:szCs w:val="20"/>
        </w:rPr>
        <w:t xml:space="preserve"> </w:t>
      </w:r>
      <w:r w:rsidR="008B0652" w:rsidRPr="008B0652">
        <w:rPr>
          <w:rFonts w:ascii="Times New Roman" w:hAnsi="Times New Roman" w:cs="Times New Roman"/>
          <w:sz w:val="20"/>
          <w:szCs w:val="20"/>
        </w:rPr>
        <w:t xml:space="preserve">Samples </w:t>
      </w:r>
      <w:r w:rsidR="008B0652">
        <w:rPr>
          <w:rFonts w:ascii="Times New Roman" w:hAnsi="Times New Roman" w:cs="Times New Roman"/>
          <w:sz w:val="20"/>
          <w:szCs w:val="20"/>
        </w:rPr>
        <w:t>i</w:t>
      </w:r>
      <w:r w:rsidR="008B0652" w:rsidRPr="008B0652">
        <w:rPr>
          <w:rFonts w:ascii="Times New Roman" w:hAnsi="Times New Roman" w:cs="Times New Roman"/>
          <w:sz w:val="20"/>
          <w:szCs w:val="20"/>
        </w:rPr>
        <w:t>dentification and</w:t>
      </w:r>
      <w:r w:rsidR="008B0652">
        <w:rPr>
          <w:rFonts w:ascii="Times New Roman" w:hAnsi="Times New Roman" w:cs="Times New Roman"/>
          <w:b/>
          <w:bCs/>
          <w:sz w:val="20"/>
          <w:szCs w:val="20"/>
        </w:rPr>
        <w:t xml:space="preserve"> </w:t>
      </w:r>
      <w:r w:rsidR="008B0652">
        <w:rPr>
          <w:rFonts w:ascii="Times New Roman" w:hAnsi="Times New Roman" w:cs="Times New Roman"/>
          <w:sz w:val="20"/>
          <w:szCs w:val="20"/>
        </w:rPr>
        <w:t>d</w:t>
      </w:r>
      <w:r w:rsidR="00FE3430">
        <w:rPr>
          <w:rFonts w:ascii="Times New Roman" w:hAnsi="Times New Roman" w:cs="Times New Roman"/>
          <w:sz w:val="20"/>
          <w:szCs w:val="20"/>
        </w:rPr>
        <w:t>escription</w:t>
      </w:r>
      <w:bookmarkEnd w:id="1"/>
      <w:r w:rsidR="008B0652">
        <w:rPr>
          <w:rFonts w:ascii="Times New Roman" w:hAnsi="Times New Roman" w:cs="Times New Roman"/>
          <w:sz w:val="20"/>
          <w:szCs w:val="20"/>
        </w:rPr>
        <w:t>.</w:t>
      </w:r>
    </w:p>
    <w:tbl>
      <w:tblPr>
        <w:tblStyle w:val="TableGrid"/>
        <w:tblW w:w="6379" w:type="dxa"/>
        <w:jc w:val="center"/>
        <w:tblBorders>
          <w:top w:val="single" w:sz="8"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93"/>
        <w:gridCol w:w="992"/>
        <w:gridCol w:w="1507"/>
        <w:gridCol w:w="1328"/>
        <w:gridCol w:w="1559"/>
      </w:tblGrid>
      <w:tr w:rsidR="00B52182" w:rsidRPr="00DD2F57" w14:paraId="3CADE539" w14:textId="77777777" w:rsidTr="00201E97">
        <w:trPr>
          <w:trHeight w:val="88"/>
          <w:jc w:val="center"/>
        </w:trPr>
        <w:tc>
          <w:tcPr>
            <w:tcW w:w="993" w:type="dxa"/>
            <w:tcBorders>
              <w:top w:val="single" w:sz="4" w:space="0" w:color="auto"/>
              <w:left w:val="nil"/>
              <w:bottom w:val="single" w:sz="4" w:space="0" w:color="auto"/>
              <w:right w:val="nil"/>
            </w:tcBorders>
          </w:tcPr>
          <w:p w14:paraId="0722BD94" w14:textId="77777777" w:rsidR="00B52182" w:rsidRPr="00DD2F57" w:rsidRDefault="00B52182" w:rsidP="00305E66">
            <w:pPr>
              <w:spacing w:line="216" w:lineRule="auto"/>
              <w:jc w:val="center"/>
              <w:rPr>
                <w:rFonts w:ascii="Times New Roman" w:hAnsi="Times New Roman" w:cs="Times New Roman"/>
                <w:b/>
                <w:bCs/>
                <w:sz w:val="20"/>
                <w:szCs w:val="20"/>
              </w:rPr>
            </w:pPr>
            <w:r w:rsidRPr="00DD2F57">
              <w:rPr>
                <w:rFonts w:ascii="Times New Roman" w:hAnsi="Times New Roman" w:cs="Times New Roman"/>
                <w:b/>
                <w:bCs/>
                <w:sz w:val="20"/>
                <w:szCs w:val="20"/>
              </w:rPr>
              <w:t>S/No.</w:t>
            </w:r>
          </w:p>
        </w:tc>
        <w:tc>
          <w:tcPr>
            <w:tcW w:w="992" w:type="dxa"/>
            <w:tcBorders>
              <w:top w:val="single" w:sz="4" w:space="0" w:color="auto"/>
              <w:left w:val="nil"/>
              <w:bottom w:val="single" w:sz="4" w:space="0" w:color="auto"/>
              <w:right w:val="nil"/>
            </w:tcBorders>
          </w:tcPr>
          <w:p w14:paraId="5ACF9973" w14:textId="77777777" w:rsidR="00B52182" w:rsidRPr="00DD2F57" w:rsidRDefault="009436E2" w:rsidP="00305E66">
            <w:pPr>
              <w:spacing w:line="216" w:lineRule="auto"/>
              <w:jc w:val="center"/>
              <w:rPr>
                <w:rFonts w:ascii="Times New Roman" w:hAnsi="Times New Roman" w:cs="Times New Roman"/>
                <w:b/>
                <w:bCs/>
                <w:sz w:val="20"/>
                <w:szCs w:val="20"/>
              </w:rPr>
            </w:pPr>
            <w:r>
              <w:rPr>
                <w:rFonts w:ascii="Times New Roman" w:hAnsi="Times New Roman" w:cs="Times New Roman"/>
                <w:b/>
                <w:bCs/>
                <w:sz w:val="20"/>
                <w:szCs w:val="20"/>
              </w:rPr>
              <w:t>Stations</w:t>
            </w:r>
          </w:p>
        </w:tc>
        <w:tc>
          <w:tcPr>
            <w:tcW w:w="1507" w:type="dxa"/>
            <w:tcBorders>
              <w:top w:val="single" w:sz="4" w:space="0" w:color="auto"/>
              <w:left w:val="nil"/>
              <w:bottom w:val="single" w:sz="4" w:space="0" w:color="auto"/>
              <w:right w:val="nil"/>
            </w:tcBorders>
          </w:tcPr>
          <w:p w14:paraId="693EC3F1" w14:textId="77777777" w:rsidR="00B52182" w:rsidRPr="00DD2F57" w:rsidRDefault="00B52182" w:rsidP="00305E66">
            <w:pPr>
              <w:spacing w:line="216" w:lineRule="auto"/>
              <w:jc w:val="center"/>
              <w:rPr>
                <w:rFonts w:ascii="Times New Roman" w:hAnsi="Times New Roman" w:cs="Times New Roman"/>
                <w:b/>
                <w:bCs/>
                <w:sz w:val="20"/>
                <w:szCs w:val="20"/>
              </w:rPr>
            </w:pPr>
            <w:r>
              <w:rPr>
                <w:rFonts w:ascii="Times New Roman" w:hAnsi="Times New Roman" w:cs="Times New Roman"/>
                <w:b/>
                <w:bCs/>
                <w:sz w:val="20"/>
                <w:szCs w:val="20"/>
              </w:rPr>
              <w:t>Depth (0.2m)</w:t>
            </w:r>
          </w:p>
        </w:tc>
        <w:tc>
          <w:tcPr>
            <w:tcW w:w="1328" w:type="dxa"/>
            <w:tcBorders>
              <w:top w:val="single" w:sz="4" w:space="0" w:color="auto"/>
              <w:left w:val="nil"/>
              <w:bottom w:val="single" w:sz="4" w:space="0" w:color="auto"/>
              <w:right w:val="nil"/>
            </w:tcBorders>
          </w:tcPr>
          <w:p w14:paraId="27EFD55C" w14:textId="77777777" w:rsidR="00B52182" w:rsidRPr="00DD2F57" w:rsidRDefault="00B52182" w:rsidP="00305E66">
            <w:pPr>
              <w:spacing w:line="216" w:lineRule="auto"/>
              <w:jc w:val="center"/>
              <w:rPr>
                <w:rFonts w:ascii="Times New Roman" w:hAnsi="Times New Roman" w:cs="Times New Roman"/>
                <w:b/>
                <w:bCs/>
                <w:sz w:val="20"/>
                <w:szCs w:val="20"/>
              </w:rPr>
            </w:pPr>
            <w:r w:rsidRPr="00DD2F57">
              <w:rPr>
                <w:rFonts w:ascii="Times New Roman" w:hAnsi="Times New Roman" w:cs="Times New Roman"/>
                <w:b/>
                <w:bCs/>
                <w:sz w:val="20"/>
                <w:szCs w:val="20"/>
              </w:rPr>
              <w:t>Latitude (N)</w:t>
            </w:r>
          </w:p>
        </w:tc>
        <w:tc>
          <w:tcPr>
            <w:tcW w:w="1559" w:type="dxa"/>
            <w:tcBorders>
              <w:top w:val="single" w:sz="4" w:space="0" w:color="auto"/>
              <w:left w:val="nil"/>
              <w:bottom w:val="single" w:sz="4" w:space="0" w:color="auto"/>
              <w:right w:val="nil"/>
            </w:tcBorders>
          </w:tcPr>
          <w:p w14:paraId="36D8F7F9" w14:textId="77777777" w:rsidR="00B52182" w:rsidRPr="00DD2F57" w:rsidRDefault="00B52182" w:rsidP="00305E66">
            <w:pPr>
              <w:spacing w:line="216" w:lineRule="auto"/>
              <w:jc w:val="center"/>
              <w:rPr>
                <w:rFonts w:ascii="Times New Roman" w:hAnsi="Times New Roman" w:cs="Times New Roman"/>
                <w:b/>
                <w:bCs/>
                <w:sz w:val="20"/>
                <w:szCs w:val="20"/>
              </w:rPr>
            </w:pPr>
            <w:r w:rsidRPr="00DD2F57">
              <w:rPr>
                <w:rFonts w:ascii="Times New Roman" w:hAnsi="Times New Roman" w:cs="Times New Roman"/>
                <w:b/>
                <w:bCs/>
                <w:sz w:val="20"/>
                <w:szCs w:val="20"/>
              </w:rPr>
              <w:t>Longitude (E)</w:t>
            </w:r>
          </w:p>
        </w:tc>
      </w:tr>
      <w:tr w:rsidR="00B52182" w:rsidRPr="00DD2F57" w14:paraId="76797DCF" w14:textId="77777777" w:rsidTr="008A3E4E">
        <w:trPr>
          <w:trHeight w:val="63"/>
          <w:jc w:val="center"/>
        </w:trPr>
        <w:tc>
          <w:tcPr>
            <w:tcW w:w="993" w:type="dxa"/>
            <w:tcBorders>
              <w:top w:val="single" w:sz="4" w:space="0" w:color="auto"/>
              <w:left w:val="nil"/>
              <w:bottom w:val="nil"/>
              <w:right w:val="nil"/>
            </w:tcBorders>
          </w:tcPr>
          <w:p w14:paraId="763F8668" w14:textId="77777777" w:rsidR="00B52182" w:rsidRPr="00DD2F57" w:rsidRDefault="00B52182" w:rsidP="00305E66">
            <w:pPr>
              <w:spacing w:line="216" w:lineRule="auto"/>
              <w:jc w:val="center"/>
              <w:rPr>
                <w:rFonts w:ascii="Times New Roman" w:hAnsi="Times New Roman" w:cs="Times New Roman"/>
                <w:sz w:val="20"/>
                <w:szCs w:val="20"/>
              </w:rPr>
            </w:pPr>
            <w:bookmarkStart w:id="2" w:name="_Hlk145711001"/>
            <w:r w:rsidRPr="00DD2F57">
              <w:rPr>
                <w:rFonts w:ascii="Times New Roman" w:hAnsi="Times New Roman" w:cs="Times New Roman"/>
                <w:sz w:val="20"/>
                <w:szCs w:val="20"/>
              </w:rPr>
              <w:t>SN 1</w:t>
            </w:r>
          </w:p>
        </w:tc>
        <w:tc>
          <w:tcPr>
            <w:tcW w:w="992" w:type="dxa"/>
            <w:tcBorders>
              <w:top w:val="single" w:sz="4" w:space="0" w:color="auto"/>
              <w:left w:val="nil"/>
              <w:bottom w:val="nil"/>
              <w:right w:val="nil"/>
            </w:tcBorders>
          </w:tcPr>
          <w:p w14:paraId="7E1447A7"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CT-1</w:t>
            </w:r>
          </w:p>
        </w:tc>
        <w:tc>
          <w:tcPr>
            <w:tcW w:w="1507" w:type="dxa"/>
            <w:vMerge w:val="restart"/>
            <w:tcBorders>
              <w:top w:val="single" w:sz="4" w:space="0" w:color="auto"/>
              <w:left w:val="nil"/>
              <w:bottom w:val="single" w:sz="4" w:space="0" w:color="auto"/>
              <w:right w:val="nil"/>
            </w:tcBorders>
          </w:tcPr>
          <w:p w14:paraId="6B0DC5E1" w14:textId="77777777" w:rsidR="00B52182" w:rsidRDefault="00B52182" w:rsidP="00305E66">
            <w:pPr>
              <w:spacing w:line="216" w:lineRule="auto"/>
              <w:jc w:val="center"/>
              <w:rPr>
                <w:rFonts w:ascii="Times New Roman" w:hAnsi="Times New Roman" w:cs="Times New Roman"/>
                <w:sz w:val="20"/>
                <w:szCs w:val="20"/>
              </w:rPr>
            </w:pPr>
          </w:p>
          <w:p w14:paraId="0A6D3E74" w14:textId="77777777" w:rsidR="00B52182" w:rsidRPr="00DD2F57" w:rsidRDefault="00B52182" w:rsidP="00305E66">
            <w:pPr>
              <w:spacing w:line="216" w:lineRule="auto"/>
              <w:jc w:val="center"/>
              <w:rPr>
                <w:rFonts w:ascii="Times New Roman" w:hAnsi="Times New Roman" w:cs="Times New Roman"/>
                <w:sz w:val="20"/>
                <w:szCs w:val="20"/>
              </w:rPr>
            </w:pPr>
            <w:r>
              <w:rPr>
                <w:rFonts w:ascii="Times New Roman" w:hAnsi="Times New Roman" w:cs="Times New Roman"/>
                <w:sz w:val="20"/>
                <w:szCs w:val="20"/>
              </w:rPr>
              <w:t>Control</w:t>
            </w:r>
          </w:p>
        </w:tc>
        <w:tc>
          <w:tcPr>
            <w:tcW w:w="1328" w:type="dxa"/>
            <w:tcBorders>
              <w:top w:val="single" w:sz="4" w:space="0" w:color="auto"/>
              <w:left w:val="nil"/>
              <w:bottom w:val="nil"/>
              <w:right w:val="nil"/>
            </w:tcBorders>
          </w:tcPr>
          <w:p w14:paraId="1C01A968"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46'33.49"</w:t>
            </w:r>
          </w:p>
        </w:tc>
        <w:tc>
          <w:tcPr>
            <w:tcW w:w="1559" w:type="dxa"/>
            <w:tcBorders>
              <w:top w:val="single" w:sz="4" w:space="0" w:color="auto"/>
              <w:left w:val="nil"/>
              <w:bottom w:val="nil"/>
              <w:right w:val="nil"/>
            </w:tcBorders>
          </w:tcPr>
          <w:p w14:paraId="06CCB647"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7'36.06"</w:t>
            </w:r>
          </w:p>
        </w:tc>
      </w:tr>
      <w:tr w:rsidR="00B52182" w:rsidRPr="00DD2F57" w14:paraId="019AF187" w14:textId="77777777" w:rsidTr="00AC0827">
        <w:trPr>
          <w:trHeight w:val="70"/>
          <w:jc w:val="center"/>
        </w:trPr>
        <w:tc>
          <w:tcPr>
            <w:tcW w:w="993" w:type="dxa"/>
            <w:tcBorders>
              <w:top w:val="nil"/>
              <w:left w:val="nil"/>
              <w:bottom w:val="nil"/>
              <w:right w:val="nil"/>
            </w:tcBorders>
          </w:tcPr>
          <w:p w14:paraId="2DDC5AFF"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2</w:t>
            </w:r>
          </w:p>
        </w:tc>
        <w:tc>
          <w:tcPr>
            <w:tcW w:w="992" w:type="dxa"/>
            <w:tcBorders>
              <w:top w:val="nil"/>
              <w:left w:val="nil"/>
              <w:bottom w:val="nil"/>
              <w:right w:val="nil"/>
            </w:tcBorders>
          </w:tcPr>
          <w:p w14:paraId="799BB895"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CT-2</w:t>
            </w:r>
          </w:p>
        </w:tc>
        <w:tc>
          <w:tcPr>
            <w:tcW w:w="1507" w:type="dxa"/>
            <w:vMerge/>
            <w:tcBorders>
              <w:top w:val="single" w:sz="4" w:space="0" w:color="auto"/>
              <w:left w:val="nil"/>
              <w:bottom w:val="single" w:sz="4" w:space="0" w:color="auto"/>
              <w:right w:val="nil"/>
            </w:tcBorders>
          </w:tcPr>
          <w:p w14:paraId="66052510"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6E6BB73E"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46'34.86"</w:t>
            </w:r>
          </w:p>
        </w:tc>
        <w:tc>
          <w:tcPr>
            <w:tcW w:w="1559" w:type="dxa"/>
            <w:tcBorders>
              <w:top w:val="nil"/>
              <w:left w:val="nil"/>
              <w:bottom w:val="nil"/>
              <w:right w:val="nil"/>
            </w:tcBorders>
          </w:tcPr>
          <w:p w14:paraId="3561BCF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7'38.48"</w:t>
            </w:r>
          </w:p>
        </w:tc>
      </w:tr>
      <w:tr w:rsidR="00B52182" w:rsidRPr="00DD2F57" w14:paraId="39182626" w14:textId="77777777" w:rsidTr="00B06D24">
        <w:trPr>
          <w:trHeight w:val="75"/>
          <w:jc w:val="center"/>
        </w:trPr>
        <w:tc>
          <w:tcPr>
            <w:tcW w:w="993" w:type="dxa"/>
            <w:tcBorders>
              <w:top w:val="nil"/>
              <w:left w:val="nil"/>
              <w:bottom w:val="nil"/>
              <w:right w:val="nil"/>
            </w:tcBorders>
          </w:tcPr>
          <w:p w14:paraId="30307873"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3</w:t>
            </w:r>
          </w:p>
        </w:tc>
        <w:tc>
          <w:tcPr>
            <w:tcW w:w="992" w:type="dxa"/>
            <w:tcBorders>
              <w:top w:val="nil"/>
              <w:left w:val="nil"/>
              <w:bottom w:val="nil"/>
              <w:right w:val="nil"/>
            </w:tcBorders>
          </w:tcPr>
          <w:p w14:paraId="4E89944B"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CT-3</w:t>
            </w:r>
          </w:p>
        </w:tc>
        <w:tc>
          <w:tcPr>
            <w:tcW w:w="1507" w:type="dxa"/>
            <w:vMerge/>
            <w:tcBorders>
              <w:top w:val="single" w:sz="4" w:space="0" w:color="auto"/>
              <w:left w:val="nil"/>
              <w:bottom w:val="single" w:sz="4" w:space="0" w:color="auto"/>
              <w:right w:val="nil"/>
            </w:tcBorders>
          </w:tcPr>
          <w:p w14:paraId="0F0ACF4A"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2CBEF0FF"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46'34.83"</w:t>
            </w:r>
          </w:p>
        </w:tc>
        <w:tc>
          <w:tcPr>
            <w:tcW w:w="1559" w:type="dxa"/>
            <w:tcBorders>
              <w:top w:val="nil"/>
              <w:left w:val="nil"/>
              <w:bottom w:val="nil"/>
              <w:right w:val="nil"/>
            </w:tcBorders>
          </w:tcPr>
          <w:p w14:paraId="3430396F"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7'37.67"</w:t>
            </w:r>
          </w:p>
        </w:tc>
      </w:tr>
      <w:tr w:rsidR="00B52182" w:rsidRPr="00DD2F57" w14:paraId="43A7FECA" w14:textId="77777777" w:rsidTr="00B06D24">
        <w:trPr>
          <w:trHeight w:val="75"/>
          <w:jc w:val="center"/>
        </w:trPr>
        <w:tc>
          <w:tcPr>
            <w:tcW w:w="993" w:type="dxa"/>
            <w:tcBorders>
              <w:top w:val="nil"/>
              <w:left w:val="nil"/>
              <w:bottom w:val="single" w:sz="4" w:space="0" w:color="auto"/>
              <w:right w:val="nil"/>
            </w:tcBorders>
          </w:tcPr>
          <w:p w14:paraId="6E7C5CF0"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4</w:t>
            </w:r>
          </w:p>
        </w:tc>
        <w:tc>
          <w:tcPr>
            <w:tcW w:w="992" w:type="dxa"/>
            <w:tcBorders>
              <w:top w:val="nil"/>
              <w:left w:val="nil"/>
              <w:bottom w:val="single" w:sz="4" w:space="0" w:color="auto"/>
              <w:right w:val="nil"/>
            </w:tcBorders>
          </w:tcPr>
          <w:p w14:paraId="34065AED"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CT-4</w:t>
            </w:r>
          </w:p>
        </w:tc>
        <w:tc>
          <w:tcPr>
            <w:tcW w:w="1507" w:type="dxa"/>
            <w:vMerge/>
            <w:tcBorders>
              <w:top w:val="single" w:sz="4" w:space="0" w:color="auto"/>
              <w:left w:val="nil"/>
              <w:bottom w:val="single" w:sz="4" w:space="0" w:color="auto"/>
              <w:right w:val="nil"/>
            </w:tcBorders>
          </w:tcPr>
          <w:p w14:paraId="72DAF3C3"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single" w:sz="4" w:space="0" w:color="auto"/>
              <w:right w:val="nil"/>
            </w:tcBorders>
          </w:tcPr>
          <w:p w14:paraId="54C66C7C"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46'33.18"</w:t>
            </w:r>
          </w:p>
        </w:tc>
        <w:tc>
          <w:tcPr>
            <w:tcW w:w="1559" w:type="dxa"/>
            <w:tcBorders>
              <w:top w:val="nil"/>
              <w:left w:val="nil"/>
              <w:bottom w:val="single" w:sz="4" w:space="0" w:color="auto"/>
              <w:right w:val="nil"/>
            </w:tcBorders>
          </w:tcPr>
          <w:p w14:paraId="5B3CB992"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7'39.30"</w:t>
            </w:r>
          </w:p>
        </w:tc>
      </w:tr>
      <w:bookmarkEnd w:id="2"/>
      <w:tr w:rsidR="00B52182" w:rsidRPr="00DD2F57" w14:paraId="6842E6A6" w14:textId="77777777" w:rsidTr="00B06D24">
        <w:trPr>
          <w:trHeight w:val="75"/>
          <w:jc w:val="center"/>
        </w:trPr>
        <w:tc>
          <w:tcPr>
            <w:tcW w:w="993" w:type="dxa"/>
            <w:tcBorders>
              <w:top w:val="single" w:sz="4" w:space="0" w:color="auto"/>
              <w:left w:val="nil"/>
              <w:bottom w:val="nil"/>
              <w:right w:val="nil"/>
            </w:tcBorders>
          </w:tcPr>
          <w:p w14:paraId="1EE662AD"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5</w:t>
            </w:r>
          </w:p>
        </w:tc>
        <w:tc>
          <w:tcPr>
            <w:tcW w:w="992" w:type="dxa"/>
            <w:tcBorders>
              <w:top w:val="single" w:sz="4" w:space="0" w:color="auto"/>
              <w:left w:val="nil"/>
              <w:bottom w:val="nil"/>
              <w:right w:val="nil"/>
            </w:tcBorders>
          </w:tcPr>
          <w:p w14:paraId="076451C8"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PR-1</w:t>
            </w:r>
          </w:p>
        </w:tc>
        <w:tc>
          <w:tcPr>
            <w:tcW w:w="1507" w:type="dxa"/>
            <w:vMerge w:val="restart"/>
            <w:tcBorders>
              <w:top w:val="single" w:sz="4" w:space="0" w:color="auto"/>
              <w:left w:val="nil"/>
              <w:bottom w:val="single" w:sz="4" w:space="0" w:color="auto"/>
              <w:right w:val="nil"/>
            </w:tcBorders>
          </w:tcPr>
          <w:p w14:paraId="2EA20B59" w14:textId="77777777" w:rsidR="00B52182" w:rsidRDefault="00B52182" w:rsidP="00305E66">
            <w:pPr>
              <w:spacing w:line="216" w:lineRule="auto"/>
              <w:jc w:val="center"/>
              <w:rPr>
                <w:rFonts w:ascii="Times New Roman" w:hAnsi="Times New Roman" w:cs="Times New Roman"/>
                <w:sz w:val="20"/>
                <w:szCs w:val="20"/>
              </w:rPr>
            </w:pPr>
          </w:p>
          <w:p w14:paraId="199A16D2" w14:textId="77777777" w:rsidR="00B52182" w:rsidRDefault="00B52182" w:rsidP="00305E66">
            <w:pPr>
              <w:spacing w:line="216" w:lineRule="auto"/>
              <w:jc w:val="center"/>
              <w:rPr>
                <w:rFonts w:ascii="Times New Roman" w:hAnsi="Times New Roman" w:cs="Times New Roman"/>
                <w:sz w:val="20"/>
                <w:szCs w:val="20"/>
              </w:rPr>
            </w:pPr>
          </w:p>
          <w:p w14:paraId="476A46B0" w14:textId="77777777" w:rsidR="00B52182" w:rsidRDefault="00B52182" w:rsidP="00305E66">
            <w:pPr>
              <w:spacing w:line="216" w:lineRule="auto"/>
              <w:jc w:val="center"/>
              <w:rPr>
                <w:rFonts w:ascii="Times New Roman" w:hAnsi="Times New Roman" w:cs="Times New Roman"/>
                <w:sz w:val="20"/>
                <w:szCs w:val="20"/>
              </w:rPr>
            </w:pPr>
          </w:p>
          <w:p w14:paraId="5326A3F4" w14:textId="77777777" w:rsidR="00B52182" w:rsidRDefault="00B52182" w:rsidP="00305E66">
            <w:pPr>
              <w:spacing w:line="216" w:lineRule="auto"/>
              <w:jc w:val="center"/>
              <w:rPr>
                <w:rFonts w:ascii="Times New Roman" w:hAnsi="Times New Roman" w:cs="Times New Roman"/>
                <w:sz w:val="20"/>
                <w:szCs w:val="20"/>
              </w:rPr>
            </w:pPr>
          </w:p>
          <w:p w14:paraId="0C6CB590" w14:textId="77777777" w:rsidR="00B52182" w:rsidRDefault="00B52182" w:rsidP="00305E66">
            <w:pPr>
              <w:spacing w:line="216" w:lineRule="auto"/>
              <w:jc w:val="center"/>
              <w:rPr>
                <w:rFonts w:ascii="Times New Roman" w:hAnsi="Times New Roman" w:cs="Times New Roman"/>
                <w:sz w:val="20"/>
                <w:szCs w:val="20"/>
              </w:rPr>
            </w:pPr>
            <w:r>
              <w:rPr>
                <w:rFonts w:ascii="Times New Roman" w:hAnsi="Times New Roman" w:cs="Times New Roman"/>
                <w:sz w:val="20"/>
                <w:szCs w:val="20"/>
              </w:rPr>
              <w:t>First</w:t>
            </w:r>
          </w:p>
          <w:p w14:paraId="417E1AB2" w14:textId="77777777" w:rsidR="00B52182" w:rsidRDefault="00B52182" w:rsidP="00305E66">
            <w:pPr>
              <w:spacing w:line="216" w:lineRule="auto"/>
              <w:jc w:val="center"/>
              <w:rPr>
                <w:rFonts w:ascii="Times New Roman" w:hAnsi="Times New Roman" w:cs="Times New Roman"/>
                <w:sz w:val="20"/>
                <w:szCs w:val="20"/>
              </w:rPr>
            </w:pPr>
            <w:r>
              <w:rPr>
                <w:rFonts w:ascii="Times New Roman" w:hAnsi="Times New Roman" w:cs="Times New Roman"/>
                <w:sz w:val="20"/>
                <w:szCs w:val="20"/>
              </w:rPr>
              <w:t>Sampling</w:t>
            </w:r>
          </w:p>
          <w:p w14:paraId="1DD30026" w14:textId="77777777" w:rsidR="00B52182" w:rsidRDefault="00B52182" w:rsidP="00305E66">
            <w:pPr>
              <w:spacing w:line="216" w:lineRule="auto"/>
              <w:jc w:val="center"/>
              <w:rPr>
                <w:rFonts w:ascii="Times New Roman" w:hAnsi="Times New Roman" w:cs="Times New Roman"/>
                <w:sz w:val="20"/>
                <w:szCs w:val="20"/>
              </w:rPr>
            </w:pPr>
            <w:r>
              <w:rPr>
                <w:rFonts w:ascii="Times New Roman" w:hAnsi="Times New Roman" w:cs="Times New Roman"/>
                <w:sz w:val="20"/>
                <w:szCs w:val="20"/>
              </w:rPr>
              <w:t>Phase</w:t>
            </w:r>
          </w:p>
          <w:p w14:paraId="42B97158"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single" w:sz="4" w:space="0" w:color="auto"/>
              <w:left w:val="nil"/>
              <w:bottom w:val="nil"/>
              <w:right w:val="nil"/>
            </w:tcBorders>
          </w:tcPr>
          <w:p w14:paraId="5F3E1801"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4°46'19.68"</w:t>
            </w:r>
          </w:p>
        </w:tc>
        <w:tc>
          <w:tcPr>
            <w:tcW w:w="1559" w:type="dxa"/>
            <w:tcBorders>
              <w:top w:val="single" w:sz="4" w:space="0" w:color="auto"/>
              <w:left w:val="nil"/>
              <w:bottom w:val="nil"/>
              <w:right w:val="nil"/>
            </w:tcBorders>
          </w:tcPr>
          <w:p w14:paraId="6C2BD2CD"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7'37.71"</w:t>
            </w:r>
          </w:p>
        </w:tc>
      </w:tr>
      <w:tr w:rsidR="00B52182" w:rsidRPr="00DD2F57" w14:paraId="72C7CE51" w14:textId="77777777" w:rsidTr="00B06D24">
        <w:trPr>
          <w:trHeight w:val="179"/>
          <w:jc w:val="center"/>
        </w:trPr>
        <w:tc>
          <w:tcPr>
            <w:tcW w:w="993" w:type="dxa"/>
            <w:tcBorders>
              <w:top w:val="nil"/>
              <w:left w:val="nil"/>
              <w:bottom w:val="nil"/>
              <w:right w:val="nil"/>
            </w:tcBorders>
          </w:tcPr>
          <w:p w14:paraId="699768F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6</w:t>
            </w:r>
          </w:p>
        </w:tc>
        <w:tc>
          <w:tcPr>
            <w:tcW w:w="992" w:type="dxa"/>
            <w:tcBorders>
              <w:top w:val="nil"/>
              <w:left w:val="nil"/>
              <w:bottom w:val="nil"/>
              <w:right w:val="nil"/>
            </w:tcBorders>
          </w:tcPr>
          <w:p w14:paraId="70A28C77"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PR-2</w:t>
            </w:r>
          </w:p>
        </w:tc>
        <w:tc>
          <w:tcPr>
            <w:tcW w:w="1507" w:type="dxa"/>
            <w:vMerge/>
            <w:tcBorders>
              <w:top w:val="single" w:sz="4" w:space="0" w:color="auto"/>
              <w:left w:val="nil"/>
              <w:bottom w:val="single" w:sz="4" w:space="0" w:color="auto"/>
              <w:right w:val="nil"/>
            </w:tcBorders>
          </w:tcPr>
          <w:p w14:paraId="26F3AF09"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6D8EC535"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4°46'18.77"</w:t>
            </w:r>
          </w:p>
        </w:tc>
        <w:tc>
          <w:tcPr>
            <w:tcW w:w="1559" w:type="dxa"/>
            <w:tcBorders>
              <w:top w:val="nil"/>
              <w:left w:val="nil"/>
              <w:bottom w:val="nil"/>
              <w:right w:val="nil"/>
            </w:tcBorders>
          </w:tcPr>
          <w:p w14:paraId="1930736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7'35.69"</w:t>
            </w:r>
          </w:p>
        </w:tc>
      </w:tr>
      <w:tr w:rsidR="00B52182" w:rsidRPr="00DD2F57" w14:paraId="7587D1FE" w14:textId="77777777" w:rsidTr="00B06D24">
        <w:trPr>
          <w:trHeight w:val="122"/>
          <w:jc w:val="center"/>
        </w:trPr>
        <w:tc>
          <w:tcPr>
            <w:tcW w:w="993" w:type="dxa"/>
            <w:tcBorders>
              <w:top w:val="nil"/>
              <w:left w:val="nil"/>
              <w:bottom w:val="nil"/>
              <w:right w:val="nil"/>
            </w:tcBorders>
          </w:tcPr>
          <w:p w14:paraId="7642F774"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7</w:t>
            </w:r>
          </w:p>
        </w:tc>
        <w:tc>
          <w:tcPr>
            <w:tcW w:w="992" w:type="dxa"/>
            <w:tcBorders>
              <w:top w:val="nil"/>
              <w:left w:val="nil"/>
              <w:bottom w:val="nil"/>
              <w:right w:val="nil"/>
            </w:tcBorders>
          </w:tcPr>
          <w:p w14:paraId="021C0B11"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PR-3</w:t>
            </w:r>
          </w:p>
        </w:tc>
        <w:tc>
          <w:tcPr>
            <w:tcW w:w="1507" w:type="dxa"/>
            <w:vMerge/>
            <w:tcBorders>
              <w:top w:val="single" w:sz="4" w:space="0" w:color="auto"/>
              <w:left w:val="nil"/>
              <w:bottom w:val="single" w:sz="4" w:space="0" w:color="auto"/>
              <w:right w:val="nil"/>
            </w:tcBorders>
          </w:tcPr>
          <w:p w14:paraId="08E12A46"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411F8185"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4°46'19.45"</w:t>
            </w:r>
          </w:p>
        </w:tc>
        <w:tc>
          <w:tcPr>
            <w:tcW w:w="1559" w:type="dxa"/>
            <w:tcBorders>
              <w:top w:val="nil"/>
              <w:left w:val="nil"/>
              <w:bottom w:val="nil"/>
              <w:right w:val="nil"/>
            </w:tcBorders>
          </w:tcPr>
          <w:p w14:paraId="70B89DBA"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7'36.56"</w:t>
            </w:r>
          </w:p>
        </w:tc>
      </w:tr>
      <w:tr w:rsidR="00B52182" w:rsidRPr="00DD2F57" w14:paraId="73CC9ED8" w14:textId="77777777" w:rsidTr="00B06D24">
        <w:trPr>
          <w:trHeight w:val="75"/>
          <w:jc w:val="center"/>
        </w:trPr>
        <w:tc>
          <w:tcPr>
            <w:tcW w:w="993" w:type="dxa"/>
            <w:tcBorders>
              <w:top w:val="nil"/>
              <w:left w:val="nil"/>
              <w:bottom w:val="nil"/>
              <w:right w:val="nil"/>
            </w:tcBorders>
          </w:tcPr>
          <w:p w14:paraId="768FECFD"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8</w:t>
            </w:r>
          </w:p>
        </w:tc>
        <w:tc>
          <w:tcPr>
            <w:tcW w:w="992" w:type="dxa"/>
            <w:tcBorders>
              <w:top w:val="nil"/>
              <w:left w:val="nil"/>
              <w:bottom w:val="nil"/>
              <w:right w:val="nil"/>
            </w:tcBorders>
          </w:tcPr>
          <w:p w14:paraId="0A839F8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PR-4</w:t>
            </w:r>
          </w:p>
        </w:tc>
        <w:tc>
          <w:tcPr>
            <w:tcW w:w="1507" w:type="dxa"/>
            <w:vMerge/>
            <w:tcBorders>
              <w:top w:val="single" w:sz="4" w:space="0" w:color="auto"/>
              <w:left w:val="nil"/>
              <w:bottom w:val="single" w:sz="4" w:space="0" w:color="auto"/>
              <w:right w:val="nil"/>
            </w:tcBorders>
          </w:tcPr>
          <w:p w14:paraId="768B83A9"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6146DC22"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4°46'20.11"</w:t>
            </w:r>
          </w:p>
        </w:tc>
        <w:tc>
          <w:tcPr>
            <w:tcW w:w="1559" w:type="dxa"/>
            <w:tcBorders>
              <w:top w:val="nil"/>
              <w:left w:val="nil"/>
              <w:bottom w:val="nil"/>
              <w:right w:val="nil"/>
            </w:tcBorders>
          </w:tcPr>
          <w:p w14:paraId="7677FA5C"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7'37.32"</w:t>
            </w:r>
          </w:p>
        </w:tc>
      </w:tr>
      <w:tr w:rsidR="00B52182" w:rsidRPr="00DD2F57" w14:paraId="5749DEB1" w14:textId="77777777" w:rsidTr="00B06D24">
        <w:trPr>
          <w:trHeight w:val="75"/>
          <w:jc w:val="center"/>
        </w:trPr>
        <w:tc>
          <w:tcPr>
            <w:tcW w:w="993" w:type="dxa"/>
            <w:tcBorders>
              <w:top w:val="nil"/>
              <w:left w:val="nil"/>
              <w:bottom w:val="nil"/>
              <w:right w:val="nil"/>
            </w:tcBorders>
          </w:tcPr>
          <w:p w14:paraId="0BF6B564"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9</w:t>
            </w:r>
          </w:p>
        </w:tc>
        <w:tc>
          <w:tcPr>
            <w:tcW w:w="992" w:type="dxa"/>
            <w:tcBorders>
              <w:top w:val="nil"/>
              <w:left w:val="nil"/>
              <w:bottom w:val="nil"/>
              <w:right w:val="nil"/>
            </w:tcBorders>
          </w:tcPr>
          <w:p w14:paraId="1299669E"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PR-5</w:t>
            </w:r>
          </w:p>
        </w:tc>
        <w:tc>
          <w:tcPr>
            <w:tcW w:w="1507" w:type="dxa"/>
            <w:vMerge/>
            <w:tcBorders>
              <w:top w:val="single" w:sz="4" w:space="0" w:color="auto"/>
              <w:left w:val="nil"/>
              <w:bottom w:val="single" w:sz="4" w:space="0" w:color="auto"/>
              <w:right w:val="nil"/>
            </w:tcBorders>
          </w:tcPr>
          <w:p w14:paraId="22027219"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52DFF37C"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4°46'19.17"</w:t>
            </w:r>
          </w:p>
        </w:tc>
        <w:tc>
          <w:tcPr>
            <w:tcW w:w="1559" w:type="dxa"/>
            <w:tcBorders>
              <w:top w:val="nil"/>
              <w:left w:val="nil"/>
              <w:bottom w:val="nil"/>
              <w:right w:val="nil"/>
            </w:tcBorders>
          </w:tcPr>
          <w:p w14:paraId="748CC40B"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7'35.32"</w:t>
            </w:r>
          </w:p>
        </w:tc>
      </w:tr>
      <w:tr w:rsidR="00B52182" w:rsidRPr="00DD2F57" w14:paraId="55151366" w14:textId="77777777" w:rsidTr="00B06D24">
        <w:trPr>
          <w:trHeight w:val="75"/>
          <w:jc w:val="center"/>
        </w:trPr>
        <w:tc>
          <w:tcPr>
            <w:tcW w:w="993" w:type="dxa"/>
            <w:tcBorders>
              <w:top w:val="nil"/>
              <w:left w:val="nil"/>
              <w:bottom w:val="nil"/>
              <w:right w:val="nil"/>
            </w:tcBorders>
          </w:tcPr>
          <w:p w14:paraId="47F12084"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10</w:t>
            </w:r>
          </w:p>
        </w:tc>
        <w:tc>
          <w:tcPr>
            <w:tcW w:w="992" w:type="dxa"/>
            <w:tcBorders>
              <w:top w:val="nil"/>
              <w:left w:val="nil"/>
              <w:bottom w:val="nil"/>
              <w:right w:val="nil"/>
            </w:tcBorders>
          </w:tcPr>
          <w:p w14:paraId="0879373B"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PR-6</w:t>
            </w:r>
          </w:p>
        </w:tc>
        <w:tc>
          <w:tcPr>
            <w:tcW w:w="1507" w:type="dxa"/>
            <w:vMerge/>
            <w:tcBorders>
              <w:top w:val="single" w:sz="4" w:space="0" w:color="auto"/>
              <w:left w:val="nil"/>
              <w:bottom w:val="single" w:sz="4" w:space="0" w:color="auto"/>
              <w:right w:val="nil"/>
            </w:tcBorders>
          </w:tcPr>
          <w:p w14:paraId="2D488CA8"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5348C1AD"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4°46'18.92"</w:t>
            </w:r>
          </w:p>
        </w:tc>
        <w:tc>
          <w:tcPr>
            <w:tcW w:w="1559" w:type="dxa"/>
            <w:tcBorders>
              <w:top w:val="nil"/>
              <w:left w:val="nil"/>
              <w:bottom w:val="nil"/>
              <w:right w:val="nil"/>
            </w:tcBorders>
          </w:tcPr>
          <w:p w14:paraId="293AEFFA"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7'36.30"</w:t>
            </w:r>
          </w:p>
        </w:tc>
      </w:tr>
      <w:tr w:rsidR="00B52182" w:rsidRPr="00DD2F57" w14:paraId="0612F23C" w14:textId="77777777" w:rsidTr="00B06D24">
        <w:trPr>
          <w:trHeight w:val="75"/>
          <w:jc w:val="center"/>
        </w:trPr>
        <w:tc>
          <w:tcPr>
            <w:tcW w:w="993" w:type="dxa"/>
            <w:tcBorders>
              <w:top w:val="nil"/>
              <w:left w:val="nil"/>
              <w:bottom w:val="nil"/>
              <w:right w:val="nil"/>
            </w:tcBorders>
          </w:tcPr>
          <w:p w14:paraId="24961822"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11</w:t>
            </w:r>
          </w:p>
        </w:tc>
        <w:tc>
          <w:tcPr>
            <w:tcW w:w="992" w:type="dxa"/>
            <w:tcBorders>
              <w:top w:val="nil"/>
              <w:left w:val="nil"/>
              <w:bottom w:val="nil"/>
              <w:right w:val="nil"/>
            </w:tcBorders>
          </w:tcPr>
          <w:p w14:paraId="2D288F4B"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PR-7</w:t>
            </w:r>
          </w:p>
        </w:tc>
        <w:tc>
          <w:tcPr>
            <w:tcW w:w="1507" w:type="dxa"/>
            <w:vMerge/>
            <w:tcBorders>
              <w:top w:val="single" w:sz="4" w:space="0" w:color="auto"/>
              <w:left w:val="nil"/>
              <w:bottom w:val="single" w:sz="4" w:space="0" w:color="auto"/>
              <w:right w:val="nil"/>
            </w:tcBorders>
          </w:tcPr>
          <w:p w14:paraId="080DF9E8"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1B38DB9A"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4°46'19.56"</w:t>
            </w:r>
          </w:p>
        </w:tc>
        <w:tc>
          <w:tcPr>
            <w:tcW w:w="1559" w:type="dxa"/>
            <w:tcBorders>
              <w:top w:val="nil"/>
              <w:left w:val="nil"/>
              <w:bottom w:val="nil"/>
              <w:right w:val="nil"/>
            </w:tcBorders>
          </w:tcPr>
          <w:p w14:paraId="6F4D5DC3"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7'37.12"</w:t>
            </w:r>
          </w:p>
        </w:tc>
      </w:tr>
      <w:tr w:rsidR="00B52182" w:rsidRPr="00DD2F57" w14:paraId="053A34A0" w14:textId="77777777" w:rsidTr="00B06D24">
        <w:trPr>
          <w:trHeight w:val="75"/>
          <w:jc w:val="center"/>
        </w:trPr>
        <w:tc>
          <w:tcPr>
            <w:tcW w:w="993" w:type="dxa"/>
            <w:tcBorders>
              <w:top w:val="nil"/>
              <w:left w:val="nil"/>
              <w:bottom w:val="nil"/>
              <w:right w:val="nil"/>
            </w:tcBorders>
          </w:tcPr>
          <w:p w14:paraId="1FE3ACF5"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12</w:t>
            </w:r>
          </w:p>
        </w:tc>
        <w:tc>
          <w:tcPr>
            <w:tcW w:w="992" w:type="dxa"/>
            <w:tcBorders>
              <w:top w:val="nil"/>
              <w:left w:val="nil"/>
              <w:bottom w:val="nil"/>
              <w:right w:val="nil"/>
            </w:tcBorders>
          </w:tcPr>
          <w:p w14:paraId="7C6EFF94"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PR-8</w:t>
            </w:r>
          </w:p>
        </w:tc>
        <w:tc>
          <w:tcPr>
            <w:tcW w:w="1507" w:type="dxa"/>
            <w:vMerge/>
            <w:tcBorders>
              <w:top w:val="single" w:sz="4" w:space="0" w:color="auto"/>
              <w:left w:val="nil"/>
              <w:bottom w:val="single" w:sz="4" w:space="0" w:color="auto"/>
              <w:right w:val="nil"/>
            </w:tcBorders>
          </w:tcPr>
          <w:p w14:paraId="494FC308"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13F9E3E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4°46'20.17"</w:t>
            </w:r>
          </w:p>
        </w:tc>
        <w:tc>
          <w:tcPr>
            <w:tcW w:w="1559" w:type="dxa"/>
            <w:tcBorders>
              <w:top w:val="nil"/>
              <w:left w:val="nil"/>
              <w:bottom w:val="nil"/>
              <w:right w:val="nil"/>
            </w:tcBorders>
          </w:tcPr>
          <w:p w14:paraId="74A8A7CC"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7'37.84"</w:t>
            </w:r>
          </w:p>
        </w:tc>
      </w:tr>
      <w:tr w:rsidR="00B52182" w:rsidRPr="00DD2F57" w14:paraId="1DE3360D" w14:textId="77777777" w:rsidTr="00B06D24">
        <w:trPr>
          <w:trHeight w:val="75"/>
          <w:jc w:val="center"/>
        </w:trPr>
        <w:tc>
          <w:tcPr>
            <w:tcW w:w="993" w:type="dxa"/>
            <w:tcBorders>
              <w:top w:val="nil"/>
              <w:left w:val="nil"/>
              <w:bottom w:val="nil"/>
              <w:right w:val="nil"/>
            </w:tcBorders>
          </w:tcPr>
          <w:p w14:paraId="250186D0"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13</w:t>
            </w:r>
          </w:p>
        </w:tc>
        <w:tc>
          <w:tcPr>
            <w:tcW w:w="992" w:type="dxa"/>
            <w:tcBorders>
              <w:top w:val="nil"/>
              <w:left w:val="nil"/>
              <w:bottom w:val="nil"/>
              <w:right w:val="nil"/>
            </w:tcBorders>
          </w:tcPr>
          <w:p w14:paraId="469DA53D"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PR-9</w:t>
            </w:r>
          </w:p>
        </w:tc>
        <w:tc>
          <w:tcPr>
            <w:tcW w:w="1507" w:type="dxa"/>
            <w:vMerge/>
            <w:tcBorders>
              <w:top w:val="single" w:sz="4" w:space="0" w:color="auto"/>
              <w:left w:val="nil"/>
              <w:bottom w:val="single" w:sz="4" w:space="0" w:color="auto"/>
              <w:right w:val="nil"/>
            </w:tcBorders>
          </w:tcPr>
          <w:p w14:paraId="28D90089"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27F64669"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4°46'18.69"</w:t>
            </w:r>
          </w:p>
        </w:tc>
        <w:tc>
          <w:tcPr>
            <w:tcW w:w="1559" w:type="dxa"/>
            <w:tcBorders>
              <w:top w:val="nil"/>
              <w:left w:val="nil"/>
              <w:bottom w:val="nil"/>
              <w:right w:val="nil"/>
            </w:tcBorders>
          </w:tcPr>
          <w:p w14:paraId="2DF7FE4A"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7'35.17"</w:t>
            </w:r>
          </w:p>
        </w:tc>
      </w:tr>
      <w:tr w:rsidR="00B52182" w:rsidRPr="00DD2F57" w14:paraId="39DBEEEC" w14:textId="77777777" w:rsidTr="00B06D24">
        <w:trPr>
          <w:trHeight w:val="75"/>
          <w:jc w:val="center"/>
        </w:trPr>
        <w:tc>
          <w:tcPr>
            <w:tcW w:w="993" w:type="dxa"/>
            <w:tcBorders>
              <w:top w:val="nil"/>
              <w:left w:val="nil"/>
              <w:bottom w:val="nil"/>
              <w:right w:val="nil"/>
            </w:tcBorders>
          </w:tcPr>
          <w:p w14:paraId="309D4A0B"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14</w:t>
            </w:r>
          </w:p>
        </w:tc>
        <w:tc>
          <w:tcPr>
            <w:tcW w:w="992" w:type="dxa"/>
            <w:tcBorders>
              <w:top w:val="nil"/>
              <w:left w:val="nil"/>
              <w:bottom w:val="nil"/>
              <w:right w:val="nil"/>
            </w:tcBorders>
          </w:tcPr>
          <w:p w14:paraId="1D2E601D"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PR-10</w:t>
            </w:r>
          </w:p>
        </w:tc>
        <w:tc>
          <w:tcPr>
            <w:tcW w:w="1507" w:type="dxa"/>
            <w:vMerge/>
            <w:tcBorders>
              <w:top w:val="single" w:sz="4" w:space="0" w:color="auto"/>
              <w:left w:val="nil"/>
              <w:bottom w:val="single" w:sz="4" w:space="0" w:color="auto"/>
              <w:right w:val="nil"/>
            </w:tcBorders>
          </w:tcPr>
          <w:p w14:paraId="172A0364"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41D0D86A"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4°46'19.30"</w:t>
            </w:r>
          </w:p>
        </w:tc>
        <w:tc>
          <w:tcPr>
            <w:tcW w:w="1559" w:type="dxa"/>
            <w:tcBorders>
              <w:top w:val="nil"/>
              <w:left w:val="nil"/>
              <w:bottom w:val="nil"/>
              <w:right w:val="nil"/>
            </w:tcBorders>
          </w:tcPr>
          <w:p w14:paraId="040B201F"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7'35.88"</w:t>
            </w:r>
          </w:p>
        </w:tc>
      </w:tr>
      <w:tr w:rsidR="00B52182" w:rsidRPr="00DD2F57" w14:paraId="6A6CCD42" w14:textId="77777777" w:rsidTr="00B06D24">
        <w:trPr>
          <w:trHeight w:val="75"/>
          <w:jc w:val="center"/>
        </w:trPr>
        <w:tc>
          <w:tcPr>
            <w:tcW w:w="993" w:type="dxa"/>
            <w:tcBorders>
              <w:top w:val="nil"/>
              <w:left w:val="nil"/>
              <w:bottom w:val="single" w:sz="4" w:space="0" w:color="auto"/>
              <w:right w:val="nil"/>
            </w:tcBorders>
          </w:tcPr>
          <w:p w14:paraId="4569AD4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15</w:t>
            </w:r>
          </w:p>
        </w:tc>
        <w:tc>
          <w:tcPr>
            <w:tcW w:w="992" w:type="dxa"/>
            <w:tcBorders>
              <w:top w:val="nil"/>
              <w:left w:val="nil"/>
              <w:bottom w:val="single" w:sz="4" w:space="0" w:color="auto"/>
              <w:right w:val="nil"/>
            </w:tcBorders>
          </w:tcPr>
          <w:p w14:paraId="02293298"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PR-11</w:t>
            </w:r>
          </w:p>
        </w:tc>
        <w:tc>
          <w:tcPr>
            <w:tcW w:w="1507" w:type="dxa"/>
            <w:vMerge/>
            <w:tcBorders>
              <w:top w:val="single" w:sz="4" w:space="0" w:color="auto"/>
              <w:left w:val="nil"/>
              <w:bottom w:val="single" w:sz="4" w:space="0" w:color="auto"/>
              <w:right w:val="nil"/>
            </w:tcBorders>
          </w:tcPr>
          <w:p w14:paraId="0186B4BC"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single" w:sz="4" w:space="0" w:color="auto"/>
              <w:right w:val="nil"/>
            </w:tcBorders>
          </w:tcPr>
          <w:p w14:paraId="27D036AA"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4°46'19.95"</w:t>
            </w:r>
          </w:p>
        </w:tc>
        <w:tc>
          <w:tcPr>
            <w:tcW w:w="1559" w:type="dxa"/>
            <w:tcBorders>
              <w:top w:val="nil"/>
              <w:left w:val="nil"/>
              <w:bottom w:val="single" w:sz="4" w:space="0" w:color="auto"/>
              <w:right w:val="nil"/>
            </w:tcBorders>
          </w:tcPr>
          <w:p w14:paraId="79CDE23A"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7'36.67"</w:t>
            </w:r>
          </w:p>
        </w:tc>
      </w:tr>
      <w:tr w:rsidR="00B52182" w:rsidRPr="00DD2F57" w14:paraId="21C95015" w14:textId="77777777" w:rsidTr="00B06D24">
        <w:trPr>
          <w:trHeight w:val="75"/>
          <w:jc w:val="center"/>
        </w:trPr>
        <w:tc>
          <w:tcPr>
            <w:tcW w:w="993" w:type="dxa"/>
            <w:tcBorders>
              <w:top w:val="single" w:sz="4" w:space="0" w:color="auto"/>
              <w:left w:val="nil"/>
              <w:bottom w:val="nil"/>
              <w:right w:val="nil"/>
            </w:tcBorders>
          </w:tcPr>
          <w:p w14:paraId="6B0B3AB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16</w:t>
            </w:r>
          </w:p>
        </w:tc>
        <w:tc>
          <w:tcPr>
            <w:tcW w:w="992" w:type="dxa"/>
            <w:tcBorders>
              <w:top w:val="single" w:sz="4" w:space="0" w:color="auto"/>
              <w:left w:val="nil"/>
              <w:bottom w:val="nil"/>
              <w:right w:val="nil"/>
            </w:tcBorders>
          </w:tcPr>
          <w:p w14:paraId="28D83AE0"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PR-12</w:t>
            </w:r>
          </w:p>
        </w:tc>
        <w:tc>
          <w:tcPr>
            <w:tcW w:w="1507" w:type="dxa"/>
            <w:vMerge w:val="restart"/>
            <w:tcBorders>
              <w:top w:val="single" w:sz="4" w:space="0" w:color="auto"/>
              <w:left w:val="nil"/>
              <w:bottom w:val="single" w:sz="4" w:space="0" w:color="auto"/>
              <w:right w:val="nil"/>
            </w:tcBorders>
          </w:tcPr>
          <w:p w14:paraId="0A576670" w14:textId="77777777" w:rsidR="00B52182" w:rsidRDefault="00B52182" w:rsidP="00305E66">
            <w:pPr>
              <w:spacing w:line="216" w:lineRule="auto"/>
              <w:jc w:val="center"/>
              <w:rPr>
                <w:rFonts w:ascii="Times New Roman" w:hAnsi="Times New Roman" w:cs="Times New Roman"/>
                <w:sz w:val="20"/>
                <w:szCs w:val="20"/>
              </w:rPr>
            </w:pPr>
          </w:p>
          <w:p w14:paraId="56019FF7" w14:textId="77777777" w:rsidR="00B52182" w:rsidRDefault="00B52182" w:rsidP="00305E66">
            <w:pPr>
              <w:spacing w:line="216" w:lineRule="auto"/>
              <w:jc w:val="center"/>
              <w:rPr>
                <w:rFonts w:ascii="Times New Roman" w:hAnsi="Times New Roman" w:cs="Times New Roman"/>
                <w:sz w:val="20"/>
                <w:szCs w:val="20"/>
              </w:rPr>
            </w:pPr>
          </w:p>
          <w:p w14:paraId="1762B94C" w14:textId="77777777" w:rsidR="00B52182" w:rsidRDefault="00B52182" w:rsidP="00305E66">
            <w:pPr>
              <w:spacing w:line="216" w:lineRule="auto"/>
              <w:jc w:val="center"/>
              <w:rPr>
                <w:rFonts w:ascii="Times New Roman" w:hAnsi="Times New Roman" w:cs="Times New Roman"/>
                <w:sz w:val="20"/>
                <w:szCs w:val="20"/>
              </w:rPr>
            </w:pPr>
          </w:p>
          <w:p w14:paraId="416B6809" w14:textId="77777777" w:rsidR="00B52182" w:rsidRDefault="00B52182" w:rsidP="00305E66">
            <w:pPr>
              <w:spacing w:line="216" w:lineRule="auto"/>
              <w:jc w:val="center"/>
              <w:rPr>
                <w:rFonts w:ascii="Times New Roman" w:hAnsi="Times New Roman" w:cs="Times New Roman"/>
                <w:sz w:val="20"/>
                <w:szCs w:val="20"/>
              </w:rPr>
            </w:pPr>
          </w:p>
          <w:p w14:paraId="5082E96D" w14:textId="77777777" w:rsidR="00B52182" w:rsidRPr="00A65393" w:rsidRDefault="00B52182" w:rsidP="00305E66">
            <w:pPr>
              <w:spacing w:line="216" w:lineRule="auto"/>
              <w:jc w:val="center"/>
              <w:rPr>
                <w:rFonts w:ascii="Times New Roman" w:hAnsi="Times New Roman" w:cs="Times New Roman"/>
                <w:sz w:val="20"/>
                <w:szCs w:val="20"/>
              </w:rPr>
            </w:pPr>
            <w:r>
              <w:rPr>
                <w:rFonts w:ascii="Times New Roman" w:hAnsi="Times New Roman" w:cs="Times New Roman"/>
                <w:sz w:val="20"/>
                <w:szCs w:val="20"/>
              </w:rPr>
              <w:t>Second</w:t>
            </w:r>
          </w:p>
          <w:p w14:paraId="4941D15D" w14:textId="77777777" w:rsidR="00B52182" w:rsidRPr="00A65393" w:rsidRDefault="00B52182" w:rsidP="00305E66">
            <w:pPr>
              <w:spacing w:line="216" w:lineRule="auto"/>
              <w:jc w:val="center"/>
              <w:rPr>
                <w:rFonts w:ascii="Times New Roman" w:hAnsi="Times New Roman" w:cs="Times New Roman"/>
                <w:sz w:val="20"/>
                <w:szCs w:val="20"/>
              </w:rPr>
            </w:pPr>
            <w:r w:rsidRPr="00A65393">
              <w:rPr>
                <w:rFonts w:ascii="Times New Roman" w:hAnsi="Times New Roman" w:cs="Times New Roman"/>
                <w:sz w:val="20"/>
                <w:szCs w:val="20"/>
              </w:rPr>
              <w:t>Sampling</w:t>
            </w:r>
          </w:p>
          <w:p w14:paraId="7D09C3A9" w14:textId="77777777" w:rsidR="00B52182" w:rsidRPr="00DD2F57" w:rsidRDefault="00B52182" w:rsidP="00305E66">
            <w:pPr>
              <w:spacing w:line="216" w:lineRule="auto"/>
              <w:jc w:val="center"/>
              <w:rPr>
                <w:rFonts w:ascii="Times New Roman" w:hAnsi="Times New Roman" w:cs="Times New Roman"/>
                <w:sz w:val="20"/>
                <w:szCs w:val="20"/>
              </w:rPr>
            </w:pPr>
            <w:r w:rsidRPr="00A65393">
              <w:rPr>
                <w:rFonts w:ascii="Times New Roman" w:hAnsi="Times New Roman" w:cs="Times New Roman"/>
                <w:sz w:val="20"/>
                <w:szCs w:val="20"/>
              </w:rPr>
              <w:t>Phase</w:t>
            </w:r>
          </w:p>
        </w:tc>
        <w:tc>
          <w:tcPr>
            <w:tcW w:w="1328" w:type="dxa"/>
            <w:tcBorders>
              <w:top w:val="single" w:sz="4" w:space="0" w:color="auto"/>
              <w:left w:val="nil"/>
              <w:bottom w:val="nil"/>
              <w:right w:val="nil"/>
            </w:tcBorders>
          </w:tcPr>
          <w:p w14:paraId="7AA4134A"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4°46'19.68"</w:t>
            </w:r>
          </w:p>
        </w:tc>
        <w:tc>
          <w:tcPr>
            <w:tcW w:w="1559" w:type="dxa"/>
            <w:tcBorders>
              <w:top w:val="single" w:sz="4" w:space="0" w:color="auto"/>
              <w:left w:val="nil"/>
              <w:bottom w:val="nil"/>
              <w:right w:val="nil"/>
            </w:tcBorders>
          </w:tcPr>
          <w:p w14:paraId="0385097A"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7'37.71"</w:t>
            </w:r>
          </w:p>
        </w:tc>
      </w:tr>
      <w:tr w:rsidR="00B52182" w:rsidRPr="00DD2F57" w14:paraId="4BA53BAD" w14:textId="77777777" w:rsidTr="00B06D24">
        <w:trPr>
          <w:trHeight w:val="75"/>
          <w:jc w:val="center"/>
        </w:trPr>
        <w:tc>
          <w:tcPr>
            <w:tcW w:w="993" w:type="dxa"/>
            <w:tcBorders>
              <w:top w:val="nil"/>
              <w:left w:val="nil"/>
              <w:bottom w:val="nil"/>
              <w:right w:val="nil"/>
            </w:tcBorders>
          </w:tcPr>
          <w:p w14:paraId="4312096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17</w:t>
            </w:r>
          </w:p>
        </w:tc>
        <w:tc>
          <w:tcPr>
            <w:tcW w:w="992" w:type="dxa"/>
            <w:tcBorders>
              <w:top w:val="nil"/>
              <w:left w:val="nil"/>
              <w:bottom w:val="nil"/>
              <w:right w:val="nil"/>
            </w:tcBorders>
          </w:tcPr>
          <w:p w14:paraId="25FF6ABE"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PR-13</w:t>
            </w:r>
          </w:p>
        </w:tc>
        <w:tc>
          <w:tcPr>
            <w:tcW w:w="1507" w:type="dxa"/>
            <w:vMerge/>
            <w:tcBorders>
              <w:top w:val="single" w:sz="4" w:space="0" w:color="auto"/>
              <w:left w:val="nil"/>
              <w:bottom w:val="single" w:sz="4" w:space="0" w:color="auto"/>
              <w:right w:val="nil"/>
            </w:tcBorders>
          </w:tcPr>
          <w:p w14:paraId="52AEC8F3"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165FE88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4°46'18.77"</w:t>
            </w:r>
          </w:p>
        </w:tc>
        <w:tc>
          <w:tcPr>
            <w:tcW w:w="1559" w:type="dxa"/>
            <w:tcBorders>
              <w:top w:val="nil"/>
              <w:left w:val="nil"/>
              <w:bottom w:val="nil"/>
              <w:right w:val="nil"/>
            </w:tcBorders>
          </w:tcPr>
          <w:p w14:paraId="786812C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7'35.69"</w:t>
            </w:r>
          </w:p>
        </w:tc>
      </w:tr>
      <w:tr w:rsidR="00B52182" w:rsidRPr="00DD2F57" w14:paraId="5F067FA4" w14:textId="77777777" w:rsidTr="00B06D24">
        <w:trPr>
          <w:trHeight w:val="75"/>
          <w:jc w:val="center"/>
        </w:trPr>
        <w:tc>
          <w:tcPr>
            <w:tcW w:w="993" w:type="dxa"/>
            <w:tcBorders>
              <w:top w:val="nil"/>
              <w:left w:val="nil"/>
              <w:bottom w:val="nil"/>
              <w:right w:val="nil"/>
            </w:tcBorders>
          </w:tcPr>
          <w:p w14:paraId="1CEF3E88"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18</w:t>
            </w:r>
          </w:p>
        </w:tc>
        <w:tc>
          <w:tcPr>
            <w:tcW w:w="992" w:type="dxa"/>
            <w:tcBorders>
              <w:top w:val="nil"/>
              <w:left w:val="nil"/>
              <w:bottom w:val="nil"/>
              <w:right w:val="nil"/>
            </w:tcBorders>
          </w:tcPr>
          <w:p w14:paraId="213EA35A"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PR-14</w:t>
            </w:r>
          </w:p>
        </w:tc>
        <w:tc>
          <w:tcPr>
            <w:tcW w:w="1507" w:type="dxa"/>
            <w:vMerge/>
            <w:tcBorders>
              <w:top w:val="single" w:sz="4" w:space="0" w:color="auto"/>
              <w:left w:val="nil"/>
              <w:bottom w:val="single" w:sz="4" w:space="0" w:color="auto"/>
              <w:right w:val="nil"/>
            </w:tcBorders>
          </w:tcPr>
          <w:p w14:paraId="7B0D7328"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4E07BFF7"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4°46'19.45"</w:t>
            </w:r>
          </w:p>
        </w:tc>
        <w:tc>
          <w:tcPr>
            <w:tcW w:w="1559" w:type="dxa"/>
            <w:tcBorders>
              <w:top w:val="nil"/>
              <w:left w:val="nil"/>
              <w:bottom w:val="nil"/>
              <w:right w:val="nil"/>
            </w:tcBorders>
          </w:tcPr>
          <w:p w14:paraId="1A5C3914"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7'36.56"</w:t>
            </w:r>
          </w:p>
        </w:tc>
      </w:tr>
      <w:tr w:rsidR="00B52182" w:rsidRPr="00DD2F57" w14:paraId="544EFB12" w14:textId="77777777" w:rsidTr="00B06D24">
        <w:trPr>
          <w:trHeight w:val="75"/>
          <w:jc w:val="center"/>
        </w:trPr>
        <w:tc>
          <w:tcPr>
            <w:tcW w:w="993" w:type="dxa"/>
            <w:tcBorders>
              <w:top w:val="nil"/>
              <w:left w:val="nil"/>
              <w:bottom w:val="nil"/>
              <w:right w:val="nil"/>
            </w:tcBorders>
          </w:tcPr>
          <w:p w14:paraId="175BAC71"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19</w:t>
            </w:r>
          </w:p>
        </w:tc>
        <w:tc>
          <w:tcPr>
            <w:tcW w:w="992" w:type="dxa"/>
            <w:tcBorders>
              <w:top w:val="nil"/>
              <w:left w:val="nil"/>
              <w:bottom w:val="nil"/>
              <w:right w:val="nil"/>
            </w:tcBorders>
          </w:tcPr>
          <w:p w14:paraId="32F33A2D"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PR-15</w:t>
            </w:r>
          </w:p>
        </w:tc>
        <w:tc>
          <w:tcPr>
            <w:tcW w:w="1507" w:type="dxa"/>
            <w:vMerge/>
            <w:tcBorders>
              <w:top w:val="single" w:sz="4" w:space="0" w:color="auto"/>
              <w:left w:val="nil"/>
              <w:bottom w:val="single" w:sz="4" w:space="0" w:color="auto"/>
              <w:right w:val="nil"/>
            </w:tcBorders>
          </w:tcPr>
          <w:p w14:paraId="380BA2FF"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3178D187"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4°46'20.11"</w:t>
            </w:r>
          </w:p>
        </w:tc>
        <w:tc>
          <w:tcPr>
            <w:tcW w:w="1559" w:type="dxa"/>
            <w:tcBorders>
              <w:top w:val="nil"/>
              <w:left w:val="nil"/>
              <w:bottom w:val="nil"/>
              <w:right w:val="nil"/>
            </w:tcBorders>
          </w:tcPr>
          <w:p w14:paraId="030AE710"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7'37.32"</w:t>
            </w:r>
          </w:p>
        </w:tc>
      </w:tr>
      <w:tr w:rsidR="00B52182" w:rsidRPr="00DD2F57" w14:paraId="20AED709" w14:textId="77777777" w:rsidTr="00B06D24">
        <w:trPr>
          <w:trHeight w:val="75"/>
          <w:jc w:val="center"/>
        </w:trPr>
        <w:tc>
          <w:tcPr>
            <w:tcW w:w="993" w:type="dxa"/>
            <w:tcBorders>
              <w:top w:val="nil"/>
              <w:left w:val="nil"/>
              <w:bottom w:val="nil"/>
              <w:right w:val="nil"/>
            </w:tcBorders>
          </w:tcPr>
          <w:p w14:paraId="7502CC7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20</w:t>
            </w:r>
          </w:p>
        </w:tc>
        <w:tc>
          <w:tcPr>
            <w:tcW w:w="992" w:type="dxa"/>
            <w:tcBorders>
              <w:top w:val="nil"/>
              <w:left w:val="nil"/>
              <w:bottom w:val="nil"/>
              <w:right w:val="nil"/>
            </w:tcBorders>
          </w:tcPr>
          <w:p w14:paraId="076AC36E"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PR-16</w:t>
            </w:r>
          </w:p>
        </w:tc>
        <w:tc>
          <w:tcPr>
            <w:tcW w:w="1507" w:type="dxa"/>
            <w:vMerge/>
            <w:tcBorders>
              <w:top w:val="single" w:sz="4" w:space="0" w:color="auto"/>
              <w:left w:val="nil"/>
              <w:bottom w:val="single" w:sz="4" w:space="0" w:color="auto"/>
              <w:right w:val="nil"/>
            </w:tcBorders>
          </w:tcPr>
          <w:p w14:paraId="25D8107B"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6CFCF707"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4°46'19.17"</w:t>
            </w:r>
          </w:p>
        </w:tc>
        <w:tc>
          <w:tcPr>
            <w:tcW w:w="1559" w:type="dxa"/>
            <w:tcBorders>
              <w:top w:val="nil"/>
              <w:left w:val="nil"/>
              <w:bottom w:val="nil"/>
              <w:right w:val="nil"/>
            </w:tcBorders>
          </w:tcPr>
          <w:p w14:paraId="3F9DB829"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7'35.32"</w:t>
            </w:r>
          </w:p>
        </w:tc>
      </w:tr>
      <w:tr w:rsidR="00B52182" w:rsidRPr="00DD2F57" w14:paraId="3AAA116D" w14:textId="77777777" w:rsidTr="00B06D24">
        <w:trPr>
          <w:trHeight w:val="75"/>
          <w:jc w:val="center"/>
        </w:trPr>
        <w:tc>
          <w:tcPr>
            <w:tcW w:w="993" w:type="dxa"/>
            <w:tcBorders>
              <w:top w:val="nil"/>
              <w:left w:val="nil"/>
              <w:bottom w:val="nil"/>
              <w:right w:val="nil"/>
            </w:tcBorders>
          </w:tcPr>
          <w:p w14:paraId="6E7C3B73"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21</w:t>
            </w:r>
          </w:p>
        </w:tc>
        <w:tc>
          <w:tcPr>
            <w:tcW w:w="992" w:type="dxa"/>
            <w:tcBorders>
              <w:top w:val="nil"/>
              <w:left w:val="nil"/>
              <w:bottom w:val="nil"/>
              <w:right w:val="nil"/>
            </w:tcBorders>
          </w:tcPr>
          <w:p w14:paraId="2F019A0C"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PR-17</w:t>
            </w:r>
          </w:p>
        </w:tc>
        <w:tc>
          <w:tcPr>
            <w:tcW w:w="1507" w:type="dxa"/>
            <w:vMerge/>
            <w:tcBorders>
              <w:top w:val="single" w:sz="4" w:space="0" w:color="auto"/>
              <w:left w:val="nil"/>
              <w:bottom w:val="single" w:sz="4" w:space="0" w:color="auto"/>
              <w:right w:val="nil"/>
            </w:tcBorders>
          </w:tcPr>
          <w:p w14:paraId="6B7F8E28"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177D7F88"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4°46'18.92"</w:t>
            </w:r>
          </w:p>
        </w:tc>
        <w:tc>
          <w:tcPr>
            <w:tcW w:w="1559" w:type="dxa"/>
            <w:tcBorders>
              <w:top w:val="nil"/>
              <w:left w:val="nil"/>
              <w:bottom w:val="nil"/>
              <w:right w:val="nil"/>
            </w:tcBorders>
          </w:tcPr>
          <w:p w14:paraId="44924691"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7'36.30"</w:t>
            </w:r>
          </w:p>
        </w:tc>
      </w:tr>
      <w:tr w:rsidR="00B52182" w:rsidRPr="00DD2F57" w14:paraId="342DE5E0" w14:textId="77777777" w:rsidTr="00B06D24">
        <w:trPr>
          <w:trHeight w:val="75"/>
          <w:jc w:val="center"/>
        </w:trPr>
        <w:tc>
          <w:tcPr>
            <w:tcW w:w="993" w:type="dxa"/>
            <w:tcBorders>
              <w:top w:val="nil"/>
              <w:left w:val="nil"/>
              <w:bottom w:val="nil"/>
              <w:right w:val="nil"/>
            </w:tcBorders>
          </w:tcPr>
          <w:p w14:paraId="296B59E4"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22</w:t>
            </w:r>
          </w:p>
        </w:tc>
        <w:tc>
          <w:tcPr>
            <w:tcW w:w="992" w:type="dxa"/>
            <w:tcBorders>
              <w:top w:val="nil"/>
              <w:left w:val="nil"/>
              <w:bottom w:val="nil"/>
              <w:right w:val="nil"/>
            </w:tcBorders>
          </w:tcPr>
          <w:p w14:paraId="16644AC2"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PR-18</w:t>
            </w:r>
          </w:p>
        </w:tc>
        <w:tc>
          <w:tcPr>
            <w:tcW w:w="1507" w:type="dxa"/>
            <w:vMerge/>
            <w:tcBorders>
              <w:top w:val="single" w:sz="4" w:space="0" w:color="auto"/>
              <w:left w:val="nil"/>
              <w:bottom w:val="single" w:sz="4" w:space="0" w:color="auto"/>
              <w:right w:val="nil"/>
            </w:tcBorders>
          </w:tcPr>
          <w:p w14:paraId="2094C088"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05AAE2E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4°46'19.56"</w:t>
            </w:r>
          </w:p>
        </w:tc>
        <w:tc>
          <w:tcPr>
            <w:tcW w:w="1559" w:type="dxa"/>
            <w:tcBorders>
              <w:top w:val="nil"/>
              <w:left w:val="nil"/>
              <w:bottom w:val="nil"/>
              <w:right w:val="nil"/>
            </w:tcBorders>
          </w:tcPr>
          <w:p w14:paraId="07CF3B98"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7'37.12"</w:t>
            </w:r>
          </w:p>
        </w:tc>
      </w:tr>
      <w:tr w:rsidR="00B52182" w:rsidRPr="00DD2F57" w14:paraId="4E8732C0" w14:textId="77777777" w:rsidTr="00B06D24">
        <w:trPr>
          <w:trHeight w:val="75"/>
          <w:jc w:val="center"/>
        </w:trPr>
        <w:tc>
          <w:tcPr>
            <w:tcW w:w="993" w:type="dxa"/>
            <w:tcBorders>
              <w:top w:val="nil"/>
              <w:left w:val="nil"/>
              <w:bottom w:val="nil"/>
              <w:right w:val="nil"/>
            </w:tcBorders>
          </w:tcPr>
          <w:p w14:paraId="5FD889EE"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23</w:t>
            </w:r>
          </w:p>
        </w:tc>
        <w:tc>
          <w:tcPr>
            <w:tcW w:w="992" w:type="dxa"/>
            <w:tcBorders>
              <w:top w:val="nil"/>
              <w:left w:val="nil"/>
              <w:bottom w:val="nil"/>
              <w:right w:val="nil"/>
            </w:tcBorders>
          </w:tcPr>
          <w:p w14:paraId="11305B36"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PR-19</w:t>
            </w:r>
          </w:p>
        </w:tc>
        <w:tc>
          <w:tcPr>
            <w:tcW w:w="1507" w:type="dxa"/>
            <w:vMerge/>
            <w:tcBorders>
              <w:top w:val="single" w:sz="4" w:space="0" w:color="auto"/>
              <w:left w:val="nil"/>
              <w:bottom w:val="single" w:sz="4" w:space="0" w:color="auto"/>
              <w:right w:val="nil"/>
            </w:tcBorders>
          </w:tcPr>
          <w:p w14:paraId="0727E1BD"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200BCF34"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4°46'20.17"</w:t>
            </w:r>
          </w:p>
        </w:tc>
        <w:tc>
          <w:tcPr>
            <w:tcW w:w="1559" w:type="dxa"/>
            <w:tcBorders>
              <w:top w:val="nil"/>
              <w:left w:val="nil"/>
              <w:bottom w:val="nil"/>
              <w:right w:val="nil"/>
            </w:tcBorders>
          </w:tcPr>
          <w:p w14:paraId="0018B292"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7'37.84"</w:t>
            </w:r>
          </w:p>
        </w:tc>
      </w:tr>
      <w:tr w:rsidR="00B52182" w:rsidRPr="00DD2F57" w14:paraId="0D4D11F0" w14:textId="77777777" w:rsidTr="00B06D24">
        <w:trPr>
          <w:trHeight w:val="75"/>
          <w:jc w:val="center"/>
        </w:trPr>
        <w:tc>
          <w:tcPr>
            <w:tcW w:w="993" w:type="dxa"/>
            <w:tcBorders>
              <w:top w:val="nil"/>
              <w:left w:val="nil"/>
              <w:bottom w:val="nil"/>
              <w:right w:val="nil"/>
            </w:tcBorders>
          </w:tcPr>
          <w:p w14:paraId="33B2D3EE"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24</w:t>
            </w:r>
          </w:p>
        </w:tc>
        <w:tc>
          <w:tcPr>
            <w:tcW w:w="992" w:type="dxa"/>
            <w:tcBorders>
              <w:top w:val="nil"/>
              <w:left w:val="nil"/>
              <w:bottom w:val="nil"/>
              <w:right w:val="nil"/>
            </w:tcBorders>
          </w:tcPr>
          <w:p w14:paraId="6E793351"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PR-20</w:t>
            </w:r>
          </w:p>
        </w:tc>
        <w:tc>
          <w:tcPr>
            <w:tcW w:w="1507" w:type="dxa"/>
            <w:vMerge/>
            <w:tcBorders>
              <w:top w:val="single" w:sz="4" w:space="0" w:color="auto"/>
              <w:left w:val="nil"/>
              <w:bottom w:val="single" w:sz="4" w:space="0" w:color="auto"/>
              <w:right w:val="nil"/>
            </w:tcBorders>
          </w:tcPr>
          <w:p w14:paraId="3AB28CCF"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6ED0A7B4"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4°46'18.69"</w:t>
            </w:r>
          </w:p>
        </w:tc>
        <w:tc>
          <w:tcPr>
            <w:tcW w:w="1559" w:type="dxa"/>
            <w:tcBorders>
              <w:top w:val="nil"/>
              <w:left w:val="nil"/>
              <w:bottom w:val="nil"/>
              <w:right w:val="nil"/>
            </w:tcBorders>
          </w:tcPr>
          <w:p w14:paraId="55BEA1AB"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7'35.17"</w:t>
            </w:r>
          </w:p>
        </w:tc>
      </w:tr>
      <w:tr w:rsidR="00B52182" w:rsidRPr="00DD2F57" w14:paraId="6BFE1DBE" w14:textId="77777777" w:rsidTr="00B06D24">
        <w:trPr>
          <w:trHeight w:val="75"/>
          <w:jc w:val="center"/>
        </w:trPr>
        <w:tc>
          <w:tcPr>
            <w:tcW w:w="993" w:type="dxa"/>
            <w:tcBorders>
              <w:top w:val="nil"/>
              <w:left w:val="nil"/>
              <w:bottom w:val="nil"/>
              <w:right w:val="nil"/>
            </w:tcBorders>
          </w:tcPr>
          <w:p w14:paraId="60B5DE7B"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25</w:t>
            </w:r>
          </w:p>
        </w:tc>
        <w:tc>
          <w:tcPr>
            <w:tcW w:w="992" w:type="dxa"/>
            <w:tcBorders>
              <w:top w:val="nil"/>
              <w:left w:val="nil"/>
              <w:bottom w:val="nil"/>
              <w:right w:val="nil"/>
            </w:tcBorders>
          </w:tcPr>
          <w:p w14:paraId="3C24FAA9"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PR-21</w:t>
            </w:r>
          </w:p>
        </w:tc>
        <w:tc>
          <w:tcPr>
            <w:tcW w:w="1507" w:type="dxa"/>
            <w:vMerge/>
            <w:tcBorders>
              <w:top w:val="single" w:sz="4" w:space="0" w:color="auto"/>
              <w:left w:val="nil"/>
              <w:bottom w:val="single" w:sz="4" w:space="0" w:color="auto"/>
              <w:right w:val="nil"/>
            </w:tcBorders>
          </w:tcPr>
          <w:p w14:paraId="71B10766"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nil"/>
              <w:right w:val="nil"/>
            </w:tcBorders>
          </w:tcPr>
          <w:p w14:paraId="2F75C460"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4°46'19.30"</w:t>
            </w:r>
          </w:p>
        </w:tc>
        <w:tc>
          <w:tcPr>
            <w:tcW w:w="1559" w:type="dxa"/>
            <w:tcBorders>
              <w:top w:val="nil"/>
              <w:left w:val="nil"/>
              <w:bottom w:val="nil"/>
              <w:right w:val="nil"/>
            </w:tcBorders>
          </w:tcPr>
          <w:p w14:paraId="53FB5524"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7'35.88"</w:t>
            </w:r>
          </w:p>
        </w:tc>
      </w:tr>
      <w:tr w:rsidR="00B52182" w:rsidRPr="00DD2F57" w14:paraId="1FF408F5" w14:textId="77777777" w:rsidTr="00B06D24">
        <w:trPr>
          <w:trHeight w:val="75"/>
          <w:jc w:val="center"/>
        </w:trPr>
        <w:tc>
          <w:tcPr>
            <w:tcW w:w="993" w:type="dxa"/>
            <w:tcBorders>
              <w:top w:val="nil"/>
              <w:left w:val="nil"/>
              <w:bottom w:val="single" w:sz="4" w:space="0" w:color="auto"/>
              <w:right w:val="nil"/>
            </w:tcBorders>
          </w:tcPr>
          <w:p w14:paraId="0EC7EFCC"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SN 26</w:t>
            </w:r>
          </w:p>
        </w:tc>
        <w:tc>
          <w:tcPr>
            <w:tcW w:w="992" w:type="dxa"/>
            <w:tcBorders>
              <w:top w:val="nil"/>
              <w:left w:val="nil"/>
              <w:bottom w:val="single" w:sz="4" w:space="0" w:color="auto"/>
              <w:right w:val="nil"/>
            </w:tcBorders>
          </w:tcPr>
          <w:p w14:paraId="27471CA2"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PR-22</w:t>
            </w:r>
          </w:p>
        </w:tc>
        <w:tc>
          <w:tcPr>
            <w:tcW w:w="1507" w:type="dxa"/>
            <w:vMerge/>
            <w:tcBorders>
              <w:top w:val="single" w:sz="4" w:space="0" w:color="auto"/>
              <w:left w:val="nil"/>
              <w:bottom w:val="single" w:sz="4" w:space="0" w:color="auto"/>
              <w:right w:val="nil"/>
            </w:tcBorders>
          </w:tcPr>
          <w:p w14:paraId="6E223D2E" w14:textId="77777777" w:rsidR="00B52182" w:rsidRPr="00DD2F57" w:rsidRDefault="00B52182" w:rsidP="00305E66">
            <w:pPr>
              <w:spacing w:line="216" w:lineRule="auto"/>
              <w:jc w:val="center"/>
              <w:rPr>
                <w:rFonts w:ascii="Times New Roman" w:hAnsi="Times New Roman" w:cs="Times New Roman"/>
                <w:sz w:val="20"/>
                <w:szCs w:val="20"/>
              </w:rPr>
            </w:pPr>
          </w:p>
        </w:tc>
        <w:tc>
          <w:tcPr>
            <w:tcW w:w="1328" w:type="dxa"/>
            <w:tcBorders>
              <w:top w:val="nil"/>
              <w:left w:val="nil"/>
              <w:bottom w:val="single" w:sz="4" w:space="0" w:color="auto"/>
              <w:right w:val="nil"/>
            </w:tcBorders>
          </w:tcPr>
          <w:p w14:paraId="3291EEBF"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4°46'19.95"</w:t>
            </w:r>
          </w:p>
        </w:tc>
        <w:tc>
          <w:tcPr>
            <w:tcW w:w="1559" w:type="dxa"/>
            <w:tcBorders>
              <w:top w:val="nil"/>
              <w:left w:val="nil"/>
              <w:bottom w:val="single" w:sz="4" w:space="0" w:color="auto"/>
              <w:right w:val="nil"/>
            </w:tcBorders>
          </w:tcPr>
          <w:p w14:paraId="2380D18E" w14:textId="77777777" w:rsidR="00B52182" w:rsidRPr="00DD2F57" w:rsidRDefault="00B52182" w:rsidP="00305E66">
            <w:pPr>
              <w:spacing w:line="216" w:lineRule="auto"/>
              <w:jc w:val="center"/>
              <w:rPr>
                <w:rFonts w:ascii="Times New Roman" w:hAnsi="Times New Roman" w:cs="Times New Roman"/>
                <w:sz w:val="20"/>
                <w:szCs w:val="20"/>
              </w:rPr>
            </w:pPr>
            <w:r w:rsidRPr="00DD2F57">
              <w:rPr>
                <w:rFonts w:ascii="Times New Roman" w:hAnsi="Times New Roman" w:cs="Times New Roman"/>
                <w:sz w:val="20"/>
                <w:szCs w:val="20"/>
              </w:rPr>
              <w:t>7° 7'36.67"</w:t>
            </w:r>
          </w:p>
        </w:tc>
      </w:tr>
    </w:tbl>
    <w:p w14:paraId="700866B5" w14:textId="77777777" w:rsidR="009C4D71" w:rsidRDefault="009C4D71" w:rsidP="0065594D">
      <w:pPr>
        <w:spacing w:after="0" w:line="240" w:lineRule="auto"/>
        <w:ind w:firstLine="426"/>
        <w:jc w:val="both"/>
        <w:rPr>
          <w:rFonts w:ascii="Times New Roman" w:hAnsi="Times New Roman" w:cs="Times New Roman"/>
          <w:sz w:val="20"/>
          <w:szCs w:val="20"/>
        </w:rPr>
      </w:pPr>
    </w:p>
    <w:p w14:paraId="0D592771" w14:textId="77777777" w:rsidR="00E16E4C" w:rsidRDefault="00EE54F6" w:rsidP="00AC0827">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Twenty-six soil samples were randomly collected, with twenty-two samples from the study site and four controls from an uncontaminated location (</w:t>
      </w:r>
      <w:r>
        <w:rPr>
          <w:rFonts w:ascii="Times New Roman" w:hAnsi="Times New Roman" w:cs="Times New Roman"/>
          <w:color w:val="2660F0"/>
          <w:sz w:val="20"/>
          <w:szCs w:val="20"/>
        </w:rPr>
        <w:t>Table 1</w:t>
      </w:r>
      <w:r>
        <w:rPr>
          <w:rFonts w:ascii="Times New Roman" w:hAnsi="Times New Roman" w:cs="Times New Roman"/>
          <w:sz w:val="20"/>
          <w:szCs w:val="20"/>
        </w:rPr>
        <w:t>). For the first and second phases of the survey and sampling, eleven experimental soil samples were obtained at 0.2</w:t>
      </w:r>
      <w:r>
        <w:rPr>
          <w:rFonts w:ascii="Times New Roman" w:hAnsi="Times New Roman" w:cs="Times New Roman"/>
          <w:sz w:val="20"/>
          <w:szCs w:val="20"/>
          <w:highlight w:val="yellow"/>
        </w:rPr>
        <w:t xml:space="preserve"> </w:t>
      </w:r>
      <w:r>
        <w:rPr>
          <w:rFonts w:ascii="Times New Roman" w:hAnsi="Times New Roman" w:cs="Times New Roman"/>
          <w:sz w:val="20"/>
          <w:szCs w:val="20"/>
        </w:rPr>
        <w:t xml:space="preserve">m depth, and two reference soil samples were used to benchmark the monitoring of </w:t>
      </w:r>
      <w:r>
        <w:rPr>
          <w:rFonts w:ascii="Times New Roman" w:hAnsi="Times New Roman" w:cs="Times New Roman"/>
          <w:sz w:val="20"/>
          <w:szCs w:val="20"/>
          <w:highlight w:val="yellow"/>
        </w:rPr>
        <w:t xml:space="preserve">residual </w:t>
      </w:r>
      <w:r>
        <w:rPr>
          <w:rFonts w:ascii="Times New Roman" w:hAnsi="Times New Roman" w:cs="Times New Roman"/>
          <w:sz w:val="20"/>
          <w:szCs w:val="20"/>
        </w:rPr>
        <w:t>he</w:t>
      </w:r>
      <w:r>
        <w:rPr>
          <w:rFonts w:ascii="Times New Roman" w:hAnsi="Times New Roman" w:cs="Times New Roman"/>
          <w:sz w:val="20"/>
          <w:szCs w:val="20"/>
          <w:highlight w:val="yellow"/>
        </w:rPr>
        <w:t>avy-metal</w:t>
      </w:r>
      <w:r>
        <w:rPr>
          <w:rFonts w:ascii="Times New Roman" w:hAnsi="Times New Roman" w:cs="Times New Roman"/>
          <w:sz w:val="20"/>
          <w:szCs w:val="20"/>
        </w:rPr>
        <w:t xml:space="preserve"> concentrations introduced by the oil spill and</w:t>
      </w:r>
      <w:r>
        <w:rPr>
          <w:rFonts w:ascii="Times New Roman" w:hAnsi="Times New Roman" w:cs="Times New Roman"/>
          <w:sz w:val="20"/>
          <w:szCs w:val="20"/>
          <w:highlight w:val="yellow"/>
        </w:rPr>
        <w:t xml:space="preserve"> to</w:t>
      </w:r>
      <w:r>
        <w:rPr>
          <w:rFonts w:ascii="Times New Roman" w:hAnsi="Times New Roman" w:cs="Times New Roman"/>
          <w:sz w:val="20"/>
          <w:szCs w:val="20"/>
        </w:rPr>
        <w:t xml:space="preserve"> assess their alteration and reduction dynamics over six months (</w:t>
      </w:r>
      <w:r>
        <w:rPr>
          <w:rFonts w:ascii="Times New Roman" w:hAnsi="Times New Roman" w:cs="Times New Roman"/>
          <w:color w:val="2660F0"/>
          <w:sz w:val="20"/>
          <w:szCs w:val="20"/>
        </w:rPr>
        <w:t xml:space="preserve">Tomei &amp; </w:t>
      </w:r>
      <w:proofErr w:type="spellStart"/>
      <w:r>
        <w:rPr>
          <w:rFonts w:ascii="Times New Roman" w:hAnsi="Times New Roman" w:cs="Times New Roman"/>
          <w:color w:val="2660F0"/>
          <w:sz w:val="20"/>
          <w:szCs w:val="20"/>
        </w:rPr>
        <w:t>Daugulis</w:t>
      </w:r>
      <w:proofErr w:type="spellEnd"/>
      <w:r>
        <w:rPr>
          <w:rFonts w:ascii="Times New Roman" w:hAnsi="Times New Roman" w:cs="Times New Roman"/>
          <w:color w:val="2660F0"/>
          <w:sz w:val="20"/>
          <w:szCs w:val="20"/>
        </w:rPr>
        <w:t>, 2013</w:t>
      </w:r>
      <w:r>
        <w:rPr>
          <w:rFonts w:ascii="Times New Roman" w:hAnsi="Times New Roman" w:cs="Times New Roman"/>
          <w:sz w:val="20"/>
          <w:szCs w:val="20"/>
        </w:rPr>
        <w:t xml:space="preserve">). </w:t>
      </w:r>
      <w:r>
        <w:rPr>
          <w:rFonts w:ascii="Times New Roman" w:hAnsi="Times New Roman" w:cs="Times New Roman"/>
          <w:color w:val="000000" w:themeColor="text1"/>
          <w:sz w:val="20"/>
          <w:szCs w:val="20"/>
        </w:rPr>
        <w:t xml:space="preserve">Consistent sampling locations across both phases ensured accurate monitoring of the site, which was carried out under comparable meteorological conditions from October to March, predominantly during the alternating wet and dry seasons </w:t>
      </w:r>
      <w:r>
        <w:rPr>
          <w:rFonts w:ascii="Times New Roman" w:hAnsi="Times New Roman" w:cs="Times New Roman"/>
          <w:sz w:val="20"/>
          <w:szCs w:val="20"/>
        </w:rPr>
        <w:t>(</w:t>
      </w:r>
      <w:r>
        <w:rPr>
          <w:rFonts w:ascii="Times New Roman" w:hAnsi="Times New Roman" w:cs="Times New Roman"/>
          <w:color w:val="2660F0"/>
          <w:sz w:val="20"/>
          <w:szCs w:val="20"/>
        </w:rPr>
        <w:t>Ahmed et al., 2024e</w:t>
      </w:r>
      <w:r>
        <w:rPr>
          <w:rFonts w:ascii="Times New Roman" w:hAnsi="Times New Roman" w:cs="Times New Roman"/>
          <w:color w:val="000000" w:themeColor="text1"/>
          <w:sz w:val="20"/>
          <w:szCs w:val="20"/>
        </w:rPr>
        <w:t>;</w:t>
      </w:r>
      <w:r>
        <w:rPr>
          <w:rFonts w:ascii="Times New Roman" w:hAnsi="Times New Roman" w:cs="Times New Roman"/>
          <w:color w:val="2660F0"/>
          <w:sz w:val="20"/>
          <w:szCs w:val="20"/>
        </w:rPr>
        <w:t xml:space="preserve"> </w:t>
      </w:r>
      <w:proofErr w:type="spellStart"/>
      <w:r>
        <w:rPr>
          <w:rFonts w:ascii="Times New Roman" w:hAnsi="Times New Roman" w:cs="Times New Roman"/>
          <w:color w:val="2660F0"/>
          <w:sz w:val="20"/>
          <w:szCs w:val="20"/>
        </w:rPr>
        <w:t>Onomhoale</w:t>
      </w:r>
      <w:proofErr w:type="spellEnd"/>
      <w:r>
        <w:rPr>
          <w:rFonts w:ascii="Times New Roman" w:hAnsi="Times New Roman" w:cs="Times New Roman"/>
          <w:color w:val="2660F0"/>
          <w:sz w:val="20"/>
          <w:szCs w:val="20"/>
        </w:rPr>
        <w:t xml:space="preserve"> et al., 2025b</w:t>
      </w:r>
      <w:r>
        <w:rPr>
          <w:rFonts w:ascii="Times New Roman" w:hAnsi="Times New Roman" w:cs="Times New Roman"/>
          <w:color w:val="000000" w:themeColor="text1"/>
          <w:sz w:val="20"/>
          <w:szCs w:val="20"/>
        </w:rPr>
        <w:t xml:space="preserve">), to </w:t>
      </w:r>
      <w:r>
        <w:rPr>
          <w:rFonts w:ascii="Times New Roman" w:hAnsi="Times New Roman" w:cs="Times New Roman"/>
          <w:color w:val="000000" w:themeColor="text1"/>
          <w:sz w:val="20"/>
          <w:szCs w:val="20"/>
          <w:highlight w:val="yellow"/>
        </w:rPr>
        <w:t>ob</w:t>
      </w:r>
      <w:r>
        <w:rPr>
          <w:rFonts w:ascii="Times New Roman" w:hAnsi="Times New Roman" w:cs="Times New Roman"/>
          <w:color w:val="000000" w:themeColor="text1"/>
          <w:sz w:val="20"/>
          <w:szCs w:val="20"/>
        </w:rPr>
        <w:t>t</w:t>
      </w:r>
      <w:r>
        <w:rPr>
          <w:rFonts w:ascii="Times New Roman" w:hAnsi="Times New Roman" w:cs="Times New Roman"/>
          <w:color w:val="000000" w:themeColor="text1"/>
          <w:sz w:val="20"/>
          <w:szCs w:val="20"/>
          <w:highlight w:val="yellow"/>
        </w:rPr>
        <w:t>ain</w:t>
      </w:r>
      <w:r>
        <w:rPr>
          <w:rFonts w:ascii="Times New Roman" w:hAnsi="Times New Roman" w:cs="Times New Roman"/>
          <w:color w:val="000000" w:themeColor="text1"/>
          <w:sz w:val="20"/>
          <w:szCs w:val="20"/>
        </w:rPr>
        <w:t xml:space="preserve"> reliable outcomes. Systematic random sampling</w:t>
      </w:r>
      <w:r>
        <w:rPr>
          <w:rFonts w:ascii="Times New Roman" w:hAnsi="Times New Roman" w:cs="Times New Roman"/>
          <w:color w:val="000000" w:themeColor="text1"/>
          <w:sz w:val="20"/>
          <w:szCs w:val="20"/>
          <w:highlight w:val="yellow"/>
        </w:rPr>
        <w:t>,</w:t>
      </w:r>
      <w:r>
        <w:rPr>
          <w:rFonts w:ascii="Times New Roman" w:hAnsi="Times New Roman" w:cs="Times New Roman"/>
          <w:color w:val="000000" w:themeColor="text1"/>
          <w:sz w:val="20"/>
          <w:szCs w:val="20"/>
        </w:rPr>
        <w:t xml:space="preserve"> with coordinates and carefully recorded sampling stations, </w:t>
      </w:r>
      <w:r>
        <w:rPr>
          <w:rFonts w:ascii="Times New Roman" w:hAnsi="Times New Roman" w:cs="Times New Roman"/>
          <w:color w:val="000000" w:themeColor="text1"/>
          <w:sz w:val="20"/>
          <w:szCs w:val="20"/>
          <w:highlight w:val="yellow"/>
        </w:rPr>
        <w:t xml:space="preserve">ensured an even distribution and </w:t>
      </w:r>
      <w:r>
        <w:rPr>
          <w:rFonts w:ascii="Times New Roman" w:hAnsi="Times New Roman" w:cs="Times New Roman"/>
          <w:color w:val="000000" w:themeColor="text1"/>
          <w:sz w:val="20"/>
          <w:szCs w:val="20"/>
        </w:rPr>
        <w:t>provid</w:t>
      </w:r>
      <w:r>
        <w:rPr>
          <w:rFonts w:ascii="Times New Roman" w:hAnsi="Times New Roman" w:cs="Times New Roman"/>
          <w:color w:val="000000" w:themeColor="text1"/>
          <w:sz w:val="20"/>
          <w:szCs w:val="20"/>
          <w:highlight w:val="yellow"/>
        </w:rPr>
        <w:t>ed</w:t>
      </w:r>
      <w:r>
        <w:rPr>
          <w:rFonts w:ascii="Times New Roman" w:hAnsi="Times New Roman" w:cs="Times New Roman"/>
          <w:color w:val="000000" w:themeColor="text1"/>
          <w:sz w:val="20"/>
          <w:szCs w:val="20"/>
        </w:rPr>
        <w:t xml:space="preserve"> a representative </w:t>
      </w:r>
      <w:r>
        <w:rPr>
          <w:rFonts w:ascii="Times New Roman" w:hAnsi="Times New Roman" w:cs="Times New Roman"/>
          <w:color w:val="000000" w:themeColor="text1"/>
          <w:sz w:val="20"/>
          <w:szCs w:val="20"/>
          <w:highlight w:val="yellow"/>
        </w:rPr>
        <w:t xml:space="preserve">analysis of the </w:t>
      </w:r>
      <w:r>
        <w:rPr>
          <w:rFonts w:ascii="Times New Roman" w:hAnsi="Times New Roman" w:cs="Times New Roman"/>
          <w:color w:val="000000" w:themeColor="text1"/>
          <w:sz w:val="20"/>
          <w:szCs w:val="20"/>
        </w:rPr>
        <w:t xml:space="preserve">study area </w:t>
      </w:r>
      <w:r>
        <w:rPr>
          <w:rFonts w:ascii="Times New Roman" w:hAnsi="Times New Roman" w:cs="Times New Roman"/>
          <w:sz w:val="20"/>
          <w:szCs w:val="20"/>
        </w:rPr>
        <w:t>(</w:t>
      </w:r>
      <w:r>
        <w:rPr>
          <w:rFonts w:ascii="Times New Roman" w:hAnsi="Times New Roman" w:cs="Times New Roman"/>
          <w:color w:val="2660F0"/>
          <w:sz w:val="20"/>
          <w:szCs w:val="20"/>
        </w:rPr>
        <w:t>IAEA, 2004</w:t>
      </w:r>
      <w:r>
        <w:rPr>
          <w:rFonts w:ascii="Times New Roman" w:hAnsi="Times New Roman" w:cs="Times New Roman"/>
          <w:sz w:val="20"/>
          <w:szCs w:val="20"/>
        </w:rPr>
        <w:t>). The samples were stored in airtight plastic bags, preserved in ice-packed coolers away from direct sunlight</w:t>
      </w:r>
      <w:r>
        <w:rPr>
          <w:rFonts w:ascii="Times New Roman" w:hAnsi="Times New Roman" w:cs="Times New Roman"/>
          <w:sz w:val="20"/>
          <w:szCs w:val="20"/>
          <w:highlight w:val="yellow"/>
        </w:rPr>
        <w:t>,</w:t>
      </w:r>
      <w:r>
        <w:rPr>
          <w:rFonts w:ascii="Times New Roman" w:hAnsi="Times New Roman" w:cs="Times New Roman"/>
          <w:sz w:val="20"/>
          <w:szCs w:val="20"/>
        </w:rPr>
        <w:t xml:space="preserve"> and transported immediately after collection to the laboratory for analysis (</w:t>
      </w:r>
      <w:r>
        <w:rPr>
          <w:rFonts w:ascii="Times New Roman" w:hAnsi="Times New Roman" w:cs="Times New Roman"/>
          <w:color w:val="2660F0"/>
          <w:sz w:val="20"/>
          <w:szCs w:val="20"/>
        </w:rPr>
        <w:t>Ahmed et al., 2024a</w:t>
      </w:r>
      <w:r>
        <w:rPr>
          <w:rFonts w:ascii="Times New Roman" w:hAnsi="Times New Roman" w:cs="Times New Roman"/>
          <w:sz w:val="20"/>
          <w:szCs w:val="20"/>
        </w:rPr>
        <w:t>).</w:t>
      </w:r>
    </w:p>
    <w:p w14:paraId="304ACCEE" w14:textId="77777777" w:rsidR="00305E66" w:rsidRDefault="00305E66" w:rsidP="00AC0827">
      <w:pPr>
        <w:spacing w:after="0" w:line="240" w:lineRule="auto"/>
        <w:ind w:firstLine="426"/>
        <w:jc w:val="both"/>
        <w:rPr>
          <w:rFonts w:ascii="Times New Roman" w:hAnsi="Times New Roman" w:cs="Times New Roman"/>
          <w:sz w:val="20"/>
          <w:szCs w:val="20"/>
        </w:rPr>
      </w:pPr>
    </w:p>
    <w:p w14:paraId="40A486C0" w14:textId="77777777" w:rsidR="00696DFD" w:rsidRDefault="00F13343" w:rsidP="00696DFD">
      <w:pPr>
        <w:spacing w:after="0" w:line="240" w:lineRule="auto"/>
        <w:rPr>
          <w:rFonts w:ascii="Times New Roman" w:eastAsia="Times New Roman" w:hAnsi="Times New Roman" w:cs="Times New Roman"/>
          <w:color w:val="000000"/>
          <w:sz w:val="20"/>
          <w:szCs w:val="20"/>
          <w:lang w:val="en-GB"/>
        </w:rPr>
      </w:pPr>
      <w:r>
        <w:rPr>
          <w:noProof/>
          <w:color w:val="FF0000"/>
        </w:rPr>
        <mc:AlternateContent>
          <mc:Choice Requires="wps">
            <w:drawing>
              <wp:anchor distT="0" distB="0" distL="114300" distR="114300" simplePos="0" relativeHeight="251658240" behindDoc="0" locked="0" layoutInCell="1" allowOverlap="1" wp14:anchorId="7C21168D" wp14:editId="21D604F4">
                <wp:simplePos x="0" y="0"/>
                <wp:positionH relativeFrom="column">
                  <wp:posOffset>471170</wp:posOffset>
                </wp:positionH>
                <wp:positionV relativeFrom="paragraph">
                  <wp:posOffset>6143</wp:posOffset>
                </wp:positionV>
                <wp:extent cx="5199321" cy="3157870"/>
                <wp:effectExtent l="0" t="0" r="1905" b="4445"/>
                <wp:wrapNone/>
                <wp:docPr id="4" name="Rectangle 4"/>
                <wp:cNvGraphicFramePr/>
                <a:graphic xmlns:a="http://schemas.openxmlformats.org/drawingml/2006/main">
                  <a:graphicData uri="http://schemas.microsoft.com/office/word/2010/wordprocessingShape">
                    <wps:wsp>
                      <wps:cNvSpPr/>
                      <wps:spPr>
                        <a:xfrm>
                          <a:off x="0" y="0"/>
                          <a:ext cx="5199321" cy="3157870"/>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0F6BAD" w14:textId="77777777" w:rsidR="00962781" w:rsidRDefault="00962781" w:rsidP="000F34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21168D" id="Rectangle 4" o:spid="_x0000_s1026" style="position:absolute;margin-left:37.1pt;margin-top:.5pt;width:409.4pt;height:24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" stroked="f" strokeweight="1pt">
                <v:fill r:id="rId13" o:title="" recolor="t" rotate="t" type="frame"/>
                <v:textbox>
                  <w:txbxContent>
                    <w:p w14:paraId="0090A584" w14:textId="77777777" w:rsidR="00962781" w:rsidRDefault="00962781" w:rsidP="000F34D0">
                      <w:pPr>
                        <w:jc w:val="center"/>
                      </w:pPr>
                    </w:p>
                  </w:txbxContent>
                </v:textbox>
              </v:rect>
            </w:pict>
          </mc:Fallback>
        </mc:AlternateContent>
      </w:r>
    </w:p>
    <w:p w14:paraId="02D247C0"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5817359D"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0D70AFF7"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371B5EBD"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300E417E"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2DF34788"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690BEE31"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09BDBA13"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4E98306F"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3F8701BE"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395AB3AF"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67AC1C5C"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50C8E2D1"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45B24D42" w14:textId="77777777" w:rsidR="00641D3A" w:rsidRDefault="00641D3A" w:rsidP="00696DFD">
      <w:pPr>
        <w:spacing w:after="0" w:line="240" w:lineRule="auto"/>
        <w:jc w:val="center"/>
        <w:rPr>
          <w:rFonts w:ascii="Times New Roman" w:eastAsia="Times New Roman" w:hAnsi="Times New Roman" w:cs="Times New Roman"/>
          <w:color w:val="000000"/>
          <w:sz w:val="20"/>
          <w:szCs w:val="20"/>
          <w:lang w:val="en-GB"/>
        </w:rPr>
      </w:pPr>
    </w:p>
    <w:p w14:paraId="644AB4F1" w14:textId="77777777" w:rsidR="00641D3A" w:rsidRDefault="00641D3A" w:rsidP="00696DFD">
      <w:pPr>
        <w:spacing w:after="0" w:line="240" w:lineRule="auto"/>
        <w:jc w:val="center"/>
        <w:rPr>
          <w:rFonts w:ascii="Times New Roman" w:eastAsia="Times New Roman" w:hAnsi="Times New Roman" w:cs="Times New Roman"/>
          <w:color w:val="000000"/>
          <w:sz w:val="20"/>
          <w:szCs w:val="20"/>
          <w:lang w:val="en-GB"/>
        </w:rPr>
      </w:pPr>
    </w:p>
    <w:p w14:paraId="210C64D5" w14:textId="77777777" w:rsidR="00641D3A" w:rsidRDefault="00641D3A" w:rsidP="00696DFD">
      <w:pPr>
        <w:spacing w:after="0" w:line="240" w:lineRule="auto"/>
        <w:jc w:val="center"/>
        <w:rPr>
          <w:rFonts w:ascii="Times New Roman" w:eastAsia="Times New Roman" w:hAnsi="Times New Roman" w:cs="Times New Roman"/>
          <w:b/>
          <w:sz w:val="20"/>
          <w:szCs w:val="20"/>
          <w:lang w:val="en-GB"/>
        </w:rPr>
      </w:pPr>
    </w:p>
    <w:p w14:paraId="73850CB4" w14:textId="77777777" w:rsidR="00696DFD" w:rsidRDefault="00696DFD" w:rsidP="00696DFD">
      <w:pPr>
        <w:spacing w:after="0" w:line="240" w:lineRule="auto"/>
        <w:jc w:val="center"/>
        <w:rPr>
          <w:rFonts w:ascii="Times New Roman" w:eastAsia="Times New Roman" w:hAnsi="Times New Roman" w:cs="Times New Roman"/>
          <w:bCs/>
          <w:sz w:val="20"/>
          <w:szCs w:val="20"/>
          <w:lang w:val="en-GB"/>
        </w:rPr>
      </w:pPr>
      <w:r w:rsidRPr="00BD0CCD">
        <w:rPr>
          <w:rFonts w:ascii="Times New Roman" w:eastAsia="Times New Roman" w:hAnsi="Times New Roman" w:cs="Times New Roman"/>
          <w:b/>
          <w:sz w:val="20"/>
          <w:szCs w:val="20"/>
          <w:lang w:val="en-GB"/>
        </w:rPr>
        <w:t>Fig. 1.</w:t>
      </w:r>
      <w:r w:rsidRPr="00086D7C">
        <w:rPr>
          <w:rFonts w:ascii="Times New Roman" w:eastAsia="Times New Roman" w:hAnsi="Times New Roman" w:cs="Times New Roman"/>
          <w:bCs/>
          <w:sz w:val="20"/>
          <w:szCs w:val="20"/>
          <w:lang w:val="en-GB"/>
        </w:rPr>
        <w:t xml:space="preserve"> Map </w:t>
      </w:r>
      <w:r w:rsidR="001C124F">
        <w:rPr>
          <w:rFonts w:ascii="Times New Roman" w:eastAsia="Times New Roman" w:hAnsi="Times New Roman" w:cs="Times New Roman"/>
          <w:bCs/>
          <w:sz w:val="20"/>
          <w:szCs w:val="20"/>
          <w:lang w:val="en-GB"/>
        </w:rPr>
        <w:t>of</w:t>
      </w:r>
      <w:r w:rsidRPr="00086D7C">
        <w:rPr>
          <w:rFonts w:ascii="Times New Roman" w:eastAsia="Times New Roman" w:hAnsi="Times New Roman" w:cs="Times New Roman"/>
          <w:bCs/>
          <w:sz w:val="20"/>
          <w:szCs w:val="20"/>
          <w:lang w:val="en-GB"/>
        </w:rPr>
        <w:t xml:space="preserve"> Nigeria, </w:t>
      </w:r>
      <w:r w:rsidR="001C124F">
        <w:rPr>
          <w:rFonts w:ascii="Times New Roman" w:eastAsia="Times New Roman" w:hAnsi="Times New Roman" w:cs="Times New Roman"/>
          <w:bCs/>
          <w:sz w:val="20"/>
          <w:szCs w:val="20"/>
          <w:lang w:val="en-GB"/>
        </w:rPr>
        <w:t xml:space="preserve">showing </w:t>
      </w:r>
      <w:r w:rsidRPr="00086D7C">
        <w:rPr>
          <w:rFonts w:ascii="Times New Roman" w:eastAsia="Times New Roman" w:hAnsi="Times New Roman" w:cs="Times New Roman"/>
          <w:bCs/>
          <w:sz w:val="20"/>
          <w:szCs w:val="20"/>
          <w:lang w:val="en-GB"/>
        </w:rPr>
        <w:t>Rivers State and Eleme L</w:t>
      </w:r>
      <w:r>
        <w:rPr>
          <w:rFonts w:ascii="Times New Roman" w:eastAsia="Times New Roman" w:hAnsi="Times New Roman" w:cs="Times New Roman"/>
          <w:bCs/>
          <w:sz w:val="20"/>
          <w:szCs w:val="20"/>
          <w:lang w:val="en-GB"/>
        </w:rPr>
        <w:t>.</w:t>
      </w:r>
      <w:r w:rsidRPr="00086D7C">
        <w:rPr>
          <w:rFonts w:ascii="Times New Roman" w:eastAsia="Times New Roman" w:hAnsi="Times New Roman" w:cs="Times New Roman"/>
          <w:bCs/>
          <w:sz w:val="20"/>
          <w:szCs w:val="20"/>
          <w:lang w:val="en-GB"/>
        </w:rPr>
        <w:t>G</w:t>
      </w:r>
      <w:r>
        <w:rPr>
          <w:rFonts w:ascii="Times New Roman" w:eastAsia="Times New Roman" w:hAnsi="Times New Roman" w:cs="Times New Roman"/>
          <w:bCs/>
          <w:sz w:val="20"/>
          <w:szCs w:val="20"/>
          <w:lang w:val="en-GB"/>
        </w:rPr>
        <w:t>.</w:t>
      </w:r>
      <w:r w:rsidRPr="00086D7C">
        <w:rPr>
          <w:rFonts w:ascii="Times New Roman" w:eastAsia="Times New Roman" w:hAnsi="Times New Roman" w:cs="Times New Roman"/>
          <w:bCs/>
          <w:sz w:val="20"/>
          <w:szCs w:val="20"/>
          <w:lang w:val="en-GB"/>
        </w:rPr>
        <w:t>A</w:t>
      </w:r>
      <w:r>
        <w:rPr>
          <w:rFonts w:ascii="Times New Roman" w:eastAsia="Times New Roman" w:hAnsi="Times New Roman" w:cs="Times New Roman"/>
          <w:bCs/>
          <w:sz w:val="20"/>
          <w:szCs w:val="20"/>
          <w:lang w:val="en-GB"/>
        </w:rPr>
        <w:t>.</w:t>
      </w:r>
    </w:p>
    <w:p w14:paraId="5245409D" w14:textId="77777777" w:rsidR="00696DFD" w:rsidRDefault="00696DFD" w:rsidP="00781B7C">
      <w:pPr>
        <w:spacing w:after="0" w:line="240" w:lineRule="auto"/>
        <w:jc w:val="both"/>
        <w:rPr>
          <w:rFonts w:ascii="Times New Roman" w:hAnsi="Times New Roman" w:cs="Times New Roman"/>
          <w:sz w:val="20"/>
          <w:szCs w:val="20"/>
        </w:rPr>
      </w:pPr>
    </w:p>
    <w:p w14:paraId="45CC9E2D" w14:textId="77777777" w:rsidR="00C9788A" w:rsidRPr="00C93ED0" w:rsidRDefault="00C9788A" w:rsidP="005E14F2">
      <w:pPr>
        <w:spacing w:after="0" w:line="240" w:lineRule="auto"/>
        <w:jc w:val="both"/>
        <w:rPr>
          <w:rFonts w:ascii="Times New Roman" w:hAnsi="Times New Roman" w:cs="Times New Roman"/>
          <w:b/>
          <w:bCs/>
          <w:sz w:val="20"/>
          <w:szCs w:val="20"/>
        </w:rPr>
      </w:pPr>
      <w:r w:rsidRPr="00C93ED0">
        <w:rPr>
          <w:rFonts w:ascii="Times New Roman" w:hAnsi="Times New Roman" w:cs="Times New Roman"/>
          <w:b/>
          <w:bCs/>
          <w:sz w:val="20"/>
          <w:szCs w:val="20"/>
        </w:rPr>
        <w:t xml:space="preserve"> </w:t>
      </w:r>
      <w:r w:rsidR="00DB7611">
        <w:rPr>
          <w:rFonts w:ascii="Times New Roman" w:hAnsi="Times New Roman" w:cs="Times New Roman"/>
          <w:b/>
          <w:bCs/>
          <w:sz w:val="20"/>
          <w:szCs w:val="20"/>
        </w:rPr>
        <w:t>2</w:t>
      </w:r>
      <w:r w:rsidR="00B636FC" w:rsidRPr="00C93ED0">
        <w:rPr>
          <w:rFonts w:ascii="Times New Roman" w:hAnsi="Times New Roman" w:cs="Times New Roman"/>
          <w:b/>
          <w:bCs/>
          <w:sz w:val="20"/>
          <w:szCs w:val="20"/>
        </w:rPr>
        <w:t xml:space="preserve">.1.2 </w:t>
      </w:r>
      <w:r w:rsidR="00A9198B" w:rsidRPr="00C93ED0">
        <w:rPr>
          <w:rFonts w:ascii="Times New Roman" w:hAnsi="Times New Roman" w:cs="Times New Roman"/>
          <w:b/>
          <w:bCs/>
          <w:sz w:val="20"/>
          <w:szCs w:val="20"/>
        </w:rPr>
        <w:t xml:space="preserve">Mapping and </w:t>
      </w:r>
      <w:r w:rsidR="00A924CF" w:rsidRPr="00C93ED0">
        <w:rPr>
          <w:rFonts w:ascii="Times New Roman" w:hAnsi="Times New Roman" w:cs="Times New Roman"/>
          <w:b/>
          <w:bCs/>
          <w:sz w:val="20"/>
          <w:szCs w:val="20"/>
        </w:rPr>
        <w:t xml:space="preserve">Geospatial </w:t>
      </w:r>
      <w:r w:rsidRPr="00C93ED0">
        <w:rPr>
          <w:rFonts w:ascii="Times New Roman" w:hAnsi="Times New Roman" w:cs="Times New Roman"/>
          <w:b/>
          <w:bCs/>
          <w:sz w:val="20"/>
          <w:szCs w:val="20"/>
        </w:rPr>
        <w:t>Analysis</w:t>
      </w:r>
    </w:p>
    <w:p w14:paraId="55DD07B4" w14:textId="77777777" w:rsidR="00A81BDE" w:rsidRDefault="0061354A" w:rsidP="0051523C">
      <w:pPr>
        <w:spacing w:after="0" w:line="240" w:lineRule="auto"/>
        <w:jc w:val="both"/>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The study was conducted in</w:t>
      </w:r>
      <w:r>
        <w:rPr>
          <w:rFonts w:ascii="Times New Roman" w:eastAsia="Times New Roman" w:hAnsi="Times New Roman" w:cs="Times New Roman"/>
          <w:color w:val="000000"/>
          <w:sz w:val="20"/>
          <w:szCs w:val="20"/>
          <w:highlight w:val="yellow"/>
          <w:lang w:val="en-GB"/>
        </w:rPr>
        <w:t xml:space="preserve"> the</w:t>
      </w:r>
      <w:r>
        <w:rPr>
          <w:rFonts w:ascii="Times New Roman" w:eastAsia="Times New Roman" w:hAnsi="Times New Roman" w:cs="Times New Roman"/>
          <w:color w:val="000000"/>
          <w:sz w:val="20"/>
          <w:szCs w:val="20"/>
          <w:lang w:val="en-GB"/>
        </w:rPr>
        <w:t xml:space="preserve"> </w:t>
      </w:r>
      <w:proofErr w:type="spellStart"/>
      <w:r>
        <w:rPr>
          <w:rFonts w:ascii="Times New Roman" w:eastAsia="Times New Roman" w:hAnsi="Times New Roman" w:cs="Times New Roman"/>
          <w:color w:val="000000"/>
          <w:sz w:val="20"/>
          <w:szCs w:val="20"/>
          <w:lang w:val="en-GB"/>
        </w:rPr>
        <w:t>Alode</w:t>
      </w:r>
      <w:proofErr w:type="spellEnd"/>
      <w:r>
        <w:rPr>
          <w:rFonts w:ascii="Times New Roman" w:eastAsia="Times New Roman" w:hAnsi="Times New Roman" w:cs="Times New Roman"/>
          <w:color w:val="000000"/>
          <w:sz w:val="20"/>
          <w:szCs w:val="20"/>
          <w:lang w:val="en-GB"/>
        </w:rPr>
        <w:t xml:space="preserve"> community of Eleme L.G.A., focusing on a right-of-way spill site along the compromised 24-inch petroleum flow-line owned by the Nigerian Pipeline Storage Company (NPSC) (</w:t>
      </w:r>
      <w:r>
        <w:rPr>
          <w:rFonts w:ascii="Times New Roman" w:eastAsia="Times New Roman" w:hAnsi="Times New Roman" w:cs="Times New Roman"/>
          <w:color w:val="2660F0"/>
          <w:sz w:val="20"/>
          <w:szCs w:val="20"/>
          <w:lang w:val="en-GB"/>
        </w:rPr>
        <w:t>Fig. 2</w:t>
      </w:r>
      <w:r>
        <w:rPr>
          <w:rFonts w:ascii="Times New Roman" w:eastAsia="Times New Roman" w:hAnsi="Times New Roman" w:cs="Times New Roman"/>
          <w:color w:val="000000"/>
          <w:sz w:val="20"/>
          <w:szCs w:val="20"/>
          <w:lang w:val="en-GB"/>
        </w:rPr>
        <w:t>). Using ArcGIS 10.4 and Surfer 24, geographical digiti</w:t>
      </w:r>
      <w:r>
        <w:rPr>
          <w:rFonts w:ascii="Times New Roman" w:eastAsia="Times New Roman" w:hAnsi="Times New Roman" w:cs="Times New Roman"/>
          <w:color w:val="000000"/>
          <w:sz w:val="20"/>
          <w:szCs w:val="20"/>
          <w:highlight w:val="yellow"/>
          <w:lang w:val="en-GB"/>
        </w:rPr>
        <w:t>s</w:t>
      </w:r>
      <w:r>
        <w:rPr>
          <w:rFonts w:ascii="Times New Roman" w:eastAsia="Times New Roman" w:hAnsi="Times New Roman" w:cs="Times New Roman"/>
          <w:color w:val="000000"/>
          <w:sz w:val="20"/>
          <w:szCs w:val="20"/>
          <w:lang w:val="en-GB"/>
        </w:rPr>
        <w:t xml:space="preserve">ation </w:t>
      </w:r>
      <w:r>
        <w:rPr>
          <w:rFonts w:ascii="Times New Roman" w:eastAsia="Times New Roman" w:hAnsi="Times New Roman" w:cs="Times New Roman"/>
          <w:color w:val="000000"/>
          <w:sz w:val="20"/>
          <w:szCs w:val="20"/>
          <w:highlight w:val="yellow"/>
          <w:lang w:val="en-GB"/>
        </w:rPr>
        <w:t xml:space="preserve">was used to </w:t>
      </w:r>
      <w:r>
        <w:rPr>
          <w:rFonts w:ascii="Times New Roman" w:eastAsia="Times New Roman" w:hAnsi="Times New Roman" w:cs="Times New Roman"/>
          <w:color w:val="000000"/>
          <w:sz w:val="20"/>
          <w:szCs w:val="20"/>
          <w:lang w:val="en-GB"/>
        </w:rPr>
        <w:t xml:space="preserve">map the region, and geospatial analysis </w:t>
      </w:r>
      <w:r>
        <w:rPr>
          <w:rFonts w:ascii="Times New Roman" w:eastAsia="Times New Roman" w:hAnsi="Times New Roman" w:cs="Times New Roman"/>
          <w:color w:val="000000"/>
          <w:sz w:val="20"/>
          <w:szCs w:val="20"/>
          <w:highlight w:val="yellow"/>
          <w:lang w:val="en-GB"/>
        </w:rPr>
        <w:t xml:space="preserve">was used to </w:t>
      </w:r>
      <w:r>
        <w:rPr>
          <w:rFonts w:ascii="Times New Roman" w:eastAsia="Times New Roman" w:hAnsi="Times New Roman" w:cs="Times New Roman"/>
          <w:color w:val="000000"/>
          <w:sz w:val="20"/>
          <w:szCs w:val="20"/>
          <w:lang w:val="en-GB"/>
        </w:rPr>
        <w:t>plot the spatial distribution of metal level</w:t>
      </w:r>
      <w:r>
        <w:rPr>
          <w:rFonts w:ascii="Times New Roman" w:eastAsia="Times New Roman" w:hAnsi="Times New Roman" w:cs="Times New Roman"/>
          <w:color w:val="000000"/>
          <w:sz w:val="20"/>
          <w:szCs w:val="20"/>
          <w:highlight w:val="yellow"/>
          <w:lang w:val="en-GB"/>
        </w:rPr>
        <w:t>s</w:t>
      </w:r>
      <w:r>
        <w:rPr>
          <w:rFonts w:ascii="Times New Roman" w:eastAsia="Times New Roman" w:hAnsi="Times New Roman" w:cs="Times New Roman"/>
          <w:color w:val="000000"/>
          <w:sz w:val="20"/>
          <w:szCs w:val="20"/>
          <w:lang w:val="en-GB"/>
        </w:rPr>
        <w:t xml:space="preserve"> (Cd, Cu, Cr, Fe, Ni, Zn, and Pb) across sampling stations within the study site</w:t>
      </w:r>
      <w:r>
        <w:rPr>
          <w:rFonts w:ascii="Times New Roman" w:eastAsia="Times New Roman" w:hAnsi="Times New Roman" w:cs="Times New Roman"/>
          <w:color w:val="000000"/>
          <w:sz w:val="20"/>
          <w:szCs w:val="20"/>
          <w:highlight w:val="yellow"/>
          <w:lang w:val="en-GB"/>
        </w:rPr>
        <w:t xml:space="preserve"> (Ahmed et al</w:t>
      </w:r>
      <w:r>
        <w:rPr>
          <w:rFonts w:ascii="Times New Roman" w:eastAsia="Times New Roman" w:hAnsi="Times New Roman" w:cs="Times New Roman"/>
          <w:color w:val="000000"/>
          <w:sz w:val="20"/>
          <w:szCs w:val="20"/>
          <w:lang w:val="en-GB"/>
        </w:rPr>
        <w:t>.</w:t>
      </w:r>
      <w:r>
        <w:rPr>
          <w:rFonts w:ascii="Times New Roman" w:eastAsia="Times New Roman" w:hAnsi="Times New Roman" w:cs="Times New Roman"/>
          <w:color w:val="000000"/>
          <w:sz w:val="20"/>
          <w:szCs w:val="20"/>
          <w:highlight w:val="yellow"/>
          <w:lang w:val="en-GB"/>
        </w:rPr>
        <w:t>,</w:t>
      </w:r>
      <w:r>
        <w:rPr>
          <w:rFonts w:ascii="Times New Roman" w:eastAsia="Times New Roman" w:hAnsi="Times New Roman" w:cs="Times New Roman"/>
          <w:color w:val="000000"/>
          <w:sz w:val="20"/>
          <w:szCs w:val="20"/>
          <w:lang w:val="en-GB"/>
        </w:rPr>
        <w:t xml:space="preserve"> </w:t>
      </w:r>
      <w:r>
        <w:rPr>
          <w:rFonts w:ascii="Times New Roman" w:eastAsia="Times New Roman" w:hAnsi="Times New Roman" w:cs="Times New Roman"/>
          <w:color w:val="000000"/>
          <w:sz w:val="20"/>
          <w:szCs w:val="20"/>
          <w:highlight w:val="yellow"/>
          <w:lang w:val="en-GB"/>
        </w:rPr>
        <w:t>2024c).</w:t>
      </w:r>
    </w:p>
    <w:p w14:paraId="1B7D58B0" w14:textId="77777777" w:rsidR="00C40776" w:rsidRDefault="00C40776" w:rsidP="0051523C">
      <w:pPr>
        <w:spacing w:after="0" w:line="240" w:lineRule="auto"/>
        <w:jc w:val="both"/>
        <w:rPr>
          <w:rFonts w:ascii="Times New Roman" w:eastAsia="Times New Roman" w:hAnsi="Times New Roman" w:cs="Times New Roman"/>
          <w:color w:val="000000"/>
          <w:sz w:val="20"/>
          <w:szCs w:val="20"/>
          <w:lang w:val="en-GB"/>
        </w:rPr>
      </w:pPr>
    </w:p>
    <w:p w14:paraId="32C018AD" w14:textId="77777777" w:rsidR="00365F4B" w:rsidRPr="00381052" w:rsidRDefault="00D611DA" w:rsidP="00534F57">
      <w:pPr>
        <w:spacing w:after="0" w:line="240" w:lineRule="auto"/>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noProof/>
          <w:color w:val="000000"/>
          <w:sz w:val="20"/>
          <w:szCs w:val="20"/>
        </w:rPr>
        <w:drawing>
          <wp:inline distT="0" distB="0" distL="0" distR="0" wp14:anchorId="7297887F" wp14:editId="2220417E">
            <wp:extent cx="4507992" cy="2770632"/>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4507992" cy="2770632"/>
                    </a:xfrm>
                    <a:prstGeom prst="rect">
                      <a:avLst/>
                    </a:prstGeom>
                  </pic:spPr>
                </pic:pic>
              </a:graphicData>
            </a:graphic>
          </wp:inline>
        </w:drawing>
      </w:r>
    </w:p>
    <w:p w14:paraId="0E7F7C4B" w14:textId="77777777" w:rsidR="00020014" w:rsidRDefault="00365F4B" w:rsidP="006F3129">
      <w:pPr>
        <w:spacing w:after="0" w:line="240" w:lineRule="auto"/>
        <w:jc w:val="center"/>
        <w:rPr>
          <w:rFonts w:ascii="Times New Roman" w:eastAsia="Times New Roman" w:hAnsi="Times New Roman" w:cs="Times New Roman"/>
          <w:color w:val="000000" w:themeColor="text1"/>
          <w:sz w:val="20"/>
          <w:szCs w:val="20"/>
          <w:lang w:val="en-GB"/>
        </w:rPr>
      </w:pPr>
      <w:r w:rsidRPr="00365F4B">
        <w:rPr>
          <w:rFonts w:ascii="Times New Roman" w:eastAsia="Times New Roman" w:hAnsi="Times New Roman" w:cs="Times New Roman"/>
          <w:b/>
          <w:sz w:val="20"/>
          <w:szCs w:val="20"/>
          <w:lang w:val="en-GB"/>
        </w:rPr>
        <w:t>Fig</w:t>
      </w:r>
      <w:r w:rsidR="00945A07">
        <w:rPr>
          <w:rFonts w:ascii="Times New Roman" w:eastAsia="Times New Roman" w:hAnsi="Times New Roman" w:cs="Times New Roman"/>
          <w:b/>
          <w:sz w:val="20"/>
          <w:szCs w:val="20"/>
          <w:lang w:val="en-GB"/>
        </w:rPr>
        <w:t>.</w:t>
      </w:r>
      <w:r w:rsidRPr="00365F4B">
        <w:rPr>
          <w:rFonts w:ascii="Times New Roman" w:eastAsia="Times New Roman" w:hAnsi="Times New Roman" w:cs="Times New Roman"/>
          <w:b/>
          <w:sz w:val="20"/>
          <w:szCs w:val="20"/>
          <w:lang w:val="en-GB"/>
        </w:rPr>
        <w:t xml:space="preserve"> </w:t>
      </w:r>
      <w:r w:rsidR="00945A07">
        <w:rPr>
          <w:rFonts w:ascii="Times New Roman" w:eastAsia="Times New Roman" w:hAnsi="Times New Roman" w:cs="Times New Roman"/>
          <w:b/>
          <w:sz w:val="20"/>
          <w:szCs w:val="20"/>
          <w:lang w:val="en-GB"/>
        </w:rPr>
        <w:t>2.</w:t>
      </w:r>
      <w:r w:rsidRPr="00365F4B">
        <w:rPr>
          <w:rFonts w:ascii="Times New Roman" w:eastAsia="Times New Roman" w:hAnsi="Times New Roman" w:cs="Times New Roman"/>
          <w:color w:val="000000"/>
          <w:sz w:val="20"/>
          <w:szCs w:val="20"/>
          <w:lang w:val="en-GB"/>
        </w:rPr>
        <w:t xml:space="preserve"> </w:t>
      </w:r>
      <w:r w:rsidRPr="003105A8">
        <w:rPr>
          <w:rFonts w:ascii="Times New Roman" w:eastAsia="Times New Roman" w:hAnsi="Times New Roman" w:cs="Times New Roman"/>
          <w:color w:val="000000"/>
          <w:sz w:val="20"/>
          <w:szCs w:val="20"/>
          <w:lang w:val="en-GB"/>
        </w:rPr>
        <w:t xml:space="preserve">Map showing the </w:t>
      </w:r>
      <w:r w:rsidR="00414495" w:rsidRPr="003105A8">
        <w:rPr>
          <w:rFonts w:ascii="Times New Roman" w:eastAsia="Times New Roman" w:hAnsi="Times New Roman" w:cs="Times New Roman"/>
          <w:color w:val="000000"/>
          <w:sz w:val="20"/>
          <w:szCs w:val="20"/>
          <w:lang w:val="en-GB"/>
        </w:rPr>
        <w:t xml:space="preserve">study </w:t>
      </w:r>
      <w:r w:rsidRPr="003105A8">
        <w:rPr>
          <w:rFonts w:ascii="Times New Roman" w:eastAsia="Times New Roman" w:hAnsi="Times New Roman" w:cs="Times New Roman"/>
          <w:color w:val="000000"/>
          <w:sz w:val="20"/>
          <w:szCs w:val="20"/>
          <w:lang w:val="en-GB"/>
        </w:rPr>
        <w:t>site</w:t>
      </w:r>
      <w:r w:rsidR="00F75D85" w:rsidRPr="00C4473A">
        <w:rPr>
          <w:rFonts w:ascii="Times New Roman" w:eastAsia="Times New Roman" w:hAnsi="Times New Roman" w:cs="Times New Roman"/>
          <w:color w:val="000000" w:themeColor="text1"/>
          <w:sz w:val="20"/>
          <w:szCs w:val="20"/>
          <w:lang w:val="en-GB"/>
        </w:rPr>
        <w:t xml:space="preserve"> and sample stations</w:t>
      </w:r>
      <w:r w:rsidR="00E820A7" w:rsidRPr="00C4473A">
        <w:rPr>
          <w:rFonts w:ascii="Times New Roman" w:eastAsia="Times New Roman" w:hAnsi="Times New Roman" w:cs="Times New Roman"/>
          <w:color w:val="000000" w:themeColor="text1"/>
          <w:sz w:val="20"/>
          <w:szCs w:val="20"/>
          <w:lang w:val="en-GB"/>
        </w:rPr>
        <w:t>.</w:t>
      </w:r>
    </w:p>
    <w:p w14:paraId="4BCFFBBF" w14:textId="77777777" w:rsidR="00F13343" w:rsidRDefault="00F13343" w:rsidP="006F3129">
      <w:pPr>
        <w:spacing w:after="0" w:line="240" w:lineRule="auto"/>
        <w:jc w:val="center"/>
        <w:rPr>
          <w:rFonts w:ascii="Times New Roman" w:eastAsia="Times New Roman" w:hAnsi="Times New Roman" w:cs="Times New Roman"/>
          <w:color w:val="000000"/>
          <w:sz w:val="20"/>
          <w:szCs w:val="20"/>
          <w:lang w:val="en-GB"/>
        </w:rPr>
      </w:pPr>
    </w:p>
    <w:p w14:paraId="04F9B890" w14:textId="77777777" w:rsidR="00EF3A84" w:rsidRPr="00821783" w:rsidRDefault="00352CD2" w:rsidP="00E50DE4">
      <w:pPr>
        <w:spacing w:after="0" w:line="240" w:lineRule="auto"/>
        <w:ind w:firstLine="426"/>
        <w:jc w:val="both"/>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Sample</w:t>
      </w:r>
      <w:r>
        <w:rPr>
          <w:rFonts w:ascii="Times New Roman" w:eastAsia="Times New Roman" w:hAnsi="Times New Roman" w:cs="Times New Roman"/>
          <w:color w:val="000000"/>
          <w:sz w:val="20"/>
          <w:szCs w:val="20"/>
          <w:highlight w:val="yellow"/>
          <w:lang w:val="en-GB"/>
        </w:rPr>
        <w:t>-</w:t>
      </w:r>
      <w:r>
        <w:rPr>
          <w:rFonts w:ascii="Times New Roman" w:eastAsia="Times New Roman" w:hAnsi="Times New Roman" w:cs="Times New Roman"/>
          <w:color w:val="000000"/>
          <w:sz w:val="20"/>
          <w:szCs w:val="20"/>
          <w:lang w:val="en-GB"/>
        </w:rPr>
        <w:t>point coordinates allowed precise analysis, with software algorithms generating graphical outputs, including contour maps and distribution curves, to visuali</w:t>
      </w:r>
      <w:r>
        <w:rPr>
          <w:rFonts w:ascii="Times New Roman" w:eastAsia="Times New Roman" w:hAnsi="Times New Roman" w:cs="Times New Roman"/>
          <w:color w:val="000000"/>
          <w:sz w:val="20"/>
          <w:szCs w:val="20"/>
          <w:highlight w:val="yellow"/>
          <w:lang w:val="en-GB"/>
        </w:rPr>
        <w:t>s</w:t>
      </w:r>
      <w:r>
        <w:rPr>
          <w:rFonts w:ascii="Times New Roman" w:eastAsia="Times New Roman" w:hAnsi="Times New Roman" w:cs="Times New Roman"/>
          <w:color w:val="000000"/>
          <w:sz w:val="20"/>
          <w:szCs w:val="20"/>
          <w:lang w:val="en-GB"/>
        </w:rPr>
        <w:t xml:space="preserve">e spatiotemporal variations </w:t>
      </w:r>
      <w:r>
        <w:rPr>
          <w:rFonts w:ascii="Times New Roman" w:eastAsia="Times New Roman" w:hAnsi="Times New Roman" w:cs="Times New Roman"/>
          <w:color w:val="000000"/>
          <w:sz w:val="20"/>
          <w:szCs w:val="20"/>
          <w:highlight w:val="yellow"/>
          <w:lang w:val="en-GB"/>
        </w:rPr>
        <w:t>in</w:t>
      </w:r>
      <w:r>
        <w:rPr>
          <w:rFonts w:ascii="Times New Roman" w:eastAsia="Times New Roman" w:hAnsi="Times New Roman" w:cs="Times New Roman"/>
          <w:color w:val="000000"/>
          <w:sz w:val="20"/>
          <w:szCs w:val="20"/>
          <w:lang w:val="en-GB"/>
        </w:rPr>
        <w:t xml:space="preserve"> heavy metals over time (</w:t>
      </w:r>
      <w:r>
        <w:rPr>
          <w:rFonts w:ascii="Times New Roman" w:eastAsia="Times New Roman" w:hAnsi="Times New Roman" w:cs="Times New Roman"/>
          <w:color w:val="2660F0"/>
          <w:sz w:val="20"/>
          <w:szCs w:val="20"/>
          <w:lang w:val="en-GB"/>
        </w:rPr>
        <w:t>Ahmed &amp; Taiwo, 2023</w:t>
      </w:r>
      <w:r>
        <w:rPr>
          <w:rFonts w:ascii="Times New Roman" w:eastAsia="Times New Roman" w:hAnsi="Times New Roman" w:cs="Times New Roman"/>
          <w:color w:val="000000"/>
          <w:sz w:val="20"/>
          <w:szCs w:val="20"/>
          <w:lang w:val="en-GB"/>
        </w:rPr>
        <w:t xml:space="preserve">). Consistent sampling locations across the first and second phases enabled reliable tracking of concentration changes, </w:t>
      </w:r>
      <w:r>
        <w:rPr>
          <w:rFonts w:ascii="Times New Roman" w:eastAsia="Times New Roman" w:hAnsi="Times New Roman" w:cs="Times New Roman"/>
          <w:color w:val="000000"/>
          <w:sz w:val="20"/>
          <w:szCs w:val="20"/>
          <w:highlight w:val="yellow"/>
          <w:lang w:val="en-GB"/>
        </w:rPr>
        <w:t>t</w:t>
      </w:r>
      <w:r>
        <w:rPr>
          <w:rFonts w:ascii="Times New Roman" w:eastAsia="Times New Roman" w:hAnsi="Times New Roman" w:cs="Times New Roman"/>
          <w:color w:val="000000"/>
          <w:sz w:val="20"/>
          <w:szCs w:val="20"/>
          <w:lang w:val="en-GB"/>
        </w:rPr>
        <w:t>he</w:t>
      </w:r>
      <w:r>
        <w:rPr>
          <w:rFonts w:ascii="Times New Roman" w:eastAsia="Times New Roman" w:hAnsi="Times New Roman" w:cs="Times New Roman"/>
          <w:color w:val="000000"/>
          <w:sz w:val="20"/>
          <w:szCs w:val="20"/>
          <w:highlight w:val="yellow"/>
          <w:lang w:val="en-GB"/>
        </w:rPr>
        <w:t>r</w:t>
      </w:r>
      <w:r>
        <w:rPr>
          <w:rFonts w:ascii="Times New Roman" w:eastAsia="Times New Roman" w:hAnsi="Times New Roman" w:cs="Times New Roman"/>
          <w:color w:val="000000"/>
          <w:sz w:val="20"/>
          <w:szCs w:val="20"/>
          <w:lang w:val="en-GB"/>
        </w:rPr>
        <w:t>e</w:t>
      </w:r>
      <w:r>
        <w:rPr>
          <w:rFonts w:ascii="Times New Roman" w:eastAsia="Times New Roman" w:hAnsi="Times New Roman" w:cs="Times New Roman"/>
          <w:color w:val="000000"/>
          <w:sz w:val="20"/>
          <w:szCs w:val="20"/>
          <w:highlight w:val="yellow"/>
          <w:lang w:val="en-GB"/>
        </w:rPr>
        <w:t>by</w:t>
      </w:r>
      <w:r>
        <w:rPr>
          <w:rFonts w:ascii="Times New Roman" w:eastAsia="Times New Roman" w:hAnsi="Times New Roman" w:cs="Times New Roman"/>
          <w:color w:val="000000"/>
          <w:sz w:val="20"/>
          <w:szCs w:val="20"/>
          <w:lang w:val="en-GB"/>
        </w:rPr>
        <w:t xml:space="preserve"> providing sufficient </w:t>
      </w:r>
      <w:r>
        <w:rPr>
          <w:rFonts w:ascii="Times New Roman" w:eastAsia="Times New Roman" w:hAnsi="Times New Roman" w:cs="Times New Roman"/>
          <w:color w:val="000000"/>
          <w:sz w:val="20"/>
          <w:szCs w:val="20"/>
          <w:highlight w:val="yellow"/>
          <w:lang w:val="en-GB"/>
        </w:rPr>
        <w:t xml:space="preserve">information on </w:t>
      </w:r>
      <w:r>
        <w:rPr>
          <w:rFonts w:ascii="Times New Roman" w:eastAsia="Times New Roman" w:hAnsi="Times New Roman" w:cs="Times New Roman"/>
          <w:color w:val="000000"/>
          <w:sz w:val="20"/>
          <w:szCs w:val="20"/>
          <w:lang w:val="en-GB"/>
        </w:rPr>
        <w:t>contaminant</w:t>
      </w:r>
      <w:r>
        <w:rPr>
          <w:rFonts w:ascii="Times New Roman" w:eastAsia="Times New Roman" w:hAnsi="Times New Roman" w:cs="Times New Roman"/>
          <w:color w:val="000000"/>
          <w:sz w:val="20"/>
          <w:szCs w:val="20"/>
          <w:highlight w:val="yellow"/>
          <w:lang w:val="en-GB"/>
        </w:rPr>
        <w:t>-</w:t>
      </w:r>
      <w:r>
        <w:rPr>
          <w:rFonts w:ascii="Times New Roman" w:eastAsia="Times New Roman" w:hAnsi="Times New Roman" w:cs="Times New Roman"/>
          <w:color w:val="000000"/>
          <w:sz w:val="20"/>
          <w:szCs w:val="20"/>
          <w:lang w:val="en-GB"/>
        </w:rPr>
        <w:t>attenuation progress and site pollution status.</w:t>
      </w:r>
    </w:p>
    <w:p w14:paraId="7B2A2E8C" w14:textId="77777777" w:rsidR="0078175C" w:rsidRDefault="0078175C" w:rsidP="008C4D2C">
      <w:pPr>
        <w:spacing w:after="0" w:line="240" w:lineRule="auto"/>
        <w:jc w:val="both"/>
        <w:rPr>
          <w:rFonts w:ascii="Times New Roman" w:eastAsia="Times New Roman" w:hAnsi="Times New Roman" w:cs="Times New Roman"/>
          <w:color w:val="000000"/>
          <w:sz w:val="20"/>
          <w:szCs w:val="20"/>
          <w:lang w:val="en-GB"/>
        </w:rPr>
      </w:pPr>
    </w:p>
    <w:p w14:paraId="1C48A094" w14:textId="77777777" w:rsidR="004C45CD" w:rsidRPr="004C45CD" w:rsidRDefault="00DB7611" w:rsidP="001271FB">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w:t>
      </w:r>
      <w:r w:rsidR="00020014" w:rsidRPr="00821783">
        <w:rPr>
          <w:rFonts w:ascii="Times New Roman" w:hAnsi="Times New Roman" w:cs="Times New Roman"/>
          <w:b/>
          <w:bCs/>
          <w:sz w:val="20"/>
          <w:szCs w:val="20"/>
        </w:rPr>
        <w:t>.</w:t>
      </w:r>
      <w:r w:rsidR="005230D3">
        <w:rPr>
          <w:rFonts w:ascii="Times New Roman" w:hAnsi="Times New Roman" w:cs="Times New Roman"/>
          <w:b/>
          <w:bCs/>
          <w:sz w:val="20"/>
          <w:szCs w:val="20"/>
        </w:rPr>
        <w:t>1.3</w:t>
      </w:r>
      <w:r w:rsidR="00020014" w:rsidRPr="00821783">
        <w:rPr>
          <w:rFonts w:ascii="Times New Roman" w:hAnsi="Times New Roman" w:cs="Times New Roman"/>
          <w:b/>
          <w:bCs/>
          <w:sz w:val="20"/>
          <w:szCs w:val="20"/>
        </w:rPr>
        <w:t xml:space="preserve"> </w:t>
      </w:r>
      <w:r w:rsidR="0068029B" w:rsidRPr="00821783">
        <w:rPr>
          <w:rFonts w:ascii="Times New Roman" w:hAnsi="Times New Roman" w:cs="Times New Roman"/>
          <w:b/>
          <w:bCs/>
          <w:sz w:val="20"/>
          <w:szCs w:val="20"/>
        </w:rPr>
        <w:t>Laboratory Analysis</w:t>
      </w:r>
      <w:r w:rsidR="00691E2C" w:rsidRPr="00821783">
        <w:rPr>
          <w:rFonts w:ascii="Times New Roman" w:hAnsi="Times New Roman" w:cs="Times New Roman"/>
          <w:b/>
          <w:bCs/>
          <w:sz w:val="20"/>
          <w:szCs w:val="20"/>
        </w:rPr>
        <w:t xml:space="preserve"> </w:t>
      </w:r>
    </w:p>
    <w:p w14:paraId="29452103" w14:textId="77777777" w:rsidR="004C45CD" w:rsidRPr="004C45CD" w:rsidRDefault="004C45CD" w:rsidP="004C45CD">
      <w:pPr>
        <w:spacing w:after="0" w:line="240" w:lineRule="auto"/>
        <w:jc w:val="both"/>
        <w:rPr>
          <w:rFonts w:ascii="Times New Roman" w:hAnsi="Times New Roman" w:cs="Times New Roman"/>
          <w:sz w:val="20"/>
          <w:szCs w:val="20"/>
        </w:rPr>
      </w:pPr>
      <w:r w:rsidRPr="004C45CD">
        <w:rPr>
          <w:rFonts w:ascii="Times New Roman" w:hAnsi="Times New Roman" w:cs="Times New Roman"/>
          <w:sz w:val="20"/>
          <w:szCs w:val="20"/>
        </w:rPr>
        <w:t xml:space="preserve">The sampled soil specimens were subjected to laboratory analysis to determine the concentrations of selected heavy metals, namely cadmium (Cd), iron (Fe), copper (Cu), zinc (Zn), lead (Pb), chromium (Cr), and nickel (Ni). Prior to analysis, the soil samples were thoroughly </w:t>
      </w:r>
      <w:r w:rsidR="009E3FBF" w:rsidRPr="004C45CD">
        <w:rPr>
          <w:rFonts w:ascii="Times New Roman" w:hAnsi="Times New Roman" w:cs="Times New Roman"/>
          <w:sz w:val="20"/>
          <w:szCs w:val="20"/>
        </w:rPr>
        <w:t>homogenized</w:t>
      </w:r>
      <w:r w:rsidRPr="004C45CD">
        <w:rPr>
          <w:rFonts w:ascii="Times New Roman" w:hAnsi="Times New Roman" w:cs="Times New Roman"/>
          <w:sz w:val="20"/>
          <w:szCs w:val="20"/>
        </w:rPr>
        <w:t xml:space="preserve"> and prepared for digestion using aqua regia following the procedure described by </w:t>
      </w:r>
      <w:r w:rsidRPr="004C45CD">
        <w:rPr>
          <w:rFonts w:ascii="Times New Roman" w:hAnsi="Times New Roman" w:cs="Times New Roman"/>
          <w:color w:val="2660F0"/>
          <w:sz w:val="20"/>
          <w:szCs w:val="20"/>
        </w:rPr>
        <w:t>USEPA</w:t>
      </w:r>
      <w:r w:rsidRPr="004C45CD">
        <w:rPr>
          <w:rFonts w:ascii="Times New Roman" w:hAnsi="Times New Roman" w:cs="Times New Roman"/>
          <w:sz w:val="20"/>
          <w:szCs w:val="20"/>
        </w:rPr>
        <w:t xml:space="preserve"> (</w:t>
      </w:r>
      <w:r w:rsidRPr="004C45CD">
        <w:rPr>
          <w:rFonts w:ascii="Times New Roman" w:hAnsi="Times New Roman" w:cs="Times New Roman"/>
          <w:color w:val="2660F0"/>
          <w:sz w:val="20"/>
          <w:szCs w:val="20"/>
        </w:rPr>
        <w:t>1996</w:t>
      </w:r>
      <w:r w:rsidRPr="004C45CD">
        <w:rPr>
          <w:rFonts w:ascii="Times New Roman" w:hAnsi="Times New Roman" w:cs="Times New Roman"/>
          <w:sz w:val="20"/>
          <w:szCs w:val="20"/>
        </w:rPr>
        <w:t xml:space="preserve">). A 1.0 g portion of each </w:t>
      </w:r>
      <w:r w:rsidR="009E3FBF" w:rsidRPr="004C45CD">
        <w:rPr>
          <w:rFonts w:ascii="Times New Roman" w:hAnsi="Times New Roman" w:cs="Times New Roman"/>
          <w:sz w:val="20"/>
          <w:szCs w:val="20"/>
        </w:rPr>
        <w:t>homogenized</w:t>
      </w:r>
      <w:r w:rsidRPr="004C45CD">
        <w:rPr>
          <w:rFonts w:ascii="Times New Roman" w:hAnsi="Times New Roman" w:cs="Times New Roman"/>
          <w:sz w:val="20"/>
          <w:szCs w:val="20"/>
        </w:rPr>
        <w:t xml:space="preserve"> soil sample was placed in a 250 mL conical flask, and 10 mL of aqua regia was added. The mixture was thoroughly mixed and heated on a hot plate to facilitate digestion and reduce the volume of the digest to approximately 7–12 </w:t>
      </w:r>
      <w:proofErr w:type="spellStart"/>
      <w:r w:rsidRPr="004C45CD">
        <w:rPr>
          <w:rFonts w:ascii="Times New Roman" w:hAnsi="Times New Roman" w:cs="Times New Roman"/>
          <w:sz w:val="20"/>
          <w:szCs w:val="20"/>
        </w:rPr>
        <w:t>mL.</w:t>
      </w:r>
      <w:proofErr w:type="spellEnd"/>
      <w:r w:rsidR="009E3FBF">
        <w:rPr>
          <w:rFonts w:ascii="Times New Roman" w:hAnsi="Times New Roman" w:cs="Times New Roman"/>
          <w:sz w:val="20"/>
          <w:szCs w:val="20"/>
        </w:rPr>
        <w:t xml:space="preserve"> </w:t>
      </w:r>
      <w:r w:rsidRPr="004C45CD">
        <w:rPr>
          <w:rFonts w:ascii="Times New Roman" w:hAnsi="Times New Roman" w:cs="Times New Roman"/>
          <w:sz w:val="20"/>
          <w:szCs w:val="20"/>
        </w:rPr>
        <w:t xml:space="preserve">Following digestion, the digest was allowed to cool and was filtered through Whatman filter paper to remove residual particulate matter. The filtrate was subsequently transferred into a 50 mL volumetric flask and made up to volume with distilled or </w:t>
      </w:r>
      <w:r w:rsidR="009E3FBF" w:rsidRPr="004C45CD">
        <w:rPr>
          <w:rFonts w:ascii="Times New Roman" w:hAnsi="Times New Roman" w:cs="Times New Roman"/>
          <w:sz w:val="20"/>
          <w:szCs w:val="20"/>
        </w:rPr>
        <w:t>deionized</w:t>
      </w:r>
      <w:r w:rsidRPr="004C45CD">
        <w:rPr>
          <w:rFonts w:ascii="Times New Roman" w:hAnsi="Times New Roman" w:cs="Times New Roman"/>
          <w:sz w:val="20"/>
          <w:szCs w:val="20"/>
        </w:rPr>
        <w:t xml:space="preserve"> water. The prepared digests </w:t>
      </w:r>
      <w:r w:rsidRPr="004C45CD">
        <w:rPr>
          <w:rFonts w:ascii="Times New Roman" w:hAnsi="Times New Roman" w:cs="Times New Roman"/>
          <w:sz w:val="20"/>
          <w:szCs w:val="20"/>
        </w:rPr>
        <w:lastRenderedPageBreak/>
        <w:t xml:space="preserve">were then transferred into clean, labelled plastic containers and stored for subsequent analysis using Atomic Absorption Spectrophotometry (AAS) </w:t>
      </w:r>
      <w:r w:rsidRPr="00080156">
        <w:rPr>
          <w:rFonts w:ascii="Times New Roman" w:hAnsi="Times New Roman" w:cs="Times New Roman"/>
          <w:sz w:val="20"/>
          <w:szCs w:val="20"/>
        </w:rPr>
        <w:t>(</w:t>
      </w:r>
      <w:r w:rsidRPr="00E9620D">
        <w:rPr>
          <w:rFonts w:ascii="Times New Roman" w:hAnsi="Times New Roman" w:cs="Times New Roman"/>
          <w:color w:val="2660F0"/>
          <w:sz w:val="20"/>
          <w:szCs w:val="20"/>
        </w:rPr>
        <w:t xml:space="preserve">Fishman </w:t>
      </w:r>
      <w:r>
        <w:rPr>
          <w:rFonts w:ascii="Times New Roman" w:hAnsi="Times New Roman" w:cs="Times New Roman"/>
          <w:color w:val="2660F0"/>
          <w:sz w:val="20"/>
          <w:szCs w:val="20"/>
        </w:rPr>
        <w:t>&amp;</w:t>
      </w:r>
      <w:r w:rsidRPr="00E9620D">
        <w:rPr>
          <w:rFonts w:ascii="Times New Roman" w:hAnsi="Times New Roman" w:cs="Times New Roman"/>
          <w:color w:val="2660F0"/>
          <w:sz w:val="20"/>
          <w:szCs w:val="20"/>
        </w:rPr>
        <w:t xml:space="preserve"> Downs, 1966</w:t>
      </w:r>
      <w:r w:rsidRPr="00080156">
        <w:rPr>
          <w:rFonts w:ascii="Times New Roman" w:hAnsi="Times New Roman" w:cs="Times New Roman"/>
          <w:sz w:val="20"/>
          <w:szCs w:val="20"/>
        </w:rPr>
        <w:t>)</w:t>
      </w:r>
      <w:r w:rsidRPr="004C45CD">
        <w:rPr>
          <w:rFonts w:ascii="Times New Roman" w:hAnsi="Times New Roman" w:cs="Times New Roman"/>
          <w:sz w:val="20"/>
          <w:szCs w:val="20"/>
        </w:rPr>
        <w:t>.</w:t>
      </w:r>
    </w:p>
    <w:p w14:paraId="5C10425C" w14:textId="77777777" w:rsidR="004C45CD" w:rsidRDefault="004C45CD" w:rsidP="009E3FBF">
      <w:pPr>
        <w:spacing w:after="0" w:line="240" w:lineRule="auto"/>
        <w:ind w:firstLine="450"/>
        <w:jc w:val="both"/>
        <w:rPr>
          <w:rFonts w:ascii="Times New Roman" w:hAnsi="Times New Roman" w:cs="Times New Roman"/>
          <w:sz w:val="20"/>
          <w:szCs w:val="20"/>
        </w:rPr>
      </w:pPr>
      <w:r w:rsidRPr="004C45CD">
        <w:rPr>
          <w:rFonts w:ascii="Times New Roman" w:hAnsi="Times New Roman" w:cs="Times New Roman"/>
          <w:sz w:val="20"/>
          <w:szCs w:val="20"/>
        </w:rPr>
        <w:t xml:space="preserve">For the AAS determination, the prepared digests were thoroughly </w:t>
      </w:r>
      <w:r w:rsidR="00175F3B" w:rsidRPr="004C45CD">
        <w:rPr>
          <w:rFonts w:ascii="Times New Roman" w:hAnsi="Times New Roman" w:cs="Times New Roman"/>
          <w:sz w:val="20"/>
          <w:szCs w:val="20"/>
        </w:rPr>
        <w:t>homogenized</w:t>
      </w:r>
      <w:r w:rsidRPr="004C45CD">
        <w:rPr>
          <w:rFonts w:ascii="Times New Roman" w:hAnsi="Times New Roman" w:cs="Times New Roman"/>
          <w:sz w:val="20"/>
          <w:szCs w:val="20"/>
        </w:rPr>
        <w:t xml:space="preserve"> before aspiration into the instrument. The sample solution was introduced into the flame, where the dissolved metal ions were </w:t>
      </w:r>
      <w:r w:rsidR="00175F3B" w:rsidRPr="004C45CD">
        <w:rPr>
          <w:rFonts w:ascii="Times New Roman" w:hAnsi="Times New Roman" w:cs="Times New Roman"/>
          <w:sz w:val="20"/>
          <w:szCs w:val="20"/>
        </w:rPr>
        <w:t>atomized</w:t>
      </w:r>
      <w:r w:rsidRPr="004C45CD">
        <w:rPr>
          <w:rFonts w:ascii="Times New Roman" w:hAnsi="Times New Roman" w:cs="Times New Roman"/>
          <w:sz w:val="20"/>
          <w:szCs w:val="20"/>
        </w:rPr>
        <w:t>. The atoms absorbed radiation at wavelengths characteristic of the respective elements, and the resulting absorbance was measured by the detector. The concentrations of the target metals were determined from the corresponding calibration standards. Element-specific hollow-cathode lamps and appropriate flame conditions were employed for the determination of the individual metals, using either an air–acetylene or nitrous oxide–acetylene flame as required. The concentrations obtained from the AAS analysis were subsequently recorded and used to assess the levels and spatial distribution of the selected heavy metals in the sampled soils</w:t>
      </w:r>
      <w:r>
        <w:rPr>
          <w:rFonts w:ascii="Times New Roman" w:hAnsi="Times New Roman" w:cs="Times New Roman"/>
          <w:sz w:val="20"/>
          <w:szCs w:val="20"/>
        </w:rPr>
        <w:t xml:space="preserve"> </w:t>
      </w:r>
      <w:r w:rsidRPr="00080156">
        <w:rPr>
          <w:rFonts w:ascii="Times New Roman" w:hAnsi="Times New Roman" w:cs="Times New Roman"/>
          <w:sz w:val="20"/>
          <w:szCs w:val="20"/>
        </w:rPr>
        <w:t>(</w:t>
      </w:r>
      <w:r w:rsidRPr="00E9620D">
        <w:rPr>
          <w:rFonts w:ascii="Times New Roman" w:hAnsi="Times New Roman" w:cs="Times New Roman"/>
          <w:color w:val="2660F0"/>
          <w:sz w:val="20"/>
          <w:szCs w:val="20"/>
        </w:rPr>
        <w:t xml:space="preserve">Fishman </w:t>
      </w:r>
      <w:r>
        <w:rPr>
          <w:rFonts w:ascii="Times New Roman" w:hAnsi="Times New Roman" w:cs="Times New Roman"/>
          <w:color w:val="2660F0"/>
          <w:sz w:val="20"/>
          <w:szCs w:val="20"/>
        </w:rPr>
        <w:t>&amp;</w:t>
      </w:r>
      <w:r w:rsidRPr="00E9620D">
        <w:rPr>
          <w:rFonts w:ascii="Times New Roman" w:hAnsi="Times New Roman" w:cs="Times New Roman"/>
          <w:color w:val="2660F0"/>
          <w:sz w:val="20"/>
          <w:szCs w:val="20"/>
        </w:rPr>
        <w:t xml:space="preserve"> Downs, 1966</w:t>
      </w:r>
      <w:r w:rsidRPr="00080156">
        <w:rPr>
          <w:rFonts w:ascii="Times New Roman" w:hAnsi="Times New Roman" w:cs="Times New Roman"/>
          <w:sz w:val="20"/>
          <w:szCs w:val="20"/>
        </w:rPr>
        <w:t>)</w:t>
      </w:r>
      <w:r w:rsidRPr="004C45CD">
        <w:rPr>
          <w:rFonts w:ascii="Times New Roman" w:hAnsi="Times New Roman" w:cs="Times New Roman"/>
          <w:sz w:val="20"/>
          <w:szCs w:val="20"/>
        </w:rPr>
        <w:t>.</w:t>
      </w:r>
      <w:r w:rsidR="00175F3B">
        <w:rPr>
          <w:rFonts w:ascii="Times New Roman" w:hAnsi="Times New Roman" w:cs="Times New Roman"/>
          <w:sz w:val="20"/>
          <w:szCs w:val="20"/>
        </w:rPr>
        <w:t xml:space="preserve"> </w:t>
      </w:r>
    </w:p>
    <w:p w14:paraId="76CEAE31" w14:textId="77777777" w:rsidR="000F7C1D" w:rsidRPr="0033185A" w:rsidRDefault="000F7C1D" w:rsidP="008C4D2C">
      <w:pPr>
        <w:spacing w:after="0" w:line="240" w:lineRule="auto"/>
        <w:jc w:val="both"/>
        <w:rPr>
          <w:rFonts w:ascii="Times New Roman" w:hAnsi="Times New Roman" w:cs="Times New Roman"/>
          <w:sz w:val="20"/>
          <w:szCs w:val="20"/>
        </w:rPr>
      </w:pPr>
    </w:p>
    <w:p w14:paraId="71FD87C8" w14:textId="77777777" w:rsidR="00020014" w:rsidRPr="00F42D26" w:rsidRDefault="00633CF8" w:rsidP="00F42D26">
      <w:pPr>
        <w:pStyle w:val="ListParagraph"/>
        <w:numPr>
          <w:ilvl w:val="1"/>
          <w:numId w:val="29"/>
        </w:numPr>
        <w:spacing w:after="0" w:line="240" w:lineRule="auto"/>
        <w:jc w:val="both"/>
        <w:rPr>
          <w:rFonts w:ascii="Times New Roman" w:eastAsia="Calibri" w:hAnsi="Times New Roman" w:cs="Times New Roman"/>
          <w:b/>
          <w:bCs/>
          <w:sz w:val="20"/>
          <w:szCs w:val="20"/>
        </w:rPr>
      </w:pPr>
      <w:r w:rsidRPr="00633CF8">
        <w:rPr>
          <w:rFonts w:ascii="Times New Roman" w:eastAsia="Calibri" w:hAnsi="Times New Roman" w:cs="Times New Roman"/>
          <w:b/>
          <w:bCs/>
          <w:sz w:val="20"/>
          <w:szCs w:val="20"/>
        </w:rPr>
        <w:t>Pollution Assessments, Ecological Risks and Contaminants Reduction</w:t>
      </w:r>
    </w:p>
    <w:p w14:paraId="264EF8C5" w14:textId="77777777" w:rsidR="00AF6995" w:rsidRPr="0033185A" w:rsidRDefault="00AF6995" w:rsidP="00020014">
      <w:pPr>
        <w:spacing w:after="0" w:line="240" w:lineRule="auto"/>
        <w:contextualSpacing/>
        <w:jc w:val="both"/>
        <w:rPr>
          <w:rFonts w:ascii="Times New Roman" w:eastAsia="Calibri" w:hAnsi="Times New Roman" w:cs="Times New Roman"/>
          <w:b/>
          <w:bCs/>
          <w:sz w:val="20"/>
          <w:szCs w:val="20"/>
        </w:rPr>
      </w:pPr>
    </w:p>
    <w:p w14:paraId="3EAA73CF" w14:textId="77777777" w:rsidR="00CB1234" w:rsidRPr="0033185A" w:rsidRDefault="00F42D26" w:rsidP="00A477B0">
      <w:pPr>
        <w:spacing w:after="0" w:line="240" w:lineRule="auto"/>
        <w:contextualSpacing/>
        <w:jc w:val="both"/>
        <w:rPr>
          <w:rFonts w:ascii="Times New Roman" w:hAnsi="Times New Roman" w:cs="Times New Roman"/>
          <w:b/>
          <w:bCs/>
          <w:sz w:val="20"/>
          <w:szCs w:val="20"/>
        </w:rPr>
      </w:pPr>
      <w:bookmarkStart w:id="3" w:name="_Hlk160033565"/>
      <w:bookmarkStart w:id="4" w:name="_Hlk160033599"/>
      <w:r>
        <w:rPr>
          <w:rFonts w:ascii="Times New Roman" w:hAnsi="Times New Roman" w:cs="Times New Roman"/>
          <w:b/>
          <w:bCs/>
          <w:sz w:val="20"/>
          <w:szCs w:val="20"/>
        </w:rPr>
        <w:t>2.2</w:t>
      </w:r>
      <w:r w:rsidR="00A477B0" w:rsidRPr="0033185A">
        <w:rPr>
          <w:rFonts w:ascii="Times New Roman" w:hAnsi="Times New Roman" w:cs="Times New Roman"/>
          <w:b/>
          <w:bCs/>
          <w:sz w:val="20"/>
          <w:szCs w:val="20"/>
        </w:rPr>
        <w:t xml:space="preserve">.1 </w:t>
      </w:r>
      <w:proofErr w:type="spellStart"/>
      <w:r w:rsidR="00CB1234" w:rsidRPr="0033185A">
        <w:rPr>
          <w:rFonts w:ascii="Times New Roman" w:hAnsi="Times New Roman" w:cs="Times New Roman"/>
          <w:b/>
          <w:bCs/>
          <w:sz w:val="20"/>
          <w:szCs w:val="20"/>
        </w:rPr>
        <w:t>Geoaccumulation</w:t>
      </w:r>
      <w:proofErr w:type="spellEnd"/>
      <w:r w:rsidR="00CB1234" w:rsidRPr="0033185A">
        <w:rPr>
          <w:rFonts w:ascii="Times New Roman" w:hAnsi="Times New Roman" w:cs="Times New Roman"/>
          <w:b/>
          <w:bCs/>
          <w:sz w:val="20"/>
          <w:szCs w:val="20"/>
        </w:rPr>
        <w:t xml:space="preserve"> Index (</w:t>
      </w:r>
      <w:proofErr w:type="spellStart"/>
      <w:r w:rsidR="00CB1234" w:rsidRPr="0033185A">
        <w:rPr>
          <w:rFonts w:ascii="Times New Roman" w:hAnsi="Times New Roman" w:cs="Times New Roman"/>
          <w:b/>
          <w:bCs/>
          <w:sz w:val="20"/>
          <w:szCs w:val="20"/>
        </w:rPr>
        <w:t>Igeo</w:t>
      </w:r>
      <w:proofErr w:type="spellEnd"/>
      <w:r w:rsidR="00CB1234" w:rsidRPr="0033185A">
        <w:rPr>
          <w:rFonts w:ascii="Times New Roman" w:hAnsi="Times New Roman" w:cs="Times New Roman"/>
          <w:b/>
          <w:bCs/>
          <w:sz w:val="20"/>
          <w:szCs w:val="20"/>
        </w:rPr>
        <w:t>)</w:t>
      </w:r>
      <w:bookmarkEnd w:id="3"/>
    </w:p>
    <w:bookmarkEnd w:id="4"/>
    <w:p w14:paraId="2C29A8AA" w14:textId="77777777" w:rsidR="00CB1234" w:rsidRPr="00CB1234" w:rsidRDefault="00C558A9" w:rsidP="00CB1234">
      <w:pPr>
        <w:spacing w:after="0" w:line="240" w:lineRule="auto"/>
        <w:contextualSpacing/>
        <w:jc w:val="both"/>
        <w:rPr>
          <w:rFonts w:ascii="Times New Roman" w:hAnsi="Times New Roman" w:cs="Times New Roman"/>
          <w:sz w:val="20"/>
          <w:szCs w:val="20"/>
        </w:rPr>
      </w:pPr>
      <w:r w:rsidRPr="00C558A9">
        <w:rPr>
          <w:rFonts w:ascii="Times New Roman" w:hAnsi="Times New Roman" w:cs="Times New Roman"/>
          <w:sz w:val="20"/>
          <w:szCs w:val="20"/>
        </w:rPr>
        <w:t xml:space="preserve">This index evaluates the contamination level of a sample and quantifies the degree of contamination. Its calculation is guided by </w:t>
      </w:r>
      <w:r w:rsidRPr="00C558A9">
        <w:rPr>
          <w:rFonts w:ascii="Times New Roman" w:hAnsi="Times New Roman" w:cs="Times New Roman"/>
          <w:color w:val="2660F0"/>
          <w:sz w:val="20"/>
          <w:szCs w:val="20"/>
        </w:rPr>
        <w:t xml:space="preserve">Equation </w:t>
      </w:r>
      <w:r w:rsidR="001C4FE9">
        <w:rPr>
          <w:rFonts w:ascii="Times New Roman" w:hAnsi="Times New Roman" w:cs="Times New Roman"/>
          <w:color w:val="2660F0"/>
          <w:sz w:val="20"/>
          <w:szCs w:val="20"/>
        </w:rPr>
        <w:t>1</w:t>
      </w:r>
      <w:r w:rsidRPr="00C558A9">
        <w:rPr>
          <w:rFonts w:ascii="Times New Roman" w:hAnsi="Times New Roman" w:cs="Times New Roman"/>
          <w:sz w:val="20"/>
          <w:szCs w:val="20"/>
        </w:rPr>
        <w:t xml:space="preserve">, as proposed by </w:t>
      </w:r>
      <w:r w:rsidRPr="00C558A9">
        <w:rPr>
          <w:rFonts w:ascii="Times New Roman" w:hAnsi="Times New Roman" w:cs="Times New Roman"/>
          <w:color w:val="2660F0"/>
          <w:sz w:val="20"/>
          <w:szCs w:val="20"/>
        </w:rPr>
        <w:t>Müller</w:t>
      </w:r>
      <w:r w:rsidRPr="00C558A9">
        <w:rPr>
          <w:rFonts w:ascii="Times New Roman" w:hAnsi="Times New Roman" w:cs="Times New Roman"/>
          <w:sz w:val="20"/>
          <w:szCs w:val="20"/>
        </w:rPr>
        <w:t xml:space="preserve"> (</w:t>
      </w:r>
      <w:r w:rsidRPr="00C558A9">
        <w:rPr>
          <w:rFonts w:ascii="Times New Roman" w:hAnsi="Times New Roman" w:cs="Times New Roman"/>
          <w:color w:val="2660F0"/>
          <w:sz w:val="20"/>
          <w:szCs w:val="20"/>
        </w:rPr>
        <w:t>1969</w:t>
      </w:r>
      <w:r w:rsidRPr="00C558A9">
        <w:rPr>
          <w:rFonts w:ascii="Times New Roman" w:hAnsi="Times New Roman" w:cs="Times New Roman"/>
          <w:sz w:val="20"/>
          <w:szCs w:val="20"/>
        </w:rPr>
        <w:t>).</w:t>
      </w:r>
    </w:p>
    <w:p w14:paraId="55383AC7" w14:textId="77777777" w:rsidR="00CB1234" w:rsidRPr="00CB1234" w:rsidRDefault="00CB1234" w:rsidP="00300BC1">
      <w:pPr>
        <w:spacing w:after="0" w:line="240" w:lineRule="auto"/>
        <w:contextualSpacing/>
        <w:jc w:val="both"/>
        <w:rPr>
          <w:rFonts w:ascii="Times New Roman" w:hAnsi="Times New Roman" w:cs="Times New Roman"/>
          <w:sz w:val="20"/>
          <w:szCs w:val="20"/>
        </w:rPr>
      </w:pPr>
    </w:p>
    <w:p w14:paraId="6933C6E5" w14:textId="77777777" w:rsidR="00CB1234" w:rsidRPr="00CB1234" w:rsidRDefault="00CB1234" w:rsidP="00745B67">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Igeo=</m:t>
        </m:r>
        <m:sSub>
          <m:sSubPr>
            <m:ctrlPr>
              <w:rPr>
                <w:rFonts w:ascii="Cambria Math" w:hAnsi="Cambria Math" w:cs="Times New Roman"/>
                <w:i/>
                <w:sz w:val="20"/>
                <w:szCs w:val="20"/>
              </w:rPr>
            </m:ctrlPr>
          </m:sSubPr>
          <m:e>
            <m:r>
              <w:rPr>
                <w:rFonts w:ascii="Cambria Math" w:hAnsi="Cambria Math" w:cs="Times New Roman"/>
                <w:sz w:val="20"/>
                <w:szCs w:val="20"/>
              </w:rPr>
              <m:t>Log</m:t>
            </m:r>
          </m:e>
          <m:sub>
            <m:r>
              <w:rPr>
                <w:rFonts w:ascii="Cambria Math" w:hAnsi="Cambria Math" w:cs="Times New Roman"/>
                <w:sz w:val="20"/>
                <w:szCs w:val="20"/>
              </w:rPr>
              <m:t>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n</m:t>
            </m:r>
          </m:sub>
        </m:sSub>
        <m:r>
          <w:rPr>
            <w:rFonts w:ascii="Cambria Math" w:hAnsi="Cambria Math" w:cs="Times New Roman"/>
            <w:sz w:val="20"/>
            <w:szCs w:val="20"/>
          </w:rPr>
          <m:t>/1.5</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n</m:t>
            </m:r>
          </m:sub>
        </m:sSub>
        <w:bookmarkStart w:id="5" w:name="_Hlk160031423"/>
        <m:r>
          <w:rPr>
            <w:rFonts w:ascii="Cambria Math" w:hAnsi="Cambria Math" w:cs="Times New Roman"/>
            <w:sz w:val="20"/>
            <w:szCs w:val="20"/>
          </w:rPr>
          <m:t xml:space="preserve">) </m:t>
        </m:r>
      </m:oMath>
      <w:r w:rsidRPr="00CB1234">
        <w:rPr>
          <w:rFonts w:ascii="Times New Roman" w:hAnsi="Times New Roman" w:cs="Times New Roman"/>
          <w:sz w:val="20"/>
          <w:szCs w:val="20"/>
        </w:rPr>
        <w:t>----------------------------------(</w:t>
      </w:r>
      <w:r w:rsidR="001C4FE9">
        <w:rPr>
          <w:rFonts w:ascii="Times New Roman" w:hAnsi="Times New Roman" w:cs="Times New Roman"/>
          <w:sz w:val="20"/>
          <w:szCs w:val="20"/>
        </w:rPr>
        <w:t>1</w:t>
      </w:r>
      <w:r w:rsidRPr="00CB1234">
        <w:rPr>
          <w:rFonts w:ascii="Times New Roman" w:hAnsi="Times New Roman" w:cs="Times New Roman"/>
          <w:sz w:val="20"/>
          <w:szCs w:val="20"/>
        </w:rPr>
        <w:t>)</w:t>
      </w:r>
      <w:bookmarkEnd w:id="5"/>
    </w:p>
    <w:p w14:paraId="026240E5" w14:textId="77777777" w:rsidR="00CB1234" w:rsidRPr="00CB1234" w:rsidRDefault="00CB1234" w:rsidP="00300BC1">
      <w:pPr>
        <w:spacing w:after="0" w:line="240" w:lineRule="auto"/>
        <w:contextualSpacing/>
        <w:jc w:val="both"/>
        <w:rPr>
          <w:rFonts w:ascii="Times New Roman" w:hAnsi="Times New Roman" w:cs="Times New Roman"/>
          <w:sz w:val="20"/>
          <w:szCs w:val="20"/>
        </w:rPr>
      </w:pPr>
    </w:p>
    <w:p w14:paraId="0E6054C8" w14:textId="77777777" w:rsidR="00E73171" w:rsidRDefault="00DA16AF" w:rsidP="003A5DE0">
      <w:pPr>
        <w:spacing w:after="0" w:line="240" w:lineRule="auto"/>
        <w:ind w:firstLine="426"/>
        <w:contextualSpacing/>
        <w:jc w:val="both"/>
        <w:rPr>
          <w:rFonts w:ascii="Times New Roman" w:hAnsi="Times New Roman" w:cs="Times New Roman"/>
          <w:sz w:val="20"/>
          <w:szCs w:val="20"/>
          <w:lang w:val="en-MY"/>
        </w:rPr>
      </w:pPr>
      <w:r>
        <w:rPr>
          <w:rFonts w:ascii="Times New Roman" w:hAnsi="Times New Roman" w:cs="Times New Roman"/>
          <w:sz w:val="20"/>
          <w:szCs w:val="20"/>
          <w:lang w:val="en-MY"/>
        </w:rPr>
        <w:t xml:space="preserve">Where: </w:t>
      </w:r>
      <w:r>
        <w:rPr>
          <w:rFonts w:ascii="Times New Roman" w:hAnsi="Times New Roman" w:cs="Times New Roman"/>
          <w:i/>
          <w:iCs/>
          <w:sz w:val="20"/>
          <w:szCs w:val="20"/>
          <w:lang w:val="en-MY"/>
        </w:rPr>
        <w:t>C</w:t>
      </w:r>
      <w:r>
        <w:rPr>
          <w:rFonts w:ascii="Times New Roman" w:hAnsi="Times New Roman" w:cs="Times New Roman"/>
          <w:i/>
          <w:iCs/>
          <w:sz w:val="20"/>
          <w:szCs w:val="20"/>
          <w:vertAlign w:val="subscript"/>
          <w:lang w:val="en-MY"/>
        </w:rPr>
        <w:t>n</w:t>
      </w:r>
      <w:r>
        <w:rPr>
          <w:rFonts w:ascii="Times New Roman" w:hAnsi="Times New Roman" w:cs="Times New Roman"/>
          <w:sz w:val="20"/>
          <w:szCs w:val="20"/>
          <w:lang w:val="en-MY"/>
        </w:rPr>
        <w:t xml:space="preserve"> represents the measured heavy</w:t>
      </w:r>
      <w:r>
        <w:rPr>
          <w:rFonts w:ascii="Times New Roman" w:hAnsi="Times New Roman" w:cs="Times New Roman"/>
          <w:sz w:val="20"/>
          <w:szCs w:val="20"/>
          <w:highlight w:val="yellow"/>
          <w:lang w:val="en-MY"/>
        </w:rPr>
        <w:t>-</w:t>
      </w:r>
      <w:r>
        <w:rPr>
          <w:rFonts w:ascii="Times New Roman" w:hAnsi="Times New Roman" w:cs="Times New Roman"/>
          <w:sz w:val="20"/>
          <w:szCs w:val="20"/>
          <w:lang w:val="en-MY"/>
        </w:rPr>
        <w:t xml:space="preserve">metal levels, while </w:t>
      </w:r>
      <w:r>
        <w:rPr>
          <w:rFonts w:ascii="Times New Roman" w:hAnsi="Times New Roman" w:cs="Times New Roman"/>
          <w:i/>
          <w:iCs/>
          <w:sz w:val="20"/>
          <w:szCs w:val="20"/>
          <w:lang w:val="en-MY"/>
        </w:rPr>
        <w:t>B</w:t>
      </w:r>
      <w:r>
        <w:rPr>
          <w:rFonts w:ascii="Times New Roman" w:hAnsi="Times New Roman" w:cs="Times New Roman"/>
          <w:i/>
          <w:iCs/>
          <w:sz w:val="20"/>
          <w:szCs w:val="20"/>
          <w:vertAlign w:val="subscript"/>
          <w:lang w:val="en-MY"/>
        </w:rPr>
        <w:t>n</w:t>
      </w:r>
      <w:r>
        <w:rPr>
          <w:rFonts w:ascii="Times New Roman" w:hAnsi="Times New Roman" w:cs="Times New Roman"/>
          <w:sz w:val="20"/>
          <w:szCs w:val="20"/>
          <w:lang w:val="en-MY"/>
        </w:rPr>
        <w:t xml:space="preserve"> denotes the background geochemical composition for average crustal shale (</w:t>
      </w:r>
      <w:r>
        <w:rPr>
          <w:rFonts w:ascii="Times New Roman" w:hAnsi="Times New Roman" w:cs="Times New Roman"/>
          <w:color w:val="2660F0"/>
          <w:sz w:val="20"/>
          <w:szCs w:val="20"/>
          <w:lang w:val="en-MY"/>
        </w:rPr>
        <w:t>Müller</w:t>
      </w:r>
      <w:r>
        <w:rPr>
          <w:rFonts w:ascii="Times New Roman" w:hAnsi="Times New Roman" w:cs="Times New Roman"/>
          <w:sz w:val="20"/>
          <w:szCs w:val="20"/>
          <w:lang w:val="en-MY"/>
        </w:rPr>
        <w:t xml:space="preserve">, </w:t>
      </w:r>
      <w:r>
        <w:rPr>
          <w:rFonts w:ascii="Times New Roman" w:hAnsi="Times New Roman" w:cs="Times New Roman"/>
          <w:color w:val="2660F0"/>
          <w:sz w:val="20"/>
          <w:szCs w:val="20"/>
          <w:lang w:val="en-MY"/>
        </w:rPr>
        <w:t>1969</w:t>
      </w:r>
      <w:r>
        <w:rPr>
          <w:rFonts w:ascii="Times New Roman" w:hAnsi="Times New Roman" w:cs="Times New Roman"/>
          <w:sz w:val="20"/>
          <w:szCs w:val="20"/>
          <w:lang w:val="en-MY"/>
        </w:rPr>
        <w:t xml:space="preserve">), with the factor of 1.5 incorporated in the equation to </w:t>
      </w:r>
      <w:r>
        <w:rPr>
          <w:rFonts w:ascii="Times New Roman" w:hAnsi="Times New Roman" w:cs="Times New Roman"/>
          <w:sz w:val="20"/>
          <w:szCs w:val="20"/>
          <w:highlight w:val="yellow"/>
          <w:lang w:val="en-MY"/>
        </w:rPr>
        <w:t>ac</w:t>
      </w:r>
      <w:r>
        <w:rPr>
          <w:rFonts w:ascii="Times New Roman" w:hAnsi="Times New Roman" w:cs="Times New Roman"/>
          <w:sz w:val="20"/>
          <w:szCs w:val="20"/>
          <w:lang w:val="en-MY"/>
        </w:rPr>
        <w:t>co</w:t>
      </w:r>
      <w:r>
        <w:rPr>
          <w:rFonts w:ascii="Times New Roman" w:hAnsi="Times New Roman" w:cs="Times New Roman"/>
          <w:sz w:val="20"/>
          <w:szCs w:val="20"/>
          <w:highlight w:val="yellow"/>
          <w:lang w:val="en-MY"/>
        </w:rPr>
        <w:t>u</w:t>
      </w:r>
      <w:r>
        <w:rPr>
          <w:rFonts w:ascii="Times New Roman" w:hAnsi="Times New Roman" w:cs="Times New Roman"/>
          <w:sz w:val="20"/>
          <w:szCs w:val="20"/>
          <w:lang w:val="en-MY"/>
        </w:rPr>
        <w:t xml:space="preserve">nt </w:t>
      </w:r>
      <w:r>
        <w:rPr>
          <w:rFonts w:ascii="Times New Roman" w:hAnsi="Times New Roman" w:cs="Times New Roman"/>
          <w:sz w:val="20"/>
          <w:szCs w:val="20"/>
          <w:highlight w:val="yellow"/>
          <w:lang w:val="en-MY"/>
        </w:rPr>
        <w:t>for</w:t>
      </w:r>
      <w:r>
        <w:rPr>
          <w:rFonts w:ascii="Times New Roman" w:hAnsi="Times New Roman" w:cs="Times New Roman"/>
          <w:sz w:val="20"/>
          <w:szCs w:val="20"/>
          <w:lang w:val="en-MY"/>
        </w:rPr>
        <w:t xml:space="preserve"> differences in background values caused by geogenic influences and lithological variations. This corresponds t</w:t>
      </w:r>
      <w:r>
        <w:rPr>
          <w:rFonts w:ascii="Times New Roman" w:hAnsi="Times New Roman" w:cs="Times New Roman"/>
          <w:sz w:val="20"/>
          <w:szCs w:val="20"/>
          <w:highlight w:val="yellow"/>
          <w:lang w:val="en-MY"/>
        </w:rPr>
        <w:t>o</w:t>
      </w:r>
      <w:r>
        <w:rPr>
          <w:rFonts w:ascii="Times New Roman" w:hAnsi="Times New Roman" w:cs="Times New Roman"/>
          <w:sz w:val="20"/>
          <w:szCs w:val="20"/>
          <w:lang w:val="en-MY"/>
        </w:rPr>
        <w:t xml:space="preserve"> baseline levels of the same metal, which can be obtained from</w:t>
      </w:r>
      <w:r>
        <w:rPr>
          <w:rFonts w:ascii="Times New Roman" w:hAnsi="Times New Roman" w:cs="Times New Roman"/>
          <w:sz w:val="20"/>
          <w:szCs w:val="20"/>
          <w:highlight w:val="yellow"/>
          <w:lang w:val="en-MY"/>
        </w:rPr>
        <w:t xml:space="preserve"> the</w:t>
      </w:r>
      <w:r>
        <w:rPr>
          <w:rFonts w:ascii="Times New Roman" w:hAnsi="Times New Roman" w:cs="Times New Roman"/>
          <w:sz w:val="20"/>
          <w:szCs w:val="20"/>
          <w:lang w:val="en-MY"/>
        </w:rPr>
        <w:t xml:space="preserve"> literature or determined from texturally comparable natural sediments. For this study, reference concentration levels were derived from selected credible sources, including the </w:t>
      </w:r>
      <w:r>
        <w:rPr>
          <w:rFonts w:ascii="Times New Roman" w:hAnsi="Times New Roman" w:cs="Times New Roman"/>
          <w:sz w:val="20"/>
          <w:szCs w:val="20"/>
          <w:highlight w:val="yellow"/>
          <w:lang w:val="en-MY"/>
        </w:rPr>
        <w:t xml:space="preserve">research by </w:t>
      </w:r>
      <w:proofErr w:type="spellStart"/>
      <w:r>
        <w:rPr>
          <w:rFonts w:ascii="Times New Roman" w:hAnsi="Times New Roman" w:cs="Times New Roman"/>
          <w:color w:val="2660F0"/>
          <w:sz w:val="20"/>
          <w:szCs w:val="20"/>
          <w:lang w:val="en-MY"/>
        </w:rPr>
        <w:t>Turekian</w:t>
      </w:r>
      <w:proofErr w:type="spellEnd"/>
      <w:r>
        <w:rPr>
          <w:rFonts w:ascii="Times New Roman" w:hAnsi="Times New Roman" w:cs="Times New Roman"/>
          <w:color w:val="2660F0"/>
          <w:sz w:val="20"/>
          <w:szCs w:val="20"/>
          <w:lang w:val="en-MY"/>
        </w:rPr>
        <w:t xml:space="preserve"> and </w:t>
      </w:r>
      <w:proofErr w:type="spellStart"/>
      <w:r>
        <w:rPr>
          <w:rFonts w:ascii="Times New Roman" w:hAnsi="Times New Roman" w:cs="Times New Roman"/>
          <w:color w:val="2660F0"/>
          <w:sz w:val="20"/>
          <w:szCs w:val="20"/>
          <w:lang w:val="en-MY"/>
        </w:rPr>
        <w:t>Wedepohl</w:t>
      </w:r>
      <w:proofErr w:type="spellEnd"/>
      <w:r>
        <w:rPr>
          <w:rFonts w:ascii="Times New Roman" w:hAnsi="Times New Roman" w:cs="Times New Roman"/>
          <w:color w:val="2660F0"/>
          <w:sz w:val="20"/>
          <w:szCs w:val="20"/>
          <w:lang w:val="en-MY"/>
        </w:rPr>
        <w:t xml:space="preserve"> </w:t>
      </w:r>
      <w:r>
        <w:rPr>
          <w:rFonts w:ascii="Times New Roman" w:hAnsi="Times New Roman" w:cs="Times New Roman"/>
          <w:color w:val="2660F0"/>
          <w:sz w:val="20"/>
          <w:szCs w:val="20"/>
          <w:highlight w:val="yellow"/>
          <w:lang w:val="en-MY"/>
        </w:rPr>
        <w:t>(</w:t>
      </w:r>
      <w:r>
        <w:rPr>
          <w:rFonts w:ascii="Times New Roman" w:hAnsi="Times New Roman" w:cs="Times New Roman"/>
          <w:color w:val="2660F0"/>
          <w:sz w:val="20"/>
          <w:szCs w:val="20"/>
          <w:lang w:val="en-MY"/>
        </w:rPr>
        <w:t>1961</w:t>
      </w:r>
      <w:r>
        <w:rPr>
          <w:rFonts w:ascii="Times New Roman" w:hAnsi="Times New Roman" w:cs="Times New Roman"/>
          <w:sz w:val="20"/>
          <w:szCs w:val="20"/>
          <w:highlight w:val="yellow"/>
          <w:lang w:val="en-MY"/>
        </w:rPr>
        <w:t>)</w:t>
      </w:r>
      <w:r>
        <w:rPr>
          <w:rFonts w:ascii="Times New Roman" w:hAnsi="Times New Roman" w:cs="Times New Roman"/>
          <w:sz w:val="20"/>
          <w:szCs w:val="20"/>
          <w:lang w:val="en-MY"/>
        </w:rPr>
        <w:t xml:space="preserve"> on the distribution </w:t>
      </w:r>
      <w:r>
        <w:rPr>
          <w:rFonts w:ascii="Times New Roman" w:hAnsi="Times New Roman" w:cs="Times New Roman"/>
          <w:sz w:val="20"/>
          <w:szCs w:val="20"/>
          <w:highlight w:val="yellow"/>
          <w:lang w:val="en-MY"/>
        </w:rPr>
        <w:t xml:space="preserve">of elements </w:t>
      </w:r>
      <w:r>
        <w:rPr>
          <w:rFonts w:ascii="Times New Roman" w:hAnsi="Times New Roman" w:cs="Times New Roman"/>
          <w:sz w:val="20"/>
          <w:szCs w:val="20"/>
          <w:lang w:val="en-MY"/>
        </w:rPr>
        <w:t xml:space="preserve">in primary </w:t>
      </w:r>
      <w:r>
        <w:rPr>
          <w:rFonts w:ascii="Times New Roman" w:hAnsi="Times New Roman" w:cs="Times New Roman"/>
          <w:sz w:val="20"/>
          <w:szCs w:val="20"/>
          <w:highlight w:val="yellow"/>
          <w:lang w:val="en-MY"/>
        </w:rPr>
        <w:t xml:space="preserve">zones of the </w:t>
      </w:r>
      <w:r>
        <w:rPr>
          <w:rFonts w:ascii="Times New Roman" w:hAnsi="Times New Roman" w:cs="Times New Roman"/>
          <w:sz w:val="20"/>
          <w:szCs w:val="20"/>
          <w:lang w:val="en-MY"/>
        </w:rPr>
        <w:t>Earth</w:t>
      </w:r>
      <w:r>
        <w:rPr>
          <w:rFonts w:ascii="Times New Roman" w:hAnsi="Times New Roman" w:cs="Times New Roman"/>
          <w:sz w:val="20"/>
          <w:szCs w:val="20"/>
          <w:highlight w:val="yellow"/>
          <w:lang w:val="en-MY"/>
        </w:rPr>
        <w:t>'s</w:t>
      </w:r>
      <w:r>
        <w:rPr>
          <w:rFonts w:ascii="Times New Roman" w:hAnsi="Times New Roman" w:cs="Times New Roman"/>
          <w:sz w:val="20"/>
          <w:szCs w:val="20"/>
          <w:lang w:val="en-MY"/>
        </w:rPr>
        <w:t xml:space="preserve"> crust. </w:t>
      </w:r>
      <w:r>
        <w:rPr>
          <w:rFonts w:ascii="Times New Roman" w:hAnsi="Times New Roman" w:cs="Times New Roman"/>
          <w:color w:val="000000" w:themeColor="text1"/>
          <w:sz w:val="20"/>
          <w:szCs w:val="20"/>
          <w:lang w:val="en-MY"/>
        </w:rPr>
        <w:t xml:space="preserve">The index of </w:t>
      </w:r>
      <w:proofErr w:type="spellStart"/>
      <w:r>
        <w:rPr>
          <w:rFonts w:ascii="Times New Roman" w:hAnsi="Times New Roman" w:cs="Times New Roman"/>
          <w:color w:val="000000" w:themeColor="text1"/>
          <w:sz w:val="20"/>
          <w:szCs w:val="20"/>
          <w:lang w:val="en-MY"/>
        </w:rPr>
        <w:t>geoaccumulation</w:t>
      </w:r>
      <w:proofErr w:type="spellEnd"/>
      <w:r>
        <w:rPr>
          <w:rFonts w:ascii="Times New Roman" w:hAnsi="Times New Roman" w:cs="Times New Roman"/>
          <w:color w:val="000000" w:themeColor="text1"/>
          <w:sz w:val="20"/>
          <w:szCs w:val="20"/>
          <w:lang w:val="en-MY"/>
        </w:rPr>
        <w:t xml:space="preserve"> classifies contamination into seven distinct categories, ranging from unpolluted to extremely polluted, as described by </w:t>
      </w:r>
      <w:r>
        <w:rPr>
          <w:rFonts w:ascii="Times New Roman" w:hAnsi="Times New Roman" w:cs="Times New Roman"/>
          <w:color w:val="2660F0"/>
          <w:sz w:val="20"/>
          <w:szCs w:val="20"/>
          <w:lang w:val="en-MY"/>
        </w:rPr>
        <w:t>Müller</w:t>
      </w:r>
      <w:r>
        <w:rPr>
          <w:rFonts w:ascii="Times New Roman" w:hAnsi="Times New Roman" w:cs="Times New Roman"/>
          <w:sz w:val="20"/>
          <w:szCs w:val="20"/>
          <w:lang w:val="en-MY"/>
        </w:rPr>
        <w:t xml:space="preserve"> (</w:t>
      </w:r>
      <w:r>
        <w:rPr>
          <w:rFonts w:ascii="Times New Roman" w:hAnsi="Times New Roman" w:cs="Times New Roman"/>
          <w:color w:val="2660F0"/>
          <w:sz w:val="20"/>
          <w:szCs w:val="20"/>
          <w:lang w:val="en-MY"/>
        </w:rPr>
        <w:t>1969</w:t>
      </w:r>
      <w:r>
        <w:rPr>
          <w:rFonts w:ascii="Times New Roman" w:hAnsi="Times New Roman" w:cs="Times New Roman"/>
          <w:sz w:val="20"/>
          <w:szCs w:val="20"/>
          <w:lang w:val="en-MY"/>
        </w:rPr>
        <w:t xml:space="preserve">) and </w:t>
      </w:r>
      <w:r>
        <w:rPr>
          <w:rFonts w:ascii="Times New Roman" w:hAnsi="Times New Roman" w:cs="Times New Roman"/>
          <w:color w:val="2660F0"/>
          <w:sz w:val="20"/>
          <w:szCs w:val="20"/>
          <w:lang w:val="en-MY"/>
        </w:rPr>
        <w:t>Guan et al.</w:t>
      </w:r>
      <w:r>
        <w:rPr>
          <w:rFonts w:ascii="Times New Roman" w:hAnsi="Times New Roman" w:cs="Times New Roman"/>
          <w:sz w:val="20"/>
          <w:szCs w:val="20"/>
          <w:lang w:val="en-MY"/>
        </w:rPr>
        <w:t xml:space="preserve"> (</w:t>
      </w:r>
      <w:r>
        <w:rPr>
          <w:rFonts w:ascii="Times New Roman" w:hAnsi="Times New Roman" w:cs="Times New Roman"/>
          <w:color w:val="2660F0"/>
          <w:sz w:val="20"/>
          <w:szCs w:val="20"/>
          <w:lang w:val="en-MY"/>
        </w:rPr>
        <w:t>2014</w:t>
      </w:r>
      <w:r>
        <w:rPr>
          <w:rFonts w:ascii="Times New Roman" w:hAnsi="Times New Roman" w:cs="Times New Roman"/>
          <w:sz w:val="20"/>
          <w:szCs w:val="20"/>
          <w:lang w:val="en-MY"/>
        </w:rPr>
        <w:t>) (</w:t>
      </w:r>
      <w:r>
        <w:rPr>
          <w:rFonts w:ascii="Times New Roman" w:hAnsi="Times New Roman" w:cs="Times New Roman"/>
          <w:color w:val="2660F0"/>
          <w:sz w:val="20"/>
          <w:szCs w:val="20"/>
          <w:lang w:val="en-MY"/>
        </w:rPr>
        <w:t>Table 2</w:t>
      </w:r>
      <w:r>
        <w:rPr>
          <w:rFonts w:ascii="Times New Roman" w:hAnsi="Times New Roman" w:cs="Times New Roman"/>
          <w:sz w:val="20"/>
          <w:szCs w:val="20"/>
          <w:lang w:val="en-MY"/>
        </w:rPr>
        <w:t>).</w:t>
      </w:r>
    </w:p>
    <w:p w14:paraId="20A129FE" w14:textId="77777777" w:rsidR="00F11F37" w:rsidRDefault="00F11F37" w:rsidP="00EF6DD2">
      <w:pPr>
        <w:spacing w:after="0" w:line="240" w:lineRule="auto"/>
        <w:contextualSpacing/>
        <w:jc w:val="both"/>
        <w:rPr>
          <w:rFonts w:ascii="Times New Roman" w:hAnsi="Times New Roman" w:cs="Times New Roman"/>
          <w:sz w:val="20"/>
          <w:szCs w:val="20"/>
          <w:lang w:val="en-MY"/>
        </w:rPr>
      </w:pPr>
    </w:p>
    <w:p w14:paraId="61D4BBA1" w14:textId="77777777" w:rsidR="00CB1234" w:rsidRPr="00CB1234" w:rsidRDefault="00CB1234" w:rsidP="002749F2">
      <w:pPr>
        <w:spacing w:after="0" w:line="276" w:lineRule="auto"/>
        <w:contextualSpacing/>
        <w:jc w:val="center"/>
        <w:rPr>
          <w:rFonts w:ascii="Times New Roman" w:hAnsi="Times New Roman" w:cs="Times New Roman"/>
          <w:sz w:val="20"/>
          <w:szCs w:val="20"/>
        </w:rPr>
      </w:pPr>
      <w:bookmarkStart w:id="6" w:name="_Hlk155183395"/>
      <w:r w:rsidRPr="00CB1234">
        <w:rPr>
          <w:rFonts w:ascii="Times New Roman" w:hAnsi="Times New Roman" w:cs="Times New Roman"/>
          <w:b/>
          <w:bCs/>
          <w:sz w:val="20"/>
          <w:szCs w:val="20"/>
        </w:rPr>
        <w:t>Table 2</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w:t>
      </w:r>
      <w:r w:rsidR="00811042">
        <w:rPr>
          <w:rFonts w:ascii="Times New Roman" w:hAnsi="Times New Roman" w:cs="Times New Roman"/>
          <w:sz w:val="20"/>
          <w:szCs w:val="20"/>
        </w:rPr>
        <w:t>I</w:t>
      </w:r>
      <w:r w:rsidRPr="00CB1234">
        <w:rPr>
          <w:rFonts w:ascii="Times New Roman" w:hAnsi="Times New Roman" w:cs="Times New Roman"/>
          <w:sz w:val="20"/>
          <w:szCs w:val="20"/>
        </w:rPr>
        <w:t>ndex</w:t>
      </w:r>
      <w:r w:rsidR="00811042">
        <w:rPr>
          <w:rFonts w:ascii="Times New Roman" w:hAnsi="Times New Roman" w:cs="Times New Roman"/>
          <w:sz w:val="20"/>
          <w:szCs w:val="20"/>
        </w:rPr>
        <w:t xml:space="preserve"> standards</w:t>
      </w:r>
      <w:r w:rsidR="007D23EC">
        <w:rPr>
          <w:rFonts w:ascii="Times New Roman" w:hAnsi="Times New Roman" w:cs="Times New Roman"/>
          <w:sz w:val="20"/>
          <w:szCs w:val="20"/>
        </w:rPr>
        <w:t>, Identification, and</w:t>
      </w:r>
      <w:r w:rsidR="00AD55A9">
        <w:rPr>
          <w:rFonts w:ascii="Times New Roman" w:hAnsi="Times New Roman" w:cs="Times New Roman"/>
          <w:sz w:val="20"/>
          <w:szCs w:val="20"/>
        </w:rPr>
        <w:t xml:space="preserve"> description </w:t>
      </w:r>
      <w:r w:rsidR="00811042">
        <w:rPr>
          <w:rFonts w:ascii="Times New Roman" w:hAnsi="Times New Roman" w:cs="Times New Roman"/>
          <w:sz w:val="20"/>
          <w:szCs w:val="20"/>
        </w:rPr>
        <w:t>for</w:t>
      </w:r>
      <w:r w:rsidRPr="00CB1234">
        <w:rPr>
          <w:rFonts w:ascii="Times New Roman" w:hAnsi="Times New Roman" w:cs="Times New Roman"/>
          <w:sz w:val="20"/>
          <w:szCs w:val="20"/>
        </w:rPr>
        <w:t xml:space="preserve"> </w:t>
      </w:r>
      <w:proofErr w:type="spellStart"/>
      <w:r w:rsidR="006E0FE0">
        <w:rPr>
          <w:rFonts w:ascii="Times New Roman" w:hAnsi="Times New Roman" w:cs="Times New Roman"/>
          <w:sz w:val="20"/>
          <w:szCs w:val="20"/>
        </w:rPr>
        <w:t>g</w:t>
      </w:r>
      <w:r w:rsidRPr="00CB1234">
        <w:rPr>
          <w:rFonts w:ascii="Times New Roman" w:hAnsi="Times New Roman" w:cs="Times New Roman"/>
          <w:sz w:val="20"/>
          <w:szCs w:val="20"/>
        </w:rPr>
        <w:t>eoaccumulation</w:t>
      </w:r>
      <w:proofErr w:type="spellEnd"/>
      <w:r w:rsidRPr="00CB1234">
        <w:rPr>
          <w:rFonts w:ascii="Times New Roman" w:hAnsi="Times New Roman" w:cs="Times New Roman"/>
          <w:sz w:val="20"/>
          <w:szCs w:val="20"/>
        </w:rPr>
        <w:t xml:space="preserve"> </w:t>
      </w:r>
      <w:r w:rsidR="00DA7362">
        <w:rPr>
          <w:rFonts w:ascii="Times New Roman" w:hAnsi="Times New Roman" w:cs="Times New Roman"/>
          <w:sz w:val="20"/>
          <w:szCs w:val="20"/>
        </w:rPr>
        <w:t>(</w:t>
      </w:r>
      <w:r w:rsidR="002749F2" w:rsidRPr="00C558A9">
        <w:rPr>
          <w:rFonts w:ascii="Times New Roman" w:hAnsi="Times New Roman" w:cs="Times New Roman"/>
          <w:color w:val="2660F0"/>
          <w:sz w:val="20"/>
          <w:szCs w:val="20"/>
        </w:rPr>
        <w:t>Müller</w:t>
      </w:r>
      <w:r w:rsidR="00DA7362" w:rsidRPr="00DA7362">
        <w:rPr>
          <w:rFonts w:ascii="Times New Roman" w:hAnsi="Times New Roman" w:cs="Times New Roman"/>
          <w:color w:val="2660F0"/>
          <w:sz w:val="20"/>
          <w:szCs w:val="20"/>
        </w:rPr>
        <w:t>, 1969</w:t>
      </w:r>
      <w:r w:rsidR="00DA7362">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992"/>
        <w:gridCol w:w="241"/>
        <w:gridCol w:w="3906"/>
      </w:tblGrid>
      <w:tr w:rsidR="00493E00" w:rsidRPr="00CB1234" w14:paraId="52530B2D" w14:textId="77777777" w:rsidTr="009B5AA8">
        <w:trPr>
          <w:trHeight w:val="63"/>
          <w:jc w:val="center"/>
        </w:trPr>
        <w:tc>
          <w:tcPr>
            <w:tcW w:w="1418" w:type="dxa"/>
            <w:tcBorders>
              <w:top w:val="single" w:sz="4" w:space="0" w:color="auto"/>
              <w:bottom w:val="single" w:sz="4" w:space="0" w:color="auto"/>
            </w:tcBorders>
          </w:tcPr>
          <w:bookmarkEnd w:id="6"/>
          <w:p w14:paraId="392EFED5" w14:textId="77777777" w:rsidR="00493E00" w:rsidRPr="00CB1234" w:rsidRDefault="00493E00" w:rsidP="00300BC1">
            <w:pPr>
              <w:contextualSpacing/>
              <w:jc w:val="both"/>
              <w:rPr>
                <w:rFonts w:ascii="Times New Roman" w:hAnsi="Times New Roman" w:cs="Times New Roman"/>
                <w:sz w:val="20"/>
                <w:szCs w:val="20"/>
              </w:rPr>
            </w:pPr>
            <w:proofErr w:type="spellStart"/>
            <w:r w:rsidRPr="00CB1234">
              <w:rPr>
                <w:rFonts w:ascii="Times New Roman" w:hAnsi="Times New Roman" w:cs="Times New Roman"/>
                <w:sz w:val="20"/>
                <w:szCs w:val="20"/>
              </w:rPr>
              <w:t>Igeo</w:t>
            </w:r>
            <w:proofErr w:type="spellEnd"/>
          </w:p>
        </w:tc>
        <w:tc>
          <w:tcPr>
            <w:tcW w:w="992" w:type="dxa"/>
            <w:tcBorders>
              <w:top w:val="single" w:sz="4" w:space="0" w:color="auto"/>
              <w:bottom w:val="single" w:sz="4" w:space="0" w:color="auto"/>
            </w:tcBorders>
          </w:tcPr>
          <w:p w14:paraId="5AF30812"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w:t>
            </w:r>
          </w:p>
        </w:tc>
        <w:tc>
          <w:tcPr>
            <w:tcW w:w="241" w:type="dxa"/>
            <w:tcBorders>
              <w:top w:val="single" w:sz="4" w:space="0" w:color="auto"/>
              <w:bottom w:val="single" w:sz="4" w:space="0" w:color="auto"/>
            </w:tcBorders>
          </w:tcPr>
          <w:p w14:paraId="38897A73" w14:textId="77777777" w:rsidR="00493E00" w:rsidRPr="00CB1234" w:rsidRDefault="00493E00" w:rsidP="00300BC1">
            <w:pPr>
              <w:contextualSpacing/>
              <w:jc w:val="both"/>
              <w:rPr>
                <w:rFonts w:ascii="Times New Roman" w:hAnsi="Times New Roman" w:cs="Times New Roman"/>
                <w:sz w:val="20"/>
                <w:szCs w:val="20"/>
              </w:rPr>
            </w:pPr>
          </w:p>
        </w:tc>
        <w:tc>
          <w:tcPr>
            <w:tcW w:w="3906" w:type="dxa"/>
            <w:tcBorders>
              <w:top w:val="single" w:sz="4" w:space="0" w:color="auto"/>
              <w:bottom w:val="single" w:sz="4" w:space="0" w:color="auto"/>
            </w:tcBorders>
          </w:tcPr>
          <w:p w14:paraId="0D2B5470"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Contamination level</w:t>
            </w:r>
          </w:p>
        </w:tc>
      </w:tr>
      <w:tr w:rsidR="00493E00" w:rsidRPr="00CB1234" w14:paraId="61965F22" w14:textId="77777777" w:rsidTr="009B5AA8">
        <w:trPr>
          <w:trHeight w:val="63"/>
          <w:jc w:val="center"/>
        </w:trPr>
        <w:tc>
          <w:tcPr>
            <w:tcW w:w="1418" w:type="dxa"/>
            <w:tcBorders>
              <w:top w:val="single" w:sz="4" w:space="0" w:color="auto"/>
            </w:tcBorders>
          </w:tcPr>
          <w:p w14:paraId="56E0A9EB" w14:textId="77777777" w:rsidR="00493E00" w:rsidRPr="00CB1234" w:rsidRDefault="00493E00" w:rsidP="00300BC1">
            <w:pPr>
              <w:contextualSpacing/>
              <w:jc w:val="both"/>
              <w:rPr>
                <w:rFonts w:ascii="Times New Roman" w:hAnsi="Times New Roman" w:cs="Times New Roman"/>
                <w:sz w:val="20"/>
                <w:szCs w:val="20"/>
              </w:rPr>
            </w:pPr>
            <w:proofErr w:type="spellStart"/>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proofErr w:type="spellEnd"/>
            <w:r w:rsidRPr="00CB1234">
              <w:rPr>
                <w:rFonts w:ascii="Times New Roman" w:hAnsi="Times New Roman" w:cs="Times New Roman"/>
                <w:sz w:val="20"/>
                <w:szCs w:val="20"/>
              </w:rPr>
              <w:t xml:space="preserve"> ≤ 0,</w:t>
            </w:r>
          </w:p>
        </w:tc>
        <w:tc>
          <w:tcPr>
            <w:tcW w:w="992" w:type="dxa"/>
            <w:tcBorders>
              <w:top w:val="single" w:sz="4" w:space="0" w:color="auto"/>
            </w:tcBorders>
          </w:tcPr>
          <w:p w14:paraId="03E37DC8"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Class 0 </w:t>
            </w:r>
          </w:p>
        </w:tc>
        <w:tc>
          <w:tcPr>
            <w:tcW w:w="241" w:type="dxa"/>
            <w:tcBorders>
              <w:top w:val="single" w:sz="4" w:space="0" w:color="auto"/>
            </w:tcBorders>
          </w:tcPr>
          <w:p w14:paraId="495D1A3A" w14:textId="77777777" w:rsidR="00493E00" w:rsidRPr="00CB1234" w:rsidRDefault="00493E00" w:rsidP="00300BC1">
            <w:pPr>
              <w:contextualSpacing/>
              <w:jc w:val="both"/>
              <w:rPr>
                <w:rFonts w:ascii="Times New Roman" w:hAnsi="Times New Roman" w:cs="Times New Roman"/>
                <w:sz w:val="20"/>
                <w:szCs w:val="20"/>
              </w:rPr>
            </w:pPr>
          </w:p>
        </w:tc>
        <w:tc>
          <w:tcPr>
            <w:tcW w:w="3906" w:type="dxa"/>
            <w:tcBorders>
              <w:top w:val="single" w:sz="4" w:space="0" w:color="auto"/>
            </w:tcBorders>
          </w:tcPr>
          <w:p w14:paraId="13C4023B"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Uncontaminated</w:t>
            </w:r>
          </w:p>
        </w:tc>
      </w:tr>
      <w:tr w:rsidR="00493E00" w:rsidRPr="00CB1234" w14:paraId="0B4255F8" w14:textId="77777777" w:rsidTr="009B5AA8">
        <w:trPr>
          <w:trHeight w:val="128"/>
          <w:jc w:val="center"/>
        </w:trPr>
        <w:tc>
          <w:tcPr>
            <w:tcW w:w="1418" w:type="dxa"/>
          </w:tcPr>
          <w:p w14:paraId="60CC830D"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0 &lt; </w:t>
            </w:r>
            <w:proofErr w:type="spellStart"/>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proofErr w:type="spellEnd"/>
            <w:r w:rsidRPr="00CB1234">
              <w:rPr>
                <w:rFonts w:ascii="Times New Roman" w:hAnsi="Times New Roman" w:cs="Times New Roman"/>
                <w:sz w:val="20"/>
                <w:szCs w:val="20"/>
              </w:rPr>
              <w:t xml:space="preserve"> ≤ 1</w:t>
            </w:r>
          </w:p>
        </w:tc>
        <w:tc>
          <w:tcPr>
            <w:tcW w:w="992" w:type="dxa"/>
          </w:tcPr>
          <w:p w14:paraId="20CC728D"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1</w:t>
            </w:r>
          </w:p>
        </w:tc>
        <w:tc>
          <w:tcPr>
            <w:tcW w:w="241" w:type="dxa"/>
          </w:tcPr>
          <w:p w14:paraId="5E53431E" w14:textId="77777777" w:rsidR="00493E00" w:rsidRPr="00CB1234" w:rsidRDefault="00493E00" w:rsidP="00300BC1">
            <w:pPr>
              <w:contextualSpacing/>
              <w:jc w:val="both"/>
              <w:rPr>
                <w:rFonts w:ascii="Times New Roman" w:hAnsi="Times New Roman" w:cs="Times New Roman"/>
                <w:sz w:val="20"/>
                <w:szCs w:val="20"/>
              </w:rPr>
            </w:pPr>
          </w:p>
        </w:tc>
        <w:tc>
          <w:tcPr>
            <w:tcW w:w="3906" w:type="dxa"/>
          </w:tcPr>
          <w:p w14:paraId="3B42C312"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Uncontaminated to Moderately Contaminated  </w:t>
            </w:r>
          </w:p>
        </w:tc>
      </w:tr>
      <w:tr w:rsidR="00493E00" w:rsidRPr="00CB1234" w14:paraId="183A698E" w14:textId="77777777" w:rsidTr="009B5AA8">
        <w:trPr>
          <w:trHeight w:val="73"/>
          <w:jc w:val="center"/>
        </w:trPr>
        <w:tc>
          <w:tcPr>
            <w:tcW w:w="1418" w:type="dxa"/>
          </w:tcPr>
          <w:p w14:paraId="0AE8C910"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 &lt; </w:t>
            </w:r>
            <w:proofErr w:type="spellStart"/>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proofErr w:type="spellEnd"/>
            <w:r w:rsidRPr="00CB1234">
              <w:rPr>
                <w:rFonts w:ascii="Times New Roman" w:hAnsi="Times New Roman" w:cs="Times New Roman"/>
                <w:sz w:val="20"/>
                <w:szCs w:val="20"/>
              </w:rPr>
              <w:t xml:space="preserve"> ≤ 2</w:t>
            </w:r>
          </w:p>
        </w:tc>
        <w:tc>
          <w:tcPr>
            <w:tcW w:w="992" w:type="dxa"/>
          </w:tcPr>
          <w:p w14:paraId="1F76269C"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2</w:t>
            </w:r>
          </w:p>
        </w:tc>
        <w:tc>
          <w:tcPr>
            <w:tcW w:w="241" w:type="dxa"/>
          </w:tcPr>
          <w:p w14:paraId="12B3E034" w14:textId="77777777" w:rsidR="00493E00" w:rsidRPr="00CB1234" w:rsidRDefault="00493E00" w:rsidP="00300BC1">
            <w:pPr>
              <w:contextualSpacing/>
              <w:jc w:val="both"/>
              <w:rPr>
                <w:rFonts w:ascii="Times New Roman" w:hAnsi="Times New Roman" w:cs="Times New Roman"/>
                <w:sz w:val="20"/>
                <w:szCs w:val="20"/>
              </w:rPr>
            </w:pPr>
          </w:p>
        </w:tc>
        <w:tc>
          <w:tcPr>
            <w:tcW w:w="3906" w:type="dxa"/>
          </w:tcPr>
          <w:p w14:paraId="19ACE0D7"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Moderately Contaminated  </w:t>
            </w:r>
          </w:p>
        </w:tc>
      </w:tr>
      <w:tr w:rsidR="00493E00" w:rsidRPr="00CB1234" w14:paraId="6EE3EFFC" w14:textId="77777777" w:rsidTr="009B5AA8">
        <w:trPr>
          <w:trHeight w:val="147"/>
          <w:jc w:val="center"/>
        </w:trPr>
        <w:tc>
          <w:tcPr>
            <w:tcW w:w="1418" w:type="dxa"/>
          </w:tcPr>
          <w:p w14:paraId="13F03113"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2 &lt; </w:t>
            </w:r>
            <w:proofErr w:type="spellStart"/>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proofErr w:type="spellEnd"/>
            <w:r w:rsidRPr="00CB1234">
              <w:rPr>
                <w:rFonts w:ascii="Times New Roman" w:hAnsi="Times New Roman" w:cs="Times New Roman"/>
                <w:sz w:val="20"/>
                <w:szCs w:val="20"/>
              </w:rPr>
              <w:t>≤ 3</w:t>
            </w:r>
          </w:p>
        </w:tc>
        <w:tc>
          <w:tcPr>
            <w:tcW w:w="992" w:type="dxa"/>
          </w:tcPr>
          <w:p w14:paraId="00975A22"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3</w:t>
            </w:r>
          </w:p>
        </w:tc>
        <w:tc>
          <w:tcPr>
            <w:tcW w:w="241" w:type="dxa"/>
          </w:tcPr>
          <w:p w14:paraId="49696E9E" w14:textId="77777777" w:rsidR="00493E00" w:rsidRPr="00CB1234" w:rsidRDefault="00493E00" w:rsidP="00300BC1">
            <w:pPr>
              <w:contextualSpacing/>
              <w:jc w:val="both"/>
              <w:rPr>
                <w:rFonts w:ascii="Times New Roman" w:hAnsi="Times New Roman" w:cs="Times New Roman"/>
                <w:sz w:val="20"/>
                <w:szCs w:val="20"/>
              </w:rPr>
            </w:pPr>
          </w:p>
        </w:tc>
        <w:tc>
          <w:tcPr>
            <w:tcW w:w="3906" w:type="dxa"/>
          </w:tcPr>
          <w:p w14:paraId="6CC579F0"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Moderately to Heavily Contaminated  </w:t>
            </w:r>
          </w:p>
        </w:tc>
      </w:tr>
      <w:tr w:rsidR="00493E00" w:rsidRPr="00CB1234" w14:paraId="1508F0AB" w14:textId="77777777" w:rsidTr="009B5AA8">
        <w:trPr>
          <w:trHeight w:val="73"/>
          <w:jc w:val="center"/>
        </w:trPr>
        <w:tc>
          <w:tcPr>
            <w:tcW w:w="1418" w:type="dxa"/>
          </w:tcPr>
          <w:p w14:paraId="397A83DE"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 &lt; </w:t>
            </w:r>
            <w:proofErr w:type="spellStart"/>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proofErr w:type="spellEnd"/>
            <w:r w:rsidRPr="00CB1234">
              <w:rPr>
                <w:rFonts w:ascii="Times New Roman" w:hAnsi="Times New Roman" w:cs="Times New Roman"/>
                <w:sz w:val="20"/>
                <w:szCs w:val="20"/>
              </w:rPr>
              <w:t xml:space="preserve"> ≤ 4</w:t>
            </w:r>
          </w:p>
        </w:tc>
        <w:tc>
          <w:tcPr>
            <w:tcW w:w="992" w:type="dxa"/>
          </w:tcPr>
          <w:p w14:paraId="2C21B617"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4</w:t>
            </w:r>
          </w:p>
        </w:tc>
        <w:tc>
          <w:tcPr>
            <w:tcW w:w="241" w:type="dxa"/>
          </w:tcPr>
          <w:p w14:paraId="24534D0D" w14:textId="77777777" w:rsidR="00493E00" w:rsidRPr="00CB1234" w:rsidRDefault="00493E00" w:rsidP="00300BC1">
            <w:pPr>
              <w:contextualSpacing/>
              <w:jc w:val="both"/>
              <w:rPr>
                <w:rFonts w:ascii="Times New Roman" w:hAnsi="Times New Roman" w:cs="Times New Roman"/>
                <w:sz w:val="20"/>
                <w:szCs w:val="20"/>
              </w:rPr>
            </w:pPr>
          </w:p>
        </w:tc>
        <w:tc>
          <w:tcPr>
            <w:tcW w:w="3906" w:type="dxa"/>
          </w:tcPr>
          <w:p w14:paraId="2ABFA425"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Heavily Contaminated</w:t>
            </w:r>
          </w:p>
        </w:tc>
      </w:tr>
      <w:tr w:rsidR="00493E00" w:rsidRPr="00CB1234" w14:paraId="1EBB8E6C" w14:textId="77777777" w:rsidTr="009B5AA8">
        <w:trPr>
          <w:trHeight w:val="73"/>
          <w:jc w:val="center"/>
        </w:trPr>
        <w:tc>
          <w:tcPr>
            <w:tcW w:w="1418" w:type="dxa"/>
          </w:tcPr>
          <w:p w14:paraId="13057FB4"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4 &lt; </w:t>
            </w:r>
            <w:proofErr w:type="spellStart"/>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proofErr w:type="spellEnd"/>
            <w:r w:rsidRPr="00F11F37">
              <w:rPr>
                <w:rFonts w:ascii="Times New Roman" w:hAnsi="Times New Roman" w:cs="Times New Roman"/>
                <w:i/>
                <w:iCs/>
                <w:sz w:val="20"/>
                <w:szCs w:val="20"/>
              </w:rPr>
              <w:t xml:space="preserve"> </w:t>
            </w:r>
            <w:r w:rsidRPr="00CB1234">
              <w:rPr>
                <w:rFonts w:ascii="Times New Roman" w:hAnsi="Times New Roman" w:cs="Times New Roman"/>
                <w:sz w:val="20"/>
                <w:szCs w:val="20"/>
              </w:rPr>
              <w:t>≤ 5</w:t>
            </w:r>
          </w:p>
        </w:tc>
        <w:tc>
          <w:tcPr>
            <w:tcW w:w="992" w:type="dxa"/>
          </w:tcPr>
          <w:p w14:paraId="5500DCFA"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5</w:t>
            </w:r>
          </w:p>
        </w:tc>
        <w:tc>
          <w:tcPr>
            <w:tcW w:w="241" w:type="dxa"/>
          </w:tcPr>
          <w:p w14:paraId="1D2A52B1" w14:textId="77777777" w:rsidR="00493E00" w:rsidRPr="00CB1234" w:rsidRDefault="00493E00" w:rsidP="00300BC1">
            <w:pPr>
              <w:contextualSpacing/>
              <w:jc w:val="both"/>
              <w:rPr>
                <w:rFonts w:ascii="Times New Roman" w:hAnsi="Times New Roman" w:cs="Times New Roman"/>
                <w:sz w:val="20"/>
                <w:szCs w:val="20"/>
              </w:rPr>
            </w:pPr>
          </w:p>
        </w:tc>
        <w:tc>
          <w:tcPr>
            <w:tcW w:w="3906" w:type="dxa"/>
          </w:tcPr>
          <w:p w14:paraId="7BB30B0B"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Heavily to Extremely Contaminated</w:t>
            </w:r>
          </w:p>
        </w:tc>
      </w:tr>
      <w:tr w:rsidR="00493E00" w:rsidRPr="00CB1234" w14:paraId="6740BD07" w14:textId="77777777" w:rsidTr="009B5AA8">
        <w:trPr>
          <w:trHeight w:val="88"/>
          <w:jc w:val="center"/>
        </w:trPr>
        <w:tc>
          <w:tcPr>
            <w:tcW w:w="1418" w:type="dxa"/>
          </w:tcPr>
          <w:p w14:paraId="1C538E97" w14:textId="77777777" w:rsidR="00493E00" w:rsidRPr="00CB1234" w:rsidRDefault="00493E00" w:rsidP="00300BC1">
            <w:pPr>
              <w:contextualSpacing/>
              <w:jc w:val="both"/>
              <w:rPr>
                <w:rFonts w:ascii="Times New Roman" w:hAnsi="Times New Roman" w:cs="Times New Roman"/>
                <w:sz w:val="20"/>
                <w:szCs w:val="20"/>
              </w:rPr>
            </w:pPr>
            <w:proofErr w:type="spellStart"/>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proofErr w:type="spellEnd"/>
            <w:r w:rsidRPr="00CB1234">
              <w:rPr>
                <w:rFonts w:ascii="Times New Roman" w:hAnsi="Times New Roman" w:cs="Times New Roman"/>
                <w:sz w:val="20"/>
                <w:szCs w:val="20"/>
              </w:rPr>
              <w:t xml:space="preserve"> &gt; 5</w:t>
            </w:r>
          </w:p>
        </w:tc>
        <w:tc>
          <w:tcPr>
            <w:tcW w:w="992" w:type="dxa"/>
          </w:tcPr>
          <w:p w14:paraId="4C920A07"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6</w:t>
            </w:r>
          </w:p>
        </w:tc>
        <w:tc>
          <w:tcPr>
            <w:tcW w:w="241" w:type="dxa"/>
          </w:tcPr>
          <w:p w14:paraId="199779D9" w14:textId="77777777" w:rsidR="00493E00" w:rsidRPr="00CB1234" w:rsidRDefault="00493E00" w:rsidP="00300BC1">
            <w:pPr>
              <w:contextualSpacing/>
              <w:jc w:val="both"/>
              <w:rPr>
                <w:rFonts w:ascii="Times New Roman" w:hAnsi="Times New Roman" w:cs="Times New Roman"/>
                <w:sz w:val="20"/>
                <w:szCs w:val="20"/>
              </w:rPr>
            </w:pPr>
          </w:p>
        </w:tc>
        <w:tc>
          <w:tcPr>
            <w:tcW w:w="3906" w:type="dxa"/>
          </w:tcPr>
          <w:p w14:paraId="632A425C"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Extremely Contaminated</w:t>
            </w:r>
          </w:p>
        </w:tc>
      </w:tr>
    </w:tbl>
    <w:p w14:paraId="39A0AE2E" w14:textId="77777777" w:rsidR="00CB1234" w:rsidRDefault="00CB1234" w:rsidP="0078175C">
      <w:pPr>
        <w:spacing w:after="0" w:line="276" w:lineRule="auto"/>
        <w:contextualSpacing/>
        <w:jc w:val="both"/>
        <w:rPr>
          <w:rFonts w:ascii="Times New Roman" w:hAnsi="Times New Roman" w:cs="Times New Roman"/>
          <w:sz w:val="20"/>
          <w:szCs w:val="20"/>
        </w:rPr>
      </w:pPr>
      <w:bookmarkStart w:id="7" w:name="2.4_Soil_heavy_metals_(Co,_Cr,_Cu,_Fe,_M"/>
      <w:bookmarkEnd w:id="7"/>
    </w:p>
    <w:p w14:paraId="6446DF1E" w14:textId="77777777" w:rsidR="00CB1234" w:rsidRPr="00CB1234" w:rsidRDefault="006B2AA4" w:rsidP="00A9201A">
      <w:pPr>
        <w:spacing w:after="0" w:line="240" w:lineRule="auto"/>
        <w:contextualSpacing/>
        <w:jc w:val="both"/>
        <w:rPr>
          <w:rFonts w:ascii="Times New Roman" w:hAnsi="Times New Roman" w:cs="Times New Roman"/>
          <w:b/>
          <w:bCs/>
          <w:sz w:val="20"/>
          <w:szCs w:val="20"/>
        </w:rPr>
      </w:pPr>
      <w:bookmarkStart w:id="8" w:name="_Hlk154483128"/>
      <w:r>
        <w:rPr>
          <w:rFonts w:ascii="Times New Roman" w:hAnsi="Times New Roman" w:cs="Times New Roman"/>
          <w:b/>
          <w:bCs/>
          <w:sz w:val="20"/>
          <w:szCs w:val="20"/>
        </w:rPr>
        <w:t>2</w:t>
      </w:r>
      <w:r w:rsidR="00A9201A" w:rsidRPr="00293B8C">
        <w:rPr>
          <w:rFonts w:ascii="Times New Roman" w:hAnsi="Times New Roman" w:cs="Times New Roman"/>
          <w:b/>
          <w:bCs/>
          <w:sz w:val="20"/>
          <w:szCs w:val="20"/>
        </w:rPr>
        <w:t>.</w:t>
      </w:r>
      <w:r>
        <w:rPr>
          <w:rFonts w:ascii="Times New Roman" w:hAnsi="Times New Roman" w:cs="Times New Roman"/>
          <w:b/>
          <w:bCs/>
          <w:sz w:val="20"/>
          <w:szCs w:val="20"/>
        </w:rPr>
        <w:t>2</w:t>
      </w:r>
      <w:r w:rsidR="00A9201A" w:rsidRPr="00293B8C">
        <w:rPr>
          <w:rFonts w:ascii="Times New Roman" w:hAnsi="Times New Roman" w:cs="Times New Roman"/>
          <w:b/>
          <w:bCs/>
          <w:sz w:val="20"/>
          <w:szCs w:val="20"/>
        </w:rPr>
        <w:t>.</w:t>
      </w:r>
      <w:r>
        <w:rPr>
          <w:rFonts w:ascii="Times New Roman" w:hAnsi="Times New Roman" w:cs="Times New Roman"/>
          <w:b/>
          <w:bCs/>
          <w:sz w:val="20"/>
          <w:szCs w:val="20"/>
        </w:rPr>
        <w:t>2</w:t>
      </w:r>
      <w:r w:rsidR="00A9201A" w:rsidRPr="00293B8C">
        <w:rPr>
          <w:rFonts w:ascii="Times New Roman" w:hAnsi="Times New Roman" w:cs="Times New Roman"/>
          <w:b/>
          <w:bCs/>
          <w:sz w:val="20"/>
          <w:szCs w:val="20"/>
        </w:rPr>
        <w:t xml:space="preserve"> </w:t>
      </w:r>
      <w:r w:rsidR="00CB1234" w:rsidRPr="00CB1234">
        <w:rPr>
          <w:rFonts w:ascii="Times New Roman" w:hAnsi="Times New Roman" w:cs="Times New Roman"/>
          <w:b/>
          <w:bCs/>
          <w:sz w:val="20"/>
          <w:szCs w:val="20"/>
        </w:rPr>
        <w:t>Contamination Factor (</w:t>
      </w:r>
      <w:r w:rsidR="00CB1234" w:rsidRPr="00F11F37">
        <w:rPr>
          <w:rFonts w:ascii="Times New Roman" w:hAnsi="Times New Roman" w:cs="Times New Roman"/>
          <w:b/>
          <w:bCs/>
          <w:i/>
          <w:iCs/>
          <w:sz w:val="20"/>
          <w:szCs w:val="20"/>
        </w:rPr>
        <w:t>CF</w:t>
      </w:r>
      <w:r w:rsidR="00CB1234" w:rsidRPr="00CB1234">
        <w:rPr>
          <w:rFonts w:ascii="Times New Roman" w:hAnsi="Times New Roman" w:cs="Times New Roman"/>
          <w:b/>
          <w:bCs/>
          <w:sz w:val="20"/>
          <w:szCs w:val="20"/>
        </w:rPr>
        <w:t>)</w:t>
      </w:r>
    </w:p>
    <w:bookmarkEnd w:id="8"/>
    <w:p w14:paraId="0DEA7BE3" w14:textId="77777777" w:rsidR="00CB1234" w:rsidRDefault="001526F4" w:rsidP="00BE0D05">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The </w:t>
      </w:r>
      <w:r w:rsidR="002207BF" w:rsidRPr="002207BF">
        <w:rPr>
          <w:rFonts w:ascii="Times New Roman" w:hAnsi="Times New Roman" w:cs="Times New Roman"/>
          <w:sz w:val="20"/>
          <w:szCs w:val="20"/>
        </w:rPr>
        <w:t>Contamination Factor (</w:t>
      </w:r>
      <w:r w:rsidR="002207BF" w:rsidRPr="00F11F37">
        <w:rPr>
          <w:rFonts w:ascii="Times New Roman" w:hAnsi="Times New Roman" w:cs="Times New Roman"/>
          <w:i/>
          <w:iCs/>
          <w:sz w:val="20"/>
          <w:szCs w:val="20"/>
        </w:rPr>
        <w:t>CF</w:t>
      </w:r>
      <w:r w:rsidR="002207BF" w:rsidRPr="002207BF">
        <w:rPr>
          <w:rFonts w:ascii="Times New Roman" w:hAnsi="Times New Roman" w:cs="Times New Roman"/>
          <w:sz w:val="20"/>
          <w:szCs w:val="20"/>
        </w:rPr>
        <w:t xml:space="preserve">) was </w:t>
      </w:r>
      <w:r>
        <w:rPr>
          <w:rFonts w:ascii="Times New Roman" w:hAnsi="Times New Roman" w:cs="Times New Roman"/>
          <w:sz w:val="20"/>
          <w:szCs w:val="20"/>
        </w:rPr>
        <w:t>derived</w:t>
      </w:r>
      <w:r w:rsidR="002207BF" w:rsidRPr="002207BF">
        <w:rPr>
          <w:rFonts w:ascii="Times New Roman" w:hAnsi="Times New Roman" w:cs="Times New Roman"/>
          <w:sz w:val="20"/>
          <w:szCs w:val="20"/>
        </w:rPr>
        <w:t xml:space="preserve"> </w:t>
      </w:r>
      <w:r>
        <w:rPr>
          <w:rFonts w:ascii="Times New Roman" w:hAnsi="Times New Roman" w:cs="Times New Roman"/>
          <w:sz w:val="20"/>
          <w:szCs w:val="20"/>
        </w:rPr>
        <w:t>from</w:t>
      </w:r>
      <w:r w:rsidR="002207BF" w:rsidRPr="002207BF">
        <w:rPr>
          <w:rFonts w:ascii="Times New Roman" w:hAnsi="Times New Roman" w:cs="Times New Roman"/>
          <w:sz w:val="20"/>
          <w:szCs w:val="20"/>
        </w:rPr>
        <w:t xml:space="preserve"> </w:t>
      </w:r>
      <w:r w:rsidR="002207BF" w:rsidRPr="002207BF">
        <w:rPr>
          <w:rFonts w:ascii="Times New Roman" w:hAnsi="Times New Roman" w:cs="Times New Roman"/>
          <w:color w:val="2660F0"/>
          <w:sz w:val="20"/>
          <w:szCs w:val="20"/>
        </w:rPr>
        <w:t xml:space="preserve">Equation </w:t>
      </w:r>
      <w:r w:rsidR="001C4FE9">
        <w:rPr>
          <w:rFonts w:ascii="Times New Roman" w:hAnsi="Times New Roman" w:cs="Times New Roman"/>
          <w:color w:val="2660F0"/>
          <w:sz w:val="20"/>
          <w:szCs w:val="20"/>
        </w:rPr>
        <w:t>2</w:t>
      </w:r>
      <w:r w:rsidR="002207BF" w:rsidRPr="002207BF">
        <w:rPr>
          <w:rFonts w:ascii="Times New Roman" w:hAnsi="Times New Roman" w:cs="Times New Roman"/>
          <w:sz w:val="20"/>
          <w:szCs w:val="20"/>
        </w:rPr>
        <w:t>,</w:t>
      </w:r>
      <w:r>
        <w:rPr>
          <w:rFonts w:ascii="Times New Roman" w:hAnsi="Times New Roman" w:cs="Times New Roman"/>
          <w:sz w:val="20"/>
          <w:szCs w:val="20"/>
        </w:rPr>
        <w:t xml:space="preserve"> </w:t>
      </w:r>
      <w:r w:rsidR="002207BF" w:rsidRPr="002207BF">
        <w:rPr>
          <w:rFonts w:ascii="Times New Roman" w:hAnsi="Times New Roman" w:cs="Times New Roman"/>
          <w:sz w:val="20"/>
          <w:szCs w:val="20"/>
        </w:rPr>
        <w:t xml:space="preserve">outlined by </w:t>
      </w:r>
      <w:r w:rsidR="002207BF" w:rsidRPr="002207BF">
        <w:rPr>
          <w:rFonts w:ascii="Times New Roman" w:hAnsi="Times New Roman" w:cs="Times New Roman"/>
          <w:color w:val="2660F0"/>
          <w:sz w:val="20"/>
          <w:szCs w:val="20"/>
        </w:rPr>
        <w:t>Hakanson</w:t>
      </w:r>
      <w:r w:rsidR="002207BF" w:rsidRPr="002207BF">
        <w:rPr>
          <w:rFonts w:ascii="Times New Roman" w:hAnsi="Times New Roman" w:cs="Times New Roman"/>
          <w:sz w:val="20"/>
          <w:szCs w:val="20"/>
        </w:rPr>
        <w:t xml:space="preserve"> (</w:t>
      </w:r>
      <w:r w:rsidR="002207BF" w:rsidRPr="002207BF">
        <w:rPr>
          <w:rFonts w:ascii="Times New Roman" w:hAnsi="Times New Roman" w:cs="Times New Roman"/>
          <w:color w:val="2660F0"/>
          <w:sz w:val="20"/>
          <w:szCs w:val="20"/>
        </w:rPr>
        <w:t>1980</w:t>
      </w:r>
      <w:r w:rsidR="002207BF" w:rsidRPr="002207BF">
        <w:rPr>
          <w:rFonts w:ascii="Times New Roman" w:hAnsi="Times New Roman" w:cs="Times New Roman"/>
          <w:sz w:val="20"/>
          <w:szCs w:val="20"/>
        </w:rPr>
        <w:t>).</w:t>
      </w:r>
      <w:r w:rsidR="00BE0D05">
        <w:rPr>
          <w:rFonts w:ascii="Times New Roman" w:hAnsi="Times New Roman" w:cs="Times New Roman"/>
          <w:sz w:val="20"/>
          <w:szCs w:val="20"/>
        </w:rPr>
        <w:t xml:space="preserve"> </w:t>
      </w:r>
    </w:p>
    <w:p w14:paraId="779F5BD9" w14:textId="77777777" w:rsidR="00BE0D05" w:rsidRPr="00CB1234" w:rsidRDefault="00BE0D05" w:rsidP="00300BC1">
      <w:pPr>
        <w:spacing w:after="0" w:line="240" w:lineRule="auto"/>
        <w:contextualSpacing/>
        <w:rPr>
          <w:rFonts w:ascii="Times New Roman" w:hAnsi="Times New Roman" w:cs="Times New Roman"/>
          <w:sz w:val="20"/>
          <w:szCs w:val="20"/>
        </w:rPr>
      </w:pPr>
    </w:p>
    <w:p w14:paraId="3793905D" w14:textId="77777777" w:rsidR="00CB1234" w:rsidRPr="00CB1234" w:rsidRDefault="00CB1234" w:rsidP="00C85B56">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Contamination Factor=</m:t>
        </m:r>
        <m:f>
          <m:fPr>
            <m:ctrlPr>
              <w:rPr>
                <w:rFonts w:ascii="Cambria Math" w:hAnsi="Cambria Math" w:cs="Times New Roman"/>
                <w:i/>
                <w:sz w:val="20"/>
                <w:szCs w:val="20"/>
              </w:rPr>
            </m:ctrlPr>
          </m:fPr>
          <m:num>
            <m:r>
              <w:rPr>
                <w:rFonts w:ascii="Cambria Math" w:hAnsi="Cambria Math" w:cs="Times New Roman"/>
                <w:sz w:val="20"/>
                <w:szCs w:val="20"/>
              </w:rPr>
              <m:t>Concentration of heavy metal in sediment (</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n</m:t>
                </m:r>
              </m:sub>
            </m:sSub>
            <m:r>
              <w:rPr>
                <w:rFonts w:ascii="Cambria Math" w:hAnsi="Cambria Math" w:cs="Times New Roman"/>
                <w:sz w:val="20"/>
                <w:szCs w:val="20"/>
              </w:rPr>
              <m:t>)</m:t>
            </m:r>
          </m:num>
          <m:den>
            <m:r>
              <w:rPr>
                <w:rFonts w:ascii="Cambria Math" w:hAnsi="Cambria Math" w:cs="Times New Roman"/>
                <w:sz w:val="20"/>
                <w:szCs w:val="20"/>
              </w:rPr>
              <m:t>Background value of heavy metal (</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n</m:t>
                </m:r>
              </m:sub>
            </m:sSub>
            <m:r>
              <w:rPr>
                <w:rFonts w:ascii="Cambria Math" w:hAnsi="Cambria Math" w:cs="Times New Roman"/>
                <w:sz w:val="20"/>
                <w:szCs w:val="20"/>
              </w:rPr>
              <m:t>)</m:t>
            </m:r>
          </m:den>
        </m:f>
      </m:oMath>
      <w:r w:rsidRPr="00CB1234">
        <w:rPr>
          <w:rFonts w:ascii="Times New Roman" w:hAnsi="Times New Roman" w:cs="Times New Roman"/>
          <w:sz w:val="20"/>
          <w:szCs w:val="20"/>
        </w:rPr>
        <w:t xml:space="preserve"> ------------------------------(</w:t>
      </w:r>
      <w:r w:rsidR="001C4FE9">
        <w:rPr>
          <w:rFonts w:ascii="Times New Roman" w:hAnsi="Times New Roman" w:cs="Times New Roman"/>
          <w:sz w:val="20"/>
          <w:szCs w:val="20"/>
        </w:rPr>
        <w:t>2</w:t>
      </w:r>
      <w:r w:rsidRPr="00CB1234">
        <w:rPr>
          <w:rFonts w:ascii="Times New Roman" w:hAnsi="Times New Roman" w:cs="Times New Roman"/>
          <w:sz w:val="20"/>
          <w:szCs w:val="20"/>
        </w:rPr>
        <w:t>)</w:t>
      </w:r>
    </w:p>
    <w:p w14:paraId="3316156E" w14:textId="77777777" w:rsidR="00CB1234" w:rsidRPr="00CB1234" w:rsidRDefault="00CB1234" w:rsidP="00300BC1">
      <w:pPr>
        <w:spacing w:after="0" w:line="240" w:lineRule="auto"/>
        <w:contextualSpacing/>
        <w:jc w:val="both"/>
        <w:rPr>
          <w:rFonts w:ascii="Times New Roman" w:hAnsi="Times New Roman" w:cs="Times New Roman"/>
          <w:sz w:val="20"/>
          <w:szCs w:val="20"/>
        </w:rPr>
      </w:pPr>
    </w:p>
    <w:p w14:paraId="7140E809" w14:textId="77777777" w:rsidR="00CB1234" w:rsidRDefault="004859FC" w:rsidP="00677C47">
      <w:pPr>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sz w:val="20"/>
          <w:szCs w:val="20"/>
        </w:rPr>
        <w:t xml:space="preserve">Where: </w:t>
      </w:r>
      <w:r>
        <w:rPr>
          <w:rFonts w:ascii="Times New Roman" w:hAnsi="Times New Roman" w:cs="Times New Roman"/>
          <w:i/>
          <w:iCs/>
          <w:sz w:val="20"/>
          <w:szCs w:val="20"/>
        </w:rPr>
        <w:t>C</w:t>
      </w:r>
      <w:r>
        <w:rPr>
          <w:rFonts w:ascii="Times New Roman" w:hAnsi="Times New Roman" w:cs="Times New Roman"/>
          <w:i/>
          <w:iCs/>
          <w:sz w:val="20"/>
          <w:szCs w:val="20"/>
          <w:vertAlign w:val="subscript"/>
        </w:rPr>
        <w:t>n</w:t>
      </w:r>
      <w:r>
        <w:rPr>
          <w:rFonts w:ascii="Times New Roman" w:hAnsi="Times New Roman" w:cs="Times New Roman"/>
          <w:sz w:val="20"/>
          <w:szCs w:val="20"/>
        </w:rPr>
        <w:t xml:space="preserve"> </w:t>
      </w:r>
      <w:r>
        <w:rPr>
          <w:rFonts w:ascii="Times New Roman" w:hAnsi="Times New Roman" w:cs="Times New Roman"/>
          <w:sz w:val="20"/>
          <w:szCs w:val="20"/>
          <w:highlight w:val="yellow"/>
        </w:rPr>
        <w:t xml:space="preserve">represents the metal level </w:t>
      </w:r>
      <w:r>
        <w:rPr>
          <w:rFonts w:ascii="Times New Roman" w:hAnsi="Times New Roman" w:cs="Times New Roman"/>
          <w:sz w:val="20"/>
          <w:szCs w:val="20"/>
        </w:rPr>
        <w:t>i</w:t>
      </w:r>
      <w:r>
        <w:rPr>
          <w:rFonts w:ascii="Times New Roman" w:hAnsi="Times New Roman" w:cs="Times New Roman"/>
          <w:sz w:val="20"/>
          <w:szCs w:val="20"/>
          <w:highlight w:val="yellow"/>
        </w:rPr>
        <w:t>n</w:t>
      </w:r>
      <w:r>
        <w:rPr>
          <w:rFonts w:ascii="Times New Roman" w:hAnsi="Times New Roman" w:cs="Times New Roman"/>
          <w:sz w:val="20"/>
          <w:szCs w:val="20"/>
        </w:rPr>
        <w:t xml:space="preserve"> the study area, w</w:t>
      </w:r>
      <w:r>
        <w:rPr>
          <w:rFonts w:ascii="Times New Roman" w:hAnsi="Times New Roman" w:cs="Times New Roman"/>
          <w:sz w:val="20"/>
          <w:szCs w:val="20"/>
          <w:highlight w:val="yellow"/>
        </w:rPr>
        <w:t>h</w:t>
      </w:r>
      <w:r>
        <w:rPr>
          <w:rFonts w:ascii="Times New Roman" w:hAnsi="Times New Roman" w:cs="Times New Roman"/>
          <w:sz w:val="20"/>
          <w:szCs w:val="20"/>
        </w:rPr>
        <w:t>i</w:t>
      </w:r>
      <w:r>
        <w:rPr>
          <w:rFonts w:ascii="Times New Roman" w:hAnsi="Times New Roman" w:cs="Times New Roman"/>
          <w:sz w:val="20"/>
          <w:szCs w:val="20"/>
          <w:highlight w:val="yellow"/>
        </w:rPr>
        <w:t>le</w:t>
      </w:r>
      <w:r>
        <w:rPr>
          <w:rFonts w:ascii="Times New Roman" w:hAnsi="Times New Roman" w:cs="Times New Roman"/>
          <w:sz w:val="20"/>
          <w:szCs w:val="20"/>
        </w:rPr>
        <w:t xml:space="preserve"> Bn represent</w:t>
      </w:r>
      <w:r>
        <w:rPr>
          <w:rFonts w:ascii="Times New Roman" w:hAnsi="Times New Roman" w:cs="Times New Roman"/>
          <w:sz w:val="20"/>
          <w:szCs w:val="20"/>
          <w:highlight w:val="yellow"/>
        </w:rPr>
        <w:t>s</w:t>
      </w:r>
      <w:r>
        <w:rPr>
          <w:rFonts w:ascii="Times New Roman" w:hAnsi="Times New Roman" w:cs="Times New Roman"/>
          <w:sz w:val="20"/>
          <w:szCs w:val="20"/>
        </w:rPr>
        <w:t xml:space="preserve"> the ambient or background </w:t>
      </w:r>
      <w:r>
        <w:rPr>
          <w:rFonts w:ascii="Times New Roman" w:hAnsi="Times New Roman" w:cs="Times New Roman"/>
          <w:sz w:val="20"/>
          <w:szCs w:val="20"/>
          <w:highlight w:val="yellow"/>
        </w:rPr>
        <w:t xml:space="preserve">metal </w:t>
      </w:r>
      <w:r>
        <w:rPr>
          <w:rFonts w:ascii="Times New Roman" w:hAnsi="Times New Roman" w:cs="Times New Roman"/>
          <w:sz w:val="20"/>
          <w:szCs w:val="20"/>
        </w:rPr>
        <w:t xml:space="preserve">level. The adopted reference for this calculation corresponds to the target or standard values presented in </w:t>
      </w:r>
      <w:r>
        <w:rPr>
          <w:rFonts w:ascii="Times New Roman" w:hAnsi="Times New Roman" w:cs="Times New Roman"/>
          <w:color w:val="2660F0"/>
          <w:sz w:val="20"/>
          <w:szCs w:val="20"/>
        </w:rPr>
        <w:t>Table 3</w:t>
      </w:r>
      <w:r>
        <w:rPr>
          <w:rFonts w:ascii="Times New Roman" w:hAnsi="Times New Roman" w:cs="Times New Roman"/>
          <w:sz w:val="20"/>
          <w:szCs w:val="20"/>
        </w:rPr>
        <w:t xml:space="preserve"> (</w:t>
      </w:r>
      <w:r>
        <w:rPr>
          <w:rFonts w:ascii="Times New Roman" w:hAnsi="Times New Roman" w:cs="Times New Roman"/>
          <w:color w:val="2660F0"/>
          <w:sz w:val="20"/>
          <w:szCs w:val="20"/>
        </w:rPr>
        <w:t>Hakanson, 1980</w:t>
      </w:r>
      <w:r>
        <w:rPr>
          <w:rFonts w:ascii="Times New Roman" w:hAnsi="Times New Roman" w:cs="Times New Roman"/>
          <w:sz w:val="20"/>
          <w:szCs w:val="20"/>
        </w:rPr>
        <w:t>).</w:t>
      </w:r>
    </w:p>
    <w:p w14:paraId="6212A19F" w14:textId="77777777" w:rsidR="0078175C" w:rsidRDefault="0078175C" w:rsidP="0078175C">
      <w:pPr>
        <w:spacing w:after="0" w:line="240" w:lineRule="auto"/>
        <w:ind w:firstLine="426"/>
        <w:contextualSpacing/>
        <w:jc w:val="both"/>
        <w:rPr>
          <w:rFonts w:ascii="Times New Roman" w:hAnsi="Times New Roman" w:cs="Times New Roman"/>
          <w:sz w:val="20"/>
          <w:szCs w:val="20"/>
        </w:rPr>
      </w:pPr>
    </w:p>
    <w:p w14:paraId="7FCF3071" w14:textId="77777777" w:rsidR="00CB1234" w:rsidRPr="00CB1234" w:rsidRDefault="00CB1234" w:rsidP="00E039F6">
      <w:pPr>
        <w:spacing w:after="0" w:line="276" w:lineRule="auto"/>
        <w:contextualSpacing/>
        <w:jc w:val="center"/>
        <w:rPr>
          <w:rFonts w:ascii="Times New Roman" w:hAnsi="Times New Roman" w:cs="Times New Roman"/>
          <w:sz w:val="20"/>
          <w:szCs w:val="20"/>
        </w:rPr>
      </w:pPr>
      <w:bookmarkStart w:id="9" w:name="_Hlk160034212"/>
      <w:r w:rsidRPr="00CB1234">
        <w:rPr>
          <w:rFonts w:ascii="Times New Roman" w:hAnsi="Times New Roman" w:cs="Times New Roman"/>
          <w:b/>
          <w:bCs/>
          <w:sz w:val="20"/>
          <w:szCs w:val="20"/>
        </w:rPr>
        <w:t xml:space="preserve">Table </w:t>
      </w:r>
      <w:r w:rsidR="00474440">
        <w:rPr>
          <w:rFonts w:ascii="Times New Roman" w:hAnsi="Times New Roman" w:cs="Times New Roman"/>
          <w:b/>
          <w:bCs/>
          <w:sz w:val="20"/>
          <w:szCs w:val="20"/>
        </w:rPr>
        <w:t>3</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w:t>
      </w:r>
      <w:bookmarkEnd w:id="9"/>
      <w:r w:rsidRPr="00CB1234">
        <w:rPr>
          <w:rFonts w:ascii="Times New Roman" w:hAnsi="Times New Roman" w:cs="Times New Roman"/>
          <w:sz w:val="20"/>
          <w:szCs w:val="20"/>
        </w:rPr>
        <w:t xml:space="preserve">Description </w:t>
      </w:r>
      <w:r w:rsidR="00E706DD">
        <w:rPr>
          <w:rFonts w:ascii="Times New Roman" w:hAnsi="Times New Roman" w:cs="Times New Roman"/>
          <w:sz w:val="20"/>
          <w:szCs w:val="20"/>
        </w:rPr>
        <w:t xml:space="preserve">and </w:t>
      </w:r>
      <w:r w:rsidR="00AD55A9">
        <w:rPr>
          <w:rFonts w:ascii="Times New Roman" w:hAnsi="Times New Roman" w:cs="Times New Roman"/>
          <w:sz w:val="20"/>
          <w:szCs w:val="20"/>
        </w:rPr>
        <w:t>i</w:t>
      </w:r>
      <w:r w:rsidR="00E706DD">
        <w:rPr>
          <w:rFonts w:ascii="Times New Roman" w:hAnsi="Times New Roman" w:cs="Times New Roman"/>
          <w:sz w:val="20"/>
          <w:szCs w:val="20"/>
        </w:rPr>
        <w:t xml:space="preserve">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c</w:t>
      </w:r>
      <w:r w:rsidRPr="00CB1234">
        <w:rPr>
          <w:rFonts w:ascii="Times New Roman" w:hAnsi="Times New Roman" w:cs="Times New Roman"/>
          <w:sz w:val="20"/>
          <w:szCs w:val="20"/>
        </w:rPr>
        <w:t xml:space="preserve">ontamination </w:t>
      </w:r>
      <w:r w:rsidR="006E0FE0">
        <w:rPr>
          <w:rFonts w:ascii="Times New Roman" w:hAnsi="Times New Roman" w:cs="Times New Roman"/>
          <w:sz w:val="20"/>
          <w:szCs w:val="20"/>
        </w:rPr>
        <w:t>f</w:t>
      </w:r>
      <w:r w:rsidRPr="00CB1234">
        <w:rPr>
          <w:rFonts w:ascii="Times New Roman" w:hAnsi="Times New Roman" w:cs="Times New Roman"/>
          <w:sz w:val="20"/>
          <w:szCs w:val="20"/>
        </w:rPr>
        <w:t>actor (</w:t>
      </w:r>
      <w:r w:rsidRPr="00F11F37">
        <w:rPr>
          <w:rFonts w:ascii="Times New Roman" w:hAnsi="Times New Roman" w:cs="Times New Roman"/>
          <w:i/>
          <w:iCs/>
          <w:sz w:val="20"/>
          <w:szCs w:val="20"/>
        </w:rPr>
        <w:t>CF</w:t>
      </w:r>
      <w:r w:rsidRPr="00CB1234">
        <w:rPr>
          <w:rFonts w:ascii="Times New Roman" w:hAnsi="Times New Roman" w:cs="Times New Roman"/>
          <w:sz w:val="20"/>
          <w:szCs w:val="20"/>
        </w:rPr>
        <w:t xml:space="preserve">) </w:t>
      </w:r>
      <w:r w:rsidR="00C96B3A">
        <w:rPr>
          <w:rFonts w:ascii="Times New Roman" w:hAnsi="Times New Roman" w:cs="Times New Roman"/>
          <w:sz w:val="20"/>
          <w:szCs w:val="20"/>
        </w:rPr>
        <w:t>(</w:t>
      </w:r>
      <w:r w:rsidR="00C96B3A" w:rsidRPr="00D530FA">
        <w:rPr>
          <w:rFonts w:ascii="Times New Roman" w:hAnsi="Times New Roman" w:cs="Times New Roman"/>
          <w:color w:val="2660F0"/>
          <w:sz w:val="20"/>
          <w:szCs w:val="20"/>
        </w:rPr>
        <w:t>Hakanson, 1980</w:t>
      </w:r>
      <w:r w:rsidR="00C96B3A">
        <w:rPr>
          <w:rFonts w:ascii="Times New Roman" w:hAnsi="Times New Roman" w:cs="Times New Roman"/>
          <w:sz w:val="20"/>
          <w:szCs w:val="20"/>
        </w:rPr>
        <w:t>)</w:t>
      </w:r>
      <w:r w:rsidR="008A65CF">
        <w:rPr>
          <w:rFonts w:ascii="Times New Roman" w:hAnsi="Times New Roman" w:cs="Times New Roman"/>
          <w:sz w:val="20"/>
          <w:szCs w:val="20"/>
        </w:rPr>
        <w:t xml:space="preserve">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4812"/>
      </w:tblGrid>
      <w:tr w:rsidR="00493E00" w:rsidRPr="00CB1234" w14:paraId="04AFD06D" w14:textId="77777777" w:rsidTr="00493E00">
        <w:trPr>
          <w:trHeight w:val="222"/>
          <w:jc w:val="center"/>
        </w:trPr>
        <w:tc>
          <w:tcPr>
            <w:tcW w:w="1406" w:type="dxa"/>
            <w:tcBorders>
              <w:top w:val="single" w:sz="4" w:space="0" w:color="auto"/>
              <w:bottom w:val="single" w:sz="4" w:space="0" w:color="auto"/>
            </w:tcBorders>
          </w:tcPr>
          <w:p w14:paraId="4A825D88"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Value </w:t>
            </w:r>
          </w:p>
        </w:tc>
        <w:tc>
          <w:tcPr>
            <w:tcW w:w="4812" w:type="dxa"/>
            <w:tcBorders>
              <w:top w:val="single" w:sz="4" w:space="0" w:color="auto"/>
              <w:bottom w:val="single" w:sz="4" w:space="0" w:color="auto"/>
            </w:tcBorders>
          </w:tcPr>
          <w:p w14:paraId="064AF543"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Soil Quality </w:t>
            </w:r>
          </w:p>
        </w:tc>
      </w:tr>
      <w:tr w:rsidR="00493E00" w:rsidRPr="00CB1234" w14:paraId="53FFDD55" w14:textId="77777777" w:rsidTr="00493E00">
        <w:trPr>
          <w:trHeight w:val="101"/>
          <w:jc w:val="center"/>
        </w:trPr>
        <w:tc>
          <w:tcPr>
            <w:tcW w:w="1406" w:type="dxa"/>
            <w:tcBorders>
              <w:top w:val="single" w:sz="4" w:space="0" w:color="auto"/>
            </w:tcBorders>
          </w:tcPr>
          <w:p w14:paraId="67DBAB34" w14:textId="77777777" w:rsidR="00493E00" w:rsidRPr="00CB1234" w:rsidRDefault="00493E00" w:rsidP="00300BC1">
            <w:pPr>
              <w:contextualSpacing/>
              <w:jc w:val="both"/>
              <w:rPr>
                <w:rFonts w:ascii="Times New Roman" w:hAnsi="Times New Roman" w:cs="Times New Roman"/>
                <w:sz w:val="20"/>
                <w:szCs w:val="20"/>
              </w:rPr>
            </w:pPr>
            <w:r w:rsidRPr="00F11F37">
              <w:rPr>
                <w:rFonts w:ascii="Times New Roman" w:hAnsi="Times New Roman" w:cs="Times New Roman"/>
                <w:i/>
                <w:iCs/>
                <w:sz w:val="20"/>
                <w:szCs w:val="20"/>
              </w:rPr>
              <w:t>CF</w:t>
            </w:r>
            <w:r w:rsidRPr="00CB1234">
              <w:rPr>
                <w:rFonts w:ascii="Times New Roman" w:hAnsi="Times New Roman" w:cs="Times New Roman"/>
                <w:sz w:val="20"/>
                <w:szCs w:val="20"/>
                <w:vertAlign w:val="subscript"/>
              </w:rPr>
              <w:t xml:space="preserve"> </w:t>
            </w:r>
            <w:r w:rsidRPr="00CB1234">
              <w:rPr>
                <w:rFonts w:ascii="Times New Roman" w:hAnsi="Times New Roman" w:cs="Times New Roman"/>
                <w:sz w:val="20"/>
                <w:szCs w:val="20"/>
              </w:rPr>
              <w:t xml:space="preserve">&lt; 1 </w:t>
            </w:r>
          </w:p>
        </w:tc>
        <w:tc>
          <w:tcPr>
            <w:tcW w:w="4812" w:type="dxa"/>
            <w:tcBorders>
              <w:top w:val="single" w:sz="4" w:space="0" w:color="auto"/>
            </w:tcBorders>
          </w:tcPr>
          <w:p w14:paraId="7143E046"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Low contamination factor indicating low contamination </w:t>
            </w:r>
          </w:p>
        </w:tc>
      </w:tr>
      <w:tr w:rsidR="00493E00" w:rsidRPr="00CB1234" w14:paraId="04EE48D9" w14:textId="77777777" w:rsidTr="00493E00">
        <w:trPr>
          <w:trHeight w:val="213"/>
          <w:jc w:val="center"/>
        </w:trPr>
        <w:tc>
          <w:tcPr>
            <w:tcW w:w="1406" w:type="dxa"/>
          </w:tcPr>
          <w:p w14:paraId="19DAE21E"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 ≤ </w:t>
            </w:r>
            <w:r w:rsidRPr="00F11F37">
              <w:rPr>
                <w:rFonts w:ascii="Times New Roman" w:hAnsi="Times New Roman" w:cs="Times New Roman"/>
                <w:i/>
                <w:iCs/>
                <w:sz w:val="20"/>
                <w:szCs w:val="20"/>
              </w:rPr>
              <w:t>CF</w:t>
            </w:r>
            <w:r w:rsidRPr="00CB1234">
              <w:rPr>
                <w:rFonts w:ascii="Times New Roman" w:hAnsi="Times New Roman" w:cs="Times New Roman"/>
                <w:sz w:val="20"/>
                <w:szCs w:val="20"/>
              </w:rPr>
              <w:t xml:space="preserve"> &lt; 3 </w:t>
            </w:r>
          </w:p>
        </w:tc>
        <w:tc>
          <w:tcPr>
            <w:tcW w:w="4812" w:type="dxa"/>
          </w:tcPr>
          <w:p w14:paraId="7D216360"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Moderate contamination factor </w:t>
            </w:r>
          </w:p>
        </w:tc>
      </w:tr>
      <w:tr w:rsidR="00493E00" w:rsidRPr="00CB1234" w14:paraId="4B66F93F" w14:textId="77777777" w:rsidTr="00493E00">
        <w:trPr>
          <w:trHeight w:val="161"/>
          <w:jc w:val="center"/>
        </w:trPr>
        <w:tc>
          <w:tcPr>
            <w:tcW w:w="1406" w:type="dxa"/>
          </w:tcPr>
          <w:p w14:paraId="446D60C2"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 ≤ </w:t>
            </w:r>
            <w:r w:rsidRPr="00F11F37">
              <w:rPr>
                <w:rFonts w:ascii="Times New Roman" w:hAnsi="Times New Roman" w:cs="Times New Roman"/>
                <w:i/>
                <w:iCs/>
                <w:sz w:val="20"/>
                <w:szCs w:val="20"/>
              </w:rPr>
              <w:t>CF</w:t>
            </w:r>
            <w:r w:rsidRPr="00CB1234">
              <w:rPr>
                <w:rFonts w:ascii="Times New Roman" w:hAnsi="Times New Roman" w:cs="Times New Roman"/>
                <w:sz w:val="20"/>
                <w:szCs w:val="20"/>
              </w:rPr>
              <w:t xml:space="preserve"> &lt; 6 </w:t>
            </w:r>
          </w:p>
        </w:tc>
        <w:tc>
          <w:tcPr>
            <w:tcW w:w="4812" w:type="dxa"/>
          </w:tcPr>
          <w:p w14:paraId="3325C799"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Considerable contamination factor </w:t>
            </w:r>
          </w:p>
        </w:tc>
      </w:tr>
      <w:tr w:rsidR="00493E00" w:rsidRPr="00CB1234" w14:paraId="406FB395" w14:textId="77777777" w:rsidTr="00493E00">
        <w:trPr>
          <w:trHeight w:val="76"/>
          <w:jc w:val="center"/>
        </w:trPr>
        <w:tc>
          <w:tcPr>
            <w:tcW w:w="1406" w:type="dxa"/>
          </w:tcPr>
          <w:p w14:paraId="4874B65C"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6 ≤</w:t>
            </w:r>
            <w:r w:rsidRPr="00F11F37">
              <w:rPr>
                <w:rFonts w:ascii="Times New Roman" w:hAnsi="Times New Roman" w:cs="Times New Roman"/>
                <w:i/>
                <w:iCs/>
                <w:sz w:val="20"/>
                <w:szCs w:val="20"/>
              </w:rPr>
              <w:t xml:space="preserve"> CF</w:t>
            </w:r>
          </w:p>
        </w:tc>
        <w:tc>
          <w:tcPr>
            <w:tcW w:w="4812" w:type="dxa"/>
          </w:tcPr>
          <w:p w14:paraId="4084C468"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Very high contamination factor </w:t>
            </w:r>
          </w:p>
        </w:tc>
      </w:tr>
    </w:tbl>
    <w:p w14:paraId="184920E4" w14:textId="77777777" w:rsidR="0078175C" w:rsidRDefault="0078175C" w:rsidP="00BA3286">
      <w:pPr>
        <w:spacing w:after="0" w:line="240" w:lineRule="auto"/>
        <w:contextualSpacing/>
        <w:jc w:val="both"/>
        <w:rPr>
          <w:rFonts w:ascii="Times New Roman" w:hAnsi="Times New Roman" w:cs="Times New Roman"/>
          <w:b/>
          <w:bCs/>
          <w:sz w:val="20"/>
          <w:szCs w:val="20"/>
        </w:rPr>
      </w:pPr>
      <w:bookmarkStart w:id="10" w:name="_Hlk154483142"/>
      <w:bookmarkStart w:id="11" w:name="_Hlk160032434"/>
    </w:p>
    <w:p w14:paraId="487F826D" w14:textId="77777777" w:rsidR="00CB1234" w:rsidRPr="00CB1234" w:rsidRDefault="006B2AA4" w:rsidP="00BA3286">
      <w:pPr>
        <w:spacing w:after="0" w:line="240" w:lineRule="auto"/>
        <w:contextualSpacing/>
        <w:jc w:val="both"/>
        <w:rPr>
          <w:rFonts w:ascii="Times New Roman" w:hAnsi="Times New Roman" w:cs="Times New Roman"/>
          <w:b/>
          <w:bCs/>
          <w:sz w:val="20"/>
          <w:szCs w:val="20"/>
        </w:rPr>
      </w:pPr>
      <w:r>
        <w:rPr>
          <w:rFonts w:ascii="Times New Roman" w:hAnsi="Times New Roman" w:cs="Times New Roman"/>
          <w:b/>
          <w:bCs/>
          <w:sz w:val="20"/>
          <w:szCs w:val="20"/>
        </w:rPr>
        <w:t>2</w:t>
      </w:r>
      <w:r w:rsidR="00BA3286" w:rsidRPr="00964333">
        <w:rPr>
          <w:rFonts w:ascii="Times New Roman" w:hAnsi="Times New Roman" w:cs="Times New Roman"/>
          <w:b/>
          <w:bCs/>
          <w:sz w:val="20"/>
          <w:szCs w:val="20"/>
        </w:rPr>
        <w:t>.</w:t>
      </w:r>
      <w:r>
        <w:rPr>
          <w:rFonts w:ascii="Times New Roman" w:hAnsi="Times New Roman" w:cs="Times New Roman"/>
          <w:b/>
          <w:bCs/>
          <w:sz w:val="20"/>
          <w:szCs w:val="20"/>
        </w:rPr>
        <w:t>2</w:t>
      </w:r>
      <w:r w:rsidR="00BA3286" w:rsidRPr="00964333">
        <w:rPr>
          <w:rFonts w:ascii="Times New Roman" w:hAnsi="Times New Roman" w:cs="Times New Roman"/>
          <w:b/>
          <w:bCs/>
          <w:sz w:val="20"/>
          <w:szCs w:val="20"/>
        </w:rPr>
        <w:t>.</w:t>
      </w:r>
      <w:r>
        <w:rPr>
          <w:rFonts w:ascii="Times New Roman" w:hAnsi="Times New Roman" w:cs="Times New Roman"/>
          <w:b/>
          <w:bCs/>
          <w:sz w:val="20"/>
          <w:szCs w:val="20"/>
        </w:rPr>
        <w:t>3</w:t>
      </w:r>
      <w:r w:rsidR="00BA3286" w:rsidRPr="00964333">
        <w:rPr>
          <w:rFonts w:ascii="Times New Roman" w:hAnsi="Times New Roman" w:cs="Times New Roman"/>
          <w:b/>
          <w:bCs/>
          <w:sz w:val="20"/>
          <w:szCs w:val="20"/>
        </w:rPr>
        <w:t xml:space="preserve"> </w:t>
      </w:r>
      <w:r w:rsidR="00CB1234" w:rsidRPr="00CB1234">
        <w:rPr>
          <w:rFonts w:ascii="Times New Roman" w:hAnsi="Times New Roman" w:cs="Times New Roman"/>
          <w:b/>
          <w:bCs/>
          <w:sz w:val="20"/>
          <w:szCs w:val="20"/>
        </w:rPr>
        <w:t>Metal Pollution Index (</w:t>
      </w:r>
      <w:r w:rsidR="00CB1234" w:rsidRPr="00F11F37">
        <w:rPr>
          <w:rFonts w:ascii="Times New Roman" w:hAnsi="Times New Roman" w:cs="Times New Roman"/>
          <w:b/>
          <w:bCs/>
          <w:i/>
          <w:iCs/>
          <w:sz w:val="20"/>
          <w:szCs w:val="20"/>
        </w:rPr>
        <w:t>MPI</w:t>
      </w:r>
      <w:r w:rsidR="00CB1234" w:rsidRPr="00CB1234">
        <w:rPr>
          <w:rFonts w:ascii="Times New Roman" w:hAnsi="Times New Roman" w:cs="Times New Roman"/>
          <w:b/>
          <w:bCs/>
          <w:sz w:val="20"/>
          <w:szCs w:val="20"/>
        </w:rPr>
        <w:t>)</w:t>
      </w:r>
    </w:p>
    <w:bookmarkEnd w:id="10"/>
    <w:bookmarkEnd w:id="11"/>
    <w:p w14:paraId="5EBB60E5" w14:textId="77777777" w:rsidR="00B179B5" w:rsidRDefault="00C22B22" w:rsidP="00047E9C">
      <w:pPr>
        <w:spacing w:after="0" w:line="240" w:lineRule="auto"/>
        <w:contextualSpacing/>
        <w:jc w:val="both"/>
        <w:rPr>
          <w:rFonts w:ascii="Times New Roman" w:hAnsi="Times New Roman" w:cs="Times New Roman"/>
          <w:sz w:val="20"/>
          <w:szCs w:val="20"/>
        </w:rPr>
      </w:pPr>
      <w:r w:rsidRPr="00C22B22">
        <w:rPr>
          <w:rFonts w:ascii="Times New Roman" w:hAnsi="Times New Roman" w:cs="Times New Roman"/>
          <w:sz w:val="20"/>
          <w:szCs w:val="20"/>
        </w:rPr>
        <w:lastRenderedPageBreak/>
        <w:t>The Metal Pollution Index</w:t>
      </w:r>
      <w:r w:rsidR="00BC3885" w:rsidRPr="004675BF">
        <w:rPr>
          <w:rFonts w:ascii="Times New Roman" w:eastAsia="Calibri" w:hAnsi="Times New Roman" w:cs="Times New Roman"/>
          <w:sz w:val="20"/>
          <w:szCs w:val="20"/>
        </w:rPr>
        <w:t xml:space="preserve"> </w:t>
      </w:r>
      <w:r w:rsidR="00BC3885">
        <w:rPr>
          <w:rFonts w:ascii="Times New Roman" w:eastAsia="Calibri" w:hAnsi="Times New Roman" w:cs="Times New Roman"/>
          <w:sz w:val="20"/>
          <w:szCs w:val="20"/>
        </w:rPr>
        <w:t>(</w:t>
      </w:r>
      <m:oMath>
        <m:r>
          <w:rPr>
            <w:rFonts w:ascii="Cambria Math" w:eastAsia="Calibri" w:hAnsi="Cambria Math" w:cs="Times New Roman"/>
            <w:sz w:val="20"/>
            <w:szCs w:val="20"/>
          </w:rPr>
          <m:t>MPI</m:t>
        </m:r>
        <m:r>
          <m:rPr>
            <m:sty m:val="p"/>
          </m:rPr>
          <w:rPr>
            <w:rFonts w:ascii="Cambria Math" w:eastAsia="Calibri" w:hAnsi="Cambria Math" w:cs="Times New Roman"/>
            <w:sz w:val="20"/>
            <w:szCs w:val="20"/>
          </w:rPr>
          <m:t>)</m:t>
        </m:r>
      </m:oMath>
      <w:r w:rsidR="00BC3885" w:rsidRPr="004675BF">
        <w:rPr>
          <w:rFonts w:ascii="Times New Roman" w:eastAsia="Calibri" w:hAnsi="Times New Roman" w:cs="Times New Roman"/>
          <w:sz w:val="20"/>
          <w:szCs w:val="20"/>
        </w:rPr>
        <w:t xml:space="preserve"> </w:t>
      </w:r>
      <w:r w:rsidRPr="00C22B22">
        <w:rPr>
          <w:rFonts w:ascii="Times New Roman" w:hAnsi="Times New Roman" w:cs="Times New Roman"/>
          <w:sz w:val="20"/>
          <w:szCs w:val="20"/>
        </w:rPr>
        <w:t xml:space="preserve">represents the </w:t>
      </w:r>
      <w:r w:rsidR="0070446E" w:rsidRPr="00C22B22">
        <w:rPr>
          <w:rFonts w:ascii="Times New Roman" w:hAnsi="Times New Roman" w:cs="Times New Roman"/>
          <w:sz w:val="20"/>
          <w:szCs w:val="20"/>
        </w:rPr>
        <w:t>correlation</w:t>
      </w:r>
      <w:r w:rsidRPr="00C22B22">
        <w:rPr>
          <w:rFonts w:ascii="Times New Roman" w:hAnsi="Times New Roman" w:cs="Times New Roman"/>
          <w:sz w:val="20"/>
          <w:szCs w:val="20"/>
        </w:rPr>
        <w:t xml:space="preserve"> between the concentration of </w:t>
      </w:r>
      <w:r w:rsidR="00F521B1">
        <w:rPr>
          <w:rFonts w:ascii="Times New Roman" w:hAnsi="Times New Roman" w:cs="Times New Roman"/>
          <w:sz w:val="20"/>
          <w:szCs w:val="20"/>
        </w:rPr>
        <w:t xml:space="preserve">heavy </w:t>
      </w:r>
      <w:r w:rsidRPr="00C22B22">
        <w:rPr>
          <w:rFonts w:ascii="Times New Roman" w:hAnsi="Times New Roman" w:cs="Times New Roman"/>
          <w:sz w:val="20"/>
          <w:szCs w:val="20"/>
        </w:rPr>
        <w:t>metals in the soil</w:t>
      </w:r>
      <w:r w:rsidR="007728E8">
        <w:rPr>
          <w:rFonts w:ascii="Times New Roman" w:hAnsi="Times New Roman" w:cs="Times New Roman"/>
          <w:sz w:val="20"/>
          <w:szCs w:val="20"/>
        </w:rPr>
        <w:t xml:space="preserve"> samples</w:t>
      </w:r>
      <w:r w:rsidRPr="00C22B22">
        <w:rPr>
          <w:rFonts w:ascii="Times New Roman" w:hAnsi="Times New Roman" w:cs="Times New Roman"/>
          <w:sz w:val="20"/>
          <w:szCs w:val="20"/>
        </w:rPr>
        <w:t xml:space="preserve"> and the corresponding </w:t>
      </w:r>
      <w:r w:rsidR="00024148">
        <w:rPr>
          <w:rFonts w:ascii="Times New Roman" w:hAnsi="Times New Roman" w:cs="Times New Roman"/>
          <w:sz w:val="20"/>
          <w:szCs w:val="20"/>
        </w:rPr>
        <w:t>baseline</w:t>
      </w:r>
      <w:r w:rsidRPr="00C22B22">
        <w:rPr>
          <w:rFonts w:ascii="Times New Roman" w:hAnsi="Times New Roman" w:cs="Times New Roman"/>
          <w:sz w:val="20"/>
          <w:szCs w:val="20"/>
        </w:rPr>
        <w:t xml:space="preserve"> values. It is computed </w:t>
      </w:r>
      <w:r w:rsidR="00024148">
        <w:rPr>
          <w:rFonts w:ascii="Times New Roman" w:hAnsi="Times New Roman" w:cs="Times New Roman"/>
          <w:sz w:val="20"/>
          <w:szCs w:val="20"/>
        </w:rPr>
        <w:t>following</w:t>
      </w:r>
      <w:r w:rsidRPr="00C22B22">
        <w:rPr>
          <w:rFonts w:ascii="Times New Roman" w:hAnsi="Times New Roman" w:cs="Times New Roman"/>
          <w:sz w:val="20"/>
          <w:szCs w:val="20"/>
        </w:rPr>
        <w:t xml:space="preserve"> </w:t>
      </w:r>
      <w:r w:rsidRPr="00A912F3">
        <w:rPr>
          <w:rFonts w:ascii="Times New Roman" w:hAnsi="Times New Roman" w:cs="Times New Roman"/>
          <w:color w:val="2660F0"/>
          <w:sz w:val="20"/>
          <w:szCs w:val="20"/>
        </w:rPr>
        <w:t xml:space="preserve">Equation </w:t>
      </w:r>
      <w:r w:rsidR="001C4FE9">
        <w:rPr>
          <w:rFonts w:ascii="Times New Roman" w:hAnsi="Times New Roman" w:cs="Times New Roman"/>
          <w:color w:val="2660F0"/>
          <w:sz w:val="20"/>
          <w:szCs w:val="20"/>
        </w:rPr>
        <w:t>3</w:t>
      </w:r>
      <w:r w:rsidRPr="00C22B22">
        <w:rPr>
          <w:rFonts w:ascii="Times New Roman" w:hAnsi="Times New Roman" w:cs="Times New Roman"/>
          <w:sz w:val="20"/>
          <w:szCs w:val="20"/>
          <w:highlight w:val="yellow"/>
        </w:rPr>
        <w:t xml:space="preserve"> and is </w:t>
      </w:r>
      <w:proofErr w:type="spellStart"/>
      <w:r w:rsidRPr="00C22B22">
        <w:rPr>
          <w:rFonts w:ascii="Times New Roman" w:hAnsi="Times New Roman" w:cs="Times New Roman"/>
          <w:sz w:val="20"/>
          <w:szCs w:val="20"/>
          <w:highlight w:val="yellow"/>
        </w:rPr>
        <w:t>categorised</w:t>
      </w:r>
      <w:proofErr w:type="spellEnd"/>
      <w:r w:rsidRPr="00C22B22">
        <w:rPr>
          <w:rFonts w:ascii="Times New Roman" w:hAnsi="Times New Roman" w:cs="Times New Roman"/>
          <w:sz w:val="20"/>
          <w:szCs w:val="20"/>
          <w:highlight w:val="yellow"/>
        </w:rPr>
        <w:t xml:space="preserve"> into five distinct groups or classes, as outlined in </w:t>
      </w:r>
      <w:r w:rsidRPr="00C22B22">
        <w:rPr>
          <w:rFonts w:ascii="Times New Roman" w:hAnsi="Times New Roman" w:cs="Times New Roman"/>
          <w:color w:val="2660F0"/>
          <w:sz w:val="20"/>
          <w:szCs w:val="20"/>
        </w:rPr>
        <w:t>Table 4</w:t>
      </w:r>
      <w:r w:rsidRPr="00C22B22">
        <w:rPr>
          <w:rFonts w:ascii="Times New Roman" w:hAnsi="Times New Roman" w:cs="Times New Roman"/>
          <w:sz w:val="20"/>
          <w:szCs w:val="20"/>
        </w:rPr>
        <w:t xml:space="preserve"> (</w:t>
      </w:r>
      <w:r w:rsidRPr="00C22B22">
        <w:rPr>
          <w:rFonts w:ascii="Times New Roman" w:hAnsi="Times New Roman" w:cs="Times New Roman"/>
          <w:color w:val="2660F0"/>
          <w:sz w:val="20"/>
          <w:szCs w:val="20"/>
        </w:rPr>
        <w:t>Hakanson, 1980</w:t>
      </w:r>
      <w:r w:rsidRPr="00C22B22">
        <w:rPr>
          <w:rFonts w:ascii="Times New Roman" w:hAnsi="Times New Roman" w:cs="Times New Roman"/>
          <w:sz w:val="20"/>
          <w:szCs w:val="20"/>
        </w:rPr>
        <w:t>).</w:t>
      </w:r>
      <w:r w:rsidR="003D23E3">
        <w:rPr>
          <w:rFonts w:ascii="Times New Roman" w:hAnsi="Times New Roman" w:cs="Times New Roman"/>
          <w:sz w:val="20"/>
          <w:szCs w:val="20"/>
        </w:rPr>
        <w:t xml:space="preserve"> </w:t>
      </w:r>
    </w:p>
    <w:p w14:paraId="55810E1A" w14:textId="77777777" w:rsidR="00C22B22" w:rsidRPr="00CB1234" w:rsidRDefault="00C22B22" w:rsidP="00300BC1">
      <w:pPr>
        <w:spacing w:after="0" w:line="240" w:lineRule="auto"/>
        <w:contextualSpacing/>
        <w:jc w:val="both"/>
        <w:rPr>
          <w:rFonts w:ascii="Times New Roman" w:hAnsi="Times New Roman" w:cs="Times New Roman"/>
          <w:sz w:val="20"/>
          <w:szCs w:val="20"/>
        </w:rPr>
      </w:pPr>
    </w:p>
    <w:p w14:paraId="5306DE46" w14:textId="77777777" w:rsidR="00CB1234" w:rsidRDefault="00CB1234" w:rsidP="00677C47">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MPI=</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1</m:t>
            </m:r>
          </m:sub>
          <m:sup>
            <m:r>
              <w:rPr>
                <w:rFonts w:ascii="Cambria Math" w:hAnsi="Cambria Math" w:cs="Times New Roman"/>
                <w:sz w:val="20"/>
                <w:szCs w:val="20"/>
              </w:rPr>
              <m:t>i</m:t>
            </m:r>
          </m:sup>
          <m:e>
            <m:f>
              <m:fPr>
                <m:ctrlPr>
                  <w:rPr>
                    <w:rFonts w:ascii="Cambria Math" w:hAnsi="Cambria Math" w:cs="Times New Roman"/>
                    <w:i/>
                    <w:sz w:val="20"/>
                    <w:szCs w:val="20"/>
                  </w:rPr>
                </m:ctrlPr>
              </m:fPr>
              <m:num>
                <m:r>
                  <w:rPr>
                    <w:rFonts w:ascii="Cambria Math" w:hAnsi="Cambria Math" w:cs="Times New Roman"/>
                    <w:sz w:val="20"/>
                    <w:szCs w:val="20"/>
                  </w:rPr>
                  <m:t>Mean concentration of metal in sample</m:t>
                </m:r>
              </m:num>
              <m:den>
                <m:r>
                  <w:rPr>
                    <w:rFonts w:ascii="Cambria Math" w:hAnsi="Cambria Math" w:cs="Times New Roman"/>
                    <w:sz w:val="20"/>
                    <w:szCs w:val="20"/>
                  </w:rPr>
                  <m:t>Concentration of metal in control</m:t>
                </m:r>
              </m:den>
            </m:f>
          </m:e>
        </m:nary>
      </m:oMath>
      <w:r w:rsidRPr="00CB1234">
        <w:rPr>
          <w:rFonts w:ascii="Times New Roman" w:hAnsi="Times New Roman" w:cs="Times New Roman"/>
          <w:sz w:val="20"/>
          <w:szCs w:val="20"/>
        </w:rPr>
        <w:tab/>
        <w:t>----------------------------------------(</w:t>
      </w:r>
      <w:r w:rsidR="001C4FE9">
        <w:rPr>
          <w:rFonts w:ascii="Times New Roman" w:hAnsi="Times New Roman" w:cs="Times New Roman"/>
          <w:sz w:val="20"/>
          <w:szCs w:val="20"/>
        </w:rPr>
        <w:t>3</w:t>
      </w:r>
      <w:r w:rsidRPr="00CB1234">
        <w:rPr>
          <w:rFonts w:ascii="Times New Roman" w:hAnsi="Times New Roman" w:cs="Times New Roman"/>
          <w:sz w:val="20"/>
          <w:szCs w:val="20"/>
        </w:rPr>
        <w:t>)</w:t>
      </w:r>
    </w:p>
    <w:p w14:paraId="498A13AC" w14:textId="77777777" w:rsidR="00D446F1" w:rsidRDefault="00D446F1" w:rsidP="00300BC1">
      <w:pPr>
        <w:spacing w:after="0" w:line="240" w:lineRule="auto"/>
        <w:contextualSpacing/>
        <w:jc w:val="both"/>
        <w:rPr>
          <w:rFonts w:ascii="Times New Roman" w:hAnsi="Times New Roman" w:cs="Times New Roman"/>
          <w:sz w:val="20"/>
          <w:szCs w:val="20"/>
        </w:rPr>
      </w:pPr>
    </w:p>
    <w:p w14:paraId="51218B12" w14:textId="77777777" w:rsidR="00D446F1" w:rsidRPr="00CB1234" w:rsidRDefault="009F2D18" w:rsidP="00D446F1">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Where (</w:t>
      </w:r>
      <w:proofErr w:type="spellStart"/>
      <w:r>
        <w:rPr>
          <w:rFonts w:ascii="Times New Roman" w:hAnsi="Times New Roman" w:cs="Times New Roman"/>
          <w:sz w:val="20"/>
          <w:szCs w:val="20"/>
        </w:rPr>
        <w:t>i</w:t>
      </w:r>
      <w:proofErr w:type="spellEnd"/>
      <w:r>
        <w:rPr>
          <w:rFonts w:ascii="Times New Roman" w:hAnsi="Times New Roman" w:cs="Times New Roman"/>
          <w:sz w:val="20"/>
          <w:szCs w:val="20"/>
        </w:rPr>
        <w:t xml:space="preserve">) is the number of heavy metals </w:t>
      </w:r>
      <w:r>
        <w:rPr>
          <w:rFonts w:ascii="Times New Roman" w:hAnsi="Times New Roman" w:cs="Times New Roman"/>
          <w:sz w:val="20"/>
          <w:szCs w:val="20"/>
          <w:highlight w:val="yellow"/>
        </w:rPr>
        <w:t>studied.</w:t>
      </w:r>
    </w:p>
    <w:p w14:paraId="0EE1065C" w14:textId="77777777" w:rsidR="00CB1234" w:rsidRPr="00CB1234" w:rsidRDefault="00CB1234" w:rsidP="009F2D18">
      <w:pPr>
        <w:spacing w:after="0" w:line="276" w:lineRule="auto"/>
        <w:contextualSpacing/>
        <w:jc w:val="both"/>
        <w:rPr>
          <w:rFonts w:ascii="Times New Roman" w:hAnsi="Times New Roman" w:cs="Times New Roman"/>
          <w:sz w:val="20"/>
          <w:szCs w:val="20"/>
        </w:rPr>
      </w:pPr>
    </w:p>
    <w:p w14:paraId="69BDC293" w14:textId="77777777" w:rsidR="00CB1234" w:rsidRPr="00CB1234" w:rsidRDefault="00CB1234" w:rsidP="00CE2C46">
      <w:pPr>
        <w:spacing w:after="0" w:line="276" w:lineRule="auto"/>
        <w:contextualSpacing/>
        <w:jc w:val="center"/>
        <w:rPr>
          <w:rFonts w:ascii="Times New Roman" w:hAnsi="Times New Roman" w:cs="Times New Roman"/>
          <w:sz w:val="20"/>
          <w:szCs w:val="20"/>
        </w:rPr>
      </w:pPr>
      <w:r w:rsidRPr="00CB1234">
        <w:rPr>
          <w:rFonts w:ascii="Times New Roman" w:hAnsi="Times New Roman" w:cs="Times New Roman"/>
          <w:b/>
          <w:bCs/>
          <w:sz w:val="20"/>
          <w:szCs w:val="20"/>
        </w:rPr>
        <w:t xml:space="preserve">Table </w:t>
      </w:r>
      <w:r w:rsidR="00882FF5">
        <w:rPr>
          <w:rFonts w:ascii="Times New Roman" w:hAnsi="Times New Roman" w:cs="Times New Roman"/>
          <w:b/>
          <w:bCs/>
          <w:sz w:val="20"/>
          <w:szCs w:val="20"/>
        </w:rPr>
        <w:t>4</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Description </w:t>
      </w:r>
      <w:r w:rsidR="00F464DA">
        <w:rPr>
          <w:rFonts w:ascii="Times New Roman" w:hAnsi="Times New Roman" w:cs="Times New Roman"/>
          <w:sz w:val="20"/>
          <w:szCs w:val="20"/>
        </w:rPr>
        <w:t xml:space="preserve">and Identification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m</w:t>
      </w:r>
      <w:r w:rsidRPr="00CB1234">
        <w:rPr>
          <w:rFonts w:ascii="Times New Roman" w:hAnsi="Times New Roman" w:cs="Times New Roman"/>
          <w:sz w:val="20"/>
          <w:szCs w:val="20"/>
        </w:rPr>
        <w:t xml:space="preserve">etal </w:t>
      </w:r>
      <w:r w:rsidR="006E0FE0">
        <w:rPr>
          <w:rFonts w:ascii="Times New Roman" w:hAnsi="Times New Roman" w:cs="Times New Roman"/>
          <w:sz w:val="20"/>
          <w:szCs w:val="20"/>
        </w:rPr>
        <w:t>p</w:t>
      </w:r>
      <w:r w:rsidRPr="00CB1234">
        <w:rPr>
          <w:rFonts w:ascii="Times New Roman" w:hAnsi="Times New Roman" w:cs="Times New Roman"/>
          <w:sz w:val="20"/>
          <w:szCs w:val="20"/>
        </w:rPr>
        <w:t xml:space="preserve">ollution </w:t>
      </w:r>
      <w:r w:rsidR="006E0FE0">
        <w:rPr>
          <w:rFonts w:ascii="Times New Roman" w:hAnsi="Times New Roman" w:cs="Times New Roman"/>
          <w:sz w:val="20"/>
          <w:szCs w:val="20"/>
        </w:rPr>
        <w:t>i</w:t>
      </w:r>
      <w:r w:rsidRPr="00CB1234">
        <w:rPr>
          <w:rFonts w:ascii="Times New Roman" w:hAnsi="Times New Roman" w:cs="Times New Roman"/>
          <w:sz w:val="20"/>
          <w:szCs w:val="20"/>
        </w:rPr>
        <w:t>ndex (</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 </w:t>
      </w:r>
      <w:r w:rsidR="004176CA">
        <w:rPr>
          <w:rFonts w:ascii="Times New Roman" w:hAnsi="Times New Roman" w:cs="Times New Roman"/>
          <w:sz w:val="20"/>
          <w:szCs w:val="20"/>
        </w:rPr>
        <w:t>(</w:t>
      </w:r>
      <w:r w:rsidR="004176CA" w:rsidRPr="00D530FA">
        <w:rPr>
          <w:rFonts w:ascii="Times New Roman" w:hAnsi="Times New Roman" w:cs="Times New Roman"/>
          <w:color w:val="2660F0"/>
          <w:sz w:val="20"/>
          <w:szCs w:val="20"/>
        </w:rPr>
        <w:t>Hakanson, 1980</w:t>
      </w:r>
      <w:r w:rsidR="004176CA">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261"/>
      </w:tblGrid>
      <w:tr w:rsidR="00493E00" w:rsidRPr="00CB1234" w14:paraId="4A2A422B" w14:textId="77777777" w:rsidTr="006E0467">
        <w:trPr>
          <w:jc w:val="center"/>
        </w:trPr>
        <w:tc>
          <w:tcPr>
            <w:tcW w:w="1418" w:type="dxa"/>
            <w:tcBorders>
              <w:top w:val="single" w:sz="4" w:space="0" w:color="auto"/>
              <w:bottom w:val="single" w:sz="4" w:space="0" w:color="auto"/>
            </w:tcBorders>
          </w:tcPr>
          <w:p w14:paraId="2FDE625C"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Values</w:t>
            </w:r>
          </w:p>
        </w:tc>
        <w:tc>
          <w:tcPr>
            <w:tcW w:w="2261" w:type="dxa"/>
            <w:tcBorders>
              <w:top w:val="single" w:sz="4" w:space="0" w:color="auto"/>
              <w:bottom w:val="single" w:sz="4" w:space="0" w:color="auto"/>
            </w:tcBorders>
          </w:tcPr>
          <w:p w14:paraId="01703EEA"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Soil Quality</w:t>
            </w:r>
          </w:p>
        </w:tc>
      </w:tr>
      <w:tr w:rsidR="00493E00" w:rsidRPr="00CB1234" w14:paraId="1B0695BB" w14:textId="77777777" w:rsidTr="006E0467">
        <w:trPr>
          <w:trHeight w:val="63"/>
          <w:jc w:val="center"/>
        </w:trPr>
        <w:tc>
          <w:tcPr>
            <w:tcW w:w="1418" w:type="dxa"/>
            <w:tcBorders>
              <w:top w:val="single" w:sz="4" w:space="0" w:color="auto"/>
            </w:tcBorders>
          </w:tcPr>
          <w:p w14:paraId="52393713"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&lt; 1 </w:t>
            </w:r>
          </w:p>
        </w:tc>
        <w:tc>
          <w:tcPr>
            <w:tcW w:w="2261" w:type="dxa"/>
            <w:tcBorders>
              <w:top w:val="single" w:sz="4" w:space="0" w:color="auto"/>
            </w:tcBorders>
          </w:tcPr>
          <w:p w14:paraId="7802B5D5"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Unpolluted</w:t>
            </w:r>
          </w:p>
        </w:tc>
      </w:tr>
      <w:tr w:rsidR="00493E00" w:rsidRPr="00CB1234" w14:paraId="3D934873" w14:textId="77777777" w:rsidTr="006E0467">
        <w:trPr>
          <w:jc w:val="center"/>
        </w:trPr>
        <w:tc>
          <w:tcPr>
            <w:tcW w:w="1418" w:type="dxa"/>
          </w:tcPr>
          <w:p w14:paraId="66AAE965"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1 &lt;</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&lt; 2 </w:t>
            </w:r>
          </w:p>
        </w:tc>
        <w:tc>
          <w:tcPr>
            <w:tcW w:w="2261" w:type="dxa"/>
          </w:tcPr>
          <w:p w14:paraId="45C8A5F3"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Slightly Polluted</w:t>
            </w:r>
          </w:p>
        </w:tc>
      </w:tr>
      <w:tr w:rsidR="00493E00" w:rsidRPr="00CB1234" w14:paraId="0E2F8981" w14:textId="77777777" w:rsidTr="006E0467">
        <w:trPr>
          <w:jc w:val="center"/>
        </w:trPr>
        <w:tc>
          <w:tcPr>
            <w:tcW w:w="1418" w:type="dxa"/>
          </w:tcPr>
          <w:p w14:paraId="564F3034"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2&lt;MPI&lt; 3 </w:t>
            </w:r>
          </w:p>
        </w:tc>
        <w:tc>
          <w:tcPr>
            <w:tcW w:w="2261" w:type="dxa"/>
          </w:tcPr>
          <w:p w14:paraId="36F91F38"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Moderately Polluted</w:t>
            </w:r>
          </w:p>
        </w:tc>
      </w:tr>
      <w:tr w:rsidR="00493E00" w:rsidRPr="00CB1234" w14:paraId="55DB4006" w14:textId="77777777" w:rsidTr="006E0467">
        <w:trPr>
          <w:jc w:val="center"/>
        </w:trPr>
        <w:tc>
          <w:tcPr>
            <w:tcW w:w="1418" w:type="dxa"/>
          </w:tcPr>
          <w:p w14:paraId="50BACB64"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3&lt; </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 &lt;5 </w:t>
            </w:r>
          </w:p>
        </w:tc>
        <w:tc>
          <w:tcPr>
            <w:tcW w:w="2261" w:type="dxa"/>
          </w:tcPr>
          <w:p w14:paraId="291997A4"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Severely Polluted</w:t>
            </w:r>
          </w:p>
        </w:tc>
      </w:tr>
      <w:tr w:rsidR="00493E00" w:rsidRPr="00CB1234" w14:paraId="16D726FC" w14:textId="77777777" w:rsidTr="006E0467">
        <w:trPr>
          <w:jc w:val="center"/>
        </w:trPr>
        <w:tc>
          <w:tcPr>
            <w:tcW w:w="1418" w:type="dxa"/>
          </w:tcPr>
          <w:p w14:paraId="57341107"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6&lt; </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 &lt; 10 </w:t>
            </w:r>
          </w:p>
        </w:tc>
        <w:tc>
          <w:tcPr>
            <w:tcW w:w="2261" w:type="dxa"/>
          </w:tcPr>
          <w:p w14:paraId="037E1423"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Heavily Polluted</w:t>
            </w:r>
          </w:p>
        </w:tc>
      </w:tr>
    </w:tbl>
    <w:p w14:paraId="56FF41BA" w14:textId="77777777" w:rsidR="008744BF" w:rsidRPr="00B76E44" w:rsidRDefault="008744BF" w:rsidP="009F2D18">
      <w:pPr>
        <w:spacing w:after="0" w:line="276" w:lineRule="auto"/>
        <w:contextualSpacing/>
        <w:jc w:val="both"/>
        <w:rPr>
          <w:rFonts w:ascii="Times New Roman" w:hAnsi="Times New Roman" w:cs="Times New Roman"/>
          <w:sz w:val="20"/>
          <w:szCs w:val="20"/>
        </w:rPr>
      </w:pPr>
    </w:p>
    <w:p w14:paraId="19894E8B" w14:textId="77777777" w:rsidR="00CB1234" w:rsidRPr="00B76E44" w:rsidRDefault="006B2AA4" w:rsidP="0039049D">
      <w:pPr>
        <w:spacing w:after="0" w:line="240" w:lineRule="auto"/>
        <w:contextualSpacing/>
        <w:jc w:val="both"/>
        <w:rPr>
          <w:rFonts w:ascii="Times New Roman" w:hAnsi="Times New Roman" w:cs="Times New Roman"/>
          <w:b/>
          <w:bCs/>
          <w:sz w:val="20"/>
          <w:szCs w:val="20"/>
        </w:rPr>
      </w:pPr>
      <w:bookmarkStart w:id="12" w:name="_Hlk154483161"/>
      <w:r>
        <w:rPr>
          <w:rFonts w:ascii="Times New Roman" w:hAnsi="Times New Roman" w:cs="Times New Roman"/>
          <w:b/>
          <w:bCs/>
          <w:sz w:val="20"/>
          <w:szCs w:val="20"/>
        </w:rPr>
        <w:t>2</w:t>
      </w:r>
      <w:r w:rsidR="0039049D" w:rsidRPr="00B76E44">
        <w:rPr>
          <w:rFonts w:ascii="Times New Roman" w:hAnsi="Times New Roman" w:cs="Times New Roman"/>
          <w:b/>
          <w:bCs/>
          <w:sz w:val="20"/>
          <w:szCs w:val="20"/>
        </w:rPr>
        <w:t>.</w:t>
      </w:r>
      <w:r>
        <w:rPr>
          <w:rFonts w:ascii="Times New Roman" w:hAnsi="Times New Roman" w:cs="Times New Roman"/>
          <w:b/>
          <w:bCs/>
          <w:sz w:val="20"/>
          <w:szCs w:val="20"/>
        </w:rPr>
        <w:t>2</w:t>
      </w:r>
      <w:r w:rsidR="0039049D" w:rsidRPr="00B76E44">
        <w:rPr>
          <w:rFonts w:ascii="Times New Roman" w:hAnsi="Times New Roman" w:cs="Times New Roman"/>
          <w:b/>
          <w:bCs/>
          <w:sz w:val="20"/>
          <w:szCs w:val="20"/>
        </w:rPr>
        <w:t>.</w:t>
      </w:r>
      <w:r w:rsidR="003436A3">
        <w:rPr>
          <w:rFonts w:ascii="Times New Roman" w:hAnsi="Times New Roman" w:cs="Times New Roman"/>
          <w:b/>
          <w:bCs/>
          <w:sz w:val="20"/>
          <w:szCs w:val="20"/>
        </w:rPr>
        <w:t>4</w:t>
      </w:r>
      <w:r w:rsidR="0039049D" w:rsidRPr="00B76E44">
        <w:rPr>
          <w:rFonts w:ascii="Times New Roman" w:hAnsi="Times New Roman" w:cs="Times New Roman"/>
          <w:b/>
          <w:bCs/>
          <w:sz w:val="20"/>
          <w:szCs w:val="20"/>
        </w:rPr>
        <w:t xml:space="preserve"> </w:t>
      </w:r>
      <w:r w:rsidR="00CB1234" w:rsidRPr="00B76E44">
        <w:rPr>
          <w:rFonts w:ascii="Times New Roman" w:hAnsi="Times New Roman" w:cs="Times New Roman"/>
          <w:b/>
          <w:bCs/>
          <w:sz w:val="20"/>
          <w:szCs w:val="20"/>
        </w:rPr>
        <w:t>Potential Ecological Risk Index (</w:t>
      </w:r>
      <w:r w:rsidR="00CB1234" w:rsidRPr="00F11F37">
        <w:rPr>
          <w:rFonts w:ascii="Times New Roman" w:hAnsi="Times New Roman" w:cs="Times New Roman"/>
          <w:b/>
          <w:bCs/>
          <w:i/>
          <w:iCs/>
          <w:sz w:val="20"/>
          <w:szCs w:val="20"/>
        </w:rPr>
        <w:t>PERI</w:t>
      </w:r>
      <w:r w:rsidR="00CB1234" w:rsidRPr="00B76E44">
        <w:rPr>
          <w:rFonts w:ascii="Times New Roman" w:hAnsi="Times New Roman" w:cs="Times New Roman"/>
          <w:b/>
          <w:bCs/>
          <w:sz w:val="20"/>
          <w:szCs w:val="20"/>
        </w:rPr>
        <w:t>)</w:t>
      </w:r>
    </w:p>
    <w:bookmarkEnd w:id="12"/>
    <w:p w14:paraId="4396F965" w14:textId="77777777" w:rsidR="006B35D3" w:rsidRDefault="006B35D3" w:rsidP="008D4508">
      <w:pPr>
        <w:spacing w:after="0" w:line="240" w:lineRule="auto"/>
        <w:contextualSpacing/>
        <w:jc w:val="both"/>
        <w:rPr>
          <w:rFonts w:ascii="Times New Roman" w:hAnsi="Times New Roman" w:cs="Times New Roman"/>
          <w:sz w:val="20"/>
          <w:szCs w:val="20"/>
          <w:lang w:val="en-MY"/>
        </w:rPr>
      </w:pPr>
      <w:r w:rsidRPr="006B35D3">
        <w:rPr>
          <w:rFonts w:ascii="Times New Roman" w:hAnsi="Times New Roman" w:cs="Times New Roman"/>
          <w:sz w:val="20"/>
          <w:szCs w:val="20"/>
          <w:lang w:val="en-MY"/>
        </w:rPr>
        <w:t>The Potential Ecological Risk Index (</w:t>
      </w:r>
      <w:r w:rsidRPr="00F11F37">
        <w:rPr>
          <w:rFonts w:ascii="Times New Roman" w:hAnsi="Times New Roman" w:cs="Times New Roman"/>
          <w:i/>
          <w:iCs/>
          <w:sz w:val="20"/>
          <w:szCs w:val="20"/>
          <w:lang w:val="en-MY"/>
        </w:rPr>
        <w:t>PERI</w:t>
      </w:r>
      <w:r w:rsidRPr="006B35D3">
        <w:rPr>
          <w:rFonts w:ascii="Times New Roman" w:hAnsi="Times New Roman" w:cs="Times New Roman"/>
          <w:sz w:val="20"/>
          <w:szCs w:val="20"/>
          <w:lang w:val="en-MY"/>
        </w:rPr>
        <w:t xml:space="preserve">), introduced by </w:t>
      </w:r>
      <w:r w:rsidRPr="006B35D3">
        <w:rPr>
          <w:rFonts w:ascii="Times New Roman" w:hAnsi="Times New Roman" w:cs="Times New Roman"/>
          <w:color w:val="2660F0"/>
          <w:sz w:val="20"/>
          <w:szCs w:val="20"/>
          <w:lang w:val="en-MY"/>
        </w:rPr>
        <w:t>Hakanson</w:t>
      </w:r>
      <w:r w:rsidRPr="006B35D3">
        <w:rPr>
          <w:rFonts w:ascii="Times New Roman" w:hAnsi="Times New Roman" w:cs="Times New Roman"/>
          <w:sz w:val="20"/>
          <w:szCs w:val="20"/>
          <w:lang w:val="en-MY"/>
        </w:rPr>
        <w:t xml:space="preserve"> (</w:t>
      </w:r>
      <w:r w:rsidRPr="006B35D3">
        <w:rPr>
          <w:rFonts w:ascii="Times New Roman" w:hAnsi="Times New Roman" w:cs="Times New Roman"/>
          <w:color w:val="2660F0"/>
          <w:sz w:val="20"/>
          <w:szCs w:val="20"/>
          <w:lang w:val="en-MY"/>
        </w:rPr>
        <w:t>1980</w:t>
      </w:r>
      <w:r w:rsidRPr="006B35D3">
        <w:rPr>
          <w:rFonts w:ascii="Times New Roman" w:hAnsi="Times New Roman" w:cs="Times New Roman"/>
          <w:sz w:val="20"/>
          <w:szCs w:val="20"/>
          <w:lang w:val="en-MY"/>
        </w:rPr>
        <w:t>), is designed to evaluate the ecological and environmental risk posed by heavy metal</w:t>
      </w:r>
      <w:r w:rsidR="001135DA">
        <w:rPr>
          <w:rFonts w:ascii="Times New Roman" w:hAnsi="Times New Roman" w:cs="Times New Roman"/>
          <w:sz w:val="20"/>
          <w:szCs w:val="20"/>
          <w:lang w:val="en-MY"/>
        </w:rPr>
        <w:t>s</w:t>
      </w:r>
      <w:r w:rsidRPr="006B35D3">
        <w:rPr>
          <w:rFonts w:ascii="Times New Roman" w:hAnsi="Times New Roman" w:cs="Times New Roman"/>
          <w:sz w:val="20"/>
          <w:szCs w:val="20"/>
          <w:lang w:val="en-MY"/>
        </w:rPr>
        <w:t xml:space="preserve"> contamination in </w:t>
      </w:r>
      <w:r w:rsidR="000578AE" w:rsidRPr="006B35D3">
        <w:rPr>
          <w:rFonts w:ascii="Times New Roman" w:hAnsi="Times New Roman" w:cs="Times New Roman"/>
          <w:sz w:val="20"/>
          <w:szCs w:val="20"/>
          <w:lang w:val="en-MY"/>
        </w:rPr>
        <w:t xml:space="preserve">the study area </w:t>
      </w:r>
      <w:r w:rsidRPr="006B35D3">
        <w:rPr>
          <w:rFonts w:ascii="Times New Roman" w:hAnsi="Times New Roman" w:cs="Times New Roman"/>
          <w:sz w:val="20"/>
          <w:szCs w:val="20"/>
          <w:lang w:val="en-MY"/>
        </w:rPr>
        <w:t>soil</w:t>
      </w:r>
      <w:r w:rsidR="001E7814">
        <w:rPr>
          <w:rFonts w:ascii="Times New Roman" w:hAnsi="Times New Roman" w:cs="Times New Roman"/>
          <w:sz w:val="20"/>
          <w:szCs w:val="20"/>
          <w:lang w:val="en-MY"/>
        </w:rPr>
        <w:t>s</w:t>
      </w:r>
      <w:r w:rsidRPr="006B35D3">
        <w:rPr>
          <w:rFonts w:ascii="Times New Roman" w:hAnsi="Times New Roman" w:cs="Times New Roman"/>
          <w:sz w:val="20"/>
          <w:szCs w:val="20"/>
          <w:lang w:val="en-MY"/>
        </w:rPr>
        <w:t xml:space="preserve"> sample</w:t>
      </w:r>
      <w:r w:rsidR="000578AE">
        <w:rPr>
          <w:rFonts w:ascii="Times New Roman" w:hAnsi="Times New Roman" w:cs="Times New Roman"/>
          <w:sz w:val="20"/>
          <w:szCs w:val="20"/>
          <w:lang w:val="en-MY"/>
        </w:rPr>
        <w:t>d</w:t>
      </w:r>
      <w:r w:rsidRPr="006B35D3">
        <w:rPr>
          <w:rFonts w:ascii="Times New Roman" w:hAnsi="Times New Roman" w:cs="Times New Roman"/>
          <w:sz w:val="20"/>
          <w:szCs w:val="20"/>
          <w:lang w:val="en-MY"/>
        </w:rPr>
        <w:t xml:space="preserve">. The calculation of </w:t>
      </w:r>
      <w:r w:rsidRPr="00F11F37">
        <w:rPr>
          <w:rFonts w:ascii="Times New Roman" w:hAnsi="Times New Roman" w:cs="Times New Roman"/>
          <w:i/>
          <w:iCs/>
          <w:sz w:val="20"/>
          <w:szCs w:val="20"/>
          <w:lang w:val="en-MY"/>
        </w:rPr>
        <w:t>PERI</w:t>
      </w:r>
      <w:r w:rsidRPr="006B35D3">
        <w:rPr>
          <w:rFonts w:ascii="Times New Roman" w:hAnsi="Times New Roman" w:cs="Times New Roman"/>
          <w:sz w:val="20"/>
          <w:szCs w:val="20"/>
          <w:lang w:val="en-MY"/>
        </w:rPr>
        <w:t xml:space="preserve"> incorporates the contamination</w:t>
      </w:r>
      <w:r w:rsidR="003F39AD" w:rsidRPr="004675BF">
        <w:rPr>
          <w:rFonts w:ascii="Times New Roman" w:eastAsia="Calibri" w:hAnsi="Times New Roman" w:cs="Times New Roman"/>
          <w:sz w:val="20"/>
          <w:szCs w:val="20"/>
        </w:rPr>
        <w:t xml:space="preserve"> </w:t>
      </w:r>
      <w:r w:rsidR="001E7814" w:rsidRPr="006B35D3">
        <w:rPr>
          <w:rFonts w:ascii="Times New Roman" w:hAnsi="Times New Roman" w:cs="Times New Roman"/>
          <w:sz w:val="20"/>
          <w:szCs w:val="20"/>
          <w:lang w:val="en-MY"/>
        </w:rPr>
        <w:t xml:space="preserve">degree </w:t>
      </w:r>
      <w:r w:rsidR="003F39AD">
        <w:rPr>
          <w:rFonts w:ascii="Times New Roman" w:eastAsia="Calibri" w:hAnsi="Times New Roman" w:cs="Times New Roman"/>
          <w:sz w:val="20"/>
          <w:szCs w:val="20"/>
        </w:rPr>
        <w:t>(</w:t>
      </w:r>
      <m:oMath>
        <m:r>
          <w:rPr>
            <w:rFonts w:ascii="Cambria Math" w:eastAsia="Calibri" w:hAnsi="Cambria Math" w:cs="Times New Roman"/>
            <w:sz w:val="20"/>
            <w:szCs w:val="20"/>
          </w:rPr>
          <m:t>CD</m:t>
        </m:r>
        <m:r>
          <m:rPr>
            <m:sty m:val="p"/>
          </m:rPr>
          <w:rPr>
            <w:rFonts w:ascii="Cambria Math" w:eastAsia="Calibri" w:hAnsi="Cambria Math" w:cs="Times New Roman"/>
            <w:sz w:val="20"/>
            <w:szCs w:val="20"/>
          </w:rPr>
          <m:t>)</m:t>
        </m:r>
      </m:oMath>
      <w:r w:rsidRPr="006B35D3">
        <w:rPr>
          <w:rFonts w:ascii="Times New Roman" w:hAnsi="Times New Roman" w:cs="Times New Roman"/>
          <w:sz w:val="20"/>
          <w:szCs w:val="20"/>
          <w:lang w:val="en-MY"/>
        </w:rPr>
        <w:t>, the potential ecological risk factor</w:t>
      </w:r>
      <w:r w:rsidR="003F39AD" w:rsidRPr="004675BF">
        <w:rPr>
          <w:rFonts w:ascii="Times New Roman" w:eastAsia="Calibri" w:hAnsi="Times New Roman" w:cs="Times New Roman"/>
          <w:sz w:val="20"/>
          <w:szCs w:val="20"/>
        </w:rPr>
        <w:t xml:space="preserve"> </w:t>
      </w:r>
      <w:r w:rsidR="003F39AD">
        <w:rPr>
          <w:rFonts w:ascii="Times New Roman" w:eastAsia="Calibri" w:hAnsi="Times New Roman" w:cs="Times New Roman"/>
          <w:sz w:val="20"/>
          <w:szCs w:val="20"/>
        </w:rPr>
        <w:t>(</w:t>
      </w:r>
      <m:oMath>
        <m:sSubSup>
          <m:sSubSupPr>
            <m:ctrlPr>
              <w:rPr>
                <w:rFonts w:ascii="Cambria Math" w:eastAsia="Calibri" w:hAnsi="Cambria Math" w:cs="Times New Roman"/>
                <w:i/>
                <w:sz w:val="20"/>
                <w:szCs w:val="20"/>
              </w:rPr>
            </m:ctrlPr>
          </m:sSubSupPr>
          <m:e>
            <m:r>
              <w:rPr>
                <w:rFonts w:ascii="Cambria Math" w:eastAsia="Calibri" w:hAnsi="Cambria Math" w:cs="Times New Roman"/>
                <w:sz w:val="20"/>
                <w:szCs w:val="20"/>
              </w:rPr>
              <m:t>E</m:t>
            </m:r>
          </m:e>
          <m:sub>
            <m:r>
              <w:rPr>
                <w:rFonts w:ascii="Cambria Math" w:eastAsia="Calibri" w:hAnsi="Cambria Math" w:cs="Times New Roman"/>
                <w:sz w:val="20"/>
                <w:szCs w:val="20"/>
              </w:rPr>
              <m:t>R</m:t>
            </m:r>
          </m:sub>
          <m:sup>
            <m:r>
              <w:rPr>
                <w:rFonts w:ascii="Cambria Math" w:eastAsia="Calibri" w:hAnsi="Cambria Math" w:cs="Times New Roman"/>
                <w:sz w:val="20"/>
                <w:szCs w:val="20"/>
              </w:rPr>
              <m:t>i</m:t>
            </m:r>
          </m:sup>
        </m:sSubSup>
        <m:r>
          <m:rPr>
            <m:sty m:val="p"/>
          </m:rPr>
          <w:rPr>
            <w:rFonts w:ascii="Cambria Math" w:eastAsia="Calibri" w:hAnsi="Cambria Math" w:cs="Times New Roman"/>
            <w:sz w:val="20"/>
            <w:szCs w:val="20"/>
          </w:rPr>
          <m:t>)</m:t>
        </m:r>
      </m:oMath>
      <w:r w:rsidR="00E717DA">
        <w:rPr>
          <w:rFonts w:ascii="Times New Roman" w:hAnsi="Times New Roman" w:cs="Times New Roman"/>
          <w:sz w:val="20"/>
          <w:szCs w:val="20"/>
          <w:lang w:val="en-MY"/>
        </w:rPr>
        <w:t xml:space="preserve">, and </w:t>
      </w:r>
      <w:r w:rsidR="00E717DA" w:rsidRPr="006B35D3">
        <w:rPr>
          <w:rFonts w:ascii="Times New Roman" w:hAnsi="Times New Roman" w:cs="Times New Roman"/>
          <w:sz w:val="20"/>
          <w:szCs w:val="20"/>
          <w:lang w:val="en-MY"/>
        </w:rPr>
        <w:t xml:space="preserve">the toxic-response factor </w:t>
      </w:r>
      <w:r w:rsidR="00E717DA">
        <w:rPr>
          <w:rFonts w:ascii="Times New Roman" w:eastAsia="Calibri" w:hAnsi="Times New Roman" w:cs="Times New Roman"/>
          <w:sz w:val="20"/>
          <w:szCs w:val="20"/>
        </w:rPr>
        <w:t>(</w:t>
      </w:r>
      <m:oMath>
        <m:r>
          <w:rPr>
            <w:rFonts w:ascii="Cambria Math" w:eastAsia="Calibri" w:hAnsi="Cambria Math" w:cs="Times New Roman"/>
            <w:sz w:val="20"/>
            <w:szCs w:val="20"/>
          </w:rPr>
          <m:t>TR</m:t>
        </m:r>
        <m:r>
          <m:rPr>
            <m:sty m:val="p"/>
          </m:rPr>
          <w:rPr>
            <w:rFonts w:ascii="Cambria Math" w:eastAsia="Calibri" w:hAnsi="Cambria Math" w:cs="Times New Roman"/>
            <w:sz w:val="20"/>
            <w:szCs w:val="20"/>
          </w:rPr>
          <m:t>)</m:t>
        </m:r>
      </m:oMath>
      <w:r w:rsidR="00E717DA">
        <w:rPr>
          <w:rFonts w:ascii="Times New Roman" w:hAnsi="Times New Roman" w:cs="Times New Roman"/>
          <w:sz w:val="20"/>
          <w:szCs w:val="20"/>
          <w:lang w:val="en-MY"/>
        </w:rPr>
        <w:t>.</w:t>
      </w:r>
      <w:r>
        <w:rPr>
          <w:rFonts w:ascii="Times New Roman" w:hAnsi="Times New Roman" w:cs="Times New Roman"/>
          <w:sz w:val="20"/>
          <w:szCs w:val="20"/>
          <w:lang w:val="en-MY"/>
        </w:rPr>
        <w:t xml:space="preserve"> </w:t>
      </w:r>
      <w:r w:rsidRPr="006B35D3">
        <w:rPr>
          <w:rFonts w:ascii="Times New Roman" w:hAnsi="Times New Roman" w:cs="Times New Roman"/>
          <w:sz w:val="20"/>
          <w:szCs w:val="20"/>
          <w:lang w:val="en-MY"/>
        </w:rPr>
        <w:t xml:space="preserve">Using this approach, the ecological risk index for </w:t>
      </w:r>
      <w:r w:rsidR="0079098F">
        <w:rPr>
          <w:rFonts w:ascii="Times New Roman" w:hAnsi="Times New Roman" w:cs="Times New Roman"/>
          <w:sz w:val="20"/>
          <w:szCs w:val="20"/>
          <w:lang w:val="en-MY"/>
        </w:rPr>
        <w:t>a single</w:t>
      </w:r>
      <w:r w:rsidRPr="006B35D3">
        <w:rPr>
          <w:rFonts w:ascii="Times New Roman" w:hAnsi="Times New Roman" w:cs="Times New Roman"/>
          <w:sz w:val="20"/>
          <w:szCs w:val="20"/>
          <w:lang w:val="en-MY"/>
        </w:rPr>
        <w:t xml:space="preserve"> </w:t>
      </w:r>
      <w:r w:rsidR="00B424CE" w:rsidRPr="00B424CE">
        <w:rPr>
          <w:rFonts w:ascii="Times New Roman" w:hAnsi="Times New Roman" w:cs="Times New Roman"/>
          <w:sz w:val="20"/>
          <w:szCs w:val="20"/>
        </w:rPr>
        <w:t>element</w:t>
      </w:r>
      <w:r w:rsidR="00B424CE" w:rsidRPr="00CB1234">
        <w:rPr>
          <w:rFonts w:ascii="Times New Roman" w:hAnsi="Times New Roman" w:cs="Times New Roman"/>
          <w:sz w:val="20"/>
          <w:szCs w:val="20"/>
        </w:rPr>
        <w:t xml:space="preserve"> </w:t>
      </w:r>
      <w:r w:rsidR="00B424CE">
        <w:rPr>
          <w:rFonts w:ascii="Times New Roman" w:hAnsi="Times New Roman" w:cs="Times New Roman"/>
          <w:sz w:val="20"/>
          <w:szCs w:val="20"/>
        </w:rPr>
        <w:t>(</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Pr="006B35D3">
        <w:rPr>
          <w:rFonts w:ascii="Times New Roman" w:hAnsi="Times New Roman" w:cs="Times New Roman"/>
          <w:sz w:val="20"/>
          <w:szCs w:val="20"/>
          <w:lang w:val="en-MY"/>
        </w:rPr>
        <w:t>and the overall index</w:t>
      </w:r>
      <w:r w:rsidR="00802587" w:rsidRPr="004675BF">
        <w:rPr>
          <w:rFonts w:ascii="Times New Roman" w:eastAsia="Calibri" w:hAnsi="Times New Roman" w:cs="Times New Roman"/>
          <w:sz w:val="20"/>
          <w:szCs w:val="20"/>
        </w:rPr>
        <w:t xml:space="preserve"> </w:t>
      </w:r>
      <w:r w:rsidR="00D4621F">
        <w:rPr>
          <w:rFonts w:ascii="Times New Roman" w:eastAsia="Calibri" w:hAnsi="Times New Roman" w:cs="Times New Roman"/>
          <w:sz w:val="20"/>
          <w:szCs w:val="20"/>
        </w:rPr>
        <w:t xml:space="preserve">of ecological </w:t>
      </w:r>
      <w:r w:rsidR="00D4621F" w:rsidRPr="006B35D3">
        <w:rPr>
          <w:rFonts w:ascii="Times New Roman" w:hAnsi="Times New Roman" w:cs="Times New Roman"/>
          <w:sz w:val="20"/>
          <w:szCs w:val="20"/>
          <w:lang w:val="en-MY"/>
        </w:rPr>
        <w:t>risk</w:t>
      </w:r>
      <w:r w:rsidR="00D4621F">
        <w:rPr>
          <w:rFonts w:ascii="Times New Roman" w:eastAsia="Calibri" w:hAnsi="Times New Roman" w:cs="Times New Roman"/>
          <w:sz w:val="20"/>
          <w:szCs w:val="20"/>
        </w:rPr>
        <w:t xml:space="preserve"> </w:t>
      </w:r>
      <w:r w:rsidR="00802587">
        <w:rPr>
          <w:rFonts w:ascii="Times New Roman" w:eastAsia="Calibri" w:hAnsi="Times New Roman" w:cs="Times New Roman"/>
          <w:sz w:val="20"/>
          <w:szCs w:val="20"/>
        </w:rPr>
        <w:t>(</w:t>
      </w:r>
      <m:oMath>
        <m:r>
          <w:rPr>
            <w:rFonts w:ascii="Cambria Math" w:eastAsia="Calibri" w:hAnsi="Cambria Math" w:cs="Times New Roman"/>
            <w:sz w:val="20"/>
            <w:szCs w:val="20"/>
          </w:rPr>
          <m:t>RI</m:t>
        </m:r>
        <m:r>
          <m:rPr>
            <m:sty m:val="p"/>
          </m:rPr>
          <w:rPr>
            <w:rFonts w:ascii="Cambria Math" w:eastAsia="Calibri" w:hAnsi="Cambria Math" w:cs="Times New Roman"/>
            <w:sz w:val="20"/>
            <w:szCs w:val="20"/>
          </w:rPr>
          <m:t>)</m:t>
        </m:r>
      </m:oMath>
      <w:r w:rsidR="00802587" w:rsidRPr="004675BF">
        <w:rPr>
          <w:rFonts w:ascii="Times New Roman" w:eastAsia="Calibri" w:hAnsi="Times New Roman" w:cs="Times New Roman"/>
          <w:sz w:val="20"/>
          <w:szCs w:val="20"/>
        </w:rPr>
        <w:t xml:space="preserve"> </w:t>
      </w:r>
      <w:r w:rsidRPr="006B35D3">
        <w:rPr>
          <w:rFonts w:ascii="Times New Roman" w:hAnsi="Times New Roman" w:cs="Times New Roman"/>
          <w:sz w:val="20"/>
          <w:szCs w:val="20"/>
          <w:lang w:val="en-MY"/>
        </w:rPr>
        <w:t xml:space="preserve">are determined through </w:t>
      </w:r>
      <w:r w:rsidRPr="006B35D3">
        <w:rPr>
          <w:rFonts w:ascii="Times New Roman" w:hAnsi="Times New Roman" w:cs="Times New Roman"/>
          <w:color w:val="2660F0"/>
          <w:sz w:val="20"/>
          <w:szCs w:val="20"/>
          <w:lang w:val="en-MY"/>
        </w:rPr>
        <w:t xml:space="preserve">Equations </w:t>
      </w:r>
      <w:r w:rsidR="001C4FE9">
        <w:rPr>
          <w:rFonts w:ascii="Times New Roman" w:hAnsi="Times New Roman" w:cs="Times New Roman"/>
          <w:color w:val="2660F0"/>
          <w:sz w:val="20"/>
          <w:szCs w:val="20"/>
          <w:lang w:val="en-MY"/>
        </w:rPr>
        <w:t>4</w:t>
      </w:r>
      <w:r w:rsidRPr="006B35D3">
        <w:rPr>
          <w:rFonts w:ascii="Times New Roman" w:hAnsi="Times New Roman" w:cs="Times New Roman"/>
          <w:sz w:val="20"/>
          <w:szCs w:val="20"/>
          <w:lang w:val="en-MY"/>
        </w:rPr>
        <w:t xml:space="preserve">, </w:t>
      </w:r>
      <w:r w:rsidR="001C4FE9">
        <w:rPr>
          <w:rFonts w:ascii="Times New Roman" w:hAnsi="Times New Roman" w:cs="Times New Roman"/>
          <w:color w:val="2660F0"/>
          <w:sz w:val="20"/>
          <w:szCs w:val="20"/>
          <w:lang w:val="en-MY"/>
        </w:rPr>
        <w:t>5</w:t>
      </w:r>
      <w:r w:rsidRPr="006B35D3">
        <w:rPr>
          <w:rFonts w:ascii="Times New Roman" w:hAnsi="Times New Roman" w:cs="Times New Roman"/>
          <w:sz w:val="20"/>
          <w:szCs w:val="20"/>
          <w:lang w:val="en-MY"/>
        </w:rPr>
        <w:t xml:space="preserve">, and </w:t>
      </w:r>
      <w:r w:rsidR="001C4FE9">
        <w:rPr>
          <w:rFonts w:ascii="Times New Roman" w:hAnsi="Times New Roman" w:cs="Times New Roman"/>
          <w:color w:val="2660F0"/>
          <w:sz w:val="20"/>
          <w:szCs w:val="20"/>
          <w:lang w:val="en-MY"/>
        </w:rPr>
        <w:t>6</w:t>
      </w:r>
      <w:r w:rsidRPr="006B35D3">
        <w:rPr>
          <w:rFonts w:ascii="Times New Roman" w:hAnsi="Times New Roman" w:cs="Times New Roman"/>
          <w:sz w:val="20"/>
          <w:szCs w:val="20"/>
          <w:lang w:val="en-MY"/>
        </w:rPr>
        <w:t xml:space="preserve">, as described by </w:t>
      </w:r>
      <w:r w:rsidRPr="006B35D3">
        <w:rPr>
          <w:rFonts w:ascii="Times New Roman" w:hAnsi="Times New Roman" w:cs="Times New Roman"/>
          <w:color w:val="2660F0"/>
          <w:sz w:val="20"/>
          <w:szCs w:val="20"/>
          <w:lang w:val="en-MY"/>
        </w:rPr>
        <w:t>Hakanson</w:t>
      </w:r>
      <w:r w:rsidRPr="006B35D3">
        <w:rPr>
          <w:rFonts w:ascii="Times New Roman" w:hAnsi="Times New Roman" w:cs="Times New Roman"/>
          <w:sz w:val="20"/>
          <w:szCs w:val="20"/>
          <w:lang w:val="en-MY"/>
        </w:rPr>
        <w:t xml:space="preserve"> (</w:t>
      </w:r>
      <w:r w:rsidRPr="006B35D3">
        <w:rPr>
          <w:rFonts w:ascii="Times New Roman" w:hAnsi="Times New Roman" w:cs="Times New Roman"/>
          <w:color w:val="2660F0"/>
          <w:sz w:val="20"/>
          <w:szCs w:val="20"/>
          <w:lang w:val="en-MY"/>
        </w:rPr>
        <w:t>1980</w:t>
      </w:r>
      <w:r w:rsidRPr="006B35D3">
        <w:rPr>
          <w:rFonts w:ascii="Times New Roman" w:hAnsi="Times New Roman" w:cs="Times New Roman"/>
          <w:sz w:val="20"/>
          <w:szCs w:val="20"/>
          <w:lang w:val="en-MY"/>
        </w:rPr>
        <w:t>).</w:t>
      </w:r>
      <w:r w:rsidR="007B61DF">
        <w:rPr>
          <w:rFonts w:ascii="Times New Roman" w:hAnsi="Times New Roman" w:cs="Times New Roman"/>
          <w:sz w:val="20"/>
          <w:szCs w:val="20"/>
          <w:lang w:val="en-MY"/>
        </w:rPr>
        <w:t xml:space="preserve"> </w:t>
      </w:r>
    </w:p>
    <w:p w14:paraId="11EA7BCC" w14:textId="77777777" w:rsidR="009F2D18" w:rsidRPr="006B35D3" w:rsidRDefault="009F2D18" w:rsidP="00300BC1">
      <w:pPr>
        <w:spacing w:after="0" w:line="240" w:lineRule="auto"/>
        <w:contextualSpacing/>
        <w:jc w:val="both"/>
        <w:rPr>
          <w:rFonts w:ascii="Times New Roman" w:hAnsi="Times New Roman" w:cs="Times New Roman"/>
          <w:sz w:val="20"/>
          <w:szCs w:val="20"/>
          <w:lang w:val="en-MY"/>
        </w:rPr>
      </w:pPr>
    </w:p>
    <w:p w14:paraId="6B9C0E5C" w14:textId="77777777" w:rsidR="00CB1234" w:rsidRPr="00CB1234" w:rsidRDefault="00000000" w:rsidP="00C0684E">
      <w:pPr>
        <w:spacing w:after="0" w:line="288" w:lineRule="auto"/>
        <w:contextualSpacing/>
        <w:jc w:val="both"/>
        <w:rPr>
          <w:rFonts w:ascii="Times New Roman" w:hAnsi="Times New Roman" w:cs="Times New Roman"/>
          <w:sz w:val="20"/>
          <w:szCs w:val="20"/>
        </w:rPr>
      </w:pPr>
      <m:oMath>
        <m:sSubSup>
          <m:sSubSupPr>
            <m:ctrlPr>
              <w:rPr>
                <w:rFonts w:ascii="Cambria Math" w:hAnsi="Cambria Math" w:cs="Times New Roman"/>
                <w:i/>
                <w:sz w:val="20"/>
                <w:szCs w:val="20"/>
              </w:rPr>
            </m:ctrlPr>
          </m:sSubSupPr>
          <m:e>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f</m:t>
                </m:r>
              </m:sub>
            </m:sSub>
          </m:e>
          <m:sub>
            <m:r>
              <w:rPr>
                <w:rFonts w:ascii="Cambria Math" w:hAnsi="Cambria Math" w:cs="Times New Roman"/>
                <w:sz w:val="20"/>
                <w:szCs w:val="20"/>
              </w:rPr>
              <m:t xml:space="preserve">=    </m:t>
            </m:r>
            <m:f>
              <m:fPr>
                <m:type m:val="skw"/>
                <m:ctrlPr>
                  <w:rPr>
                    <w:rFonts w:ascii="Cambria Math" w:hAnsi="Cambria Math" w:cs="Times New Roman"/>
                    <w:i/>
                    <w:sz w:val="20"/>
                    <w:szCs w:val="20"/>
                  </w:rPr>
                </m:ctrlPr>
              </m:fPr>
              <m:num>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D</m:t>
                    </m:r>
                  </m:sub>
                  <m:sup>
                    <m:r>
                      <w:rPr>
                        <w:rFonts w:ascii="Cambria Math" w:hAnsi="Cambria Math" w:cs="Times New Roman"/>
                        <w:sz w:val="20"/>
                        <w:szCs w:val="20"/>
                      </w:rPr>
                      <m:t>i</m:t>
                    </m:r>
                  </m:sup>
                </m:sSubSup>
              </m:num>
              <m:den>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R</m:t>
                    </m:r>
                  </m:sub>
                  <m:sup>
                    <m:r>
                      <w:rPr>
                        <w:rFonts w:ascii="Cambria Math" w:hAnsi="Cambria Math" w:cs="Times New Roman"/>
                        <w:sz w:val="20"/>
                        <w:szCs w:val="20"/>
                      </w:rPr>
                      <m:t>i</m:t>
                    </m:r>
                  </m:sup>
                </m:sSubSup>
              </m:den>
            </m:f>
            <m:r>
              <w:rPr>
                <w:rFonts w:ascii="Cambria Math" w:hAnsi="Cambria Math" w:cs="Times New Roman"/>
                <w:sz w:val="20"/>
                <w:szCs w:val="20"/>
              </w:rPr>
              <m:t xml:space="preserve">    </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CB1234" w:rsidRPr="00CB1234">
        <w:rPr>
          <w:rFonts w:ascii="Times New Roman" w:hAnsi="Times New Roman" w:cs="Times New Roman"/>
          <w:sz w:val="20"/>
          <w:szCs w:val="20"/>
        </w:rPr>
        <w:t xml:space="preserve"> ------------------------------------------(</w:t>
      </w:r>
      <w:r w:rsidR="001C4FE9">
        <w:rPr>
          <w:rFonts w:ascii="Times New Roman" w:hAnsi="Times New Roman" w:cs="Times New Roman"/>
          <w:sz w:val="20"/>
          <w:szCs w:val="20"/>
        </w:rPr>
        <w:t>4</w:t>
      </w:r>
      <w:r w:rsidR="00CB1234" w:rsidRPr="00CB1234">
        <w:rPr>
          <w:rFonts w:ascii="Times New Roman" w:hAnsi="Times New Roman" w:cs="Times New Roman"/>
          <w:sz w:val="20"/>
          <w:szCs w:val="20"/>
        </w:rPr>
        <w:t>)</w:t>
      </w:r>
      <w:r w:rsidR="006553FD">
        <w:rPr>
          <w:rFonts w:ascii="Times New Roman" w:hAnsi="Times New Roman" w:cs="Times New Roman"/>
          <w:sz w:val="20"/>
          <w:szCs w:val="20"/>
        </w:rPr>
        <w:tab/>
      </w:r>
      <w:r w:rsidR="006553FD">
        <w:rPr>
          <w:rFonts w:ascii="Times New Roman" w:hAnsi="Times New Roman" w:cs="Times New Roman"/>
          <w:sz w:val="20"/>
          <w:szCs w:val="20"/>
        </w:rPr>
        <w:tab/>
      </w:r>
      <w:r w:rsidR="006553FD">
        <w:rPr>
          <w:rFonts w:ascii="Times New Roman" w:hAnsi="Times New Roman" w:cs="Times New Roman"/>
          <w:sz w:val="20"/>
          <w:szCs w:val="20"/>
        </w:rPr>
        <w:tab/>
      </w:r>
      <w:r w:rsidR="006553FD">
        <w:rPr>
          <w:rFonts w:ascii="Times New Roman" w:hAnsi="Times New Roman" w:cs="Times New Roman"/>
          <w:sz w:val="20"/>
          <w:szCs w:val="20"/>
        </w:rPr>
        <w:tab/>
      </w:r>
      <w:r w:rsidR="006553FD">
        <w:rPr>
          <w:rFonts w:ascii="Times New Roman" w:hAnsi="Times New Roman" w:cs="Times New Roman"/>
          <w:sz w:val="20"/>
          <w:szCs w:val="20"/>
        </w:rPr>
        <w:tab/>
      </w:r>
    </w:p>
    <w:p w14:paraId="5CDFC3AD" w14:textId="77777777" w:rsidR="00CB1234" w:rsidRPr="00CB1234" w:rsidRDefault="00000000" w:rsidP="00C0684E">
      <w:pPr>
        <w:spacing w:after="0" w:line="288" w:lineRule="auto"/>
        <w:contextualSpacing/>
        <w:jc w:val="both"/>
        <w:rPr>
          <w:rFonts w:ascii="Times New Roman" w:hAnsi="Times New Roman" w:cs="Times New Roman"/>
          <w:sz w:val="20"/>
          <w:szCs w:val="20"/>
        </w:rPr>
      </w:pP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T</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f</m:t>
            </m:r>
          </m:sub>
          <m:sup>
            <m:r>
              <w:rPr>
                <w:rFonts w:ascii="Cambria Math" w:hAnsi="Cambria Math" w:cs="Times New Roman"/>
                <w:sz w:val="20"/>
                <w:szCs w:val="20"/>
              </w:rPr>
              <m:t>i</m:t>
            </m:r>
          </m:sup>
        </m:sSubSup>
      </m:oMath>
      <w:r w:rsidR="00CB1234" w:rsidRPr="00CB1234">
        <w:rPr>
          <w:rFonts w:ascii="Times New Roman" w:hAnsi="Times New Roman" w:cs="Times New Roman"/>
          <w:sz w:val="20"/>
          <w:szCs w:val="20"/>
        </w:rPr>
        <w:tab/>
        <w:t>-------------------------------------------(</w:t>
      </w:r>
      <w:r w:rsidR="001C4FE9">
        <w:rPr>
          <w:rFonts w:ascii="Times New Roman" w:hAnsi="Times New Roman" w:cs="Times New Roman"/>
          <w:sz w:val="20"/>
          <w:szCs w:val="20"/>
        </w:rPr>
        <w:t>5</w:t>
      </w:r>
      <w:r w:rsidR="00CB1234" w:rsidRPr="00CB1234">
        <w:rPr>
          <w:rFonts w:ascii="Times New Roman" w:hAnsi="Times New Roman" w:cs="Times New Roman"/>
          <w:sz w:val="20"/>
          <w:szCs w:val="20"/>
        </w:rPr>
        <w:t>)</w:t>
      </w:r>
    </w:p>
    <w:p w14:paraId="0F629F30" w14:textId="77777777" w:rsidR="00CB1234" w:rsidRPr="00CB1234" w:rsidRDefault="00CB1234" w:rsidP="00C0684E">
      <w:pPr>
        <w:spacing w:after="0" w:line="288" w:lineRule="auto"/>
        <w:contextualSpacing/>
        <w:jc w:val="both"/>
        <w:rPr>
          <w:rFonts w:ascii="Times New Roman" w:hAnsi="Times New Roman" w:cs="Times New Roman"/>
          <w:sz w:val="20"/>
          <w:szCs w:val="20"/>
        </w:rPr>
      </w:pPr>
      <m:oMath>
        <m:r>
          <w:rPr>
            <w:rFonts w:ascii="Cambria Math" w:hAnsi="Cambria Math" w:cs="Times New Roman"/>
            <w:sz w:val="20"/>
            <w:szCs w:val="20"/>
          </w:rPr>
          <m:t>RI=</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i</m:t>
            </m:r>
          </m:sup>
          <m:e>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e>
        </m:nary>
      </m:oMath>
      <w:r w:rsidRPr="00CB1234">
        <w:rPr>
          <w:rFonts w:ascii="Times New Roman" w:hAnsi="Times New Roman" w:cs="Times New Roman"/>
          <w:sz w:val="20"/>
          <w:szCs w:val="20"/>
        </w:rPr>
        <w:tab/>
        <w:t>-------------------------------------------(</w:t>
      </w:r>
      <w:r w:rsidR="001C4FE9">
        <w:rPr>
          <w:rFonts w:ascii="Times New Roman" w:hAnsi="Times New Roman" w:cs="Times New Roman"/>
          <w:sz w:val="20"/>
          <w:szCs w:val="20"/>
        </w:rPr>
        <w:t>6</w:t>
      </w:r>
      <w:r w:rsidRPr="00CB1234">
        <w:rPr>
          <w:rFonts w:ascii="Times New Roman" w:hAnsi="Times New Roman" w:cs="Times New Roman"/>
          <w:sz w:val="20"/>
          <w:szCs w:val="20"/>
        </w:rPr>
        <w:t>)</w:t>
      </w:r>
    </w:p>
    <w:p w14:paraId="5581B806" w14:textId="77777777" w:rsidR="009706AE" w:rsidRDefault="009706AE" w:rsidP="00300BC1">
      <w:pPr>
        <w:spacing w:after="0" w:line="240" w:lineRule="auto"/>
        <w:ind w:firstLine="426"/>
        <w:contextualSpacing/>
        <w:jc w:val="both"/>
        <w:rPr>
          <w:rFonts w:ascii="Times New Roman" w:hAnsi="Times New Roman" w:cs="Times New Roman"/>
          <w:sz w:val="20"/>
          <w:szCs w:val="20"/>
        </w:rPr>
      </w:pPr>
    </w:p>
    <w:p w14:paraId="6C7D91DF" w14:textId="77777777" w:rsidR="00CB1234" w:rsidRPr="00CB1234" w:rsidRDefault="00CB1234" w:rsidP="00D77C72">
      <w:pPr>
        <w:spacing w:after="0" w:line="240" w:lineRule="auto"/>
        <w:ind w:firstLine="426"/>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Where: </w:t>
      </w:r>
      <m:oMath>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D</m:t>
            </m:r>
          </m:sub>
          <m:sup>
            <m:r>
              <w:rPr>
                <w:rFonts w:ascii="Cambria Math" w:hAnsi="Cambria Math" w:cs="Times New Roman"/>
                <w:sz w:val="20"/>
                <w:szCs w:val="20"/>
              </w:rPr>
              <m:t>i</m:t>
            </m:r>
          </m:sup>
        </m:sSubSup>
      </m:oMath>
      <w:r w:rsidRPr="00CB1234">
        <w:rPr>
          <w:rFonts w:ascii="Times New Roman" w:hAnsi="Times New Roman" w:cs="Times New Roman"/>
          <w:sz w:val="20"/>
          <w:szCs w:val="20"/>
        </w:rPr>
        <w:t xml:space="preserve"> </w:t>
      </w:r>
      <w:r w:rsidR="00BE0A8B">
        <w:rPr>
          <w:rFonts w:ascii="Times New Roman" w:hAnsi="Times New Roman" w:cs="Times New Roman"/>
          <w:sz w:val="20"/>
          <w:szCs w:val="20"/>
        </w:rPr>
        <w:t>d</w:t>
      </w:r>
      <w:r w:rsidR="00BE0A8B" w:rsidRPr="00E558E0">
        <w:rPr>
          <w:rFonts w:ascii="Times New Roman" w:hAnsi="Times New Roman" w:cs="Times New Roman"/>
          <w:sz w:val="20"/>
          <w:szCs w:val="20"/>
        </w:rPr>
        <w:t>enotes</w:t>
      </w:r>
      <w:r w:rsidR="00E558E0" w:rsidRPr="00E558E0">
        <w:rPr>
          <w:rFonts w:ascii="Times New Roman" w:hAnsi="Times New Roman" w:cs="Times New Roman"/>
          <w:sz w:val="20"/>
          <w:szCs w:val="20"/>
        </w:rPr>
        <w:t xml:space="preserve"> the </w:t>
      </w:r>
      <w:r w:rsidR="00154818" w:rsidRPr="00E558E0">
        <w:rPr>
          <w:rFonts w:ascii="Times New Roman" w:hAnsi="Times New Roman" w:cs="Times New Roman"/>
          <w:sz w:val="20"/>
          <w:szCs w:val="20"/>
        </w:rPr>
        <w:t xml:space="preserve">concentration of </w:t>
      </w:r>
      <w:r w:rsidR="00632421" w:rsidRPr="00E558E0">
        <w:rPr>
          <w:rFonts w:ascii="Times New Roman" w:hAnsi="Times New Roman" w:cs="Times New Roman"/>
          <w:sz w:val="20"/>
          <w:szCs w:val="20"/>
        </w:rPr>
        <w:t>respective</w:t>
      </w:r>
      <w:r w:rsidR="00154818" w:rsidRPr="00E558E0">
        <w:rPr>
          <w:rFonts w:ascii="Times New Roman" w:hAnsi="Times New Roman" w:cs="Times New Roman"/>
          <w:sz w:val="20"/>
          <w:szCs w:val="20"/>
        </w:rPr>
        <w:t xml:space="preserve"> heavy metal </w:t>
      </w:r>
      <w:r w:rsidR="00E558E0" w:rsidRPr="00E558E0">
        <w:rPr>
          <w:rFonts w:ascii="Times New Roman" w:hAnsi="Times New Roman" w:cs="Times New Roman"/>
          <w:sz w:val="20"/>
          <w:szCs w:val="20"/>
        </w:rPr>
        <w:t>measured at specific sample location</w:t>
      </w:r>
      <w:r w:rsidR="00E73A37">
        <w:rPr>
          <w:rFonts w:ascii="Times New Roman" w:hAnsi="Times New Roman" w:cs="Times New Roman"/>
          <w:sz w:val="20"/>
          <w:szCs w:val="20"/>
        </w:rPr>
        <w:t>s</w:t>
      </w:r>
      <w:r w:rsidRPr="00CB1234">
        <w:rPr>
          <w:rFonts w:ascii="Times New Roman" w:hAnsi="Times New Roman" w:cs="Times New Roman"/>
          <w:sz w:val="20"/>
          <w:szCs w:val="20"/>
        </w:rPr>
        <w:t>,</w:t>
      </w:r>
      <w:r w:rsidR="00E558E0">
        <w:rPr>
          <w:rFonts w:ascii="Times New Roman" w:hAnsi="Times New Roman" w:cs="Times New Roman"/>
          <w:sz w:val="20"/>
          <w:szCs w:val="20"/>
        </w:rPr>
        <w:t xml:space="preserve"> while</w:t>
      </w:r>
      <w:r w:rsidRPr="00CB1234">
        <w:rPr>
          <w:rFonts w:ascii="Times New Roman" w:hAnsi="Times New Roman" w:cs="Times New Roman"/>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 xml:space="preserve">R   </m:t>
            </m:r>
          </m:sub>
          <m:sup>
            <m:r>
              <w:rPr>
                <w:rFonts w:ascii="Cambria Math" w:hAnsi="Cambria Math" w:cs="Times New Roman"/>
                <w:sz w:val="20"/>
                <w:szCs w:val="20"/>
              </w:rPr>
              <m:t>i</m:t>
            </m:r>
          </m:sup>
        </m:sSubSup>
      </m:oMath>
      <w:r w:rsidR="00E558E0" w:rsidRPr="00E558E0">
        <w:t xml:space="preserve"> </w:t>
      </w:r>
      <w:r w:rsidR="00E558E0" w:rsidRPr="00E558E0">
        <w:rPr>
          <w:rFonts w:ascii="Times New Roman" w:hAnsi="Times New Roman" w:cs="Times New Roman"/>
          <w:sz w:val="20"/>
          <w:szCs w:val="20"/>
        </w:rPr>
        <w:t xml:space="preserve">denotes the reference or </w:t>
      </w:r>
      <w:r w:rsidR="00B420F3">
        <w:rPr>
          <w:rFonts w:ascii="Times New Roman" w:hAnsi="Times New Roman" w:cs="Times New Roman"/>
          <w:sz w:val="20"/>
          <w:szCs w:val="20"/>
        </w:rPr>
        <w:t>baseline</w:t>
      </w:r>
      <w:r w:rsidR="00E558E0" w:rsidRPr="00E558E0">
        <w:rPr>
          <w:rFonts w:ascii="Times New Roman" w:hAnsi="Times New Roman" w:cs="Times New Roman"/>
          <w:sz w:val="20"/>
          <w:szCs w:val="20"/>
        </w:rPr>
        <w:t xml:space="preserve"> </w:t>
      </w:r>
      <w:r w:rsidR="00B420F3">
        <w:rPr>
          <w:rFonts w:ascii="Times New Roman" w:hAnsi="Times New Roman" w:cs="Times New Roman"/>
          <w:sz w:val="20"/>
          <w:szCs w:val="20"/>
        </w:rPr>
        <w:t>levels</w:t>
      </w:r>
      <w:r w:rsidR="00E558E0" w:rsidRPr="00E558E0">
        <w:rPr>
          <w:rFonts w:ascii="Times New Roman" w:hAnsi="Times New Roman" w:cs="Times New Roman"/>
          <w:sz w:val="20"/>
          <w:szCs w:val="20"/>
        </w:rPr>
        <w:t xml:space="preserve"> of the respective metal</w:t>
      </w:r>
      <w:r w:rsidR="0040282B">
        <w:rPr>
          <w:rFonts w:ascii="Times New Roman" w:hAnsi="Times New Roman" w:cs="Times New Roman"/>
          <w:sz w:val="20"/>
          <w:szCs w:val="20"/>
        </w:rPr>
        <w:t>s</w:t>
      </w:r>
      <w:r w:rsidR="00E558E0" w:rsidRPr="00E558E0">
        <w:rPr>
          <w:rFonts w:ascii="Times New Roman" w:hAnsi="Times New Roman" w:cs="Times New Roman"/>
          <w:sz w:val="20"/>
          <w:szCs w:val="20"/>
        </w:rPr>
        <w:t>.</w:t>
      </w:r>
      <w:r w:rsidR="00E558E0">
        <w:rPr>
          <w:rFonts w:ascii="Times New Roman" w:hAnsi="Times New Roman" w:cs="Times New Roman"/>
          <w:sz w:val="20"/>
          <w:szCs w:val="20"/>
        </w:rPr>
        <w:t xml:space="preserve"> </w:t>
      </w:r>
    </w:p>
    <w:p w14:paraId="28521418" w14:textId="77777777" w:rsidR="00882FF5" w:rsidRDefault="00882FF5" w:rsidP="009F2D18">
      <w:pPr>
        <w:spacing w:after="0" w:line="276" w:lineRule="auto"/>
        <w:contextualSpacing/>
        <w:jc w:val="both"/>
        <w:rPr>
          <w:rFonts w:ascii="Times New Roman" w:hAnsi="Times New Roman" w:cs="Times New Roman"/>
          <w:sz w:val="20"/>
          <w:szCs w:val="20"/>
        </w:rPr>
      </w:pPr>
    </w:p>
    <w:p w14:paraId="6FD9AEC3" w14:textId="77777777" w:rsidR="00CB1234" w:rsidRDefault="00CB1234" w:rsidP="00ED7330">
      <w:pPr>
        <w:spacing w:after="0" w:line="240" w:lineRule="auto"/>
        <w:ind w:firstLine="426"/>
        <w:contextualSpacing/>
        <w:jc w:val="both"/>
        <w:rPr>
          <w:rFonts w:ascii="Times New Roman" w:hAnsi="Times New Roman" w:cs="Times New Roman"/>
          <w:sz w:val="20"/>
          <w:szCs w:val="20"/>
        </w:rPr>
      </w:pPr>
      <w:r w:rsidRPr="00EB1BBA">
        <w:rPr>
          <w:rFonts w:ascii="Times New Roman" w:hAnsi="Times New Roman" w:cs="Times New Roman"/>
          <w:color w:val="2660F0"/>
          <w:sz w:val="20"/>
          <w:szCs w:val="20"/>
        </w:rPr>
        <w:t xml:space="preserve">Equation </w:t>
      </w:r>
      <w:r w:rsidR="00296520" w:rsidRPr="00EB1BBA">
        <w:rPr>
          <w:rFonts w:ascii="Times New Roman" w:hAnsi="Times New Roman" w:cs="Times New Roman"/>
          <w:color w:val="2660F0"/>
          <w:sz w:val="20"/>
          <w:szCs w:val="20"/>
        </w:rPr>
        <w:t>6</w:t>
      </w:r>
      <w:r w:rsidRPr="00CB1234">
        <w:rPr>
          <w:rFonts w:ascii="Times New Roman" w:hAnsi="Times New Roman" w:cs="Times New Roman"/>
          <w:sz w:val="20"/>
          <w:szCs w:val="20"/>
        </w:rPr>
        <w:t xml:space="preserve"> </w:t>
      </w:r>
      <w:r w:rsidR="00B424CE" w:rsidRPr="00B424CE">
        <w:rPr>
          <w:rFonts w:ascii="Times New Roman" w:hAnsi="Times New Roman" w:cs="Times New Roman"/>
          <w:sz w:val="20"/>
          <w:szCs w:val="20"/>
        </w:rPr>
        <w:t xml:space="preserve">defines the pollution factor for a single element. The </w:t>
      </w:r>
      <w:r w:rsidR="007B766B" w:rsidRPr="00F11F37">
        <w:rPr>
          <w:rFonts w:ascii="Times New Roman" w:hAnsi="Times New Roman" w:cs="Times New Roman"/>
          <w:i/>
          <w:iCs/>
          <w:sz w:val="20"/>
          <w:szCs w:val="20"/>
        </w:rPr>
        <w:t>PERI</w:t>
      </w:r>
      <w:r w:rsidR="00B424CE" w:rsidRPr="00B424CE">
        <w:rPr>
          <w:rFonts w:ascii="Times New Roman" w:hAnsi="Times New Roman" w:cs="Times New Roman"/>
          <w:sz w:val="20"/>
          <w:szCs w:val="20"/>
        </w:rPr>
        <w:t xml:space="preserve"> for a </w:t>
      </w:r>
      <w:r w:rsidR="00611F15" w:rsidRPr="00B424CE">
        <w:rPr>
          <w:rFonts w:ascii="Times New Roman" w:hAnsi="Times New Roman" w:cs="Times New Roman"/>
          <w:sz w:val="20"/>
          <w:szCs w:val="20"/>
        </w:rPr>
        <w:t>singular</w:t>
      </w:r>
      <w:r w:rsidR="00B424CE" w:rsidRPr="00B424CE">
        <w:rPr>
          <w:rFonts w:ascii="Times New Roman" w:hAnsi="Times New Roman" w:cs="Times New Roman"/>
          <w:sz w:val="20"/>
          <w:szCs w:val="20"/>
        </w:rPr>
        <w:t xml:space="preserve"> </w:t>
      </w:r>
      <w:r w:rsidR="00A0189B" w:rsidRPr="00B424CE">
        <w:rPr>
          <w:rFonts w:ascii="Times New Roman" w:hAnsi="Times New Roman" w:cs="Times New Roman"/>
          <w:sz w:val="20"/>
          <w:szCs w:val="20"/>
        </w:rPr>
        <w:t>element</w:t>
      </w:r>
      <w:r w:rsidR="00DD4EFF" w:rsidRPr="00CB1234">
        <w:rPr>
          <w:rFonts w:ascii="Times New Roman" w:hAnsi="Times New Roman" w:cs="Times New Roman"/>
          <w:sz w:val="20"/>
          <w:szCs w:val="20"/>
        </w:rPr>
        <w:t xml:space="preserve"> </w:t>
      </w:r>
      <w:r w:rsidR="00DD4EFF">
        <w:rPr>
          <w:rFonts w:ascii="Times New Roman" w:hAnsi="Times New Roman" w:cs="Times New Roman"/>
          <w:sz w:val="20"/>
          <w:szCs w:val="20"/>
        </w:rPr>
        <w:t>(</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DD4EFF" w:rsidRPr="006B35D3">
        <w:rPr>
          <w:rFonts w:ascii="Times New Roman" w:hAnsi="Times New Roman" w:cs="Times New Roman"/>
          <w:sz w:val="20"/>
          <w:szCs w:val="20"/>
          <w:lang w:val="en-MY"/>
        </w:rPr>
        <w:t>and</w:t>
      </w:r>
      <w:r w:rsidR="00DD4EFF">
        <w:rPr>
          <w:rFonts w:ascii="Times New Roman" w:hAnsi="Times New Roman" w:cs="Times New Roman"/>
          <w:sz w:val="20"/>
          <w:szCs w:val="20"/>
        </w:rPr>
        <w:t xml:space="preserve"> </w:t>
      </w:r>
      <w:r w:rsidR="00DD4EFF" w:rsidRPr="00DD4EFF">
        <w:rPr>
          <w:rFonts w:ascii="Times New Roman" w:hAnsi="Times New Roman" w:cs="Times New Roman"/>
          <w:sz w:val="20"/>
          <w:szCs w:val="20"/>
        </w:rPr>
        <w:t xml:space="preserve">the comprehensive </w:t>
      </w:r>
      <w:r w:rsidR="00611F15" w:rsidRPr="00F11F37">
        <w:rPr>
          <w:rFonts w:ascii="Times New Roman" w:hAnsi="Times New Roman" w:cs="Times New Roman"/>
          <w:i/>
          <w:iCs/>
          <w:sz w:val="20"/>
          <w:szCs w:val="20"/>
        </w:rPr>
        <w:t>PERI</w:t>
      </w:r>
      <w:r w:rsidR="00DD4EFF" w:rsidRPr="00F11F37">
        <w:rPr>
          <w:rFonts w:ascii="Times New Roman" w:hAnsi="Times New Roman" w:cs="Times New Roman"/>
          <w:i/>
          <w:iCs/>
          <w:sz w:val="20"/>
          <w:szCs w:val="20"/>
        </w:rPr>
        <w:t xml:space="preserve"> </w:t>
      </w:r>
      <w:r w:rsidR="00DD4EFF">
        <w:rPr>
          <w:rFonts w:ascii="Times New Roman" w:hAnsi="Times New Roman" w:cs="Times New Roman"/>
          <w:sz w:val="20"/>
          <w:szCs w:val="20"/>
        </w:rPr>
        <w:t>(</w:t>
      </w:r>
      <m:oMath>
        <m:r>
          <w:rPr>
            <w:rFonts w:ascii="Cambria Math" w:hAnsi="Cambria Math" w:cs="Times New Roman"/>
            <w:sz w:val="20"/>
            <w:szCs w:val="20"/>
          </w:rPr>
          <m:t xml:space="preserve">RI) </m:t>
        </m:r>
      </m:oMath>
      <w:r w:rsidR="00DD4EFF">
        <w:rPr>
          <w:rFonts w:ascii="Times New Roman" w:hAnsi="Times New Roman" w:cs="Times New Roman"/>
          <w:sz w:val="20"/>
          <w:szCs w:val="20"/>
          <w:lang w:val="en-MY"/>
        </w:rPr>
        <w:t xml:space="preserve">are </w:t>
      </w:r>
      <w:r w:rsidR="00DD4EFF" w:rsidRPr="00DD4EFF">
        <w:rPr>
          <w:rFonts w:ascii="Times New Roman" w:hAnsi="Times New Roman" w:cs="Times New Roman"/>
          <w:sz w:val="20"/>
          <w:szCs w:val="20"/>
          <w:lang w:val="en-MY"/>
        </w:rPr>
        <w:t>calculated using associated toxic response factors</w:t>
      </w:r>
      <w:r w:rsidRPr="00CB1234">
        <w:rPr>
          <w:rFonts w:ascii="Times New Roman" w:hAnsi="Times New Roman" w:cs="Times New Roman"/>
          <w:sz w:val="20"/>
          <w:szCs w:val="20"/>
        </w:rPr>
        <w:t xml:space="preserve"> </w:t>
      </w:r>
      <w:r w:rsidR="00DD4EFF">
        <w:rPr>
          <w:rFonts w:ascii="Times New Roman" w:hAnsi="Times New Roman" w:cs="Times New Roman"/>
          <w:sz w:val="20"/>
          <w:szCs w:val="20"/>
        </w:rPr>
        <w:t>(</w:t>
      </w:r>
      <m:oMath>
        <m:sSubSup>
          <m:sSubSupPr>
            <m:ctrlPr>
              <w:rPr>
                <w:rFonts w:ascii="Cambria Math" w:hAnsi="Cambria Math" w:cs="Times New Roman"/>
                <w:i/>
                <w:sz w:val="20"/>
                <w:szCs w:val="20"/>
              </w:rPr>
            </m:ctrlPr>
          </m:sSubSupPr>
          <m:e>
            <m:r>
              <w:rPr>
                <w:rFonts w:ascii="Cambria Math" w:hAnsi="Cambria Math" w:cs="Times New Roman"/>
                <w:sz w:val="20"/>
                <w:szCs w:val="20"/>
              </w:rPr>
              <m:t>T</m:t>
            </m:r>
          </m:e>
          <m:sub>
            <m:r>
              <w:rPr>
                <w:rFonts w:ascii="Cambria Math" w:hAnsi="Cambria Math" w:cs="Times New Roman"/>
                <w:sz w:val="20"/>
                <w:szCs w:val="20"/>
              </w:rPr>
              <m:t>R</m:t>
            </m:r>
          </m:sub>
          <m:sup>
            <m:r>
              <w:rPr>
                <w:rFonts w:ascii="Cambria Math" w:hAnsi="Cambria Math" w:cs="Times New Roman"/>
                <w:sz w:val="20"/>
                <w:szCs w:val="20"/>
              </w:rPr>
              <m:t>i</m:t>
            </m:r>
          </m:sup>
        </m:sSubSup>
      </m:oMath>
      <w:r w:rsidR="00551E2C">
        <w:rPr>
          <w:rFonts w:ascii="Times New Roman" w:hAnsi="Times New Roman" w:cs="Times New Roman"/>
          <w:sz w:val="20"/>
          <w:szCs w:val="20"/>
        </w:rPr>
        <w:t>).</w:t>
      </w:r>
      <w:r w:rsidR="00DD4EFF">
        <w:rPr>
          <w:rFonts w:ascii="Times New Roman" w:hAnsi="Times New Roman" w:cs="Times New Roman"/>
          <w:sz w:val="20"/>
          <w:szCs w:val="20"/>
        </w:rPr>
        <w:t xml:space="preserve"> </w:t>
      </w:r>
      <w:r w:rsidR="00551E2C" w:rsidRPr="00551E2C">
        <w:rPr>
          <w:rFonts w:ascii="Times New Roman" w:hAnsi="Times New Roman" w:cs="Times New Roman"/>
          <w:sz w:val="20"/>
          <w:szCs w:val="20"/>
        </w:rPr>
        <w:t xml:space="preserve">The toxic </w:t>
      </w:r>
      <w:r w:rsidR="0094707E">
        <w:rPr>
          <w:rFonts w:ascii="Times New Roman" w:hAnsi="Times New Roman" w:cs="Times New Roman"/>
          <w:sz w:val="20"/>
          <w:szCs w:val="20"/>
        </w:rPr>
        <w:t>reaction</w:t>
      </w:r>
      <w:r w:rsidR="00551E2C" w:rsidRPr="00551E2C">
        <w:rPr>
          <w:rFonts w:ascii="Times New Roman" w:hAnsi="Times New Roman" w:cs="Times New Roman"/>
          <w:sz w:val="20"/>
          <w:szCs w:val="20"/>
        </w:rPr>
        <w:t xml:space="preserve"> </w:t>
      </w:r>
      <w:r w:rsidR="0094707E">
        <w:rPr>
          <w:rFonts w:ascii="Times New Roman" w:hAnsi="Times New Roman" w:cs="Times New Roman"/>
          <w:sz w:val="20"/>
          <w:szCs w:val="20"/>
        </w:rPr>
        <w:t>indicators</w:t>
      </w:r>
      <w:r w:rsidR="00551E2C" w:rsidRPr="00551E2C">
        <w:rPr>
          <w:rFonts w:ascii="Times New Roman" w:hAnsi="Times New Roman" w:cs="Times New Roman"/>
          <w:sz w:val="20"/>
          <w:szCs w:val="20"/>
        </w:rPr>
        <w:t xml:space="preserve"> for various metals are as follows: Zn = 1, Fe = 1, Cr = 2, Cu = 5, Pb = 5, Ni = 5, and Cd = 30 (</w:t>
      </w:r>
      <w:r w:rsidR="00551E2C" w:rsidRPr="00A000AE">
        <w:rPr>
          <w:rFonts w:ascii="Times New Roman" w:hAnsi="Times New Roman" w:cs="Times New Roman"/>
          <w:color w:val="2660F0"/>
          <w:sz w:val="20"/>
          <w:szCs w:val="20"/>
        </w:rPr>
        <w:t>Hakanson, 1980</w:t>
      </w:r>
      <w:r w:rsidR="00551E2C" w:rsidRPr="00551E2C">
        <w:rPr>
          <w:rFonts w:ascii="Times New Roman" w:hAnsi="Times New Roman" w:cs="Times New Roman"/>
          <w:sz w:val="20"/>
          <w:szCs w:val="20"/>
        </w:rPr>
        <w:t xml:space="preserve">; </w:t>
      </w:r>
      <w:r w:rsidR="00551E2C" w:rsidRPr="00A000AE">
        <w:rPr>
          <w:rFonts w:ascii="Times New Roman" w:hAnsi="Times New Roman" w:cs="Times New Roman"/>
          <w:color w:val="2660F0"/>
          <w:sz w:val="20"/>
          <w:szCs w:val="20"/>
        </w:rPr>
        <w:t>Huang et al., 2020</w:t>
      </w:r>
      <w:r w:rsidR="00551E2C" w:rsidRPr="00551E2C">
        <w:rPr>
          <w:rFonts w:ascii="Times New Roman" w:hAnsi="Times New Roman" w:cs="Times New Roman"/>
          <w:sz w:val="20"/>
          <w:szCs w:val="20"/>
        </w:rPr>
        <w:t>).</w:t>
      </w:r>
      <w:r w:rsidRPr="00CB1234">
        <w:rPr>
          <w:rFonts w:ascii="Times New Roman" w:hAnsi="Times New Roman" w:cs="Times New Roman"/>
          <w:sz w:val="20"/>
          <w:szCs w:val="20"/>
        </w:rPr>
        <w:t xml:space="preserve"> </w:t>
      </w:r>
      <w:r w:rsidR="00845E52" w:rsidRPr="00845E52">
        <w:rPr>
          <w:rFonts w:ascii="Times New Roman" w:hAnsi="Times New Roman" w:cs="Times New Roman"/>
          <w:sz w:val="20"/>
          <w:szCs w:val="20"/>
        </w:rPr>
        <w:t>Metals such as Fe, with an</w:t>
      </w:r>
      <w:r w:rsidR="00845E52" w:rsidRPr="00CB1234">
        <w:rPr>
          <w:rFonts w:ascii="Times New Roman" w:hAnsi="Times New Roman" w:cs="Times New Roman"/>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Pr="00CB1234">
        <w:rPr>
          <w:rFonts w:ascii="Times New Roman" w:hAnsi="Times New Roman" w:cs="Times New Roman"/>
          <w:sz w:val="20"/>
          <w:szCs w:val="20"/>
        </w:rPr>
        <w:t>value ≤ 1</w:t>
      </w:r>
      <w:r w:rsidR="00064382">
        <w:rPr>
          <w:rFonts w:ascii="Times New Roman" w:hAnsi="Times New Roman" w:cs="Times New Roman"/>
          <w:sz w:val="20"/>
          <w:szCs w:val="20"/>
        </w:rPr>
        <w:t>,</w:t>
      </w:r>
      <w:r w:rsidRPr="00CB1234">
        <w:rPr>
          <w:rFonts w:ascii="Times New Roman" w:hAnsi="Times New Roman" w:cs="Times New Roman"/>
          <w:sz w:val="20"/>
          <w:szCs w:val="20"/>
        </w:rPr>
        <w:t xml:space="preserve"> </w:t>
      </w:r>
      <w:r w:rsidR="00064382" w:rsidRPr="00064382">
        <w:rPr>
          <w:rFonts w:ascii="Times New Roman" w:hAnsi="Times New Roman" w:cs="Times New Roman"/>
          <w:sz w:val="20"/>
          <w:szCs w:val="20"/>
        </w:rPr>
        <w:t>are excluded from the</w:t>
      </w:r>
      <w:r w:rsidR="00064382">
        <w:rPr>
          <w:rFonts w:ascii="Times New Roman" w:hAnsi="Times New Roman" w:cs="Times New Roman"/>
          <w:sz w:val="20"/>
          <w:szCs w:val="20"/>
        </w:rPr>
        <w:t xml:space="preserve"> </w:t>
      </w:r>
      <m:oMath>
        <m:r>
          <w:rPr>
            <w:rFonts w:ascii="Cambria Math" w:hAnsi="Cambria Math" w:cs="Times New Roman"/>
            <w:sz w:val="20"/>
            <w:szCs w:val="20"/>
          </w:rPr>
          <m:t xml:space="preserve">RI </m:t>
        </m:r>
      </m:oMath>
      <w:r w:rsidR="00064382">
        <w:rPr>
          <w:rFonts w:ascii="Times New Roman" w:hAnsi="Times New Roman" w:cs="Times New Roman"/>
          <w:sz w:val="20"/>
          <w:szCs w:val="20"/>
          <w:lang w:val="en-MY"/>
        </w:rPr>
        <w:t>calculations</w:t>
      </w:r>
      <w:r w:rsidRPr="00CB1234">
        <w:rPr>
          <w:rFonts w:ascii="Times New Roman" w:hAnsi="Times New Roman" w:cs="Times New Roman"/>
          <w:sz w:val="20"/>
          <w:szCs w:val="20"/>
        </w:rPr>
        <w:t xml:space="preserve"> </w:t>
      </w:r>
      <w:r w:rsidR="00583CC8">
        <w:rPr>
          <w:rFonts w:ascii="Times New Roman" w:hAnsi="Times New Roman" w:cs="Times New Roman"/>
          <w:sz w:val="20"/>
          <w:szCs w:val="20"/>
        </w:rPr>
        <w:t>(</w:t>
      </w:r>
      <w:r w:rsidR="009F15C4" w:rsidRPr="009F15C4">
        <w:rPr>
          <w:rFonts w:ascii="Times New Roman" w:hAnsi="Times New Roman" w:cs="Times New Roman"/>
          <w:color w:val="2660F0"/>
          <w:sz w:val="20"/>
          <w:szCs w:val="20"/>
        </w:rPr>
        <w:t>Gbadamosi, 2018</w:t>
      </w:r>
      <w:r w:rsidR="009F15C4" w:rsidRPr="009F15C4">
        <w:rPr>
          <w:rFonts w:ascii="Times New Roman" w:hAnsi="Times New Roman" w:cs="Times New Roman"/>
          <w:sz w:val="20"/>
          <w:szCs w:val="20"/>
        </w:rPr>
        <w:t xml:space="preserve">; </w:t>
      </w:r>
      <w:proofErr w:type="spellStart"/>
      <w:r w:rsidR="00583CC8" w:rsidRPr="00583CC8">
        <w:rPr>
          <w:rFonts w:ascii="Times New Roman" w:hAnsi="Times New Roman" w:cs="Times New Roman"/>
          <w:color w:val="2660F0"/>
          <w:sz w:val="20"/>
          <w:szCs w:val="20"/>
        </w:rPr>
        <w:t>Pobi</w:t>
      </w:r>
      <w:proofErr w:type="spellEnd"/>
      <w:r w:rsidR="00583CC8" w:rsidRPr="00583CC8">
        <w:rPr>
          <w:rFonts w:ascii="Times New Roman" w:hAnsi="Times New Roman" w:cs="Times New Roman"/>
          <w:color w:val="2660F0"/>
          <w:sz w:val="20"/>
          <w:szCs w:val="20"/>
        </w:rPr>
        <w:t xml:space="preserve"> et al., 2019</w:t>
      </w:r>
      <w:r w:rsidR="00583CC8">
        <w:rPr>
          <w:rFonts w:ascii="Times New Roman" w:hAnsi="Times New Roman" w:cs="Times New Roman"/>
          <w:sz w:val="20"/>
          <w:szCs w:val="20"/>
        </w:rPr>
        <w:t>)</w:t>
      </w:r>
      <w:r w:rsidRPr="00CB1234">
        <w:rPr>
          <w:rFonts w:ascii="Times New Roman" w:hAnsi="Times New Roman" w:cs="Times New Roman"/>
          <w:sz w:val="20"/>
          <w:szCs w:val="20"/>
        </w:rPr>
        <w:t xml:space="preserve">. </w:t>
      </w:r>
      <w:r w:rsidR="00ED7330" w:rsidRPr="00ED7330">
        <w:rPr>
          <w:rFonts w:ascii="Times New Roman" w:hAnsi="Times New Roman" w:cs="Times New Roman"/>
          <w:sz w:val="20"/>
          <w:szCs w:val="20"/>
        </w:rPr>
        <w:t>The levels</w:t>
      </w:r>
      <w:r w:rsidR="000D581A">
        <w:rPr>
          <w:rFonts w:ascii="Times New Roman" w:hAnsi="Times New Roman" w:cs="Times New Roman"/>
          <w:sz w:val="20"/>
          <w:szCs w:val="20"/>
        </w:rPr>
        <w:t xml:space="preserve"> of</w:t>
      </w:r>
      <w:r w:rsidR="00ED7330" w:rsidRPr="00ED7330">
        <w:rPr>
          <w:rFonts w:ascii="Times New Roman" w:hAnsi="Times New Roman" w:cs="Times New Roman"/>
          <w:sz w:val="20"/>
          <w:szCs w:val="20"/>
        </w:rPr>
        <w:t xml:space="preserve"> </w:t>
      </w:r>
      <w:r w:rsidR="000D581A" w:rsidRPr="00ED7330">
        <w:rPr>
          <w:rFonts w:ascii="Times New Roman" w:hAnsi="Times New Roman" w:cs="Times New Roman"/>
          <w:sz w:val="20"/>
          <w:szCs w:val="20"/>
        </w:rPr>
        <w:t xml:space="preserve">ecological risk </w:t>
      </w:r>
      <w:r w:rsidR="00ED7330" w:rsidRPr="00ED7330">
        <w:rPr>
          <w:rFonts w:ascii="Times New Roman" w:hAnsi="Times New Roman" w:cs="Times New Roman"/>
          <w:sz w:val="20"/>
          <w:szCs w:val="20"/>
        </w:rPr>
        <w:t xml:space="preserve">are categorized into five </w:t>
      </w:r>
      <w:r w:rsidR="00157A3A">
        <w:rPr>
          <w:rFonts w:ascii="Times New Roman" w:hAnsi="Times New Roman" w:cs="Times New Roman"/>
          <w:sz w:val="20"/>
          <w:szCs w:val="20"/>
        </w:rPr>
        <w:t xml:space="preserve">distinct </w:t>
      </w:r>
      <w:r w:rsidR="00ED7330" w:rsidRPr="00ED7330">
        <w:rPr>
          <w:rFonts w:ascii="Times New Roman" w:hAnsi="Times New Roman" w:cs="Times New Roman"/>
          <w:sz w:val="20"/>
          <w:szCs w:val="20"/>
        </w:rPr>
        <w:t xml:space="preserve">classes </w:t>
      </w:r>
      <w:r w:rsidR="00157A3A">
        <w:rPr>
          <w:rFonts w:ascii="Times New Roman" w:hAnsi="Times New Roman" w:cs="Times New Roman"/>
          <w:sz w:val="20"/>
          <w:szCs w:val="20"/>
        </w:rPr>
        <w:t>distinguished</w:t>
      </w:r>
      <w:r w:rsidR="00ED7330" w:rsidRPr="00ED7330">
        <w:rPr>
          <w:rFonts w:ascii="Times New Roman" w:hAnsi="Times New Roman" w:cs="Times New Roman"/>
          <w:sz w:val="20"/>
          <w:szCs w:val="20"/>
        </w:rPr>
        <w:t xml:space="preserve"> in relation to pre-industrial </w:t>
      </w:r>
      <w:r w:rsidR="00CA63CB">
        <w:rPr>
          <w:rFonts w:ascii="Times New Roman" w:hAnsi="Times New Roman" w:cs="Times New Roman"/>
          <w:sz w:val="20"/>
          <w:szCs w:val="20"/>
        </w:rPr>
        <w:t>baseline</w:t>
      </w:r>
      <w:r w:rsidR="00ED7330" w:rsidRPr="00ED7330">
        <w:rPr>
          <w:rFonts w:ascii="Times New Roman" w:hAnsi="Times New Roman" w:cs="Times New Roman"/>
          <w:sz w:val="20"/>
          <w:szCs w:val="20"/>
        </w:rPr>
        <w:t xml:space="preserve"> </w:t>
      </w:r>
      <w:r w:rsidR="00843ACB">
        <w:rPr>
          <w:rFonts w:ascii="Times New Roman" w:hAnsi="Times New Roman" w:cs="Times New Roman"/>
          <w:sz w:val="20"/>
          <w:szCs w:val="20"/>
        </w:rPr>
        <w:t>level</w:t>
      </w:r>
      <w:r w:rsidR="00ED7330">
        <w:rPr>
          <w:rFonts w:ascii="Times New Roman" w:hAnsi="Times New Roman" w:cs="Times New Roman"/>
          <w:sz w:val="20"/>
          <w:szCs w:val="20"/>
        </w:rPr>
        <w:t xml:space="preserve">s </w:t>
      </w:r>
      <w:r w:rsidR="005A0C9F" w:rsidRPr="005A0C9F">
        <w:rPr>
          <w:rFonts w:ascii="Times New Roman" w:hAnsi="Times New Roman" w:cs="Times New Roman"/>
          <w:sz w:val="20"/>
          <w:szCs w:val="20"/>
        </w:rPr>
        <w:t>(</w:t>
      </w:r>
      <w:proofErr w:type="spellStart"/>
      <w:r w:rsidR="005A0C9F" w:rsidRPr="00C07233">
        <w:rPr>
          <w:rFonts w:ascii="Times New Roman" w:hAnsi="Times New Roman" w:cs="Times New Roman"/>
          <w:color w:val="2660F0"/>
          <w:sz w:val="20"/>
          <w:szCs w:val="20"/>
        </w:rPr>
        <w:t>Pobi</w:t>
      </w:r>
      <w:proofErr w:type="spellEnd"/>
      <w:r w:rsidR="005A0C9F" w:rsidRPr="00C07233">
        <w:rPr>
          <w:rFonts w:ascii="Times New Roman" w:hAnsi="Times New Roman" w:cs="Times New Roman"/>
          <w:color w:val="2660F0"/>
          <w:sz w:val="20"/>
          <w:szCs w:val="20"/>
        </w:rPr>
        <w:t xml:space="preserve"> et al., 2019</w:t>
      </w:r>
      <w:r w:rsidR="005A0C9F" w:rsidRPr="005A0C9F">
        <w:rPr>
          <w:rFonts w:ascii="Times New Roman" w:hAnsi="Times New Roman" w:cs="Times New Roman"/>
          <w:sz w:val="20"/>
          <w:szCs w:val="20"/>
        </w:rPr>
        <w:t>)</w:t>
      </w:r>
      <w:r w:rsidRPr="00CB1234">
        <w:rPr>
          <w:rFonts w:ascii="Times New Roman" w:hAnsi="Times New Roman" w:cs="Times New Roman"/>
          <w:sz w:val="20"/>
          <w:szCs w:val="20"/>
        </w:rPr>
        <w:t xml:space="preserve">. </w:t>
      </w:r>
      <w:r w:rsidR="00ED7330" w:rsidRPr="00ED7330">
        <w:rPr>
          <w:rFonts w:ascii="Times New Roman" w:hAnsi="Times New Roman" w:cs="Times New Roman"/>
          <w:sz w:val="20"/>
          <w:szCs w:val="20"/>
        </w:rPr>
        <w:t>These background values</w:t>
      </w:r>
      <w:r w:rsidRPr="00CB1234">
        <w:rPr>
          <w:rFonts w:ascii="Times New Roman" w:hAnsi="Times New Roman" w:cs="Times New Roman"/>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R</m:t>
            </m:r>
          </m:sub>
          <m:sup>
            <m:r>
              <w:rPr>
                <w:rFonts w:ascii="Cambria Math" w:hAnsi="Cambria Math" w:cs="Times New Roman"/>
                <w:sz w:val="20"/>
                <w:szCs w:val="20"/>
              </w:rPr>
              <m:t>i</m:t>
            </m:r>
          </m:sup>
        </m:sSubSup>
      </m:oMath>
      <w:r w:rsidRPr="00CB1234">
        <w:rPr>
          <w:rFonts w:ascii="Times New Roman" w:hAnsi="Times New Roman" w:cs="Times New Roman"/>
          <w:sz w:val="20"/>
          <w:szCs w:val="20"/>
        </w:rPr>
        <w:t xml:space="preserve">) </w:t>
      </w:r>
      <w:r w:rsidR="00C05D30">
        <w:rPr>
          <w:rFonts w:ascii="Times New Roman" w:hAnsi="Times New Roman" w:cs="Times New Roman"/>
          <w:sz w:val="20"/>
          <w:szCs w:val="20"/>
        </w:rPr>
        <w:t>establish</w:t>
      </w:r>
      <w:r w:rsidR="00ED7330" w:rsidRPr="00ED7330">
        <w:rPr>
          <w:rFonts w:ascii="Times New Roman" w:hAnsi="Times New Roman" w:cs="Times New Roman"/>
          <w:sz w:val="20"/>
          <w:szCs w:val="20"/>
        </w:rPr>
        <w:t xml:space="preserve"> </w:t>
      </w:r>
      <w:r w:rsidR="003176FA">
        <w:rPr>
          <w:rFonts w:ascii="Times New Roman" w:hAnsi="Times New Roman" w:cs="Times New Roman"/>
          <w:sz w:val="20"/>
          <w:szCs w:val="20"/>
        </w:rPr>
        <w:t xml:space="preserve">the </w:t>
      </w:r>
      <w:r w:rsidR="00C05D30">
        <w:rPr>
          <w:rFonts w:ascii="Times New Roman" w:hAnsi="Times New Roman" w:cs="Times New Roman"/>
          <w:sz w:val="20"/>
          <w:szCs w:val="20"/>
        </w:rPr>
        <w:t>standards</w:t>
      </w:r>
      <w:r w:rsidR="00ED7330" w:rsidRPr="00ED7330">
        <w:rPr>
          <w:rFonts w:ascii="Times New Roman" w:hAnsi="Times New Roman" w:cs="Times New Roman"/>
          <w:sz w:val="20"/>
          <w:szCs w:val="20"/>
        </w:rPr>
        <w:t xml:space="preserve"> for evaluating </w:t>
      </w:r>
      <w:r w:rsidR="003176FA" w:rsidRPr="00ED7330">
        <w:rPr>
          <w:rFonts w:ascii="Times New Roman" w:hAnsi="Times New Roman" w:cs="Times New Roman"/>
          <w:sz w:val="20"/>
          <w:szCs w:val="20"/>
        </w:rPr>
        <w:t>prospective</w:t>
      </w:r>
      <w:r w:rsidR="00ED7330" w:rsidRPr="00ED7330">
        <w:rPr>
          <w:rFonts w:ascii="Times New Roman" w:hAnsi="Times New Roman" w:cs="Times New Roman"/>
          <w:sz w:val="20"/>
          <w:szCs w:val="20"/>
        </w:rPr>
        <w:t xml:space="preserve"> soil risks, with specific concentrations provided for Cd (0.2), </w:t>
      </w:r>
      <w:r w:rsidR="00EB4D6C" w:rsidRPr="00ED7330">
        <w:rPr>
          <w:rFonts w:ascii="Times New Roman" w:hAnsi="Times New Roman" w:cs="Times New Roman"/>
          <w:sz w:val="20"/>
          <w:szCs w:val="20"/>
        </w:rPr>
        <w:t xml:space="preserve">Pb (20), </w:t>
      </w:r>
      <w:r w:rsidR="00ED7330" w:rsidRPr="00ED7330">
        <w:rPr>
          <w:rFonts w:ascii="Times New Roman" w:hAnsi="Times New Roman" w:cs="Times New Roman"/>
          <w:sz w:val="20"/>
          <w:szCs w:val="20"/>
        </w:rPr>
        <w:t xml:space="preserve">Cu (32), and Zn (129), as summarized in </w:t>
      </w:r>
      <w:r w:rsidR="00ED7330" w:rsidRPr="00A738B6">
        <w:rPr>
          <w:rFonts w:ascii="Times New Roman" w:hAnsi="Times New Roman" w:cs="Times New Roman"/>
          <w:color w:val="2660F0"/>
          <w:sz w:val="20"/>
          <w:szCs w:val="20"/>
        </w:rPr>
        <w:t>Table 5</w:t>
      </w:r>
      <w:r w:rsidR="00ED7330" w:rsidRPr="00ED7330">
        <w:rPr>
          <w:rFonts w:ascii="Times New Roman" w:hAnsi="Times New Roman" w:cs="Times New Roman"/>
          <w:sz w:val="20"/>
          <w:szCs w:val="20"/>
        </w:rPr>
        <w:t xml:space="preserve"> (</w:t>
      </w:r>
      <w:proofErr w:type="spellStart"/>
      <w:r w:rsidR="00ED7330" w:rsidRPr="00A738B6">
        <w:rPr>
          <w:rFonts w:ascii="Times New Roman" w:hAnsi="Times New Roman" w:cs="Times New Roman"/>
          <w:color w:val="2660F0"/>
          <w:sz w:val="20"/>
          <w:szCs w:val="20"/>
        </w:rPr>
        <w:t>Pobi</w:t>
      </w:r>
      <w:proofErr w:type="spellEnd"/>
      <w:r w:rsidR="00ED7330" w:rsidRPr="00A738B6">
        <w:rPr>
          <w:rFonts w:ascii="Times New Roman" w:hAnsi="Times New Roman" w:cs="Times New Roman"/>
          <w:color w:val="2660F0"/>
          <w:sz w:val="20"/>
          <w:szCs w:val="20"/>
        </w:rPr>
        <w:t xml:space="preserve"> et al., 2019</w:t>
      </w:r>
      <w:r w:rsidR="00ED7330" w:rsidRPr="00ED7330">
        <w:rPr>
          <w:rFonts w:ascii="Times New Roman" w:hAnsi="Times New Roman" w:cs="Times New Roman"/>
          <w:sz w:val="20"/>
          <w:szCs w:val="20"/>
        </w:rPr>
        <w:t>).</w:t>
      </w:r>
      <w:r w:rsidR="00CB437F">
        <w:rPr>
          <w:rFonts w:ascii="Times New Roman" w:hAnsi="Times New Roman" w:cs="Times New Roman"/>
          <w:sz w:val="20"/>
          <w:szCs w:val="20"/>
        </w:rPr>
        <w:t xml:space="preserve"> </w:t>
      </w:r>
    </w:p>
    <w:p w14:paraId="0D126B13" w14:textId="77777777" w:rsidR="00A77E5C" w:rsidRPr="00CB1234" w:rsidRDefault="00A77E5C" w:rsidP="00ED7330">
      <w:pPr>
        <w:spacing w:after="0" w:line="240" w:lineRule="auto"/>
        <w:ind w:firstLine="426"/>
        <w:contextualSpacing/>
        <w:jc w:val="both"/>
        <w:rPr>
          <w:rFonts w:ascii="Times New Roman" w:hAnsi="Times New Roman" w:cs="Times New Roman"/>
          <w:sz w:val="20"/>
          <w:szCs w:val="20"/>
        </w:rPr>
      </w:pPr>
    </w:p>
    <w:p w14:paraId="16A271AD" w14:textId="77777777" w:rsidR="00CB1234" w:rsidRPr="00CB1234" w:rsidRDefault="00CB1234" w:rsidP="00CE2C46">
      <w:pPr>
        <w:spacing w:after="0" w:line="276" w:lineRule="auto"/>
        <w:contextualSpacing/>
        <w:jc w:val="center"/>
        <w:rPr>
          <w:rFonts w:ascii="Times New Roman" w:hAnsi="Times New Roman" w:cs="Times New Roman"/>
          <w:sz w:val="20"/>
          <w:szCs w:val="20"/>
        </w:rPr>
      </w:pPr>
      <w:bookmarkStart w:id="13" w:name="_Hlk160034241"/>
      <w:r w:rsidRPr="00CB1234">
        <w:rPr>
          <w:rFonts w:ascii="Times New Roman" w:hAnsi="Times New Roman" w:cs="Times New Roman"/>
          <w:b/>
          <w:bCs/>
          <w:sz w:val="20"/>
          <w:szCs w:val="20"/>
        </w:rPr>
        <w:t xml:space="preserve">Table </w:t>
      </w:r>
      <w:r w:rsidR="00882FF5">
        <w:rPr>
          <w:rFonts w:ascii="Times New Roman" w:hAnsi="Times New Roman" w:cs="Times New Roman"/>
          <w:b/>
          <w:bCs/>
          <w:sz w:val="20"/>
          <w:szCs w:val="20"/>
        </w:rPr>
        <w:t>5</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w:t>
      </w:r>
      <w:bookmarkEnd w:id="13"/>
      <w:r w:rsidRPr="00CB1234">
        <w:rPr>
          <w:rFonts w:ascii="Times New Roman" w:hAnsi="Times New Roman" w:cs="Times New Roman"/>
          <w:sz w:val="20"/>
          <w:szCs w:val="20"/>
        </w:rPr>
        <w:t>Description</w:t>
      </w:r>
      <w:r w:rsidR="00244E6A">
        <w:rPr>
          <w:rFonts w:ascii="Times New Roman" w:hAnsi="Times New Roman" w:cs="Times New Roman"/>
          <w:sz w:val="20"/>
          <w:szCs w:val="20"/>
        </w:rPr>
        <w:t xml:space="preserve"> and identification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i</w:t>
      </w:r>
      <w:r w:rsidRPr="00CB1234">
        <w:rPr>
          <w:rFonts w:ascii="Times New Roman" w:hAnsi="Times New Roman" w:cs="Times New Roman"/>
          <w:sz w:val="20"/>
          <w:szCs w:val="20"/>
        </w:rPr>
        <w:t xml:space="preserve">ndividual </w:t>
      </w:r>
      <w:r w:rsidR="006E0FE0">
        <w:rPr>
          <w:rFonts w:ascii="Times New Roman" w:hAnsi="Times New Roman" w:cs="Times New Roman"/>
          <w:sz w:val="20"/>
          <w:szCs w:val="20"/>
        </w:rPr>
        <w:t>p</w:t>
      </w:r>
      <w:r w:rsidRPr="00CB1234">
        <w:rPr>
          <w:rFonts w:ascii="Times New Roman" w:hAnsi="Times New Roman" w:cs="Times New Roman"/>
          <w:sz w:val="20"/>
          <w:szCs w:val="20"/>
        </w:rPr>
        <w:t xml:space="preserve">otential </w:t>
      </w:r>
      <w:r w:rsidR="006E0FE0">
        <w:rPr>
          <w:rFonts w:ascii="Times New Roman" w:hAnsi="Times New Roman" w:cs="Times New Roman"/>
          <w:sz w:val="20"/>
          <w:szCs w:val="20"/>
        </w:rPr>
        <w:t>r</w:t>
      </w:r>
      <w:r w:rsidRPr="00CB1234">
        <w:rPr>
          <w:rFonts w:ascii="Times New Roman" w:hAnsi="Times New Roman" w:cs="Times New Roman"/>
          <w:sz w:val="20"/>
          <w:szCs w:val="20"/>
        </w:rPr>
        <w:t>isks (</w:t>
      </w:r>
      <w:bookmarkStart w:id="14" w:name="_Hlk164708133"/>
      <w:r w:rsidRPr="00CB1234">
        <w:rPr>
          <w:rFonts w:ascii="Times New Roman" w:hAnsi="Times New Roman" w:cs="Times New Roman"/>
          <w:sz w:val="20"/>
          <w:szCs w:val="20"/>
        </w:rPr>
        <w:t>Eir</w:t>
      </w:r>
      <w:bookmarkEnd w:id="14"/>
      <w:r w:rsidRPr="00CB1234">
        <w:rPr>
          <w:rFonts w:ascii="Times New Roman" w:hAnsi="Times New Roman" w:cs="Times New Roman"/>
          <w:sz w:val="20"/>
          <w:szCs w:val="20"/>
        </w:rPr>
        <w:t xml:space="preserve">) </w:t>
      </w:r>
      <w:r w:rsidR="003D1BE9" w:rsidRPr="008665EC">
        <w:rPr>
          <w:rFonts w:ascii="Times New Roman" w:hAnsi="Times New Roman" w:cs="Times New Roman"/>
          <w:sz w:val="20"/>
          <w:szCs w:val="20"/>
        </w:rPr>
        <w:t>(</w:t>
      </w:r>
      <w:proofErr w:type="spellStart"/>
      <w:r w:rsidR="003D1BE9" w:rsidRPr="008665EC">
        <w:rPr>
          <w:rFonts w:ascii="Times New Roman" w:hAnsi="Times New Roman" w:cs="Times New Roman"/>
          <w:color w:val="2660F0"/>
          <w:sz w:val="20"/>
          <w:szCs w:val="20"/>
        </w:rPr>
        <w:t>Pobi</w:t>
      </w:r>
      <w:proofErr w:type="spellEnd"/>
      <w:r w:rsidR="003D1BE9" w:rsidRPr="008665EC">
        <w:rPr>
          <w:rFonts w:ascii="Times New Roman" w:hAnsi="Times New Roman" w:cs="Times New Roman"/>
          <w:color w:val="2660F0"/>
          <w:sz w:val="20"/>
          <w:szCs w:val="20"/>
        </w:rPr>
        <w:t xml:space="preserve"> et al., 2019</w:t>
      </w:r>
      <w:r w:rsidR="003D1BE9" w:rsidRPr="008665EC">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552"/>
      </w:tblGrid>
      <w:tr w:rsidR="00493E00" w:rsidRPr="00CB1234" w14:paraId="4D3A6D9A" w14:textId="77777777" w:rsidTr="00D91C64">
        <w:trPr>
          <w:jc w:val="center"/>
        </w:trPr>
        <w:tc>
          <w:tcPr>
            <w:tcW w:w="1701" w:type="dxa"/>
            <w:tcBorders>
              <w:top w:val="single" w:sz="4" w:space="0" w:color="auto"/>
              <w:bottom w:val="single" w:sz="4" w:space="0" w:color="auto"/>
            </w:tcBorders>
          </w:tcPr>
          <w:p w14:paraId="70EFAF0B"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Value</w:t>
            </w:r>
          </w:p>
        </w:tc>
        <w:tc>
          <w:tcPr>
            <w:tcW w:w="2552" w:type="dxa"/>
            <w:tcBorders>
              <w:top w:val="single" w:sz="4" w:space="0" w:color="auto"/>
              <w:bottom w:val="single" w:sz="4" w:space="0" w:color="auto"/>
            </w:tcBorders>
          </w:tcPr>
          <w:p w14:paraId="361B37DA"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Soil Quality</w:t>
            </w:r>
          </w:p>
        </w:tc>
      </w:tr>
      <w:tr w:rsidR="00493E00" w:rsidRPr="00CB1234" w14:paraId="546EB1E5" w14:textId="77777777" w:rsidTr="00D91C64">
        <w:trPr>
          <w:jc w:val="center"/>
        </w:trPr>
        <w:tc>
          <w:tcPr>
            <w:tcW w:w="1701" w:type="dxa"/>
            <w:tcBorders>
              <w:top w:val="single" w:sz="4" w:space="0" w:color="auto"/>
            </w:tcBorders>
          </w:tcPr>
          <w:p w14:paraId="558B8AC1" w14:textId="77777777" w:rsidR="00493E00" w:rsidRPr="00CB1234" w:rsidRDefault="00493E00" w:rsidP="0078175C">
            <w:pPr>
              <w:spacing w:line="264" w:lineRule="auto"/>
              <w:contextualSpacing/>
              <w:jc w:val="both"/>
              <w:rPr>
                <w:rFonts w:ascii="Times New Roman" w:hAnsi="Times New Roman" w:cs="Times New Roman"/>
                <w:sz w:val="20"/>
                <w:szCs w:val="20"/>
              </w:rPr>
            </w:pPr>
            <w:proofErr w:type="spellStart"/>
            <w:r w:rsidRPr="00F11F37">
              <w:rPr>
                <w:rFonts w:ascii="Times New Roman" w:hAnsi="Times New Roman" w:cs="Times New Roman"/>
                <w:i/>
                <w:iCs/>
                <w:sz w:val="20"/>
                <w:szCs w:val="20"/>
              </w:rPr>
              <w:t>E</w:t>
            </w:r>
            <w:r w:rsidRPr="00F11F37">
              <w:rPr>
                <w:rFonts w:ascii="Times New Roman" w:hAnsi="Times New Roman" w:cs="Times New Roman"/>
                <w:i/>
                <w:iCs/>
                <w:sz w:val="20"/>
                <w:szCs w:val="20"/>
                <w:vertAlign w:val="superscript"/>
              </w:rPr>
              <w:t>i</w:t>
            </w:r>
            <w:r w:rsidRPr="00F11F37">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40</w:t>
            </w:r>
          </w:p>
        </w:tc>
        <w:tc>
          <w:tcPr>
            <w:tcW w:w="2552" w:type="dxa"/>
            <w:tcBorders>
              <w:top w:val="single" w:sz="4" w:space="0" w:color="auto"/>
            </w:tcBorders>
          </w:tcPr>
          <w:p w14:paraId="6556F7D6"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low ecological risk</w:t>
            </w:r>
          </w:p>
        </w:tc>
      </w:tr>
      <w:tr w:rsidR="00493E00" w:rsidRPr="00CB1234" w14:paraId="294D3321" w14:textId="77777777" w:rsidTr="00D91C64">
        <w:trPr>
          <w:jc w:val="center"/>
        </w:trPr>
        <w:tc>
          <w:tcPr>
            <w:tcW w:w="1701" w:type="dxa"/>
          </w:tcPr>
          <w:p w14:paraId="35AB8046"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40 &lt; </w:t>
            </w: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80</w:t>
            </w:r>
          </w:p>
        </w:tc>
        <w:tc>
          <w:tcPr>
            <w:tcW w:w="2552" w:type="dxa"/>
          </w:tcPr>
          <w:p w14:paraId="0F64CE5B"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moderate ecological risk</w:t>
            </w:r>
          </w:p>
        </w:tc>
      </w:tr>
      <w:tr w:rsidR="00493E00" w:rsidRPr="00CB1234" w14:paraId="32A0B41F" w14:textId="77777777" w:rsidTr="00D91C64">
        <w:trPr>
          <w:jc w:val="center"/>
        </w:trPr>
        <w:tc>
          <w:tcPr>
            <w:tcW w:w="1701" w:type="dxa"/>
          </w:tcPr>
          <w:p w14:paraId="11AF4A10"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80 &lt;</w:t>
            </w:r>
            <w:r w:rsidRPr="00C825E0">
              <w:rPr>
                <w:rFonts w:ascii="Times New Roman" w:hAnsi="Times New Roman" w:cs="Times New Roman"/>
                <w:i/>
                <w:iCs/>
                <w:sz w:val="20"/>
                <w:szCs w:val="20"/>
              </w:rPr>
              <w:t xml:space="preserve"> </w:t>
            </w: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160</w:t>
            </w:r>
          </w:p>
        </w:tc>
        <w:tc>
          <w:tcPr>
            <w:tcW w:w="2552" w:type="dxa"/>
          </w:tcPr>
          <w:p w14:paraId="0CB90FD2"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considerable ecological risk</w:t>
            </w:r>
          </w:p>
        </w:tc>
      </w:tr>
      <w:tr w:rsidR="00493E00" w:rsidRPr="00CB1234" w14:paraId="06DABF38" w14:textId="77777777" w:rsidTr="00D91C64">
        <w:trPr>
          <w:jc w:val="center"/>
        </w:trPr>
        <w:tc>
          <w:tcPr>
            <w:tcW w:w="1701" w:type="dxa"/>
          </w:tcPr>
          <w:p w14:paraId="5A2AD204"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160 &lt; </w:t>
            </w: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320</w:t>
            </w:r>
          </w:p>
        </w:tc>
        <w:tc>
          <w:tcPr>
            <w:tcW w:w="2552" w:type="dxa"/>
          </w:tcPr>
          <w:p w14:paraId="37C7CB9B"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high ecological risk</w:t>
            </w:r>
          </w:p>
        </w:tc>
      </w:tr>
      <w:tr w:rsidR="00493E00" w:rsidRPr="00CB1234" w14:paraId="506FB568" w14:textId="77777777" w:rsidTr="00D91C64">
        <w:trPr>
          <w:jc w:val="center"/>
        </w:trPr>
        <w:tc>
          <w:tcPr>
            <w:tcW w:w="1701" w:type="dxa"/>
          </w:tcPr>
          <w:p w14:paraId="10E68CE1" w14:textId="77777777" w:rsidR="00493E00" w:rsidRPr="00CB1234" w:rsidRDefault="00493E00" w:rsidP="0078175C">
            <w:pPr>
              <w:spacing w:line="264" w:lineRule="auto"/>
              <w:contextualSpacing/>
              <w:jc w:val="both"/>
              <w:rPr>
                <w:rFonts w:ascii="Times New Roman" w:hAnsi="Times New Roman" w:cs="Times New Roman"/>
                <w:sz w:val="20"/>
                <w:szCs w:val="20"/>
              </w:rPr>
            </w:pP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&gt; 320</w:t>
            </w:r>
          </w:p>
        </w:tc>
        <w:tc>
          <w:tcPr>
            <w:tcW w:w="2552" w:type="dxa"/>
          </w:tcPr>
          <w:p w14:paraId="77B75CCA"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very high ecological risk</w:t>
            </w:r>
          </w:p>
        </w:tc>
      </w:tr>
    </w:tbl>
    <w:p w14:paraId="688F32B7" w14:textId="77777777" w:rsidR="00BE5204" w:rsidRDefault="00BE5204" w:rsidP="00534F57">
      <w:pPr>
        <w:spacing w:after="0" w:line="240" w:lineRule="auto"/>
        <w:contextualSpacing/>
        <w:jc w:val="both"/>
        <w:rPr>
          <w:rFonts w:ascii="Times New Roman" w:hAnsi="Times New Roman" w:cs="Times New Roman"/>
          <w:sz w:val="20"/>
          <w:szCs w:val="20"/>
        </w:rPr>
      </w:pPr>
    </w:p>
    <w:p w14:paraId="589991D0" w14:textId="77777777" w:rsidR="00AB090A" w:rsidRDefault="00BA2326" w:rsidP="00E33CE3">
      <w:pPr>
        <w:spacing w:after="0" w:line="240" w:lineRule="auto"/>
        <w:ind w:firstLine="426"/>
        <w:contextualSpacing/>
        <w:jc w:val="both"/>
        <w:rPr>
          <w:rFonts w:ascii="Times New Roman" w:hAnsi="Times New Roman" w:cs="Times New Roman"/>
          <w:sz w:val="20"/>
          <w:szCs w:val="20"/>
        </w:rPr>
      </w:pPr>
      <w:r w:rsidRPr="00BA2326">
        <w:rPr>
          <w:rFonts w:ascii="Times New Roman" w:hAnsi="Times New Roman" w:cs="Times New Roman"/>
          <w:sz w:val="20"/>
          <w:szCs w:val="20"/>
        </w:rPr>
        <w:t xml:space="preserve">The </w:t>
      </w:r>
      <w:r w:rsidR="0074140F">
        <w:rPr>
          <w:rFonts w:ascii="Times New Roman" w:hAnsi="Times New Roman" w:cs="Times New Roman"/>
          <w:sz w:val="20"/>
          <w:szCs w:val="20"/>
        </w:rPr>
        <w:t>PERI</w:t>
      </w:r>
      <w:r w:rsidR="00E5305F" w:rsidRPr="004675BF">
        <w:rPr>
          <w:rFonts w:ascii="Times New Roman" w:eastAsia="Calibri" w:hAnsi="Times New Roman" w:cs="Times New Roman"/>
          <w:sz w:val="20"/>
          <w:szCs w:val="20"/>
        </w:rPr>
        <w:t xml:space="preserve"> </w:t>
      </w:r>
      <w:r w:rsidR="00E5305F">
        <w:rPr>
          <w:rFonts w:ascii="Times New Roman" w:eastAsia="Calibri" w:hAnsi="Times New Roman" w:cs="Times New Roman"/>
          <w:sz w:val="20"/>
          <w:szCs w:val="20"/>
        </w:rPr>
        <w:t>(</w:t>
      </w:r>
      <m:oMath>
        <m:r>
          <w:rPr>
            <w:rFonts w:ascii="Cambria Math" w:eastAsia="Calibri" w:hAnsi="Cambria Math" w:cs="Times New Roman"/>
            <w:sz w:val="20"/>
            <w:szCs w:val="20"/>
          </w:rPr>
          <m:t>RI</m:t>
        </m:r>
        <m:r>
          <m:rPr>
            <m:sty m:val="p"/>
          </m:rPr>
          <w:rPr>
            <w:rFonts w:ascii="Cambria Math" w:eastAsia="Calibri" w:hAnsi="Cambria Math" w:cs="Times New Roman"/>
            <w:sz w:val="20"/>
            <w:szCs w:val="20"/>
          </w:rPr>
          <m:t>)</m:t>
        </m:r>
      </m:oMath>
      <w:r w:rsidR="00E5305F" w:rsidRPr="004675BF">
        <w:rPr>
          <w:rFonts w:ascii="Times New Roman" w:eastAsia="Calibri" w:hAnsi="Times New Roman" w:cs="Times New Roman"/>
          <w:sz w:val="20"/>
          <w:szCs w:val="20"/>
        </w:rPr>
        <w:t xml:space="preserve"> </w:t>
      </w:r>
      <w:r w:rsidRPr="00BA2326">
        <w:rPr>
          <w:rFonts w:ascii="Times New Roman" w:hAnsi="Times New Roman" w:cs="Times New Roman"/>
          <w:sz w:val="20"/>
          <w:szCs w:val="20"/>
          <w:highlight w:val="yellow"/>
        </w:rPr>
        <w:t xml:space="preserve">is </w:t>
      </w:r>
      <w:proofErr w:type="spellStart"/>
      <w:r w:rsidRPr="00BA2326">
        <w:rPr>
          <w:rFonts w:ascii="Times New Roman" w:hAnsi="Times New Roman" w:cs="Times New Roman"/>
          <w:sz w:val="20"/>
          <w:szCs w:val="20"/>
          <w:highlight w:val="yellow"/>
        </w:rPr>
        <w:t>categorised</w:t>
      </w:r>
      <w:proofErr w:type="spellEnd"/>
      <w:r w:rsidRPr="00BA2326">
        <w:rPr>
          <w:rFonts w:ascii="Times New Roman" w:hAnsi="Times New Roman" w:cs="Times New Roman"/>
          <w:sz w:val="20"/>
          <w:szCs w:val="20"/>
          <w:highlight w:val="yellow"/>
        </w:rPr>
        <w:t xml:space="preserve"> into four </w:t>
      </w:r>
      <w:r w:rsidR="0074140F">
        <w:rPr>
          <w:rFonts w:ascii="Times New Roman" w:hAnsi="Times New Roman" w:cs="Times New Roman"/>
          <w:sz w:val="20"/>
          <w:szCs w:val="20"/>
        </w:rPr>
        <w:t xml:space="preserve">distinct </w:t>
      </w:r>
      <w:r w:rsidRPr="00BA2326">
        <w:rPr>
          <w:rFonts w:ascii="Times New Roman" w:hAnsi="Times New Roman" w:cs="Times New Roman"/>
          <w:sz w:val="20"/>
          <w:szCs w:val="20"/>
        </w:rPr>
        <w:t xml:space="preserve">groups, with </w:t>
      </w:r>
      <w:r w:rsidR="00BA6434">
        <w:rPr>
          <w:rFonts w:ascii="Times New Roman" w:hAnsi="Times New Roman" w:cs="Times New Roman"/>
          <w:sz w:val="20"/>
          <w:szCs w:val="20"/>
        </w:rPr>
        <w:t xml:space="preserve">corresponding </w:t>
      </w:r>
      <w:r w:rsidRPr="00BA2326">
        <w:rPr>
          <w:rFonts w:ascii="Times New Roman" w:hAnsi="Times New Roman" w:cs="Times New Roman"/>
          <w:sz w:val="20"/>
          <w:szCs w:val="20"/>
        </w:rPr>
        <w:t xml:space="preserve">values </w:t>
      </w:r>
      <w:r w:rsidR="00BA6434">
        <w:rPr>
          <w:rFonts w:ascii="Times New Roman" w:hAnsi="Times New Roman" w:cs="Times New Roman"/>
          <w:sz w:val="20"/>
          <w:szCs w:val="20"/>
        </w:rPr>
        <w:t>from below</w:t>
      </w:r>
      <w:r w:rsidRPr="00BA2326">
        <w:rPr>
          <w:rFonts w:ascii="Times New Roman" w:hAnsi="Times New Roman" w:cs="Times New Roman"/>
          <w:sz w:val="20"/>
          <w:szCs w:val="20"/>
        </w:rPr>
        <w:t xml:space="preserve"> 150 to </w:t>
      </w:r>
      <w:r w:rsidR="00BA6434">
        <w:rPr>
          <w:rFonts w:ascii="Times New Roman" w:hAnsi="Times New Roman" w:cs="Times New Roman"/>
          <w:sz w:val="20"/>
          <w:szCs w:val="20"/>
        </w:rPr>
        <w:t>above</w:t>
      </w:r>
      <w:r w:rsidRPr="00BA2326">
        <w:rPr>
          <w:rFonts w:ascii="Times New Roman" w:hAnsi="Times New Roman" w:cs="Times New Roman"/>
          <w:sz w:val="20"/>
          <w:szCs w:val="20"/>
        </w:rPr>
        <w:t xml:space="preserve"> 600, as outlined in </w:t>
      </w:r>
      <w:r w:rsidRPr="00BA2326">
        <w:rPr>
          <w:rFonts w:ascii="Times New Roman" w:hAnsi="Times New Roman" w:cs="Times New Roman"/>
          <w:color w:val="2660F0"/>
          <w:sz w:val="20"/>
          <w:szCs w:val="20"/>
        </w:rPr>
        <w:t>Table 6</w:t>
      </w:r>
      <w:r w:rsidRPr="00BA2326">
        <w:rPr>
          <w:rFonts w:ascii="Times New Roman" w:hAnsi="Times New Roman" w:cs="Times New Roman"/>
          <w:sz w:val="20"/>
          <w:szCs w:val="20"/>
        </w:rPr>
        <w:t xml:space="preserve"> (</w:t>
      </w:r>
      <w:proofErr w:type="spellStart"/>
      <w:r w:rsidRPr="00BA2326">
        <w:rPr>
          <w:rFonts w:ascii="Times New Roman" w:hAnsi="Times New Roman" w:cs="Times New Roman"/>
          <w:color w:val="2660F0"/>
          <w:sz w:val="20"/>
          <w:szCs w:val="20"/>
        </w:rPr>
        <w:t>Pobi</w:t>
      </w:r>
      <w:proofErr w:type="spellEnd"/>
      <w:r w:rsidRPr="00BA2326">
        <w:rPr>
          <w:rFonts w:ascii="Times New Roman" w:hAnsi="Times New Roman" w:cs="Times New Roman"/>
          <w:color w:val="2660F0"/>
          <w:sz w:val="20"/>
          <w:szCs w:val="20"/>
        </w:rPr>
        <w:t xml:space="preserve"> et al., 2019</w:t>
      </w:r>
      <w:r w:rsidRPr="00BA2326">
        <w:rPr>
          <w:rFonts w:ascii="Times New Roman" w:hAnsi="Times New Roman" w:cs="Times New Roman"/>
          <w:sz w:val="20"/>
          <w:szCs w:val="20"/>
        </w:rPr>
        <w:t>).</w:t>
      </w:r>
      <w:r w:rsidR="0074140F">
        <w:rPr>
          <w:rFonts w:ascii="Times New Roman" w:hAnsi="Times New Roman" w:cs="Times New Roman"/>
          <w:sz w:val="20"/>
          <w:szCs w:val="20"/>
        </w:rPr>
        <w:t xml:space="preserve"> </w:t>
      </w:r>
    </w:p>
    <w:p w14:paraId="167BB1A8" w14:textId="77777777" w:rsidR="00300BC1" w:rsidRPr="00CB1234" w:rsidRDefault="00300BC1" w:rsidP="00CB1234">
      <w:pPr>
        <w:spacing w:after="0" w:line="240" w:lineRule="auto"/>
        <w:contextualSpacing/>
        <w:jc w:val="both"/>
        <w:rPr>
          <w:rFonts w:ascii="Times New Roman" w:hAnsi="Times New Roman" w:cs="Times New Roman"/>
          <w:sz w:val="20"/>
          <w:szCs w:val="20"/>
        </w:rPr>
      </w:pPr>
    </w:p>
    <w:p w14:paraId="225B2C63" w14:textId="77777777" w:rsidR="00CB1234" w:rsidRPr="00CB1234" w:rsidRDefault="00CB1234" w:rsidP="00CE2C46">
      <w:pPr>
        <w:spacing w:after="0" w:line="276" w:lineRule="auto"/>
        <w:contextualSpacing/>
        <w:jc w:val="center"/>
        <w:rPr>
          <w:rFonts w:ascii="Times New Roman" w:hAnsi="Times New Roman" w:cs="Times New Roman"/>
          <w:sz w:val="20"/>
          <w:szCs w:val="20"/>
        </w:rPr>
      </w:pPr>
      <w:r w:rsidRPr="00CB1234">
        <w:rPr>
          <w:rFonts w:ascii="Times New Roman" w:hAnsi="Times New Roman" w:cs="Times New Roman"/>
          <w:b/>
          <w:bCs/>
          <w:sz w:val="20"/>
          <w:szCs w:val="20"/>
        </w:rPr>
        <w:t xml:space="preserve">Table </w:t>
      </w:r>
      <w:r w:rsidR="007C6752">
        <w:rPr>
          <w:rFonts w:ascii="Times New Roman" w:hAnsi="Times New Roman" w:cs="Times New Roman"/>
          <w:b/>
          <w:bCs/>
          <w:sz w:val="20"/>
          <w:szCs w:val="20"/>
        </w:rPr>
        <w:t>6</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Description </w:t>
      </w:r>
      <w:r w:rsidR="006273CD">
        <w:rPr>
          <w:rFonts w:ascii="Times New Roman" w:hAnsi="Times New Roman" w:cs="Times New Roman"/>
          <w:sz w:val="20"/>
          <w:szCs w:val="20"/>
        </w:rPr>
        <w:t xml:space="preserve">and Identification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p</w:t>
      </w:r>
      <w:r w:rsidRPr="00CB1234">
        <w:rPr>
          <w:rFonts w:ascii="Times New Roman" w:hAnsi="Times New Roman" w:cs="Times New Roman"/>
          <w:sz w:val="20"/>
          <w:szCs w:val="20"/>
        </w:rPr>
        <w:t xml:space="preserve">otential </w:t>
      </w:r>
      <w:r w:rsidR="006E0FE0">
        <w:rPr>
          <w:rFonts w:ascii="Times New Roman" w:hAnsi="Times New Roman" w:cs="Times New Roman"/>
          <w:sz w:val="20"/>
          <w:szCs w:val="20"/>
        </w:rPr>
        <w:t>e</w:t>
      </w:r>
      <w:r w:rsidRPr="00CB1234">
        <w:rPr>
          <w:rFonts w:ascii="Times New Roman" w:hAnsi="Times New Roman" w:cs="Times New Roman"/>
          <w:sz w:val="20"/>
          <w:szCs w:val="20"/>
        </w:rPr>
        <w:t xml:space="preserve">cological </w:t>
      </w:r>
      <w:r w:rsidR="006E0FE0">
        <w:rPr>
          <w:rFonts w:ascii="Times New Roman" w:hAnsi="Times New Roman" w:cs="Times New Roman"/>
          <w:sz w:val="20"/>
          <w:szCs w:val="20"/>
        </w:rPr>
        <w:t>r</w:t>
      </w:r>
      <w:r w:rsidRPr="00CB1234">
        <w:rPr>
          <w:rFonts w:ascii="Times New Roman" w:hAnsi="Times New Roman" w:cs="Times New Roman"/>
          <w:sz w:val="20"/>
          <w:szCs w:val="20"/>
        </w:rPr>
        <w:t xml:space="preserve">isk </w:t>
      </w:r>
      <w:r w:rsidR="006E0FE0">
        <w:rPr>
          <w:rFonts w:ascii="Times New Roman" w:hAnsi="Times New Roman" w:cs="Times New Roman"/>
          <w:sz w:val="20"/>
          <w:szCs w:val="20"/>
        </w:rPr>
        <w:t>i</w:t>
      </w:r>
      <w:r w:rsidRPr="00CB1234">
        <w:rPr>
          <w:rFonts w:ascii="Times New Roman" w:hAnsi="Times New Roman" w:cs="Times New Roman"/>
          <w:sz w:val="20"/>
          <w:szCs w:val="20"/>
        </w:rPr>
        <w:t xml:space="preserve">ndex (RI) </w:t>
      </w:r>
      <w:r w:rsidR="00484505" w:rsidRPr="00484505">
        <w:rPr>
          <w:rFonts w:ascii="Times New Roman" w:hAnsi="Times New Roman" w:cs="Times New Roman"/>
          <w:sz w:val="20"/>
          <w:szCs w:val="20"/>
        </w:rPr>
        <w:t>(</w:t>
      </w:r>
      <w:proofErr w:type="spellStart"/>
      <w:r w:rsidR="00484505" w:rsidRPr="00484505">
        <w:rPr>
          <w:rFonts w:ascii="Times New Roman" w:hAnsi="Times New Roman" w:cs="Times New Roman"/>
          <w:color w:val="2660F0"/>
          <w:sz w:val="20"/>
          <w:szCs w:val="20"/>
        </w:rPr>
        <w:t>Pobi</w:t>
      </w:r>
      <w:proofErr w:type="spellEnd"/>
      <w:r w:rsidR="00484505" w:rsidRPr="00484505">
        <w:rPr>
          <w:rFonts w:ascii="Times New Roman" w:hAnsi="Times New Roman" w:cs="Times New Roman"/>
          <w:color w:val="2660F0"/>
          <w:sz w:val="20"/>
          <w:szCs w:val="20"/>
        </w:rPr>
        <w:t xml:space="preserve"> et al., 2019</w:t>
      </w:r>
      <w:r w:rsidR="00484505" w:rsidRPr="00484505">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693"/>
      </w:tblGrid>
      <w:tr w:rsidR="00493E00" w:rsidRPr="00CB1234" w14:paraId="262FFC19" w14:textId="77777777" w:rsidTr="00D17E19">
        <w:trPr>
          <w:trHeight w:val="70"/>
          <w:jc w:val="center"/>
        </w:trPr>
        <w:tc>
          <w:tcPr>
            <w:tcW w:w="1701" w:type="dxa"/>
            <w:tcBorders>
              <w:top w:val="single" w:sz="4" w:space="0" w:color="auto"/>
              <w:bottom w:val="single" w:sz="4" w:space="0" w:color="auto"/>
            </w:tcBorders>
          </w:tcPr>
          <w:p w14:paraId="1EC287D7"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lastRenderedPageBreak/>
              <w:t>Value</w:t>
            </w:r>
          </w:p>
        </w:tc>
        <w:tc>
          <w:tcPr>
            <w:tcW w:w="2693" w:type="dxa"/>
            <w:tcBorders>
              <w:top w:val="single" w:sz="4" w:space="0" w:color="auto"/>
              <w:bottom w:val="single" w:sz="4" w:space="0" w:color="auto"/>
            </w:tcBorders>
          </w:tcPr>
          <w:p w14:paraId="27E20D96"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Soil Quality</w:t>
            </w:r>
          </w:p>
        </w:tc>
      </w:tr>
      <w:tr w:rsidR="00493E00" w:rsidRPr="00CB1234" w14:paraId="2206D7A0" w14:textId="77777777" w:rsidTr="00CA074F">
        <w:trPr>
          <w:jc w:val="center"/>
        </w:trPr>
        <w:tc>
          <w:tcPr>
            <w:tcW w:w="1701" w:type="dxa"/>
            <w:tcBorders>
              <w:top w:val="single" w:sz="4" w:space="0" w:color="auto"/>
            </w:tcBorders>
          </w:tcPr>
          <w:p w14:paraId="19E7254C"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F11F37">
              <w:rPr>
                <w:rFonts w:ascii="Times New Roman" w:hAnsi="Times New Roman" w:cs="Times New Roman"/>
                <w:i/>
                <w:iCs/>
                <w:sz w:val="20"/>
                <w:szCs w:val="20"/>
              </w:rPr>
              <w:t>RI</w:t>
            </w:r>
            <w:r w:rsidRPr="00CB1234">
              <w:rPr>
                <w:rFonts w:ascii="Times New Roman" w:hAnsi="Times New Roman" w:cs="Times New Roman"/>
                <w:sz w:val="20"/>
                <w:szCs w:val="20"/>
              </w:rPr>
              <w:t xml:space="preserve"> ≤ 150</w:t>
            </w:r>
          </w:p>
        </w:tc>
        <w:tc>
          <w:tcPr>
            <w:tcW w:w="2693" w:type="dxa"/>
            <w:tcBorders>
              <w:top w:val="single" w:sz="4" w:space="0" w:color="auto"/>
            </w:tcBorders>
          </w:tcPr>
          <w:p w14:paraId="538EA2C2"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Low Ecological Risk</w:t>
            </w:r>
          </w:p>
        </w:tc>
      </w:tr>
      <w:tr w:rsidR="00493E00" w:rsidRPr="00CB1234" w14:paraId="05DDC206" w14:textId="77777777" w:rsidTr="00CA074F">
        <w:trPr>
          <w:jc w:val="center"/>
        </w:trPr>
        <w:tc>
          <w:tcPr>
            <w:tcW w:w="1701" w:type="dxa"/>
          </w:tcPr>
          <w:p w14:paraId="7B8AE538"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150 &lt; </w:t>
            </w:r>
            <w:r w:rsidRPr="00F11F37">
              <w:rPr>
                <w:rFonts w:ascii="Times New Roman" w:hAnsi="Times New Roman" w:cs="Times New Roman"/>
                <w:i/>
                <w:iCs/>
                <w:sz w:val="20"/>
                <w:szCs w:val="20"/>
              </w:rPr>
              <w:t xml:space="preserve">RI </w:t>
            </w:r>
            <w:r w:rsidRPr="00CB1234">
              <w:rPr>
                <w:rFonts w:ascii="Times New Roman" w:hAnsi="Times New Roman" w:cs="Times New Roman"/>
                <w:sz w:val="20"/>
                <w:szCs w:val="20"/>
              </w:rPr>
              <w:t>≤ 300</w:t>
            </w:r>
          </w:p>
        </w:tc>
        <w:tc>
          <w:tcPr>
            <w:tcW w:w="2693" w:type="dxa"/>
          </w:tcPr>
          <w:p w14:paraId="1A889C38"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Moderate Ecological Risk</w:t>
            </w:r>
          </w:p>
        </w:tc>
      </w:tr>
      <w:tr w:rsidR="00493E00" w:rsidRPr="00CB1234" w14:paraId="236C99D6" w14:textId="77777777" w:rsidTr="00CA074F">
        <w:trPr>
          <w:jc w:val="center"/>
        </w:trPr>
        <w:tc>
          <w:tcPr>
            <w:tcW w:w="1701" w:type="dxa"/>
          </w:tcPr>
          <w:p w14:paraId="27692411"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300 &lt; </w:t>
            </w:r>
            <w:r w:rsidRPr="00F11F37">
              <w:rPr>
                <w:rFonts w:ascii="Times New Roman" w:hAnsi="Times New Roman" w:cs="Times New Roman"/>
                <w:i/>
                <w:iCs/>
                <w:sz w:val="20"/>
                <w:szCs w:val="20"/>
              </w:rPr>
              <w:t>RI</w:t>
            </w:r>
            <w:r w:rsidRPr="00CB1234">
              <w:rPr>
                <w:rFonts w:ascii="Times New Roman" w:hAnsi="Times New Roman" w:cs="Times New Roman"/>
                <w:sz w:val="20"/>
                <w:szCs w:val="20"/>
              </w:rPr>
              <w:t xml:space="preserve"> ≤ 600</w:t>
            </w:r>
          </w:p>
        </w:tc>
        <w:tc>
          <w:tcPr>
            <w:tcW w:w="2693" w:type="dxa"/>
          </w:tcPr>
          <w:p w14:paraId="07996962"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Considerable Ecological Risk</w:t>
            </w:r>
          </w:p>
        </w:tc>
      </w:tr>
      <w:tr w:rsidR="00493E00" w:rsidRPr="00CB1234" w14:paraId="77BDC40B" w14:textId="77777777" w:rsidTr="00CA074F">
        <w:trPr>
          <w:jc w:val="center"/>
        </w:trPr>
        <w:tc>
          <w:tcPr>
            <w:tcW w:w="1701" w:type="dxa"/>
          </w:tcPr>
          <w:p w14:paraId="18567A4A"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F11F37">
              <w:rPr>
                <w:rFonts w:ascii="Times New Roman" w:hAnsi="Times New Roman" w:cs="Times New Roman"/>
                <w:i/>
                <w:iCs/>
                <w:sz w:val="20"/>
                <w:szCs w:val="20"/>
              </w:rPr>
              <w:t xml:space="preserve">RI </w:t>
            </w:r>
            <w:r w:rsidRPr="00CB1234">
              <w:rPr>
                <w:rFonts w:ascii="Times New Roman" w:hAnsi="Times New Roman" w:cs="Times New Roman"/>
                <w:sz w:val="20"/>
                <w:szCs w:val="20"/>
              </w:rPr>
              <w:t>&gt; 600</w:t>
            </w:r>
          </w:p>
        </w:tc>
        <w:tc>
          <w:tcPr>
            <w:tcW w:w="2693" w:type="dxa"/>
          </w:tcPr>
          <w:p w14:paraId="489E30AA"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Very High Ecological Risk</w:t>
            </w:r>
          </w:p>
        </w:tc>
      </w:tr>
    </w:tbl>
    <w:p w14:paraId="4616D57A" w14:textId="77777777" w:rsidR="006A1370" w:rsidRDefault="006A1370" w:rsidP="00AD7127">
      <w:pPr>
        <w:spacing w:after="0" w:line="276" w:lineRule="auto"/>
        <w:contextualSpacing/>
        <w:jc w:val="both"/>
        <w:rPr>
          <w:rFonts w:ascii="Times New Roman" w:hAnsi="Times New Roman" w:cs="Times New Roman"/>
          <w:sz w:val="20"/>
          <w:szCs w:val="20"/>
        </w:rPr>
      </w:pPr>
    </w:p>
    <w:p w14:paraId="75089058" w14:textId="77777777" w:rsidR="006A1370" w:rsidRPr="00A950A4" w:rsidRDefault="006A1370" w:rsidP="006A1370">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w:t>
      </w:r>
      <w:r w:rsidRPr="00A950A4">
        <w:rPr>
          <w:rFonts w:ascii="Times New Roman" w:hAnsi="Times New Roman" w:cs="Times New Roman"/>
          <w:b/>
          <w:bCs/>
          <w:sz w:val="20"/>
          <w:szCs w:val="20"/>
        </w:rPr>
        <w:t>.2.</w:t>
      </w:r>
      <w:r w:rsidR="003436A3">
        <w:rPr>
          <w:rFonts w:ascii="Times New Roman" w:hAnsi="Times New Roman" w:cs="Times New Roman"/>
          <w:b/>
          <w:bCs/>
          <w:sz w:val="20"/>
          <w:szCs w:val="20"/>
        </w:rPr>
        <w:t>5</w:t>
      </w:r>
      <w:r w:rsidRPr="00A950A4">
        <w:rPr>
          <w:rFonts w:ascii="Times New Roman" w:hAnsi="Times New Roman" w:cs="Times New Roman"/>
          <w:b/>
          <w:bCs/>
          <w:sz w:val="20"/>
          <w:szCs w:val="20"/>
        </w:rPr>
        <w:t xml:space="preserve"> </w:t>
      </w:r>
      <w:r>
        <w:rPr>
          <w:rFonts w:ascii="Times New Roman" w:hAnsi="Times New Roman" w:cs="Times New Roman"/>
          <w:b/>
          <w:bCs/>
          <w:sz w:val="20"/>
          <w:szCs w:val="20"/>
        </w:rPr>
        <w:t xml:space="preserve">Contaminants Reduction </w:t>
      </w:r>
      <w:r w:rsidR="00655F9B">
        <w:rPr>
          <w:rFonts w:ascii="Times New Roman" w:hAnsi="Times New Roman" w:cs="Times New Roman"/>
          <w:b/>
          <w:bCs/>
          <w:sz w:val="20"/>
          <w:szCs w:val="20"/>
        </w:rPr>
        <w:t>Assessment</w:t>
      </w:r>
    </w:p>
    <w:p w14:paraId="649676CE" w14:textId="77777777" w:rsidR="006A1370" w:rsidRDefault="006A1370" w:rsidP="006A137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This study assessed contaminant reduction using a straightforward temporal heavy</w:t>
      </w:r>
      <w:r>
        <w:rPr>
          <w:rFonts w:ascii="Times New Roman" w:hAnsi="Times New Roman" w:cs="Times New Roman"/>
          <w:sz w:val="20"/>
          <w:szCs w:val="20"/>
          <w:highlight w:val="yellow"/>
        </w:rPr>
        <w:t>-</w:t>
      </w:r>
      <w:r>
        <w:rPr>
          <w:rFonts w:ascii="Times New Roman" w:hAnsi="Times New Roman" w:cs="Times New Roman"/>
          <w:sz w:val="20"/>
          <w:szCs w:val="20"/>
        </w:rPr>
        <w:t>metal percentage</w:t>
      </w:r>
      <w:r>
        <w:rPr>
          <w:rFonts w:ascii="Times New Roman" w:hAnsi="Times New Roman" w:cs="Times New Roman"/>
          <w:sz w:val="20"/>
          <w:szCs w:val="20"/>
          <w:highlight w:val="yellow"/>
        </w:rPr>
        <w:t>-</w:t>
      </w:r>
      <w:r>
        <w:rPr>
          <w:rFonts w:ascii="Times New Roman" w:hAnsi="Times New Roman" w:cs="Times New Roman"/>
          <w:sz w:val="20"/>
          <w:szCs w:val="20"/>
        </w:rPr>
        <w:t>reduction method (</w:t>
      </w:r>
      <w:r>
        <w:rPr>
          <w:rFonts w:ascii="Times New Roman" w:hAnsi="Times New Roman" w:cs="Times New Roman"/>
          <w:color w:val="2660F0"/>
          <w:sz w:val="20"/>
          <w:szCs w:val="20"/>
        </w:rPr>
        <w:t>Altan et al., 2011</w:t>
      </w:r>
      <w:r>
        <w:rPr>
          <w:rFonts w:ascii="Times New Roman" w:hAnsi="Times New Roman" w:cs="Times New Roman"/>
          <w:sz w:val="20"/>
          <w:szCs w:val="20"/>
        </w:rPr>
        <w:t>). The spatiotemporal changes for each heavy metal were determined based on the alterations or reductions observed across corresponding sample points between the first and second sampling phases (</w:t>
      </w:r>
      <w:r>
        <w:rPr>
          <w:rFonts w:ascii="Times New Roman" w:hAnsi="Times New Roman" w:cs="Times New Roman"/>
          <w:color w:val="2660F0"/>
          <w:sz w:val="20"/>
          <w:szCs w:val="20"/>
        </w:rPr>
        <w:t>Altan et al., 2011</w:t>
      </w:r>
      <w:r>
        <w:rPr>
          <w:rFonts w:ascii="Times New Roman" w:hAnsi="Times New Roman" w:cs="Times New Roman"/>
          <w:sz w:val="20"/>
          <w:szCs w:val="20"/>
        </w:rPr>
        <w:t xml:space="preserve">). The assessment compares the initial average contamination levels in the first phase with the final average contamination levels observed in the second phase to determine the overall </w:t>
      </w:r>
      <w:r>
        <w:rPr>
          <w:rFonts w:ascii="Times New Roman" w:hAnsi="Times New Roman" w:cs="Times New Roman"/>
          <w:sz w:val="20"/>
          <w:szCs w:val="20"/>
          <w:highlight w:val="yellow"/>
        </w:rPr>
        <w:t>percentage re</w:t>
      </w:r>
      <w:r>
        <w:rPr>
          <w:rFonts w:ascii="Times New Roman" w:hAnsi="Times New Roman" w:cs="Times New Roman"/>
          <w:sz w:val="20"/>
          <w:szCs w:val="20"/>
        </w:rPr>
        <w:t>d</w:t>
      </w:r>
      <w:r>
        <w:rPr>
          <w:rFonts w:ascii="Times New Roman" w:hAnsi="Times New Roman" w:cs="Times New Roman"/>
          <w:sz w:val="20"/>
          <w:szCs w:val="20"/>
          <w:highlight w:val="yellow"/>
        </w:rPr>
        <w:t>ucti</w:t>
      </w:r>
      <w:r>
        <w:rPr>
          <w:rFonts w:ascii="Times New Roman" w:hAnsi="Times New Roman" w:cs="Times New Roman"/>
          <w:sz w:val="20"/>
          <w:szCs w:val="20"/>
        </w:rPr>
        <w:t>o</w:t>
      </w:r>
      <w:r>
        <w:rPr>
          <w:rFonts w:ascii="Times New Roman" w:hAnsi="Times New Roman" w:cs="Times New Roman"/>
          <w:sz w:val="20"/>
          <w:szCs w:val="20"/>
          <w:highlight w:val="yellow"/>
        </w:rPr>
        <w:t>n</w:t>
      </w:r>
      <w:r>
        <w:rPr>
          <w:rFonts w:ascii="Times New Roman" w:hAnsi="Times New Roman" w:cs="Times New Roman"/>
          <w:sz w:val="20"/>
          <w:szCs w:val="20"/>
        </w:rPr>
        <w:t xml:space="preserve"> in residual heavy</w:t>
      </w:r>
      <w:r>
        <w:rPr>
          <w:rFonts w:ascii="Times New Roman" w:hAnsi="Times New Roman" w:cs="Times New Roman"/>
          <w:sz w:val="20"/>
          <w:szCs w:val="20"/>
          <w:highlight w:val="yellow"/>
        </w:rPr>
        <w:t>-</w:t>
      </w:r>
      <w:r>
        <w:rPr>
          <w:rFonts w:ascii="Times New Roman" w:hAnsi="Times New Roman" w:cs="Times New Roman"/>
          <w:sz w:val="20"/>
          <w:szCs w:val="20"/>
        </w:rPr>
        <w:t>metal contamination (</w:t>
      </w:r>
      <w:r>
        <w:rPr>
          <w:rFonts w:ascii="Times New Roman" w:hAnsi="Times New Roman" w:cs="Times New Roman"/>
          <w:color w:val="2660F0"/>
          <w:sz w:val="20"/>
          <w:szCs w:val="20"/>
        </w:rPr>
        <w:t>Mohamed et al., 2024</w:t>
      </w:r>
      <w:r>
        <w:rPr>
          <w:rFonts w:ascii="Times New Roman" w:hAnsi="Times New Roman" w:cs="Times New Roman"/>
          <w:sz w:val="20"/>
          <w:szCs w:val="20"/>
        </w:rPr>
        <w:t xml:space="preserve">). It was calculated using </w:t>
      </w:r>
      <w:r>
        <w:rPr>
          <w:rFonts w:ascii="Times New Roman" w:hAnsi="Times New Roman" w:cs="Times New Roman"/>
          <w:color w:val="2660F0"/>
          <w:sz w:val="20"/>
          <w:szCs w:val="20"/>
        </w:rPr>
        <w:t>Equation 7</w:t>
      </w:r>
      <w:r>
        <w:rPr>
          <w:rFonts w:ascii="Times New Roman" w:hAnsi="Times New Roman" w:cs="Times New Roman"/>
          <w:sz w:val="20"/>
          <w:szCs w:val="20"/>
        </w:rPr>
        <w:t>.</w:t>
      </w:r>
    </w:p>
    <w:p w14:paraId="7B5899F8" w14:textId="77777777" w:rsidR="006A1370" w:rsidRPr="00763151" w:rsidRDefault="006A1370" w:rsidP="006A1370">
      <w:pPr>
        <w:spacing w:after="0" w:line="240" w:lineRule="auto"/>
        <w:jc w:val="both"/>
        <w:rPr>
          <w:rFonts w:ascii="Times New Roman" w:hAnsi="Times New Roman" w:cs="Times New Roman"/>
          <w:sz w:val="20"/>
          <w:szCs w:val="20"/>
        </w:rPr>
      </w:pPr>
    </w:p>
    <w:p w14:paraId="1117B6D5" w14:textId="77777777" w:rsidR="001D5557" w:rsidRDefault="006A1370" w:rsidP="00B25960">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Percentage Reduction=</m:t>
        </m:r>
        <m:f>
          <m:fPr>
            <m:ctrlPr>
              <w:rPr>
                <w:rFonts w:ascii="Cambria Math" w:hAnsi="Cambria Math" w:cs="Times New Roman"/>
                <w:i/>
                <w:sz w:val="20"/>
                <w:szCs w:val="20"/>
              </w:rPr>
            </m:ctrlPr>
          </m:fPr>
          <m:num>
            <m:r>
              <w:rPr>
                <w:rFonts w:ascii="Cambria Math" w:hAnsi="Cambria Math" w:cs="Times New Roman"/>
                <w:sz w:val="20"/>
                <w:szCs w:val="20"/>
              </w:rPr>
              <m:t xml:space="preserve">    Initial Average Concentrations - Final Average Concentrations</m:t>
            </m:r>
          </m:num>
          <m:den>
            <m:r>
              <w:rPr>
                <w:rFonts w:ascii="Cambria Math" w:hAnsi="Cambria Math" w:cs="Times New Roman"/>
                <w:sz w:val="20"/>
                <w:szCs w:val="20"/>
              </w:rPr>
              <m:t>Initial Average Concentration</m:t>
            </m:r>
          </m:den>
        </m:f>
        <m:r>
          <w:rPr>
            <w:rFonts w:ascii="Cambria Math" w:hAnsi="Cambria Math" w:cs="Times New Roman"/>
            <w:sz w:val="20"/>
            <w:szCs w:val="20"/>
          </w:rPr>
          <m:t xml:space="preserve"> X 100</m:t>
        </m:r>
      </m:oMath>
      <w:r w:rsidRPr="00CB1234">
        <w:rPr>
          <w:rFonts w:ascii="Times New Roman" w:hAnsi="Times New Roman" w:cs="Times New Roman"/>
          <w:sz w:val="20"/>
          <w:szCs w:val="20"/>
        </w:rPr>
        <w:t xml:space="preserve">  --------------(</w:t>
      </w:r>
      <w:r w:rsidR="00DA3686">
        <w:rPr>
          <w:rFonts w:ascii="Times New Roman" w:hAnsi="Times New Roman" w:cs="Times New Roman"/>
          <w:sz w:val="20"/>
          <w:szCs w:val="20"/>
        </w:rPr>
        <w:t>7</w:t>
      </w:r>
      <w:r w:rsidRPr="00CB1234">
        <w:rPr>
          <w:rFonts w:ascii="Times New Roman" w:hAnsi="Times New Roman" w:cs="Times New Roman"/>
          <w:sz w:val="20"/>
          <w:szCs w:val="20"/>
        </w:rPr>
        <w:t>)</w:t>
      </w:r>
      <w:r w:rsidR="00CB1234" w:rsidRPr="00CB1234">
        <w:rPr>
          <w:rFonts w:ascii="Times New Roman" w:hAnsi="Times New Roman" w:cs="Times New Roman"/>
          <w:sz w:val="20"/>
          <w:szCs w:val="20"/>
        </w:rPr>
        <w:tab/>
      </w:r>
    </w:p>
    <w:p w14:paraId="55CDC70B" w14:textId="77777777" w:rsidR="006A1370" w:rsidRPr="00B25960" w:rsidRDefault="006A1370" w:rsidP="008A1D85">
      <w:pPr>
        <w:spacing w:after="0" w:line="240" w:lineRule="auto"/>
        <w:contextualSpacing/>
        <w:jc w:val="both"/>
        <w:rPr>
          <w:rFonts w:ascii="Times New Roman" w:eastAsia="Calibri" w:hAnsi="Times New Roman" w:cs="Times New Roman"/>
          <w:color w:val="FF0000"/>
          <w:sz w:val="20"/>
          <w:szCs w:val="20"/>
        </w:rPr>
      </w:pPr>
    </w:p>
    <w:p w14:paraId="5259DDA4" w14:textId="77777777" w:rsidR="005C4C11" w:rsidRPr="00FD5316" w:rsidRDefault="004F00BB" w:rsidP="00FD5316">
      <w:pPr>
        <w:spacing w:after="0" w:line="240" w:lineRule="auto"/>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r w:rsidR="008D1E44" w:rsidRPr="007B63F4">
        <w:rPr>
          <w:rFonts w:ascii="Times New Roman" w:eastAsia="Times New Roman" w:hAnsi="Times New Roman" w:cs="Times New Roman"/>
          <w:b/>
          <w:bCs/>
          <w:sz w:val="20"/>
          <w:szCs w:val="20"/>
        </w:rPr>
        <w:t>. Results</w:t>
      </w:r>
      <w:r w:rsidR="00381261" w:rsidRPr="007B63F4">
        <w:rPr>
          <w:rFonts w:ascii="Times New Roman" w:eastAsia="Times New Roman" w:hAnsi="Times New Roman" w:cs="Times New Roman"/>
          <w:b/>
          <w:bCs/>
          <w:sz w:val="20"/>
          <w:szCs w:val="20"/>
        </w:rPr>
        <w:t xml:space="preserve"> and </w:t>
      </w:r>
      <w:r w:rsidR="008D1E44" w:rsidRPr="007B63F4">
        <w:rPr>
          <w:rFonts w:ascii="Times New Roman" w:eastAsia="Times New Roman" w:hAnsi="Times New Roman" w:cs="Times New Roman"/>
          <w:b/>
          <w:bCs/>
          <w:sz w:val="20"/>
          <w:szCs w:val="20"/>
        </w:rPr>
        <w:t>Discussion</w:t>
      </w:r>
      <w:bookmarkStart w:id="15" w:name="_Hlk176008687"/>
    </w:p>
    <w:p w14:paraId="5C98C4F4" w14:textId="77777777" w:rsidR="00410F50" w:rsidRDefault="00410F50" w:rsidP="00534F57">
      <w:pPr>
        <w:tabs>
          <w:tab w:val="left" w:pos="7747"/>
        </w:tabs>
        <w:spacing w:after="0" w:line="240" w:lineRule="auto"/>
        <w:jc w:val="both"/>
        <w:rPr>
          <w:rFonts w:ascii="Times New Roman" w:hAnsi="Times New Roman" w:cs="Times New Roman"/>
          <w:b/>
          <w:sz w:val="20"/>
          <w:szCs w:val="20"/>
        </w:rPr>
      </w:pPr>
    </w:p>
    <w:p w14:paraId="6BC89F74" w14:textId="77777777" w:rsidR="00D87046" w:rsidRPr="00213F71" w:rsidRDefault="004F00BB" w:rsidP="00A126FD">
      <w:pPr>
        <w:tabs>
          <w:tab w:val="left" w:pos="7747"/>
        </w:tabs>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3</w:t>
      </w:r>
      <w:r w:rsidR="00D87046" w:rsidRPr="00213F71">
        <w:rPr>
          <w:rFonts w:ascii="Times New Roman" w:hAnsi="Times New Roman" w:cs="Times New Roman"/>
          <w:b/>
          <w:sz w:val="20"/>
          <w:szCs w:val="20"/>
        </w:rPr>
        <w:t>.</w:t>
      </w:r>
      <w:r>
        <w:rPr>
          <w:rFonts w:ascii="Times New Roman" w:hAnsi="Times New Roman" w:cs="Times New Roman"/>
          <w:b/>
          <w:sz w:val="20"/>
          <w:szCs w:val="20"/>
        </w:rPr>
        <w:t>1</w:t>
      </w:r>
      <w:r w:rsidR="00D87046" w:rsidRPr="00213F71">
        <w:rPr>
          <w:rFonts w:ascii="Times New Roman" w:hAnsi="Times New Roman" w:cs="Times New Roman"/>
          <w:b/>
          <w:sz w:val="20"/>
          <w:szCs w:val="20"/>
        </w:rPr>
        <w:t xml:space="preserve"> </w:t>
      </w:r>
      <w:r w:rsidR="007458CD">
        <w:rPr>
          <w:rFonts w:ascii="Times New Roman" w:eastAsia="Calibri" w:hAnsi="Times New Roman" w:cs="Times New Roman"/>
          <w:b/>
          <w:sz w:val="20"/>
          <w:szCs w:val="20"/>
        </w:rPr>
        <w:t>Heavy Metal</w:t>
      </w:r>
      <w:r w:rsidR="002101B8">
        <w:rPr>
          <w:rFonts w:ascii="Times New Roman" w:eastAsia="Calibri" w:hAnsi="Times New Roman" w:cs="Times New Roman"/>
          <w:b/>
          <w:sz w:val="20"/>
          <w:szCs w:val="20"/>
        </w:rPr>
        <w:t xml:space="preserve"> Flux</w:t>
      </w:r>
      <w:r w:rsidR="00EF34F8" w:rsidRPr="00213F71">
        <w:rPr>
          <w:rFonts w:ascii="Times New Roman" w:hAnsi="Times New Roman" w:cs="Times New Roman"/>
          <w:b/>
          <w:sz w:val="20"/>
          <w:szCs w:val="20"/>
        </w:rPr>
        <w:t xml:space="preserve"> </w:t>
      </w:r>
      <w:r w:rsidR="00EF34F8">
        <w:rPr>
          <w:rFonts w:ascii="Times New Roman" w:hAnsi="Times New Roman" w:cs="Times New Roman"/>
          <w:b/>
          <w:sz w:val="20"/>
          <w:szCs w:val="20"/>
        </w:rPr>
        <w:t xml:space="preserve">and </w:t>
      </w:r>
      <w:r w:rsidR="00D87046" w:rsidRPr="00213F71">
        <w:rPr>
          <w:rFonts w:ascii="Times New Roman" w:hAnsi="Times New Roman" w:cs="Times New Roman"/>
          <w:b/>
          <w:sz w:val="20"/>
          <w:szCs w:val="20"/>
        </w:rPr>
        <w:t>Spati</w:t>
      </w:r>
      <w:r w:rsidR="003A2309" w:rsidRPr="00213F71">
        <w:rPr>
          <w:rFonts w:ascii="Times New Roman" w:hAnsi="Times New Roman" w:cs="Times New Roman"/>
          <w:b/>
          <w:sz w:val="20"/>
          <w:szCs w:val="20"/>
        </w:rPr>
        <w:t>o</w:t>
      </w:r>
      <w:r w:rsidR="00E37DF9">
        <w:rPr>
          <w:rFonts w:ascii="Times New Roman" w:hAnsi="Times New Roman" w:cs="Times New Roman"/>
          <w:b/>
          <w:sz w:val="20"/>
          <w:szCs w:val="20"/>
        </w:rPr>
        <w:t>t</w:t>
      </w:r>
      <w:r w:rsidR="003A2309" w:rsidRPr="00213F71">
        <w:rPr>
          <w:rFonts w:ascii="Times New Roman" w:hAnsi="Times New Roman" w:cs="Times New Roman"/>
          <w:b/>
          <w:sz w:val="20"/>
          <w:szCs w:val="20"/>
        </w:rPr>
        <w:t>emporal</w:t>
      </w:r>
      <w:r w:rsidR="00D87046" w:rsidRPr="00213F71">
        <w:rPr>
          <w:rFonts w:ascii="Times New Roman" w:hAnsi="Times New Roman" w:cs="Times New Roman"/>
          <w:b/>
          <w:sz w:val="20"/>
          <w:szCs w:val="20"/>
        </w:rPr>
        <w:t xml:space="preserve"> </w:t>
      </w:r>
      <w:r w:rsidR="00743E66">
        <w:rPr>
          <w:rFonts w:ascii="Times New Roman" w:hAnsi="Times New Roman" w:cs="Times New Roman"/>
          <w:b/>
          <w:sz w:val="20"/>
          <w:szCs w:val="20"/>
        </w:rPr>
        <w:t>Distribution</w:t>
      </w:r>
    </w:p>
    <w:p w14:paraId="0A9A04AE" w14:textId="77777777" w:rsidR="00A126FD" w:rsidRPr="00213F71" w:rsidRDefault="00A126FD" w:rsidP="00A126FD">
      <w:pPr>
        <w:spacing w:after="0" w:line="240" w:lineRule="auto"/>
        <w:jc w:val="both"/>
        <w:rPr>
          <w:rFonts w:ascii="Times New Roman" w:eastAsia="Calibri" w:hAnsi="Times New Roman" w:cs="Times New Roman"/>
          <w:sz w:val="20"/>
          <w:szCs w:val="20"/>
        </w:rPr>
      </w:pPr>
    </w:p>
    <w:p w14:paraId="51B22B1A" w14:textId="77777777" w:rsidR="00A126FD" w:rsidRPr="00213F71" w:rsidRDefault="004F00BB" w:rsidP="00A126FD">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A126FD" w:rsidRPr="00213F71">
        <w:rPr>
          <w:rFonts w:ascii="Times New Roman" w:eastAsia="Calibri" w:hAnsi="Times New Roman" w:cs="Times New Roman"/>
          <w:b/>
          <w:bCs/>
          <w:sz w:val="20"/>
          <w:szCs w:val="20"/>
        </w:rPr>
        <w:t>.1 Chromium</w:t>
      </w:r>
    </w:p>
    <w:p w14:paraId="3B2C5E82" w14:textId="77777777" w:rsidR="00A126FD" w:rsidRDefault="00BF14E1" w:rsidP="00300BC1">
      <w:pPr>
        <w:spacing w:after="0" w:line="240" w:lineRule="auto"/>
        <w:jc w:val="both"/>
        <w:rPr>
          <w:rFonts w:ascii="Times New Roman" w:hAnsi="Times New Roman" w:cs="Times New Roman"/>
          <w:sz w:val="20"/>
          <w:szCs w:val="20"/>
        </w:rPr>
      </w:pPr>
      <w:r>
        <w:rPr>
          <w:rFonts w:ascii="Times New Roman" w:eastAsia="Calibri" w:hAnsi="Times New Roman" w:cs="Times New Roman"/>
          <w:color w:val="000000" w:themeColor="text1"/>
          <w:sz w:val="20"/>
          <w:szCs w:val="20"/>
        </w:rPr>
        <w:t>Chromium (Cr) levels show</w:t>
      </w:r>
      <w:r>
        <w:rPr>
          <w:rFonts w:ascii="Times New Roman" w:eastAsia="Calibri" w:hAnsi="Times New Roman" w:cs="Times New Roman"/>
          <w:color w:val="000000" w:themeColor="text1"/>
          <w:sz w:val="20"/>
          <w:szCs w:val="20"/>
          <w:highlight w:val="yellow"/>
        </w:rPr>
        <w:t>ed</w:t>
      </w:r>
      <w:r>
        <w:rPr>
          <w:rFonts w:ascii="Times New Roman" w:eastAsia="Calibri" w:hAnsi="Times New Roman" w:cs="Times New Roman"/>
          <w:color w:val="000000" w:themeColor="text1"/>
          <w:sz w:val="20"/>
          <w:szCs w:val="20"/>
        </w:rPr>
        <w:t xml:space="preserve"> substantial reductions between the first and second sampling phases, as seen in </w:t>
      </w:r>
      <w:r>
        <w:rPr>
          <w:rFonts w:ascii="Times New Roman" w:eastAsia="Calibri" w:hAnsi="Times New Roman" w:cs="Times New Roman"/>
          <w:color w:val="2660F0"/>
          <w:sz w:val="20"/>
          <w:szCs w:val="20"/>
        </w:rPr>
        <w:t>Fig. 3</w:t>
      </w:r>
      <w:r>
        <w:rPr>
          <w:rFonts w:ascii="Times New Roman" w:eastAsia="Calibri" w:hAnsi="Times New Roman" w:cs="Times New Roman"/>
          <w:color w:val="000000" w:themeColor="text1"/>
          <w:sz w:val="20"/>
          <w:szCs w:val="20"/>
        </w:rPr>
        <w:t>. PR-1 had an initial concentration of 4.51 mg/kg, which decreased to 1.22 mg/kg in PR-12 in the second phase. This reduction represents a decrease of approximately 73%, indicating strong attenuation (</w:t>
      </w:r>
      <w:r>
        <w:rPr>
          <w:rFonts w:ascii="Times New Roman" w:eastAsia="Calibri" w:hAnsi="Times New Roman" w:cs="Times New Roman"/>
          <w:color w:val="2660F0"/>
          <w:sz w:val="20"/>
          <w:szCs w:val="20"/>
        </w:rPr>
        <w:t>Mohamed et al., 2024</w:t>
      </w:r>
      <w:r>
        <w:rPr>
          <w:rFonts w:ascii="Times New Roman" w:eastAsia="Calibri" w:hAnsi="Times New Roman" w:cs="Times New Roman"/>
          <w:color w:val="000000" w:themeColor="text1"/>
          <w:sz w:val="20"/>
          <w:szCs w:val="20"/>
        </w:rPr>
        <w:t xml:space="preserve">). Similarly, PR-2 decreased from 4.86 mg/kg in the first phase to 0.87 mg/kg </w:t>
      </w:r>
      <w:r>
        <w:rPr>
          <w:rFonts w:ascii="Times New Roman" w:eastAsia="Calibri" w:hAnsi="Times New Roman" w:cs="Times New Roman"/>
          <w:color w:val="000000" w:themeColor="text1"/>
          <w:sz w:val="20"/>
          <w:szCs w:val="20"/>
          <w:highlight w:val="yellow"/>
        </w:rPr>
        <w:t>at</w:t>
      </w:r>
      <w:r>
        <w:rPr>
          <w:rFonts w:ascii="Times New Roman" w:eastAsia="Calibri" w:hAnsi="Times New Roman" w:cs="Times New Roman"/>
          <w:color w:val="000000" w:themeColor="text1"/>
          <w:sz w:val="20"/>
          <w:szCs w:val="20"/>
        </w:rPr>
        <w:t xml:space="preserve"> the corresponding second-phase sample point</w:t>
      </w:r>
      <w:r>
        <w:rPr>
          <w:rFonts w:ascii="Times New Roman" w:eastAsia="Calibri" w:hAnsi="Times New Roman" w:cs="Times New Roman"/>
          <w:color w:val="000000" w:themeColor="text1"/>
          <w:sz w:val="20"/>
          <w:szCs w:val="20"/>
          <w:highlight w:val="yellow"/>
        </w:rPr>
        <w:t>,</w:t>
      </w:r>
      <w:r>
        <w:rPr>
          <w:rFonts w:ascii="Times New Roman" w:eastAsia="Calibri" w:hAnsi="Times New Roman" w:cs="Times New Roman"/>
          <w:color w:val="000000" w:themeColor="text1"/>
          <w:sz w:val="20"/>
          <w:szCs w:val="20"/>
        </w:rPr>
        <w:t xml:space="preserve"> PR-13, showing a reduction of nearly 82%. Other sample points, such as PR-9 (5.98 mg/kg), also exhibited significant reductions, with PR-20 (its second-phase counterpart) showing a much lower concentration of 0.98 mg/kg. The declines in Cr levels at these points brought concentrations closer to those in control samples, such as CT-3 (0.49 mg/kg) and CT-4 (0.61 mg/kg), suggesting </w:t>
      </w:r>
      <w:r>
        <w:rPr>
          <w:rFonts w:ascii="Times New Roman" w:eastAsia="Calibri" w:hAnsi="Times New Roman" w:cs="Times New Roman"/>
          <w:color w:val="000000" w:themeColor="text1"/>
          <w:sz w:val="20"/>
          <w:szCs w:val="20"/>
          <w:highlight w:val="yellow"/>
        </w:rPr>
        <w:t>substant</w:t>
      </w:r>
      <w:r>
        <w:rPr>
          <w:rFonts w:ascii="Times New Roman" w:eastAsia="Calibri" w:hAnsi="Times New Roman" w:cs="Times New Roman"/>
          <w:color w:val="000000" w:themeColor="text1"/>
          <w:sz w:val="20"/>
          <w:szCs w:val="20"/>
        </w:rPr>
        <w:t>i</w:t>
      </w:r>
      <w:r>
        <w:rPr>
          <w:rFonts w:ascii="Times New Roman" w:eastAsia="Calibri" w:hAnsi="Times New Roman" w:cs="Times New Roman"/>
          <w:color w:val="000000" w:themeColor="text1"/>
          <w:sz w:val="20"/>
          <w:szCs w:val="20"/>
          <w:highlight w:val="yellow"/>
        </w:rPr>
        <w:t>a</w:t>
      </w:r>
      <w:r>
        <w:rPr>
          <w:rFonts w:ascii="Times New Roman" w:eastAsia="Calibri" w:hAnsi="Times New Roman" w:cs="Times New Roman"/>
          <w:color w:val="000000" w:themeColor="text1"/>
          <w:sz w:val="20"/>
          <w:szCs w:val="20"/>
        </w:rPr>
        <w:t>l Cr displacement (</w:t>
      </w:r>
      <w:r>
        <w:rPr>
          <w:rFonts w:ascii="Times New Roman" w:eastAsia="Calibri" w:hAnsi="Times New Roman" w:cs="Times New Roman"/>
          <w:color w:val="2660F0"/>
          <w:sz w:val="20"/>
          <w:szCs w:val="20"/>
        </w:rPr>
        <w:t>Diagne et al., 2015</w:t>
      </w:r>
      <w:r>
        <w:rPr>
          <w:rFonts w:ascii="Times New Roman" w:eastAsia="Calibri" w:hAnsi="Times New Roman" w:cs="Times New Roman"/>
          <w:color w:val="000000" w:themeColor="text1"/>
          <w:sz w:val="20"/>
          <w:szCs w:val="20"/>
        </w:rPr>
        <w:t xml:space="preserve">). However, some sample points in the second phase, </w:t>
      </w:r>
      <w:r>
        <w:rPr>
          <w:rFonts w:ascii="Times New Roman" w:eastAsia="Calibri" w:hAnsi="Times New Roman" w:cs="Times New Roman"/>
          <w:color w:val="000000" w:themeColor="text1"/>
          <w:sz w:val="20"/>
          <w:szCs w:val="20"/>
          <w:highlight w:val="yellow"/>
        </w:rPr>
        <w:t>such as</w:t>
      </w:r>
      <w:r>
        <w:rPr>
          <w:rFonts w:ascii="Times New Roman" w:eastAsia="Calibri" w:hAnsi="Times New Roman" w:cs="Times New Roman"/>
          <w:color w:val="000000" w:themeColor="text1"/>
          <w:sz w:val="20"/>
          <w:szCs w:val="20"/>
        </w:rPr>
        <w:t xml:space="preserve"> PR-15 (2.12 mg/kg) and PR-22 (1.02 mg/kg), still had slightly elevated Cr levels compared </w:t>
      </w:r>
      <w:r>
        <w:rPr>
          <w:rFonts w:ascii="Times New Roman" w:eastAsia="Calibri" w:hAnsi="Times New Roman" w:cs="Times New Roman"/>
          <w:color w:val="000000" w:themeColor="text1"/>
          <w:sz w:val="20"/>
          <w:szCs w:val="20"/>
          <w:highlight w:val="yellow"/>
        </w:rPr>
        <w:t>wi</w:t>
      </w:r>
      <w:r>
        <w:rPr>
          <w:rFonts w:ascii="Times New Roman" w:eastAsia="Calibri" w:hAnsi="Times New Roman" w:cs="Times New Roman"/>
          <w:color w:val="000000" w:themeColor="text1"/>
          <w:sz w:val="20"/>
          <w:szCs w:val="20"/>
        </w:rPr>
        <w:t>t</w:t>
      </w:r>
      <w:r>
        <w:rPr>
          <w:rFonts w:ascii="Times New Roman" w:eastAsia="Calibri" w:hAnsi="Times New Roman" w:cs="Times New Roman"/>
          <w:color w:val="000000" w:themeColor="text1"/>
          <w:sz w:val="20"/>
          <w:szCs w:val="20"/>
          <w:highlight w:val="yellow"/>
        </w:rPr>
        <w:t>h</w:t>
      </w:r>
      <w:r>
        <w:rPr>
          <w:rFonts w:ascii="Times New Roman" w:eastAsia="Calibri" w:hAnsi="Times New Roman" w:cs="Times New Roman"/>
          <w:color w:val="000000" w:themeColor="text1"/>
          <w:sz w:val="20"/>
          <w:szCs w:val="20"/>
        </w:rPr>
        <w:t xml:space="preserve"> control samples, implying the need for more time or enhanced natural atten</w:t>
      </w:r>
      <w:r>
        <w:rPr>
          <w:rFonts w:ascii="Times New Roman" w:eastAsia="Calibri" w:hAnsi="Times New Roman" w:cs="Times New Roman"/>
          <w:color w:val="000000" w:themeColor="text1"/>
          <w:sz w:val="20"/>
          <w:szCs w:val="20"/>
          <w:highlight w:val="yellow"/>
        </w:rPr>
        <w:t>u</w:t>
      </w:r>
      <w:r>
        <w:rPr>
          <w:rFonts w:ascii="Times New Roman" w:eastAsia="Calibri" w:hAnsi="Times New Roman" w:cs="Times New Roman"/>
          <w:color w:val="000000" w:themeColor="text1"/>
          <w:sz w:val="20"/>
          <w:szCs w:val="20"/>
        </w:rPr>
        <w:t xml:space="preserve">ation to fully meet </w:t>
      </w:r>
      <w:r>
        <w:rPr>
          <w:rFonts w:ascii="Times New Roman" w:eastAsia="Calibri" w:hAnsi="Times New Roman" w:cs="Times New Roman"/>
          <w:bCs/>
          <w:color w:val="2660F0"/>
          <w:sz w:val="20"/>
          <w:szCs w:val="20"/>
        </w:rPr>
        <w:t>USDA</w:t>
      </w:r>
      <w:r>
        <w:rPr>
          <w:rFonts w:ascii="Times New Roman" w:eastAsia="Calibri" w:hAnsi="Times New Roman" w:cs="Times New Roman"/>
          <w:bCs/>
          <w:sz w:val="20"/>
          <w:szCs w:val="20"/>
        </w:rPr>
        <w:t xml:space="preserve"> (</w:t>
      </w:r>
      <w:r>
        <w:rPr>
          <w:rFonts w:ascii="Times New Roman" w:eastAsia="Calibri" w:hAnsi="Times New Roman" w:cs="Times New Roman"/>
          <w:bCs/>
          <w:color w:val="2660F0"/>
          <w:sz w:val="20"/>
          <w:szCs w:val="20"/>
        </w:rPr>
        <w:t>2000</w:t>
      </w:r>
      <w:r>
        <w:rPr>
          <w:rFonts w:ascii="Times New Roman" w:eastAsia="Calibri" w:hAnsi="Times New Roman" w:cs="Times New Roman"/>
          <w:bCs/>
          <w:sz w:val="20"/>
          <w:szCs w:val="20"/>
        </w:rPr>
        <w:t>) soil</w:t>
      </w:r>
      <w:r>
        <w:rPr>
          <w:rFonts w:ascii="Times New Roman" w:eastAsia="Calibri" w:hAnsi="Times New Roman" w:cs="Times New Roman"/>
          <w:bCs/>
          <w:sz w:val="20"/>
          <w:szCs w:val="20"/>
          <w:highlight w:val="yellow"/>
        </w:rPr>
        <w:t>-</w:t>
      </w:r>
      <w:r>
        <w:rPr>
          <w:rFonts w:ascii="Times New Roman" w:eastAsia="Calibri" w:hAnsi="Times New Roman" w:cs="Times New Roman"/>
          <w:bCs/>
          <w:sz w:val="20"/>
          <w:szCs w:val="20"/>
        </w:rPr>
        <w:t xml:space="preserve">quality </w:t>
      </w:r>
      <w:r>
        <w:rPr>
          <w:rFonts w:ascii="Times New Roman" w:eastAsia="Calibri" w:hAnsi="Times New Roman" w:cs="Times New Roman"/>
          <w:color w:val="000000" w:themeColor="text1"/>
          <w:sz w:val="20"/>
          <w:szCs w:val="20"/>
        </w:rPr>
        <w:t>standards across the site.</w:t>
      </w:r>
    </w:p>
    <w:p w14:paraId="303287CE" w14:textId="77777777" w:rsidR="00300BC1" w:rsidRDefault="00300BC1" w:rsidP="008A1D85">
      <w:pPr>
        <w:spacing w:after="0" w:line="240" w:lineRule="auto"/>
        <w:jc w:val="both"/>
        <w:rPr>
          <w:rFonts w:ascii="Times New Roman" w:eastAsia="Calibri" w:hAnsi="Times New Roman" w:cs="Times New Roman"/>
          <w:sz w:val="20"/>
          <w:szCs w:val="20"/>
        </w:rPr>
      </w:pPr>
    </w:p>
    <w:p w14:paraId="1D90B6DD" w14:textId="77777777" w:rsidR="00FC5DBB" w:rsidRPr="00763151" w:rsidRDefault="00FC5DBB" w:rsidP="00FC5DBB">
      <w:pPr>
        <w:spacing w:after="0" w:line="240" w:lineRule="auto"/>
        <w:jc w:val="center"/>
        <w:rPr>
          <w:rFonts w:ascii="Times New Roman" w:eastAsia="Calibri" w:hAnsi="Times New Roman" w:cs="Times New Roman"/>
          <w:b/>
          <w:color w:val="FF0000"/>
          <w:sz w:val="20"/>
          <w:szCs w:val="20"/>
        </w:rPr>
      </w:pPr>
      <w:r w:rsidRPr="0085483B">
        <w:rPr>
          <w:rFonts w:ascii="Times New Roman" w:eastAsia="Calibri" w:hAnsi="Times New Roman" w:cs="Times New Roman"/>
          <w:b/>
          <w:noProof/>
          <w:color w:val="FF0000"/>
          <w:sz w:val="20"/>
          <w:szCs w:val="20"/>
        </w:rPr>
        <w:drawing>
          <wp:inline distT="0" distB="0" distL="0" distR="0" wp14:anchorId="06BAEB4F" wp14:editId="054C7AF2">
            <wp:extent cx="5511800" cy="2095500"/>
            <wp:effectExtent l="0" t="0" r="12700" b="0"/>
            <wp:docPr id="1" name="Chart 1">
              <a:extLst xmlns:a="http://schemas.openxmlformats.org/drawingml/2006/main">
                <a:ext uri="{FF2B5EF4-FFF2-40B4-BE49-F238E27FC236}">
                  <a16:creationId xmlns:a16="http://schemas.microsoft.com/office/drawing/2014/main" id="{FA8AFB39-35BD-5BBC-E48B-61DAA97933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3C40BA2" w14:textId="77777777" w:rsidR="00FC5DBB" w:rsidRPr="00B023BA" w:rsidRDefault="00FC5DBB" w:rsidP="00FC5DBB">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color w:val="000000" w:themeColor="text1"/>
          <w:sz w:val="20"/>
          <w:szCs w:val="20"/>
        </w:rPr>
        <w:t>Fi</w:t>
      </w:r>
      <w:r>
        <w:rPr>
          <w:rFonts w:ascii="Times New Roman" w:eastAsia="Calibri" w:hAnsi="Times New Roman" w:cs="Times New Roman"/>
          <w:b/>
          <w:color w:val="000000" w:themeColor="text1"/>
          <w:sz w:val="20"/>
          <w:szCs w:val="20"/>
        </w:rPr>
        <w:t>g. 3.</w:t>
      </w:r>
      <w:r w:rsidRPr="00763151">
        <w:rPr>
          <w:rFonts w:ascii="Times New Roman" w:eastAsia="Calibri" w:hAnsi="Times New Roman" w:cs="Times New Roman"/>
          <w:b/>
          <w:color w:val="000000" w:themeColor="text1"/>
          <w:sz w:val="20"/>
          <w:szCs w:val="20"/>
        </w:rPr>
        <w:t xml:space="preserve"> </w:t>
      </w:r>
      <w:r w:rsidRPr="00B023BA">
        <w:rPr>
          <w:rFonts w:ascii="Times New Roman" w:eastAsia="Calibri" w:hAnsi="Times New Roman" w:cs="Times New Roman"/>
          <w:bCs/>
          <w:color w:val="000000" w:themeColor="text1"/>
          <w:sz w:val="20"/>
          <w:szCs w:val="20"/>
        </w:rPr>
        <w:t xml:space="preserve">Plot of </w:t>
      </w:r>
      <w:r>
        <w:rPr>
          <w:rFonts w:ascii="Times New Roman" w:eastAsia="Calibri" w:hAnsi="Times New Roman" w:cs="Times New Roman"/>
          <w:bCs/>
          <w:color w:val="000000" w:themeColor="text1"/>
          <w:sz w:val="20"/>
          <w:szCs w:val="20"/>
        </w:rPr>
        <w:t>c</w:t>
      </w:r>
      <w:r w:rsidRPr="00B023BA">
        <w:rPr>
          <w:rFonts w:ascii="Times New Roman" w:eastAsia="Calibri" w:hAnsi="Times New Roman" w:cs="Times New Roman"/>
          <w:bCs/>
          <w:color w:val="000000" w:themeColor="text1"/>
          <w:sz w:val="20"/>
          <w:szCs w:val="20"/>
        </w:rPr>
        <w:t xml:space="preserve">hromium concentrations for the first and second </w:t>
      </w:r>
      <w:r>
        <w:rPr>
          <w:rFonts w:ascii="Times New Roman" w:eastAsia="Calibri" w:hAnsi="Times New Roman" w:cs="Times New Roman"/>
          <w:bCs/>
          <w:color w:val="000000" w:themeColor="text1"/>
          <w:sz w:val="20"/>
          <w:szCs w:val="20"/>
        </w:rPr>
        <w:t>sampling phases</w:t>
      </w:r>
      <w:r w:rsidRPr="00E87A88">
        <w:rPr>
          <w:rFonts w:ascii="Times New Roman" w:eastAsia="Calibri" w:hAnsi="Times New Roman" w:cs="Times New Roman"/>
          <w:bCs/>
          <w:color w:val="000000" w:themeColor="text1"/>
          <w:sz w:val="20"/>
          <w:szCs w:val="20"/>
        </w:rPr>
        <w:t xml:space="preserve"> </w:t>
      </w:r>
    </w:p>
    <w:p w14:paraId="22FF2D68" w14:textId="77777777" w:rsidR="00300BC1" w:rsidRDefault="00300BC1" w:rsidP="008A1D85">
      <w:pPr>
        <w:spacing w:after="0" w:line="240" w:lineRule="auto"/>
        <w:jc w:val="both"/>
        <w:rPr>
          <w:rFonts w:ascii="Times New Roman" w:eastAsia="Calibri" w:hAnsi="Times New Roman" w:cs="Times New Roman"/>
          <w:sz w:val="20"/>
          <w:szCs w:val="20"/>
        </w:rPr>
      </w:pPr>
    </w:p>
    <w:p w14:paraId="327DA34F" w14:textId="77777777" w:rsidR="00300BC1" w:rsidRDefault="00300BC1" w:rsidP="00300BC1">
      <w:pPr>
        <w:spacing w:after="0" w:line="240" w:lineRule="auto"/>
        <w:ind w:firstLine="450"/>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The spatiotemporal distribution of chromium (Cr) is illustrated in </w:t>
      </w:r>
      <w:r>
        <w:rPr>
          <w:rFonts w:ascii="Times New Roman" w:eastAsia="Calibri" w:hAnsi="Times New Roman" w:cs="Times New Roman"/>
          <w:color w:val="2660F0"/>
          <w:sz w:val="20"/>
          <w:szCs w:val="20"/>
        </w:rPr>
        <w:t xml:space="preserve">Fig. 4(a) </w:t>
      </w:r>
      <w:r>
        <w:rPr>
          <w:rFonts w:ascii="Times New Roman" w:eastAsia="Calibri" w:hAnsi="Times New Roman" w:cs="Times New Roman"/>
          <w:sz w:val="20"/>
          <w:szCs w:val="20"/>
        </w:rPr>
        <w:t xml:space="preserve">and </w:t>
      </w:r>
      <w:r>
        <w:rPr>
          <w:rFonts w:ascii="Times New Roman" w:eastAsia="Calibri" w:hAnsi="Times New Roman" w:cs="Times New Roman"/>
          <w:color w:val="2660F0"/>
          <w:sz w:val="20"/>
          <w:szCs w:val="20"/>
        </w:rPr>
        <w:t>(b)</w:t>
      </w:r>
      <w:r>
        <w:rPr>
          <w:rFonts w:ascii="Times New Roman" w:eastAsia="Calibri" w:hAnsi="Times New Roman" w:cs="Times New Roman"/>
          <w:sz w:val="20"/>
          <w:szCs w:val="20"/>
        </w:rPr>
        <w:t xml:space="preserve">, revealing a considerable spread across the southern part of the study site. Notably, Cr concentrations increased in this region during the second sampling phase, suggesting that factors contributing to Cr accumulation were more prevalent </w:t>
      </w:r>
      <w:r>
        <w:rPr>
          <w:rFonts w:ascii="Times New Roman" w:eastAsia="Calibri" w:hAnsi="Times New Roman" w:cs="Times New Roman"/>
          <w:sz w:val="20"/>
          <w:szCs w:val="20"/>
          <w:highlight w:val="yellow"/>
        </w:rPr>
        <w:t>dur</w:t>
      </w:r>
      <w:r>
        <w:rPr>
          <w:rFonts w:ascii="Times New Roman" w:eastAsia="Calibri" w:hAnsi="Times New Roman" w:cs="Times New Roman"/>
          <w:sz w:val="20"/>
          <w:szCs w:val="20"/>
        </w:rPr>
        <w:t>in</w:t>
      </w:r>
      <w:r>
        <w:rPr>
          <w:rFonts w:ascii="Times New Roman" w:eastAsia="Calibri" w:hAnsi="Times New Roman" w:cs="Times New Roman"/>
          <w:sz w:val="20"/>
          <w:szCs w:val="20"/>
          <w:highlight w:val="yellow"/>
        </w:rPr>
        <w:t>g</w:t>
      </w:r>
      <w:r>
        <w:rPr>
          <w:rFonts w:ascii="Times New Roman" w:eastAsia="Calibri" w:hAnsi="Times New Roman" w:cs="Times New Roman"/>
          <w:sz w:val="20"/>
          <w:szCs w:val="20"/>
        </w:rPr>
        <w:t xml:space="preserve"> this period (</w:t>
      </w:r>
      <w:r>
        <w:rPr>
          <w:rFonts w:ascii="Times New Roman" w:eastAsia="Calibri" w:hAnsi="Times New Roman" w:cs="Times New Roman"/>
          <w:color w:val="2660F0"/>
          <w:sz w:val="20"/>
          <w:szCs w:val="20"/>
        </w:rPr>
        <w:t>Kara, 2024</w:t>
      </w:r>
      <w:r>
        <w:rPr>
          <w:rFonts w:ascii="Times New Roman" w:eastAsia="Calibri" w:hAnsi="Times New Roman" w:cs="Times New Roman"/>
          <w:sz w:val="20"/>
          <w:szCs w:val="20"/>
        </w:rPr>
        <w:t xml:space="preserve">). The increase could be attributed to </w:t>
      </w:r>
      <w:proofErr w:type="spellStart"/>
      <w:r>
        <w:rPr>
          <w:rFonts w:ascii="Times New Roman" w:eastAsia="Calibri" w:hAnsi="Times New Roman" w:cs="Times New Roman"/>
          <w:sz w:val="20"/>
          <w:szCs w:val="20"/>
        </w:rPr>
        <w:t>locali</w:t>
      </w:r>
      <w:r>
        <w:rPr>
          <w:rFonts w:ascii="Times New Roman" w:eastAsia="Calibri" w:hAnsi="Times New Roman" w:cs="Times New Roman"/>
          <w:sz w:val="20"/>
          <w:szCs w:val="20"/>
          <w:highlight w:val="yellow"/>
        </w:rPr>
        <w:t>s</w:t>
      </w:r>
      <w:r>
        <w:rPr>
          <w:rFonts w:ascii="Times New Roman" w:eastAsia="Calibri" w:hAnsi="Times New Roman" w:cs="Times New Roman"/>
          <w:sz w:val="20"/>
          <w:szCs w:val="20"/>
        </w:rPr>
        <w:t>ed</w:t>
      </w:r>
      <w:proofErr w:type="spellEnd"/>
      <w:r>
        <w:rPr>
          <w:rFonts w:ascii="Times New Roman" w:eastAsia="Calibri" w:hAnsi="Times New Roman" w:cs="Times New Roman"/>
          <w:sz w:val="20"/>
          <w:szCs w:val="20"/>
        </w:rPr>
        <w:t xml:space="preserve"> contamination sources or geochemical interactions that </w:t>
      </w:r>
      <w:proofErr w:type="spellStart"/>
      <w:r>
        <w:rPr>
          <w:rFonts w:ascii="Times New Roman" w:eastAsia="Calibri" w:hAnsi="Times New Roman" w:cs="Times New Roman"/>
          <w:sz w:val="20"/>
          <w:szCs w:val="20"/>
        </w:rPr>
        <w:t>mobili</w:t>
      </w:r>
      <w:r>
        <w:rPr>
          <w:rFonts w:ascii="Times New Roman" w:eastAsia="Calibri" w:hAnsi="Times New Roman" w:cs="Times New Roman"/>
          <w:sz w:val="20"/>
          <w:szCs w:val="20"/>
          <w:highlight w:val="yellow"/>
        </w:rPr>
        <w:t>s</w:t>
      </w:r>
      <w:r>
        <w:rPr>
          <w:rFonts w:ascii="Times New Roman" w:eastAsia="Calibri" w:hAnsi="Times New Roman" w:cs="Times New Roman"/>
          <w:sz w:val="20"/>
          <w:szCs w:val="20"/>
        </w:rPr>
        <w:t>ed</w:t>
      </w:r>
      <w:proofErr w:type="spellEnd"/>
      <w:r>
        <w:rPr>
          <w:rFonts w:ascii="Times New Roman" w:eastAsia="Calibri" w:hAnsi="Times New Roman" w:cs="Times New Roman"/>
          <w:sz w:val="20"/>
          <w:szCs w:val="20"/>
        </w:rPr>
        <w:t xml:space="preserve"> Cr (</w:t>
      </w:r>
      <w:r>
        <w:rPr>
          <w:rFonts w:ascii="Times New Roman" w:eastAsia="Calibri" w:hAnsi="Times New Roman" w:cs="Times New Roman"/>
          <w:color w:val="2660F0"/>
          <w:sz w:val="20"/>
          <w:szCs w:val="20"/>
        </w:rPr>
        <w:t>Diagne et al., 2015</w:t>
      </w:r>
      <w:r>
        <w:rPr>
          <w:rFonts w:ascii="Times New Roman" w:eastAsia="Calibri" w:hAnsi="Times New Roman" w:cs="Times New Roman"/>
          <w:sz w:val="20"/>
          <w:szCs w:val="20"/>
        </w:rPr>
        <w:t xml:space="preserve">). While Cr </w:t>
      </w:r>
      <w:r>
        <w:rPr>
          <w:rFonts w:ascii="Times New Roman" w:eastAsia="Calibri" w:hAnsi="Times New Roman" w:cs="Times New Roman"/>
          <w:sz w:val="20"/>
          <w:szCs w:val="20"/>
          <w:highlight w:val="yellow"/>
        </w:rPr>
        <w:t>concentrations dec</w:t>
      </w:r>
      <w:r>
        <w:rPr>
          <w:rFonts w:ascii="Times New Roman" w:eastAsia="Calibri" w:hAnsi="Times New Roman" w:cs="Times New Roman"/>
          <w:sz w:val="20"/>
          <w:szCs w:val="20"/>
        </w:rPr>
        <w:t>re</w:t>
      </w:r>
      <w:r>
        <w:rPr>
          <w:rFonts w:ascii="Times New Roman" w:eastAsia="Calibri" w:hAnsi="Times New Roman" w:cs="Times New Roman"/>
          <w:sz w:val="20"/>
          <w:szCs w:val="20"/>
          <w:highlight w:val="yellow"/>
        </w:rPr>
        <w:t>as</w:t>
      </w:r>
      <w:r>
        <w:rPr>
          <w:rFonts w:ascii="Times New Roman" w:eastAsia="Calibri" w:hAnsi="Times New Roman" w:cs="Times New Roman"/>
          <w:sz w:val="20"/>
          <w:szCs w:val="20"/>
        </w:rPr>
        <w:t>ed in some locations, the spatial analysis indicates that some southern regions require additional intervention to control Cr levels effectively and prevent further spread (</w:t>
      </w:r>
      <w:r>
        <w:rPr>
          <w:rFonts w:ascii="Times New Roman" w:eastAsia="Calibri" w:hAnsi="Times New Roman" w:cs="Times New Roman"/>
          <w:color w:val="2660F0"/>
          <w:sz w:val="20"/>
          <w:szCs w:val="20"/>
        </w:rPr>
        <w:t>George et al., 2023</w:t>
      </w:r>
      <w:r>
        <w:rPr>
          <w:rFonts w:ascii="Times New Roman" w:eastAsia="Calibri" w:hAnsi="Times New Roman" w:cs="Times New Roman"/>
          <w:sz w:val="20"/>
          <w:szCs w:val="20"/>
        </w:rPr>
        <w:t>).</w:t>
      </w:r>
    </w:p>
    <w:p w14:paraId="18EECDD7" w14:textId="77777777" w:rsidR="008A1D85" w:rsidRDefault="008A1D85" w:rsidP="00300BC1">
      <w:pPr>
        <w:spacing w:after="0" w:line="240" w:lineRule="auto"/>
        <w:ind w:firstLine="450"/>
        <w:jc w:val="both"/>
        <w:rPr>
          <w:rFonts w:ascii="Times New Roman" w:eastAsia="Calibri" w:hAnsi="Times New Roman" w:cs="Times New Roman"/>
          <w:sz w:val="20"/>
          <w:szCs w:val="20"/>
        </w:rPr>
      </w:pPr>
    </w:p>
    <w:p w14:paraId="1C5B772A" w14:textId="77777777" w:rsidR="0004399C" w:rsidRDefault="0004399C" w:rsidP="0004399C">
      <w:pPr>
        <w:spacing w:after="0" w:line="276" w:lineRule="auto"/>
        <w:jc w:val="center"/>
        <w:rPr>
          <w:rFonts w:ascii="Times New Roman" w:eastAsia="Calibri" w:hAnsi="Times New Roman" w:cs="Times New Roman"/>
          <w:sz w:val="20"/>
          <w:szCs w:val="20"/>
        </w:rPr>
      </w:pPr>
      <w:r w:rsidRPr="005E2D70">
        <w:rPr>
          <w:rFonts w:ascii="Times New Roman" w:eastAsia="Calibri" w:hAnsi="Times New Roman" w:cs="Times New Roman"/>
          <w:noProof/>
          <w:sz w:val="20"/>
          <w:szCs w:val="20"/>
        </w:rPr>
        <w:lastRenderedPageBreak/>
        <w:drawing>
          <wp:inline distT="0" distB="0" distL="0" distR="0" wp14:anchorId="78D02175" wp14:editId="63A0742C">
            <wp:extent cx="4431600" cy="3142800"/>
            <wp:effectExtent l="0" t="0" r="1270" b="0"/>
            <wp:docPr id="2" name="Picture 1">
              <a:extLst xmlns:a="http://schemas.openxmlformats.org/drawingml/2006/main">
                <a:ext uri="{FF2B5EF4-FFF2-40B4-BE49-F238E27FC236}">
                  <a16:creationId xmlns:a16="http://schemas.microsoft.com/office/drawing/2014/main" id="{A3172A56-1182-739D-BC53-3BE039CADA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3172A56-1182-739D-BC53-3BE039CADA18}"/>
                        </a:ext>
                      </a:extLst>
                    </pic:cNvPr>
                    <pic:cNvPicPr>
                      <a:picLocks noChangeAspect="1"/>
                    </pic:cNvPicPr>
                  </pic:nvPicPr>
                  <pic:blipFill rotWithShape="1">
                    <a:blip r:embed="rId16">
                      <a:alphaModFix/>
                    </a:blip>
                    <a:srcRect r="799" b="3475"/>
                    <a:stretch/>
                  </pic:blipFill>
                  <pic:spPr>
                    <a:xfrm>
                      <a:off x="0" y="0"/>
                      <a:ext cx="4431600" cy="3142800"/>
                    </a:xfrm>
                    <a:prstGeom prst="rect">
                      <a:avLst/>
                    </a:prstGeom>
                  </pic:spPr>
                </pic:pic>
              </a:graphicData>
            </a:graphic>
          </wp:inline>
        </w:drawing>
      </w:r>
    </w:p>
    <w:p w14:paraId="7BF759B9" w14:textId="77777777" w:rsidR="0004399C" w:rsidRDefault="0004399C" w:rsidP="0004399C">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 xml:space="preserve">Fig. </w:t>
      </w:r>
      <w:r w:rsidR="004A5311">
        <w:rPr>
          <w:rFonts w:ascii="Times New Roman" w:eastAsia="Calibri" w:hAnsi="Times New Roman" w:cs="Times New Roman"/>
          <w:b/>
          <w:bCs/>
          <w:sz w:val="20"/>
          <w:szCs w:val="20"/>
        </w:rPr>
        <w:t>4</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2C7164">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c</w:t>
      </w:r>
      <w:r w:rsidRPr="00154C63">
        <w:rPr>
          <w:rFonts w:ascii="Times New Roman" w:eastAsia="Calibri" w:hAnsi="Times New Roman" w:cs="Times New Roman"/>
          <w:sz w:val="20"/>
          <w:szCs w:val="20"/>
        </w:rPr>
        <w:t>hromium for the first and second sampling phases</w:t>
      </w:r>
    </w:p>
    <w:p w14:paraId="5B3A1BBF" w14:textId="77777777" w:rsidR="00300BC1" w:rsidRDefault="00300BC1" w:rsidP="000733D5">
      <w:pPr>
        <w:spacing w:after="0" w:line="276" w:lineRule="auto"/>
        <w:jc w:val="both"/>
        <w:rPr>
          <w:rFonts w:ascii="Times New Roman" w:eastAsia="Calibri" w:hAnsi="Times New Roman" w:cs="Times New Roman"/>
          <w:sz w:val="20"/>
          <w:szCs w:val="20"/>
        </w:rPr>
      </w:pPr>
    </w:p>
    <w:p w14:paraId="5F474CDF" w14:textId="77777777" w:rsidR="00DA3B4C" w:rsidRDefault="004F00BB" w:rsidP="00534F57">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DA3B4C" w:rsidRPr="00FD0667">
        <w:rPr>
          <w:rFonts w:ascii="Times New Roman" w:eastAsia="Calibri" w:hAnsi="Times New Roman" w:cs="Times New Roman"/>
          <w:b/>
          <w:bCs/>
          <w:sz w:val="20"/>
          <w:szCs w:val="20"/>
        </w:rPr>
        <w:t>.2 Cadmium</w:t>
      </w:r>
    </w:p>
    <w:p w14:paraId="4D5CE2B9" w14:textId="77777777" w:rsidR="003A3A59" w:rsidRDefault="00BF14E1" w:rsidP="000733D5">
      <w:pPr>
        <w:spacing w:after="0" w:line="240" w:lineRule="auto"/>
        <w:jc w:val="both"/>
        <w:rPr>
          <w:rFonts w:ascii="Times New Roman" w:eastAsia="Calibri" w:hAnsi="Times New Roman" w:cs="Times New Roman"/>
          <w:sz w:val="20"/>
          <w:szCs w:val="20"/>
        </w:rPr>
      </w:pPr>
      <w:r w:rsidRPr="00C0453C">
        <w:rPr>
          <w:rFonts w:ascii="Times New Roman" w:eastAsia="Calibri" w:hAnsi="Times New Roman" w:cs="Times New Roman"/>
          <w:sz w:val="20"/>
          <w:szCs w:val="20"/>
        </w:rPr>
        <w:t xml:space="preserve">Cadmium (Cd) concentrations decreased noticeably between corresponding sample points, as </w:t>
      </w:r>
      <w:r>
        <w:rPr>
          <w:rFonts w:ascii="Times New Roman" w:eastAsia="Calibri" w:hAnsi="Times New Roman" w:cs="Times New Roman"/>
          <w:sz w:val="20"/>
          <w:szCs w:val="20"/>
        </w:rPr>
        <w:t xml:space="preserve">shown </w:t>
      </w:r>
      <w:r w:rsidRPr="00C0453C">
        <w:rPr>
          <w:rFonts w:ascii="Times New Roman" w:eastAsia="Calibri" w:hAnsi="Times New Roman" w:cs="Times New Roman"/>
          <w:sz w:val="20"/>
          <w:szCs w:val="20"/>
        </w:rPr>
        <w:t xml:space="preserve">in </w:t>
      </w:r>
      <w:r w:rsidRPr="000E5F36">
        <w:rPr>
          <w:rFonts w:ascii="Times New Roman" w:eastAsia="Calibri" w:hAnsi="Times New Roman" w:cs="Times New Roman"/>
          <w:color w:val="2660F0"/>
          <w:sz w:val="20"/>
          <w:szCs w:val="20"/>
        </w:rPr>
        <w:t xml:space="preserve">Fig. </w:t>
      </w:r>
      <w:r w:rsidR="004A5311">
        <w:rPr>
          <w:rFonts w:ascii="Times New Roman" w:eastAsia="Calibri" w:hAnsi="Times New Roman" w:cs="Times New Roman"/>
          <w:color w:val="2660F0"/>
          <w:sz w:val="20"/>
          <w:szCs w:val="20"/>
        </w:rPr>
        <w:t>5</w:t>
      </w:r>
      <w:r w:rsidRPr="000E5F36">
        <w:rPr>
          <w:rFonts w:ascii="Times New Roman" w:eastAsia="Calibri" w:hAnsi="Times New Roman" w:cs="Times New Roman"/>
          <w:color w:val="2660F0"/>
          <w:sz w:val="20"/>
          <w:szCs w:val="20"/>
        </w:rPr>
        <w:t xml:space="preserve">. </w:t>
      </w:r>
      <w:r w:rsidRPr="00C0453C">
        <w:rPr>
          <w:rFonts w:ascii="Times New Roman" w:eastAsia="Calibri" w:hAnsi="Times New Roman" w:cs="Times New Roman"/>
          <w:sz w:val="20"/>
          <w:szCs w:val="20"/>
        </w:rPr>
        <w:t xml:space="preserve">PR-1 initially had a Cd concentration of 0.58 mg/kg, which </w:t>
      </w:r>
      <w:r>
        <w:rPr>
          <w:rFonts w:ascii="Times New Roman" w:eastAsia="Calibri" w:hAnsi="Times New Roman" w:cs="Times New Roman"/>
          <w:sz w:val="20"/>
          <w:szCs w:val="20"/>
        </w:rPr>
        <w:t xml:space="preserve">later </w:t>
      </w:r>
      <w:r w:rsidRPr="00C0453C">
        <w:rPr>
          <w:rFonts w:ascii="Times New Roman" w:eastAsia="Calibri" w:hAnsi="Times New Roman" w:cs="Times New Roman"/>
          <w:sz w:val="20"/>
          <w:szCs w:val="20"/>
        </w:rPr>
        <w:t xml:space="preserve">dropped to 0.31 mg/kg in PR-12 in the second </w:t>
      </w:r>
      <w:r>
        <w:rPr>
          <w:rFonts w:ascii="Times New Roman" w:eastAsia="Calibri" w:hAnsi="Times New Roman" w:cs="Times New Roman"/>
          <w:sz w:val="20"/>
          <w:szCs w:val="20"/>
        </w:rPr>
        <w:t xml:space="preserve">sampling </w:t>
      </w:r>
      <w:r w:rsidRPr="00C0453C">
        <w:rPr>
          <w:rFonts w:ascii="Times New Roman" w:eastAsia="Calibri" w:hAnsi="Times New Roman" w:cs="Times New Roman"/>
          <w:sz w:val="20"/>
          <w:szCs w:val="20"/>
        </w:rPr>
        <w:t xml:space="preserve">phase, marking a reduction of nearly 47%. However, PR-2, which started at a higher concentration of 1.13 mg/kg, only showed a slight decrease to 1.06 mg/kg in PR-13, indicating </w:t>
      </w:r>
      <w:r w:rsidRPr="009A02D2">
        <w:rPr>
          <w:rFonts w:ascii="Times New Roman" w:eastAsia="Calibri" w:hAnsi="Times New Roman" w:cs="Times New Roman"/>
          <w:color w:val="000000" w:themeColor="text1"/>
          <w:sz w:val="20"/>
          <w:szCs w:val="20"/>
        </w:rPr>
        <w:t xml:space="preserve">limited </w:t>
      </w:r>
      <w:r w:rsidR="00A77E5C" w:rsidRPr="009A02D2">
        <w:rPr>
          <w:rFonts w:ascii="Times New Roman" w:eastAsia="Calibri" w:hAnsi="Times New Roman" w:cs="Times New Roman"/>
          <w:color w:val="000000" w:themeColor="text1"/>
          <w:sz w:val="20"/>
          <w:szCs w:val="20"/>
        </w:rPr>
        <w:t>atten</w:t>
      </w:r>
      <w:r w:rsidR="004A5311" w:rsidRPr="009A02D2">
        <w:rPr>
          <w:rFonts w:ascii="Times New Roman" w:eastAsia="Calibri" w:hAnsi="Times New Roman" w:cs="Times New Roman"/>
          <w:color w:val="000000" w:themeColor="text1"/>
          <w:sz w:val="20"/>
          <w:szCs w:val="20"/>
        </w:rPr>
        <w:t>u</w:t>
      </w:r>
      <w:r w:rsidR="00A77E5C" w:rsidRPr="009A02D2">
        <w:rPr>
          <w:rFonts w:ascii="Times New Roman" w:eastAsia="Calibri" w:hAnsi="Times New Roman" w:cs="Times New Roman"/>
          <w:color w:val="000000" w:themeColor="text1"/>
          <w:sz w:val="20"/>
          <w:szCs w:val="20"/>
        </w:rPr>
        <w:t>a</w:t>
      </w:r>
      <w:r w:rsidR="004A5311" w:rsidRPr="009A02D2">
        <w:rPr>
          <w:rFonts w:ascii="Times New Roman" w:eastAsia="Calibri" w:hAnsi="Times New Roman" w:cs="Times New Roman"/>
          <w:color w:val="000000" w:themeColor="text1"/>
          <w:sz w:val="20"/>
          <w:szCs w:val="20"/>
        </w:rPr>
        <w:t xml:space="preserve">tion </w:t>
      </w:r>
      <w:r w:rsidR="004A5311">
        <w:rPr>
          <w:rFonts w:ascii="Times New Roman" w:eastAsia="Calibri" w:hAnsi="Times New Roman" w:cs="Times New Roman"/>
          <w:sz w:val="20"/>
          <w:szCs w:val="20"/>
        </w:rPr>
        <w:t>for Cd</w:t>
      </w:r>
      <w:r>
        <w:rPr>
          <w:rFonts w:ascii="Times New Roman" w:eastAsia="Calibri" w:hAnsi="Times New Roman" w:cs="Times New Roman"/>
          <w:sz w:val="20"/>
          <w:szCs w:val="20"/>
        </w:rPr>
        <w:t xml:space="preserve"> (</w:t>
      </w:r>
      <w:r w:rsidRPr="00734ECE">
        <w:rPr>
          <w:rFonts w:ascii="Times New Roman" w:eastAsia="Calibri" w:hAnsi="Times New Roman" w:cs="Times New Roman"/>
          <w:color w:val="2660F0"/>
          <w:sz w:val="20"/>
          <w:szCs w:val="20"/>
        </w:rPr>
        <w:t>Diagne et al., 2015</w:t>
      </w:r>
      <w:r>
        <w:rPr>
          <w:rFonts w:ascii="Times New Roman" w:eastAsia="Calibri" w:hAnsi="Times New Roman" w:cs="Times New Roman"/>
          <w:sz w:val="20"/>
          <w:szCs w:val="20"/>
        </w:rPr>
        <w:t>)</w:t>
      </w:r>
      <w:r w:rsidRPr="00C0453C">
        <w:rPr>
          <w:rFonts w:ascii="Times New Roman" w:eastAsia="Calibri" w:hAnsi="Times New Roman" w:cs="Times New Roman"/>
          <w:sz w:val="20"/>
          <w:szCs w:val="20"/>
        </w:rPr>
        <w:t xml:space="preserve">. </w:t>
      </w:r>
    </w:p>
    <w:p w14:paraId="7F72B9A1" w14:textId="77777777" w:rsidR="000733D5" w:rsidRDefault="000733D5" w:rsidP="000733D5">
      <w:pPr>
        <w:spacing w:after="0" w:line="276" w:lineRule="auto"/>
        <w:jc w:val="both"/>
        <w:rPr>
          <w:rFonts w:ascii="Times New Roman" w:hAnsi="Times New Roman" w:cs="Times New Roman"/>
          <w:color w:val="000000" w:themeColor="text1"/>
          <w:sz w:val="20"/>
          <w:szCs w:val="20"/>
        </w:rPr>
      </w:pPr>
    </w:p>
    <w:p w14:paraId="6F48614D" w14:textId="77777777" w:rsidR="00E33B3D" w:rsidRDefault="00E33B3D" w:rsidP="00E33B3D">
      <w:pPr>
        <w:spacing w:after="0" w:line="240" w:lineRule="auto"/>
        <w:jc w:val="center"/>
        <w:rPr>
          <w:rFonts w:ascii="Times New Roman" w:eastAsia="Calibri" w:hAnsi="Times New Roman" w:cs="Times New Roman"/>
          <w:bCs/>
          <w:sz w:val="20"/>
          <w:szCs w:val="20"/>
        </w:rPr>
      </w:pPr>
      <w:r w:rsidRPr="00ED4ADF">
        <w:rPr>
          <w:rFonts w:ascii="Times New Roman" w:eastAsia="Calibri" w:hAnsi="Times New Roman" w:cs="Times New Roman"/>
          <w:bCs/>
          <w:noProof/>
          <w:sz w:val="20"/>
          <w:szCs w:val="20"/>
        </w:rPr>
        <w:drawing>
          <wp:inline distT="0" distB="0" distL="0" distR="0" wp14:anchorId="543C43DC" wp14:editId="275806C8">
            <wp:extent cx="5477510" cy="1981200"/>
            <wp:effectExtent l="0" t="0" r="8890" b="0"/>
            <wp:docPr id="3" name="Chart 3">
              <a:extLst xmlns:a="http://schemas.openxmlformats.org/drawingml/2006/main">
                <a:ext uri="{FF2B5EF4-FFF2-40B4-BE49-F238E27FC236}">
                  <a16:creationId xmlns:a16="http://schemas.microsoft.com/office/drawing/2014/main" id="{50C212E5-C822-4B30-77C9-82F570FC04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6C9C514" w14:textId="77777777" w:rsidR="00E33B3D" w:rsidRDefault="00E33B3D" w:rsidP="00E33B3D">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6A60AA">
        <w:rPr>
          <w:rFonts w:ascii="Times New Roman" w:eastAsia="Calibri" w:hAnsi="Times New Roman" w:cs="Times New Roman"/>
          <w:b/>
          <w:bCs/>
          <w:sz w:val="20"/>
          <w:szCs w:val="20"/>
        </w:rPr>
        <w:t>5</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c</w:t>
      </w:r>
      <w:r w:rsidRPr="00077EB2">
        <w:rPr>
          <w:rFonts w:ascii="Times New Roman" w:eastAsia="Calibri" w:hAnsi="Times New Roman" w:cs="Times New Roman"/>
          <w:sz w:val="20"/>
          <w:szCs w:val="20"/>
        </w:rPr>
        <w:t>admium</w:t>
      </w:r>
      <w:r>
        <w:rPr>
          <w:rFonts w:ascii="Times New Roman" w:eastAsia="Calibri" w:hAnsi="Times New Roman" w:cs="Times New Roman"/>
          <w:sz w:val="20"/>
          <w:szCs w:val="20"/>
        </w:rPr>
        <w:t xml:space="preserve">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r w:rsidRPr="00077EB2">
        <w:rPr>
          <w:rFonts w:ascii="Times New Roman" w:eastAsia="Calibri" w:hAnsi="Times New Roman" w:cs="Times New Roman"/>
          <w:color w:val="000000" w:themeColor="text1"/>
          <w:sz w:val="20"/>
          <w:szCs w:val="20"/>
        </w:rPr>
        <w:t xml:space="preserve"> </w:t>
      </w:r>
    </w:p>
    <w:p w14:paraId="459A5EB7" w14:textId="77777777" w:rsidR="00E33B3D" w:rsidRDefault="00E33B3D" w:rsidP="00DA3B4C">
      <w:pPr>
        <w:spacing w:after="0" w:line="240" w:lineRule="auto"/>
        <w:jc w:val="both"/>
        <w:rPr>
          <w:rFonts w:ascii="Times New Roman" w:eastAsia="Calibri" w:hAnsi="Times New Roman" w:cs="Times New Roman"/>
          <w:sz w:val="20"/>
          <w:szCs w:val="20"/>
        </w:rPr>
      </w:pPr>
    </w:p>
    <w:p w14:paraId="4E307323" w14:textId="77777777" w:rsidR="000733D5" w:rsidRDefault="000733D5" w:rsidP="000733D5">
      <w:pPr>
        <w:spacing w:after="0" w:line="240" w:lineRule="auto"/>
        <w:ind w:firstLine="450"/>
        <w:jc w:val="both"/>
        <w:rPr>
          <w:rFonts w:ascii="Times New Roman" w:hAnsi="Times New Roman" w:cs="Times New Roman"/>
          <w:color w:val="000000" w:themeColor="text1"/>
          <w:sz w:val="20"/>
          <w:szCs w:val="20"/>
        </w:rPr>
      </w:pPr>
      <w:r>
        <w:rPr>
          <w:rFonts w:ascii="Times New Roman" w:eastAsia="Calibri" w:hAnsi="Times New Roman" w:cs="Times New Roman"/>
          <w:sz w:val="20"/>
          <w:szCs w:val="20"/>
        </w:rPr>
        <w:t>Other points, such as PR-4 (1.42 mg/kg), showed a more substantial decline, dropping to 0.92 mg/kg in PR-15. Despite relative decreas</w:t>
      </w:r>
      <w:r>
        <w:rPr>
          <w:rFonts w:ascii="Times New Roman" w:eastAsia="Calibri" w:hAnsi="Times New Roman" w:cs="Times New Roman"/>
          <w:sz w:val="20"/>
          <w:szCs w:val="20"/>
          <w:highlight w:val="yellow"/>
        </w:rPr>
        <w:t xml:space="preserve">es </w:t>
      </w:r>
      <w:r>
        <w:rPr>
          <w:rFonts w:ascii="Times New Roman" w:eastAsia="Calibri" w:hAnsi="Times New Roman" w:cs="Times New Roman"/>
          <w:sz w:val="20"/>
          <w:szCs w:val="20"/>
        </w:rPr>
        <w:t>in</w:t>
      </w:r>
      <w:r>
        <w:rPr>
          <w:rFonts w:ascii="Times New Roman" w:eastAsia="Calibri" w:hAnsi="Times New Roman" w:cs="Times New Roman"/>
          <w:sz w:val="20"/>
          <w:szCs w:val="20"/>
          <w:highlight w:val="yellow"/>
        </w:rPr>
        <w:t xml:space="preserve"> Cd levels</w:t>
      </w:r>
      <w:r>
        <w:rPr>
          <w:rFonts w:ascii="Times New Roman" w:eastAsia="Calibri" w:hAnsi="Times New Roman" w:cs="Times New Roman"/>
          <w:sz w:val="20"/>
          <w:szCs w:val="20"/>
        </w:rPr>
        <w:t xml:space="preserve"> in some areas, they did not uniformly reach control</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 xml:space="preserve">sample levels (e.g., CT-3 at 0.25 mg/kg). While the overall findings </w:t>
      </w:r>
      <w:r>
        <w:rPr>
          <w:rFonts w:ascii="Times New Roman" w:eastAsia="Calibri" w:hAnsi="Times New Roman" w:cs="Times New Roman"/>
          <w:sz w:val="20"/>
          <w:szCs w:val="20"/>
          <w:highlight w:val="yellow"/>
        </w:rPr>
        <w:t>for</w:t>
      </w:r>
      <w:r>
        <w:rPr>
          <w:rFonts w:ascii="Times New Roman" w:eastAsia="Calibri" w:hAnsi="Times New Roman" w:cs="Times New Roman"/>
          <w:sz w:val="20"/>
          <w:szCs w:val="20"/>
        </w:rPr>
        <w:t xml:space="preserve"> Cd levels across most corresponding points reflect positive declines, the data suggest</w:t>
      </w:r>
      <w:r>
        <w:rPr>
          <w:rFonts w:ascii="Times New Roman" w:eastAsia="Calibri" w:hAnsi="Times New Roman" w:cs="Times New Roman"/>
          <w:sz w:val="20"/>
          <w:szCs w:val="20"/>
          <w:highlight w:val="yellow"/>
        </w:rPr>
        <w:t xml:space="preserve"> that</w:t>
      </w:r>
      <w:r>
        <w:rPr>
          <w:rFonts w:ascii="Times New Roman" w:eastAsia="Calibri" w:hAnsi="Times New Roman" w:cs="Times New Roman"/>
          <w:sz w:val="20"/>
          <w:szCs w:val="20"/>
        </w:rPr>
        <w:t xml:space="preserve"> specific sample areas</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 xml:space="preserve"> </w:t>
      </w:r>
      <w:r>
        <w:rPr>
          <w:rFonts w:ascii="Times New Roman" w:eastAsia="Calibri" w:hAnsi="Times New Roman" w:cs="Times New Roman"/>
          <w:sz w:val="20"/>
          <w:szCs w:val="20"/>
          <w:highlight w:val="yellow"/>
        </w:rPr>
        <w:t>such as</w:t>
      </w:r>
      <w:r>
        <w:rPr>
          <w:rFonts w:ascii="Times New Roman" w:eastAsia="Calibri" w:hAnsi="Times New Roman" w:cs="Times New Roman"/>
          <w:sz w:val="20"/>
          <w:szCs w:val="20"/>
        </w:rPr>
        <w:t xml:space="preserve"> PR-13</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 xml:space="preserve"> may require</w:t>
      </w:r>
      <w:r>
        <w:rPr>
          <w:rFonts w:ascii="Times New Roman" w:eastAsia="Calibri" w:hAnsi="Times New Roman" w:cs="Times New Roman"/>
          <w:sz w:val="20"/>
          <w:szCs w:val="20"/>
          <w:highlight w:val="yellow"/>
        </w:rPr>
        <w:t xml:space="preserve"> further</w:t>
      </w:r>
      <w:r>
        <w:rPr>
          <w:rFonts w:ascii="Times New Roman" w:eastAsia="Calibri" w:hAnsi="Times New Roman" w:cs="Times New Roman"/>
          <w:sz w:val="20"/>
          <w:szCs w:val="20"/>
        </w:rPr>
        <w:t xml:space="preserve"> efforts to fully comply with the environmental standards of the U.S. Department of Agriculture, Soil Quality Institute (</w:t>
      </w:r>
      <w:r>
        <w:rPr>
          <w:rFonts w:ascii="Times New Roman" w:eastAsia="Calibri" w:hAnsi="Times New Roman" w:cs="Times New Roman"/>
          <w:color w:val="2660F0"/>
          <w:sz w:val="20"/>
          <w:szCs w:val="20"/>
        </w:rPr>
        <w:t>USDA, 2000</w:t>
      </w:r>
      <w:r>
        <w:rPr>
          <w:rFonts w:ascii="Times New Roman" w:eastAsia="Calibri" w:hAnsi="Times New Roman" w:cs="Times New Roman"/>
          <w:sz w:val="20"/>
          <w:szCs w:val="20"/>
        </w:rPr>
        <w:t xml:space="preserve">), and the U.S. </w:t>
      </w:r>
      <w:r>
        <w:rPr>
          <w:rFonts w:ascii="Times New Roman" w:hAnsi="Times New Roman" w:cs="Times New Roman"/>
          <w:color w:val="000000" w:themeColor="text1"/>
          <w:sz w:val="20"/>
          <w:szCs w:val="20"/>
        </w:rPr>
        <w:t>Environmental Protection Agency (</w:t>
      </w:r>
      <w:r>
        <w:rPr>
          <w:rFonts w:ascii="Times New Roman" w:hAnsi="Times New Roman" w:cs="Times New Roman"/>
          <w:color w:val="2660F0"/>
          <w:sz w:val="20"/>
          <w:szCs w:val="20"/>
        </w:rPr>
        <w:t>USEPA, 2011</w:t>
      </w:r>
      <w:r>
        <w:rPr>
          <w:rFonts w:ascii="Times New Roman" w:hAnsi="Times New Roman" w:cs="Times New Roman"/>
          <w:color w:val="000000" w:themeColor="text1"/>
          <w:sz w:val="20"/>
          <w:szCs w:val="20"/>
        </w:rPr>
        <w:t>).</w:t>
      </w:r>
    </w:p>
    <w:p w14:paraId="33BDEBB1" w14:textId="77777777" w:rsidR="008A1D85" w:rsidRDefault="008A1D85" w:rsidP="008A1D85">
      <w:pPr>
        <w:spacing w:after="0" w:line="240" w:lineRule="auto"/>
        <w:ind w:firstLine="450"/>
        <w:jc w:val="both"/>
        <w:rPr>
          <w:rFonts w:ascii="Times New Roman" w:eastAsia="Calibri" w:hAnsi="Times New Roman" w:cs="Times New Roman"/>
          <w:sz w:val="20"/>
          <w:szCs w:val="20"/>
        </w:rPr>
      </w:pPr>
      <w:r>
        <w:rPr>
          <w:rFonts w:ascii="Times New Roman" w:eastAsia="Calibri" w:hAnsi="Times New Roman" w:cs="Times New Roman"/>
          <w:sz w:val="20"/>
          <w:szCs w:val="20"/>
          <w:highlight w:val="yellow"/>
        </w:rPr>
        <w:t>The</w:t>
      </w:r>
      <w:r>
        <w:rPr>
          <w:rFonts w:ascii="Times New Roman" w:eastAsia="Calibri" w:hAnsi="Times New Roman" w:cs="Times New Roman"/>
          <w:sz w:val="20"/>
          <w:szCs w:val="20"/>
        </w:rPr>
        <w:t xml:space="preserve"> spatiotemporal distribution</w:t>
      </w:r>
      <w:r>
        <w:rPr>
          <w:rFonts w:ascii="Times New Roman" w:eastAsia="Calibri" w:hAnsi="Times New Roman" w:cs="Times New Roman"/>
          <w:sz w:val="20"/>
          <w:szCs w:val="20"/>
          <w:highlight w:val="yellow"/>
        </w:rPr>
        <w:t xml:space="preserve"> of cadmium (Cd)</w:t>
      </w:r>
      <w:r>
        <w:rPr>
          <w:rFonts w:ascii="Times New Roman" w:eastAsia="Calibri" w:hAnsi="Times New Roman" w:cs="Times New Roman"/>
          <w:sz w:val="20"/>
          <w:szCs w:val="20"/>
        </w:rPr>
        <w:t xml:space="preserve">, illustrated in </w:t>
      </w:r>
      <w:r>
        <w:rPr>
          <w:rFonts w:ascii="Times New Roman" w:eastAsia="Calibri" w:hAnsi="Times New Roman" w:cs="Times New Roman"/>
          <w:color w:val="2660F0"/>
          <w:sz w:val="20"/>
          <w:szCs w:val="20"/>
        </w:rPr>
        <w:t xml:space="preserve">Fig. 6(a) </w:t>
      </w:r>
      <w:r>
        <w:rPr>
          <w:rFonts w:ascii="Times New Roman" w:eastAsia="Calibri" w:hAnsi="Times New Roman" w:cs="Times New Roman"/>
          <w:sz w:val="20"/>
          <w:szCs w:val="20"/>
        </w:rPr>
        <w:t xml:space="preserve">and </w:t>
      </w:r>
      <w:r>
        <w:rPr>
          <w:rFonts w:ascii="Times New Roman" w:eastAsia="Calibri" w:hAnsi="Times New Roman" w:cs="Times New Roman"/>
          <w:color w:val="2660F0"/>
          <w:sz w:val="20"/>
          <w:szCs w:val="20"/>
        </w:rPr>
        <w:t>(b)</w:t>
      </w:r>
      <w:r>
        <w:rPr>
          <w:rFonts w:ascii="Times New Roman" w:eastAsia="Calibri" w:hAnsi="Times New Roman" w:cs="Times New Roman"/>
          <w:sz w:val="20"/>
          <w:szCs w:val="20"/>
        </w:rPr>
        <w:t xml:space="preserve">, is primarily observed </w:t>
      </w:r>
      <w:r>
        <w:rPr>
          <w:rFonts w:ascii="Times New Roman" w:eastAsia="Calibri" w:hAnsi="Times New Roman" w:cs="Times New Roman"/>
          <w:sz w:val="20"/>
          <w:szCs w:val="20"/>
          <w:highlight w:val="yellow"/>
        </w:rPr>
        <w:t>at</w:t>
      </w:r>
      <w:r>
        <w:rPr>
          <w:rFonts w:ascii="Times New Roman" w:eastAsia="Calibri" w:hAnsi="Times New Roman" w:cs="Times New Roman"/>
          <w:sz w:val="20"/>
          <w:szCs w:val="20"/>
        </w:rPr>
        <w:t xml:space="preserve"> specific locations within the southern region of the site. In both sampling phases, Cd extended towards the northern parts, </w:t>
      </w:r>
      <w:r>
        <w:rPr>
          <w:rFonts w:ascii="Times New Roman" w:eastAsia="Calibri" w:hAnsi="Times New Roman" w:cs="Times New Roman"/>
          <w:sz w:val="20"/>
          <w:szCs w:val="20"/>
          <w:highlight w:val="yellow"/>
        </w:rPr>
        <w:t>al</w:t>
      </w:r>
      <w:r>
        <w:rPr>
          <w:rFonts w:ascii="Times New Roman" w:eastAsia="Calibri" w:hAnsi="Times New Roman" w:cs="Times New Roman"/>
          <w:sz w:val="20"/>
          <w:szCs w:val="20"/>
        </w:rPr>
        <w:t xml:space="preserve">though at lower concentrations. This distribution pattern suggests </w:t>
      </w:r>
      <w:proofErr w:type="spellStart"/>
      <w:r>
        <w:rPr>
          <w:rFonts w:ascii="Times New Roman" w:eastAsia="Calibri" w:hAnsi="Times New Roman" w:cs="Times New Roman"/>
          <w:sz w:val="20"/>
          <w:szCs w:val="20"/>
        </w:rPr>
        <w:t>locali</w:t>
      </w:r>
      <w:r>
        <w:rPr>
          <w:rFonts w:ascii="Times New Roman" w:eastAsia="Calibri" w:hAnsi="Times New Roman" w:cs="Times New Roman"/>
          <w:sz w:val="20"/>
          <w:szCs w:val="20"/>
          <w:highlight w:val="yellow"/>
        </w:rPr>
        <w:t>s</w:t>
      </w:r>
      <w:r>
        <w:rPr>
          <w:rFonts w:ascii="Times New Roman" w:eastAsia="Calibri" w:hAnsi="Times New Roman" w:cs="Times New Roman"/>
          <w:sz w:val="20"/>
          <w:szCs w:val="20"/>
        </w:rPr>
        <w:t>ed</w:t>
      </w:r>
      <w:proofErr w:type="spellEnd"/>
      <w:r>
        <w:rPr>
          <w:rFonts w:ascii="Times New Roman" w:eastAsia="Calibri" w:hAnsi="Times New Roman" w:cs="Times New Roman"/>
          <w:sz w:val="20"/>
          <w:szCs w:val="20"/>
        </w:rPr>
        <w:t xml:space="preserve"> Cd levels in the south, with diffusion towards the north possibly due to subsurface migration or environmental factors </w:t>
      </w:r>
      <w:r>
        <w:rPr>
          <w:rFonts w:ascii="Times New Roman" w:eastAsia="Calibri" w:hAnsi="Times New Roman" w:cs="Times New Roman"/>
          <w:sz w:val="20"/>
          <w:szCs w:val="20"/>
          <w:highlight w:val="yellow"/>
        </w:rPr>
        <w:t>such as</w:t>
      </w:r>
      <w:r>
        <w:rPr>
          <w:rFonts w:ascii="Times New Roman" w:eastAsia="Calibri" w:hAnsi="Times New Roman" w:cs="Times New Roman"/>
          <w:sz w:val="20"/>
          <w:szCs w:val="20"/>
        </w:rPr>
        <w:t xml:space="preserve"> rainfall and groundwater flow (</w:t>
      </w:r>
      <w:r>
        <w:rPr>
          <w:rFonts w:ascii="Times New Roman" w:eastAsia="Calibri" w:hAnsi="Times New Roman" w:cs="Times New Roman"/>
          <w:color w:val="2660F0"/>
          <w:sz w:val="20"/>
          <w:szCs w:val="20"/>
        </w:rPr>
        <w:t>Ahmed et al., 2024a</w:t>
      </w:r>
      <w:r>
        <w:rPr>
          <w:rFonts w:ascii="Times New Roman" w:eastAsia="Calibri" w:hAnsi="Times New Roman" w:cs="Times New Roman"/>
          <w:sz w:val="20"/>
          <w:szCs w:val="20"/>
        </w:rPr>
        <w:t xml:space="preserve">). The spatial reduction in Cd from the first </w:t>
      </w:r>
      <w:r>
        <w:rPr>
          <w:rFonts w:ascii="Times New Roman" w:eastAsia="Calibri" w:hAnsi="Times New Roman" w:cs="Times New Roman"/>
          <w:color w:val="000000" w:themeColor="text1"/>
          <w:sz w:val="20"/>
          <w:szCs w:val="20"/>
        </w:rPr>
        <w:t xml:space="preserve">to the second phase </w:t>
      </w:r>
      <w:r>
        <w:rPr>
          <w:rFonts w:ascii="Times New Roman" w:eastAsia="Calibri" w:hAnsi="Times New Roman" w:cs="Times New Roman"/>
          <w:sz w:val="20"/>
          <w:szCs w:val="20"/>
        </w:rPr>
        <w:t xml:space="preserve">reflects positive attenuation </w:t>
      </w:r>
      <w:r>
        <w:rPr>
          <w:rFonts w:ascii="Times New Roman" w:eastAsia="Calibri" w:hAnsi="Times New Roman" w:cs="Times New Roman"/>
          <w:sz w:val="20"/>
          <w:szCs w:val="20"/>
          <w:highlight w:val="yellow"/>
        </w:rPr>
        <w:t>that</w:t>
      </w:r>
      <w:r>
        <w:rPr>
          <w:rFonts w:ascii="Times New Roman" w:eastAsia="Calibri" w:hAnsi="Times New Roman" w:cs="Times New Roman"/>
          <w:sz w:val="20"/>
          <w:szCs w:val="20"/>
        </w:rPr>
        <w:t xml:space="preserve"> limit</w:t>
      </w:r>
      <w:r>
        <w:rPr>
          <w:rFonts w:ascii="Times New Roman" w:eastAsia="Calibri" w:hAnsi="Times New Roman" w:cs="Times New Roman"/>
          <w:sz w:val="20"/>
          <w:szCs w:val="20"/>
          <w:highlight w:val="yellow"/>
        </w:rPr>
        <w:t>ed</w:t>
      </w:r>
      <w:r>
        <w:rPr>
          <w:rFonts w:ascii="Times New Roman" w:eastAsia="Calibri" w:hAnsi="Times New Roman" w:cs="Times New Roman"/>
          <w:sz w:val="20"/>
          <w:szCs w:val="20"/>
        </w:rPr>
        <w:t xml:space="preserve"> its spread (</w:t>
      </w:r>
      <w:r>
        <w:rPr>
          <w:rFonts w:ascii="Times New Roman" w:eastAsia="Calibri" w:hAnsi="Times New Roman" w:cs="Times New Roman"/>
          <w:color w:val="2660F0"/>
          <w:sz w:val="20"/>
          <w:szCs w:val="20"/>
        </w:rPr>
        <w:t>Mohamed et al., 2024</w:t>
      </w:r>
      <w:r>
        <w:rPr>
          <w:rFonts w:ascii="Times New Roman" w:eastAsia="Calibri" w:hAnsi="Times New Roman" w:cs="Times New Roman"/>
          <w:sz w:val="20"/>
          <w:szCs w:val="20"/>
        </w:rPr>
        <w:t xml:space="preserve">); however, further </w:t>
      </w:r>
      <w:r>
        <w:rPr>
          <w:rFonts w:ascii="Times New Roman" w:eastAsia="Calibri" w:hAnsi="Times New Roman" w:cs="Times New Roman"/>
          <w:sz w:val="20"/>
          <w:szCs w:val="20"/>
          <w:highlight w:val="yellow"/>
        </w:rPr>
        <w:t xml:space="preserve">monitoring of the </w:t>
      </w:r>
      <w:r>
        <w:rPr>
          <w:rFonts w:ascii="Times New Roman" w:eastAsia="Calibri" w:hAnsi="Times New Roman" w:cs="Times New Roman"/>
          <w:sz w:val="20"/>
          <w:szCs w:val="20"/>
        </w:rPr>
        <w:t>southern zone is recommended for full Cd mitigation.</w:t>
      </w:r>
    </w:p>
    <w:p w14:paraId="1807C74F" w14:textId="77777777" w:rsidR="000733D5" w:rsidRDefault="000733D5" w:rsidP="000733D5">
      <w:pPr>
        <w:spacing w:after="0" w:line="276" w:lineRule="auto"/>
        <w:jc w:val="both"/>
        <w:rPr>
          <w:rFonts w:ascii="Times New Roman" w:eastAsia="Calibri" w:hAnsi="Times New Roman" w:cs="Times New Roman"/>
          <w:sz w:val="20"/>
          <w:szCs w:val="20"/>
        </w:rPr>
      </w:pPr>
    </w:p>
    <w:p w14:paraId="7D75EBA6" w14:textId="77777777" w:rsidR="00E33B3D" w:rsidRDefault="00E33B3D" w:rsidP="00E33B3D">
      <w:pPr>
        <w:spacing w:after="0" w:line="240" w:lineRule="auto"/>
        <w:jc w:val="center"/>
        <w:rPr>
          <w:rFonts w:ascii="Times New Roman" w:eastAsia="Calibri" w:hAnsi="Times New Roman" w:cs="Times New Roman"/>
          <w:sz w:val="20"/>
          <w:szCs w:val="20"/>
        </w:rPr>
      </w:pPr>
      <w:r w:rsidRPr="00DC2776">
        <w:rPr>
          <w:rFonts w:ascii="Times New Roman" w:eastAsia="Calibri" w:hAnsi="Times New Roman" w:cs="Times New Roman"/>
          <w:noProof/>
          <w:sz w:val="20"/>
          <w:szCs w:val="20"/>
        </w:rPr>
        <w:drawing>
          <wp:inline distT="0" distB="0" distL="0" distR="0" wp14:anchorId="4AD8F953" wp14:editId="163FC022">
            <wp:extent cx="4524433" cy="3147237"/>
            <wp:effectExtent l="0" t="0" r="0" b="0"/>
            <wp:docPr id="17" name="Picture 2">
              <a:extLst xmlns:a="http://schemas.openxmlformats.org/drawingml/2006/main">
                <a:ext uri="{FF2B5EF4-FFF2-40B4-BE49-F238E27FC236}">
                  <a16:creationId xmlns:a16="http://schemas.microsoft.com/office/drawing/2014/main" id="{78F2F149-E168-4346-5C1C-15E5561A7F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8F2F149-E168-4346-5C1C-15E5561A7FAD}"/>
                        </a:ext>
                      </a:extLst>
                    </pic:cNvPr>
                    <pic:cNvPicPr>
                      <a:picLocks noChangeAspect="1"/>
                    </pic:cNvPicPr>
                  </pic:nvPicPr>
                  <pic:blipFill rotWithShape="1">
                    <a:blip r:embed="rId18"/>
                    <a:srcRect b="3898"/>
                    <a:stretch/>
                  </pic:blipFill>
                  <pic:spPr>
                    <a:xfrm>
                      <a:off x="0" y="0"/>
                      <a:ext cx="4527196" cy="3149159"/>
                    </a:xfrm>
                    <a:prstGeom prst="rect">
                      <a:avLst/>
                    </a:prstGeom>
                  </pic:spPr>
                </pic:pic>
              </a:graphicData>
            </a:graphic>
          </wp:inline>
        </w:drawing>
      </w:r>
    </w:p>
    <w:p w14:paraId="2FDE4A39" w14:textId="77777777" w:rsidR="00E33B3D" w:rsidRDefault="00E33B3D" w:rsidP="00E33B3D">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 xml:space="preserve">Fig. </w:t>
      </w:r>
      <w:r w:rsidR="002C7164">
        <w:rPr>
          <w:rFonts w:ascii="Times New Roman" w:eastAsia="Calibri" w:hAnsi="Times New Roman" w:cs="Times New Roman"/>
          <w:b/>
          <w:bCs/>
          <w:sz w:val="20"/>
          <w:szCs w:val="20"/>
        </w:rPr>
        <w:t>6</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2C7164">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cadmium</w:t>
      </w:r>
      <w:r w:rsidRPr="00154C63">
        <w:rPr>
          <w:rFonts w:ascii="Times New Roman" w:eastAsia="Calibri" w:hAnsi="Times New Roman" w:cs="Times New Roman"/>
          <w:sz w:val="20"/>
          <w:szCs w:val="20"/>
        </w:rPr>
        <w:t xml:space="preserve"> for the first and second sampling phases</w:t>
      </w:r>
    </w:p>
    <w:p w14:paraId="7DD23D8D" w14:textId="77777777" w:rsidR="000733D5" w:rsidRDefault="000733D5" w:rsidP="00DA3B4C">
      <w:pPr>
        <w:spacing w:after="0" w:line="240" w:lineRule="auto"/>
        <w:jc w:val="both"/>
        <w:rPr>
          <w:rFonts w:ascii="Times New Roman" w:eastAsia="Calibri" w:hAnsi="Times New Roman" w:cs="Times New Roman"/>
          <w:sz w:val="20"/>
          <w:szCs w:val="20"/>
        </w:rPr>
      </w:pPr>
    </w:p>
    <w:p w14:paraId="05904A0E" w14:textId="77777777" w:rsidR="00591019" w:rsidRPr="00EA5401" w:rsidRDefault="004F00BB" w:rsidP="00591019">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591019" w:rsidRPr="00EA5401">
        <w:rPr>
          <w:rFonts w:ascii="Times New Roman" w:eastAsia="Calibri" w:hAnsi="Times New Roman" w:cs="Times New Roman"/>
          <w:b/>
          <w:bCs/>
          <w:sz w:val="20"/>
          <w:szCs w:val="20"/>
        </w:rPr>
        <w:t>.3 Copper</w:t>
      </w:r>
    </w:p>
    <w:p w14:paraId="0B75AA12" w14:textId="77777777" w:rsidR="00962C02" w:rsidRDefault="00591019" w:rsidP="00591019">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In the case of </w:t>
      </w:r>
      <w:r>
        <w:rPr>
          <w:rFonts w:ascii="Times New Roman" w:eastAsia="Calibri" w:hAnsi="Times New Roman" w:cs="Times New Roman"/>
          <w:bCs/>
          <w:sz w:val="20"/>
          <w:szCs w:val="20"/>
          <w:highlight w:val="yellow"/>
        </w:rPr>
        <w:t>c</w:t>
      </w:r>
      <w:r>
        <w:rPr>
          <w:rFonts w:ascii="Times New Roman" w:eastAsia="Calibri" w:hAnsi="Times New Roman" w:cs="Times New Roman"/>
          <w:bCs/>
          <w:sz w:val="20"/>
          <w:szCs w:val="20"/>
        </w:rPr>
        <w:t>opper (Cu), concentrations showed vari</w:t>
      </w:r>
      <w:r>
        <w:rPr>
          <w:rFonts w:ascii="Times New Roman" w:eastAsia="Calibri" w:hAnsi="Times New Roman" w:cs="Times New Roman"/>
          <w:bCs/>
          <w:sz w:val="20"/>
          <w:szCs w:val="20"/>
          <w:highlight w:val="yellow"/>
        </w:rPr>
        <w:t>abl</w:t>
      </w:r>
      <w:r>
        <w:rPr>
          <w:rFonts w:ascii="Times New Roman" w:eastAsia="Calibri" w:hAnsi="Times New Roman" w:cs="Times New Roman"/>
          <w:bCs/>
          <w:sz w:val="20"/>
          <w:szCs w:val="20"/>
        </w:rPr>
        <w:t xml:space="preserve">e results across the site, as depicted in </w:t>
      </w:r>
      <w:r>
        <w:rPr>
          <w:rFonts w:ascii="Times New Roman" w:eastAsia="Calibri" w:hAnsi="Times New Roman" w:cs="Times New Roman"/>
          <w:bCs/>
          <w:color w:val="2660F0"/>
          <w:sz w:val="20"/>
          <w:szCs w:val="20"/>
        </w:rPr>
        <w:t>Fig. 7</w:t>
      </w:r>
      <w:r>
        <w:rPr>
          <w:rFonts w:ascii="Times New Roman" w:eastAsia="Calibri" w:hAnsi="Times New Roman" w:cs="Times New Roman"/>
          <w:bCs/>
          <w:sz w:val="20"/>
          <w:szCs w:val="20"/>
        </w:rPr>
        <w:t xml:space="preserve">. The first-phase sample PR-1 had a Cu concentration of 3.85 mg/kg, which decreased to 2.23 mg/kg in PR-12 in the second phase, demonstrating </w:t>
      </w:r>
      <w:r>
        <w:rPr>
          <w:rFonts w:ascii="Times New Roman" w:eastAsia="Calibri" w:hAnsi="Times New Roman" w:cs="Times New Roman"/>
          <w:bCs/>
          <w:sz w:val="20"/>
          <w:szCs w:val="20"/>
          <w:highlight w:val="yellow"/>
        </w:rPr>
        <w:t xml:space="preserve">a </w:t>
      </w:r>
      <w:r>
        <w:rPr>
          <w:rFonts w:ascii="Times New Roman" w:eastAsia="Calibri" w:hAnsi="Times New Roman" w:cs="Times New Roman"/>
          <w:bCs/>
          <w:sz w:val="20"/>
          <w:szCs w:val="20"/>
        </w:rPr>
        <w:t>substantial reduction</w:t>
      </w:r>
      <w:r>
        <w:rPr>
          <w:rFonts w:ascii="Times New Roman" w:eastAsia="Calibri" w:hAnsi="Times New Roman" w:cs="Times New Roman"/>
          <w:bCs/>
          <w:sz w:val="20"/>
          <w:szCs w:val="20"/>
          <w:highlight w:val="yellow"/>
        </w:rPr>
        <w:t>,</w:t>
      </w:r>
      <w:r>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highlight w:val="yellow"/>
        </w:rPr>
        <w:t>altho</w:t>
      </w:r>
      <w:r>
        <w:rPr>
          <w:rFonts w:ascii="Times New Roman" w:eastAsia="Calibri" w:hAnsi="Times New Roman" w:cs="Times New Roman"/>
          <w:bCs/>
          <w:sz w:val="20"/>
          <w:szCs w:val="20"/>
        </w:rPr>
        <w:t>u</w:t>
      </w:r>
      <w:r>
        <w:rPr>
          <w:rFonts w:ascii="Times New Roman" w:eastAsia="Calibri" w:hAnsi="Times New Roman" w:cs="Times New Roman"/>
          <w:bCs/>
          <w:sz w:val="20"/>
          <w:szCs w:val="20"/>
          <w:highlight w:val="yellow"/>
        </w:rPr>
        <w:t xml:space="preserve">gh </w:t>
      </w:r>
      <w:r>
        <w:rPr>
          <w:rFonts w:ascii="Times New Roman" w:eastAsia="Calibri" w:hAnsi="Times New Roman" w:cs="Times New Roman"/>
          <w:bCs/>
          <w:sz w:val="20"/>
          <w:szCs w:val="20"/>
        </w:rPr>
        <w:t>t</w:t>
      </w:r>
      <w:r>
        <w:rPr>
          <w:rFonts w:ascii="Times New Roman" w:eastAsia="Calibri" w:hAnsi="Times New Roman" w:cs="Times New Roman"/>
          <w:bCs/>
          <w:sz w:val="20"/>
          <w:szCs w:val="20"/>
          <w:highlight w:val="yellow"/>
        </w:rPr>
        <w:t>he</w:t>
      </w:r>
      <w:r>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highlight w:val="yellow"/>
        </w:rPr>
        <w:t>value rema</w:t>
      </w:r>
      <w:r>
        <w:rPr>
          <w:rFonts w:ascii="Times New Roman" w:eastAsia="Calibri" w:hAnsi="Times New Roman" w:cs="Times New Roman"/>
          <w:bCs/>
          <w:sz w:val="20"/>
          <w:szCs w:val="20"/>
        </w:rPr>
        <w:t>i</w:t>
      </w:r>
      <w:r>
        <w:rPr>
          <w:rFonts w:ascii="Times New Roman" w:eastAsia="Calibri" w:hAnsi="Times New Roman" w:cs="Times New Roman"/>
          <w:bCs/>
          <w:sz w:val="20"/>
          <w:szCs w:val="20"/>
          <w:highlight w:val="yellow"/>
        </w:rPr>
        <w:t>ned</w:t>
      </w:r>
      <w:r>
        <w:rPr>
          <w:rFonts w:ascii="Times New Roman" w:eastAsia="Calibri" w:hAnsi="Times New Roman" w:cs="Times New Roman"/>
          <w:bCs/>
          <w:sz w:val="20"/>
          <w:szCs w:val="20"/>
        </w:rPr>
        <w:t xml:space="preserve"> slightly higher than </w:t>
      </w:r>
      <w:r>
        <w:rPr>
          <w:rFonts w:ascii="Times New Roman" w:eastAsia="Calibri" w:hAnsi="Times New Roman" w:cs="Times New Roman"/>
          <w:bCs/>
          <w:sz w:val="20"/>
          <w:szCs w:val="20"/>
          <w:highlight w:val="yellow"/>
        </w:rPr>
        <w:t xml:space="preserve">the </w:t>
      </w:r>
      <w:r>
        <w:rPr>
          <w:rFonts w:ascii="Times New Roman" w:eastAsia="Calibri" w:hAnsi="Times New Roman" w:cs="Times New Roman"/>
          <w:bCs/>
          <w:sz w:val="20"/>
          <w:szCs w:val="20"/>
        </w:rPr>
        <w:t xml:space="preserve">control level </w:t>
      </w:r>
      <w:r>
        <w:rPr>
          <w:rFonts w:ascii="Times New Roman" w:eastAsia="Calibri" w:hAnsi="Times New Roman" w:cs="Times New Roman"/>
          <w:bCs/>
          <w:sz w:val="20"/>
          <w:szCs w:val="20"/>
          <w:highlight w:val="yellow"/>
        </w:rPr>
        <w:t>at</w:t>
      </w:r>
      <w:r>
        <w:rPr>
          <w:rFonts w:ascii="Times New Roman" w:eastAsia="Calibri" w:hAnsi="Times New Roman" w:cs="Times New Roman"/>
          <w:bCs/>
          <w:sz w:val="20"/>
          <w:szCs w:val="20"/>
        </w:rPr>
        <w:t xml:space="preserve"> CT-3 </w:t>
      </w:r>
      <w:r>
        <w:rPr>
          <w:rFonts w:ascii="Times New Roman" w:eastAsia="Calibri" w:hAnsi="Times New Roman" w:cs="Times New Roman"/>
          <w:bCs/>
          <w:sz w:val="20"/>
          <w:szCs w:val="20"/>
          <w:highlight w:val="yellow"/>
        </w:rPr>
        <w:t>(</w:t>
      </w:r>
      <w:r>
        <w:rPr>
          <w:rFonts w:ascii="Times New Roman" w:eastAsia="Calibri" w:hAnsi="Times New Roman" w:cs="Times New Roman"/>
          <w:bCs/>
          <w:sz w:val="20"/>
          <w:szCs w:val="20"/>
        </w:rPr>
        <w:t>1.65 mg/kg</w:t>
      </w:r>
      <w:r>
        <w:rPr>
          <w:rFonts w:ascii="Times New Roman" w:eastAsia="Calibri" w:hAnsi="Times New Roman" w:cs="Times New Roman"/>
          <w:bCs/>
          <w:sz w:val="20"/>
          <w:szCs w:val="20"/>
          <w:highlight w:val="yellow"/>
        </w:rPr>
        <w:t>)</w:t>
      </w:r>
      <w:r>
        <w:rPr>
          <w:rFonts w:ascii="Times New Roman" w:eastAsia="Calibri" w:hAnsi="Times New Roman" w:cs="Times New Roman"/>
          <w:bCs/>
          <w:sz w:val="20"/>
          <w:szCs w:val="20"/>
        </w:rPr>
        <w:t>.</w:t>
      </w:r>
    </w:p>
    <w:p w14:paraId="3C0A23BF" w14:textId="77777777" w:rsidR="008A1D85" w:rsidRDefault="008A1D85" w:rsidP="00591019">
      <w:pPr>
        <w:spacing w:after="0" w:line="240" w:lineRule="auto"/>
        <w:jc w:val="both"/>
        <w:rPr>
          <w:rFonts w:ascii="Times New Roman" w:eastAsia="Calibri" w:hAnsi="Times New Roman" w:cs="Times New Roman"/>
          <w:bCs/>
          <w:sz w:val="20"/>
          <w:szCs w:val="20"/>
        </w:rPr>
      </w:pPr>
    </w:p>
    <w:p w14:paraId="6C0A1A7F" w14:textId="77777777" w:rsidR="0037108A" w:rsidRDefault="0037108A" w:rsidP="0037108A">
      <w:pPr>
        <w:spacing w:after="0" w:line="240" w:lineRule="auto"/>
        <w:jc w:val="center"/>
        <w:rPr>
          <w:rFonts w:ascii="Times New Roman" w:eastAsia="Calibri" w:hAnsi="Times New Roman" w:cs="Times New Roman"/>
          <w:b/>
          <w:sz w:val="20"/>
          <w:szCs w:val="20"/>
        </w:rPr>
      </w:pPr>
      <w:r w:rsidRPr="00554ACA">
        <w:rPr>
          <w:rFonts w:ascii="Times New Roman" w:eastAsia="Calibri" w:hAnsi="Times New Roman" w:cs="Times New Roman"/>
          <w:b/>
          <w:noProof/>
          <w:sz w:val="20"/>
          <w:szCs w:val="20"/>
        </w:rPr>
        <w:drawing>
          <wp:inline distT="0" distB="0" distL="0" distR="0" wp14:anchorId="6D755316" wp14:editId="00DDCA5A">
            <wp:extent cx="5477510" cy="2171700"/>
            <wp:effectExtent l="0" t="0" r="8890" b="0"/>
            <wp:docPr id="7" name="Chart 7">
              <a:extLst xmlns:a="http://schemas.openxmlformats.org/drawingml/2006/main">
                <a:ext uri="{FF2B5EF4-FFF2-40B4-BE49-F238E27FC236}">
                  <a16:creationId xmlns:a16="http://schemas.microsoft.com/office/drawing/2014/main" id="{F1A15B5D-531F-4276-8B5D-B008FD8F9A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AA7583F" w14:textId="77777777" w:rsidR="0037108A" w:rsidRDefault="0037108A" w:rsidP="0037108A">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7A0628">
        <w:rPr>
          <w:rFonts w:ascii="Times New Roman" w:eastAsia="Calibri" w:hAnsi="Times New Roman" w:cs="Times New Roman"/>
          <w:b/>
          <w:bCs/>
          <w:sz w:val="20"/>
          <w:szCs w:val="20"/>
        </w:rPr>
        <w:t>7</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copper</w:t>
      </w:r>
      <w:r w:rsidRPr="00077EB2">
        <w:rPr>
          <w:rFonts w:ascii="Times New Roman" w:eastAsia="Calibri" w:hAnsi="Times New Roman" w:cs="Times New Roman"/>
          <w:sz w:val="20"/>
          <w:szCs w:val="20"/>
        </w:rPr>
        <w:t xml:space="preserve"> 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60F1481E" w14:textId="77777777" w:rsidR="008A1D85" w:rsidRDefault="008A1D85" w:rsidP="008A1D85">
      <w:pPr>
        <w:spacing w:after="0" w:line="240" w:lineRule="auto"/>
        <w:ind w:firstLine="450"/>
        <w:jc w:val="both"/>
        <w:rPr>
          <w:rFonts w:ascii="Times New Roman" w:eastAsia="Calibri" w:hAnsi="Times New Roman" w:cs="Times New Roman"/>
          <w:bCs/>
          <w:sz w:val="20"/>
          <w:szCs w:val="20"/>
        </w:rPr>
      </w:pPr>
    </w:p>
    <w:p w14:paraId="2368A1EF" w14:textId="77777777" w:rsidR="008A1D85" w:rsidRPr="008A1D85" w:rsidRDefault="008A1D85" w:rsidP="008A1D85">
      <w:pPr>
        <w:spacing w:after="0" w:line="240" w:lineRule="auto"/>
        <w:ind w:firstLine="450"/>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Similarly, PR-11 </w:t>
      </w:r>
      <w:r>
        <w:rPr>
          <w:rFonts w:ascii="Times New Roman" w:eastAsia="Calibri" w:hAnsi="Times New Roman" w:cs="Times New Roman"/>
          <w:bCs/>
          <w:sz w:val="20"/>
          <w:szCs w:val="20"/>
          <w:highlight w:val="yellow"/>
        </w:rPr>
        <w:t>dec</w:t>
      </w:r>
      <w:r>
        <w:rPr>
          <w:rFonts w:ascii="Times New Roman" w:eastAsia="Calibri" w:hAnsi="Times New Roman" w:cs="Times New Roman"/>
          <w:bCs/>
          <w:sz w:val="20"/>
          <w:szCs w:val="20"/>
        </w:rPr>
        <w:t>re</w:t>
      </w:r>
      <w:r>
        <w:rPr>
          <w:rFonts w:ascii="Times New Roman" w:eastAsia="Calibri" w:hAnsi="Times New Roman" w:cs="Times New Roman"/>
          <w:bCs/>
          <w:sz w:val="20"/>
          <w:szCs w:val="20"/>
          <w:highlight w:val="yellow"/>
        </w:rPr>
        <w:t>as</w:t>
      </w:r>
      <w:r>
        <w:rPr>
          <w:rFonts w:ascii="Times New Roman" w:eastAsia="Calibri" w:hAnsi="Times New Roman" w:cs="Times New Roman"/>
          <w:bCs/>
          <w:sz w:val="20"/>
          <w:szCs w:val="20"/>
        </w:rPr>
        <w:t xml:space="preserve">ed from 3.19 mg/kg in the first phase to 2.19 mg/kg in PR-22. </w:t>
      </w:r>
      <w:r>
        <w:rPr>
          <w:rFonts w:ascii="Times New Roman" w:eastAsia="Calibri" w:hAnsi="Times New Roman" w:cs="Times New Roman"/>
          <w:bCs/>
          <w:sz w:val="20"/>
          <w:szCs w:val="20"/>
          <w:highlight w:val="yellow"/>
        </w:rPr>
        <w:t>In additi</w:t>
      </w:r>
      <w:r>
        <w:rPr>
          <w:rFonts w:ascii="Times New Roman" w:eastAsia="Calibri" w:hAnsi="Times New Roman" w:cs="Times New Roman"/>
          <w:bCs/>
          <w:sz w:val="20"/>
          <w:szCs w:val="20"/>
        </w:rPr>
        <w:t>o</w:t>
      </w:r>
      <w:r>
        <w:rPr>
          <w:rFonts w:ascii="Times New Roman" w:eastAsia="Calibri" w:hAnsi="Times New Roman" w:cs="Times New Roman"/>
          <w:bCs/>
          <w:sz w:val="20"/>
          <w:szCs w:val="20"/>
          <w:highlight w:val="yellow"/>
        </w:rPr>
        <w:t>n</w:t>
      </w:r>
      <w:r>
        <w:rPr>
          <w:rFonts w:ascii="Times New Roman" w:eastAsia="Calibri" w:hAnsi="Times New Roman" w:cs="Times New Roman"/>
          <w:bCs/>
          <w:sz w:val="20"/>
          <w:szCs w:val="20"/>
        </w:rPr>
        <w:t xml:space="preserve">, some sample points, such as PR-17 (2.66 mg/kg) and PR-13 (2.12 mg/kg), </w:t>
      </w:r>
      <w:r>
        <w:rPr>
          <w:rFonts w:ascii="Times New Roman" w:eastAsia="Calibri" w:hAnsi="Times New Roman" w:cs="Times New Roman"/>
          <w:bCs/>
          <w:sz w:val="20"/>
          <w:szCs w:val="20"/>
          <w:highlight w:val="yellow"/>
        </w:rPr>
        <w:t>show</w:t>
      </w:r>
      <w:r>
        <w:rPr>
          <w:rFonts w:ascii="Times New Roman" w:eastAsia="Calibri" w:hAnsi="Times New Roman" w:cs="Times New Roman"/>
          <w:bCs/>
          <w:sz w:val="20"/>
          <w:szCs w:val="20"/>
        </w:rPr>
        <w:t xml:space="preserve">ed only moderate reductions and remained slightly elevated compared </w:t>
      </w:r>
      <w:r>
        <w:rPr>
          <w:rFonts w:ascii="Times New Roman" w:eastAsia="Calibri" w:hAnsi="Times New Roman" w:cs="Times New Roman"/>
          <w:bCs/>
          <w:sz w:val="20"/>
          <w:szCs w:val="20"/>
          <w:highlight w:val="yellow"/>
        </w:rPr>
        <w:t>wi</w:t>
      </w:r>
      <w:r>
        <w:rPr>
          <w:rFonts w:ascii="Times New Roman" w:eastAsia="Calibri" w:hAnsi="Times New Roman" w:cs="Times New Roman"/>
          <w:bCs/>
          <w:sz w:val="20"/>
          <w:szCs w:val="20"/>
        </w:rPr>
        <w:t>t</w:t>
      </w:r>
      <w:r>
        <w:rPr>
          <w:rFonts w:ascii="Times New Roman" w:eastAsia="Calibri" w:hAnsi="Times New Roman" w:cs="Times New Roman"/>
          <w:bCs/>
          <w:sz w:val="20"/>
          <w:szCs w:val="20"/>
          <w:highlight w:val="yellow"/>
        </w:rPr>
        <w:t>h</w:t>
      </w:r>
      <w:r>
        <w:rPr>
          <w:rFonts w:ascii="Times New Roman" w:eastAsia="Calibri" w:hAnsi="Times New Roman" w:cs="Times New Roman"/>
          <w:bCs/>
          <w:sz w:val="20"/>
          <w:szCs w:val="20"/>
        </w:rPr>
        <w:t xml:space="preserve"> control samples. While the general trend indicates a decrease in Cu levels, the </w:t>
      </w:r>
      <w:r>
        <w:rPr>
          <w:rFonts w:ascii="Times New Roman" w:eastAsia="Calibri" w:hAnsi="Times New Roman" w:cs="Times New Roman"/>
          <w:bCs/>
          <w:sz w:val="20"/>
          <w:szCs w:val="20"/>
          <w:highlight w:val="yellow"/>
        </w:rPr>
        <w:t>magnitu</w:t>
      </w:r>
      <w:r>
        <w:rPr>
          <w:rFonts w:ascii="Times New Roman" w:eastAsia="Calibri" w:hAnsi="Times New Roman" w:cs="Times New Roman"/>
          <w:bCs/>
          <w:sz w:val="20"/>
          <w:szCs w:val="20"/>
        </w:rPr>
        <w:t>d</w:t>
      </w:r>
      <w:r>
        <w:rPr>
          <w:rFonts w:ascii="Times New Roman" w:eastAsia="Calibri" w:hAnsi="Times New Roman" w:cs="Times New Roman"/>
          <w:bCs/>
          <w:sz w:val="20"/>
          <w:szCs w:val="20"/>
          <w:highlight w:val="yellow"/>
        </w:rPr>
        <w:t xml:space="preserve">e </w:t>
      </w:r>
      <w:r>
        <w:rPr>
          <w:rFonts w:ascii="Times New Roman" w:eastAsia="Calibri" w:hAnsi="Times New Roman" w:cs="Times New Roman"/>
          <w:bCs/>
          <w:sz w:val="20"/>
          <w:szCs w:val="20"/>
        </w:rPr>
        <w:t>o</w:t>
      </w:r>
      <w:r>
        <w:rPr>
          <w:rFonts w:ascii="Times New Roman" w:eastAsia="Calibri" w:hAnsi="Times New Roman" w:cs="Times New Roman"/>
          <w:bCs/>
          <w:sz w:val="20"/>
          <w:szCs w:val="20"/>
          <w:highlight w:val="yellow"/>
        </w:rPr>
        <w:t>f the decline</w:t>
      </w:r>
      <w:r>
        <w:rPr>
          <w:rFonts w:ascii="Times New Roman" w:eastAsia="Calibri" w:hAnsi="Times New Roman" w:cs="Times New Roman"/>
          <w:bCs/>
          <w:sz w:val="20"/>
          <w:szCs w:val="20"/>
        </w:rPr>
        <w:t xml:space="preserve"> varied </w:t>
      </w:r>
      <w:r>
        <w:rPr>
          <w:rFonts w:ascii="Times New Roman" w:eastAsia="Calibri" w:hAnsi="Times New Roman" w:cs="Times New Roman"/>
          <w:bCs/>
          <w:sz w:val="20"/>
          <w:szCs w:val="20"/>
          <w:highlight w:val="yellow"/>
        </w:rPr>
        <w:t>amo</w:t>
      </w:r>
      <w:r>
        <w:rPr>
          <w:rFonts w:ascii="Times New Roman" w:eastAsia="Calibri" w:hAnsi="Times New Roman" w:cs="Times New Roman"/>
          <w:bCs/>
          <w:sz w:val="20"/>
          <w:szCs w:val="20"/>
        </w:rPr>
        <w:t>n</w:t>
      </w:r>
      <w:r>
        <w:rPr>
          <w:rFonts w:ascii="Times New Roman" w:eastAsia="Calibri" w:hAnsi="Times New Roman" w:cs="Times New Roman"/>
          <w:bCs/>
          <w:sz w:val="20"/>
          <w:szCs w:val="20"/>
          <w:highlight w:val="yellow"/>
        </w:rPr>
        <w:t>g</w:t>
      </w:r>
      <w:r>
        <w:rPr>
          <w:rFonts w:ascii="Times New Roman" w:eastAsia="Calibri" w:hAnsi="Times New Roman" w:cs="Times New Roman"/>
          <w:bCs/>
          <w:sz w:val="20"/>
          <w:szCs w:val="20"/>
        </w:rPr>
        <w:t xml:space="preserve"> sample points. The continued elevation in certain areas suggests that further targeted efforts may be beneficial </w:t>
      </w:r>
      <w:r>
        <w:rPr>
          <w:rFonts w:ascii="Times New Roman" w:eastAsia="Calibri" w:hAnsi="Times New Roman" w:cs="Times New Roman"/>
          <w:bCs/>
          <w:sz w:val="20"/>
          <w:szCs w:val="20"/>
          <w:highlight w:val="yellow"/>
        </w:rPr>
        <w:t>for</w:t>
      </w:r>
      <w:r>
        <w:rPr>
          <w:rFonts w:ascii="Times New Roman" w:eastAsia="Calibri" w:hAnsi="Times New Roman" w:cs="Times New Roman"/>
          <w:bCs/>
          <w:sz w:val="20"/>
          <w:szCs w:val="20"/>
        </w:rPr>
        <w:t xml:space="preserve"> achieving uniform compliance with </w:t>
      </w:r>
      <w:r>
        <w:rPr>
          <w:rFonts w:ascii="Times New Roman" w:eastAsia="Calibri" w:hAnsi="Times New Roman" w:cs="Times New Roman"/>
          <w:bCs/>
          <w:color w:val="2660F0"/>
          <w:sz w:val="20"/>
          <w:szCs w:val="20"/>
        </w:rPr>
        <w:t>USDA</w:t>
      </w:r>
      <w:r>
        <w:rPr>
          <w:rFonts w:ascii="Times New Roman" w:eastAsia="Calibri" w:hAnsi="Times New Roman" w:cs="Times New Roman"/>
          <w:bCs/>
          <w:sz w:val="20"/>
          <w:szCs w:val="20"/>
        </w:rPr>
        <w:t xml:space="preserve"> (</w:t>
      </w:r>
      <w:r>
        <w:rPr>
          <w:rFonts w:ascii="Times New Roman" w:eastAsia="Calibri" w:hAnsi="Times New Roman" w:cs="Times New Roman"/>
          <w:bCs/>
          <w:color w:val="2660F0"/>
          <w:sz w:val="20"/>
          <w:szCs w:val="20"/>
        </w:rPr>
        <w:t>2000</w:t>
      </w:r>
      <w:r>
        <w:rPr>
          <w:rFonts w:ascii="Times New Roman" w:eastAsia="Calibri" w:hAnsi="Times New Roman" w:cs="Times New Roman"/>
          <w:bCs/>
          <w:sz w:val="20"/>
          <w:szCs w:val="20"/>
        </w:rPr>
        <w:t>) soil</w:t>
      </w:r>
      <w:r>
        <w:rPr>
          <w:rFonts w:ascii="Times New Roman" w:eastAsia="Calibri" w:hAnsi="Times New Roman" w:cs="Times New Roman"/>
          <w:bCs/>
          <w:sz w:val="20"/>
          <w:szCs w:val="20"/>
          <w:highlight w:val="yellow"/>
        </w:rPr>
        <w:t>-</w:t>
      </w:r>
      <w:r>
        <w:rPr>
          <w:rFonts w:ascii="Times New Roman" w:eastAsia="Calibri" w:hAnsi="Times New Roman" w:cs="Times New Roman"/>
          <w:bCs/>
          <w:sz w:val="20"/>
          <w:szCs w:val="20"/>
        </w:rPr>
        <w:t>quality standards for Cu.</w:t>
      </w:r>
    </w:p>
    <w:p w14:paraId="00190B0B" w14:textId="7430B4E3" w:rsidR="008A1D85" w:rsidRPr="008A1D85" w:rsidRDefault="008A1D85" w:rsidP="008A1D85">
      <w:pPr>
        <w:spacing w:after="0" w:line="240" w:lineRule="auto"/>
        <w:ind w:firstLine="450"/>
        <w:jc w:val="both"/>
        <w:rPr>
          <w:rFonts w:ascii="Times New Roman" w:eastAsia="Calibri" w:hAnsi="Times New Roman" w:cs="Times New Roman"/>
          <w:bCs/>
          <w:sz w:val="20"/>
          <w:szCs w:val="20"/>
        </w:rPr>
      </w:pPr>
      <w:r>
        <w:rPr>
          <w:rFonts w:ascii="Times New Roman" w:eastAsia="Calibri" w:hAnsi="Times New Roman" w:cs="Times New Roman"/>
          <w:sz w:val="20"/>
          <w:szCs w:val="20"/>
          <w:highlight w:val="yellow"/>
        </w:rPr>
        <w:t>Th</w:t>
      </w:r>
      <w:r>
        <w:rPr>
          <w:rFonts w:ascii="Times New Roman" w:eastAsia="Calibri" w:hAnsi="Times New Roman" w:cs="Times New Roman"/>
          <w:sz w:val="20"/>
          <w:szCs w:val="20"/>
        </w:rPr>
        <w:t>e spatiotemporal distribution</w:t>
      </w:r>
      <w:r>
        <w:rPr>
          <w:rFonts w:ascii="Times New Roman" w:eastAsia="Calibri" w:hAnsi="Times New Roman" w:cs="Times New Roman"/>
          <w:sz w:val="20"/>
          <w:szCs w:val="20"/>
          <w:highlight w:val="yellow"/>
        </w:rPr>
        <w:t xml:space="preserve"> of copper (Cu)</w:t>
      </w:r>
      <w:r>
        <w:rPr>
          <w:rFonts w:ascii="Times New Roman" w:eastAsia="Calibri" w:hAnsi="Times New Roman" w:cs="Times New Roman"/>
          <w:sz w:val="20"/>
          <w:szCs w:val="20"/>
        </w:rPr>
        <w:t xml:space="preserve">, depicted in </w:t>
      </w:r>
      <w:r>
        <w:rPr>
          <w:rFonts w:ascii="Times New Roman" w:eastAsia="Calibri" w:hAnsi="Times New Roman" w:cs="Times New Roman"/>
          <w:color w:val="2660F0"/>
          <w:sz w:val="20"/>
          <w:szCs w:val="20"/>
        </w:rPr>
        <w:t xml:space="preserve">Fig. 8(a) </w:t>
      </w:r>
      <w:r>
        <w:rPr>
          <w:rFonts w:ascii="Times New Roman" w:eastAsia="Calibri" w:hAnsi="Times New Roman" w:cs="Times New Roman"/>
          <w:sz w:val="20"/>
          <w:szCs w:val="20"/>
        </w:rPr>
        <w:t xml:space="preserve">and </w:t>
      </w:r>
      <w:r>
        <w:rPr>
          <w:rFonts w:ascii="Times New Roman" w:eastAsia="Calibri" w:hAnsi="Times New Roman" w:cs="Times New Roman"/>
          <w:color w:val="2660F0"/>
          <w:sz w:val="20"/>
          <w:szCs w:val="20"/>
        </w:rPr>
        <w:t>(b)</w:t>
      </w:r>
      <w:r>
        <w:rPr>
          <w:rFonts w:ascii="Times New Roman" w:eastAsia="Calibri" w:hAnsi="Times New Roman" w:cs="Times New Roman"/>
          <w:sz w:val="20"/>
          <w:szCs w:val="20"/>
        </w:rPr>
        <w:t xml:space="preserve">, reveals </w:t>
      </w:r>
      <w:r>
        <w:rPr>
          <w:rFonts w:ascii="Times New Roman" w:eastAsia="Calibri" w:hAnsi="Times New Roman" w:cs="Times New Roman"/>
          <w:sz w:val="20"/>
          <w:szCs w:val="20"/>
          <w:highlight w:val="yellow"/>
        </w:rPr>
        <w:t>h</w:t>
      </w:r>
      <w:r>
        <w:rPr>
          <w:rFonts w:ascii="Times New Roman" w:eastAsia="Calibri" w:hAnsi="Times New Roman" w:cs="Times New Roman"/>
          <w:sz w:val="20"/>
          <w:szCs w:val="20"/>
        </w:rPr>
        <w:t>ig</w:t>
      </w:r>
      <w:r>
        <w:rPr>
          <w:rFonts w:ascii="Times New Roman" w:eastAsia="Calibri" w:hAnsi="Times New Roman" w:cs="Times New Roman"/>
          <w:sz w:val="20"/>
          <w:szCs w:val="20"/>
          <w:highlight w:val="yellow"/>
        </w:rPr>
        <w:t>her</w:t>
      </w:r>
      <w:r>
        <w:rPr>
          <w:rFonts w:ascii="Times New Roman" w:eastAsia="Calibri" w:hAnsi="Times New Roman" w:cs="Times New Roman"/>
          <w:sz w:val="20"/>
          <w:szCs w:val="20"/>
        </w:rPr>
        <w:t xml:space="preserve"> intensities predominantly within the southern part of the study</w:t>
      </w:r>
      <w:r>
        <w:rPr>
          <w:rFonts w:ascii="Times New Roman" w:eastAsia="Calibri" w:hAnsi="Times New Roman" w:cs="Times New Roman"/>
          <w:sz w:val="20"/>
          <w:szCs w:val="20"/>
          <w:highlight w:val="yellow"/>
        </w:rPr>
        <w:t xml:space="preserve"> area</w:t>
      </w:r>
      <w:r>
        <w:rPr>
          <w:rFonts w:ascii="Times New Roman" w:eastAsia="Calibri" w:hAnsi="Times New Roman" w:cs="Times New Roman"/>
          <w:sz w:val="20"/>
          <w:szCs w:val="20"/>
        </w:rPr>
        <w:t>, with lower levels spreading towards the southeastern and southwestern areas. In the first sampling phase, elevated Cu concentrations were mainly in the southeastern region, whe</w:t>
      </w:r>
      <w:r>
        <w:rPr>
          <w:rFonts w:ascii="Times New Roman" w:eastAsia="Calibri" w:hAnsi="Times New Roman" w:cs="Times New Roman"/>
          <w:sz w:val="20"/>
          <w:szCs w:val="20"/>
          <w:highlight w:val="yellow"/>
        </w:rPr>
        <w:t>reas</w:t>
      </w:r>
      <w:r>
        <w:rPr>
          <w:rFonts w:ascii="Times New Roman" w:eastAsia="Calibri" w:hAnsi="Times New Roman" w:cs="Times New Roman"/>
          <w:sz w:val="20"/>
          <w:szCs w:val="20"/>
        </w:rPr>
        <w:t xml:space="preserve"> in the second phase, they shifted towards the southwest. This shift may indicate the influence of soil and surface</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lastRenderedPageBreak/>
        <w:t xml:space="preserve">water (rain) dynamics </w:t>
      </w:r>
      <w:r>
        <w:rPr>
          <w:rFonts w:ascii="Times New Roman" w:eastAsia="Calibri" w:hAnsi="Times New Roman" w:cs="Times New Roman"/>
          <w:sz w:val="20"/>
          <w:szCs w:val="20"/>
          <w:highlight w:val="yellow"/>
        </w:rPr>
        <w:t>o</w:t>
      </w:r>
      <w:r>
        <w:rPr>
          <w:rFonts w:ascii="Times New Roman" w:eastAsia="Calibri" w:hAnsi="Times New Roman" w:cs="Times New Roman"/>
          <w:sz w:val="20"/>
          <w:szCs w:val="20"/>
        </w:rPr>
        <w:t>n Cu distribution (</w:t>
      </w:r>
      <w:r>
        <w:rPr>
          <w:rFonts w:ascii="Times New Roman" w:eastAsia="Calibri" w:hAnsi="Times New Roman" w:cs="Times New Roman"/>
          <w:color w:val="2660F0"/>
          <w:sz w:val="20"/>
          <w:szCs w:val="20"/>
        </w:rPr>
        <w:t>Hazarika et al., 202</w:t>
      </w:r>
      <w:r w:rsidR="00592893">
        <w:rPr>
          <w:rFonts w:ascii="Times New Roman" w:eastAsia="Calibri" w:hAnsi="Times New Roman" w:cs="Times New Roman"/>
          <w:color w:val="2660F0"/>
          <w:sz w:val="20"/>
          <w:szCs w:val="20"/>
        </w:rPr>
        <w:t>4</w:t>
      </w:r>
      <w:r>
        <w:rPr>
          <w:rFonts w:ascii="Times New Roman" w:eastAsia="Calibri" w:hAnsi="Times New Roman" w:cs="Times New Roman"/>
          <w:sz w:val="20"/>
          <w:szCs w:val="20"/>
        </w:rPr>
        <w:t xml:space="preserve">). Despite </w:t>
      </w:r>
      <w:r>
        <w:rPr>
          <w:rFonts w:ascii="Times New Roman" w:eastAsia="Calibri" w:hAnsi="Times New Roman" w:cs="Times New Roman"/>
          <w:sz w:val="20"/>
          <w:szCs w:val="20"/>
          <w:highlight w:val="yellow"/>
        </w:rPr>
        <w:t xml:space="preserve">reductions in </w:t>
      </w:r>
      <w:r>
        <w:rPr>
          <w:rFonts w:ascii="Times New Roman" w:eastAsia="Calibri" w:hAnsi="Times New Roman" w:cs="Times New Roman"/>
          <w:sz w:val="20"/>
          <w:szCs w:val="20"/>
        </w:rPr>
        <w:t xml:space="preserve">Cu levels in some areas, high Cu concentrations in the south </w:t>
      </w:r>
      <w:r>
        <w:rPr>
          <w:rFonts w:ascii="Times New Roman" w:eastAsia="Calibri" w:hAnsi="Times New Roman" w:cs="Times New Roman"/>
          <w:sz w:val="20"/>
          <w:szCs w:val="20"/>
          <w:highlight w:val="yellow"/>
        </w:rPr>
        <w:t>indicat</w:t>
      </w:r>
      <w:r>
        <w:rPr>
          <w:rFonts w:ascii="Times New Roman" w:eastAsia="Calibri" w:hAnsi="Times New Roman" w:cs="Times New Roman"/>
          <w:sz w:val="20"/>
          <w:szCs w:val="20"/>
        </w:rPr>
        <w:t>e specific hotspots of concern.</w:t>
      </w:r>
    </w:p>
    <w:p w14:paraId="5BC967D5" w14:textId="77777777" w:rsidR="00591019" w:rsidRDefault="00591019" w:rsidP="008A1D85">
      <w:pPr>
        <w:spacing w:after="0" w:line="276" w:lineRule="auto"/>
        <w:rPr>
          <w:rFonts w:ascii="Times New Roman" w:eastAsia="Calibri" w:hAnsi="Times New Roman" w:cs="Times New Roman"/>
          <w:sz w:val="20"/>
          <w:szCs w:val="20"/>
        </w:rPr>
      </w:pPr>
    </w:p>
    <w:p w14:paraId="58A1311E" w14:textId="77777777" w:rsidR="00591019" w:rsidRDefault="00591019" w:rsidP="00591019">
      <w:pPr>
        <w:spacing w:after="0" w:line="276" w:lineRule="auto"/>
        <w:jc w:val="center"/>
        <w:rPr>
          <w:rFonts w:ascii="Times New Roman" w:eastAsia="Calibri" w:hAnsi="Times New Roman" w:cs="Times New Roman"/>
          <w:sz w:val="20"/>
          <w:szCs w:val="20"/>
        </w:rPr>
      </w:pPr>
      <w:r w:rsidRPr="00C42DE5">
        <w:rPr>
          <w:rFonts w:ascii="Times New Roman" w:eastAsia="Calibri" w:hAnsi="Times New Roman" w:cs="Times New Roman"/>
          <w:noProof/>
          <w:sz w:val="20"/>
          <w:szCs w:val="20"/>
        </w:rPr>
        <w:drawing>
          <wp:inline distT="0" distB="0" distL="0" distR="0" wp14:anchorId="2058AF14" wp14:editId="124FC1D8">
            <wp:extent cx="4333047" cy="3242310"/>
            <wp:effectExtent l="0" t="0" r="0" b="0"/>
            <wp:docPr id="6" name="Picture 5">
              <a:extLst xmlns:a="http://schemas.openxmlformats.org/drawingml/2006/main">
                <a:ext uri="{FF2B5EF4-FFF2-40B4-BE49-F238E27FC236}">
                  <a16:creationId xmlns:a16="http://schemas.microsoft.com/office/drawing/2014/main" id="{11DA50BD-D942-4234-5114-8181F0C22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1DA50BD-D942-4234-5114-8181F0C22452}"/>
                        </a:ext>
                      </a:extLst>
                    </pic:cNvPr>
                    <pic:cNvPicPr>
                      <a:picLocks noChangeAspect="1"/>
                    </pic:cNvPicPr>
                  </pic:nvPicPr>
                  <pic:blipFill rotWithShape="1">
                    <a:blip r:embed="rId20"/>
                    <a:srcRect r="1287" b="4057"/>
                    <a:stretch/>
                  </pic:blipFill>
                  <pic:spPr>
                    <a:xfrm>
                      <a:off x="0" y="0"/>
                      <a:ext cx="4352545" cy="3256900"/>
                    </a:xfrm>
                    <a:prstGeom prst="rect">
                      <a:avLst/>
                    </a:prstGeom>
                  </pic:spPr>
                </pic:pic>
              </a:graphicData>
            </a:graphic>
          </wp:inline>
        </w:drawing>
      </w:r>
    </w:p>
    <w:p w14:paraId="3AE6321A" w14:textId="77777777" w:rsidR="00591019" w:rsidRDefault="00591019" w:rsidP="00591019">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 xml:space="preserve">Fig. </w:t>
      </w:r>
      <w:r w:rsidR="007A0628">
        <w:rPr>
          <w:rFonts w:ascii="Times New Roman" w:eastAsia="Calibri" w:hAnsi="Times New Roman" w:cs="Times New Roman"/>
          <w:b/>
          <w:bCs/>
          <w:sz w:val="20"/>
          <w:szCs w:val="20"/>
        </w:rPr>
        <w:t>8</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535BFD">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copper</w:t>
      </w:r>
      <w:r w:rsidRPr="00154C63">
        <w:rPr>
          <w:rFonts w:ascii="Times New Roman" w:eastAsia="Calibri" w:hAnsi="Times New Roman" w:cs="Times New Roman"/>
          <w:sz w:val="20"/>
          <w:szCs w:val="20"/>
        </w:rPr>
        <w:t xml:space="preserve"> for the first and second sampling phases</w:t>
      </w:r>
    </w:p>
    <w:p w14:paraId="2C1CDFFF" w14:textId="77777777" w:rsidR="008A1D85" w:rsidRPr="001D3B76" w:rsidRDefault="008A1D85" w:rsidP="00EA5401">
      <w:pPr>
        <w:spacing w:after="0" w:line="240" w:lineRule="auto"/>
        <w:jc w:val="both"/>
        <w:rPr>
          <w:rFonts w:ascii="Times New Roman" w:eastAsia="Calibri" w:hAnsi="Times New Roman" w:cs="Times New Roman"/>
          <w:sz w:val="20"/>
          <w:szCs w:val="20"/>
        </w:rPr>
      </w:pPr>
    </w:p>
    <w:p w14:paraId="6AC9F73A" w14:textId="77777777" w:rsidR="00DE28F1" w:rsidRPr="00135C59" w:rsidRDefault="004F00BB" w:rsidP="00DE28F1">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DE28F1" w:rsidRPr="00135C59">
        <w:rPr>
          <w:rFonts w:ascii="Times New Roman" w:eastAsia="Calibri" w:hAnsi="Times New Roman" w:cs="Times New Roman"/>
          <w:b/>
          <w:bCs/>
          <w:sz w:val="20"/>
          <w:szCs w:val="20"/>
        </w:rPr>
        <w:t>.4 Nickel</w:t>
      </w:r>
    </w:p>
    <w:p w14:paraId="611E51BF" w14:textId="77777777" w:rsidR="008A370B" w:rsidRDefault="002A3A2C" w:rsidP="008A370B">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Cs/>
          <w:sz w:val="20"/>
          <w:szCs w:val="20"/>
        </w:rPr>
        <w:t>Nickel (Ni) concentrations showed notable reductions across corresponding sample points</w:t>
      </w:r>
      <w:r>
        <w:rPr>
          <w:rFonts w:ascii="Times New Roman" w:eastAsia="Calibri" w:hAnsi="Times New Roman" w:cs="Times New Roman"/>
          <w:bCs/>
          <w:sz w:val="20"/>
          <w:szCs w:val="20"/>
          <w:highlight w:val="yellow"/>
        </w:rPr>
        <w:t>,</w:t>
      </w:r>
      <w:r>
        <w:rPr>
          <w:rFonts w:ascii="Times New Roman" w:eastAsia="Calibri" w:hAnsi="Times New Roman" w:cs="Times New Roman"/>
          <w:bCs/>
          <w:sz w:val="20"/>
          <w:szCs w:val="20"/>
        </w:rPr>
        <w:t xml:space="preserve"> as shown in </w:t>
      </w:r>
      <w:r>
        <w:rPr>
          <w:rFonts w:ascii="Times New Roman" w:eastAsia="Calibri" w:hAnsi="Times New Roman" w:cs="Times New Roman"/>
          <w:bCs/>
          <w:color w:val="2660F0"/>
          <w:sz w:val="20"/>
          <w:szCs w:val="20"/>
        </w:rPr>
        <w:t>Fig. 9</w:t>
      </w:r>
      <w:r>
        <w:rPr>
          <w:rFonts w:ascii="Times New Roman" w:eastAsia="Calibri" w:hAnsi="Times New Roman" w:cs="Times New Roman"/>
          <w:bCs/>
          <w:sz w:val="20"/>
          <w:szCs w:val="20"/>
        </w:rPr>
        <w:t xml:space="preserve">. PR-1 had an initial Ni level of 2.05 mg/kg, which dropped to 0.55 mg/kg in PR-12, representing a decrease of 73%. Similarly, PR-4 decreased from 0.97 mg/kg to 0.42 mg/kg </w:t>
      </w:r>
      <w:r>
        <w:rPr>
          <w:rFonts w:ascii="Times New Roman" w:eastAsia="Calibri" w:hAnsi="Times New Roman" w:cs="Times New Roman"/>
          <w:bCs/>
          <w:sz w:val="20"/>
          <w:szCs w:val="20"/>
          <w:highlight w:val="yellow"/>
        </w:rPr>
        <w:t>at</w:t>
      </w:r>
      <w:r>
        <w:rPr>
          <w:rFonts w:ascii="Times New Roman" w:eastAsia="Calibri" w:hAnsi="Times New Roman" w:cs="Times New Roman"/>
          <w:bCs/>
          <w:sz w:val="20"/>
          <w:szCs w:val="20"/>
        </w:rPr>
        <w:t xml:space="preserve"> its corresponding point, PR-15. These reductions brought Ni concentrations close to control values</w:t>
      </w:r>
      <w:r>
        <w:rPr>
          <w:rFonts w:ascii="Times New Roman" w:eastAsia="Calibri" w:hAnsi="Times New Roman" w:cs="Times New Roman"/>
          <w:bCs/>
          <w:sz w:val="20"/>
          <w:szCs w:val="20"/>
          <w:highlight w:val="yellow"/>
        </w:rPr>
        <w:t>,</w:t>
      </w:r>
      <w:r>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highlight w:val="yellow"/>
        </w:rPr>
        <w:t>such as</w:t>
      </w:r>
      <w:r>
        <w:rPr>
          <w:rFonts w:ascii="Times New Roman" w:eastAsia="Calibri" w:hAnsi="Times New Roman" w:cs="Times New Roman"/>
          <w:bCs/>
          <w:sz w:val="20"/>
          <w:szCs w:val="20"/>
        </w:rPr>
        <w:t xml:space="preserve"> CT-3 at 0.45 mg/kg, indicating effective attenuation across most of the site (</w:t>
      </w:r>
      <w:r>
        <w:rPr>
          <w:rFonts w:ascii="Times New Roman" w:eastAsia="Calibri" w:hAnsi="Times New Roman" w:cs="Times New Roman"/>
          <w:bCs/>
          <w:color w:val="2660F0"/>
          <w:sz w:val="20"/>
          <w:szCs w:val="20"/>
        </w:rPr>
        <w:t>Diagne et al., 2015</w:t>
      </w:r>
      <w:r>
        <w:rPr>
          <w:rFonts w:ascii="Times New Roman" w:eastAsia="Calibri" w:hAnsi="Times New Roman" w:cs="Times New Roman"/>
          <w:bCs/>
          <w:sz w:val="20"/>
          <w:szCs w:val="20"/>
        </w:rPr>
        <w:t xml:space="preserve">). Moreover, PR-7 (1.15 mg/kg) in the first phase </w:t>
      </w:r>
      <w:r>
        <w:rPr>
          <w:rFonts w:ascii="Times New Roman" w:eastAsia="Calibri" w:hAnsi="Times New Roman" w:cs="Times New Roman"/>
          <w:bCs/>
          <w:sz w:val="20"/>
          <w:szCs w:val="20"/>
          <w:highlight w:val="yellow"/>
        </w:rPr>
        <w:t xml:space="preserve">decreased </w:t>
      </w:r>
      <w:r>
        <w:rPr>
          <w:rFonts w:ascii="Times New Roman" w:eastAsia="Calibri" w:hAnsi="Times New Roman" w:cs="Times New Roman"/>
          <w:bCs/>
          <w:sz w:val="20"/>
          <w:szCs w:val="20"/>
        </w:rPr>
        <w:t xml:space="preserve">significantly </w:t>
      </w:r>
      <w:r>
        <w:rPr>
          <w:rFonts w:ascii="Times New Roman" w:eastAsia="Calibri" w:hAnsi="Times New Roman" w:cs="Times New Roman"/>
          <w:bCs/>
          <w:sz w:val="20"/>
          <w:szCs w:val="20"/>
          <w:highlight w:val="yellow"/>
        </w:rPr>
        <w:t>to</w:t>
      </w:r>
      <w:r>
        <w:rPr>
          <w:rFonts w:ascii="Times New Roman" w:eastAsia="Calibri" w:hAnsi="Times New Roman" w:cs="Times New Roman"/>
          <w:bCs/>
          <w:sz w:val="20"/>
          <w:szCs w:val="20"/>
        </w:rPr>
        <w:t xml:space="preserve"> 0.36 mg/kg</w:t>
      </w:r>
      <w:r>
        <w:rPr>
          <w:rFonts w:ascii="Times New Roman" w:eastAsia="Calibri" w:hAnsi="Times New Roman" w:cs="Times New Roman"/>
          <w:bCs/>
          <w:sz w:val="20"/>
          <w:szCs w:val="20"/>
          <w:highlight w:val="yellow"/>
        </w:rPr>
        <w:t xml:space="preserve"> at PR-18</w:t>
      </w:r>
      <w:r>
        <w:rPr>
          <w:rFonts w:ascii="Times New Roman" w:eastAsia="Calibri" w:hAnsi="Times New Roman" w:cs="Times New Roman"/>
          <w:bCs/>
          <w:sz w:val="20"/>
          <w:szCs w:val="20"/>
        </w:rPr>
        <w:t xml:space="preserve"> in the second phase, nearing control levels. The consistent decrease across all corresponding points demonstrates </w:t>
      </w:r>
      <w:r>
        <w:rPr>
          <w:rFonts w:ascii="Times New Roman" w:eastAsia="Calibri" w:hAnsi="Times New Roman" w:cs="Times New Roman"/>
          <w:bCs/>
          <w:sz w:val="20"/>
          <w:szCs w:val="20"/>
          <w:highlight w:val="yellow"/>
        </w:rPr>
        <w:t xml:space="preserve">that </w:t>
      </w:r>
      <w:r>
        <w:rPr>
          <w:rFonts w:ascii="Times New Roman" w:eastAsia="Calibri" w:hAnsi="Times New Roman" w:cs="Times New Roman"/>
          <w:bCs/>
          <w:sz w:val="20"/>
          <w:szCs w:val="20"/>
        </w:rPr>
        <w:t>Ni</w:t>
      </w:r>
      <w:r>
        <w:rPr>
          <w:rFonts w:ascii="Times New Roman" w:eastAsia="Calibri" w:hAnsi="Times New Roman" w:cs="Times New Roman"/>
          <w:bCs/>
          <w:sz w:val="20"/>
          <w:szCs w:val="20"/>
          <w:highlight w:val="yellow"/>
        </w:rPr>
        <w:t xml:space="preserve"> levels</w:t>
      </w:r>
      <w:r>
        <w:rPr>
          <w:rFonts w:ascii="Times New Roman" w:eastAsia="Calibri" w:hAnsi="Times New Roman" w:cs="Times New Roman"/>
          <w:bCs/>
          <w:sz w:val="20"/>
          <w:szCs w:val="20"/>
        </w:rPr>
        <w:t xml:space="preserve"> satisfy </w:t>
      </w:r>
      <w:r>
        <w:rPr>
          <w:rFonts w:ascii="Times New Roman" w:eastAsia="Calibri" w:hAnsi="Times New Roman" w:cs="Times New Roman"/>
          <w:bCs/>
          <w:color w:val="2660F0"/>
          <w:sz w:val="20"/>
          <w:szCs w:val="20"/>
        </w:rPr>
        <w:t>USEPA</w:t>
      </w:r>
      <w:r>
        <w:rPr>
          <w:rFonts w:ascii="Times New Roman" w:eastAsia="Calibri" w:hAnsi="Times New Roman" w:cs="Times New Roman"/>
          <w:bCs/>
          <w:sz w:val="20"/>
          <w:szCs w:val="20"/>
        </w:rPr>
        <w:t xml:space="preserve"> (</w:t>
      </w:r>
      <w:r>
        <w:rPr>
          <w:rFonts w:ascii="Times New Roman" w:eastAsia="Calibri" w:hAnsi="Times New Roman" w:cs="Times New Roman"/>
          <w:bCs/>
          <w:color w:val="2660F0"/>
          <w:sz w:val="20"/>
          <w:szCs w:val="20"/>
        </w:rPr>
        <w:t>2011</w:t>
      </w:r>
      <w:r>
        <w:rPr>
          <w:rFonts w:ascii="Times New Roman" w:eastAsia="Calibri" w:hAnsi="Times New Roman" w:cs="Times New Roman"/>
          <w:bCs/>
          <w:sz w:val="20"/>
          <w:szCs w:val="20"/>
        </w:rPr>
        <w:t xml:space="preserve">) guidelines and </w:t>
      </w:r>
      <w:r>
        <w:rPr>
          <w:rFonts w:ascii="Times New Roman" w:eastAsia="Calibri" w:hAnsi="Times New Roman" w:cs="Times New Roman"/>
          <w:bCs/>
          <w:sz w:val="20"/>
          <w:szCs w:val="20"/>
          <w:highlight w:val="yellow"/>
        </w:rPr>
        <w:t>supports improvem</w:t>
      </w:r>
      <w:r>
        <w:rPr>
          <w:rFonts w:ascii="Times New Roman" w:eastAsia="Calibri" w:hAnsi="Times New Roman" w:cs="Times New Roman"/>
          <w:bCs/>
          <w:sz w:val="20"/>
          <w:szCs w:val="20"/>
        </w:rPr>
        <w:t>en</w:t>
      </w:r>
      <w:r>
        <w:rPr>
          <w:rFonts w:ascii="Times New Roman" w:eastAsia="Calibri" w:hAnsi="Times New Roman" w:cs="Times New Roman"/>
          <w:bCs/>
          <w:sz w:val="20"/>
          <w:szCs w:val="20"/>
          <w:highlight w:val="yellow"/>
        </w:rPr>
        <w:t xml:space="preserve">t </w:t>
      </w:r>
      <w:r>
        <w:rPr>
          <w:rFonts w:ascii="Times New Roman" w:eastAsia="Calibri" w:hAnsi="Times New Roman" w:cs="Times New Roman"/>
          <w:bCs/>
          <w:sz w:val="20"/>
          <w:szCs w:val="20"/>
        </w:rPr>
        <w:t>in the site</w:t>
      </w:r>
      <w:r>
        <w:rPr>
          <w:rFonts w:ascii="Times New Roman" w:eastAsia="Calibri" w:hAnsi="Times New Roman" w:cs="Times New Roman"/>
          <w:bCs/>
          <w:sz w:val="20"/>
          <w:szCs w:val="20"/>
          <w:highlight w:val="yellow"/>
        </w:rPr>
        <w:t>'</w:t>
      </w:r>
      <w:r>
        <w:rPr>
          <w:rFonts w:ascii="Times New Roman" w:eastAsia="Calibri" w:hAnsi="Times New Roman" w:cs="Times New Roman"/>
          <w:bCs/>
          <w:sz w:val="20"/>
          <w:szCs w:val="20"/>
        </w:rPr>
        <w:t>s overall health and quality.</w:t>
      </w:r>
    </w:p>
    <w:p w14:paraId="6332F8F5" w14:textId="77777777" w:rsidR="00DE28F1" w:rsidRDefault="00DE28F1" w:rsidP="000733D5">
      <w:pPr>
        <w:spacing w:after="0" w:line="276" w:lineRule="auto"/>
        <w:jc w:val="both"/>
        <w:rPr>
          <w:rFonts w:ascii="Times New Roman" w:eastAsia="Calibri" w:hAnsi="Times New Roman" w:cs="Times New Roman"/>
          <w:sz w:val="20"/>
          <w:szCs w:val="20"/>
        </w:rPr>
      </w:pPr>
    </w:p>
    <w:p w14:paraId="3585B069" w14:textId="77777777" w:rsidR="00823DDA" w:rsidRDefault="00823DDA" w:rsidP="00823DDA">
      <w:pPr>
        <w:spacing w:after="0" w:line="240" w:lineRule="auto"/>
        <w:jc w:val="center"/>
        <w:rPr>
          <w:rFonts w:ascii="Times New Roman" w:eastAsia="Calibri" w:hAnsi="Times New Roman" w:cs="Times New Roman"/>
          <w:b/>
          <w:sz w:val="20"/>
          <w:szCs w:val="20"/>
        </w:rPr>
      </w:pPr>
      <w:r w:rsidRPr="003D0920">
        <w:rPr>
          <w:rFonts w:ascii="Times New Roman" w:eastAsia="Calibri" w:hAnsi="Times New Roman" w:cs="Times New Roman"/>
          <w:b/>
          <w:noProof/>
          <w:sz w:val="20"/>
          <w:szCs w:val="20"/>
        </w:rPr>
        <w:drawing>
          <wp:inline distT="0" distB="0" distL="0" distR="0" wp14:anchorId="43EA3557" wp14:editId="7429A286">
            <wp:extent cx="5553710" cy="2295525"/>
            <wp:effectExtent l="0" t="0" r="8890" b="9525"/>
            <wp:docPr id="9" name="Chart 9">
              <a:extLst xmlns:a="http://schemas.openxmlformats.org/drawingml/2006/main">
                <a:ext uri="{FF2B5EF4-FFF2-40B4-BE49-F238E27FC236}">
                  <a16:creationId xmlns:a16="http://schemas.microsoft.com/office/drawing/2014/main" id="{CF8E80A8-F7FD-4B5B-0676-C69F52430F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4CD8B14" w14:textId="77777777" w:rsidR="00823DDA" w:rsidRDefault="00823DDA" w:rsidP="00823DDA">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28713C">
        <w:rPr>
          <w:rFonts w:ascii="Times New Roman" w:eastAsia="Calibri" w:hAnsi="Times New Roman" w:cs="Times New Roman"/>
          <w:b/>
          <w:bCs/>
          <w:sz w:val="20"/>
          <w:szCs w:val="20"/>
        </w:rPr>
        <w:t>9</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nickel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3C5D5D6D" w14:textId="77777777" w:rsidR="00823DDA" w:rsidRDefault="00823DDA" w:rsidP="000733D5">
      <w:pPr>
        <w:spacing w:after="0" w:line="240" w:lineRule="auto"/>
        <w:jc w:val="both"/>
        <w:rPr>
          <w:rFonts w:ascii="Times New Roman" w:eastAsia="Calibri" w:hAnsi="Times New Roman" w:cs="Times New Roman"/>
          <w:sz w:val="20"/>
          <w:szCs w:val="20"/>
        </w:rPr>
      </w:pPr>
    </w:p>
    <w:p w14:paraId="64D5EC4C" w14:textId="77777777" w:rsidR="000733D5" w:rsidRDefault="000733D5" w:rsidP="000733D5">
      <w:pPr>
        <w:spacing w:after="0" w:line="240" w:lineRule="auto"/>
        <w:ind w:firstLine="450"/>
        <w:jc w:val="both"/>
        <w:rPr>
          <w:rFonts w:ascii="Times New Roman" w:eastAsia="Calibri" w:hAnsi="Times New Roman" w:cs="Times New Roman"/>
          <w:sz w:val="20"/>
          <w:szCs w:val="20"/>
        </w:rPr>
      </w:pPr>
      <w:r>
        <w:rPr>
          <w:rFonts w:ascii="Times New Roman" w:eastAsia="Calibri" w:hAnsi="Times New Roman" w:cs="Times New Roman"/>
          <w:sz w:val="20"/>
          <w:szCs w:val="20"/>
          <w:highlight w:val="yellow"/>
        </w:rPr>
        <w:t>Th</w:t>
      </w:r>
      <w:r>
        <w:rPr>
          <w:rFonts w:ascii="Times New Roman" w:eastAsia="Calibri" w:hAnsi="Times New Roman" w:cs="Times New Roman"/>
          <w:sz w:val="20"/>
          <w:szCs w:val="20"/>
        </w:rPr>
        <w:t>e spatiotemporal distribution</w:t>
      </w:r>
      <w:r>
        <w:rPr>
          <w:rFonts w:ascii="Times New Roman" w:eastAsia="Calibri" w:hAnsi="Times New Roman" w:cs="Times New Roman"/>
          <w:sz w:val="20"/>
          <w:szCs w:val="20"/>
          <w:highlight w:val="yellow"/>
        </w:rPr>
        <w:t xml:space="preserve"> of nickel (Ni),</w:t>
      </w:r>
      <w:r>
        <w:rPr>
          <w:rFonts w:ascii="Times New Roman" w:eastAsia="Calibri" w:hAnsi="Times New Roman" w:cs="Times New Roman"/>
          <w:sz w:val="20"/>
          <w:szCs w:val="20"/>
        </w:rPr>
        <w:t xml:space="preserve"> presented in </w:t>
      </w:r>
      <w:r>
        <w:rPr>
          <w:rFonts w:ascii="Times New Roman" w:eastAsia="Calibri" w:hAnsi="Times New Roman" w:cs="Times New Roman"/>
          <w:color w:val="2660F0"/>
          <w:sz w:val="20"/>
          <w:szCs w:val="20"/>
        </w:rPr>
        <w:t xml:space="preserve">Fig. 10(a) </w:t>
      </w:r>
      <w:r>
        <w:rPr>
          <w:rFonts w:ascii="Times New Roman" w:eastAsia="Calibri" w:hAnsi="Times New Roman" w:cs="Times New Roman"/>
          <w:sz w:val="20"/>
          <w:szCs w:val="20"/>
        </w:rPr>
        <w:t xml:space="preserve">and </w:t>
      </w:r>
      <w:r>
        <w:rPr>
          <w:rFonts w:ascii="Times New Roman" w:eastAsia="Calibri" w:hAnsi="Times New Roman" w:cs="Times New Roman"/>
          <w:color w:val="2660F0"/>
          <w:sz w:val="20"/>
          <w:szCs w:val="20"/>
        </w:rPr>
        <w:t>(b)</w:t>
      </w:r>
      <w:r>
        <w:rPr>
          <w:rFonts w:ascii="Times New Roman" w:eastAsia="Calibri" w:hAnsi="Times New Roman" w:cs="Times New Roman"/>
          <w:color w:val="2660F0"/>
          <w:sz w:val="20"/>
          <w:szCs w:val="20"/>
          <w:highlight w:val="yellow"/>
        </w:rPr>
        <w:t>,</w:t>
      </w:r>
      <w:r>
        <w:rPr>
          <w:rFonts w:ascii="Times New Roman" w:eastAsia="Calibri" w:hAnsi="Times New Roman" w:cs="Times New Roman"/>
          <w:sz w:val="20"/>
          <w:szCs w:val="20"/>
        </w:rPr>
        <w:t xml:space="preserve"> show</w:t>
      </w:r>
      <w:r>
        <w:rPr>
          <w:rFonts w:ascii="Times New Roman" w:eastAsia="Calibri" w:hAnsi="Times New Roman" w:cs="Times New Roman"/>
          <w:sz w:val="20"/>
          <w:szCs w:val="20"/>
          <w:highlight w:val="yellow"/>
        </w:rPr>
        <w:t>s</w:t>
      </w:r>
      <w:r>
        <w:rPr>
          <w:rFonts w:ascii="Times New Roman" w:eastAsia="Calibri" w:hAnsi="Times New Roman" w:cs="Times New Roman"/>
          <w:sz w:val="20"/>
          <w:szCs w:val="20"/>
        </w:rPr>
        <w:t xml:space="preserve"> a marked reduction in Ni levels in the southernmost parts. High Ni concentrations in the first sampling phase were concentrated in the south, but these levels </w:t>
      </w:r>
      <w:r>
        <w:rPr>
          <w:rFonts w:ascii="Times New Roman" w:eastAsia="Calibri" w:hAnsi="Times New Roman" w:cs="Times New Roman"/>
          <w:sz w:val="20"/>
          <w:szCs w:val="20"/>
          <w:highlight w:val="yellow"/>
        </w:rPr>
        <w:t xml:space="preserve">diminished </w:t>
      </w:r>
      <w:r>
        <w:rPr>
          <w:rFonts w:ascii="Times New Roman" w:eastAsia="Calibri" w:hAnsi="Times New Roman" w:cs="Times New Roman"/>
          <w:sz w:val="20"/>
          <w:szCs w:val="20"/>
        </w:rPr>
        <w:t xml:space="preserve">significantly by the second phase. Both phases displayed lower Ni levels across the northernmost parts </w:t>
      </w:r>
      <w:r>
        <w:rPr>
          <w:rFonts w:ascii="Times New Roman" w:eastAsia="Calibri" w:hAnsi="Times New Roman" w:cs="Times New Roman"/>
          <w:sz w:val="20"/>
          <w:szCs w:val="20"/>
        </w:rPr>
        <w:lastRenderedPageBreak/>
        <w:t>of the area, indicating a stable but low-level presence in these regions (</w:t>
      </w:r>
      <w:r>
        <w:rPr>
          <w:rFonts w:ascii="Times New Roman" w:eastAsia="Calibri" w:hAnsi="Times New Roman" w:cs="Times New Roman"/>
          <w:color w:val="2660F0"/>
          <w:sz w:val="20"/>
          <w:szCs w:val="20"/>
        </w:rPr>
        <w:t>Liu et al., 2023</w:t>
      </w:r>
      <w:r>
        <w:rPr>
          <w:rFonts w:ascii="Times New Roman" w:eastAsia="Calibri" w:hAnsi="Times New Roman" w:cs="Times New Roman"/>
          <w:sz w:val="20"/>
          <w:szCs w:val="20"/>
        </w:rPr>
        <w:t xml:space="preserve">). This spatial reduction highlights the </w:t>
      </w:r>
      <w:r>
        <w:rPr>
          <w:rFonts w:ascii="Times New Roman" w:eastAsia="Calibri" w:hAnsi="Times New Roman" w:cs="Times New Roman"/>
          <w:sz w:val="20"/>
          <w:szCs w:val="20"/>
          <w:highlight w:val="yellow"/>
        </w:rPr>
        <w:t xml:space="preserve">role of </w:t>
      </w:r>
      <w:r>
        <w:rPr>
          <w:rFonts w:ascii="Times New Roman" w:eastAsia="Calibri" w:hAnsi="Times New Roman" w:cs="Times New Roman"/>
          <w:sz w:val="20"/>
          <w:szCs w:val="20"/>
        </w:rPr>
        <w:t>high metal mobility in reducing Ni contamination, particularly in the south (</w:t>
      </w:r>
      <w:r>
        <w:rPr>
          <w:rFonts w:ascii="Times New Roman" w:hAnsi="Times New Roman" w:cs="Times New Roman"/>
          <w:color w:val="2660F0"/>
          <w:sz w:val="20"/>
          <w:szCs w:val="20"/>
        </w:rPr>
        <w:t>Guan</w:t>
      </w:r>
      <w:r>
        <w:rPr>
          <w:rFonts w:ascii="Times New Roman" w:hAnsi="Times New Roman" w:cs="Times New Roman"/>
          <w:color w:val="2660F0"/>
          <w:sz w:val="20"/>
          <w:szCs w:val="20"/>
          <w:highlight w:val="yellow"/>
        </w:rPr>
        <w:t xml:space="preserve"> et al.</w:t>
      </w:r>
      <w:r>
        <w:rPr>
          <w:rFonts w:ascii="Times New Roman" w:eastAsia="Calibri" w:hAnsi="Times New Roman" w:cs="Times New Roman"/>
          <w:color w:val="2660F0"/>
          <w:sz w:val="20"/>
          <w:szCs w:val="20"/>
        </w:rPr>
        <w:t>, 2014</w:t>
      </w:r>
      <w:r>
        <w:rPr>
          <w:rFonts w:ascii="Times New Roman" w:eastAsia="Calibri" w:hAnsi="Times New Roman" w:cs="Times New Roman"/>
          <w:sz w:val="20"/>
          <w:szCs w:val="20"/>
        </w:rPr>
        <w:t>).</w:t>
      </w:r>
    </w:p>
    <w:p w14:paraId="7DD7074F" w14:textId="77777777" w:rsidR="000733D5" w:rsidRDefault="000733D5" w:rsidP="00DE28F1">
      <w:pPr>
        <w:spacing w:after="0" w:line="240" w:lineRule="auto"/>
        <w:jc w:val="both"/>
        <w:rPr>
          <w:rFonts w:ascii="Times New Roman" w:eastAsia="Calibri" w:hAnsi="Times New Roman" w:cs="Times New Roman"/>
          <w:sz w:val="20"/>
          <w:szCs w:val="20"/>
        </w:rPr>
      </w:pPr>
    </w:p>
    <w:p w14:paraId="3D404A86" w14:textId="77777777" w:rsidR="00E50E9D" w:rsidRDefault="00E50E9D" w:rsidP="00E50E9D">
      <w:pPr>
        <w:spacing w:after="0" w:line="240" w:lineRule="auto"/>
        <w:jc w:val="center"/>
        <w:rPr>
          <w:rFonts w:ascii="Times New Roman" w:eastAsia="Calibri" w:hAnsi="Times New Roman" w:cs="Times New Roman"/>
          <w:sz w:val="20"/>
          <w:szCs w:val="20"/>
        </w:rPr>
      </w:pPr>
      <w:r w:rsidRPr="00087B41">
        <w:rPr>
          <w:rFonts w:ascii="Times New Roman" w:eastAsia="Calibri" w:hAnsi="Times New Roman" w:cs="Times New Roman"/>
          <w:noProof/>
          <w:sz w:val="20"/>
          <w:szCs w:val="20"/>
        </w:rPr>
        <w:drawing>
          <wp:inline distT="0" distB="0" distL="0" distR="0" wp14:anchorId="3675C388" wp14:editId="5EDB0CA0">
            <wp:extent cx="4294800" cy="2912400"/>
            <wp:effectExtent l="0" t="0" r="0" b="0"/>
            <wp:docPr id="18" name="Picture 8">
              <a:extLst xmlns:a="http://schemas.openxmlformats.org/drawingml/2006/main">
                <a:ext uri="{FF2B5EF4-FFF2-40B4-BE49-F238E27FC236}">
                  <a16:creationId xmlns:a16="http://schemas.microsoft.com/office/drawing/2014/main" id="{D40F381C-D8FD-77FB-902B-47DD816A2A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40F381C-D8FD-77FB-902B-47DD816A2A86}"/>
                        </a:ext>
                      </a:extLst>
                    </pic:cNvPr>
                    <pic:cNvPicPr>
                      <a:picLocks noChangeAspect="1"/>
                    </pic:cNvPicPr>
                  </pic:nvPicPr>
                  <pic:blipFill rotWithShape="1">
                    <a:blip r:embed="rId22"/>
                    <a:srcRect b="4155"/>
                    <a:stretch/>
                  </pic:blipFill>
                  <pic:spPr>
                    <a:xfrm>
                      <a:off x="0" y="0"/>
                      <a:ext cx="4294800" cy="2912400"/>
                    </a:xfrm>
                    <a:prstGeom prst="rect">
                      <a:avLst/>
                    </a:prstGeom>
                  </pic:spPr>
                </pic:pic>
              </a:graphicData>
            </a:graphic>
          </wp:inline>
        </w:drawing>
      </w:r>
    </w:p>
    <w:p w14:paraId="6677D503" w14:textId="77777777" w:rsidR="00E50E9D" w:rsidRDefault="00E50E9D" w:rsidP="00E50E9D">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sidR="006507E0">
        <w:rPr>
          <w:rFonts w:ascii="Times New Roman" w:eastAsia="Calibri" w:hAnsi="Times New Roman" w:cs="Times New Roman"/>
          <w:b/>
          <w:bCs/>
          <w:sz w:val="20"/>
          <w:szCs w:val="20"/>
        </w:rPr>
        <w:t>0</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000239">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nickel</w:t>
      </w:r>
      <w:r w:rsidRPr="00154C63">
        <w:rPr>
          <w:rFonts w:ascii="Times New Roman" w:eastAsia="Calibri" w:hAnsi="Times New Roman" w:cs="Times New Roman"/>
          <w:sz w:val="20"/>
          <w:szCs w:val="20"/>
        </w:rPr>
        <w:t xml:space="preserve"> for the first and second sampling phases</w:t>
      </w:r>
    </w:p>
    <w:p w14:paraId="1E33C83B" w14:textId="77777777" w:rsidR="00AD0E7E" w:rsidRDefault="00AD0E7E" w:rsidP="00DE28F1">
      <w:pPr>
        <w:spacing w:after="0" w:line="240" w:lineRule="auto"/>
        <w:jc w:val="both"/>
        <w:rPr>
          <w:rFonts w:ascii="Times New Roman" w:eastAsia="Calibri" w:hAnsi="Times New Roman" w:cs="Times New Roman"/>
          <w:sz w:val="20"/>
          <w:szCs w:val="20"/>
        </w:rPr>
      </w:pPr>
    </w:p>
    <w:p w14:paraId="439547BD" w14:textId="77777777" w:rsidR="00DE28F1" w:rsidRPr="00B231E9" w:rsidRDefault="004F00BB" w:rsidP="00DE28F1">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DE28F1" w:rsidRPr="00B231E9">
        <w:rPr>
          <w:rFonts w:ascii="Times New Roman" w:eastAsia="Calibri" w:hAnsi="Times New Roman" w:cs="Times New Roman"/>
          <w:b/>
          <w:bCs/>
          <w:sz w:val="20"/>
          <w:szCs w:val="20"/>
        </w:rPr>
        <w:t>.5 Lead</w:t>
      </w:r>
    </w:p>
    <w:p w14:paraId="50EE025D" w14:textId="77777777" w:rsidR="00DE28F1" w:rsidRPr="00FD5316" w:rsidRDefault="00FD5316" w:rsidP="00DE28F1">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Lead (Pb) levels presented in </w:t>
      </w:r>
      <w:r>
        <w:rPr>
          <w:rFonts w:ascii="Times New Roman" w:eastAsia="Calibri" w:hAnsi="Times New Roman" w:cs="Times New Roman"/>
          <w:bCs/>
          <w:color w:val="2660F0"/>
          <w:sz w:val="20"/>
          <w:szCs w:val="20"/>
        </w:rPr>
        <w:t>Fig. 11</w:t>
      </w:r>
      <w:r>
        <w:rPr>
          <w:rFonts w:ascii="Times New Roman" w:eastAsia="Calibri" w:hAnsi="Times New Roman" w:cs="Times New Roman"/>
          <w:bCs/>
          <w:sz w:val="20"/>
          <w:szCs w:val="20"/>
        </w:rPr>
        <w:t xml:space="preserve"> showed substantial reductions across corresponding sample stations. PR-1 in the first phase had a Pb concentration of 1.75 mg/kg, which dropped to 0.62 mg/kg in PR-12 in the second phase. PR-9 showed an exceptionally high initial level of 3.79 mg/kg, which decreased dramatically to 0.59 mg/kg in PR-20, suggesting </w:t>
      </w:r>
      <w:r>
        <w:rPr>
          <w:rFonts w:ascii="Times New Roman" w:eastAsia="Calibri" w:hAnsi="Times New Roman" w:cs="Times New Roman"/>
          <w:bCs/>
          <w:sz w:val="20"/>
          <w:szCs w:val="20"/>
          <w:highlight w:val="yellow"/>
        </w:rPr>
        <w:t>substant</w:t>
      </w:r>
      <w:r>
        <w:rPr>
          <w:rFonts w:ascii="Times New Roman" w:eastAsia="Calibri" w:hAnsi="Times New Roman" w:cs="Times New Roman"/>
          <w:bCs/>
          <w:sz w:val="20"/>
          <w:szCs w:val="20"/>
        </w:rPr>
        <w:t>i</w:t>
      </w:r>
      <w:r>
        <w:rPr>
          <w:rFonts w:ascii="Times New Roman" w:eastAsia="Calibri" w:hAnsi="Times New Roman" w:cs="Times New Roman"/>
          <w:bCs/>
          <w:sz w:val="20"/>
          <w:szCs w:val="20"/>
          <w:highlight w:val="yellow"/>
        </w:rPr>
        <w:t>al</w:t>
      </w:r>
      <w:r>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highlight w:val="yellow"/>
        </w:rPr>
        <w:t>red</w:t>
      </w:r>
      <w:r>
        <w:rPr>
          <w:rFonts w:ascii="Times New Roman" w:eastAsia="Calibri" w:hAnsi="Times New Roman" w:cs="Times New Roman"/>
          <w:bCs/>
          <w:sz w:val="20"/>
          <w:szCs w:val="20"/>
        </w:rPr>
        <w:t>u</w:t>
      </w:r>
      <w:r>
        <w:rPr>
          <w:rFonts w:ascii="Times New Roman" w:eastAsia="Calibri" w:hAnsi="Times New Roman" w:cs="Times New Roman"/>
          <w:bCs/>
          <w:sz w:val="20"/>
          <w:szCs w:val="20"/>
          <w:highlight w:val="yellow"/>
        </w:rPr>
        <w:t>ction</w:t>
      </w:r>
      <w:r>
        <w:rPr>
          <w:rFonts w:ascii="Times New Roman" w:eastAsia="Calibri" w:hAnsi="Times New Roman" w:cs="Times New Roman"/>
          <w:bCs/>
          <w:sz w:val="20"/>
          <w:szCs w:val="20"/>
        </w:rPr>
        <w:t xml:space="preserve"> in Pb contamination (</w:t>
      </w:r>
      <w:r>
        <w:rPr>
          <w:rFonts w:ascii="Times New Roman" w:eastAsia="Calibri" w:hAnsi="Times New Roman" w:cs="Times New Roman"/>
          <w:bCs/>
          <w:color w:val="2660F0"/>
          <w:sz w:val="20"/>
          <w:szCs w:val="20"/>
        </w:rPr>
        <w:t>Sánchez-Castro et al., 2023</w:t>
      </w:r>
      <w:r>
        <w:rPr>
          <w:rFonts w:ascii="Times New Roman" w:eastAsia="Calibri" w:hAnsi="Times New Roman" w:cs="Times New Roman"/>
          <w:bCs/>
          <w:sz w:val="20"/>
          <w:szCs w:val="20"/>
        </w:rPr>
        <w:t xml:space="preserve">), with most second-phase values aligning closely with control samples </w:t>
      </w:r>
      <w:r>
        <w:rPr>
          <w:rFonts w:ascii="Times New Roman" w:eastAsia="Calibri" w:hAnsi="Times New Roman" w:cs="Times New Roman"/>
          <w:bCs/>
          <w:sz w:val="20"/>
          <w:szCs w:val="20"/>
          <w:highlight w:val="yellow"/>
        </w:rPr>
        <w:t>such as</w:t>
      </w:r>
      <w:r>
        <w:rPr>
          <w:rFonts w:ascii="Times New Roman" w:eastAsia="Calibri" w:hAnsi="Times New Roman" w:cs="Times New Roman"/>
          <w:bCs/>
          <w:sz w:val="20"/>
          <w:szCs w:val="20"/>
        </w:rPr>
        <w:t xml:space="preserve"> CT-3 at 0.49 mg/kg. The uniformity of Pb reductions across the site </w:t>
      </w:r>
      <w:r>
        <w:rPr>
          <w:rFonts w:ascii="Times New Roman" w:eastAsia="Calibri" w:hAnsi="Times New Roman" w:cs="Times New Roman"/>
          <w:bCs/>
          <w:sz w:val="20"/>
          <w:szCs w:val="20"/>
          <w:highlight w:val="yellow"/>
        </w:rPr>
        <w:t>indicat</w:t>
      </w:r>
      <w:r>
        <w:rPr>
          <w:rFonts w:ascii="Times New Roman" w:eastAsia="Calibri" w:hAnsi="Times New Roman" w:cs="Times New Roman"/>
          <w:bCs/>
          <w:sz w:val="20"/>
          <w:szCs w:val="20"/>
        </w:rPr>
        <w:t>es</w:t>
      </w:r>
      <w:r>
        <w:rPr>
          <w:rFonts w:ascii="Times New Roman" w:eastAsia="Calibri" w:hAnsi="Times New Roman" w:cs="Times New Roman"/>
          <w:bCs/>
          <w:sz w:val="20"/>
          <w:szCs w:val="20"/>
          <w:highlight w:val="yellow"/>
        </w:rPr>
        <w:t xml:space="preserve"> substa</w:t>
      </w:r>
      <w:r>
        <w:rPr>
          <w:rFonts w:ascii="Times New Roman" w:eastAsia="Calibri" w:hAnsi="Times New Roman" w:cs="Times New Roman"/>
          <w:bCs/>
          <w:sz w:val="20"/>
          <w:szCs w:val="20"/>
        </w:rPr>
        <w:t>nt</w:t>
      </w:r>
      <w:r>
        <w:rPr>
          <w:rFonts w:ascii="Times New Roman" w:eastAsia="Calibri" w:hAnsi="Times New Roman" w:cs="Times New Roman"/>
          <w:bCs/>
          <w:sz w:val="20"/>
          <w:szCs w:val="20"/>
          <w:highlight w:val="yellow"/>
        </w:rPr>
        <w:t>ial</w:t>
      </w:r>
      <w:r>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highlight w:val="yellow"/>
        </w:rPr>
        <w:t>dec</w:t>
      </w:r>
      <w:r>
        <w:rPr>
          <w:rFonts w:ascii="Times New Roman" w:eastAsia="Calibri" w:hAnsi="Times New Roman" w:cs="Times New Roman"/>
          <w:bCs/>
          <w:sz w:val="20"/>
          <w:szCs w:val="20"/>
        </w:rPr>
        <w:t>lin</w:t>
      </w:r>
      <w:r>
        <w:rPr>
          <w:rFonts w:ascii="Times New Roman" w:eastAsia="Calibri" w:hAnsi="Times New Roman" w:cs="Times New Roman"/>
          <w:bCs/>
          <w:sz w:val="20"/>
          <w:szCs w:val="20"/>
          <w:highlight w:val="yellow"/>
        </w:rPr>
        <w:t>es, with</w:t>
      </w:r>
      <w:r>
        <w:rPr>
          <w:rFonts w:ascii="Times New Roman" w:eastAsia="Calibri" w:hAnsi="Times New Roman" w:cs="Times New Roman"/>
          <w:bCs/>
          <w:sz w:val="20"/>
          <w:szCs w:val="20"/>
        </w:rPr>
        <w:t xml:space="preserve"> Pb levels falling within safe limits a</w:t>
      </w:r>
      <w:r>
        <w:rPr>
          <w:rFonts w:ascii="Times New Roman" w:eastAsia="Calibri" w:hAnsi="Times New Roman" w:cs="Times New Roman"/>
          <w:bCs/>
          <w:sz w:val="20"/>
          <w:szCs w:val="20"/>
          <w:highlight w:val="yellow"/>
        </w:rPr>
        <w:t>ccording</w:t>
      </w:r>
      <w:r>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highlight w:val="yellow"/>
        </w:rPr>
        <w:t>to</w:t>
      </w:r>
      <w:r>
        <w:rPr>
          <w:rFonts w:ascii="Times New Roman" w:eastAsia="Calibri" w:hAnsi="Times New Roman" w:cs="Times New Roman"/>
          <w:bCs/>
          <w:sz w:val="20"/>
          <w:szCs w:val="20"/>
        </w:rPr>
        <w:t xml:space="preserve"> </w:t>
      </w:r>
      <w:r>
        <w:rPr>
          <w:rFonts w:ascii="Times New Roman" w:eastAsia="Calibri" w:hAnsi="Times New Roman" w:cs="Times New Roman"/>
          <w:bCs/>
          <w:color w:val="2660F0"/>
          <w:sz w:val="20"/>
          <w:szCs w:val="20"/>
        </w:rPr>
        <w:t>USDA</w:t>
      </w:r>
      <w:r>
        <w:rPr>
          <w:rFonts w:ascii="Times New Roman" w:eastAsia="Calibri" w:hAnsi="Times New Roman" w:cs="Times New Roman"/>
          <w:bCs/>
          <w:sz w:val="20"/>
          <w:szCs w:val="20"/>
        </w:rPr>
        <w:t xml:space="preserve"> (</w:t>
      </w:r>
      <w:r>
        <w:rPr>
          <w:rFonts w:ascii="Times New Roman" w:eastAsia="Calibri" w:hAnsi="Times New Roman" w:cs="Times New Roman"/>
          <w:bCs/>
          <w:color w:val="2660F0"/>
          <w:sz w:val="20"/>
          <w:szCs w:val="20"/>
        </w:rPr>
        <w:t>2000</w:t>
      </w:r>
      <w:r>
        <w:rPr>
          <w:rFonts w:ascii="Times New Roman" w:eastAsia="Calibri" w:hAnsi="Times New Roman" w:cs="Times New Roman"/>
          <w:bCs/>
          <w:sz w:val="20"/>
          <w:szCs w:val="20"/>
        </w:rPr>
        <w:t>) standards.</w:t>
      </w:r>
    </w:p>
    <w:p w14:paraId="55DD886B" w14:textId="77777777" w:rsidR="00471610" w:rsidRDefault="00471610" w:rsidP="002616A8">
      <w:pPr>
        <w:spacing w:after="0" w:line="240" w:lineRule="auto"/>
        <w:jc w:val="both"/>
        <w:rPr>
          <w:rFonts w:ascii="Times New Roman" w:eastAsia="Calibri" w:hAnsi="Times New Roman" w:cs="Times New Roman"/>
          <w:sz w:val="20"/>
          <w:szCs w:val="20"/>
        </w:rPr>
      </w:pPr>
    </w:p>
    <w:p w14:paraId="2EC75A85" w14:textId="77777777" w:rsidR="003F7045" w:rsidRDefault="003F7045" w:rsidP="003F7045">
      <w:pPr>
        <w:spacing w:after="0" w:line="240" w:lineRule="auto"/>
        <w:jc w:val="center"/>
        <w:rPr>
          <w:rFonts w:ascii="Times New Roman" w:eastAsia="Calibri" w:hAnsi="Times New Roman" w:cs="Times New Roman"/>
          <w:b/>
          <w:sz w:val="20"/>
          <w:szCs w:val="20"/>
        </w:rPr>
      </w:pPr>
      <w:r w:rsidRPr="00B2134F">
        <w:rPr>
          <w:rFonts w:ascii="Times New Roman" w:eastAsia="Calibri" w:hAnsi="Times New Roman" w:cs="Times New Roman"/>
          <w:b/>
          <w:noProof/>
          <w:sz w:val="20"/>
          <w:szCs w:val="20"/>
        </w:rPr>
        <w:drawing>
          <wp:inline distT="0" distB="0" distL="0" distR="0" wp14:anchorId="66BBF74D" wp14:editId="6B6997F1">
            <wp:extent cx="5537200" cy="2324100"/>
            <wp:effectExtent l="0" t="0" r="6350" b="0"/>
            <wp:docPr id="11" name="Chart 11">
              <a:extLst xmlns:a="http://schemas.openxmlformats.org/drawingml/2006/main">
                <a:ext uri="{FF2B5EF4-FFF2-40B4-BE49-F238E27FC236}">
                  <a16:creationId xmlns:a16="http://schemas.microsoft.com/office/drawing/2014/main" id="{6F3B36A5-298B-63AF-C4FF-6722E75A97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0E87E81" w14:textId="77777777" w:rsidR="003F7045" w:rsidRDefault="003F7045" w:rsidP="003F7045">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C67A77">
        <w:rPr>
          <w:rFonts w:ascii="Times New Roman" w:eastAsia="Calibri" w:hAnsi="Times New Roman" w:cs="Times New Roman"/>
          <w:b/>
          <w:bCs/>
          <w:sz w:val="20"/>
          <w:szCs w:val="20"/>
        </w:rPr>
        <w:t>11</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lead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6249DAB3" w14:textId="77777777" w:rsidR="003F7045" w:rsidRDefault="003F7045" w:rsidP="002616A8">
      <w:pPr>
        <w:spacing w:after="0" w:line="240" w:lineRule="auto"/>
        <w:jc w:val="both"/>
        <w:rPr>
          <w:rFonts w:ascii="Times New Roman" w:eastAsia="Calibri" w:hAnsi="Times New Roman" w:cs="Times New Roman"/>
          <w:sz w:val="20"/>
          <w:szCs w:val="20"/>
        </w:rPr>
      </w:pPr>
    </w:p>
    <w:p w14:paraId="4657FBF0" w14:textId="77777777" w:rsidR="000733D5" w:rsidRDefault="000733D5" w:rsidP="000733D5">
      <w:pPr>
        <w:spacing w:after="0" w:line="240" w:lineRule="auto"/>
        <w:ind w:firstLine="450"/>
        <w:jc w:val="both"/>
        <w:rPr>
          <w:rFonts w:ascii="Times New Roman" w:eastAsia="Calibri" w:hAnsi="Times New Roman" w:cs="Times New Roman"/>
          <w:sz w:val="20"/>
          <w:szCs w:val="20"/>
        </w:rPr>
      </w:pPr>
      <w:r>
        <w:rPr>
          <w:rFonts w:ascii="Times New Roman" w:eastAsia="Calibri" w:hAnsi="Times New Roman" w:cs="Times New Roman"/>
          <w:sz w:val="20"/>
          <w:szCs w:val="20"/>
          <w:highlight w:val="yellow"/>
        </w:rPr>
        <w:t>Th</w:t>
      </w:r>
      <w:r>
        <w:rPr>
          <w:rFonts w:ascii="Times New Roman" w:eastAsia="Calibri" w:hAnsi="Times New Roman" w:cs="Times New Roman"/>
          <w:sz w:val="20"/>
          <w:szCs w:val="20"/>
        </w:rPr>
        <w:t>e spatiotemporal distribution</w:t>
      </w:r>
      <w:r>
        <w:rPr>
          <w:rFonts w:ascii="Times New Roman" w:eastAsia="Calibri" w:hAnsi="Times New Roman" w:cs="Times New Roman"/>
          <w:sz w:val="20"/>
          <w:szCs w:val="20"/>
          <w:highlight w:val="yellow"/>
        </w:rPr>
        <w:t xml:space="preserve"> of lead (Pb),</w:t>
      </w:r>
      <w:r>
        <w:rPr>
          <w:rFonts w:ascii="Times New Roman" w:eastAsia="Calibri" w:hAnsi="Times New Roman" w:cs="Times New Roman"/>
          <w:sz w:val="20"/>
          <w:szCs w:val="20"/>
        </w:rPr>
        <w:t xml:space="preserve"> illustrated in </w:t>
      </w:r>
      <w:r>
        <w:rPr>
          <w:rFonts w:ascii="Times New Roman" w:eastAsia="Calibri" w:hAnsi="Times New Roman" w:cs="Times New Roman"/>
          <w:color w:val="2660F0"/>
          <w:sz w:val="20"/>
          <w:szCs w:val="20"/>
        </w:rPr>
        <w:t xml:space="preserve">Fig. 12(a) </w:t>
      </w:r>
      <w:r>
        <w:rPr>
          <w:rFonts w:ascii="Times New Roman" w:eastAsia="Calibri" w:hAnsi="Times New Roman" w:cs="Times New Roman"/>
          <w:sz w:val="20"/>
          <w:szCs w:val="20"/>
        </w:rPr>
        <w:t xml:space="preserve">and </w:t>
      </w:r>
      <w:r>
        <w:rPr>
          <w:rFonts w:ascii="Times New Roman" w:eastAsia="Calibri" w:hAnsi="Times New Roman" w:cs="Times New Roman"/>
          <w:color w:val="2660F0"/>
          <w:sz w:val="20"/>
          <w:szCs w:val="20"/>
        </w:rPr>
        <w:t>(b)</w:t>
      </w:r>
      <w:r>
        <w:rPr>
          <w:rFonts w:ascii="Times New Roman" w:eastAsia="Calibri" w:hAnsi="Times New Roman" w:cs="Times New Roman"/>
          <w:sz w:val="20"/>
          <w:szCs w:val="20"/>
        </w:rPr>
        <w:t>, reflect</w:t>
      </w:r>
      <w:r>
        <w:rPr>
          <w:rFonts w:ascii="Times New Roman" w:eastAsia="Calibri" w:hAnsi="Times New Roman" w:cs="Times New Roman"/>
          <w:sz w:val="20"/>
          <w:szCs w:val="20"/>
          <w:highlight w:val="yellow"/>
        </w:rPr>
        <w:t>s a</w:t>
      </w:r>
      <w:r>
        <w:rPr>
          <w:rFonts w:ascii="Times New Roman" w:eastAsia="Calibri" w:hAnsi="Times New Roman" w:cs="Times New Roman"/>
          <w:sz w:val="20"/>
          <w:szCs w:val="20"/>
        </w:rPr>
        <w:t xml:space="preserve"> significant decrease from the first to the second sampling phase, as initial Pb levels were 3.8 mg/kg but dropped to 0.64 mg/kg after the second phase. Low Pb levels were uniformly </w:t>
      </w:r>
      <w:r>
        <w:rPr>
          <w:rFonts w:ascii="Times New Roman" w:eastAsia="Calibri" w:hAnsi="Times New Roman" w:cs="Times New Roman"/>
          <w:sz w:val="20"/>
          <w:szCs w:val="20"/>
          <w:highlight w:val="yellow"/>
        </w:rPr>
        <w:t>di</w:t>
      </w:r>
      <w:r>
        <w:rPr>
          <w:rFonts w:ascii="Times New Roman" w:eastAsia="Calibri" w:hAnsi="Times New Roman" w:cs="Times New Roman"/>
          <w:sz w:val="20"/>
          <w:szCs w:val="20"/>
        </w:rPr>
        <w:t>s</w:t>
      </w:r>
      <w:r>
        <w:rPr>
          <w:rFonts w:ascii="Times New Roman" w:eastAsia="Calibri" w:hAnsi="Times New Roman" w:cs="Times New Roman"/>
          <w:sz w:val="20"/>
          <w:szCs w:val="20"/>
          <w:highlight w:val="yellow"/>
        </w:rPr>
        <w:t>t</w:t>
      </w:r>
      <w:r>
        <w:rPr>
          <w:rFonts w:ascii="Times New Roman" w:eastAsia="Calibri" w:hAnsi="Times New Roman" w:cs="Times New Roman"/>
          <w:sz w:val="20"/>
          <w:szCs w:val="20"/>
        </w:rPr>
        <w:t>r</w:t>
      </w:r>
      <w:r>
        <w:rPr>
          <w:rFonts w:ascii="Times New Roman" w:eastAsia="Calibri" w:hAnsi="Times New Roman" w:cs="Times New Roman"/>
          <w:sz w:val="20"/>
          <w:szCs w:val="20"/>
          <w:highlight w:val="yellow"/>
        </w:rPr>
        <w:t>ibut</w:t>
      </w:r>
      <w:r>
        <w:rPr>
          <w:rFonts w:ascii="Times New Roman" w:eastAsia="Calibri" w:hAnsi="Times New Roman" w:cs="Times New Roman"/>
          <w:sz w:val="20"/>
          <w:szCs w:val="20"/>
        </w:rPr>
        <w:t>ed in the northern parts of the area, with substantial reduction</w:t>
      </w:r>
      <w:r>
        <w:rPr>
          <w:rFonts w:ascii="Times New Roman" w:eastAsia="Calibri" w:hAnsi="Times New Roman" w:cs="Times New Roman"/>
          <w:sz w:val="20"/>
          <w:szCs w:val="20"/>
          <w:highlight w:val="yellow"/>
        </w:rPr>
        <w:t>s</w:t>
      </w:r>
      <w:r>
        <w:rPr>
          <w:rFonts w:ascii="Times New Roman" w:eastAsia="Calibri" w:hAnsi="Times New Roman" w:cs="Times New Roman"/>
          <w:sz w:val="20"/>
          <w:szCs w:val="20"/>
        </w:rPr>
        <w:t xml:space="preserve"> across the site demonstrating high flux in Pb contamination (</w:t>
      </w:r>
      <w:r>
        <w:rPr>
          <w:rFonts w:ascii="Times New Roman" w:eastAsia="Calibri" w:hAnsi="Times New Roman" w:cs="Times New Roman"/>
          <w:color w:val="2660F0"/>
          <w:sz w:val="20"/>
          <w:szCs w:val="20"/>
        </w:rPr>
        <w:t>Mohamed et al., 2024</w:t>
      </w:r>
      <w:r>
        <w:rPr>
          <w:rFonts w:ascii="Times New Roman" w:eastAsia="Calibri" w:hAnsi="Times New Roman" w:cs="Times New Roman"/>
          <w:sz w:val="20"/>
          <w:szCs w:val="20"/>
        </w:rPr>
        <w:t>), particularly in the southern zones, where concentrations initially peaked. The spatiotemporal data su</w:t>
      </w:r>
      <w:r>
        <w:rPr>
          <w:rFonts w:ascii="Times New Roman" w:eastAsia="Calibri" w:hAnsi="Times New Roman" w:cs="Times New Roman"/>
          <w:sz w:val="20"/>
          <w:szCs w:val="20"/>
          <w:highlight w:val="yellow"/>
        </w:rPr>
        <w:t>gges</w:t>
      </w:r>
      <w:r>
        <w:rPr>
          <w:rFonts w:ascii="Times New Roman" w:eastAsia="Calibri" w:hAnsi="Times New Roman" w:cs="Times New Roman"/>
          <w:sz w:val="20"/>
          <w:szCs w:val="20"/>
        </w:rPr>
        <w:t xml:space="preserve">t that further intervention may not be necessary, as Pb levels are now within acceptable limits permitted </w:t>
      </w:r>
      <w:r>
        <w:rPr>
          <w:rFonts w:ascii="Times New Roman" w:eastAsia="Calibri" w:hAnsi="Times New Roman" w:cs="Times New Roman"/>
          <w:sz w:val="20"/>
          <w:szCs w:val="20"/>
          <w:highlight w:val="yellow"/>
        </w:rPr>
        <w:t>under</w:t>
      </w:r>
      <w:r>
        <w:rPr>
          <w:rFonts w:ascii="Times New Roman" w:eastAsia="Calibri" w:hAnsi="Times New Roman" w:cs="Times New Roman"/>
          <w:sz w:val="20"/>
          <w:szCs w:val="20"/>
        </w:rPr>
        <w:t xml:space="preserve"> </w:t>
      </w:r>
      <w:r>
        <w:rPr>
          <w:rFonts w:ascii="Times New Roman" w:eastAsia="Calibri" w:hAnsi="Times New Roman" w:cs="Times New Roman"/>
          <w:color w:val="2660F0"/>
          <w:sz w:val="20"/>
          <w:szCs w:val="20"/>
        </w:rPr>
        <w:t>USDA</w:t>
      </w:r>
      <w:r>
        <w:rPr>
          <w:rFonts w:ascii="Times New Roman" w:eastAsia="Calibri" w:hAnsi="Times New Roman" w:cs="Times New Roman"/>
          <w:sz w:val="20"/>
          <w:szCs w:val="20"/>
        </w:rPr>
        <w:t xml:space="preserve"> (</w:t>
      </w:r>
      <w:r>
        <w:rPr>
          <w:rFonts w:ascii="Times New Roman" w:eastAsia="Calibri" w:hAnsi="Times New Roman" w:cs="Times New Roman"/>
          <w:color w:val="2660F0"/>
          <w:sz w:val="20"/>
          <w:szCs w:val="20"/>
        </w:rPr>
        <w:t>2000</w:t>
      </w:r>
      <w:r>
        <w:rPr>
          <w:rFonts w:ascii="Times New Roman" w:eastAsia="Calibri" w:hAnsi="Times New Roman" w:cs="Times New Roman"/>
          <w:sz w:val="20"/>
          <w:szCs w:val="20"/>
        </w:rPr>
        <w:t xml:space="preserve">) and </w:t>
      </w:r>
      <w:r>
        <w:rPr>
          <w:rFonts w:ascii="Times New Roman" w:eastAsia="Calibri" w:hAnsi="Times New Roman" w:cs="Times New Roman"/>
          <w:color w:val="2660F0"/>
          <w:sz w:val="20"/>
          <w:szCs w:val="20"/>
        </w:rPr>
        <w:t>USEPA</w:t>
      </w:r>
      <w:r>
        <w:rPr>
          <w:rFonts w:ascii="Times New Roman" w:eastAsia="Calibri" w:hAnsi="Times New Roman" w:cs="Times New Roman"/>
          <w:sz w:val="20"/>
          <w:szCs w:val="20"/>
        </w:rPr>
        <w:t xml:space="preserve"> (</w:t>
      </w:r>
      <w:r>
        <w:rPr>
          <w:rFonts w:ascii="Times New Roman" w:eastAsia="Calibri" w:hAnsi="Times New Roman" w:cs="Times New Roman"/>
          <w:color w:val="2660F0"/>
          <w:sz w:val="20"/>
          <w:szCs w:val="20"/>
        </w:rPr>
        <w:t>2011</w:t>
      </w:r>
      <w:r>
        <w:rPr>
          <w:rFonts w:ascii="Times New Roman" w:eastAsia="Calibri" w:hAnsi="Times New Roman" w:cs="Times New Roman"/>
          <w:sz w:val="20"/>
          <w:szCs w:val="20"/>
        </w:rPr>
        <w:t>) standards.</w:t>
      </w:r>
    </w:p>
    <w:p w14:paraId="38690A25" w14:textId="77777777" w:rsidR="000733D5" w:rsidRDefault="000733D5" w:rsidP="002616A8">
      <w:pPr>
        <w:spacing w:after="0" w:line="240" w:lineRule="auto"/>
        <w:jc w:val="both"/>
        <w:rPr>
          <w:rFonts w:ascii="Times New Roman" w:eastAsia="Calibri" w:hAnsi="Times New Roman" w:cs="Times New Roman"/>
          <w:sz w:val="20"/>
          <w:szCs w:val="20"/>
        </w:rPr>
      </w:pPr>
    </w:p>
    <w:p w14:paraId="30B6ECC2" w14:textId="77777777" w:rsidR="00B231E9" w:rsidRDefault="00B231E9" w:rsidP="00BA7EF2">
      <w:pPr>
        <w:spacing w:after="0" w:line="276" w:lineRule="auto"/>
        <w:jc w:val="center"/>
        <w:rPr>
          <w:rFonts w:ascii="Times New Roman" w:eastAsia="Calibri" w:hAnsi="Times New Roman" w:cs="Times New Roman"/>
          <w:sz w:val="20"/>
          <w:szCs w:val="20"/>
        </w:rPr>
      </w:pPr>
      <w:r w:rsidRPr="00B231E9">
        <w:rPr>
          <w:rFonts w:ascii="Times New Roman" w:eastAsia="Calibri" w:hAnsi="Times New Roman" w:cs="Times New Roman"/>
          <w:noProof/>
          <w:sz w:val="20"/>
          <w:szCs w:val="20"/>
        </w:rPr>
        <w:drawing>
          <wp:inline distT="0" distB="0" distL="0" distR="0" wp14:anchorId="594F9905" wp14:editId="485D0198">
            <wp:extent cx="4528800" cy="2973600"/>
            <wp:effectExtent l="0" t="0" r="5715" b="0"/>
            <wp:docPr id="19" name="Picture 6">
              <a:extLst xmlns:a="http://schemas.openxmlformats.org/drawingml/2006/main">
                <a:ext uri="{FF2B5EF4-FFF2-40B4-BE49-F238E27FC236}">
                  <a16:creationId xmlns:a16="http://schemas.microsoft.com/office/drawing/2014/main" id="{E1DDF999-3B23-A808-BBB1-D6C65C1174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1DDF999-3B23-A808-BBB1-D6C65C1174F1}"/>
                        </a:ext>
                      </a:extLst>
                    </pic:cNvPr>
                    <pic:cNvPicPr>
                      <a:picLocks noChangeAspect="1"/>
                    </pic:cNvPicPr>
                  </pic:nvPicPr>
                  <pic:blipFill rotWithShape="1">
                    <a:blip r:embed="rId24"/>
                    <a:srcRect b="4500"/>
                    <a:stretch/>
                  </pic:blipFill>
                  <pic:spPr>
                    <a:xfrm>
                      <a:off x="0" y="0"/>
                      <a:ext cx="4528800" cy="2973600"/>
                    </a:xfrm>
                    <a:prstGeom prst="rect">
                      <a:avLst/>
                    </a:prstGeom>
                  </pic:spPr>
                </pic:pic>
              </a:graphicData>
            </a:graphic>
          </wp:inline>
        </w:drawing>
      </w:r>
    </w:p>
    <w:p w14:paraId="74A5949B" w14:textId="77777777" w:rsidR="003F7045" w:rsidRDefault="00F37EDA" w:rsidP="003F7045">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sidR="00BC1132">
        <w:rPr>
          <w:rFonts w:ascii="Times New Roman" w:eastAsia="Calibri" w:hAnsi="Times New Roman" w:cs="Times New Roman"/>
          <w:b/>
          <w:bCs/>
          <w:sz w:val="20"/>
          <w:szCs w:val="20"/>
        </w:rPr>
        <w:t>2</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2F1CA5">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sidR="00293E2A">
        <w:rPr>
          <w:rFonts w:ascii="Times New Roman" w:eastAsia="Calibri" w:hAnsi="Times New Roman" w:cs="Times New Roman"/>
          <w:sz w:val="20"/>
          <w:szCs w:val="20"/>
        </w:rPr>
        <w:t>l</w:t>
      </w:r>
      <w:r>
        <w:rPr>
          <w:rFonts w:ascii="Times New Roman" w:eastAsia="Calibri" w:hAnsi="Times New Roman" w:cs="Times New Roman"/>
          <w:sz w:val="20"/>
          <w:szCs w:val="20"/>
        </w:rPr>
        <w:t>ead</w:t>
      </w:r>
      <w:r w:rsidRPr="00154C63">
        <w:rPr>
          <w:rFonts w:ascii="Times New Roman" w:eastAsia="Calibri" w:hAnsi="Times New Roman" w:cs="Times New Roman"/>
          <w:sz w:val="20"/>
          <w:szCs w:val="20"/>
        </w:rPr>
        <w:t xml:space="preserve"> for the first and second sampling phases</w:t>
      </w:r>
    </w:p>
    <w:p w14:paraId="0F42FF1D" w14:textId="77777777" w:rsidR="000733D5" w:rsidRDefault="000733D5" w:rsidP="000733D5">
      <w:pPr>
        <w:spacing w:after="0" w:line="240" w:lineRule="auto"/>
        <w:jc w:val="both"/>
        <w:rPr>
          <w:rFonts w:ascii="Times New Roman" w:eastAsia="Calibri" w:hAnsi="Times New Roman" w:cs="Times New Roman"/>
          <w:sz w:val="20"/>
          <w:szCs w:val="20"/>
        </w:rPr>
      </w:pPr>
    </w:p>
    <w:p w14:paraId="1841B84E" w14:textId="77777777" w:rsidR="00E7114B" w:rsidRPr="00F75614" w:rsidRDefault="004F00BB" w:rsidP="00E7114B">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E7114B" w:rsidRPr="00F75614">
        <w:rPr>
          <w:rFonts w:ascii="Times New Roman" w:eastAsia="Calibri" w:hAnsi="Times New Roman" w:cs="Times New Roman"/>
          <w:b/>
          <w:bCs/>
          <w:sz w:val="20"/>
          <w:szCs w:val="20"/>
        </w:rPr>
        <w:t xml:space="preserve">.6 Zinc </w:t>
      </w:r>
    </w:p>
    <w:p w14:paraId="2C4847BA" w14:textId="77777777" w:rsidR="00D150DA" w:rsidRDefault="00FD5316" w:rsidP="00E7114B">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Zinc (Zn) concentrations decreased across corresponding points. However, the degree of reduction varied, as illustrated in </w:t>
      </w:r>
      <w:r>
        <w:rPr>
          <w:rFonts w:ascii="Times New Roman" w:eastAsia="Calibri" w:hAnsi="Times New Roman" w:cs="Times New Roman"/>
          <w:bCs/>
          <w:color w:val="2660F0"/>
          <w:sz w:val="20"/>
          <w:szCs w:val="20"/>
        </w:rPr>
        <w:t>Fig. 13</w:t>
      </w:r>
      <w:r>
        <w:rPr>
          <w:rFonts w:ascii="Times New Roman" w:eastAsia="Calibri" w:hAnsi="Times New Roman" w:cs="Times New Roman"/>
          <w:bCs/>
          <w:sz w:val="20"/>
          <w:szCs w:val="20"/>
        </w:rPr>
        <w:t xml:space="preserve">. PR-1 had a Zn concentration of 6.86 mg/kg, which </w:t>
      </w:r>
      <w:r>
        <w:rPr>
          <w:rFonts w:ascii="Times New Roman" w:eastAsia="Calibri" w:hAnsi="Times New Roman" w:cs="Times New Roman"/>
          <w:bCs/>
          <w:sz w:val="20"/>
          <w:szCs w:val="20"/>
          <w:highlight w:val="yellow"/>
        </w:rPr>
        <w:t xml:space="preserve">was </w:t>
      </w:r>
      <w:r>
        <w:rPr>
          <w:rFonts w:ascii="Times New Roman" w:eastAsia="Calibri" w:hAnsi="Times New Roman" w:cs="Times New Roman"/>
          <w:bCs/>
          <w:sz w:val="20"/>
          <w:szCs w:val="20"/>
        </w:rPr>
        <w:t xml:space="preserve">reduced to 3.93 mg/kg in PR-12, approaching but </w:t>
      </w:r>
      <w:r>
        <w:rPr>
          <w:rFonts w:ascii="Times New Roman" w:eastAsia="Calibri" w:hAnsi="Times New Roman" w:cs="Times New Roman"/>
          <w:bCs/>
          <w:sz w:val="20"/>
          <w:szCs w:val="20"/>
          <w:highlight w:val="yellow"/>
        </w:rPr>
        <w:t>rema</w:t>
      </w:r>
      <w:r>
        <w:rPr>
          <w:rFonts w:ascii="Times New Roman" w:eastAsia="Calibri" w:hAnsi="Times New Roman" w:cs="Times New Roman"/>
          <w:bCs/>
          <w:sz w:val="20"/>
          <w:szCs w:val="20"/>
        </w:rPr>
        <w:t>i</w:t>
      </w:r>
      <w:r>
        <w:rPr>
          <w:rFonts w:ascii="Times New Roman" w:eastAsia="Calibri" w:hAnsi="Times New Roman" w:cs="Times New Roman"/>
          <w:bCs/>
          <w:sz w:val="20"/>
          <w:szCs w:val="20"/>
          <w:highlight w:val="yellow"/>
        </w:rPr>
        <w:t>ning</w:t>
      </w:r>
      <w:r>
        <w:rPr>
          <w:rFonts w:ascii="Times New Roman" w:eastAsia="Calibri" w:hAnsi="Times New Roman" w:cs="Times New Roman"/>
          <w:bCs/>
          <w:sz w:val="20"/>
          <w:szCs w:val="20"/>
        </w:rPr>
        <w:t xml:space="preserve"> slightly higher than </w:t>
      </w:r>
      <w:r>
        <w:rPr>
          <w:rFonts w:ascii="Times New Roman" w:eastAsia="Calibri" w:hAnsi="Times New Roman" w:cs="Times New Roman"/>
          <w:bCs/>
          <w:sz w:val="20"/>
          <w:szCs w:val="20"/>
          <w:highlight w:val="yellow"/>
        </w:rPr>
        <w:t xml:space="preserve">the </w:t>
      </w:r>
      <w:r>
        <w:rPr>
          <w:rFonts w:ascii="Times New Roman" w:eastAsia="Calibri" w:hAnsi="Times New Roman" w:cs="Times New Roman"/>
          <w:bCs/>
          <w:sz w:val="20"/>
          <w:szCs w:val="20"/>
        </w:rPr>
        <w:t>value at control CT-3 (2.91 mg/kg). Likewise, PR-9 declined from 7.95 mg/kg to 4.26 mg/kg in PR-20, exhibiting positive flux (</w:t>
      </w:r>
      <w:r>
        <w:rPr>
          <w:rFonts w:ascii="Times New Roman" w:eastAsia="Calibri" w:hAnsi="Times New Roman" w:cs="Times New Roman"/>
          <w:bCs/>
          <w:color w:val="2660F0"/>
          <w:sz w:val="20"/>
          <w:szCs w:val="20"/>
        </w:rPr>
        <w:t>Diagne et al., 2015</w:t>
      </w:r>
      <w:r>
        <w:rPr>
          <w:rFonts w:ascii="Times New Roman" w:eastAsia="Calibri" w:hAnsi="Times New Roman" w:cs="Times New Roman"/>
          <w:bCs/>
          <w:sz w:val="20"/>
          <w:szCs w:val="20"/>
        </w:rPr>
        <w:t xml:space="preserve">) but </w:t>
      </w:r>
      <w:r>
        <w:rPr>
          <w:rFonts w:ascii="Times New Roman" w:eastAsia="Calibri" w:hAnsi="Times New Roman" w:cs="Times New Roman"/>
          <w:bCs/>
          <w:sz w:val="20"/>
          <w:szCs w:val="20"/>
          <w:highlight w:val="yellow"/>
        </w:rPr>
        <w:t>no</w:t>
      </w:r>
      <w:r>
        <w:rPr>
          <w:rFonts w:ascii="Times New Roman" w:eastAsia="Calibri" w:hAnsi="Times New Roman" w:cs="Times New Roman"/>
          <w:bCs/>
          <w:sz w:val="20"/>
          <w:szCs w:val="20"/>
        </w:rPr>
        <w:t>t fully reach</w:t>
      </w:r>
      <w:r>
        <w:rPr>
          <w:rFonts w:ascii="Times New Roman" w:eastAsia="Calibri" w:hAnsi="Times New Roman" w:cs="Times New Roman"/>
          <w:bCs/>
          <w:sz w:val="20"/>
          <w:szCs w:val="20"/>
          <w:highlight w:val="yellow"/>
        </w:rPr>
        <w:t>ing</w:t>
      </w:r>
      <w:r>
        <w:rPr>
          <w:rFonts w:ascii="Times New Roman" w:eastAsia="Calibri" w:hAnsi="Times New Roman" w:cs="Times New Roman"/>
          <w:bCs/>
          <w:sz w:val="20"/>
          <w:szCs w:val="20"/>
        </w:rPr>
        <w:t xml:space="preserve"> background levels. Some points, </w:t>
      </w:r>
      <w:r>
        <w:rPr>
          <w:rFonts w:ascii="Times New Roman" w:eastAsia="Calibri" w:hAnsi="Times New Roman" w:cs="Times New Roman"/>
          <w:bCs/>
          <w:sz w:val="20"/>
          <w:szCs w:val="20"/>
          <w:highlight w:val="yellow"/>
        </w:rPr>
        <w:t>such as</w:t>
      </w:r>
      <w:r>
        <w:rPr>
          <w:rFonts w:ascii="Times New Roman" w:eastAsia="Calibri" w:hAnsi="Times New Roman" w:cs="Times New Roman"/>
          <w:bCs/>
          <w:sz w:val="20"/>
          <w:szCs w:val="20"/>
        </w:rPr>
        <w:t xml:space="preserve"> PR-22 (4.74 mg/kg), retained slightly elevated Zn levels in the second phase, necessitating continued attenuation in these areas to ensure compliance with environmental standards (</w:t>
      </w:r>
      <w:r>
        <w:rPr>
          <w:rFonts w:ascii="Times New Roman" w:eastAsia="Calibri" w:hAnsi="Times New Roman" w:cs="Times New Roman"/>
          <w:bCs/>
          <w:color w:val="2660F0"/>
          <w:sz w:val="20"/>
          <w:szCs w:val="20"/>
        </w:rPr>
        <w:t>George et al., 2023</w:t>
      </w:r>
      <w:r>
        <w:rPr>
          <w:rFonts w:ascii="Times New Roman" w:eastAsia="Calibri" w:hAnsi="Times New Roman" w:cs="Times New Roman"/>
          <w:bCs/>
          <w:sz w:val="20"/>
          <w:szCs w:val="20"/>
        </w:rPr>
        <w:t>).</w:t>
      </w:r>
    </w:p>
    <w:p w14:paraId="6BF477AB" w14:textId="77777777" w:rsidR="00D150DA" w:rsidRDefault="00D150DA" w:rsidP="00E7114B">
      <w:pPr>
        <w:spacing w:after="0" w:line="240" w:lineRule="auto"/>
        <w:jc w:val="both"/>
        <w:rPr>
          <w:rFonts w:ascii="Times New Roman" w:eastAsia="Calibri" w:hAnsi="Times New Roman" w:cs="Times New Roman"/>
          <w:bCs/>
          <w:sz w:val="20"/>
          <w:szCs w:val="20"/>
        </w:rPr>
      </w:pPr>
    </w:p>
    <w:p w14:paraId="1C9FD7CE" w14:textId="77777777" w:rsidR="00D150DA" w:rsidRDefault="00D150DA" w:rsidP="00D150DA">
      <w:pPr>
        <w:spacing w:after="0" w:line="240" w:lineRule="auto"/>
        <w:jc w:val="center"/>
        <w:rPr>
          <w:rFonts w:ascii="Times New Roman" w:eastAsia="Calibri" w:hAnsi="Times New Roman" w:cs="Times New Roman"/>
          <w:b/>
          <w:sz w:val="20"/>
          <w:szCs w:val="20"/>
        </w:rPr>
      </w:pPr>
      <w:r w:rsidRPr="00714CEE">
        <w:rPr>
          <w:rFonts w:ascii="Times New Roman" w:eastAsia="Calibri" w:hAnsi="Times New Roman" w:cs="Times New Roman"/>
          <w:b/>
          <w:noProof/>
          <w:sz w:val="20"/>
          <w:szCs w:val="20"/>
        </w:rPr>
        <w:drawing>
          <wp:inline distT="0" distB="0" distL="0" distR="0" wp14:anchorId="54D946D8" wp14:editId="1E3BB1DD">
            <wp:extent cx="5541645" cy="2343150"/>
            <wp:effectExtent l="0" t="0" r="1905" b="0"/>
            <wp:docPr id="13" name="Chart 13">
              <a:extLst xmlns:a="http://schemas.openxmlformats.org/drawingml/2006/main">
                <a:ext uri="{FF2B5EF4-FFF2-40B4-BE49-F238E27FC236}">
                  <a16:creationId xmlns:a16="http://schemas.microsoft.com/office/drawing/2014/main" id="{E0B550B7-E25A-FEBC-84DD-570CC13FB3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B26B6E7" w14:textId="77777777" w:rsidR="00D150DA" w:rsidRDefault="00D150DA" w:rsidP="00D150DA">
      <w:pPr>
        <w:spacing w:after="0" w:line="240" w:lineRule="auto"/>
        <w:jc w:val="center"/>
        <w:rPr>
          <w:rFonts w:ascii="Times New Roman" w:eastAsia="Calibri" w:hAnsi="Times New Roman" w:cs="Times New Roman"/>
          <w:b/>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8E04B7">
        <w:rPr>
          <w:rFonts w:ascii="Times New Roman" w:eastAsia="Calibri" w:hAnsi="Times New Roman" w:cs="Times New Roman"/>
          <w:b/>
          <w:bCs/>
          <w:sz w:val="20"/>
          <w:szCs w:val="20"/>
        </w:rPr>
        <w:t>13</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zinc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5743972E" w14:textId="77777777" w:rsidR="00256BCB" w:rsidRDefault="00256BCB" w:rsidP="00256BCB">
      <w:pPr>
        <w:spacing w:after="0" w:line="240" w:lineRule="auto"/>
        <w:ind w:firstLine="450"/>
        <w:jc w:val="both"/>
        <w:rPr>
          <w:rFonts w:ascii="Times New Roman" w:eastAsia="Calibri" w:hAnsi="Times New Roman" w:cs="Times New Roman"/>
          <w:sz w:val="20"/>
          <w:szCs w:val="20"/>
        </w:rPr>
      </w:pPr>
    </w:p>
    <w:p w14:paraId="570BA2B1" w14:textId="6CDB0925" w:rsidR="00256BCB" w:rsidRPr="00FD5316" w:rsidRDefault="00256BCB" w:rsidP="00256BCB">
      <w:pPr>
        <w:spacing w:after="0" w:line="240" w:lineRule="auto"/>
        <w:ind w:firstLine="450"/>
        <w:jc w:val="both"/>
        <w:rPr>
          <w:rFonts w:ascii="Times New Roman" w:eastAsia="Calibri" w:hAnsi="Times New Roman" w:cs="Times New Roman"/>
          <w:bCs/>
          <w:sz w:val="20"/>
          <w:szCs w:val="20"/>
        </w:rPr>
      </w:pPr>
      <w:r>
        <w:rPr>
          <w:rFonts w:ascii="Times New Roman" w:eastAsia="Calibri" w:hAnsi="Times New Roman" w:cs="Times New Roman"/>
          <w:sz w:val="20"/>
          <w:szCs w:val="20"/>
        </w:rPr>
        <w:t xml:space="preserve">The spatiotemporal distribution of zinc (Zn), presented in </w:t>
      </w:r>
      <w:r>
        <w:rPr>
          <w:rFonts w:ascii="Times New Roman" w:eastAsia="Calibri" w:hAnsi="Times New Roman" w:cs="Times New Roman"/>
          <w:color w:val="2660F0"/>
          <w:sz w:val="20"/>
          <w:szCs w:val="20"/>
        </w:rPr>
        <w:t xml:space="preserve">Fig. 14(a) </w:t>
      </w:r>
      <w:r>
        <w:rPr>
          <w:rFonts w:ascii="Times New Roman" w:eastAsia="Calibri" w:hAnsi="Times New Roman" w:cs="Times New Roman"/>
          <w:sz w:val="20"/>
          <w:szCs w:val="20"/>
        </w:rPr>
        <w:t xml:space="preserve">and </w:t>
      </w:r>
      <w:r>
        <w:rPr>
          <w:rFonts w:ascii="Times New Roman" w:eastAsia="Calibri" w:hAnsi="Times New Roman" w:cs="Times New Roman"/>
          <w:color w:val="2660F0"/>
          <w:sz w:val="20"/>
          <w:szCs w:val="20"/>
        </w:rPr>
        <w:t>(b)</w:t>
      </w:r>
      <w:r>
        <w:rPr>
          <w:rFonts w:ascii="Times New Roman" w:eastAsia="Calibri" w:hAnsi="Times New Roman" w:cs="Times New Roman"/>
          <w:sz w:val="20"/>
          <w:szCs w:val="20"/>
        </w:rPr>
        <w:t>, shows low levels in the northern parts</w:t>
      </w:r>
      <w:r>
        <w:rPr>
          <w:rFonts w:ascii="Times New Roman" w:eastAsia="Calibri" w:hAnsi="Times New Roman" w:cs="Times New Roman"/>
          <w:sz w:val="20"/>
          <w:szCs w:val="20"/>
          <w:highlight w:val="yellow"/>
        </w:rPr>
        <w:t xml:space="preserve"> of the site</w:t>
      </w:r>
      <w:r>
        <w:rPr>
          <w:rFonts w:ascii="Times New Roman" w:eastAsia="Calibri" w:hAnsi="Times New Roman" w:cs="Times New Roman"/>
          <w:sz w:val="20"/>
          <w:szCs w:val="20"/>
        </w:rPr>
        <w:t xml:space="preserve">, with higher </w:t>
      </w:r>
      <w:r>
        <w:rPr>
          <w:rFonts w:ascii="Times New Roman" w:eastAsia="Calibri" w:hAnsi="Times New Roman" w:cs="Times New Roman"/>
          <w:sz w:val="20"/>
          <w:szCs w:val="20"/>
          <w:highlight w:val="yellow"/>
        </w:rPr>
        <w:t>co</w:t>
      </w:r>
      <w:r>
        <w:rPr>
          <w:rFonts w:ascii="Times New Roman" w:eastAsia="Calibri" w:hAnsi="Times New Roman" w:cs="Times New Roman"/>
          <w:sz w:val="20"/>
          <w:szCs w:val="20"/>
        </w:rPr>
        <w:t>nce</w:t>
      </w:r>
      <w:r>
        <w:rPr>
          <w:rFonts w:ascii="Times New Roman" w:eastAsia="Calibri" w:hAnsi="Times New Roman" w:cs="Times New Roman"/>
          <w:sz w:val="20"/>
          <w:szCs w:val="20"/>
          <w:highlight w:val="yellow"/>
        </w:rPr>
        <w:t>ntrations</w:t>
      </w:r>
      <w:r>
        <w:rPr>
          <w:rFonts w:ascii="Times New Roman" w:eastAsia="Calibri" w:hAnsi="Times New Roman" w:cs="Times New Roman"/>
          <w:sz w:val="20"/>
          <w:szCs w:val="20"/>
        </w:rPr>
        <w:t xml:space="preserve"> in isolated pockets in the south during both sampling phases. This distribution pattern suggests that Zn contamination is </w:t>
      </w:r>
      <w:proofErr w:type="spellStart"/>
      <w:r>
        <w:rPr>
          <w:rFonts w:ascii="Times New Roman" w:eastAsia="Calibri" w:hAnsi="Times New Roman" w:cs="Times New Roman"/>
          <w:sz w:val="20"/>
          <w:szCs w:val="20"/>
        </w:rPr>
        <w:t>locali</w:t>
      </w:r>
      <w:r>
        <w:rPr>
          <w:rFonts w:ascii="Times New Roman" w:eastAsia="Calibri" w:hAnsi="Times New Roman" w:cs="Times New Roman"/>
          <w:sz w:val="20"/>
          <w:szCs w:val="20"/>
          <w:highlight w:val="yellow"/>
        </w:rPr>
        <w:t>s</w:t>
      </w:r>
      <w:r>
        <w:rPr>
          <w:rFonts w:ascii="Times New Roman" w:eastAsia="Calibri" w:hAnsi="Times New Roman" w:cs="Times New Roman"/>
          <w:sz w:val="20"/>
          <w:szCs w:val="20"/>
        </w:rPr>
        <w:t>ed</w:t>
      </w:r>
      <w:proofErr w:type="spellEnd"/>
      <w:r>
        <w:rPr>
          <w:rFonts w:ascii="Times New Roman" w:eastAsia="Calibri" w:hAnsi="Times New Roman" w:cs="Times New Roman"/>
          <w:sz w:val="20"/>
          <w:szCs w:val="20"/>
        </w:rPr>
        <w:t xml:space="preserve"> rather than widespread (</w:t>
      </w:r>
      <w:r>
        <w:rPr>
          <w:rFonts w:ascii="Times New Roman" w:eastAsia="Calibri" w:hAnsi="Times New Roman" w:cs="Times New Roman"/>
          <w:color w:val="2660F0"/>
          <w:sz w:val="20"/>
          <w:szCs w:val="20"/>
        </w:rPr>
        <w:t>Hazarika et al., 202</w:t>
      </w:r>
      <w:r w:rsidR="00592893">
        <w:rPr>
          <w:rFonts w:ascii="Times New Roman" w:eastAsia="Calibri" w:hAnsi="Times New Roman" w:cs="Times New Roman"/>
          <w:color w:val="2660F0"/>
          <w:sz w:val="20"/>
          <w:szCs w:val="20"/>
        </w:rPr>
        <w:t>4</w:t>
      </w:r>
      <w:r>
        <w:rPr>
          <w:rFonts w:ascii="Times New Roman" w:eastAsia="Calibri" w:hAnsi="Times New Roman" w:cs="Times New Roman"/>
          <w:sz w:val="20"/>
          <w:szCs w:val="20"/>
        </w:rPr>
        <w:t>). Although there was a general reduction in Zn levels from the first to the second phase, certain pockets in the south retained elevated concentrations, likely due to persistent contamination sources (</w:t>
      </w:r>
      <w:r>
        <w:rPr>
          <w:rFonts w:ascii="Times New Roman" w:eastAsia="Calibri" w:hAnsi="Times New Roman" w:cs="Times New Roman"/>
          <w:color w:val="2660F0"/>
          <w:sz w:val="20"/>
          <w:szCs w:val="20"/>
        </w:rPr>
        <w:t>George et al., 2023</w:t>
      </w:r>
      <w:r>
        <w:rPr>
          <w:rFonts w:ascii="Times New Roman" w:eastAsia="Calibri" w:hAnsi="Times New Roman" w:cs="Times New Roman"/>
          <w:sz w:val="20"/>
          <w:szCs w:val="20"/>
        </w:rPr>
        <w:t xml:space="preserve">). Targeted attenuation is required in these isolated areas to prevent potential </w:t>
      </w:r>
      <w:r>
        <w:rPr>
          <w:rFonts w:ascii="Times New Roman" w:eastAsia="Calibri" w:hAnsi="Times New Roman" w:cs="Times New Roman"/>
          <w:sz w:val="20"/>
          <w:szCs w:val="20"/>
          <w:highlight w:val="yellow"/>
        </w:rPr>
        <w:t xml:space="preserve">risks to </w:t>
      </w:r>
      <w:r>
        <w:rPr>
          <w:rFonts w:ascii="Times New Roman" w:eastAsia="Calibri" w:hAnsi="Times New Roman" w:cs="Times New Roman"/>
          <w:sz w:val="20"/>
          <w:szCs w:val="20"/>
        </w:rPr>
        <w:t>soil and groundwater quality in surrounding zones.</w:t>
      </w:r>
    </w:p>
    <w:p w14:paraId="746D381D" w14:textId="77777777" w:rsidR="00D150DA" w:rsidRDefault="00D150DA" w:rsidP="00E7114B">
      <w:pPr>
        <w:spacing w:after="0" w:line="240" w:lineRule="auto"/>
        <w:jc w:val="both"/>
        <w:rPr>
          <w:rFonts w:ascii="Times New Roman" w:eastAsia="Calibri" w:hAnsi="Times New Roman" w:cs="Times New Roman"/>
          <w:bCs/>
          <w:sz w:val="20"/>
          <w:szCs w:val="20"/>
        </w:rPr>
      </w:pPr>
    </w:p>
    <w:p w14:paraId="1D0EAC3F" w14:textId="77777777" w:rsidR="00A9645F" w:rsidRDefault="00A9645F" w:rsidP="00A9645F">
      <w:pPr>
        <w:spacing w:after="0" w:line="276" w:lineRule="auto"/>
        <w:jc w:val="center"/>
        <w:rPr>
          <w:rFonts w:ascii="Times New Roman" w:eastAsia="Calibri" w:hAnsi="Times New Roman" w:cs="Times New Roman"/>
          <w:sz w:val="20"/>
          <w:szCs w:val="20"/>
        </w:rPr>
      </w:pPr>
      <w:r w:rsidRPr="00F75614">
        <w:rPr>
          <w:rFonts w:ascii="Times New Roman" w:eastAsia="Calibri" w:hAnsi="Times New Roman" w:cs="Times New Roman"/>
          <w:noProof/>
          <w:sz w:val="20"/>
          <w:szCs w:val="20"/>
        </w:rPr>
        <w:lastRenderedPageBreak/>
        <w:drawing>
          <wp:inline distT="0" distB="0" distL="0" distR="0" wp14:anchorId="4DC1BA62" wp14:editId="1C181992">
            <wp:extent cx="4514400" cy="2959200"/>
            <wp:effectExtent l="0" t="0" r="0" b="0"/>
            <wp:docPr id="20" name="Picture 10">
              <a:extLst xmlns:a="http://schemas.openxmlformats.org/drawingml/2006/main">
                <a:ext uri="{FF2B5EF4-FFF2-40B4-BE49-F238E27FC236}">
                  <a16:creationId xmlns:a16="http://schemas.microsoft.com/office/drawing/2014/main" id="{391BF030-AD22-DEBF-6EA7-966D6EC75D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91BF030-AD22-DEBF-6EA7-966D6EC75DCB}"/>
                        </a:ext>
                      </a:extLst>
                    </pic:cNvPr>
                    <pic:cNvPicPr>
                      <a:picLocks noChangeAspect="1"/>
                    </pic:cNvPicPr>
                  </pic:nvPicPr>
                  <pic:blipFill rotWithShape="1">
                    <a:blip r:embed="rId26"/>
                    <a:srcRect b="4096"/>
                    <a:stretch/>
                  </pic:blipFill>
                  <pic:spPr>
                    <a:xfrm>
                      <a:off x="0" y="0"/>
                      <a:ext cx="4514400" cy="2959200"/>
                    </a:xfrm>
                    <a:prstGeom prst="rect">
                      <a:avLst/>
                    </a:prstGeom>
                  </pic:spPr>
                </pic:pic>
              </a:graphicData>
            </a:graphic>
          </wp:inline>
        </w:drawing>
      </w:r>
    </w:p>
    <w:p w14:paraId="56F29C2A" w14:textId="77777777" w:rsidR="00A9645F" w:rsidRDefault="00A9645F" w:rsidP="00A9645F">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Pr>
          <w:rFonts w:ascii="Times New Roman" w:eastAsia="Calibri" w:hAnsi="Times New Roman" w:cs="Times New Roman"/>
          <w:b/>
          <w:bCs/>
          <w:sz w:val="20"/>
          <w:szCs w:val="20"/>
        </w:rPr>
        <w:t>4</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D333EB">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zinc</w:t>
      </w:r>
      <w:r w:rsidRPr="00154C63">
        <w:rPr>
          <w:rFonts w:ascii="Times New Roman" w:eastAsia="Calibri" w:hAnsi="Times New Roman" w:cs="Times New Roman"/>
          <w:sz w:val="20"/>
          <w:szCs w:val="20"/>
        </w:rPr>
        <w:t xml:space="preserve"> for the first and second sampling phases</w:t>
      </w:r>
    </w:p>
    <w:p w14:paraId="345DE8B3" w14:textId="77777777" w:rsidR="00D150DA" w:rsidRDefault="00D150DA" w:rsidP="00E7114B">
      <w:pPr>
        <w:spacing w:after="0" w:line="240" w:lineRule="auto"/>
        <w:jc w:val="both"/>
        <w:rPr>
          <w:rFonts w:ascii="Times New Roman" w:eastAsia="Calibri" w:hAnsi="Times New Roman" w:cs="Times New Roman"/>
          <w:bCs/>
          <w:sz w:val="20"/>
          <w:szCs w:val="20"/>
        </w:rPr>
      </w:pPr>
    </w:p>
    <w:p w14:paraId="11B4F505" w14:textId="77777777" w:rsidR="00E7114B" w:rsidRPr="001A1797" w:rsidRDefault="004F00BB" w:rsidP="00323944">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E7114B" w:rsidRPr="001A1797">
        <w:rPr>
          <w:rFonts w:ascii="Times New Roman" w:eastAsia="Calibri" w:hAnsi="Times New Roman" w:cs="Times New Roman"/>
          <w:b/>
          <w:bCs/>
          <w:sz w:val="20"/>
          <w:szCs w:val="20"/>
        </w:rPr>
        <w:t>.7 Iron</w:t>
      </w:r>
      <w:r w:rsidR="008B798F">
        <w:rPr>
          <w:rFonts w:ascii="Times New Roman" w:eastAsia="Calibri" w:hAnsi="Times New Roman" w:cs="Times New Roman"/>
          <w:b/>
          <w:bCs/>
          <w:sz w:val="20"/>
          <w:szCs w:val="20"/>
        </w:rPr>
        <w:t xml:space="preserve"> </w:t>
      </w:r>
    </w:p>
    <w:p w14:paraId="66287A0F" w14:textId="77777777" w:rsidR="00E7114B" w:rsidRPr="000C7FB6" w:rsidRDefault="000C7FB6" w:rsidP="00323944">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Cs/>
          <w:sz w:val="20"/>
          <w:szCs w:val="20"/>
        </w:rPr>
        <w:t>Iron (Fe) concentrations demonstrated vari</w:t>
      </w:r>
      <w:r>
        <w:rPr>
          <w:rFonts w:ascii="Times New Roman" w:eastAsia="Calibri" w:hAnsi="Times New Roman" w:cs="Times New Roman"/>
          <w:bCs/>
          <w:sz w:val="20"/>
          <w:szCs w:val="20"/>
          <w:highlight w:val="yellow"/>
        </w:rPr>
        <w:t>abl</w:t>
      </w:r>
      <w:r>
        <w:rPr>
          <w:rFonts w:ascii="Times New Roman" w:eastAsia="Calibri" w:hAnsi="Times New Roman" w:cs="Times New Roman"/>
          <w:bCs/>
          <w:sz w:val="20"/>
          <w:szCs w:val="20"/>
        </w:rPr>
        <w:t xml:space="preserve">e reductions across corresponding points, as shown in </w:t>
      </w:r>
      <w:r>
        <w:rPr>
          <w:rFonts w:ascii="Times New Roman" w:eastAsia="Calibri" w:hAnsi="Times New Roman" w:cs="Times New Roman"/>
          <w:bCs/>
          <w:color w:val="2660F0"/>
          <w:sz w:val="20"/>
          <w:szCs w:val="20"/>
        </w:rPr>
        <w:t>Fig. 15</w:t>
      </w:r>
      <w:r>
        <w:rPr>
          <w:rFonts w:ascii="Times New Roman" w:eastAsia="Calibri" w:hAnsi="Times New Roman" w:cs="Times New Roman"/>
          <w:bCs/>
          <w:sz w:val="20"/>
          <w:szCs w:val="20"/>
        </w:rPr>
        <w:t>. PR-1 started with a concentration of 6.93 mg/kg and decreased to 6.40 mg/kg in PR-12, a moderate reduction that still exceed</w:t>
      </w:r>
      <w:r>
        <w:rPr>
          <w:rFonts w:ascii="Times New Roman" w:eastAsia="Calibri" w:hAnsi="Times New Roman" w:cs="Times New Roman"/>
          <w:bCs/>
          <w:sz w:val="20"/>
          <w:szCs w:val="20"/>
          <w:highlight w:val="yellow"/>
        </w:rPr>
        <w:t>ed</w:t>
      </w:r>
      <w:r>
        <w:rPr>
          <w:rFonts w:ascii="Times New Roman" w:eastAsia="Calibri" w:hAnsi="Times New Roman" w:cs="Times New Roman"/>
          <w:bCs/>
          <w:sz w:val="20"/>
          <w:szCs w:val="20"/>
        </w:rPr>
        <w:t xml:space="preserve"> control levels </w:t>
      </w:r>
      <w:r>
        <w:rPr>
          <w:rFonts w:ascii="Times New Roman" w:eastAsia="Calibri" w:hAnsi="Times New Roman" w:cs="Times New Roman"/>
          <w:bCs/>
          <w:sz w:val="20"/>
          <w:szCs w:val="20"/>
          <w:highlight w:val="yellow"/>
        </w:rPr>
        <w:t>such as</w:t>
      </w:r>
      <w:r>
        <w:rPr>
          <w:rFonts w:ascii="Times New Roman" w:eastAsia="Calibri" w:hAnsi="Times New Roman" w:cs="Times New Roman"/>
          <w:bCs/>
          <w:sz w:val="20"/>
          <w:szCs w:val="20"/>
        </w:rPr>
        <w:t xml:space="preserve"> CT-3 (4.16 mg/kg). However, more substantial reductions were observed at PR-8, where Fe levels decreased from 9.65 mg/kg in the first phase to 3.69 mg/kg in PR-19 </w:t>
      </w:r>
      <w:r>
        <w:rPr>
          <w:rFonts w:ascii="Times New Roman" w:eastAsia="Calibri" w:hAnsi="Times New Roman" w:cs="Times New Roman"/>
          <w:bCs/>
          <w:sz w:val="20"/>
          <w:szCs w:val="20"/>
          <w:highlight w:val="yellow"/>
        </w:rPr>
        <w:t>in the</w:t>
      </w:r>
      <w:r>
        <w:rPr>
          <w:rFonts w:ascii="Times New Roman" w:eastAsia="Calibri" w:hAnsi="Times New Roman" w:cs="Times New Roman"/>
          <w:bCs/>
          <w:sz w:val="20"/>
          <w:szCs w:val="20"/>
        </w:rPr>
        <w:t xml:space="preserve"> second phase, approaching control values. Some sample points, such as PR-17 (5.10 mg/kg), still exhibited Fe concentrations above control values in the second phase</w:t>
      </w:r>
      <w:r>
        <w:rPr>
          <w:rFonts w:ascii="Times New Roman" w:eastAsia="Calibri" w:hAnsi="Times New Roman" w:cs="Times New Roman"/>
          <w:bCs/>
          <w:sz w:val="20"/>
          <w:szCs w:val="20"/>
          <w:highlight w:val="yellow"/>
        </w:rPr>
        <w:t xml:space="preserve"> and</w:t>
      </w:r>
      <w:r>
        <w:rPr>
          <w:rFonts w:ascii="Times New Roman" w:eastAsia="Calibri" w:hAnsi="Times New Roman" w:cs="Times New Roman"/>
          <w:bCs/>
          <w:sz w:val="20"/>
          <w:szCs w:val="20"/>
        </w:rPr>
        <w:t xml:space="preserve"> beyond the </w:t>
      </w:r>
      <w:r>
        <w:rPr>
          <w:rFonts w:ascii="Times New Roman" w:eastAsia="Calibri" w:hAnsi="Times New Roman" w:cs="Times New Roman"/>
          <w:bCs/>
          <w:color w:val="2660F0"/>
          <w:sz w:val="20"/>
          <w:szCs w:val="20"/>
        </w:rPr>
        <w:t>USEPA</w:t>
      </w:r>
      <w:r>
        <w:rPr>
          <w:rFonts w:ascii="Times New Roman" w:eastAsia="Calibri" w:hAnsi="Times New Roman" w:cs="Times New Roman"/>
          <w:bCs/>
          <w:sz w:val="20"/>
          <w:szCs w:val="20"/>
        </w:rPr>
        <w:t xml:space="preserve"> (</w:t>
      </w:r>
      <w:r>
        <w:rPr>
          <w:rFonts w:ascii="Times New Roman" w:eastAsia="Calibri" w:hAnsi="Times New Roman" w:cs="Times New Roman"/>
          <w:bCs/>
          <w:color w:val="2660F0"/>
          <w:sz w:val="20"/>
          <w:szCs w:val="20"/>
        </w:rPr>
        <w:t>2011</w:t>
      </w:r>
      <w:r>
        <w:rPr>
          <w:rFonts w:ascii="Times New Roman" w:eastAsia="Calibri" w:hAnsi="Times New Roman" w:cs="Times New Roman"/>
          <w:bCs/>
          <w:sz w:val="20"/>
          <w:szCs w:val="20"/>
        </w:rPr>
        <w:t>) environmental standards. The mixed results suggest that</w:t>
      </w:r>
      <w:r>
        <w:rPr>
          <w:rFonts w:ascii="Times New Roman" w:eastAsia="Calibri" w:hAnsi="Times New Roman" w:cs="Times New Roman"/>
          <w:bCs/>
          <w:sz w:val="20"/>
          <w:szCs w:val="20"/>
          <w:highlight w:val="yellow"/>
        </w:rPr>
        <w:t>,</w:t>
      </w:r>
      <w:r>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highlight w:val="yellow"/>
        </w:rPr>
        <w:t>alt</w:t>
      </w:r>
      <w:r>
        <w:rPr>
          <w:rFonts w:ascii="Times New Roman" w:eastAsia="Calibri" w:hAnsi="Times New Roman" w:cs="Times New Roman"/>
          <w:bCs/>
          <w:sz w:val="20"/>
          <w:szCs w:val="20"/>
        </w:rPr>
        <w:t>h</w:t>
      </w:r>
      <w:r>
        <w:rPr>
          <w:rFonts w:ascii="Times New Roman" w:eastAsia="Calibri" w:hAnsi="Times New Roman" w:cs="Times New Roman"/>
          <w:bCs/>
          <w:sz w:val="20"/>
          <w:szCs w:val="20"/>
          <w:highlight w:val="yellow"/>
        </w:rPr>
        <w:t>ough</w:t>
      </w:r>
      <w:r>
        <w:rPr>
          <w:rFonts w:ascii="Times New Roman" w:eastAsia="Calibri" w:hAnsi="Times New Roman" w:cs="Times New Roman"/>
          <w:bCs/>
          <w:sz w:val="20"/>
          <w:szCs w:val="20"/>
        </w:rPr>
        <w:t xml:space="preserve"> there was an overall reduction in Fe, targeted effort</w:t>
      </w:r>
      <w:r>
        <w:rPr>
          <w:rFonts w:ascii="Times New Roman" w:eastAsia="Calibri" w:hAnsi="Times New Roman" w:cs="Times New Roman"/>
          <w:bCs/>
          <w:sz w:val="20"/>
          <w:szCs w:val="20"/>
          <w:highlight w:val="yellow"/>
        </w:rPr>
        <w:t>s</w:t>
      </w:r>
      <w:r>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highlight w:val="yellow"/>
        </w:rPr>
        <w:t>are</w:t>
      </w:r>
      <w:r>
        <w:rPr>
          <w:rFonts w:ascii="Times New Roman" w:eastAsia="Calibri" w:hAnsi="Times New Roman" w:cs="Times New Roman"/>
          <w:bCs/>
          <w:sz w:val="20"/>
          <w:szCs w:val="20"/>
        </w:rPr>
        <w:t xml:space="preserve"> needed </w:t>
      </w:r>
      <w:r>
        <w:rPr>
          <w:rFonts w:ascii="Times New Roman" w:eastAsia="Calibri" w:hAnsi="Times New Roman" w:cs="Times New Roman"/>
          <w:bCs/>
          <w:sz w:val="20"/>
          <w:szCs w:val="20"/>
          <w:highlight w:val="yellow"/>
        </w:rPr>
        <w:t>t</w:t>
      </w:r>
      <w:r>
        <w:rPr>
          <w:rFonts w:ascii="Times New Roman" w:eastAsia="Calibri" w:hAnsi="Times New Roman" w:cs="Times New Roman"/>
          <w:bCs/>
          <w:sz w:val="20"/>
          <w:szCs w:val="20"/>
        </w:rPr>
        <w:t>o</w:t>
      </w:r>
      <w:r>
        <w:rPr>
          <w:rFonts w:ascii="Times New Roman" w:eastAsia="Calibri" w:hAnsi="Times New Roman" w:cs="Times New Roman"/>
          <w:bCs/>
          <w:sz w:val="20"/>
          <w:szCs w:val="20"/>
          <w:highlight w:val="yellow"/>
        </w:rPr>
        <w:t xml:space="preserve"> achieve</w:t>
      </w:r>
      <w:r>
        <w:rPr>
          <w:rFonts w:ascii="Times New Roman" w:eastAsia="Calibri" w:hAnsi="Times New Roman" w:cs="Times New Roman"/>
          <w:bCs/>
          <w:sz w:val="20"/>
          <w:szCs w:val="20"/>
        </w:rPr>
        <w:t xml:space="preserve"> uniform compliance (</w:t>
      </w:r>
      <w:r>
        <w:rPr>
          <w:rFonts w:ascii="Times New Roman" w:eastAsia="Calibri" w:hAnsi="Times New Roman" w:cs="Times New Roman"/>
          <w:bCs/>
          <w:color w:val="2660F0"/>
          <w:sz w:val="20"/>
          <w:szCs w:val="20"/>
        </w:rPr>
        <w:t>Aloa et al., 2024</w:t>
      </w:r>
      <w:r>
        <w:rPr>
          <w:rFonts w:ascii="Times New Roman" w:eastAsia="Calibri" w:hAnsi="Times New Roman" w:cs="Times New Roman"/>
          <w:bCs/>
          <w:sz w:val="20"/>
          <w:szCs w:val="20"/>
        </w:rPr>
        <w:t>).</w:t>
      </w:r>
    </w:p>
    <w:p w14:paraId="39DF88F6" w14:textId="77777777" w:rsidR="00E7114B" w:rsidRDefault="00E7114B" w:rsidP="00323944">
      <w:pPr>
        <w:spacing w:after="0" w:line="240" w:lineRule="auto"/>
        <w:jc w:val="both"/>
        <w:rPr>
          <w:rFonts w:ascii="Times New Roman" w:eastAsia="Calibri" w:hAnsi="Times New Roman" w:cs="Times New Roman"/>
          <w:sz w:val="20"/>
          <w:szCs w:val="20"/>
        </w:rPr>
      </w:pPr>
    </w:p>
    <w:p w14:paraId="4F961457" w14:textId="77777777" w:rsidR="00D333EB" w:rsidRDefault="00D333EB" w:rsidP="00323944">
      <w:pPr>
        <w:spacing w:after="0" w:line="240" w:lineRule="auto"/>
        <w:jc w:val="center"/>
        <w:rPr>
          <w:rFonts w:ascii="Times New Roman" w:eastAsia="Calibri" w:hAnsi="Times New Roman" w:cs="Times New Roman"/>
          <w:b/>
          <w:sz w:val="20"/>
          <w:szCs w:val="20"/>
        </w:rPr>
      </w:pPr>
      <w:r w:rsidRPr="00410F50">
        <w:rPr>
          <w:rFonts w:ascii="Times New Roman" w:eastAsia="Calibri" w:hAnsi="Times New Roman" w:cs="Times New Roman"/>
          <w:b/>
          <w:noProof/>
          <w:sz w:val="20"/>
          <w:szCs w:val="20"/>
        </w:rPr>
        <w:drawing>
          <wp:inline distT="0" distB="0" distL="0" distR="0" wp14:anchorId="00EC9687" wp14:editId="1F27E991">
            <wp:extent cx="5467350" cy="2181225"/>
            <wp:effectExtent l="0" t="0" r="0" b="9525"/>
            <wp:docPr id="15" name="Chart 15">
              <a:extLst xmlns:a="http://schemas.openxmlformats.org/drawingml/2006/main">
                <a:ext uri="{FF2B5EF4-FFF2-40B4-BE49-F238E27FC236}">
                  <a16:creationId xmlns:a16="http://schemas.microsoft.com/office/drawing/2014/main" id="{2532ED28-4A49-E09F-71A5-7723DA5CDC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B9738AD" w14:textId="77777777" w:rsidR="00D333EB" w:rsidRDefault="00D333EB" w:rsidP="00323944">
      <w:pPr>
        <w:spacing w:after="0" w:line="240" w:lineRule="auto"/>
        <w:jc w:val="center"/>
        <w:rPr>
          <w:rFonts w:ascii="Times New Roman" w:eastAsia="Calibri" w:hAnsi="Times New Roman" w:cs="Times New Roman"/>
          <w:b/>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943A51">
        <w:rPr>
          <w:rFonts w:ascii="Times New Roman" w:eastAsia="Calibri" w:hAnsi="Times New Roman" w:cs="Times New Roman"/>
          <w:b/>
          <w:bCs/>
          <w:sz w:val="20"/>
          <w:szCs w:val="20"/>
        </w:rPr>
        <w:t>15</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iron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03663458" w14:textId="77777777" w:rsidR="00256BCB" w:rsidRDefault="00256BCB" w:rsidP="00256BCB">
      <w:pPr>
        <w:spacing w:after="0" w:line="240" w:lineRule="auto"/>
        <w:ind w:firstLine="450"/>
        <w:jc w:val="both"/>
        <w:rPr>
          <w:rFonts w:ascii="Times New Roman" w:eastAsia="Calibri" w:hAnsi="Times New Roman" w:cs="Times New Roman"/>
          <w:sz w:val="20"/>
          <w:szCs w:val="20"/>
        </w:rPr>
      </w:pPr>
    </w:p>
    <w:p w14:paraId="02F2D23D" w14:textId="139C58DD" w:rsidR="00256BCB" w:rsidRPr="000C7FB6" w:rsidRDefault="00256BCB" w:rsidP="00256BCB">
      <w:pPr>
        <w:spacing w:after="0" w:line="240" w:lineRule="auto"/>
        <w:ind w:firstLine="450"/>
        <w:jc w:val="both"/>
        <w:rPr>
          <w:rFonts w:ascii="Times New Roman" w:eastAsia="Calibri" w:hAnsi="Times New Roman" w:cs="Times New Roman"/>
          <w:bCs/>
          <w:sz w:val="20"/>
          <w:szCs w:val="20"/>
        </w:rPr>
      </w:pPr>
      <w:r>
        <w:rPr>
          <w:rFonts w:ascii="Times New Roman" w:eastAsia="Calibri" w:hAnsi="Times New Roman" w:cs="Times New Roman"/>
          <w:sz w:val="20"/>
          <w:szCs w:val="20"/>
        </w:rPr>
        <w:t xml:space="preserve">The spatiotemporal pattern indicates that Fe contamination was predominantly </w:t>
      </w:r>
      <w:r>
        <w:rPr>
          <w:rFonts w:ascii="Times New Roman" w:eastAsia="Calibri" w:hAnsi="Times New Roman" w:cs="Times New Roman"/>
          <w:sz w:val="20"/>
          <w:szCs w:val="20"/>
          <w:highlight w:val="yellow"/>
        </w:rPr>
        <w:t>di</w:t>
      </w:r>
      <w:r>
        <w:rPr>
          <w:rFonts w:ascii="Times New Roman" w:eastAsia="Calibri" w:hAnsi="Times New Roman" w:cs="Times New Roman"/>
          <w:sz w:val="20"/>
          <w:szCs w:val="20"/>
        </w:rPr>
        <w:t>s</w:t>
      </w:r>
      <w:r>
        <w:rPr>
          <w:rFonts w:ascii="Times New Roman" w:eastAsia="Calibri" w:hAnsi="Times New Roman" w:cs="Times New Roman"/>
          <w:sz w:val="20"/>
          <w:szCs w:val="20"/>
          <w:highlight w:val="yellow"/>
        </w:rPr>
        <w:t>t</w:t>
      </w:r>
      <w:r>
        <w:rPr>
          <w:rFonts w:ascii="Times New Roman" w:eastAsia="Calibri" w:hAnsi="Times New Roman" w:cs="Times New Roman"/>
          <w:sz w:val="20"/>
          <w:szCs w:val="20"/>
        </w:rPr>
        <w:t>r</w:t>
      </w:r>
      <w:r>
        <w:rPr>
          <w:rFonts w:ascii="Times New Roman" w:eastAsia="Calibri" w:hAnsi="Times New Roman" w:cs="Times New Roman"/>
          <w:sz w:val="20"/>
          <w:szCs w:val="20"/>
          <w:highlight w:val="yellow"/>
        </w:rPr>
        <w:t>ibut</w:t>
      </w:r>
      <w:r>
        <w:rPr>
          <w:rFonts w:ascii="Times New Roman" w:eastAsia="Calibri" w:hAnsi="Times New Roman" w:cs="Times New Roman"/>
          <w:sz w:val="20"/>
          <w:szCs w:val="20"/>
        </w:rPr>
        <w:t>ed across the southern part of the study site (</w:t>
      </w:r>
      <w:r>
        <w:rPr>
          <w:rFonts w:ascii="Times New Roman" w:eastAsia="Calibri" w:hAnsi="Times New Roman" w:cs="Times New Roman"/>
          <w:color w:val="2660F0"/>
          <w:sz w:val="20"/>
          <w:szCs w:val="20"/>
        </w:rPr>
        <w:t>Hazarika et al., 202</w:t>
      </w:r>
      <w:r w:rsidR="00592893">
        <w:rPr>
          <w:rFonts w:ascii="Times New Roman" w:eastAsia="Calibri" w:hAnsi="Times New Roman" w:cs="Times New Roman"/>
          <w:color w:val="2660F0"/>
          <w:sz w:val="20"/>
          <w:szCs w:val="20"/>
        </w:rPr>
        <w:t>4</w:t>
      </w:r>
      <w:r>
        <w:rPr>
          <w:rFonts w:ascii="Times New Roman" w:eastAsia="Calibri" w:hAnsi="Times New Roman" w:cs="Times New Roman"/>
          <w:sz w:val="20"/>
          <w:szCs w:val="20"/>
        </w:rPr>
        <w:t xml:space="preserve">), with medium concentrations in the northern part during the first phase, as shown in </w:t>
      </w:r>
      <w:r>
        <w:rPr>
          <w:rFonts w:ascii="Times New Roman" w:eastAsia="Calibri" w:hAnsi="Times New Roman" w:cs="Times New Roman"/>
          <w:color w:val="2660F0"/>
          <w:sz w:val="20"/>
          <w:szCs w:val="20"/>
        </w:rPr>
        <w:t>Fig. 16(a)</w:t>
      </w:r>
      <w:r>
        <w:rPr>
          <w:rFonts w:ascii="Times New Roman" w:eastAsia="Calibri" w:hAnsi="Times New Roman" w:cs="Times New Roman"/>
          <w:sz w:val="20"/>
          <w:szCs w:val="20"/>
        </w:rPr>
        <w:t xml:space="preserve">. </w:t>
      </w:r>
      <w:r>
        <w:rPr>
          <w:rFonts w:ascii="Times New Roman" w:eastAsia="Calibri" w:hAnsi="Times New Roman" w:cs="Times New Roman"/>
          <w:sz w:val="20"/>
          <w:szCs w:val="20"/>
          <w:highlight w:val="yellow"/>
        </w:rPr>
        <w:t>O</w:t>
      </w:r>
      <w:r>
        <w:rPr>
          <w:rFonts w:ascii="Times New Roman" w:eastAsia="Calibri" w:hAnsi="Times New Roman" w:cs="Times New Roman"/>
          <w:sz w:val="20"/>
          <w:szCs w:val="20"/>
        </w:rPr>
        <w:t>n the second</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phase map, these medium Fe levels in the north</w:t>
      </w:r>
      <w:r>
        <w:rPr>
          <w:rFonts w:ascii="Times New Roman" w:eastAsia="Calibri" w:hAnsi="Times New Roman" w:cs="Times New Roman"/>
          <w:sz w:val="20"/>
          <w:szCs w:val="20"/>
          <w:highlight w:val="yellow"/>
        </w:rPr>
        <w:t xml:space="preserve"> were</w:t>
      </w:r>
      <w:r>
        <w:rPr>
          <w:rFonts w:ascii="Times New Roman" w:eastAsia="Calibri" w:hAnsi="Times New Roman" w:cs="Times New Roman"/>
          <w:sz w:val="20"/>
          <w:szCs w:val="20"/>
        </w:rPr>
        <w:t xml:space="preserve"> reduced to lower concentrations, as illustrated in Fig. </w:t>
      </w:r>
      <w:r>
        <w:rPr>
          <w:rFonts w:ascii="Times New Roman" w:eastAsia="Calibri" w:hAnsi="Times New Roman" w:cs="Times New Roman"/>
          <w:color w:val="2660F0"/>
          <w:sz w:val="20"/>
          <w:szCs w:val="20"/>
        </w:rPr>
        <w:t>16(b)</w:t>
      </w:r>
      <w:r>
        <w:rPr>
          <w:rFonts w:ascii="Times New Roman" w:eastAsia="Calibri" w:hAnsi="Times New Roman" w:cs="Times New Roman"/>
          <w:sz w:val="20"/>
          <w:szCs w:val="20"/>
        </w:rPr>
        <w:t>. These trends suggest high flux in the southern and northern parts</w:t>
      </w:r>
      <w:r>
        <w:rPr>
          <w:rFonts w:ascii="Times New Roman" w:eastAsia="Calibri" w:hAnsi="Times New Roman" w:cs="Times New Roman"/>
          <w:sz w:val="20"/>
          <w:szCs w:val="20"/>
          <w:highlight w:val="yellow"/>
        </w:rPr>
        <w:t xml:space="preserve"> of the site</w:t>
      </w:r>
      <w:r>
        <w:rPr>
          <w:rFonts w:ascii="Times New Roman" w:eastAsia="Calibri" w:hAnsi="Times New Roman" w:cs="Times New Roman"/>
          <w:sz w:val="20"/>
          <w:szCs w:val="20"/>
        </w:rPr>
        <w:t xml:space="preserve"> (</w:t>
      </w:r>
      <w:r>
        <w:rPr>
          <w:rFonts w:ascii="Times New Roman" w:eastAsia="Calibri" w:hAnsi="Times New Roman" w:cs="Times New Roman"/>
          <w:color w:val="2660F0"/>
          <w:sz w:val="20"/>
          <w:szCs w:val="20"/>
        </w:rPr>
        <w:t>Mohamed et al., 2024</w:t>
      </w:r>
      <w:r>
        <w:rPr>
          <w:rFonts w:ascii="Times New Roman" w:eastAsia="Calibri" w:hAnsi="Times New Roman" w:cs="Times New Roman"/>
          <w:sz w:val="20"/>
          <w:szCs w:val="20"/>
        </w:rPr>
        <w:t xml:space="preserve">). However, </w:t>
      </w:r>
      <w:r>
        <w:rPr>
          <w:rFonts w:ascii="Times New Roman" w:eastAsia="Calibri" w:hAnsi="Times New Roman" w:cs="Times New Roman"/>
          <w:sz w:val="20"/>
          <w:szCs w:val="20"/>
          <w:highlight w:val="yellow"/>
        </w:rPr>
        <w:t>becau</w:t>
      </w:r>
      <w:r>
        <w:rPr>
          <w:rFonts w:ascii="Times New Roman" w:eastAsia="Calibri" w:hAnsi="Times New Roman" w:cs="Times New Roman"/>
          <w:sz w:val="20"/>
          <w:szCs w:val="20"/>
        </w:rPr>
        <w:t>se Fe concentrations in the south are still greater than</w:t>
      </w:r>
      <w:r>
        <w:rPr>
          <w:rFonts w:ascii="Times New Roman" w:eastAsia="Calibri" w:hAnsi="Times New Roman" w:cs="Times New Roman"/>
          <w:sz w:val="20"/>
          <w:szCs w:val="20"/>
          <w:highlight w:val="yellow"/>
        </w:rPr>
        <w:t xml:space="preserve"> those</w:t>
      </w:r>
      <w:r>
        <w:rPr>
          <w:rFonts w:ascii="Times New Roman" w:eastAsia="Calibri" w:hAnsi="Times New Roman" w:cs="Times New Roman"/>
          <w:sz w:val="20"/>
          <w:szCs w:val="20"/>
        </w:rPr>
        <w:t xml:space="preserve"> in the north, additional reductions are needed to balance the distribution and achieve uniform environmental quality (</w:t>
      </w:r>
      <w:proofErr w:type="spellStart"/>
      <w:r>
        <w:rPr>
          <w:rFonts w:ascii="Times New Roman" w:hAnsi="Times New Roman" w:cs="Times New Roman"/>
          <w:color w:val="2660F0"/>
          <w:sz w:val="20"/>
          <w:szCs w:val="20"/>
        </w:rPr>
        <w:t>Ghrefat</w:t>
      </w:r>
      <w:proofErr w:type="spellEnd"/>
      <w:r>
        <w:rPr>
          <w:rFonts w:ascii="Times New Roman" w:hAnsi="Times New Roman" w:cs="Times New Roman"/>
          <w:color w:val="2660F0"/>
          <w:sz w:val="20"/>
          <w:szCs w:val="20"/>
        </w:rPr>
        <w:t xml:space="preserve"> et al., 2021</w:t>
      </w:r>
      <w:r>
        <w:rPr>
          <w:rFonts w:ascii="Times New Roman" w:eastAsia="Calibri" w:hAnsi="Times New Roman" w:cs="Times New Roman"/>
          <w:sz w:val="20"/>
          <w:szCs w:val="20"/>
        </w:rPr>
        <w:t>).</w:t>
      </w:r>
    </w:p>
    <w:p w14:paraId="38781F77" w14:textId="77777777" w:rsidR="00D333EB" w:rsidRDefault="00D333EB" w:rsidP="00323944">
      <w:pPr>
        <w:spacing w:after="0" w:line="240" w:lineRule="auto"/>
        <w:jc w:val="both"/>
        <w:rPr>
          <w:rFonts w:ascii="Times New Roman" w:eastAsia="Calibri" w:hAnsi="Times New Roman" w:cs="Times New Roman"/>
          <w:sz w:val="20"/>
          <w:szCs w:val="20"/>
        </w:rPr>
      </w:pPr>
    </w:p>
    <w:p w14:paraId="735BDFA3" w14:textId="77777777" w:rsidR="001A1797" w:rsidRDefault="001A1797" w:rsidP="00323944">
      <w:pPr>
        <w:spacing w:after="0" w:line="240" w:lineRule="auto"/>
        <w:jc w:val="center"/>
        <w:rPr>
          <w:rFonts w:ascii="Times New Roman" w:eastAsia="Calibri" w:hAnsi="Times New Roman" w:cs="Times New Roman"/>
          <w:sz w:val="20"/>
          <w:szCs w:val="20"/>
        </w:rPr>
      </w:pPr>
      <w:r w:rsidRPr="001A1797">
        <w:rPr>
          <w:rFonts w:ascii="Times New Roman" w:eastAsia="Calibri" w:hAnsi="Times New Roman" w:cs="Times New Roman"/>
          <w:noProof/>
          <w:sz w:val="20"/>
          <w:szCs w:val="20"/>
        </w:rPr>
        <w:lastRenderedPageBreak/>
        <w:drawing>
          <wp:inline distT="0" distB="0" distL="0" distR="0" wp14:anchorId="663262A6" wp14:editId="2E47F460">
            <wp:extent cx="4539600" cy="3034800"/>
            <wp:effectExtent l="0" t="0" r="0" b="635"/>
            <wp:docPr id="21" name="Picture 1">
              <a:extLst xmlns:a="http://schemas.openxmlformats.org/drawingml/2006/main">
                <a:ext uri="{FF2B5EF4-FFF2-40B4-BE49-F238E27FC236}">
                  <a16:creationId xmlns:a16="http://schemas.microsoft.com/office/drawing/2014/main" id="{5B65E02E-C884-C668-EC34-B1FC41334B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5B65E02E-C884-C668-EC34-B1FC41334B95}"/>
                        </a:ext>
                      </a:extLst>
                    </pic:cNvPr>
                    <pic:cNvPicPr>
                      <a:picLocks noChangeAspect="1"/>
                    </pic:cNvPicPr>
                  </pic:nvPicPr>
                  <pic:blipFill rotWithShape="1">
                    <a:blip r:embed="rId28"/>
                    <a:srcRect b="3855"/>
                    <a:stretch/>
                  </pic:blipFill>
                  <pic:spPr>
                    <a:xfrm>
                      <a:off x="0" y="0"/>
                      <a:ext cx="4539600" cy="3034800"/>
                    </a:xfrm>
                    <a:prstGeom prst="rect">
                      <a:avLst/>
                    </a:prstGeom>
                  </pic:spPr>
                </pic:pic>
              </a:graphicData>
            </a:graphic>
          </wp:inline>
        </w:drawing>
      </w:r>
    </w:p>
    <w:p w14:paraId="269F6508" w14:textId="77777777" w:rsidR="001A1797" w:rsidRDefault="001A1797" w:rsidP="00323944">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Pr>
          <w:rFonts w:ascii="Times New Roman" w:eastAsia="Calibri" w:hAnsi="Times New Roman" w:cs="Times New Roman"/>
          <w:b/>
          <w:bCs/>
          <w:sz w:val="20"/>
          <w:szCs w:val="20"/>
        </w:rPr>
        <w:t>6</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w:t>
      </w:r>
      <w:r w:rsidR="00477243">
        <w:rPr>
          <w:rFonts w:ascii="Times New Roman" w:eastAsia="Calibri" w:hAnsi="Times New Roman" w:cs="Times New Roman"/>
          <w:sz w:val="20"/>
          <w:szCs w:val="20"/>
        </w:rPr>
        <w:t>iotemporal</w:t>
      </w:r>
      <w:r w:rsidRPr="00154C63">
        <w:rPr>
          <w:rFonts w:ascii="Times New Roman" w:eastAsia="Calibri" w:hAnsi="Times New Roman" w:cs="Times New Roman"/>
          <w:sz w:val="20"/>
          <w:szCs w:val="20"/>
        </w:rPr>
        <w:t xml:space="preserve"> distribution of </w:t>
      </w:r>
      <w:r w:rsidR="00293E2A">
        <w:rPr>
          <w:rFonts w:ascii="Times New Roman" w:eastAsia="Calibri" w:hAnsi="Times New Roman" w:cs="Times New Roman"/>
          <w:sz w:val="20"/>
          <w:szCs w:val="20"/>
        </w:rPr>
        <w:t>i</w:t>
      </w:r>
      <w:r>
        <w:rPr>
          <w:rFonts w:ascii="Times New Roman" w:eastAsia="Calibri" w:hAnsi="Times New Roman" w:cs="Times New Roman"/>
          <w:sz w:val="20"/>
          <w:szCs w:val="20"/>
        </w:rPr>
        <w:t>ron</w:t>
      </w:r>
      <w:r w:rsidRPr="00154C63">
        <w:rPr>
          <w:rFonts w:ascii="Times New Roman" w:eastAsia="Calibri" w:hAnsi="Times New Roman" w:cs="Times New Roman"/>
          <w:sz w:val="20"/>
          <w:szCs w:val="20"/>
        </w:rPr>
        <w:t xml:space="preserve"> for the first and second sampling phases</w:t>
      </w:r>
    </w:p>
    <w:bookmarkEnd w:id="15"/>
    <w:p w14:paraId="4BF39E46" w14:textId="77777777" w:rsidR="00AA3B76" w:rsidRDefault="00AA3B76" w:rsidP="00323944">
      <w:pPr>
        <w:spacing w:after="0" w:line="240" w:lineRule="auto"/>
        <w:jc w:val="both"/>
        <w:rPr>
          <w:rFonts w:ascii="Times New Roman" w:eastAsia="Calibri" w:hAnsi="Times New Roman" w:cs="Times New Roman"/>
          <w:b/>
          <w:sz w:val="20"/>
          <w:szCs w:val="20"/>
        </w:rPr>
      </w:pPr>
    </w:p>
    <w:p w14:paraId="5C0BD060" w14:textId="77777777" w:rsidR="00D87046" w:rsidRPr="005C7477" w:rsidRDefault="004F00BB" w:rsidP="00381261">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3.2 Pollution Trends and Ecological Risk Shifts</w:t>
      </w:r>
    </w:p>
    <w:p w14:paraId="4C45D0C2" w14:textId="77777777" w:rsidR="00D87046" w:rsidRPr="005C7477" w:rsidRDefault="00D87046" w:rsidP="00381261">
      <w:pPr>
        <w:spacing w:after="0" w:line="240" w:lineRule="auto"/>
        <w:jc w:val="both"/>
        <w:rPr>
          <w:rFonts w:ascii="Times New Roman" w:eastAsia="Calibri" w:hAnsi="Times New Roman" w:cs="Times New Roman"/>
          <w:b/>
          <w:sz w:val="20"/>
          <w:szCs w:val="20"/>
        </w:rPr>
      </w:pPr>
    </w:p>
    <w:p w14:paraId="2D66932C" w14:textId="77777777" w:rsidR="00D87046" w:rsidRPr="005C7477" w:rsidRDefault="00585D53" w:rsidP="00381261">
      <w:pPr>
        <w:spacing w:after="0" w:line="240" w:lineRule="auto"/>
        <w:jc w:val="both"/>
        <w:rPr>
          <w:rFonts w:ascii="Times New Roman" w:eastAsia="Calibri" w:hAnsi="Times New Roman" w:cs="Times New Roman"/>
          <w:b/>
          <w:sz w:val="20"/>
          <w:szCs w:val="20"/>
        </w:rPr>
      </w:pPr>
      <w:r w:rsidRPr="005C7477">
        <w:rPr>
          <w:rFonts w:ascii="Times New Roman" w:eastAsia="Calibri" w:hAnsi="Times New Roman" w:cs="Times New Roman"/>
          <w:b/>
          <w:sz w:val="20"/>
          <w:szCs w:val="20"/>
        </w:rPr>
        <w:t>3</w:t>
      </w:r>
      <w:r w:rsidR="00D87046" w:rsidRPr="005C7477">
        <w:rPr>
          <w:rFonts w:ascii="Times New Roman" w:eastAsia="Calibri" w:hAnsi="Times New Roman" w:cs="Times New Roman"/>
          <w:b/>
          <w:sz w:val="20"/>
          <w:szCs w:val="20"/>
        </w:rPr>
        <w:t>.</w:t>
      </w:r>
      <w:r w:rsidR="004F00BB">
        <w:rPr>
          <w:rFonts w:ascii="Times New Roman" w:eastAsia="Calibri" w:hAnsi="Times New Roman" w:cs="Times New Roman"/>
          <w:b/>
          <w:sz w:val="20"/>
          <w:szCs w:val="20"/>
        </w:rPr>
        <w:t>2.</w:t>
      </w:r>
      <w:r w:rsidR="00D87046" w:rsidRPr="005C7477">
        <w:rPr>
          <w:rFonts w:ascii="Times New Roman" w:eastAsia="Calibri" w:hAnsi="Times New Roman" w:cs="Times New Roman"/>
          <w:b/>
          <w:sz w:val="20"/>
          <w:szCs w:val="20"/>
        </w:rPr>
        <w:t xml:space="preserve">1 </w:t>
      </w:r>
      <w:proofErr w:type="spellStart"/>
      <w:r w:rsidR="00D87046" w:rsidRPr="005C7477">
        <w:rPr>
          <w:rFonts w:ascii="Times New Roman" w:eastAsia="Calibri" w:hAnsi="Times New Roman" w:cs="Times New Roman"/>
          <w:b/>
          <w:sz w:val="20"/>
          <w:szCs w:val="20"/>
        </w:rPr>
        <w:t>Geoaccumulation</w:t>
      </w:r>
      <w:proofErr w:type="spellEnd"/>
      <w:r w:rsidR="00D87046" w:rsidRPr="005C7477">
        <w:rPr>
          <w:rFonts w:ascii="Times New Roman" w:eastAsia="Calibri" w:hAnsi="Times New Roman" w:cs="Times New Roman"/>
          <w:b/>
          <w:sz w:val="20"/>
          <w:szCs w:val="20"/>
        </w:rPr>
        <w:t xml:space="preserve"> Index (</w:t>
      </w:r>
      <w:proofErr w:type="spellStart"/>
      <w:r w:rsidR="00D87046" w:rsidRPr="00F11F37">
        <w:rPr>
          <w:rFonts w:ascii="Times New Roman" w:eastAsia="Calibri" w:hAnsi="Times New Roman" w:cs="Times New Roman"/>
          <w:b/>
          <w:i/>
          <w:iCs/>
          <w:sz w:val="20"/>
          <w:szCs w:val="20"/>
        </w:rPr>
        <w:t>I</w:t>
      </w:r>
      <w:r w:rsidR="00D87046" w:rsidRPr="00F11F37">
        <w:rPr>
          <w:rFonts w:ascii="Times New Roman" w:eastAsia="Calibri" w:hAnsi="Times New Roman" w:cs="Times New Roman"/>
          <w:b/>
          <w:i/>
          <w:iCs/>
          <w:sz w:val="20"/>
          <w:szCs w:val="20"/>
          <w:vertAlign w:val="subscript"/>
        </w:rPr>
        <w:t>geo</w:t>
      </w:r>
      <w:proofErr w:type="spellEnd"/>
      <w:r w:rsidR="00D87046" w:rsidRPr="005C7477">
        <w:rPr>
          <w:rFonts w:ascii="Times New Roman" w:eastAsia="Calibri" w:hAnsi="Times New Roman" w:cs="Times New Roman"/>
          <w:b/>
          <w:sz w:val="20"/>
          <w:szCs w:val="20"/>
        </w:rPr>
        <w:t>)</w:t>
      </w:r>
    </w:p>
    <w:p w14:paraId="5328B9A7" w14:textId="77777777" w:rsidR="00947B9E" w:rsidRDefault="00457A10" w:rsidP="00D859A9">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The Index of </w:t>
      </w:r>
      <w:proofErr w:type="spellStart"/>
      <w:r>
        <w:rPr>
          <w:rFonts w:ascii="Times New Roman" w:eastAsia="Calibri" w:hAnsi="Times New Roman" w:cs="Times New Roman"/>
          <w:sz w:val="20"/>
          <w:szCs w:val="20"/>
        </w:rPr>
        <w:t>Geoaccumulation</w:t>
      </w:r>
      <w:proofErr w:type="spellEnd"/>
      <w:r>
        <w:rPr>
          <w:rFonts w:ascii="Times New Roman" w:eastAsia="Calibri" w:hAnsi="Times New Roman" w:cs="Times New Roman"/>
          <w:sz w:val="20"/>
          <w:szCs w:val="20"/>
        </w:rPr>
        <w:t xml:space="preserve"> (</w:t>
      </w:r>
      <w:proofErr w:type="spellStart"/>
      <w:r>
        <w:rPr>
          <w:rFonts w:ascii="Times New Roman" w:eastAsia="Calibri" w:hAnsi="Times New Roman" w:cs="Times New Roman"/>
          <w:i/>
          <w:iCs/>
          <w:sz w:val="20"/>
          <w:szCs w:val="20"/>
        </w:rPr>
        <w:t>I</w:t>
      </w:r>
      <w:r>
        <w:rPr>
          <w:rFonts w:ascii="Times New Roman" w:eastAsia="Calibri" w:hAnsi="Times New Roman" w:cs="Times New Roman"/>
          <w:i/>
          <w:iCs/>
          <w:sz w:val="20"/>
          <w:szCs w:val="20"/>
          <w:vertAlign w:val="subscript"/>
        </w:rPr>
        <w:t>geo</w:t>
      </w:r>
      <w:proofErr w:type="spellEnd"/>
      <w:r>
        <w:rPr>
          <w:rFonts w:ascii="Times New Roman" w:eastAsia="Calibri" w:hAnsi="Times New Roman" w:cs="Times New Roman"/>
          <w:sz w:val="20"/>
          <w:szCs w:val="20"/>
        </w:rPr>
        <w:t>), int</w:t>
      </w:r>
      <w:r>
        <w:rPr>
          <w:rFonts w:ascii="Times New Roman" w:eastAsia="Calibri" w:hAnsi="Times New Roman" w:cs="Times New Roman"/>
          <w:sz w:val="20"/>
          <w:szCs w:val="20"/>
          <w:highlight w:val="yellow"/>
        </w:rPr>
        <w:t>roduc</w:t>
      </w:r>
      <w:r>
        <w:rPr>
          <w:rFonts w:ascii="Times New Roman" w:eastAsia="Calibri" w:hAnsi="Times New Roman" w:cs="Times New Roman"/>
          <w:sz w:val="20"/>
          <w:szCs w:val="20"/>
        </w:rPr>
        <w:t xml:space="preserve">ed by </w:t>
      </w:r>
      <w:r>
        <w:rPr>
          <w:rFonts w:ascii="Times New Roman" w:eastAsia="Calibri" w:hAnsi="Times New Roman" w:cs="Times New Roman"/>
          <w:color w:val="2660F0"/>
          <w:sz w:val="20"/>
          <w:szCs w:val="20"/>
        </w:rPr>
        <w:t>M</w:t>
      </w:r>
      <w:r>
        <w:rPr>
          <w:rFonts w:ascii="Times New Roman" w:hAnsi="Times New Roman" w:cs="Times New Roman"/>
          <w:color w:val="2660F0"/>
          <w:sz w:val="20"/>
          <w:szCs w:val="20"/>
        </w:rPr>
        <w:t>ü</w:t>
      </w:r>
      <w:r>
        <w:rPr>
          <w:rFonts w:ascii="Times New Roman" w:eastAsia="Calibri" w:hAnsi="Times New Roman" w:cs="Times New Roman"/>
          <w:color w:val="2660F0"/>
          <w:sz w:val="20"/>
          <w:szCs w:val="20"/>
        </w:rPr>
        <w:t>ller</w:t>
      </w:r>
      <w:r>
        <w:rPr>
          <w:rFonts w:ascii="Times New Roman" w:eastAsia="Calibri" w:hAnsi="Times New Roman" w:cs="Times New Roman"/>
          <w:color w:val="000000" w:themeColor="text1"/>
          <w:sz w:val="20"/>
          <w:szCs w:val="20"/>
        </w:rPr>
        <w:t xml:space="preserve"> (</w:t>
      </w:r>
      <w:r>
        <w:rPr>
          <w:rFonts w:ascii="Times New Roman" w:eastAsia="Calibri" w:hAnsi="Times New Roman" w:cs="Times New Roman"/>
          <w:color w:val="2660F0"/>
          <w:sz w:val="20"/>
          <w:szCs w:val="20"/>
        </w:rPr>
        <w:t>1969</w:t>
      </w:r>
      <w:r>
        <w:rPr>
          <w:rFonts w:ascii="Times New Roman" w:eastAsia="Calibri" w:hAnsi="Times New Roman" w:cs="Times New Roman"/>
          <w:color w:val="000000" w:themeColor="text1"/>
          <w:sz w:val="20"/>
          <w:szCs w:val="20"/>
        </w:rPr>
        <w:t xml:space="preserve">), </w:t>
      </w:r>
      <w:r>
        <w:rPr>
          <w:rFonts w:ascii="Times New Roman" w:eastAsia="Calibri" w:hAnsi="Times New Roman" w:cs="Times New Roman"/>
          <w:sz w:val="20"/>
          <w:szCs w:val="20"/>
        </w:rPr>
        <w:t xml:space="preserve">was originally developed to </w:t>
      </w:r>
      <w:r>
        <w:rPr>
          <w:rFonts w:ascii="Times New Roman" w:eastAsia="Calibri" w:hAnsi="Times New Roman" w:cs="Times New Roman"/>
          <w:sz w:val="20"/>
          <w:szCs w:val="20"/>
          <w:highlight w:val="yellow"/>
        </w:rPr>
        <w:t>provi</w:t>
      </w:r>
      <w:r>
        <w:rPr>
          <w:rFonts w:ascii="Times New Roman" w:eastAsia="Calibri" w:hAnsi="Times New Roman" w:cs="Times New Roman"/>
          <w:sz w:val="20"/>
          <w:szCs w:val="20"/>
        </w:rPr>
        <w:t xml:space="preserve">de a quantitative assessment of </w:t>
      </w:r>
      <w:r>
        <w:rPr>
          <w:rFonts w:ascii="Times New Roman" w:eastAsia="Calibri" w:hAnsi="Times New Roman" w:cs="Times New Roman"/>
          <w:sz w:val="20"/>
          <w:szCs w:val="20"/>
          <w:highlight w:val="yellow"/>
        </w:rPr>
        <w:t>me</w:t>
      </w:r>
      <w:r>
        <w:rPr>
          <w:rFonts w:ascii="Times New Roman" w:eastAsia="Calibri" w:hAnsi="Times New Roman" w:cs="Times New Roman"/>
          <w:sz w:val="20"/>
          <w:szCs w:val="20"/>
        </w:rPr>
        <w:t>t</w:t>
      </w:r>
      <w:r>
        <w:rPr>
          <w:rFonts w:ascii="Times New Roman" w:eastAsia="Calibri" w:hAnsi="Times New Roman" w:cs="Times New Roman"/>
          <w:sz w:val="20"/>
          <w:szCs w:val="20"/>
          <w:highlight w:val="yellow"/>
        </w:rPr>
        <w:t>al</w:t>
      </w:r>
      <w:r>
        <w:rPr>
          <w:rFonts w:ascii="Times New Roman" w:eastAsia="Calibri" w:hAnsi="Times New Roman" w:cs="Times New Roman"/>
          <w:sz w:val="20"/>
          <w:szCs w:val="20"/>
        </w:rPr>
        <w:t xml:space="preserve"> concentrations in marine sediments. It has since gained widespread use for estimating </w:t>
      </w:r>
      <w:r>
        <w:rPr>
          <w:rFonts w:ascii="Times New Roman" w:eastAsia="Calibri" w:hAnsi="Times New Roman" w:cs="Times New Roman"/>
          <w:sz w:val="20"/>
          <w:szCs w:val="20"/>
          <w:highlight w:val="yellow"/>
        </w:rPr>
        <w:t xml:space="preserve">metal </w:t>
      </w:r>
      <w:r>
        <w:rPr>
          <w:rFonts w:ascii="Times New Roman" w:eastAsia="Calibri" w:hAnsi="Times New Roman" w:cs="Times New Roman"/>
          <w:sz w:val="20"/>
          <w:szCs w:val="20"/>
        </w:rPr>
        <w:t>pollution in estuarine, riverine, and lacustrine sediments, generating significant interest in environmental science (</w:t>
      </w:r>
      <w:r>
        <w:rPr>
          <w:rFonts w:ascii="Times New Roman" w:eastAsia="Calibri" w:hAnsi="Times New Roman" w:cs="Times New Roman"/>
          <w:color w:val="2660F0"/>
          <w:sz w:val="20"/>
          <w:szCs w:val="20"/>
        </w:rPr>
        <w:t>Ergin et al., 1991</w:t>
      </w:r>
      <w:r>
        <w:rPr>
          <w:rFonts w:ascii="Times New Roman" w:eastAsia="Calibri" w:hAnsi="Times New Roman" w:cs="Times New Roman"/>
          <w:sz w:val="20"/>
          <w:szCs w:val="20"/>
        </w:rPr>
        <w:t xml:space="preserve">). This study assessed the extent and degree of pollution in soil samples using background concentration values provided by </w:t>
      </w:r>
      <w:proofErr w:type="spellStart"/>
      <w:r>
        <w:rPr>
          <w:rFonts w:ascii="Times New Roman" w:eastAsia="Calibri" w:hAnsi="Times New Roman" w:cs="Times New Roman"/>
          <w:color w:val="2660F0"/>
          <w:sz w:val="20"/>
          <w:szCs w:val="20"/>
        </w:rPr>
        <w:t>Turekian</w:t>
      </w:r>
      <w:proofErr w:type="spellEnd"/>
      <w:r>
        <w:rPr>
          <w:rFonts w:ascii="Times New Roman" w:eastAsia="Calibri" w:hAnsi="Times New Roman" w:cs="Times New Roman"/>
          <w:color w:val="2660F0"/>
          <w:sz w:val="20"/>
          <w:szCs w:val="20"/>
        </w:rPr>
        <w:t xml:space="preserve"> </w:t>
      </w:r>
      <w:r>
        <w:rPr>
          <w:rFonts w:ascii="Times New Roman" w:eastAsia="Calibri" w:hAnsi="Times New Roman" w:cs="Times New Roman"/>
          <w:color w:val="2660F0"/>
          <w:sz w:val="20"/>
          <w:szCs w:val="20"/>
          <w:highlight w:val="yellow"/>
        </w:rPr>
        <w:t>and</w:t>
      </w:r>
      <w:r>
        <w:rPr>
          <w:rFonts w:ascii="Times New Roman" w:eastAsia="Calibri" w:hAnsi="Times New Roman" w:cs="Times New Roman"/>
          <w:color w:val="2660F0"/>
          <w:sz w:val="20"/>
          <w:szCs w:val="20"/>
        </w:rPr>
        <w:t xml:space="preserve"> </w:t>
      </w:r>
      <w:proofErr w:type="spellStart"/>
      <w:r>
        <w:rPr>
          <w:rFonts w:ascii="Times New Roman" w:eastAsia="Calibri" w:hAnsi="Times New Roman" w:cs="Times New Roman"/>
          <w:color w:val="2660F0"/>
          <w:sz w:val="20"/>
          <w:szCs w:val="20"/>
        </w:rPr>
        <w:t>Wedepohl</w:t>
      </w:r>
      <w:proofErr w:type="spellEnd"/>
      <w:r>
        <w:rPr>
          <w:rFonts w:ascii="Times New Roman" w:eastAsia="Calibri" w:hAnsi="Times New Roman" w:cs="Times New Roman"/>
          <w:color w:val="2660F0"/>
          <w:sz w:val="20"/>
          <w:szCs w:val="20"/>
        </w:rPr>
        <w:t xml:space="preserve"> </w:t>
      </w:r>
      <w:r>
        <w:rPr>
          <w:rFonts w:ascii="Times New Roman" w:eastAsia="Calibri" w:hAnsi="Times New Roman" w:cs="Times New Roman"/>
          <w:sz w:val="20"/>
          <w:szCs w:val="20"/>
        </w:rPr>
        <w:t>(</w:t>
      </w:r>
      <w:r>
        <w:rPr>
          <w:rFonts w:ascii="Times New Roman" w:eastAsia="Calibri" w:hAnsi="Times New Roman" w:cs="Times New Roman"/>
          <w:color w:val="2660F0"/>
          <w:sz w:val="20"/>
          <w:szCs w:val="20"/>
        </w:rPr>
        <w:t>196</w:t>
      </w:r>
      <w:r>
        <w:rPr>
          <w:rFonts w:ascii="Times New Roman" w:eastAsia="Calibri" w:hAnsi="Times New Roman" w:cs="Times New Roman"/>
          <w:color w:val="2660F0"/>
          <w:sz w:val="20"/>
          <w:szCs w:val="20"/>
          <w:highlight w:val="yellow"/>
        </w:rPr>
        <w:t>1</w:t>
      </w:r>
      <w:r>
        <w:rPr>
          <w:rFonts w:ascii="Times New Roman" w:eastAsia="Calibri" w:hAnsi="Times New Roman" w:cs="Times New Roman"/>
          <w:sz w:val="20"/>
          <w:szCs w:val="20"/>
        </w:rPr>
        <w:t>).</w:t>
      </w:r>
    </w:p>
    <w:p w14:paraId="5C671E1F" w14:textId="77777777" w:rsidR="00947B9E" w:rsidRDefault="00947B9E" w:rsidP="00225BA0">
      <w:pPr>
        <w:spacing w:after="0" w:line="240" w:lineRule="auto"/>
        <w:jc w:val="both"/>
        <w:rPr>
          <w:rFonts w:ascii="Times New Roman" w:eastAsia="Calibri" w:hAnsi="Times New Roman" w:cs="Times New Roman"/>
          <w:sz w:val="20"/>
          <w:szCs w:val="20"/>
        </w:rPr>
      </w:pPr>
    </w:p>
    <w:p w14:paraId="7AFB7F06" w14:textId="77777777" w:rsidR="00947B9E" w:rsidRPr="00763151" w:rsidRDefault="00947B9E" w:rsidP="00947B9E">
      <w:pPr>
        <w:spacing w:after="0" w:line="276" w:lineRule="auto"/>
        <w:jc w:val="center"/>
        <w:rPr>
          <w:rFonts w:ascii="Times New Roman" w:eastAsia="Calibri" w:hAnsi="Times New Roman" w:cs="Times New Roman"/>
          <w:b/>
          <w:sz w:val="20"/>
          <w:szCs w:val="20"/>
        </w:rPr>
      </w:pPr>
      <w:r w:rsidRPr="00763151">
        <w:rPr>
          <w:rFonts w:ascii="Times New Roman" w:eastAsia="Calibri" w:hAnsi="Times New Roman" w:cs="Times New Roman"/>
          <w:b/>
          <w:sz w:val="20"/>
          <w:szCs w:val="20"/>
        </w:rPr>
        <w:t xml:space="preserve">Table </w:t>
      </w:r>
      <w:r w:rsidR="00144AA3">
        <w:rPr>
          <w:rFonts w:ascii="Times New Roman" w:eastAsia="Calibri" w:hAnsi="Times New Roman" w:cs="Times New Roman"/>
          <w:b/>
          <w:sz w:val="20"/>
          <w:szCs w:val="20"/>
        </w:rPr>
        <w:t>7</w:t>
      </w:r>
      <w:r>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proofErr w:type="spellStart"/>
      <w:r w:rsidRPr="0001665F">
        <w:rPr>
          <w:rFonts w:ascii="Times New Roman" w:eastAsia="Calibri" w:hAnsi="Times New Roman" w:cs="Times New Roman"/>
          <w:bCs/>
          <w:sz w:val="20"/>
          <w:szCs w:val="20"/>
        </w:rPr>
        <w:t>Geoaccumulation</w:t>
      </w:r>
      <w:proofErr w:type="spellEnd"/>
      <w:r w:rsidRPr="0001665F">
        <w:rPr>
          <w:rFonts w:ascii="Times New Roman" w:eastAsia="Calibri" w:hAnsi="Times New Roman" w:cs="Times New Roman"/>
          <w:bCs/>
          <w:sz w:val="20"/>
          <w:szCs w:val="20"/>
        </w:rPr>
        <w:t xml:space="preserve"> Index values</w:t>
      </w:r>
    </w:p>
    <w:tbl>
      <w:tblPr>
        <w:tblStyle w:val="TableGrid2"/>
        <w:tblW w:w="868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1067"/>
        <w:gridCol w:w="1219"/>
        <w:gridCol w:w="1067"/>
        <w:gridCol w:w="1032"/>
        <w:gridCol w:w="950"/>
        <w:gridCol w:w="1067"/>
        <w:gridCol w:w="914"/>
      </w:tblGrid>
      <w:tr w:rsidR="00947B9E" w:rsidRPr="00763151" w14:paraId="7FD57CF8" w14:textId="77777777" w:rsidTr="00602F28">
        <w:trPr>
          <w:trHeight w:val="63"/>
          <w:jc w:val="center"/>
        </w:trPr>
        <w:tc>
          <w:tcPr>
            <w:tcW w:w="1372" w:type="dxa"/>
            <w:tcBorders>
              <w:top w:val="single" w:sz="4" w:space="0" w:color="auto"/>
              <w:left w:val="nil"/>
              <w:bottom w:val="single" w:sz="4" w:space="0" w:color="auto"/>
              <w:right w:val="nil"/>
            </w:tcBorders>
            <w:vAlign w:val="center"/>
          </w:tcPr>
          <w:p w14:paraId="1D44FB5F" w14:textId="77777777" w:rsidR="00947B9E" w:rsidRPr="00763151" w:rsidRDefault="00947B9E" w:rsidP="00CD18A9">
            <w:pPr>
              <w:spacing w:line="204" w:lineRule="auto"/>
              <w:jc w:val="center"/>
              <w:rPr>
                <w:rFonts w:ascii="Times New Roman" w:eastAsia="Times New Roman" w:hAnsi="Times New Roman" w:cs="Times New Roman"/>
                <w:b/>
                <w:bCs/>
                <w:color w:val="000000"/>
              </w:rPr>
            </w:pPr>
            <w:bookmarkStart w:id="16" w:name="OLE_LINK4" w:colFirst="1" w:colLast="7"/>
            <w:r>
              <w:rPr>
                <w:rFonts w:ascii="Times New Roman" w:eastAsia="Times New Roman" w:hAnsi="Times New Roman" w:cs="Times New Roman"/>
                <w:b/>
                <w:bCs/>
                <w:color w:val="000000"/>
              </w:rPr>
              <w:t>Station</w:t>
            </w:r>
          </w:p>
        </w:tc>
        <w:tc>
          <w:tcPr>
            <w:tcW w:w="1067" w:type="dxa"/>
            <w:tcBorders>
              <w:top w:val="single" w:sz="4" w:space="0" w:color="auto"/>
              <w:left w:val="nil"/>
              <w:bottom w:val="single" w:sz="4" w:space="0" w:color="auto"/>
              <w:right w:val="nil"/>
            </w:tcBorders>
            <w:noWrap/>
          </w:tcPr>
          <w:p w14:paraId="7A6C3E74"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Cr</w:t>
            </w:r>
          </w:p>
        </w:tc>
        <w:tc>
          <w:tcPr>
            <w:tcW w:w="1219" w:type="dxa"/>
            <w:tcBorders>
              <w:top w:val="single" w:sz="4" w:space="0" w:color="auto"/>
              <w:left w:val="nil"/>
              <w:bottom w:val="single" w:sz="4" w:space="0" w:color="auto"/>
              <w:right w:val="nil"/>
            </w:tcBorders>
            <w:noWrap/>
          </w:tcPr>
          <w:p w14:paraId="25A4EB44"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Cd</w:t>
            </w:r>
          </w:p>
        </w:tc>
        <w:tc>
          <w:tcPr>
            <w:tcW w:w="1067" w:type="dxa"/>
            <w:tcBorders>
              <w:top w:val="single" w:sz="4" w:space="0" w:color="auto"/>
              <w:left w:val="nil"/>
              <w:bottom w:val="single" w:sz="4" w:space="0" w:color="auto"/>
              <w:right w:val="nil"/>
            </w:tcBorders>
            <w:noWrap/>
          </w:tcPr>
          <w:p w14:paraId="42E264BF"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Cu</w:t>
            </w:r>
          </w:p>
        </w:tc>
        <w:tc>
          <w:tcPr>
            <w:tcW w:w="1032" w:type="dxa"/>
            <w:tcBorders>
              <w:top w:val="single" w:sz="4" w:space="0" w:color="auto"/>
              <w:left w:val="nil"/>
              <w:bottom w:val="single" w:sz="4" w:space="0" w:color="auto"/>
              <w:right w:val="nil"/>
            </w:tcBorders>
            <w:noWrap/>
          </w:tcPr>
          <w:p w14:paraId="023FD373"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Ni</w:t>
            </w:r>
          </w:p>
        </w:tc>
        <w:tc>
          <w:tcPr>
            <w:tcW w:w="950" w:type="dxa"/>
            <w:tcBorders>
              <w:top w:val="single" w:sz="4" w:space="0" w:color="auto"/>
              <w:left w:val="nil"/>
              <w:bottom w:val="single" w:sz="4" w:space="0" w:color="auto"/>
              <w:right w:val="nil"/>
            </w:tcBorders>
            <w:noWrap/>
          </w:tcPr>
          <w:p w14:paraId="659F9102"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Pb</w:t>
            </w:r>
          </w:p>
        </w:tc>
        <w:tc>
          <w:tcPr>
            <w:tcW w:w="1067" w:type="dxa"/>
            <w:tcBorders>
              <w:top w:val="single" w:sz="4" w:space="0" w:color="auto"/>
              <w:left w:val="nil"/>
              <w:bottom w:val="single" w:sz="4" w:space="0" w:color="auto"/>
              <w:right w:val="nil"/>
            </w:tcBorders>
            <w:noWrap/>
          </w:tcPr>
          <w:p w14:paraId="358AD657"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Zn</w:t>
            </w:r>
          </w:p>
        </w:tc>
        <w:tc>
          <w:tcPr>
            <w:tcW w:w="914" w:type="dxa"/>
            <w:tcBorders>
              <w:top w:val="single" w:sz="4" w:space="0" w:color="auto"/>
              <w:left w:val="nil"/>
              <w:bottom w:val="single" w:sz="4" w:space="0" w:color="auto"/>
              <w:right w:val="nil"/>
            </w:tcBorders>
            <w:noWrap/>
          </w:tcPr>
          <w:p w14:paraId="2A4DA591"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Fe</w:t>
            </w:r>
          </w:p>
        </w:tc>
      </w:tr>
      <w:tr w:rsidR="00EE25E2" w:rsidRPr="00763151" w14:paraId="3D3E5DBF" w14:textId="77777777" w:rsidTr="00602F28">
        <w:trPr>
          <w:trHeight w:val="63"/>
          <w:jc w:val="center"/>
        </w:trPr>
        <w:tc>
          <w:tcPr>
            <w:tcW w:w="1372" w:type="dxa"/>
            <w:tcBorders>
              <w:top w:val="single" w:sz="4" w:space="0" w:color="auto"/>
              <w:left w:val="nil"/>
              <w:bottom w:val="single" w:sz="4" w:space="0" w:color="auto"/>
              <w:right w:val="nil"/>
            </w:tcBorders>
            <w:vAlign w:val="center"/>
          </w:tcPr>
          <w:p w14:paraId="3C28395E" w14:textId="77777777" w:rsidR="00EE25E2" w:rsidRDefault="00EE25E2" w:rsidP="00CD18A9">
            <w:pPr>
              <w:spacing w:line="204" w:lineRule="auto"/>
              <w:jc w:val="center"/>
              <w:rPr>
                <w:rFonts w:ascii="Times New Roman" w:eastAsia="Times New Roman" w:hAnsi="Times New Roman" w:cs="Times New Roman"/>
                <w:b/>
                <w:bCs/>
                <w:color w:val="000000"/>
              </w:rPr>
            </w:pPr>
          </w:p>
        </w:tc>
        <w:tc>
          <w:tcPr>
            <w:tcW w:w="1067" w:type="dxa"/>
            <w:tcBorders>
              <w:top w:val="single" w:sz="4" w:space="0" w:color="auto"/>
              <w:left w:val="nil"/>
              <w:bottom w:val="single" w:sz="4" w:space="0" w:color="auto"/>
              <w:right w:val="nil"/>
            </w:tcBorders>
            <w:noWrap/>
          </w:tcPr>
          <w:p w14:paraId="6E2DADFA"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219" w:type="dxa"/>
            <w:tcBorders>
              <w:top w:val="single" w:sz="4" w:space="0" w:color="auto"/>
              <w:left w:val="nil"/>
              <w:bottom w:val="single" w:sz="4" w:space="0" w:color="auto"/>
              <w:right w:val="nil"/>
            </w:tcBorders>
            <w:noWrap/>
          </w:tcPr>
          <w:p w14:paraId="69784010"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067" w:type="dxa"/>
            <w:tcBorders>
              <w:top w:val="single" w:sz="4" w:space="0" w:color="auto"/>
              <w:left w:val="nil"/>
              <w:bottom w:val="single" w:sz="4" w:space="0" w:color="auto"/>
              <w:right w:val="nil"/>
            </w:tcBorders>
            <w:noWrap/>
          </w:tcPr>
          <w:p w14:paraId="453E838C"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032" w:type="dxa"/>
            <w:tcBorders>
              <w:top w:val="single" w:sz="4" w:space="0" w:color="auto"/>
              <w:left w:val="nil"/>
              <w:bottom w:val="single" w:sz="4" w:space="0" w:color="auto"/>
              <w:right w:val="nil"/>
            </w:tcBorders>
            <w:noWrap/>
          </w:tcPr>
          <w:p w14:paraId="0A49749E"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950" w:type="dxa"/>
            <w:tcBorders>
              <w:top w:val="single" w:sz="4" w:space="0" w:color="auto"/>
              <w:left w:val="nil"/>
              <w:bottom w:val="single" w:sz="4" w:space="0" w:color="auto"/>
              <w:right w:val="nil"/>
            </w:tcBorders>
            <w:noWrap/>
          </w:tcPr>
          <w:p w14:paraId="3F0B944F"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067" w:type="dxa"/>
            <w:tcBorders>
              <w:top w:val="single" w:sz="4" w:space="0" w:color="auto"/>
              <w:left w:val="nil"/>
              <w:bottom w:val="single" w:sz="4" w:space="0" w:color="auto"/>
              <w:right w:val="nil"/>
            </w:tcBorders>
            <w:noWrap/>
          </w:tcPr>
          <w:p w14:paraId="3A457C68"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914" w:type="dxa"/>
            <w:tcBorders>
              <w:top w:val="single" w:sz="4" w:space="0" w:color="auto"/>
              <w:left w:val="nil"/>
              <w:bottom w:val="single" w:sz="4" w:space="0" w:color="auto"/>
              <w:right w:val="nil"/>
            </w:tcBorders>
            <w:noWrap/>
          </w:tcPr>
          <w:p w14:paraId="16C2763A"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r>
      <w:tr w:rsidR="000739BB" w:rsidRPr="00763151" w14:paraId="23244F1C" w14:textId="77777777" w:rsidTr="00E907F7">
        <w:trPr>
          <w:trHeight w:val="63"/>
          <w:jc w:val="center"/>
        </w:trPr>
        <w:tc>
          <w:tcPr>
            <w:tcW w:w="8688" w:type="dxa"/>
            <w:gridSpan w:val="8"/>
            <w:tcBorders>
              <w:top w:val="single" w:sz="4" w:space="0" w:color="auto"/>
              <w:left w:val="nil"/>
              <w:bottom w:val="single" w:sz="4" w:space="0" w:color="auto"/>
              <w:right w:val="nil"/>
            </w:tcBorders>
            <w:vAlign w:val="center"/>
          </w:tcPr>
          <w:p w14:paraId="1C9F3797" w14:textId="77777777" w:rsidR="000739BB" w:rsidRPr="00763151" w:rsidRDefault="000739BB" w:rsidP="00CD18A9">
            <w:pPr>
              <w:spacing w:line="204"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w:t>
            </w:r>
            <w:r w:rsidRPr="000739BB">
              <w:rPr>
                <w:rFonts w:ascii="Times New Roman" w:eastAsia="Times New Roman" w:hAnsi="Times New Roman" w:cs="Times New Roman"/>
                <w:b/>
                <w:bCs/>
                <w:color w:val="000000"/>
              </w:rPr>
              <w:t>irst sampling phase</w:t>
            </w:r>
          </w:p>
        </w:tc>
      </w:tr>
      <w:tr w:rsidR="00947B9E" w:rsidRPr="00763151" w14:paraId="4FC723C1" w14:textId="77777777" w:rsidTr="00602F28">
        <w:trPr>
          <w:trHeight w:val="104"/>
          <w:jc w:val="center"/>
        </w:trPr>
        <w:tc>
          <w:tcPr>
            <w:tcW w:w="1372" w:type="dxa"/>
            <w:tcBorders>
              <w:top w:val="single" w:sz="4" w:space="0" w:color="auto"/>
              <w:left w:val="nil"/>
              <w:bottom w:val="nil"/>
              <w:right w:val="nil"/>
            </w:tcBorders>
            <w:noWrap/>
          </w:tcPr>
          <w:p w14:paraId="42FBA1F0"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w:t>
            </w:r>
          </w:p>
        </w:tc>
        <w:tc>
          <w:tcPr>
            <w:tcW w:w="1067" w:type="dxa"/>
            <w:tcBorders>
              <w:top w:val="single" w:sz="4" w:space="0" w:color="auto"/>
              <w:left w:val="nil"/>
              <w:bottom w:val="nil"/>
              <w:right w:val="nil"/>
            </w:tcBorders>
            <w:noWrap/>
          </w:tcPr>
          <w:p w14:paraId="4A8059F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-4.904</w:t>
            </w:r>
          </w:p>
        </w:tc>
        <w:tc>
          <w:tcPr>
            <w:tcW w:w="1219" w:type="dxa"/>
            <w:tcBorders>
              <w:top w:val="single" w:sz="4" w:space="0" w:color="auto"/>
              <w:left w:val="nil"/>
              <w:bottom w:val="nil"/>
              <w:right w:val="nil"/>
            </w:tcBorders>
            <w:noWrap/>
          </w:tcPr>
          <w:p w14:paraId="39073FA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0.366</w:t>
            </w:r>
          </w:p>
        </w:tc>
        <w:tc>
          <w:tcPr>
            <w:tcW w:w="1067" w:type="dxa"/>
            <w:tcBorders>
              <w:top w:val="single" w:sz="4" w:space="0" w:color="auto"/>
              <w:left w:val="nil"/>
              <w:bottom w:val="nil"/>
              <w:right w:val="nil"/>
            </w:tcBorders>
            <w:noWrap/>
          </w:tcPr>
          <w:p w14:paraId="6621BFF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-4.066</w:t>
            </w:r>
          </w:p>
        </w:tc>
        <w:tc>
          <w:tcPr>
            <w:tcW w:w="1032" w:type="dxa"/>
            <w:tcBorders>
              <w:top w:val="single" w:sz="4" w:space="0" w:color="auto"/>
              <w:left w:val="nil"/>
              <w:bottom w:val="nil"/>
              <w:right w:val="nil"/>
            </w:tcBorders>
            <w:noWrap/>
          </w:tcPr>
          <w:p w14:paraId="37CF09F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-5.637</w:t>
            </w:r>
          </w:p>
        </w:tc>
        <w:tc>
          <w:tcPr>
            <w:tcW w:w="950" w:type="dxa"/>
            <w:tcBorders>
              <w:top w:val="single" w:sz="4" w:space="0" w:color="auto"/>
              <w:left w:val="nil"/>
              <w:bottom w:val="nil"/>
              <w:right w:val="nil"/>
            </w:tcBorders>
            <w:noWrap/>
          </w:tcPr>
          <w:p w14:paraId="1CBE971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-4.1</w:t>
            </w:r>
          </w:p>
        </w:tc>
        <w:tc>
          <w:tcPr>
            <w:tcW w:w="1067" w:type="dxa"/>
            <w:tcBorders>
              <w:top w:val="single" w:sz="4" w:space="0" w:color="auto"/>
              <w:left w:val="nil"/>
              <w:bottom w:val="nil"/>
              <w:right w:val="nil"/>
            </w:tcBorders>
            <w:noWrap/>
          </w:tcPr>
          <w:p w14:paraId="56B6E39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-4.377</w:t>
            </w:r>
          </w:p>
        </w:tc>
        <w:tc>
          <w:tcPr>
            <w:tcW w:w="914" w:type="dxa"/>
            <w:tcBorders>
              <w:top w:val="single" w:sz="4" w:space="0" w:color="auto"/>
              <w:left w:val="nil"/>
              <w:bottom w:val="nil"/>
              <w:right w:val="nil"/>
            </w:tcBorders>
            <w:noWrap/>
          </w:tcPr>
          <w:p w14:paraId="4146AF7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-13.303</w:t>
            </w:r>
          </w:p>
        </w:tc>
      </w:tr>
      <w:tr w:rsidR="00947B9E" w:rsidRPr="00763151" w14:paraId="2C17AFCF" w14:textId="77777777" w:rsidTr="00602F28">
        <w:trPr>
          <w:trHeight w:val="73"/>
          <w:jc w:val="center"/>
        </w:trPr>
        <w:tc>
          <w:tcPr>
            <w:tcW w:w="1372" w:type="dxa"/>
            <w:tcBorders>
              <w:top w:val="nil"/>
              <w:left w:val="nil"/>
              <w:bottom w:val="nil"/>
              <w:right w:val="nil"/>
            </w:tcBorders>
            <w:noWrap/>
          </w:tcPr>
          <w:p w14:paraId="25B378AF"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w:t>
            </w:r>
          </w:p>
        </w:tc>
        <w:tc>
          <w:tcPr>
            <w:tcW w:w="1067" w:type="dxa"/>
            <w:tcBorders>
              <w:top w:val="nil"/>
              <w:left w:val="nil"/>
              <w:bottom w:val="nil"/>
              <w:right w:val="nil"/>
            </w:tcBorders>
            <w:noWrap/>
          </w:tcPr>
          <w:p w14:paraId="712995A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-4.796</w:t>
            </w:r>
          </w:p>
        </w:tc>
        <w:tc>
          <w:tcPr>
            <w:tcW w:w="1219" w:type="dxa"/>
            <w:tcBorders>
              <w:top w:val="nil"/>
              <w:left w:val="nil"/>
              <w:bottom w:val="nil"/>
              <w:right w:val="nil"/>
            </w:tcBorders>
            <w:noWrap/>
          </w:tcPr>
          <w:p w14:paraId="636038A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1.328</w:t>
            </w:r>
          </w:p>
        </w:tc>
        <w:tc>
          <w:tcPr>
            <w:tcW w:w="1067" w:type="dxa"/>
            <w:tcBorders>
              <w:top w:val="nil"/>
              <w:left w:val="nil"/>
              <w:bottom w:val="nil"/>
              <w:right w:val="nil"/>
            </w:tcBorders>
            <w:noWrap/>
          </w:tcPr>
          <w:p w14:paraId="7D6B70C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-6.941</w:t>
            </w:r>
          </w:p>
        </w:tc>
        <w:tc>
          <w:tcPr>
            <w:tcW w:w="1032" w:type="dxa"/>
            <w:tcBorders>
              <w:top w:val="nil"/>
              <w:left w:val="nil"/>
              <w:bottom w:val="nil"/>
              <w:right w:val="nil"/>
            </w:tcBorders>
            <w:noWrap/>
          </w:tcPr>
          <w:p w14:paraId="1DD389D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-6.941</w:t>
            </w:r>
          </w:p>
        </w:tc>
        <w:tc>
          <w:tcPr>
            <w:tcW w:w="950" w:type="dxa"/>
            <w:tcBorders>
              <w:top w:val="nil"/>
              <w:left w:val="nil"/>
              <w:bottom w:val="nil"/>
              <w:right w:val="nil"/>
            </w:tcBorders>
            <w:noWrap/>
          </w:tcPr>
          <w:p w14:paraId="575CED6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-4.85</w:t>
            </w:r>
          </w:p>
        </w:tc>
        <w:tc>
          <w:tcPr>
            <w:tcW w:w="1067" w:type="dxa"/>
            <w:tcBorders>
              <w:top w:val="nil"/>
              <w:left w:val="nil"/>
              <w:bottom w:val="nil"/>
              <w:right w:val="nil"/>
            </w:tcBorders>
            <w:noWrap/>
          </w:tcPr>
          <w:p w14:paraId="230B730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-4.307</w:t>
            </w:r>
          </w:p>
        </w:tc>
        <w:tc>
          <w:tcPr>
            <w:tcW w:w="914" w:type="dxa"/>
            <w:tcBorders>
              <w:top w:val="nil"/>
              <w:left w:val="nil"/>
              <w:bottom w:val="nil"/>
              <w:right w:val="nil"/>
            </w:tcBorders>
            <w:noWrap/>
          </w:tcPr>
          <w:p w14:paraId="09480C9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-13.252</w:t>
            </w:r>
          </w:p>
        </w:tc>
      </w:tr>
      <w:tr w:rsidR="00947B9E" w:rsidRPr="00763151" w14:paraId="0BC64EDB" w14:textId="77777777" w:rsidTr="00602F28">
        <w:trPr>
          <w:trHeight w:val="103"/>
          <w:jc w:val="center"/>
        </w:trPr>
        <w:tc>
          <w:tcPr>
            <w:tcW w:w="1372" w:type="dxa"/>
            <w:tcBorders>
              <w:top w:val="nil"/>
              <w:left w:val="nil"/>
              <w:bottom w:val="nil"/>
              <w:right w:val="nil"/>
            </w:tcBorders>
            <w:noWrap/>
          </w:tcPr>
          <w:p w14:paraId="23C05F75"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PR-3</w:t>
            </w:r>
          </w:p>
        </w:tc>
        <w:tc>
          <w:tcPr>
            <w:tcW w:w="1067" w:type="dxa"/>
            <w:tcBorders>
              <w:top w:val="nil"/>
              <w:left w:val="nil"/>
              <w:bottom w:val="nil"/>
              <w:right w:val="nil"/>
            </w:tcBorders>
            <w:noWrap/>
          </w:tcPr>
          <w:p w14:paraId="261ADB6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-6.121</w:t>
            </w:r>
          </w:p>
        </w:tc>
        <w:tc>
          <w:tcPr>
            <w:tcW w:w="1219" w:type="dxa"/>
            <w:tcBorders>
              <w:top w:val="nil"/>
              <w:left w:val="nil"/>
              <w:bottom w:val="nil"/>
              <w:right w:val="nil"/>
            </w:tcBorders>
            <w:noWrap/>
          </w:tcPr>
          <w:p w14:paraId="6F5EE3D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-0.206</w:t>
            </w:r>
          </w:p>
        </w:tc>
        <w:tc>
          <w:tcPr>
            <w:tcW w:w="1067" w:type="dxa"/>
            <w:tcBorders>
              <w:top w:val="nil"/>
              <w:left w:val="nil"/>
              <w:bottom w:val="nil"/>
              <w:right w:val="nil"/>
            </w:tcBorders>
            <w:noWrap/>
          </w:tcPr>
          <w:p w14:paraId="2657938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-4.914</w:t>
            </w:r>
          </w:p>
        </w:tc>
        <w:tc>
          <w:tcPr>
            <w:tcW w:w="1032" w:type="dxa"/>
            <w:tcBorders>
              <w:top w:val="nil"/>
              <w:left w:val="nil"/>
              <w:bottom w:val="nil"/>
              <w:right w:val="nil"/>
            </w:tcBorders>
            <w:noWrap/>
          </w:tcPr>
          <w:p w14:paraId="08C2CB5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-6.63</w:t>
            </w:r>
          </w:p>
        </w:tc>
        <w:tc>
          <w:tcPr>
            <w:tcW w:w="950" w:type="dxa"/>
            <w:tcBorders>
              <w:top w:val="nil"/>
              <w:left w:val="nil"/>
              <w:bottom w:val="nil"/>
              <w:right w:val="nil"/>
            </w:tcBorders>
            <w:noWrap/>
          </w:tcPr>
          <w:p w14:paraId="34000F7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-5.442</w:t>
            </w:r>
          </w:p>
        </w:tc>
        <w:tc>
          <w:tcPr>
            <w:tcW w:w="1067" w:type="dxa"/>
            <w:tcBorders>
              <w:top w:val="nil"/>
              <w:left w:val="nil"/>
              <w:bottom w:val="nil"/>
              <w:right w:val="nil"/>
            </w:tcBorders>
            <w:noWrap/>
          </w:tcPr>
          <w:p w14:paraId="015E24E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-4.551</w:t>
            </w:r>
          </w:p>
        </w:tc>
        <w:tc>
          <w:tcPr>
            <w:tcW w:w="914" w:type="dxa"/>
            <w:tcBorders>
              <w:top w:val="nil"/>
              <w:left w:val="nil"/>
              <w:bottom w:val="nil"/>
              <w:right w:val="nil"/>
            </w:tcBorders>
            <w:noWrap/>
          </w:tcPr>
          <w:p w14:paraId="13BB194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-13.005</w:t>
            </w:r>
          </w:p>
        </w:tc>
      </w:tr>
      <w:tr w:rsidR="00947B9E" w:rsidRPr="00763151" w14:paraId="4B21B20D" w14:textId="77777777" w:rsidTr="0040296D">
        <w:trPr>
          <w:trHeight w:val="73"/>
          <w:jc w:val="center"/>
        </w:trPr>
        <w:tc>
          <w:tcPr>
            <w:tcW w:w="1372" w:type="dxa"/>
            <w:tcBorders>
              <w:top w:val="nil"/>
              <w:left w:val="nil"/>
              <w:bottom w:val="nil"/>
              <w:right w:val="nil"/>
            </w:tcBorders>
            <w:noWrap/>
          </w:tcPr>
          <w:p w14:paraId="51CBE928"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PR-4</w:t>
            </w:r>
          </w:p>
        </w:tc>
        <w:tc>
          <w:tcPr>
            <w:tcW w:w="1067" w:type="dxa"/>
            <w:tcBorders>
              <w:top w:val="nil"/>
              <w:left w:val="nil"/>
              <w:bottom w:val="nil"/>
              <w:right w:val="nil"/>
            </w:tcBorders>
            <w:noWrap/>
          </w:tcPr>
          <w:p w14:paraId="16BC919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-4.561</w:t>
            </w:r>
          </w:p>
        </w:tc>
        <w:tc>
          <w:tcPr>
            <w:tcW w:w="1219" w:type="dxa"/>
            <w:tcBorders>
              <w:top w:val="nil"/>
              <w:left w:val="nil"/>
              <w:bottom w:val="nil"/>
              <w:right w:val="nil"/>
            </w:tcBorders>
            <w:noWrap/>
          </w:tcPr>
          <w:p w14:paraId="5B29245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1.658</w:t>
            </w:r>
          </w:p>
        </w:tc>
        <w:tc>
          <w:tcPr>
            <w:tcW w:w="1067" w:type="dxa"/>
            <w:tcBorders>
              <w:top w:val="nil"/>
              <w:left w:val="nil"/>
              <w:bottom w:val="nil"/>
              <w:right w:val="nil"/>
            </w:tcBorders>
            <w:noWrap/>
          </w:tcPr>
          <w:p w14:paraId="546508E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-6.547</w:t>
            </w:r>
          </w:p>
        </w:tc>
        <w:tc>
          <w:tcPr>
            <w:tcW w:w="1032" w:type="dxa"/>
            <w:tcBorders>
              <w:top w:val="nil"/>
              <w:left w:val="nil"/>
              <w:bottom w:val="nil"/>
              <w:right w:val="nil"/>
            </w:tcBorders>
            <w:noWrap/>
          </w:tcPr>
          <w:p w14:paraId="43148A0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-6.716</w:t>
            </w:r>
          </w:p>
        </w:tc>
        <w:tc>
          <w:tcPr>
            <w:tcW w:w="950" w:type="dxa"/>
            <w:tcBorders>
              <w:top w:val="nil"/>
              <w:left w:val="nil"/>
              <w:bottom w:val="nil"/>
              <w:right w:val="nil"/>
            </w:tcBorders>
            <w:noWrap/>
          </w:tcPr>
          <w:p w14:paraId="0600C44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-5.247</w:t>
            </w:r>
          </w:p>
        </w:tc>
        <w:tc>
          <w:tcPr>
            <w:tcW w:w="1067" w:type="dxa"/>
            <w:tcBorders>
              <w:top w:val="nil"/>
              <w:left w:val="nil"/>
              <w:bottom w:val="nil"/>
              <w:right w:val="nil"/>
            </w:tcBorders>
            <w:noWrap/>
          </w:tcPr>
          <w:p w14:paraId="6677A4E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-4.604</w:t>
            </w:r>
          </w:p>
        </w:tc>
        <w:tc>
          <w:tcPr>
            <w:tcW w:w="914" w:type="dxa"/>
            <w:tcBorders>
              <w:top w:val="nil"/>
              <w:left w:val="nil"/>
              <w:bottom w:val="nil"/>
              <w:right w:val="nil"/>
            </w:tcBorders>
            <w:noWrap/>
          </w:tcPr>
          <w:p w14:paraId="16FEE19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-12.987</w:t>
            </w:r>
          </w:p>
        </w:tc>
      </w:tr>
      <w:tr w:rsidR="00947B9E" w:rsidRPr="00763151" w14:paraId="1FA18AF0" w14:textId="77777777" w:rsidTr="00602F28">
        <w:trPr>
          <w:trHeight w:val="175"/>
          <w:jc w:val="center"/>
        </w:trPr>
        <w:tc>
          <w:tcPr>
            <w:tcW w:w="1372" w:type="dxa"/>
            <w:tcBorders>
              <w:top w:val="nil"/>
              <w:left w:val="nil"/>
              <w:bottom w:val="nil"/>
              <w:right w:val="nil"/>
            </w:tcBorders>
            <w:noWrap/>
          </w:tcPr>
          <w:p w14:paraId="66B88625"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PR-5</w:t>
            </w:r>
          </w:p>
        </w:tc>
        <w:tc>
          <w:tcPr>
            <w:tcW w:w="1067" w:type="dxa"/>
            <w:tcBorders>
              <w:top w:val="nil"/>
              <w:left w:val="nil"/>
              <w:bottom w:val="nil"/>
              <w:right w:val="nil"/>
            </w:tcBorders>
            <w:noWrap/>
          </w:tcPr>
          <w:p w14:paraId="4FFF291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-4.752</w:t>
            </w:r>
          </w:p>
        </w:tc>
        <w:tc>
          <w:tcPr>
            <w:tcW w:w="1219" w:type="dxa"/>
            <w:tcBorders>
              <w:top w:val="nil"/>
              <w:left w:val="nil"/>
              <w:bottom w:val="nil"/>
              <w:right w:val="nil"/>
            </w:tcBorders>
            <w:noWrap/>
          </w:tcPr>
          <w:p w14:paraId="0AD7FD3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0.617</w:t>
            </w:r>
          </w:p>
        </w:tc>
        <w:tc>
          <w:tcPr>
            <w:tcW w:w="1067" w:type="dxa"/>
            <w:tcBorders>
              <w:top w:val="nil"/>
              <w:left w:val="nil"/>
              <w:bottom w:val="nil"/>
              <w:right w:val="nil"/>
            </w:tcBorders>
            <w:noWrap/>
          </w:tcPr>
          <w:p w14:paraId="1B19369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-4.797</w:t>
            </w:r>
          </w:p>
        </w:tc>
        <w:tc>
          <w:tcPr>
            <w:tcW w:w="1032" w:type="dxa"/>
            <w:tcBorders>
              <w:top w:val="nil"/>
              <w:left w:val="nil"/>
              <w:bottom w:val="nil"/>
              <w:right w:val="nil"/>
            </w:tcBorders>
            <w:noWrap/>
          </w:tcPr>
          <w:p w14:paraId="3150070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-7.107</w:t>
            </w:r>
          </w:p>
        </w:tc>
        <w:tc>
          <w:tcPr>
            <w:tcW w:w="950" w:type="dxa"/>
            <w:tcBorders>
              <w:top w:val="nil"/>
              <w:left w:val="nil"/>
              <w:bottom w:val="nil"/>
              <w:right w:val="nil"/>
            </w:tcBorders>
            <w:noWrap/>
          </w:tcPr>
          <w:p w14:paraId="6629D4D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-3.718</w:t>
            </w:r>
          </w:p>
        </w:tc>
        <w:tc>
          <w:tcPr>
            <w:tcW w:w="1067" w:type="dxa"/>
            <w:tcBorders>
              <w:top w:val="nil"/>
              <w:left w:val="nil"/>
              <w:bottom w:val="nil"/>
              <w:right w:val="nil"/>
            </w:tcBorders>
            <w:noWrap/>
          </w:tcPr>
          <w:p w14:paraId="6DD7BC6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-5.151</w:t>
            </w:r>
          </w:p>
        </w:tc>
        <w:tc>
          <w:tcPr>
            <w:tcW w:w="914" w:type="dxa"/>
            <w:tcBorders>
              <w:top w:val="nil"/>
              <w:left w:val="nil"/>
              <w:bottom w:val="nil"/>
              <w:right w:val="nil"/>
            </w:tcBorders>
            <w:noWrap/>
          </w:tcPr>
          <w:p w14:paraId="0864D73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-13.455</w:t>
            </w:r>
          </w:p>
        </w:tc>
      </w:tr>
      <w:tr w:rsidR="00947B9E" w:rsidRPr="00763151" w14:paraId="0C808E31" w14:textId="77777777" w:rsidTr="00602F28">
        <w:trPr>
          <w:trHeight w:val="73"/>
          <w:jc w:val="center"/>
        </w:trPr>
        <w:tc>
          <w:tcPr>
            <w:tcW w:w="1372" w:type="dxa"/>
            <w:tcBorders>
              <w:top w:val="nil"/>
              <w:left w:val="nil"/>
              <w:bottom w:val="nil"/>
              <w:right w:val="nil"/>
            </w:tcBorders>
            <w:noWrap/>
          </w:tcPr>
          <w:p w14:paraId="135BDBE0"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PR-6</w:t>
            </w:r>
          </w:p>
        </w:tc>
        <w:tc>
          <w:tcPr>
            <w:tcW w:w="1067" w:type="dxa"/>
            <w:tcBorders>
              <w:top w:val="nil"/>
              <w:left w:val="nil"/>
              <w:bottom w:val="nil"/>
              <w:right w:val="nil"/>
            </w:tcBorders>
            <w:noWrap/>
          </w:tcPr>
          <w:p w14:paraId="460EED2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-4.832</w:t>
            </w:r>
          </w:p>
        </w:tc>
        <w:tc>
          <w:tcPr>
            <w:tcW w:w="1219" w:type="dxa"/>
            <w:tcBorders>
              <w:top w:val="nil"/>
              <w:left w:val="nil"/>
              <w:bottom w:val="nil"/>
              <w:right w:val="nil"/>
            </w:tcBorders>
            <w:noWrap/>
          </w:tcPr>
          <w:p w14:paraId="45ADB82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1.181</w:t>
            </w:r>
          </w:p>
        </w:tc>
        <w:tc>
          <w:tcPr>
            <w:tcW w:w="1067" w:type="dxa"/>
            <w:tcBorders>
              <w:top w:val="nil"/>
              <w:left w:val="nil"/>
              <w:bottom w:val="nil"/>
              <w:right w:val="nil"/>
            </w:tcBorders>
            <w:noWrap/>
          </w:tcPr>
          <w:p w14:paraId="347EA41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-5.196</w:t>
            </w:r>
          </w:p>
        </w:tc>
        <w:tc>
          <w:tcPr>
            <w:tcW w:w="1032" w:type="dxa"/>
            <w:tcBorders>
              <w:top w:val="nil"/>
              <w:left w:val="nil"/>
              <w:bottom w:val="nil"/>
              <w:right w:val="nil"/>
            </w:tcBorders>
            <w:noWrap/>
          </w:tcPr>
          <w:p w14:paraId="7969936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-6.588</w:t>
            </w:r>
          </w:p>
        </w:tc>
        <w:tc>
          <w:tcPr>
            <w:tcW w:w="950" w:type="dxa"/>
            <w:tcBorders>
              <w:top w:val="nil"/>
              <w:left w:val="nil"/>
              <w:bottom w:val="nil"/>
              <w:right w:val="nil"/>
            </w:tcBorders>
            <w:noWrap/>
          </w:tcPr>
          <w:p w14:paraId="6248546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-5.193</w:t>
            </w:r>
          </w:p>
        </w:tc>
        <w:tc>
          <w:tcPr>
            <w:tcW w:w="1067" w:type="dxa"/>
            <w:tcBorders>
              <w:top w:val="nil"/>
              <w:left w:val="nil"/>
              <w:bottom w:val="nil"/>
              <w:right w:val="nil"/>
            </w:tcBorders>
            <w:noWrap/>
          </w:tcPr>
          <w:p w14:paraId="0BDA844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-4.836</w:t>
            </w:r>
          </w:p>
        </w:tc>
        <w:tc>
          <w:tcPr>
            <w:tcW w:w="914" w:type="dxa"/>
            <w:tcBorders>
              <w:top w:val="nil"/>
              <w:left w:val="nil"/>
              <w:bottom w:val="nil"/>
              <w:right w:val="nil"/>
            </w:tcBorders>
            <w:noWrap/>
          </w:tcPr>
          <w:p w14:paraId="59116C9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-12.89</w:t>
            </w:r>
          </w:p>
        </w:tc>
      </w:tr>
      <w:tr w:rsidR="00947B9E" w:rsidRPr="00763151" w14:paraId="65ADCAC2" w14:textId="77777777" w:rsidTr="00602F28">
        <w:trPr>
          <w:trHeight w:val="73"/>
          <w:jc w:val="center"/>
        </w:trPr>
        <w:tc>
          <w:tcPr>
            <w:tcW w:w="1372" w:type="dxa"/>
            <w:tcBorders>
              <w:top w:val="nil"/>
              <w:left w:val="nil"/>
              <w:bottom w:val="nil"/>
              <w:right w:val="nil"/>
            </w:tcBorders>
            <w:noWrap/>
          </w:tcPr>
          <w:p w14:paraId="3ADBA865"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PR-7</w:t>
            </w:r>
          </w:p>
        </w:tc>
        <w:tc>
          <w:tcPr>
            <w:tcW w:w="1067" w:type="dxa"/>
            <w:tcBorders>
              <w:top w:val="nil"/>
              <w:left w:val="nil"/>
              <w:bottom w:val="nil"/>
              <w:right w:val="nil"/>
            </w:tcBorders>
            <w:noWrap/>
          </w:tcPr>
          <w:p w14:paraId="17D8062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-6.766</w:t>
            </w:r>
          </w:p>
        </w:tc>
        <w:tc>
          <w:tcPr>
            <w:tcW w:w="1219" w:type="dxa"/>
            <w:tcBorders>
              <w:top w:val="nil"/>
              <w:left w:val="nil"/>
              <w:bottom w:val="nil"/>
              <w:right w:val="nil"/>
            </w:tcBorders>
            <w:noWrap/>
          </w:tcPr>
          <w:p w14:paraId="5571E43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0.984</w:t>
            </w:r>
          </w:p>
        </w:tc>
        <w:tc>
          <w:tcPr>
            <w:tcW w:w="1067" w:type="dxa"/>
            <w:tcBorders>
              <w:top w:val="nil"/>
              <w:left w:val="nil"/>
              <w:bottom w:val="nil"/>
              <w:right w:val="nil"/>
            </w:tcBorders>
            <w:noWrap/>
          </w:tcPr>
          <w:p w14:paraId="0D4D9D4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-5.822</w:t>
            </w:r>
          </w:p>
        </w:tc>
        <w:tc>
          <w:tcPr>
            <w:tcW w:w="1032" w:type="dxa"/>
            <w:tcBorders>
              <w:top w:val="nil"/>
              <w:left w:val="nil"/>
              <w:bottom w:val="nil"/>
              <w:right w:val="nil"/>
            </w:tcBorders>
            <w:noWrap/>
          </w:tcPr>
          <w:p w14:paraId="759676B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-6.471</w:t>
            </w:r>
          </w:p>
        </w:tc>
        <w:tc>
          <w:tcPr>
            <w:tcW w:w="950" w:type="dxa"/>
            <w:tcBorders>
              <w:top w:val="nil"/>
              <w:left w:val="nil"/>
              <w:bottom w:val="nil"/>
              <w:right w:val="nil"/>
            </w:tcBorders>
            <w:noWrap/>
          </w:tcPr>
          <w:p w14:paraId="28553BD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-4.238</w:t>
            </w:r>
          </w:p>
        </w:tc>
        <w:tc>
          <w:tcPr>
            <w:tcW w:w="1067" w:type="dxa"/>
            <w:tcBorders>
              <w:top w:val="nil"/>
              <w:left w:val="nil"/>
              <w:bottom w:val="nil"/>
              <w:right w:val="nil"/>
            </w:tcBorders>
            <w:noWrap/>
          </w:tcPr>
          <w:p w14:paraId="68E5C6E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-4.813</w:t>
            </w:r>
          </w:p>
        </w:tc>
        <w:tc>
          <w:tcPr>
            <w:tcW w:w="914" w:type="dxa"/>
            <w:tcBorders>
              <w:top w:val="nil"/>
              <w:left w:val="nil"/>
              <w:bottom w:val="nil"/>
              <w:right w:val="nil"/>
            </w:tcBorders>
            <w:noWrap/>
          </w:tcPr>
          <w:p w14:paraId="520D5CC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-14.022</w:t>
            </w:r>
          </w:p>
        </w:tc>
      </w:tr>
      <w:tr w:rsidR="00947B9E" w:rsidRPr="00763151" w14:paraId="3DCD7AA8" w14:textId="77777777" w:rsidTr="00602F28">
        <w:trPr>
          <w:trHeight w:val="211"/>
          <w:jc w:val="center"/>
        </w:trPr>
        <w:tc>
          <w:tcPr>
            <w:tcW w:w="1372" w:type="dxa"/>
            <w:tcBorders>
              <w:top w:val="nil"/>
              <w:left w:val="nil"/>
              <w:bottom w:val="nil"/>
              <w:right w:val="nil"/>
            </w:tcBorders>
            <w:noWrap/>
          </w:tcPr>
          <w:p w14:paraId="57486DB6"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PR-8</w:t>
            </w:r>
          </w:p>
        </w:tc>
        <w:tc>
          <w:tcPr>
            <w:tcW w:w="1067" w:type="dxa"/>
            <w:tcBorders>
              <w:top w:val="nil"/>
              <w:left w:val="nil"/>
              <w:bottom w:val="nil"/>
              <w:right w:val="nil"/>
            </w:tcBorders>
            <w:noWrap/>
          </w:tcPr>
          <w:p w14:paraId="10A5B4E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-5.693</w:t>
            </w:r>
          </w:p>
        </w:tc>
        <w:tc>
          <w:tcPr>
            <w:tcW w:w="1219" w:type="dxa"/>
            <w:tcBorders>
              <w:top w:val="nil"/>
              <w:left w:val="nil"/>
              <w:bottom w:val="nil"/>
              <w:right w:val="nil"/>
            </w:tcBorders>
            <w:noWrap/>
          </w:tcPr>
          <w:p w14:paraId="401A27A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-0.244</w:t>
            </w:r>
          </w:p>
        </w:tc>
        <w:tc>
          <w:tcPr>
            <w:tcW w:w="1067" w:type="dxa"/>
            <w:tcBorders>
              <w:top w:val="nil"/>
              <w:left w:val="nil"/>
              <w:bottom w:val="nil"/>
              <w:right w:val="nil"/>
            </w:tcBorders>
            <w:noWrap/>
          </w:tcPr>
          <w:p w14:paraId="4670502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-6.132</w:t>
            </w:r>
          </w:p>
        </w:tc>
        <w:tc>
          <w:tcPr>
            <w:tcW w:w="1032" w:type="dxa"/>
            <w:tcBorders>
              <w:top w:val="nil"/>
              <w:left w:val="nil"/>
              <w:bottom w:val="nil"/>
              <w:right w:val="nil"/>
            </w:tcBorders>
            <w:noWrap/>
          </w:tcPr>
          <w:p w14:paraId="5DBF556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-6.746</w:t>
            </w:r>
          </w:p>
        </w:tc>
        <w:tc>
          <w:tcPr>
            <w:tcW w:w="950" w:type="dxa"/>
            <w:tcBorders>
              <w:top w:val="nil"/>
              <w:left w:val="nil"/>
              <w:bottom w:val="nil"/>
              <w:right w:val="nil"/>
            </w:tcBorders>
            <w:noWrap/>
          </w:tcPr>
          <w:p w14:paraId="103D73C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-5.551</w:t>
            </w:r>
          </w:p>
        </w:tc>
        <w:tc>
          <w:tcPr>
            <w:tcW w:w="1067" w:type="dxa"/>
            <w:tcBorders>
              <w:top w:val="nil"/>
              <w:left w:val="nil"/>
              <w:bottom w:val="nil"/>
              <w:right w:val="nil"/>
            </w:tcBorders>
            <w:noWrap/>
          </w:tcPr>
          <w:p w14:paraId="208FFEE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-4.008</w:t>
            </w:r>
          </w:p>
        </w:tc>
        <w:tc>
          <w:tcPr>
            <w:tcW w:w="914" w:type="dxa"/>
            <w:tcBorders>
              <w:top w:val="nil"/>
              <w:left w:val="nil"/>
              <w:bottom w:val="nil"/>
              <w:right w:val="nil"/>
            </w:tcBorders>
            <w:noWrap/>
          </w:tcPr>
          <w:p w14:paraId="4F319FD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-12.826</w:t>
            </w:r>
          </w:p>
        </w:tc>
      </w:tr>
      <w:tr w:rsidR="00947B9E" w:rsidRPr="00763151" w14:paraId="09A7D62D" w14:textId="77777777" w:rsidTr="00602F28">
        <w:trPr>
          <w:trHeight w:val="140"/>
          <w:jc w:val="center"/>
        </w:trPr>
        <w:tc>
          <w:tcPr>
            <w:tcW w:w="1372" w:type="dxa"/>
            <w:tcBorders>
              <w:top w:val="nil"/>
              <w:left w:val="nil"/>
              <w:bottom w:val="nil"/>
              <w:right w:val="nil"/>
            </w:tcBorders>
            <w:noWrap/>
          </w:tcPr>
          <w:p w14:paraId="0EE7556D"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PR-9</w:t>
            </w:r>
          </w:p>
        </w:tc>
        <w:tc>
          <w:tcPr>
            <w:tcW w:w="1067" w:type="dxa"/>
            <w:tcBorders>
              <w:top w:val="nil"/>
              <w:left w:val="nil"/>
              <w:bottom w:val="nil"/>
              <w:right w:val="nil"/>
            </w:tcBorders>
            <w:noWrap/>
          </w:tcPr>
          <w:p w14:paraId="5BC4FAA2"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-4.497</w:t>
            </w:r>
          </w:p>
        </w:tc>
        <w:tc>
          <w:tcPr>
            <w:tcW w:w="1219" w:type="dxa"/>
            <w:tcBorders>
              <w:top w:val="nil"/>
              <w:left w:val="nil"/>
              <w:bottom w:val="nil"/>
              <w:right w:val="nil"/>
            </w:tcBorders>
            <w:noWrap/>
          </w:tcPr>
          <w:p w14:paraId="2ECFEFF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1.237</w:t>
            </w:r>
          </w:p>
        </w:tc>
        <w:tc>
          <w:tcPr>
            <w:tcW w:w="1067" w:type="dxa"/>
            <w:tcBorders>
              <w:top w:val="nil"/>
              <w:left w:val="nil"/>
              <w:bottom w:val="nil"/>
              <w:right w:val="nil"/>
            </w:tcBorders>
            <w:noWrap/>
          </w:tcPr>
          <w:p w14:paraId="7A36C6A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-4.369</w:t>
            </w:r>
          </w:p>
        </w:tc>
        <w:tc>
          <w:tcPr>
            <w:tcW w:w="1032" w:type="dxa"/>
            <w:tcBorders>
              <w:top w:val="nil"/>
              <w:left w:val="nil"/>
              <w:bottom w:val="nil"/>
              <w:right w:val="nil"/>
            </w:tcBorders>
            <w:noWrap/>
          </w:tcPr>
          <w:p w14:paraId="226EE2C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-7.068</w:t>
            </w:r>
          </w:p>
        </w:tc>
        <w:tc>
          <w:tcPr>
            <w:tcW w:w="950" w:type="dxa"/>
            <w:tcBorders>
              <w:top w:val="nil"/>
              <w:left w:val="nil"/>
              <w:bottom w:val="nil"/>
              <w:right w:val="nil"/>
            </w:tcBorders>
            <w:noWrap/>
          </w:tcPr>
          <w:p w14:paraId="12FEF9D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-2.985</w:t>
            </w:r>
          </w:p>
        </w:tc>
        <w:tc>
          <w:tcPr>
            <w:tcW w:w="1067" w:type="dxa"/>
            <w:tcBorders>
              <w:top w:val="nil"/>
              <w:left w:val="nil"/>
              <w:bottom w:val="nil"/>
              <w:right w:val="nil"/>
            </w:tcBorders>
            <w:noWrap/>
          </w:tcPr>
          <w:p w14:paraId="5AC33EC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-4.164</w:t>
            </w:r>
          </w:p>
        </w:tc>
        <w:tc>
          <w:tcPr>
            <w:tcW w:w="914" w:type="dxa"/>
            <w:tcBorders>
              <w:top w:val="nil"/>
              <w:left w:val="nil"/>
              <w:bottom w:val="nil"/>
              <w:right w:val="nil"/>
            </w:tcBorders>
            <w:noWrap/>
          </w:tcPr>
          <w:p w14:paraId="0F4CA02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-13.047</w:t>
            </w:r>
          </w:p>
        </w:tc>
      </w:tr>
      <w:tr w:rsidR="00947B9E" w:rsidRPr="00763151" w14:paraId="1D3D74CA" w14:textId="77777777" w:rsidTr="00602F28">
        <w:trPr>
          <w:trHeight w:val="198"/>
          <w:jc w:val="center"/>
        </w:trPr>
        <w:tc>
          <w:tcPr>
            <w:tcW w:w="1372" w:type="dxa"/>
            <w:tcBorders>
              <w:top w:val="nil"/>
              <w:left w:val="nil"/>
              <w:bottom w:val="nil"/>
              <w:right w:val="nil"/>
            </w:tcBorders>
            <w:noWrap/>
          </w:tcPr>
          <w:p w14:paraId="06D03B11"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PR-10</w:t>
            </w:r>
          </w:p>
        </w:tc>
        <w:tc>
          <w:tcPr>
            <w:tcW w:w="1067" w:type="dxa"/>
            <w:tcBorders>
              <w:top w:val="nil"/>
              <w:left w:val="nil"/>
              <w:bottom w:val="nil"/>
              <w:right w:val="nil"/>
            </w:tcBorders>
            <w:noWrap/>
          </w:tcPr>
          <w:p w14:paraId="7D76AFE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-5.178</w:t>
            </w:r>
          </w:p>
        </w:tc>
        <w:tc>
          <w:tcPr>
            <w:tcW w:w="1219" w:type="dxa"/>
            <w:tcBorders>
              <w:top w:val="nil"/>
              <w:left w:val="nil"/>
              <w:bottom w:val="nil"/>
              <w:right w:val="nil"/>
            </w:tcBorders>
            <w:noWrap/>
          </w:tcPr>
          <w:p w14:paraId="4D47EC2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0.063</w:t>
            </w:r>
          </w:p>
        </w:tc>
        <w:tc>
          <w:tcPr>
            <w:tcW w:w="1067" w:type="dxa"/>
            <w:tcBorders>
              <w:top w:val="nil"/>
              <w:left w:val="nil"/>
              <w:bottom w:val="nil"/>
              <w:right w:val="nil"/>
            </w:tcBorders>
            <w:noWrap/>
          </w:tcPr>
          <w:p w14:paraId="5B3B013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-4.854</w:t>
            </w:r>
          </w:p>
        </w:tc>
        <w:tc>
          <w:tcPr>
            <w:tcW w:w="1032" w:type="dxa"/>
            <w:tcBorders>
              <w:top w:val="nil"/>
              <w:left w:val="nil"/>
              <w:bottom w:val="nil"/>
              <w:right w:val="nil"/>
            </w:tcBorders>
            <w:noWrap/>
          </w:tcPr>
          <w:p w14:paraId="01AA502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-6.434</w:t>
            </w:r>
          </w:p>
        </w:tc>
        <w:tc>
          <w:tcPr>
            <w:tcW w:w="950" w:type="dxa"/>
            <w:tcBorders>
              <w:top w:val="nil"/>
              <w:left w:val="nil"/>
              <w:bottom w:val="nil"/>
              <w:right w:val="nil"/>
            </w:tcBorders>
            <w:noWrap/>
          </w:tcPr>
          <w:p w14:paraId="7DD2CD3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-5.62</w:t>
            </w:r>
          </w:p>
        </w:tc>
        <w:tc>
          <w:tcPr>
            <w:tcW w:w="1067" w:type="dxa"/>
            <w:tcBorders>
              <w:top w:val="nil"/>
              <w:left w:val="nil"/>
              <w:bottom w:val="nil"/>
              <w:right w:val="nil"/>
            </w:tcBorders>
            <w:noWrap/>
          </w:tcPr>
          <w:p w14:paraId="1B170B3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-5.424</w:t>
            </w:r>
          </w:p>
        </w:tc>
        <w:tc>
          <w:tcPr>
            <w:tcW w:w="914" w:type="dxa"/>
            <w:tcBorders>
              <w:top w:val="nil"/>
              <w:left w:val="nil"/>
              <w:bottom w:val="nil"/>
              <w:right w:val="nil"/>
            </w:tcBorders>
            <w:noWrap/>
          </w:tcPr>
          <w:p w14:paraId="5E166C1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-14.396</w:t>
            </w:r>
          </w:p>
        </w:tc>
      </w:tr>
      <w:tr w:rsidR="00947B9E" w:rsidRPr="00763151" w14:paraId="584DA5F5" w14:textId="77777777" w:rsidTr="0040296D">
        <w:trPr>
          <w:trHeight w:val="73"/>
          <w:jc w:val="center"/>
        </w:trPr>
        <w:tc>
          <w:tcPr>
            <w:tcW w:w="1372" w:type="dxa"/>
            <w:tcBorders>
              <w:top w:val="nil"/>
              <w:left w:val="nil"/>
              <w:bottom w:val="nil"/>
              <w:right w:val="nil"/>
            </w:tcBorders>
            <w:noWrap/>
          </w:tcPr>
          <w:p w14:paraId="59B63954"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PR-11</w:t>
            </w:r>
          </w:p>
        </w:tc>
        <w:tc>
          <w:tcPr>
            <w:tcW w:w="1067" w:type="dxa"/>
            <w:tcBorders>
              <w:top w:val="nil"/>
              <w:left w:val="nil"/>
              <w:bottom w:val="nil"/>
              <w:right w:val="nil"/>
            </w:tcBorders>
            <w:noWrap/>
          </w:tcPr>
          <w:p w14:paraId="3EC2447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-6.041</w:t>
            </w:r>
          </w:p>
        </w:tc>
        <w:tc>
          <w:tcPr>
            <w:tcW w:w="1219" w:type="dxa"/>
            <w:tcBorders>
              <w:top w:val="nil"/>
              <w:left w:val="nil"/>
              <w:bottom w:val="nil"/>
              <w:right w:val="nil"/>
            </w:tcBorders>
            <w:noWrap/>
          </w:tcPr>
          <w:p w14:paraId="3DC8D01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0.737</w:t>
            </w:r>
          </w:p>
        </w:tc>
        <w:tc>
          <w:tcPr>
            <w:tcW w:w="1067" w:type="dxa"/>
            <w:tcBorders>
              <w:top w:val="nil"/>
              <w:left w:val="nil"/>
              <w:bottom w:val="nil"/>
              <w:right w:val="nil"/>
            </w:tcBorders>
            <w:noWrap/>
          </w:tcPr>
          <w:p w14:paraId="5BE2B8F2"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-4.338</w:t>
            </w:r>
          </w:p>
        </w:tc>
        <w:tc>
          <w:tcPr>
            <w:tcW w:w="1032" w:type="dxa"/>
            <w:tcBorders>
              <w:top w:val="nil"/>
              <w:left w:val="nil"/>
              <w:bottom w:val="nil"/>
              <w:right w:val="nil"/>
            </w:tcBorders>
            <w:noWrap/>
          </w:tcPr>
          <w:p w14:paraId="23DE128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-7.013</w:t>
            </w:r>
          </w:p>
        </w:tc>
        <w:tc>
          <w:tcPr>
            <w:tcW w:w="950" w:type="dxa"/>
            <w:tcBorders>
              <w:top w:val="nil"/>
              <w:left w:val="nil"/>
              <w:bottom w:val="nil"/>
              <w:right w:val="nil"/>
            </w:tcBorders>
            <w:noWrap/>
          </w:tcPr>
          <w:p w14:paraId="19798D2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067" w:type="dxa"/>
            <w:tcBorders>
              <w:top w:val="nil"/>
              <w:left w:val="nil"/>
              <w:bottom w:val="nil"/>
              <w:right w:val="nil"/>
            </w:tcBorders>
            <w:noWrap/>
          </w:tcPr>
          <w:p w14:paraId="6727D46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-4.616</w:t>
            </w:r>
          </w:p>
        </w:tc>
        <w:tc>
          <w:tcPr>
            <w:tcW w:w="914" w:type="dxa"/>
            <w:tcBorders>
              <w:top w:val="nil"/>
              <w:left w:val="nil"/>
              <w:bottom w:val="nil"/>
              <w:right w:val="nil"/>
            </w:tcBorders>
            <w:noWrap/>
          </w:tcPr>
          <w:p w14:paraId="7E0D1E3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-12.877</w:t>
            </w:r>
          </w:p>
        </w:tc>
      </w:tr>
      <w:tr w:rsidR="00947B9E" w:rsidRPr="00763151" w14:paraId="74FA34D5" w14:textId="77777777" w:rsidTr="00602F28">
        <w:trPr>
          <w:trHeight w:val="103"/>
          <w:jc w:val="center"/>
        </w:trPr>
        <w:tc>
          <w:tcPr>
            <w:tcW w:w="1372" w:type="dxa"/>
            <w:tcBorders>
              <w:top w:val="nil"/>
              <w:left w:val="nil"/>
              <w:bottom w:val="nil"/>
              <w:right w:val="nil"/>
            </w:tcBorders>
            <w:noWrap/>
          </w:tcPr>
          <w:p w14:paraId="35E490D4"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CT-1</w:t>
            </w:r>
          </w:p>
        </w:tc>
        <w:tc>
          <w:tcPr>
            <w:tcW w:w="1067" w:type="dxa"/>
            <w:tcBorders>
              <w:top w:val="nil"/>
              <w:left w:val="nil"/>
              <w:bottom w:val="nil"/>
              <w:right w:val="nil"/>
            </w:tcBorders>
            <w:noWrap/>
          </w:tcPr>
          <w:p w14:paraId="1C94F34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-7.913</w:t>
            </w:r>
          </w:p>
        </w:tc>
        <w:tc>
          <w:tcPr>
            <w:tcW w:w="1219" w:type="dxa"/>
            <w:tcBorders>
              <w:top w:val="nil"/>
              <w:left w:val="nil"/>
              <w:bottom w:val="nil"/>
              <w:right w:val="nil"/>
            </w:tcBorders>
            <w:noWrap/>
          </w:tcPr>
          <w:p w14:paraId="1945B19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-1.244</w:t>
            </w:r>
          </w:p>
        </w:tc>
        <w:tc>
          <w:tcPr>
            <w:tcW w:w="1067" w:type="dxa"/>
            <w:tcBorders>
              <w:top w:val="nil"/>
              <w:left w:val="nil"/>
              <w:bottom w:val="nil"/>
              <w:right w:val="nil"/>
            </w:tcBorders>
            <w:noWrap/>
          </w:tcPr>
          <w:p w14:paraId="21BB2D6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-5.351</w:t>
            </w:r>
          </w:p>
        </w:tc>
        <w:tc>
          <w:tcPr>
            <w:tcW w:w="1032" w:type="dxa"/>
            <w:tcBorders>
              <w:top w:val="nil"/>
              <w:left w:val="nil"/>
              <w:bottom w:val="nil"/>
              <w:right w:val="nil"/>
            </w:tcBorders>
            <w:noWrap/>
          </w:tcPr>
          <w:p w14:paraId="24C879D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-8.031</w:t>
            </w:r>
          </w:p>
        </w:tc>
        <w:tc>
          <w:tcPr>
            <w:tcW w:w="950" w:type="dxa"/>
            <w:tcBorders>
              <w:top w:val="nil"/>
              <w:left w:val="nil"/>
              <w:bottom w:val="nil"/>
              <w:right w:val="nil"/>
            </w:tcBorders>
            <w:noWrap/>
          </w:tcPr>
          <w:p w14:paraId="39F70F4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-5.966</w:t>
            </w:r>
          </w:p>
        </w:tc>
        <w:tc>
          <w:tcPr>
            <w:tcW w:w="1067" w:type="dxa"/>
            <w:tcBorders>
              <w:top w:val="nil"/>
              <w:left w:val="nil"/>
              <w:bottom w:val="nil"/>
              <w:right w:val="nil"/>
            </w:tcBorders>
            <w:noWrap/>
          </w:tcPr>
          <w:p w14:paraId="5611553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-5.377</w:t>
            </w:r>
          </w:p>
        </w:tc>
        <w:tc>
          <w:tcPr>
            <w:tcW w:w="914" w:type="dxa"/>
            <w:tcBorders>
              <w:top w:val="nil"/>
              <w:left w:val="nil"/>
              <w:bottom w:val="nil"/>
              <w:right w:val="nil"/>
            </w:tcBorders>
            <w:noWrap/>
          </w:tcPr>
          <w:p w14:paraId="71FF94B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-14.002</w:t>
            </w:r>
          </w:p>
        </w:tc>
      </w:tr>
      <w:tr w:rsidR="00947B9E" w:rsidRPr="00763151" w14:paraId="1BB64D49" w14:textId="77777777" w:rsidTr="0040296D">
        <w:trPr>
          <w:trHeight w:val="73"/>
          <w:jc w:val="center"/>
        </w:trPr>
        <w:tc>
          <w:tcPr>
            <w:tcW w:w="1372" w:type="dxa"/>
            <w:tcBorders>
              <w:top w:val="nil"/>
              <w:left w:val="nil"/>
              <w:bottom w:val="nil"/>
              <w:right w:val="nil"/>
            </w:tcBorders>
            <w:noWrap/>
          </w:tcPr>
          <w:p w14:paraId="3DC9BA4D"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CT-2</w:t>
            </w:r>
          </w:p>
        </w:tc>
        <w:tc>
          <w:tcPr>
            <w:tcW w:w="1067" w:type="dxa"/>
            <w:tcBorders>
              <w:top w:val="nil"/>
              <w:left w:val="nil"/>
              <w:bottom w:val="nil"/>
              <w:right w:val="nil"/>
            </w:tcBorders>
            <w:noWrap/>
          </w:tcPr>
          <w:p w14:paraId="7EFCFD9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-8.136</w:t>
            </w:r>
          </w:p>
        </w:tc>
        <w:tc>
          <w:tcPr>
            <w:tcW w:w="1219" w:type="dxa"/>
            <w:tcBorders>
              <w:top w:val="nil"/>
              <w:left w:val="nil"/>
              <w:bottom w:val="nil"/>
              <w:right w:val="nil"/>
            </w:tcBorders>
            <w:noWrap/>
          </w:tcPr>
          <w:p w14:paraId="4A99F0C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-0.968</w:t>
            </w:r>
          </w:p>
        </w:tc>
        <w:tc>
          <w:tcPr>
            <w:tcW w:w="1067" w:type="dxa"/>
            <w:tcBorders>
              <w:top w:val="nil"/>
              <w:left w:val="nil"/>
              <w:bottom w:val="nil"/>
              <w:right w:val="nil"/>
            </w:tcBorders>
            <w:noWrap/>
          </w:tcPr>
          <w:p w14:paraId="0EB721F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-5.289</w:t>
            </w:r>
          </w:p>
        </w:tc>
        <w:tc>
          <w:tcPr>
            <w:tcW w:w="1032" w:type="dxa"/>
            <w:tcBorders>
              <w:top w:val="nil"/>
              <w:left w:val="nil"/>
              <w:bottom w:val="nil"/>
              <w:right w:val="nil"/>
            </w:tcBorders>
            <w:noWrap/>
          </w:tcPr>
          <w:p w14:paraId="229EDD7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-7.959</w:t>
            </w:r>
          </w:p>
        </w:tc>
        <w:tc>
          <w:tcPr>
            <w:tcW w:w="950" w:type="dxa"/>
            <w:tcBorders>
              <w:top w:val="nil"/>
              <w:left w:val="nil"/>
              <w:bottom w:val="nil"/>
              <w:right w:val="nil"/>
            </w:tcBorders>
            <w:noWrap/>
          </w:tcPr>
          <w:p w14:paraId="43A3FFA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-6.027</w:t>
            </w:r>
          </w:p>
        </w:tc>
        <w:tc>
          <w:tcPr>
            <w:tcW w:w="1067" w:type="dxa"/>
            <w:tcBorders>
              <w:top w:val="nil"/>
              <w:left w:val="nil"/>
              <w:bottom w:val="nil"/>
              <w:right w:val="nil"/>
            </w:tcBorders>
            <w:noWrap/>
          </w:tcPr>
          <w:p w14:paraId="0594153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-5.244</w:t>
            </w:r>
          </w:p>
        </w:tc>
        <w:tc>
          <w:tcPr>
            <w:tcW w:w="914" w:type="dxa"/>
            <w:tcBorders>
              <w:top w:val="nil"/>
              <w:left w:val="nil"/>
              <w:bottom w:val="nil"/>
              <w:right w:val="nil"/>
            </w:tcBorders>
            <w:noWrap/>
          </w:tcPr>
          <w:p w14:paraId="1CFFC85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-14.382</w:t>
            </w:r>
          </w:p>
        </w:tc>
      </w:tr>
      <w:tr w:rsidR="00947B9E" w:rsidRPr="00763151" w14:paraId="54234D19" w14:textId="77777777" w:rsidTr="00602F28">
        <w:trPr>
          <w:trHeight w:val="175"/>
          <w:jc w:val="center"/>
        </w:trPr>
        <w:tc>
          <w:tcPr>
            <w:tcW w:w="1372" w:type="dxa"/>
            <w:tcBorders>
              <w:top w:val="nil"/>
              <w:left w:val="nil"/>
              <w:bottom w:val="nil"/>
              <w:right w:val="nil"/>
            </w:tcBorders>
            <w:noWrap/>
          </w:tcPr>
          <w:p w14:paraId="3BBFB785"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1067" w:type="dxa"/>
            <w:tcBorders>
              <w:top w:val="nil"/>
              <w:left w:val="nil"/>
              <w:bottom w:val="nil"/>
              <w:right w:val="nil"/>
            </w:tcBorders>
            <w:noWrap/>
          </w:tcPr>
          <w:p w14:paraId="44F0468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-6.32</w:t>
            </w:r>
          </w:p>
        </w:tc>
        <w:tc>
          <w:tcPr>
            <w:tcW w:w="1219" w:type="dxa"/>
            <w:tcBorders>
              <w:top w:val="nil"/>
              <w:left w:val="nil"/>
              <w:bottom w:val="nil"/>
              <w:right w:val="nil"/>
            </w:tcBorders>
            <w:noWrap/>
          </w:tcPr>
          <w:p w14:paraId="50CE8162"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1067" w:type="dxa"/>
            <w:tcBorders>
              <w:top w:val="nil"/>
              <w:left w:val="nil"/>
              <w:bottom w:val="nil"/>
              <w:right w:val="nil"/>
            </w:tcBorders>
            <w:noWrap/>
          </w:tcPr>
          <w:p w14:paraId="1D466C5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-5.17</w:t>
            </w:r>
          </w:p>
        </w:tc>
        <w:tc>
          <w:tcPr>
            <w:tcW w:w="1032" w:type="dxa"/>
            <w:tcBorders>
              <w:top w:val="nil"/>
              <w:left w:val="nil"/>
              <w:bottom w:val="nil"/>
              <w:right w:val="nil"/>
            </w:tcBorders>
            <w:noWrap/>
          </w:tcPr>
          <w:p w14:paraId="31B7E482"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w:t>
            </w:r>
          </w:p>
        </w:tc>
        <w:tc>
          <w:tcPr>
            <w:tcW w:w="950" w:type="dxa"/>
            <w:tcBorders>
              <w:top w:val="nil"/>
              <w:left w:val="nil"/>
              <w:bottom w:val="nil"/>
              <w:right w:val="nil"/>
            </w:tcBorders>
            <w:noWrap/>
          </w:tcPr>
          <w:p w14:paraId="76C615F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-5.15</w:t>
            </w:r>
          </w:p>
        </w:tc>
        <w:tc>
          <w:tcPr>
            <w:tcW w:w="1067" w:type="dxa"/>
            <w:tcBorders>
              <w:top w:val="nil"/>
              <w:left w:val="nil"/>
              <w:bottom w:val="nil"/>
              <w:right w:val="nil"/>
            </w:tcBorders>
            <w:noWrap/>
          </w:tcPr>
          <w:p w14:paraId="284543D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-4.81</w:t>
            </w:r>
          </w:p>
        </w:tc>
        <w:tc>
          <w:tcPr>
            <w:tcW w:w="914" w:type="dxa"/>
            <w:tcBorders>
              <w:top w:val="nil"/>
              <w:left w:val="nil"/>
              <w:bottom w:val="nil"/>
              <w:right w:val="nil"/>
            </w:tcBorders>
            <w:noWrap/>
          </w:tcPr>
          <w:p w14:paraId="0447DE2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-13.65</w:t>
            </w:r>
          </w:p>
        </w:tc>
      </w:tr>
      <w:tr w:rsidR="00947B9E" w:rsidRPr="00763151" w14:paraId="589267A0" w14:textId="77777777" w:rsidTr="00A3364E">
        <w:trPr>
          <w:trHeight w:val="53"/>
          <w:jc w:val="center"/>
        </w:trPr>
        <w:tc>
          <w:tcPr>
            <w:tcW w:w="1372" w:type="dxa"/>
            <w:tcBorders>
              <w:top w:val="single" w:sz="8" w:space="0" w:color="auto"/>
              <w:left w:val="nil"/>
              <w:bottom w:val="single" w:sz="8" w:space="0" w:color="auto"/>
              <w:right w:val="nil"/>
            </w:tcBorders>
            <w:noWrap/>
          </w:tcPr>
          <w:p w14:paraId="69518F5F" w14:textId="77777777" w:rsidR="00947B9E" w:rsidRPr="00763151" w:rsidRDefault="00947B9E" w:rsidP="00CD18A9">
            <w:pPr>
              <w:spacing w:line="204" w:lineRule="auto"/>
              <w:jc w:val="center"/>
              <w:rPr>
                <w:rFonts w:ascii="Times New Roman" w:eastAsia="Times New Roman" w:hAnsi="Times New Roman" w:cs="Times New Roman"/>
                <w:color w:val="000000"/>
              </w:rPr>
            </w:pPr>
            <w:proofErr w:type="spellStart"/>
            <w:r w:rsidRPr="00F11F37">
              <w:rPr>
                <w:rFonts w:ascii="Times New Roman" w:eastAsia="Times New Roman" w:hAnsi="Times New Roman" w:cs="Times New Roman"/>
                <w:i/>
                <w:iCs/>
                <w:color w:val="000000"/>
              </w:rPr>
              <w:t>I</w:t>
            </w:r>
            <w:r w:rsidRPr="00F11F37">
              <w:rPr>
                <w:rFonts w:ascii="Times New Roman" w:eastAsia="Times New Roman" w:hAnsi="Times New Roman" w:cs="Times New Roman"/>
                <w:i/>
                <w:iCs/>
                <w:color w:val="000000"/>
                <w:vertAlign w:val="subscript"/>
              </w:rPr>
              <w:t>geo</w:t>
            </w:r>
            <w:proofErr w:type="spellEnd"/>
            <w:r w:rsidRPr="00763151">
              <w:rPr>
                <w:rFonts w:ascii="Times New Roman" w:eastAsia="Times New Roman" w:hAnsi="Times New Roman" w:cs="Times New Roman"/>
                <w:color w:val="000000"/>
              </w:rPr>
              <w:t xml:space="preserve"> Class</w:t>
            </w:r>
          </w:p>
        </w:tc>
        <w:tc>
          <w:tcPr>
            <w:tcW w:w="1067" w:type="dxa"/>
            <w:tcBorders>
              <w:top w:val="single" w:sz="8" w:space="0" w:color="auto"/>
              <w:left w:val="nil"/>
              <w:bottom w:val="single" w:sz="8" w:space="0" w:color="auto"/>
              <w:right w:val="nil"/>
            </w:tcBorders>
            <w:noWrap/>
          </w:tcPr>
          <w:p w14:paraId="78F620C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1219" w:type="dxa"/>
            <w:tcBorders>
              <w:top w:val="single" w:sz="8" w:space="0" w:color="auto"/>
              <w:left w:val="nil"/>
              <w:bottom w:val="single" w:sz="8" w:space="0" w:color="auto"/>
              <w:right w:val="nil"/>
            </w:tcBorders>
            <w:noWrap/>
          </w:tcPr>
          <w:p w14:paraId="15554AE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 &amp; 2</w:t>
            </w:r>
          </w:p>
        </w:tc>
        <w:tc>
          <w:tcPr>
            <w:tcW w:w="1067" w:type="dxa"/>
            <w:tcBorders>
              <w:top w:val="single" w:sz="8" w:space="0" w:color="auto"/>
              <w:left w:val="nil"/>
              <w:bottom w:val="single" w:sz="8" w:space="0" w:color="auto"/>
              <w:right w:val="nil"/>
            </w:tcBorders>
            <w:noWrap/>
          </w:tcPr>
          <w:p w14:paraId="0426CE6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1032" w:type="dxa"/>
            <w:tcBorders>
              <w:top w:val="single" w:sz="8" w:space="0" w:color="auto"/>
              <w:left w:val="nil"/>
              <w:bottom w:val="single" w:sz="8" w:space="0" w:color="auto"/>
              <w:right w:val="nil"/>
            </w:tcBorders>
            <w:noWrap/>
          </w:tcPr>
          <w:p w14:paraId="5FC8A9B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950" w:type="dxa"/>
            <w:tcBorders>
              <w:top w:val="single" w:sz="8" w:space="0" w:color="auto"/>
              <w:left w:val="nil"/>
              <w:bottom w:val="single" w:sz="8" w:space="0" w:color="auto"/>
              <w:right w:val="nil"/>
            </w:tcBorders>
            <w:noWrap/>
          </w:tcPr>
          <w:p w14:paraId="3022E39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1067" w:type="dxa"/>
            <w:tcBorders>
              <w:top w:val="single" w:sz="8" w:space="0" w:color="auto"/>
              <w:left w:val="nil"/>
              <w:bottom w:val="single" w:sz="8" w:space="0" w:color="auto"/>
              <w:right w:val="nil"/>
            </w:tcBorders>
            <w:noWrap/>
          </w:tcPr>
          <w:p w14:paraId="4580D33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914" w:type="dxa"/>
            <w:tcBorders>
              <w:top w:val="single" w:sz="8" w:space="0" w:color="auto"/>
              <w:left w:val="nil"/>
              <w:bottom w:val="single" w:sz="8" w:space="0" w:color="auto"/>
              <w:right w:val="nil"/>
            </w:tcBorders>
            <w:noWrap/>
          </w:tcPr>
          <w:p w14:paraId="7A34D9B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r>
      <w:tr w:rsidR="00A3364E" w:rsidRPr="00763151" w14:paraId="332ECAAA" w14:textId="77777777" w:rsidTr="0040296D">
        <w:trPr>
          <w:trHeight w:val="53"/>
          <w:jc w:val="center"/>
        </w:trPr>
        <w:tc>
          <w:tcPr>
            <w:tcW w:w="1372" w:type="dxa"/>
            <w:tcBorders>
              <w:top w:val="single" w:sz="8" w:space="0" w:color="auto"/>
              <w:left w:val="nil"/>
              <w:bottom w:val="single" w:sz="4" w:space="0" w:color="auto"/>
              <w:right w:val="nil"/>
            </w:tcBorders>
            <w:noWrap/>
          </w:tcPr>
          <w:p w14:paraId="039E4D0E" w14:textId="77777777" w:rsidR="00A3364E" w:rsidRPr="00F11F37" w:rsidRDefault="00A3364E" w:rsidP="00CD18A9">
            <w:pPr>
              <w:spacing w:line="204" w:lineRule="auto"/>
              <w:jc w:val="center"/>
              <w:rPr>
                <w:rFonts w:ascii="Times New Roman" w:eastAsia="Times New Roman" w:hAnsi="Times New Roman" w:cs="Times New Roman"/>
                <w:i/>
                <w:iCs/>
                <w:color w:val="000000"/>
              </w:rPr>
            </w:pPr>
          </w:p>
        </w:tc>
        <w:tc>
          <w:tcPr>
            <w:tcW w:w="1067" w:type="dxa"/>
            <w:tcBorders>
              <w:top w:val="single" w:sz="8" w:space="0" w:color="auto"/>
              <w:left w:val="nil"/>
              <w:bottom w:val="single" w:sz="4" w:space="0" w:color="auto"/>
              <w:right w:val="nil"/>
            </w:tcBorders>
            <w:noWrap/>
          </w:tcPr>
          <w:p w14:paraId="6AFEC316"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219" w:type="dxa"/>
            <w:tcBorders>
              <w:top w:val="single" w:sz="8" w:space="0" w:color="auto"/>
              <w:left w:val="nil"/>
              <w:bottom w:val="single" w:sz="4" w:space="0" w:color="auto"/>
              <w:right w:val="nil"/>
            </w:tcBorders>
            <w:noWrap/>
          </w:tcPr>
          <w:p w14:paraId="4A8F1B40"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067" w:type="dxa"/>
            <w:tcBorders>
              <w:top w:val="single" w:sz="8" w:space="0" w:color="auto"/>
              <w:left w:val="nil"/>
              <w:bottom w:val="single" w:sz="4" w:space="0" w:color="auto"/>
              <w:right w:val="nil"/>
            </w:tcBorders>
            <w:noWrap/>
          </w:tcPr>
          <w:p w14:paraId="6F15549E"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032" w:type="dxa"/>
            <w:tcBorders>
              <w:top w:val="single" w:sz="8" w:space="0" w:color="auto"/>
              <w:left w:val="nil"/>
              <w:bottom w:val="single" w:sz="4" w:space="0" w:color="auto"/>
              <w:right w:val="nil"/>
            </w:tcBorders>
            <w:noWrap/>
          </w:tcPr>
          <w:p w14:paraId="205C2098"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950" w:type="dxa"/>
            <w:tcBorders>
              <w:top w:val="single" w:sz="8" w:space="0" w:color="auto"/>
              <w:left w:val="nil"/>
              <w:bottom w:val="single" w:sz="4" w:space="0" w:color="auto"/>
              <w:right w:val="nil"/>
            </w:tcBorders>
            <w:noWrap/>
          </w:tcPr>
          <w:p w14:paraId="095B2FFA"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067" w:type="dxa"/>
            <w:tcBorders>
              <w:top w:val="single" w:sz="8" w:space="0" w:color="auto"/>
              <w:left w:val="nil"/>
              <w:bottom w:val="single" w:sz="4" w:space="0" w:color="auto"/>
              <w:right w:val="nil"/>
            </w:tcBorders>
            <w:noWrap/>
          </w:tcPr>
          <w:p w14:paraId="0A4C4B9C"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914" w:type="dxa"/>
            <w:tcBorders>
              <w:top w:val="single" w:sz="8" w:space="0" w:color="auto"/>
              <w:left w:val="nil"/>
              <w:bottom w:val="single" w:sz="4" w:space="0" w:color="auto"/>
              <w:right w:val="nil"/>
            </w:tcBorders>
            <w:noWrap/>
          </w:tcPr>
          <w:p w14:paraId="2BFD6595" w14:textId="77777777" w:rsidR="00A3364E" w:rsidRPr="00763151" w:rsidRDefault="00A3364E" w:rsidP="00CD18A9">
            <w:pPr>
              <w:spacing w:line="204" w:lineRule="auto"/>
              <w:jc w:val="both"/>
              <w:rPr>
                <w:rFonts w:ascii="Times New Roman" w:eastAsia="Times New Roman" w:hAnsi="Times New Roman" w:cs="Times New Roman"/>
                <w:color w:val="000000"/>
              </w:rPr>
            </w:pPr>
          </w:p>
        </w:tc>
      </w:tr>
    </w:tbl>
    <w:bookmarkEnd w:id="16"/>
    <w:p w14:paraId="2521A4D1" w14:textId="77777777" w:rsidR="00A3364E" w:rsidRPr="000739BB" w:rsidRDefault="000739BB" w:rsidP="00CD18A9">
      <w:pPr>
        <w:spacing w:after="0" w:line="204" w:lineRule="auto"/>
        <w:jc w:val="center"/>
        <w:rPr>
          <w:rFonts w:ascii="Calibri" w:eastAsia="Calibri" w:hAnsi="Calibri" w:cs="Times New Roman"/>
          <w:b/>
          <w:sz w:val="20"/>
          <w:szCs w:val="20"/>
        </w:rPr>
      </w:pPr>
      <w:r w:rsidRPr="000739BB">
        <w:rPr>
          <w:rFonts w:ascii="Times New Roman" w:eastAsia="Calibri" w:hAnsi="Times New Roman" w:cs="Times New Roman"/>
          <w:b/>
          <w:sz w:val="20"/>
          <w:szCs w:val="20"/>
        </w:rPr>
        <w:t>S</w:t>
      </w:r>
      <w:r w:rsidR="00A3364E" w:rsidRPr="000739BB">
        <w:rPr>
          <w:rFonts w:ascii="Times New Roman" w:eastAsia="Calibri" w:hAnsi="Times New Roman" w:cs="Times New Roman"/>
          <w:b/>
          <w:sz w:val="20"/>
          <w:szCs w:val="20"/>
        </w:rPr>
        <w:t>econd sampling phase</w:t>
      </w:r>
    </w:p>
    <w:tbl>
      <w:tblPr>
        <w:tblStyle w:val="TableGrid2"/>
        <w:tblW w:w="873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4"/>
        <w:gridCol w:w="1083"/>
        <w:gridCol w:w="1253"/>
        <w:gridCol w:w="1084"/>
        <w:gridCol w:w="1105"/>
        <w:gridCol w:w="1105"/>
        <w:gridCol w:w="1105"/>
        <w:gridCol w:w="989"/>
      </w:tblGrid>
      <w:tr w:rsidR="00A3364E" w:rsidRPr="00763151" w14:paraId="72AD57C7" w14:textId="77777777" w:rsidTr="00B35F5C">
        <w:trPr>
          <w:trHeight w:val="215"/>
          <w:jc w:val="center"/>
        </w:trPr>
        <w:tc>
          <w:tcPr>
            <w:tcW w:w="1014" w:type="dxa"/>
            <w:tcBorders>
              <w:top w:val="single" w:sz="4" w:space="0" w:color="auto"/>
              <w:left w:val="nil"/>
              <w:bottom w:val="nil"/>
              <w:right w:val="nil"/>
            </w:tcBorders>
            <w:noWrap/>
          </w:tcPr>
          <w:p w14:paraId="16BC9D3A"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PR-12</w:t>
            </w:r>
          </w:p>
        </w:tc>
        <w:tc>
          <w:tcPr>
            <w:tcW w:w="1083" w:type="dxa"/>
            <w:tcBorders>
              <w:top w:val="single" w:sz="4" w:space="0" w:color="auto"/>
              <w:left w:val="nil"/>
              <w:bottom w:val="nil"/>
              <w:right w:val="nil"/>
            </w:tcBorders>
            <w:noWrap/>
          </w:tcPr>
          <w:p w14:paraId="5CE86F7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-6.79</w:t>
            </w:r>
          </w:p>
        </w:tc>
        <w:tc>
          <w:tcPr>
            <w:tcW w:w="1253" w:type="dxa"/>
            <w:tcBorders>
              <w:top w:val="single" w:sz="4" w:space="0" w:color="auto"/>
              <w:left w:val="nil"/>
              <w:bottom w:val="nil"/>
              <w:right w:val="nil"/>
            </w:tcBorders>
            <w:noWrap/>
          </w:tcPr>
          <w:p w14:paraId="5C0A222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-0.538</w:t>
            </w:r>
          </w:p>
        </w:tc>
        <w:tc>
          <w:tcPr>
            <w:tcW w:w="1084" w:type="dxa"/>
            <w:tcBorders>
              <w:top w:val="single" w:sz="4" w:space="0" w:color="auto"/>
              <w:left w:val="nil"/>
              <w:bottom w:val="nil"/>
              <w:right w:val="nil"/>
            </w:tcBorders>
            <w:noWrap/>
          </w:tcPr>
          <w:p w14:paraId="0BCDACF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-4.854</w:t>
            </w:r>
          </w:p>
        </w:tc>
        <w:tc>
          <w:tcPr>
            <w:tcW w:w="1105" w:type="dxa"/>
            <w:tcBorders>
              <w:top w:val="single" w:sz="4" w:space="0" w:color="auto"/>
              <w:left w:val="nil"/>
              <w:bottom w:val="nil"/>
              <w:right w:val="nil"/>
            </w:tcBorders>
            <w:noWrap/>
          </w:tcPr>
          <w:p w14:paraId="6C70E49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-7.535</w:t>
            </w:r>
          </w:p>
        </w:tc>
        <w:tc>
          <w:tcPr>
            <w:tcW w:w="1105" w:type="dxa"/>
            <w:tcBorders>
              <w:top w:val="single" w:sz="4" w:space="0" w:color="auto"/>
              <w:left w:val="nil"/>
              <w:bottom w:val="nil"/>
              <w:right w:val="nil"/>
            </w:tcBorders>
            <w:noWrap/>
          </w:tcPr>
          <w:p w14:paraId="41FEF19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-5.597</w:t>
            </w:r>
          </w:p>
        </w:tc>
        <w:tc>
          <w:tcPr>
            <w:tcW w:w="1105" w:type="dxa"/>
            <w:tcBorders>
              <w:top w:val="single" w:sz="4" w:space="0" w:color="auto"/>
              <w:left w:val="nil"/>
              <w:bottom w:val="nil"/>
              <w:right w:val="nil"/>
            </w:tcBorders>
            <w:noWrap/>
          </w:tcPr>
          <w:p w14:paraId="6C86FB4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-5.18</w:t>
            </w:r>
          </w:p>
        </w:tc>
        <w:tc>
          <w:tcPr>
            <w:tcW w:w="989" w:type="dxa"/>
            <w:tcBorders>
              <w:top w:val="single" w:sz="4" w:space="0" w:color="auto"/>
              <w:left w:val="nil"/>
              <w:bottom w:val="nil"/>
              <w:right w:val="nil"/>
            </w:tcBorders>
            <w:noWrap/>
          </w:tcPr>
          <w:p w14:paraId="1161DEC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-13.418</w:t>
            </w:r>
          </w:p>
        </w:tc>
      </w:tr>
      <w:tr w:rsidR="00A3364E" w:rsidRPr="00763151" w14:paraId="70A39426" w14:textId="77777777" w:rsidTr="00B35F5C">
        <w:trPr>
          <w:trHeight w:val="80"/>
          <w:jc w:val="center"/>
        </w:trPr>
        <w:tc>
          <w:tcPr>
            <w:tcW w:w="1014" w:type="dxa"/>
            <w:tcBorders>
              <w:top w:val="nil"/>
              <w:left w:val="nil"/>
              <w:bottom w:val="nil"/>
              <w:right w:val="nil"/>
            </w:tcBorders>
            <w:noWrap/>
          </w:tcPr>
          <w:p w14:paraId="7F0D706A"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PR-13</w:t>
            </w:r>
          </w:p>
        </w:tc>
        <w:tc>
          <w:tcPr>
            <w:tcW w:w="1083" w:type="dxa"/>
            <w:tcBorders>
              <w:top w:val="nil"/>
              <w:left w:val="nil"/>
              <w:bottom w:val="nil"/>
              <w:right w:val="nil"/>
            </w:tcBorders>
            <w:noWrap/>
          </w:tcPr>
          <w:p w14:paraId="419E8DE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-7.278</w:t>
            </w:r>
          </w:p>
        </w:tc>
        <w:tc>
          <w:tcPr>
            <w:tcW w:w="1253" w:type="dxa"/>
            <w:tcBorders>
              <w:top w:val="nil"/>
              <w:left w:val="nil"/>
              <w:bottom w:val="nil"/>
              <w:right w:val="nil"/>
            </w:tcBorders>
            <w:noWrap/>
          </w:tcPr>
          <w:p w14:paraId="7AB72A2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1.236</w:t>
            </w:r>
          </w:p>
        </w:tc>
        <w:tc>
          <w:tcPr>
            <w:tcW w:w="1084" w:type="dxa"/>
            <w:tcBorders>
              <w:top w:val="nil"/>
              <w:left w:val="nil"/>
              <w:bottom w:val="nil"/>
              <w:right w:val="nil"/>
            </w:tcBorders>
            <w:noWrap/>
          </w:tcPr>
          <w:p w14:paraId="5FD882A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-4.927</w:t>
            </w:r>
          </w:p>
        </w:tc>
        <w:tc>
          <w:tcPr>
            <w:tcW w:w="1105" w:type="dxa"/>
            <w:tcBorders>
              <w:top w:val="nil"/>
              <w:left w:val="nil"/>
              <w:bottom w:val="nil"/>
              <w:right w:val="nil"/>
            </w:tcBorders>
            <w:noWrap/>
          </w:tcPr>
          <w:p w14:paraId="1018A63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-6.658</w:t>
            </w:r>
          </w:p>
        </w:tc>
        <w:tc>
          <w:tcPr>
            <w:tcW w:w="1105" w:type="dxa"/>
            <w:tcBorders>
              <w:top w:val="nil"/>
              <w:left w:val="nil"/>
              <w:bottom w:val="nil"/>
              <w:right w:val="nil"/>
            </w:tcBorders>
            <w:noWrap/>
          </w:tcPr>
          <w:p w14:paraId="1CAD879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-5.907</w:t>
            </w:r>
          </w:p>
        </w:tc>
        <w:tc>
          <w:tcPr>
            <w:tcW w:w="1105" w:type="dxa"/>
            <w:tcBorders>
              <w:top w:val="nil"/>
              <w:left w:val="nil"/>
              <w:bottom w:val="nil"/>
              <w:right w:val="nil"/>
            </w:tcBorders>
            <w:noWrap/>
          </w:tcPr>
          <w:p w14:paraId="483860A2"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-5.014</w:t>
            </w:r>
          </w:p>
        </w:tc>
        <w:tc>
          <w:tcPr>
            <w:tcW w:w="989" w:type="dxa"/>
            <w:tcBorders>
              <w:top w:val="nil"/>
              <w:left w:val="nil"/>
              <w:bottom w:val="nil"/>
              <w:right w:val="nil"/>
            </w:tcBorders>
            <w:noWrap/>
          </w:tcPr>
          <w:p w14:paraId="35E01572"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-13.642</w:t>
            </w:r>
          </w:p>
        </w:tc>
      </w:tr>
      <w:tr w:rsidR="00A3364E" w:rsidRPr="00763151" w14:paraId="0D93165B" w14:textId="77777777" w:rsidTr="00B35F5C">
        <w:trPr>
          <w:trHeight w:val="117"/>
          <w:jc w:val="center"/>
        </w:trPr>
        <w:tc>
          <w:tcPr>
            <w:tcW w:w="1014" w:type="dxa"/>
            <w:tcBorders>
              <w:top w:val="nil"/>
              <w:left w:val="nil"/>
              <w:bottom w:val="nil"/>
              <w:right w:val="nil"/>
            </w:tcBorders>
            <w:noWrap/>
          </w:tcPr>
          <w:p w14:paraId="4E77588F"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PR-14</w:t>
            </w:r>
          </w:p>
        </w:tc>
        <w:tc>
          <w:tcPr>
            <w:tcW w:w="1083" w:type="dxa"/>
            <w:tcBorders>
              <w:top w:val="nil"/>
              <w:left w:val="nil"/>
              <w:bottom w:val="nil"/>
              <w:right w:val="nil"/>
            </w:tcBorders>
            <w:noWrap/>
          </w:tcPr>
          <w:p w14:paraId="538D4F5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-5.844</w:t>
            </w:r>
          </w:p>
        </w:tc>
        <w:tc>
          <w:tcPr>
            <w:tcW w:w="1253" w:type="dxa"/>
            <w:tcBorders>
              <w:top w:val="nil"/>
              <w:left w:val="nil"/>
              <w:bottom w:val="nil"/>
              <w:right w:val="nil"/>
            </w:tcBorders>
            <w:noWrap/>
          </w:tcPr>
          <w:p w14:paraId="6F2ADF2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-0.538</w:t>
            </w:r>
          </w:p>
        </w:tc>
        <w:tc>
          <w:tcPr>
            <w:tcW w:w="1084" w:type="dxa"/>
            <w:tcBorders>
              <w:top w:val="nil"/>
              <w:left w:val="nil"/>
              <w:bottom w:val="nil"/>
              <w:right w:val="nil"/>
            </w:tcBorders>
            <w:noWrap/>
          </w:tcPr>
          <w:p w14:paraId="5ABFCDB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-6.026</w:t>
            </w:r>
          </w:p>
        </w:tc>
        <w:tc>
          <w:tcPr>
            <w:tcW w:w="1105" w:type="dxa"/>
            <w:tcBorders>
              <w:top w:val="nil"/>
              <w:left w:val="nil"/>
              <w:bottom w:val="nil"/>
              <w:right w:val="nil"/>
            </w:tcBorders>
            <w:noWrap/>
          </w:tcPr>
          <w:p w14:paraId="0B4474C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-7.362</w:t>
            </w:r>
          </w:p>
        </w:tc>
        <w:tc>
          <w:tcPr>
            <w:tcW w:w="1105" w:type="dxa"/>
            <w:tcBorders>
              <w:top w:val="nil"/>
              <w:left w:val="nil"/>
              <w:bottom w:val="nil"/>
              <w:right w:val="nil"/>
            </w:tcBorders>
            <w:noWrap/>
          </w:tcPr>
          <w:p w14:paraId="5C41853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-5.823</w:t>
            </w:r>
          </w:p>
        </w:tc>
        <w:tc>
          <w:tcPr>
            <w:tcW w:w="1105" w:type="dxa"/>
            <w:tcBorders>
              <w:top w:val="nil"/>
              <w:left w:val="nil"/>
              <w:bottom w:val="nil"/>
              <w:right w:val="nil"/>
            </w:tcBorders>
            <w:noWrap/>
          </w:tcPr>
          <w:p w14:paraId="58A1217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-5.331</w:t>
            </w:r>
          </w:p>
        </w:tc>
        <w:tc>
          <w:tcPr>
            <w:tcW w:w="989" w:type="dxa"/>
            <w:tcBorders>
              <w:top w:val="nil"/>
              <w:left w:val="nil"/>
              <w:bottom w:val="nil"/>
              <w:right w:val="nil"/>
            </w:tcBorders>
            <w:noWrap/>
          </w:tcPr>
          <w:p w14:paraId="388CD34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-13.506</w:t>
            </w:r>
          </w:p>
        </w:tc>
      </w:tr>
      <w:tr w:rsidR="00A3364E" w:rsidRPr="00763151" w14:paraId="127F1D74" w14:textId="77777777" w:rsidTr="00B35F5C">
        <w:trPr>
          <w:trHeight w:val="80"/>
          <w:jc w:val="center"/>
        </w:trPr>
        <w:tc>
          <w:tcPr>
            <w:tcW w:w="1014" w:type="dxa"/>
            <w:tcBorders>
              <w:top w:val="nil"/>
              <w:left w:val="nil"/>
              <w:bottom w:val="nil"/>
              <w:right w:val="nil"/>
            </w:tcBorders>
            <w:noWrap/>
          </w:tcPr>
          <w:p w14:paraId="5ECD4B51"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PR-15</w:t>
            </w:r>
          </w:p>
        </w:tc>
        <w:tc>
          <w:tcPr>
            <w:tcW w:w="1083" w:type="dxa"/>
            <w:tcBorders>
              <w:top w:val="nil"/>
              <w:left w:val="nil"/>
              <w:bottom w:val="nil"/>
              <w:right w:val="nil"/>
            </w:tcBorders>
            <w:noWrap/>
          </w:tcPr>
          <w:p w14:paraId="04CF4D5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-5.993</w:t>
            </w:r>
          </w:p>
        </w:tc>
        <w:tc>
          <w:tcPr>
            <w:tcW w:w="1253" w:type="dxa"/>
            <w:tcBorders>
              <w:top w:val="nil"/>
              <w:left w:val="nil"/>
              <w:bottom w:val="nil"/>
              <w:right w:val="nil"/>
            </w:tcBorders>
            <w:noWrap/>
          </w:tcPr>
          <w:p w14:paraId="1FD730E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1.032</w:t>
            </w:r>
          </w:p>
        </w:tc>
        <w:tc>
          <w:tcPr>
            <w:tcW w:w="1084" w:type="dxa"/>
            <w:tcBorders>
              <w:top w:val="nil"/>
              <w:left w:val="nil"/>
              <w:bottom w:val="nil"/>
              <w:right w:val="nil"/>
            </w:tcBorders>
            <w:noWrap/>
          </w:tcPr>
          <w:p w14:paraId="1D7B615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-5.324</w:t>
            </w:r>
          </w:p>
        </w:tc>
        <w:tc>
          <w:tcPr>
            <w:tcW w:w="1105" w:type="dxa"/>
            <w:tcBorders>
              <w:top w:val="nil"/>
              <w:left w:val="nil"/>
              <w:bottom w:val="nil"/>
              <w:right w:val="nil"/>
            </w:tcBorders>
            <w:noWrap/>
          </w:tcPr>
          <w:p w14:paraId="2151F72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-7.924</w:t>
            </w:r>
          </w:p>
        </w:tc>
        <w:tc>
          <w:tcPr>
            <w:tcW w:w="1105" w:type="dxa"/>
            <w:tcBorders>
              <w:top w:val="nil"/>
              <w:left w:val="nil"/>
              <w:bottom w:val="nil"/>
              <w:right w:val="nil"/>
            </w:tcBorders>
            <w:noWrap/>
          </w:tcPr>
          <w:p w14:paraId="6083AE5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-5.85</w:t>
            </w:r>
          </w:p>
        </w:tc>
        <w:tc>
          <w:tcPr>
            <w:tcW w:w="1105" w:type="dxa"/>
            <w:tcBorders>
              <w:top w:val="nil"/>
              <w:left w:val="nil"/>
              <w:bottom w:val="nil"/>
              <w:right w:val="nil"/>
            </w:tcBorders>
            <w:noWrap/>
          </w:tcPr>
          <w:p w14:paraId="36C446A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-4.801</w:t>
            </w:r>
          </w:p>
        </w:tc>
        <w:tc>
          <w:tcPr>
            <w:tcW w:w="989" w:type="dxa"/>
            <w:tcBorders>
              <w:top w:val="nil"/>
              <w:left w:val="nil"/>
              <w:bottom w:val="nil"/>
              <w:right w:val="nil"/>
            </w:tcBorders>
            <w:noWrap/>
          </w:tcPr>
          <w:p w14:paraId="22D64E1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-13.661</w:t>
            </w:r>
          </w:p>
        </w:tc>
      </w:tr>
      <w:tr w:rsidR="00A3364E" w:rsidRPr="00763151" w14:paraId="59AE640C" w14:textId="77777777" w:rsidTr="00B35F5C">
        <w:trPr>
          <w:trHeight w:val="80"/>
          <w:jc w:val="center"/>
        </w:trPr>
        <w:tc>
          <w:tcPr>
            <w:tcW w:w="1014" w:type="dxa"/>
            <w:tcBorders>
              <w:top w:val="nil"/>
              <w:left w:val="nil"/>
              <w:bottom w:val="nil"/>
              <w:right w:val="nil"/>
            </w:tcBorders>
            <w:noWrap/>
          </w:tcPr>
          <w:p w14:paraId="3199B519"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PR-16</w:t>
            </w:r>
          </w:p>
        </w:tc>
        <w:tc>
          <w:tcPr>
            <w:tcW w:w="1083" w:type="dxa"/>
            <w:tcBorders>
              <w:top w:val="nil"/>
              <w:left w:val="nil"/>
              <w:bottom w:val="nil"/>
              <w:right w:val="nil"/>
            </w:tcBorders>
            <w:noWrap/>
          </w:tcPr>
          <w:p w14:paraId="70C53E4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-7.79</w:t>
            </w:r>
          </w:p>
        </w:tc>
        <w:tc>
          <w:tcPr>
            <w:tcW w:w="1253" w:type="dxa"/>
            <w:tcBorders>
              <w:top w:val="nil"/>
              <w:left w:val="nil"/>
              <w:bottom w:val="nil"/>
              <w:right w:val="nil"/>
            </w:tcBorders>
            <w:noWrap/>
          </w:tcPr>
          <w:p w14:paraId="59F2D42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-0.492</w:t>
            </w:r>
          </w:p>
        </w:tc>
        <w:tc>
          <w:tcPr>
            <w:tcW w:w="1084" w:type="dxa"/>
            <w:tcBorders>
              <w:top w:val="nil"/>
              <w:left w:val="nil"/>
              <w:bottom w:val="nil"/>
              <w:right w:val="nil"/>
            </w:tcBorders>
            <w:noWrap/>
          </w:tcPr>
          <w:p w14:paraId="53C0C19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-5.179</w:t>
            </w:r>
          </w:p>
        </w:tc>
        <w:tc>
          <w:tcPr>
            <w:tcW w:w="1105" w:type="dxa"/>
            <w:tcBorders>
              <w:top w:val="nil"/>
              <w:left w:val="nil"/>
              <w:bottom w:val="nil"/>
              <w:right w:val="nil"/>
            </w:tcBorders>
            <w:noWrap/>
          </w:tcPr>
          <w:p w14:paraId="24CFA24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-7.644</w:t>
            </w:r>
          </w:p>
        </w:tc>
        <w:tc>
          <w:tcPr>
            <w:tcW w:w="1105" w:type="dxa"/>
            <w:tcBorders>
              <w:top w:val="nil"/>
              <w:left w:val="nil"/>
              <w:bottom w:val="nil"/>
              <w:right w:val="nil"/>
            </w:tcBorders>
            <w:noWrap/>
          </w:tcPr>
          <w:p w14:paraId="4C90A71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-5.62</w:t>
            </w:r>
          </w:p>
        </w:tc>
        <w:tc>
          <w:tcPr>
            <w:tcW w:w="1105" w:type="dxa"/>
            <w:tcBorders>
              <w:top w:val="nil"/>
              <w:left w:val="nil"/>
              <w:bottom w:val="nil"/>
              <w:right w:val="nil"/>
            </w:tcBorders>
            <w:noWrap/>
          </w:tcPr>
          <w:p w14:paraId="6467643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-5.468</w:t>
            </w:r>
          </w:p>
        </w:tc>
        <w:tc>
          <w:tcPr>
            <w:tcW w:w="989" w:type="dxa"/>
            <w:tcBorders>
              <w:top w:val="nil"/>
              <w:left w:val="nil"/>
              <w:bottom w:val="nil"/>
              <w:right w:val="nil"/>
            </w:tcBorders>
            <w:noWrap/>
          </w:tcPr>
          <w:p w14:paraId="6D7C6EA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-14.343</w:t>
            </w:r>
          </w:p>
        </w:tc>
      </w:tr>
      <w:tr w:rsidR="00A3364E" w:rsidRPr="00763151" w14:paraId="569F6068" w14:textId="77777777" w:rsidTr="00B35F5C">
        <w:trPr>
          <w:trHeight w:val="80"/>
          <w:jc w:val="center"/>
        </w:trPr>
        <w:tc>
          <w:tcPr>
            <w:tcW w:w="1014" w:type="dxa"/>
            <w:tcBorders>
              <w:top w:val="nil"/>
              <w:left w:val="nil"/>
              <w:bottom w:val="nil"/>
              <w:right w:val="nil"/>
            </w:tcBorders>
            <w:noWrap/>
          </w:tcPr>
          <w:p w14:paraId="1240F69B"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PR-17</w:t>
            </w:r>
          </w:p>
        </w:tc>
        <w:tc>
          <w:tcPr>
            <w:tcW w:w="1083" w:type="dxa"/>
            <w:tcBorders>
              <w:top w:val="nil"/>
              <w:left w:val="nil"/>
              <w:bottom w:val="nil"/>
              <w:right w:val="nil"/>
            </w:tcBorders>
            <w:noWrap/>
          </w:tcPr>
          <w:p w14:paraId="61414E6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-7.02</w:t>
            </w:r>
          </w:p>
        </w:tc>
        <w:tc>
          <w:tcPr>
            <w:tcW w:w="1253" w:type="dxa"/>
            <w:tcBorders>
              <w:top w:val="nil"/>
              <w:left w:val="nil"/>
              <w:bottom w:val="nil"/>
              <w:right w:val="nil"/>
            </w:tcBorders>
            <w:noWrap/>
          </w:tcPr>
          <w:p w14:paraId="2169CB2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1084" w:type="dxa"/>
            <w:tcBorders>
              <w:top w:val="nil"/>
              <w:left w:val="nil"/>
              <w:bottom w:val="nil"/>
              <w:right w:val="nil"/>
            </w:tcBorders>
            <w:noWrap/>
          </w:tcPr>
          <w:p w14:paraId="72A3ECD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-4.6</w:t>
            </w:r>
          </w:p>
        </w:tc>
        <w:tc>
          <w:tcPr>
            <w:tcW w:w="1105" w:type="dxa"/>
            <w:tcBorders>
              <w:top w:val="nil"/>
              <w:left w:val="nil"/>
              <w:bottom w:val="nil"/>
              <w:right w:val="nil"/>
            </w:tcBorders>
            <w:noWrap/>
          </w:tcPr>
          <w:p w14:paraId="15C2B5A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-7.167</w:t>
            </w:r>
          </w:p>
        </w:tc>
        <w:tc>
          <w:tcPr>
            <w:tcW w:w="1105" w:type="dxa"/>
            <w:tcBorders>
              <w:top w:val="nil"/>
              <w:left w:val="nil"/>
              <w:bottom w:val="nil"/>
              <w:right w:val="nil"/>
            </w:tcBorders>
            <w:noWrap/>
          </w:tcPr>
          <w:p w14:paraId="69BE7EC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-5.966</w:t>
            </w:r>
          </w:p>
        </w:tc>
        <w:tc>
          <w:tcPr>
            <w:tcW w:w="1105" w:type="dxa"/>
            <w:tcBorders>
              <w:top w:val="nil"/>
              <w:left w:val="nil"/>
              <w:bottom w:val="nil"/>
              <w:right w:val="nil"/>
            </w:tcBorders>
            <w:noWrap/>
          </w:tcPr>
          <w:p w14:paraId="4C12BFA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-5.604</w:t>
            </w:r>
          </w:p>
        </w:tc>
        <w:tc>
          <w:tcPr>
            <w:tcW w:w="989" w:type="dxa"/>
            <w:tcBorders>
              <w:top w:val="nil"/>
              <w:left w:val="nil"/>
              <w:bottom w:val="nil"/>
              <w:right w:val="nil"/>
            </w:tcBorders>
            <w:noWrap/>
          </w:tcPr>
          <w:p w14:paraId="06506E2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-13.746</w:t>
            </w:r>
          </w:p>
        </w:tc>
      </w:tr>
      <w:tr w:rsidR="00A3364E" w:rsidRPr="00763151" w14:paraId="59507E8B" w14:textId="77777777" w:rsidTr="00B35F5C">
        <w:trPr>
          <w:trHeight w:val="80"/>
          <w:jc w:val="center"/>
        </w:trPr>
        <w:tc>
          <w:tcPr>
            <w:tcW w:w="1014" w:type="dxa"/>
            <w:tcBorders>
              <w:top w:val="nil"/>
              <w:left w:val="nil"/>
              <w:bottom w:val="nil"/>
              <w:right w:val="nil"/>
            </w:tcBorders>
            <w:noWrap/>
          </w:tcPr>
          <w:p w14:paraId="3B424821"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PR-18</w:t>
            </w:r>
          </w:p>
        </w:tc>
        <w:tc>
          <w:tcPr>
            <w:tcW w:w="1083" w:type="dxa"/>
            <w:tcBorders>
              <w:top w:val="nil"/>
              <w:left w:val="nil"/>
              <w:bottom w:val="nil"/>
              <w:right w:val="nil"/>
            </w:tcBorders>
            <w:noWrap/>
          </w:tcPr>
          <w:p w14:paraId="78D5E55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-6.778</w:t>
            </w:r>
          </w:p>
        </w:tc>
        <w:tc>
          <w:tcPr>
            <w:tcW w:w="1253" w:type="dxa"/>
            <w:tcBorders>
              <w:top w:val="nil"/>
              <w:left w:val="nil"/>
              <w:bottom w:val="nil"/>
              <w:right w:val="nil"/>
            </w:tcBorders>
            <w:noWrap/>
          </w:tcPr>
          <w:p w14:paraId="40CD16A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-0.206</w:t>
            </w:r>
          </w:p>
        </w:tc>
        <w:tc>
          <w:tcPr>
            <w:tcW w:w="1084" w:type="dxa"/>
            <w:tcBorders>
              <w:top w:val="nil"/>
              <w:left w:val="nil"/>
              <w:bottom w:val="nil"/>
              <w:right w:val="nil"/>
            </w:tcBorders>
            <w:noWrap/>
          </w:tcPr>
          <w:p w14:paraId="16EAAD82"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-5.04</w:t>
            </w:r>
          </w:p>
        </w:tc>
        <w:tc>
          <w:tcPr>
            <w:tcW w:w="1105" w:type="dxa"/>
            <w:tcBorders>
              <w:top w:val="nil"/>
              <w:left w:val="nil"/>
              <w:bottom w:val="nil"/>
              <w:right w:val="nil"/>
            </w:tcBorders>
            <w:noWrap/>
          </w:tcPr>
          <w:p w14:paraId="440F077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-8.146</w:t>
            </w:r>
          </w:p>
        </w:tc>
        <w:tc>
          <w:tcPr>
            <w:tcW w:w="1105" w:type="dxa"/>
            <w:tcBorders>
              <w:top w:val="nil"/>
              <w:left w:val="nil"/>
              <w:bottom w:val="nil"/>
              <w:right w:val="nil"/>
            </w:tcBorders>
            <w:noWrap/>
          </w:tcPr>
          <w:p w14:paraId="0F9EB67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105" w:type="dxa"/>
            <w:tcBorders>
              <w:top w:val="nil"/>
              <w:left w:val="nil"/>
              <w:bottom w:val="nil"/>
              <w:right w:val="nil"/>
            </w:tcBorders>
            <w:noWrap/>
          </w:tcPr>
          <w:p w14:paraId="56CA3F8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-5.098</w:t>
            </w:r>
          </w:p>
        </w:tc>
        <w:tc>
          <w:tcPr>
            <w:tcW w:w="989" w:type="dxa"/>
            <w:tcBorders>
              <w:top w:val="nil"/>
              <w:left w:val="nil"/>
              <w:bottom w:val="nil"/>
              <w:right w:val="nil"/>
            </w:tcBorders>
            <w:noWrap/>
          </w:tcPr>
          <w:p w14:paraId="27F41182"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-13.917</w:t>
            </w:r>
          </w:p>
        </w:tc>
      </w:tr>
      <w:tr w:rsidR="00A3364E" w:rsidRPr="00763151" w14:paraId="77ED507C" w14:textId="77777777" w:rsidTr="00B35F5C">
        <w:trPr>
          <w:trHeight w:val="135"/>
          <w:jc w:val="center"/>
        </w:trPr>
        <w:tc>
          <w:tcPr>
            <w:tcW w:w="1014" w:type="dxa"/>
            <w:tcBorders>
              <w:top w:val="nil"/>
              <w:left w:val="nil"/>
              <w:bottom w:val="nil"/>
              <w:right w:val="nil"/>
            </w:tcBorders>
            <w:noWrap/>
          </w:tcPr>
          <w:p w14:paraId="00137DEE"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PR-19</w:t>
            </w:r>
          </w:p>
        </w:tc>
        <w:tc>
          <w:tcPr>
            <w:tcW w:w="1083" w:type="dxa"/>
            <w:tcBorders>
              <w:top w:val="nil"/>
              <w:left w:val="nil"/>
              <w:bottom w:val="nil"/>
              <w:right w:val="nil"/>
            </w:tcBorders>
            <w:noWrap/>
          </w:tcPr>
          <w:p w14:paraId="06D2C85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-5.808</w:t>
            </w:r>
          </w:p>
        </w:tc>
        <w:tc>
          <w:tcPr>
            <w:tcW w:w="1253" w:type="dxa"/>
            <w:tcBorders>
              <w:top w:val="nil"/>
              <w:left w:val="nil"/>
              <w:bottom w:val="nil"/>
              <w:right w:val="nil"/>
            </w:tcBorders>
            <w:noWrap/>
          </w:tcPr>
          <w:p w14:paraId="5F5D546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0.596</w:t>
            </w:r>
          </w:p>
        </w:tc>
        <w:tc>
          <w:tcPr>
            <w:tcW w:w="1084" w:type="dxa"/>
            <w:tcBorders>
              <w:top w:val="nil"/>
              <w:left w:val="nil"/>
              <w:bottom w:val="nil"/>
              <w:right w:val="nil"/>
            </w:tcBorders>
            <w:noWrap/>
          </w:tcPr>
          <w:p w14:paraId="1A7BD8E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-4.927</w:t>
            </w:r>
          </w:p>
        </w:tc>
        <w:tc>
          <w:tcPr>
            <w:tcW w:w="1105" w:type="dxa"/>
            <w:tcBorders>
              <w:top w:val="nil"/>
              <w:left w:val="nil"/>
              <w:bottom w:val="nil"/>
              <w:right w:val="nil"/>
            </w:tcBorders>
            <w:noWrap/>
          </w:tcPr>
          <w:p w14:paraId="1C3C728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-7.362</w:t>
            </w:r>
          </w:p>
        </w:tc>
        <w:tc>
          <w:tcPr>
            <w:tcW w:w="1105" w:type="dxa"/>
            <w:tcBorders>
              <w:top w:val="nil"/>
              <w:left w:val="nil"/>
              <w:bottom w:val="nil"/>
              <w:right w:val="nil"/>
            </w:tcBorders>
            <w:noWrap/>
          </w:tcPr>
          <w:p w14:paraId="56036F4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-5.573</w:t>
            </w:r>
          </w:p>
        </w:tc>
        <w:tc>
          <w:tcPr>
            <w:tcW w:w="1105" w:type="dxa"/>
            <w:tcBorders>
              <w:top w:val="nil"/>
              <w:left w:val="nil"/>
              <w:bottom w:val="nil"/>
              <w:right w:val="nil"/>
            </w:tcBorders>
            <w:noWrap/>
          </w:tcPr>
          <w:p w14:paraId="5CCFD6E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-5.271</w:t>
            </w:r>
          </w:p>
        </w:tc>
        <w:tc>
          <w:tcPr>
            <w:tcW w:w="989" w:type="dxa"/>
            <w:tcBorders>
              <w:top w:val="nil"/>
              <w:left w:val="nil"/>
              <w:bottom w:val="nil"/>
              <w:right w:val="nil"/>
            </w:tcBorders>
            <w:noWrap/>
          </w:tcPr>
          <w:p w14:paraId="2C73F79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-14.213</w:t>
            </w:r>
          </w:p>
        </w:tc>
      </w:tr>
      <w:tr w:rsidR="00A3364E" w:rsidRPr="00763151" w14:paraId="39BD4E79" w14:textId="77777777" w:rsidTr="00B35F5C">
        <w:trPr>
          <w:trHeight w:val="90"/>
          <w:jc w:val="center"/>
        </w:trPr>
        <w:tc>
          <w:tcPr>
            <w:tcW w:w="1014" w:type="dxa"/>
            <w:tcBorders>
              <w:top w:val="nil"/>
              <w:left w:val="nil"/>
              <w:bottom w:val="nil"/>
              <w:right w:val="nil"/>
            </w:tcBorders>
            <w:noWrap/>
          </w:tcPr>
          <w:p w14:paraId="6635AAF1"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lastRenderedPageBreak/>
              <w:t>PR-20</w:t>
            </w:r>
          </w:p>
        </w:tc>
        <w:tc>
          <w:tcPr>
            <w:tcW w:w="1083" w:type="dxa"/>
            <w:tcBorders>
              <w:top w:val="nil"/>
              <w:left w:val="nil"/>
              <w:bottom w:val="nil"/>
              <w:right w:val="nil"/>
            </w:tcBorders>
            <w:noWrap/>
          </w:tcPr>
          <w:p w14:paraId="33EBD02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-7.106</w:t>
            </w:r>
          </w:p>
        </w:tc>
        <w:tc>
          <w:tcPr>
            <w:tcW w:w="1253" w:type="dxa"/>
            <w:tcBorders>
              <w:top w:val="nil"/>
              <w:left w:val="nil"/>
              <w:bottom w:val="nil"/>
              <w:right w:val="nil"/>
            </w:tcBorders>
            <w:noWrap/>
          </w:tcPr>
          <w:p w14:paraId="789DDBA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-0.791</w:t>
            </w:r>
          </w:p>
        </w:tc>
        <w:tc>
          <w:tcPr>
            <w:tcW w:w="1084" w:type="dxa"/>
            <w:tcBorders>
              <w:top w:val="nil"/>
              <w:left w:val="nil"/>
              <w:bottom w:val="nil"/>
              <w:right w:val="nil"/>
            </w:tcBorders>
            <w:noWrap/>
          </w:tcPr>
          <w:p w14:paraId="5B01AF2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-5.611</w:t>
            </w:r>
          </w:p>
        </w:tc>
        <w:tc>
          <w:tcPr>
            <w:tcW w:w="1105" w:type="dxa"/>
            <w:tcBorders>
              <w:top w:val="nil"/>
              <w:left w:val="nil"/>
              <w:bottom w:val="nil"/>
              <w:right w:val="nil"/>
            </w:tcBorders>
            <w:noWrap/>
          </w:tcPr>
          <w:p w14:paraId="6AA9384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-7.702</w:t>
            </w:r>
          </w:p>
        </w:tc>
        <w:tc>
          <w:tcPr>
            <w:tcW w:w="1105" w:type="dxa"/>
            <w:tcBorders>
              <w:top w:val="nil"/>
              <w:left w:val="nil"/>
              <w:bottom w:val="nil"/>
              <w:right w:val="nil"/>
            </w:tcBorders>
            <w:noWrap/>
          </w:tcPr>
          <w:p w14:paraId="78E0856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105" w:type="dxa"/>
            <w:tcBorders>
              <w:top w:val="nil"/>
              <w:left w:val="nil"/>
              <w:bottom w:val="nil"/>
              <w:right w:val="nil"/>
            </w:tcBorders>
            <w:noWrap/>
          </w:tcPr>
          <w:p w14:paraId="5869E40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-5.064</w:t>
            </w:r>
          </w:p>
        </w:tc>
        <w:tc>
          <w:tcPr>
            <w:tcW w:w="989" w:type="dxa"/>
            <w:tcBorders>
              <w:top w:val="nil"/>
              <w:left w:val="nil"/>
              <w:bottom w:val="nil"/>
              <w:right w:val="nil"/>
            </w:tcBorders>
            <w:noWrap/>
          </w:tcPr>
          <w:p w14:paraId="715DE23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-13.873</w:t>
            </w:r>
          </w:p>
        </w:tc>
      </w:tr>
      <w:tr w:rsidR="00A3364E" w:rsidRPr="00763151" w14:paraId="339E85E5" w14:textId="77777777" w:rsidTr="00B35F5C">
        <w:trPr>
          <w:trHeight w:val="80"/>
          <w:jc w:val="center"/>
        </w:trPr>
        <w:tc>
          <w:tcPr>
            <w:tcW w:w="1014" w:type="dxa"/>
            <w:tcBorders>
              <w:top w:val="nil"/>
              <w:left w:val="nil"/>
              <w:bottom w:val="nil"/>
              <w:right w:val="nil"/>
            </w:tcBorders>
            <w:noWrap/>
          </w:tcPr>
          <w:p w14:paraId="2E784BCE"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PR-21</w:t>
            </w:r>
          </w:p>
        </w:tc>
        <w:tc>
          <w:tcPr>
            <w:tcW w:w="1083" w:type="dxa"/>
            <w:tcBorders>
              <w:top w:val="nil"/>
              <w:left w:val="nil"/>
              <w:bottom w:val="nil"/>
              <w:right w:val="nil"/>
            </w:tcBorders>
            <w:noWrap/>
          </w:tcPr>
          <w:p w14:paraId="5800DB2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-5.993</w:t>
            </w:r>
          </w:p>
        </w:tc>
        <w:tc>
          <w:tcPr>
            <w:tcW w:w="1253" w:type="dxa"/>
            <w:tcBorders>
              <w:top w:val="nil"/>
              <w:left w:val="nil"/>
              <w:bottom w:val="nil"/>
              <w:right w:val="nil"/>
            </w:tcBorders>
            <w:noWrap/>
          </w:tcPr>
          <w:p w14:paraId="33E34AC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-0.282</w:t>
            </w:r>
          </w:p>
        </w:tc>
        <w:tc>
          <w:tcPr>
            <w:tcW w:w="1084" w:type="dxa"/>
            <w:tcBorders>
              <w:top w:val="nil"/>
              <w:left w:val="nil"/>
              <w:bottom w:val="nil"/>
              <w:right w:val="nil"/>
            </w:tcBorders>
            <w:noWrap/>
          </w:tcPr>
          <w:p w14:paraId="31B9245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-6.212</w:t>
            </w:r>
          </w:p>
        </w:tc>
        <w:tc>
          <w:tcPr>
            <w:tcW w:w="1105" w:type="dxa"/>
            <w:tcBorders>
              <w:top w:val="nil"/>
              <w:left w:val="nil"/>
              <w:bottom w:val="nil"/>
              <w:right w:val="nil"/>
            </w:tcBorders>
            <w:noWrap/>
          </w:tcPr>
          <w:p w14:paraId="26B4DCB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-6.994</w:t>
            </w:r>
          </w:p>
        </w:tc>
        <w:tc>
          <w:tcPr>
            <w:tcW w:w="1105" w:type="dxa"/>
            <w:tcBorders>
              <w:top w:val="nil"/>
              <w:left w:val="nil"/>
              <w:bottom w:val="nil"/>
              <w:right w:val="nil"/>
            </w:tcBorders>
            <w:noWrap/>
          </w:tcPr>
          <w:p w14:paraId="0384965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-5.907</w:t>
            </w:r>
          </w:p>
        </w:tc>
        <w:tc>
          <w:tcPr>
            <w:tcW w:w="1105" w:type="dxa"/>
            <w:tcBorders>
              <w:top w:val="nil"/>
              <w:left w:val="nil"/>
              <w:bottom w:val="nil"/>
              <w:right w:val="nil"/>
            </w:tcBorders>
            <w:noWrap/>
          </w:tcPr>
          <w:p w14:paraId="1088B8D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-5.546</w:t>
            </w:r>
          </w:p>
        </w:tc>
        <w:tc>
          <w:tcPr>
            <w:tcW w:w="989" w:type="dxa"/>
            <w:tcBorders>
              <w:top w:val="nil"/>
              <w:left w:val="nil"/>
              <w:bottom w:val="nil"/>
              <w:right w:val="nil"/>
            </w:tcBorders>
            <w:noWrap/>
          </w:tcPr>
          <w:p w14:paraId="6826CD4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-13.936</w:t>
            </w:r>
          </w:p>
        </w:tc>
      </w:tr>
      <w:tr w:rsidR="00A3364E" w:rsidRPr="00763151" w14:paraId="22C51EC4" w14:textId="77777777" w:rsidTr="00B35F5C">
        <w:trPr>
          <w:trHeight w:val="80"/>
          <w:jc w:val="center"/>
        </w:trPr>
        <w:tc>
          <w:tcPr>
            <w:tcW w:w="1014" w:type="dxa"/>
            <w:tcBorders>
              <w:top w:val="nil"/>
              <w:left w:val="nil"/>
              <w:bottom w:val="nil"/>
              <w:right w:val="nil"/>
            </w:tcBorders>
            <w:noWrap/>
          </w:tcPr>
          <w:p w14:paraId="63837F40"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PR-22</w:t>
            </w:r>
          </w:p>
        </w:tc>
        <w:tc>
          <w:tcPr>
            <w:tcW w:w="1083" w:type="dxa"/>
            <w:tcBorders>
              <w:top w:val="nil"/>
              <w:left w:val="nil"/>
              <w:bottom w:val="nil"/>
              <w:right w:val="nil"/>
            </w:tcBorders>
            <w:noWrap/>
          </w:tcPr>
          <w:p w14:paraId="46B5AB0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-7.048</w:t>
            </w:r>
          </w:p>
        </w:tc>
        <w:tc>
          <w:tcPr>
            <w:tcW w:w="1253" w:type="dxa"/>
            <w:tcBorders>
              <w:top w:val="nil"/>
              <w:left w:val="nil"/>
              <w:bottom w:val="nil"/>
              <w:right w:val="nil"/>
            </w:tcBorders>
            <w:noWrap/>
          </w:tcPr>
          <w:p w14:paraId="426EA07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-0.685</w:t>
            </w:r>
          </w:p>
        </w:tc>
        <w:tc>
          <w:tcPr>
            <w:tcW w:w="1084" w:type="dxa"/>
            <w:tcBorders>
              <w:top w:val="nil"/>
              <w:left w:val="nil"/>
              <w:bottom w:val="nil"/>
              <w:right w:val="nil"/>
            </w:tcBorders>
            <w:noWrap/>
          </w:tcPr>
          <w:p w14:paraId="290E607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-4.88</w:t>
            </w:r>
          </w:p>
        </w:tc>
        <w:tc>
          <w:tcPr>
            <w:tcW w:w="1105" w:type="dxa"/>
            <w:tcBorders>
              <w:top w:val="nil"/>
              <w:left w:val="nil"/>
              <w:bottom w:val="nil"/>
              <w:right w:val="nil"/>
            </w:tcBorders>
            <w:noWrap/>
          </w:tcPr>
          <w:p w14:paraId="2797F61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-7.484</w:t>
            </w:r>
          </w:p>
        </w:tc>
        <w:tc>
          <w:tcPr>
            <w:tcW w:w="1105" w:type="dxa"/>
            <w:tcBorders>
              <w:top w:val="nil"/>
              <w:left w:val="nil"/>
              <w:bottom w:val="nil"/>
              <w:right w:val="nil"/>
            </w:tcBorders>
            <w:noWrap/>
          </w:tcPr>
          <w:p w14:paraId="0BC8E56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105" w:type="dxa"/>
            <w:tcBorders>
              <w:top w:val="nil"/>
              <w:left w:val="nil"/>
              <w:bottom w:val="nil"/>
              <w:right w:val="nil"/>
            </w:tcBorders>
            <w:noWrap/>
          </w:tcPr>
          <w:p w14:paraId="3514EBA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-4.91</w:t>
            </w:r>
          </w:p>
        </w:tc>
        <w:tc>
          <w:tcPr>
            <w:tcW w:w="989" w:type="dxa"/>
            <w:tcBorders>
              <w:top w:val="nil"/>
              <w:left w:val="nil"/>
              <w:bottom w:val="nil"/>
              <w:right w:val="nil"/>
            </w:tcBorders>
            <w:noWrap/>
          </w:tcPr>
          <w:p w14:paraId="7EA1DDC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-13.704</w:t>
            </w:r>
          </w:p>
        </w:tc>
      </w:tr>
      <w:tr w:rsidR="00A3364E" w:rsidRPr="00763151" w14:paraId="14979587" w14:textId="77777777" w:rsidTr="00B35F5C">
        <w:trPr>
          <w:trHeight w:val="80"/>
          <w:jc w:val="center"/>
        </w:trPr>
        <w:tc>
          <w:tcPr>
            <w:tcW w:w="1014" w:type="dxa"/>
            <w:tcBorders>
              <w:top w:val="nil"/>
              <w:left w:val="nil"/>
              <w:bottom w:val="nil"/>
              <w:right w:val="nil"/>
            </w:tcBorders>
            <w:noWrap/>
          </w:tcPr>
          <w:p w14:paraId="7F39FD2C"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CT-3</w:t>
            </w:r>
          </w:p>
        </w:tc>
        <w:tc>
          <w:tcPr>
            <w:tcW w:w="1083" w:type="dxa"/>
            <w:tcBorders>
              <w:top w:val="nil"/>
              <w:left w:val="nil"/>
              <w:bottom w:val="nil"/>
              <w:right w:val="nil"/>
            </w:tcBorders>
            <w:noWrap/>
          </w:tcPr>
          <w:p w14:paraId="6EB2751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-8.106</w:t>
            </w:r>
          </w:p>
        </w:tc>
        <w:tc>
          <w:tcPr>
            <w:tcW w:w="1253" w:type="dxa"/>
            <w:tcBorders>
              <w:top w:val="nil"/>
              <w:left w:val="nil"/>
              <w:bottom w:val="nil"/>
              <w:right w:val="nil"/>
            </w:tcBorders>
            <w:noWrap/>
          </w:tcPr>
          <w:p w14:paraId="4F44151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-0.848</w:t>
            </w:r>
          </w:p>
        </w:tc>
        <w:tc>
          <w:tcPr>
            <w:tcW w:w="1084" w:type="dxa"/>
            <w:tcBorders>
              <w:top w:val="nil"/>
              <w:left w:val="nil"/>
              <w:bottom w:val="nil"/>
              <w:right w:val="nil"/>
            </w:tcBorders>
            <w:noWrap/>
          </w:tcPr>
          <w:p w14:paraId="01E992F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-5.289</w:t>
            </w:r>
          </w:p>
        </w:tc>
        <w:tc>
          <w:tcPr>
            <w:tcW w:w="1105" w:type="dxa"/>
            <w:tcBorders>
              <w:top w:val="nil"/>
              <w:left w:val="nil"/>
              <w:bottom w:val="nil"/>
              <w:right w:val="nil"/>
            </w:tcBorders>
            <w:noWrap/>
          </w:tcPr>
          <w:p w14:paraId="78B8848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-7.824</w:t>
            </w:r>
          </w:p>
        </w:tc>
        <w:tc>
          <w:tcPr>
            <w:tcW w:w="1105" w:type="dxa"/>
            <w:tcBorders>
              <w:top w:val="nil"/>
              <w:left w:val="nil"/>
              <w:bottom w:val="nil"/>
              <w:right w:val="nil"/>
            </w:tcBorders>
            <w:noWrap/>
          </w:tcPr>
          <w:p w14:paraId="59C1AEC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-5.936</w:t>
            </w:r>
          </w:p>
        </w:tc>
        <w:tc>
          <w:tcPr>
            <w:tcW w:w="1105" w:type="dxa"/>
            <w:tcBorders>
              <w:top w:val="nil"/>
              <w:left w:val="nil"/>
              <w:bottom w:val="nil"/>
              <w:right w:val="nil"/>
            </w:tcBorders>
            <w:noWrap/>
          </w:tcPr>
          <w:p w14:paraId="765AD072"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-5.614</w:t>
            </w:r>
          </w:p>
        </w:tc>
        <w:tc>
          <w:tcPr>
            <w:tcW w:w="989" w:type="dxa"/>
            <w:tcBorders>
              <w:top w:val="nil"/>
              <w:left w:val="nil"/>
              <w:bottom w:val="nil"/>
              <w:right w:val="nil"/>
            </w:tcBorders>
            <w:noWrap/>
          </w:tcPr>
          <w:p w14:paraId="14FBA28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-14.04</w:t>
            </w:r>
          </w:p>
        </w:tc>
      </w:tr>
      <w:tr w:rsidR="00A3364E" w:rsidRPr="00763151" w14:paraId="0CA3F43C" w14:textId="77777777" w:rsidTr="00B35F5C">
        <w:trPr>
          <w:trHeight w:val="80"/>
          <w:jc w:val="center"/>
        </w:trPr>
        <w:tc>
          <w:tcPr>
            <w:tcW w:w="1014" w:type="dxa"/>
            <w:tcBorders>
              <w:top w:val="nil"/>
              <w:left w:val="nil"/>
              <w:bottom w:val="nil"/>
              <w:right w:val="nil"/>
            </w:tcBorders>
            <w:noWrap/>
          </w:tcPr>
          <w:p w14:paraId="16500628"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CT-4</w:t>
            </w:r>
          </w:p>
        </w:tc>
        <w:tc>
          <w:tcPr>
            <w:tcW w:w="1083" w:type="dxa"/>
            <w:tcBorders>
              <w:top w:val="nil"/>
              <w:left w:val="nil"/>
              <w:bottom w:val="nil"/>
              <w:right w:val="nil"/>
            </w:tcBorders>
            <w:noWrap/>
          </w:tcPr>
          <w:p w14:paraId="1708E32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-7.79</w:t>
            </w:r>
          </w:p>
        </w:tc>
        <w:tc>
          <w:tcPr>
            <w:tcW w:w="1253" w:type="dxa"/>
            <w:tcBorders>
              <w:top w:val="nil"/>
              <w:left w:val="nil"/>
              <w:bottom w:val="nil"/>
              <w:right w:val="nil"/>
            </w:tcBorders>
            <w:noWrap/>
          </w:tcPr>
          <w:p w14:paraId="4AFF38F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-0.968</w:t>
            </w:r>
          </w:p>
        </w:tc>
        <w:tc>
          <w:tcPr>
            <w:tcW w:w="1084" w:type="dxa"/>
            <w:tcBorders>
              <w:top w:val="nil"/>
              <w:left w:val="nil"/>
              <w:bottom w:val="nil"/>
              <w:right w:val="nil"/>
            </w:tcBorders>
            <w:noWrap/>
          </w:tcPr>
          <w:p w14:paraId="3C3947D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-4.997</w:t>
            </w:r>
          </w:p>
        </w:tc>
        <w:tc>
          <w:tcPr>
            <w:tcW w:w="1105" w:type="dxa"/>
            <w:tcBorders>
              <w:top w:val="nil"/>
              <w:left w:val="nil"/>
              <w:bottom w:val="nil"/>
              <w:right w:val="nil"/>
            </w:tcBorders>
            <w:noWrap/>
          </w:tcPr>
          <w:p w14:paraId="7C86542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-8.031</w:t>
            </w:r>
          </w:p>
        </w:tc>
        <w:tc>
          <w:tcPr>
            <w:tcW w:w="1105" w:type="dxa"/>
            <w:tcBorders>
              <w:top w:val="nil"/>
              <w:left w:val="nil"/>
              <w:bottom w:val="nil"/>
              <w:right w:val="nil"/>
            </w:tcBorders>
            <w:noWrap/>
          </w:tcPr>
          <w:p w14:paraId="485753D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-5.878</w:t>
            </w:r>
          </w:p>
        </w:tc>
        <w:tc>
          <w:tcPr>
            <w:tcW w:w="1105" w:type="dxa"/>
            <w:tcBorders>
              <w:top w:val="nil"/>
              <w:left w:val="nil"/>
              <w:bottom w:val="nil"/>
              <w:right w:val="nil"/>
            </w:tcBorders>
            <w:noWrap/>
          </w:tcPr>
          <w:p w14:paraId="5937C90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-5.49</w:t>
            </w:r>
          </w:p>
        </w:tc>
        <w:tc>
          <w:tcPr>
            <w:tcW w:w="989" w:type="dxa"/>
            <w:tcBorders>
              <w:top w:val="nil"/>
              <w:left w:val="nil"/>
              <w:bottom w:val="nil"/>
              <w:right w:val="nil"/>
            </w:tcBorders>
            <w:noWrap/>
          </w:tcPr>
          <w:p w14:paraId="4C26EEC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-14.248</w:t>
            </w:r>
          </w:p>
        </w:tc>
      </w:tr>
      <w:tr w:rsidR="00A3364E" w:rsidRPr="00763151" w14:paraId="1C7BD455" w14:textId="77777777" w:rsidTr="00B35F5C">
        <w:trPr>
          <w:trHeight w:val="80"/>
          <w:jc w:val="center"/>
        </w:trPr>
        <w:tc>
          <w:tcPr>
            <w:tcW w:w="1014" w:type="dxa"/>
            <w:tcBorders>
              <w:top w:val="nil"/>
              <w:left w:val="nil"/>
              <w:bottom w:val="nil"/>
              <w:right w:val="nil"/>
            </w:tcBorders>
            <w:noWrap/>
          </w:tcPr>
          <w:p w14:paraId="08DD5966"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1083" w:type="dxa"/>
            <w:tcBorders>
              <w:top w:val="nil"/>
              <w:left w:val="nil"/>
              <w:bottom w:val="nil"/>
              <w:right w:val="nil"/>
            </w:tcBorders>
            <w:noWrap/>
          </w:tcPr>
          <w:p w14:paraId="2EBB48F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-6.87262</w:t>
            </w:r>
          </w:p>
        </w:tc>
        <w:tc>
          <w:tcPr>
            <w:tcW w:w="1253" w:type="dxa"/>
            <w:tcBorders>
              <w:top w:val="nil"/>
              <w:left w:val="nil"/>
              <w:bottom w:val="nil"/>
              <w:right w:val="nil"/>
            </w:tcBorders>
            <w:noWrap/>
          </w:tcPr>
          <w:p w14:paraId="61EBEED2"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-0.19877</w:t>
            </w:r>
          </w:p>
        </w:tc>
        <w:tc>
          <w:tcPr>
            <w:tcW w:w="1084" w:type="dxa"/>
            <w:tcBorders>
              <w:top w:val="nil"/>
              <w:left w:val="nil"/>
              <w:bottom w:val="nil"/>
              <w:right w:val="nil"/>
            </w:tcBorders>
            <w:noWrap/>
          </w:tcPr>
          <w:p w14:paraId="3335D11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-5.22046</w:t>
            </w:r>
          </w:p>
        </w:tc>
        <w:tc>
          <w:tcPr>
            <w:tcW w:w="1105" w:type="dxa"/>
            <w:tcBorders>
              <w:top w:val="nil"/>
              <w:left w:val="nil"/>
              <w:bottom w:val="nil"/>
              <w:right w:val="nil"/>
            </w:tcBorders>
            <w:noWrap/>
          </w:tcPr>
          <w:p w14:paraId="32A45C2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-7.52562</w:t>
            </w:r>
          </w:p>
        </w:tc>
        <w:tc>
          <w:tcPr>
            <w:tcW w:w="1105" w:type="dxa"/>
            <w:tcBorders>
              <w:top w:val="nil"/>
              <w:left w:val="nil"/>
              <w:bottom w:val="nil"/>
              <w:right w:val="nil"/>
            </w:tcBorders>
            <w:noWrap/>
          </w:tcPr>
          <w:p w14:paraId="666FAEA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-5.77392</w:t>
            </w:r>
          </w:p>
        </w:tc>
        <w:tc>
          <w:tcPr>
            <w:tcW w:w="1105" w:type="dxa"/>
            <w:tcBorders>
              <w:top w:val="nil"/>
              <w:left w:val="nil"/>
              <w:bottom w:val="nil"/>
              <w:right w:val="nil"/>
            </w:tcBorders>
            <w:noWrap/>
          </w:tcPr>
          <w:p w14:paraId="658C849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-5.26085</w:t>
            </w:r>
          </w:p>
        </w:tc>
        <w:tc>
          <w:tcPr>
            <w:tcW w:w="989" w:type="dxa"/>
            <w:tcBorders>
              <w:top w:val="nil"/>
              <w:left w:val="nil"/>
              <w:bottom w:val="nil"/>
              <w:right w:val="nil"/>
            </w:tcBorders>
            <w:noWrap/>
          </w:tcPr>
          <w:p w14:paraId="5AC6ECE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-13.8652</w:t>
            </w:r>
          </w:p>
        </w:tc>
      </w:tr>
      <w:tr w:rsidR="00A3364E" w:rsidRPr="00763151" w14:paraId="1B50A775" w14:textId="77777777" w:rsidTr="00B35F5C">
        <w:trPr>
          <w:trHeight w:val="80"/>
          <w:jc w:val="center"/>
        </w:trPr>
        <w:tc>
          <w:tcPr>
            <w:tcW w:w="1014" w:type="dxa"/>
            <w:tcBorders>
              <w:top w:val="single" w:sz="8" w:space="0" w:color="auto"/>
              <w:left w:val="nil"/>
              <w:bottom w:val="single" w:sz="4" w:space="0" w:color="auto"/>
              <w:right w:val="nil"/>
            </w:tcBorders>
            <w:noWrap/>
          </w:tcPr>
          <w:p w14:paraId="558D7601" w14:textId="77777777" w:rsidR="00A3364E" w:rsidRPr="00763151" w:rsidRDefault="00BA44D0" w:rsidP="00CD18A9">
            <w:pPr>
              <w:spacing w:line="204" w:lineRule="auto"/>
              <w:jc w:val="center"/>
              <w:rPr>
                <w:rFonts w:ascii="Times New Roman" w:eastAsia="Times New Roman" w:hAnsi="Times New Roman" w:cs="Times New Roman"/>
                <w:color w:val="000000"/>
              </w:rPr>
            </w:pPr>
            <w:proofErr w:type="spellStart"/>
            <w:r w:rsidRPr="00F11F37">
              <w:rPr>
                <w:rFonts w:ascii="Times New Roman" w:eastAsia="Times New Roman" w:hAnsi="Times New Roman" w:cs="Times New Roman"/>
                <w:i/>
                <w:iCs/>
                <w:color w:val="000000"/>
              </w:rPr>
              <w:t>I</w:t>
            </w:r>
            <w:r w:rsidRPr="00F11F37">
              <w:rPr>
                <w:rFonts w:ascii="Times New Roman" w:eastAsia="Times New Roman" w:hAnsi="Times New Roman" w:cs="Times New Roman"/>
                <w:i/>
                <w:iCs/>
                <w:color w:val="000000"/>
                <w:vertAlign w:val="subscript"/>
              </w:rPr>
              <w:t>geo</w:t>
            </w:r>
            <w:proofErr w:type="spellEnd"/>
            <w:r w:rsidRPr="00763151">
              <w:rPr>
                <w:rFonts w:ascii="Times New Roman" w:eastAsia="Times New Roman" w:hAnsi="Times New Roman" w:cs="Times New Roman"/>
                <w:color w:val="000000"/>
              </w:rPr>
              <w:t xml:space="preserve"> Class</w:t>
            </w:r>
          </w:p>
        </w:tc>
        <w:tc>
          <w:tcPr>
            <w:tcW w:w="1083" w:type="dxa"/>
            <w:tcBorders>
              <w:top w:val="single" w:sz="8" w:space="0" w:color="auto"/>
              <w:left w:val="nil"/>
              <w:bottom w:val="single" w:sz="4" w:space="0" w:color="auto"/>
              <w:right w:val="nil"/>
            </w:tcBorders>
            <w:noWrap/>
          </w:tcPr>
          <w:p w14:paraId="2EF4D5E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253" w:type="dxa"/>
            <w:tcBorders>
              <w:top w:val="single" w:sz="8" w:space="0" w:color="auto"/>
              <w:left w:val="nil"/>
              <w:bottom w:val="single" w:sz="4" w:space="0" w:color="auto"/>
              <w:right w:val="nil"/>
            </w:tcBorders>
            <w:noWrap/>
          </w:tcPr>
          <w:p w14:paraId="01BE30E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 &amp; 1</w:t>
            </w:r>
          </w:p>
        </w:tc>
        <w:tc>
          <w:tcPr>
            <w:tcW w:w="1084" w:type="dxa"/>
            <w:tcBorders>
              <w:top w:val="single" w:sz="8" w:space="0" w:color="auto"/>
              <w:left w:val="nil"/>
              <w:bottom w:val="single" w:sz="4" w:space="0" w:color="auto"/>
              <w:right w:val="nil"/>
            </w:tcBorders>
            <w:noWrap/>
          </w:tcPr>
          <w:p w14:paraId="78677DD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105" w:type="dxa"/>
            <w:tcBorders>
              <w:top w:val="single" w:sz="8" w:space="0" w:color="auto"/>
              <w:left w:val="nil"/>
              <w:bottom w:val="single" w:sz="4" w:space="0" w:color="auto"/>
              <w:right w:val="nil"/>
            </w:tcBorders>
            <w:noWrap/>
          </w:tcPr>
          <w:p w14:paraId="35536C1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105" w:type="dxa"/>
            <w:tcBorders>
              <w:top w:val="single" w:sz="8" w:space="0" w:color="auto"/>
              <w:left w:val="nil"/>
              <w:bottom w:val="single" w:sz="4" w:space="0" w:color="auto"/>
              <w:right w:val="nil"/>
            </w:tcBorders>
            <w:noWrap/>
          </w:tcPr>
          <w:p w14:paraId="5C675832"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105" w:type="dxa"/>
            <w:tcBorders>
              <w:top w:val="single" w:sz="8" w:space="0" w:color="auto"/>
              <w:left w:val="nil"/>
              <w:bottom w:val="single" w:sz="4" w:space="0" w:color="auto"/>
              <w:right w:val="nil"/>
            </w:tcBorders>
            <w:noWrap/>
          </w:tcPr>
          <w:p w14:paraId="03AF50D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989" w:type="dxa"/>
            <w:tcBorders>
              <w:top w:val="single" w:sz="8" w:space="0" w:color="auto"/>
              <w:left w:val="nil"/>
              <w:bottom w:val="single" w:sz="4" w:space="0" w:color="auto"/>
              <w:right w:val="nil"/>
            </w:tcBorders>
            <w:noWrap/>
          </w:tcPr>
          <w:p w14:paraId="77BCA69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r>
    </w:tbl>
    <w:p w14:paraId="003505DB" w14:textId="77777777" w:rsidR="0040296D" w:rsidRDefault="0040296D" w:rsidP="00225BA0">
      <w:pPr>
        <w:spacing w:after="0" w:line="240" w:lineRule="auto"/>
        <w:jc w:val="both"/>
        <w:rPr>
          <w:rFonts w:ascii="Times New Roman" w:eastAsia="Calibri" w:hAnsi="Times New Roman" w:cs="Times New Roman"/>
          <w:sz w:val="20"/>
          <w:szCs w:val="20"/>
        </w:rPr>
      </w:pPr>
    </w:p>
    <w:p w14:paraId="0D2E4794" w14:textId="77777777" w:rsidR="00D3235C" w:rsidRDefault="00D3235C" w:rsidP="00090A3E">
      <w:pPr>
        <w:ind w:firstLine="450"/>
        <w:contextualSpacing/>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The accumulation index for the study area is presented in </w:t>
      </w:r>
      <w:r>
        <w:rPr>
          <w:rFonts w:ascii="Times New Roman" w:eastAsia="Calibri" w:hAnsi="Times New Roman" w:cs="Times New Roman"/>
          <w:color w:val="2660F0"/>
          <w:sz w:val="20"/>
          <w:szCs w:val="20"/>
        </w:rPr>
        <w:t>Table 7</w:t>
      </w:r>
      <w:r>
        <w:rPr>
          <w:rFonts w:ascii="Times New Roman" w:eastAsia="Calibri" w:hAnsi="Times New Roman" w:cs="Times New Roman"/>
          <w:sz w:val="20"/>
          <w:szCs w:val="20"/>
        </w:rPr>
        <w:t>. According to the first sampling</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 xml:space="preserve">phase values, all studied heavy metals (Cr, Cu, Fe, Ni, Pb, Zn) fall into class one, except Cd, which falls under class zero </w:t>
      </w:r>
      <w:r>
        <w:rPr>
          <w:rFonts w:ascii="Times New Roman" w:eastAsia="Calibri" w:hAnsi="Times New Roman" w:cs="Times New Roman"/>
          <w:sz w:val="20"/>
          <w:szCs w:val="20"/>
          <w:highlight w:val="yellow"/>
        </w:rPr>
        <w:t>at</w:t>
      </w:r>
      <w:r>
        <w:rPr>
          <w:rFonts w:ascii="Times New Roman" w:eastAsia="Calibri" w:hAnsi="Times New Roman" w:cs="Times New Roman"/>
          <w:sz w:val="20"/>
          <w:szCs w:val="20"/>
        </w:rPr>
        <w:t xml:space="preserve"> stations PR-3, PR-8, and the control samples; class one </w:t>
      </w:r>
      <w:r>
        <w:rPr>
          <w:rFonts w:ascii="Times New Roman" w:eastAsia="Calibri" w:hAnsi="Times New Roman" w:cs="Times New Roman"/>
          <w:sz w:val="20"/>
          <w:szCs w:val="20"/>
          <w:highlight w:val="yellow"/>
        </w:rPr>
        <w:t>at</w:t>
      </w:r>
      <w:r>
        <w:rPr>
          <w:rFonts w:ascii="Times New Roman" w:eastAsia="Calibri" w:hAnsi="Times New Roman" w:cs="Times New Roman"/>
          <w:sz w:val="20"/>
          <w:szCs w:val="20"/>
        </w:rPr>
        <w:t xml:space="preserve"> PR-1, PR-5, PR-7, PR-10, and PR-11; and class two </w:t>
      </w:r>
      <w:r>
        <w:rPr>
          <w:rFonts w:ascii="Times New Roman" w:eastAsia="Calibri" w:hAnsi="Times New Roman" w:cs="Times New Roman"/>
          <w:sz w:val="20"/>
          <w:szCs w:val="20"/>
          <w:highlight w:val="yellow"/>
        </w:rPr>
        <w:t>at</w:t>
      </w:r>
      <w:r>
        <w:rPr>
          <w:rFonts w:ascii="Times New Roman" w:eastAsia="Calibri" w:hAnsi="Times New Roman" w:cs="Times New Roman"/>
          <w:sz w:val="20"/>
          <w:szCs w:val="20"/>
        </w:rPr>
        <w:t xml:space="preserve"> locations PR-2, PR-4, PR-6, and PR-9, as depicted in </w:t>
      </w:r>
      <w:r>
        <w:rPr>
          <w:rFonts w:ascii="Times New Roman" w:eastAsia="Calibri" w:hAnsi="Times New Roman" w:cs="Times New Roman"/>
          <w:color w:val="2660F0"/>
          <w:sz w:val="20"/>
          <w:szCs w:val="20"/>
        </w:rPr>
        <w:t>Fig. 17a</w:t>
      </w:r>
      <w:r>
        <w:rPr>
          <w:rFonts w:ascii="Times New Roman" w:eastAsia="Calibri" w:hAnsi="Times New Roman" w:cs="Times New Roman"/>
          <w:sz w:val="20"/>
          <w:szCs w:val="20"/>
        </w:rPr>
        <w:t xml:space="preserve">. For the second phase, as shown in </w:t>
      </w:r>
      <w:r>
        <w:rPr>
          <w:rFonts w:ascii="Times New Roman" w:eastAsia="Calibri" w:hAnsi="Times New Roman" w:cs="Times New Roman"/>
          <w:color w:val="2660F0"/>
          <w:sz w:val="20"/>
          <w:szCs w:val="20"/>
        </w:rPr>
        <w:t>Fig. 17b</w:t>
      </w:r>
      <w:r>
        <w:rPr>
          <w:rFonts w:ascii="Times New Roman" w:eastAsia="Calibri" w:hAnsi="Times New Roman" w:cs="Times New Roman"/>
          <w:sz w:val="20"/>
          <w:szCs w:val="20"/>
        </w:rPr>
        <w:t xml:space="preserve">, Cd falls under class one </w:t>
      </w:r>
      <w:r>
        <w:rPr>
          <w:rFonts w:ascii="Times New Roman" w:eastAsia="Calibri" w:hAnsi="Times New Roman" w:cs="Times New Roman"/>
          <w:sz w:val="20"/>
          <w:szCs w:val="20"/>
          <w:highlight w:val="yellow"/>
        </w:rPr>
        <w:t>at</w:t>
      </w:r>
      <w:r>
        <w:rPr>
          <w:rFonts w:ascii="Times New Roman" w:eastAsia="Calibri" w:hAnsi="Times New Roman" w:cs="Times New Roman"/>
          <w:sz w:val="20"/>
          <w:szCs w:val="20"/>
        </w:rPr>
        <w:t xml:space="preserve"> station PR-19, class two </w:t>
      </w:r>
      <w:r>
        <w:rPr>
          <w:rFonts w:ascii="Times New Roman" w:eastAsia="Calibri" w:hAnsi="Times New Roman" w:cs="Times New Roman"/>
          <w:sz w:val="20"/>
          <w:szCs w:val="20"/>
          <w:highlight w:val="yellow"/>
        </w:rPr>
        <w:t>at</w:t>
      </w:r>
      <w:r>
        <w:rPr>
          <w:rFonts w:ascii="Times New Roman" w:eastAsia="Calibri" w:hAnsi="Times New Roman" w:cs="Times New Roman"/>
          <w:sz w:val="20"/>
          <w:szCs w:val="20"/>
        </w:rPr>
        <w:t xml:space="preserve"> PR-13 and PR-15, and class zero </w:t>
      </w:r>
      <w:r>
        <w:rPr>
          <w:rFonts w:ascii="Times New Roman" w:eastAsia="Calibri" w:hAnsi="Times New Roman" w:cs="Times New Roman"/>
          <w:sz w:val="20"/>
          <w:szCs w:val="20"/>
          <w:highlight w:val="yellow"/>
        </w:rPr>
        <w:t>at the</w:t>
      </w:r>
      <w:r>
        <w:rPr>
          <w:rFonts w:ascii="Times New Roman" w:eastAsia="Calibri" w:hAnsi="Times New Roman" w:cs="Times New Roman"/>
          <w:sz w:val="20"/>
          <w:szCs w:val="20"/>
        </w:rPr>
        <w:t xml:space="preserve"> other stations, including the control samples (</w:t>
      </w:r>
      <w:r>
        <w:rPr>
          <w:rFonts w:ascii="Times New Roman" w:eastAsia="Calibri" w:hAnsi="Times New Roman" w:cs="Times New Roman"/>
          <w:color w:val="2660F0"/>
          <w:sz w:val="20"/>
          <w:szCs w:val="20"/>
        </w:rPr>
        <w:t>Table 7</w:t>
      </w:r>
      <w:r>
        <w:rPr>
          <w:rFonts w:ascii="Times New Roman" w:eastAsia="Calibri" w:hAnsi="Times New Roman" w:cs="Times New Roman"/>
          <w:sz w:val="20"/>
          <w:szCs w:val="20"/>
        </w:rPr>
        <w:t xml:space="preserve">). These classifications range from uncontaminated to moderately contaminated (class 1) and moderately contaminated (class 2). The effect </w:t>
      </w:r>
      <w:r>
        <w:rPr>
          <w:rFonts w:ascii="Times New Roman" w:eastAsia="Calibri" w:hAnsi="Times New Roman" w:cs="Times New Roman"/>
          <w:sz w:val="20"/>
          <w:szCs w:val="20"/>
          <w:highlight w:val="yellow"/>
        </w:rPr>
        <w:t xml:space="preserve">of </w:t>
      </w:r>
      <w:r>
        <w:rPr>
          <w:rFonts w:ascii="Times New Roman" w:eastAsia="Calibri" w:hAnsi="Times New Roman" w:cs="Times New Roman"/>
          <w:sz w:val="20"/>
          <w:szCs w:val="20"/>
        </w:rPr>
        <w:t>attenuation over time c</w:t>
      </w:r>
      <w:r>
        <w:rPr>
          <w:rFonts w:ascii="Times New Roman" w:eastAsia="Calibri" w:hAnsi="Times New Roman" w:cs="Times New Roman"/>
          <w:sz w:val="20"/>
          <w:szCs w:val="20"/>
          <w:highlight w:val="yellow"/>
        </w:rPr>
        <w:t>an</w:t>
      </w:r>
      <w:r>
        <w:rPr>
          <w:rFonts w:ascii="Times New Roman" w:eastAsia="Calibri" w:hAnsi="Times New Roman" w:cs="Times New Roman"/>
          <w:sz w:val="20"/>
          <w:szCs w:val="20"/>
        </w:rPr>
        <w:t xml:space="preserve"> be seen in the reduced number of locations contaminated with Cd. However, the </w:t>
      </w:r>
      <w:r>
        <w:rPr>
          <w:rFonts w:ascii="Times New Roman" w:eastAsia="Calibri" w:hAnsi="Times New Roman" w:cs="Times New Roman"/>
          <w:sz w:val="20"/>
          <w:szCs w:val="20"/>
          <w:highlight w:val="yellow"/>
        </w:rPr>
        <w:t>pe</w:t>
      </w:r>
      <w:r>
        <w:rPr>
          <w:rFonts w:ascii="Times New Roman" w:eastAsia="Calibri" w:hAnsi="Times New Roman" w:cs="Times New Roman"/>
          <w:sz w:val="20"/>
          <w:szCs w:val="20"/>
        </w:rPr>
        <w:t>rsist</w:t>
      </w:r>
      <w:r>
        <w:rPr>
          <w:rFonts w:ascii="Times New Roman" w:eastAsia="Calibri" w:hAnsi="Times New Roman" w:cs="Times New Roman"/>
          <w:sz w:val="20"/>
          <w:szCs w:val="20"/>
          <w:highlight w:val="yellow"/>
        </w:rPr>
        <w:t>e</w:t>
      </w:r>
      <w:r>
        <w:rPr>
          <w:rFonts w:ascii="Times New Roman" w:eastAsia="Calibri" w:hAnsi="Times New Roman" w:cs="Times New Roman"/>
          <w:sz w:val="20"/>
          <w:szCs w:val="20"/>
        </w:rPr>
        <w:t>nt concentration of Cd remaining in the environment indicates that effort</w:t>
      </w:r>
      <w:r>
        <w:rPr>
          <w:rFonts w:ascii="Times New Roman" w:eastAsia="Calibri" w:hAnsi="Times New Roman" w:cs="Times New Roman"/>
          <w:sz w:val="20"/>
          <w:szCs w:val="20"/>
          <w:highlight w:val="yellow"/>
        </w:rPr>
        <w:t>s</w:t>
      </w:r>
      <w:r>
        <w:rPr>
          <w:rFonts w:ascii="Times New Roman" w:eastAsia="Calibri" w:hAnsi="Times New Roman" w:cs="Times New Roman"/>
          <w:sz w:val="20"/>
          <w:szCs w:val="20"/>
        </w:rPr>
        <w:t xml:space="preserve"> should be made to monitor the factors contributing to the </w:t>
      </w:r>
      <w:r>
        <w:rPr>
          <w:rFonts w:ascii="Times New Roman" w:eastAsia="Calibri" w:hAnsi="Times New Roman" w:cs="Times New Roman"/>
          <w:sz w:val="20"/>
          <w:szCs w:val="20"/>
          <w:highlight w:val="yellow"/>
        </w:rPr>
        <w:t>pe</w:t>
      </w:r>
      <w:r>
        <w:rPr>
          <w:rFonts w:ascii="Times New Roman" w:eastAsia="Calibri" w:hAnsi="Times New Roman" w:cs="Times New Roman"/>
          <w:sz w:val="20"/>
          <w:szCs w:val="20"/>
        </w:rPr>
        <w:t>rsist</w:t>
      </w:r>
      <w:r>
        <w:rPr>
          <w:rFonts w:ascii="Times New Roman" w:eastAsia="Calibri" w:hAnsi="Times New Roman" w:cs="Times New Roman"/>
          <w:sz w:val="20"/>
          <w:szCs w:val="20"/>
          <w:highlight w:val="yellow"/>
        </w:rPr>
        <w:t>e</w:t>
      </w:r>
      <w:r>
        <w:rPr>
          <w:rFonts w:ascii="Times New Roman" w:eastAsia="Calibri" w:hAnsi="Times New Roman" w:cs="Times New Roman"/>
          <w:sz w:val="20"/>
          <w:szCs w:val="20"/>
        </w:rPr>
        <w:t>n</w:t>
      </w:r>
      <w:r>
        <w:rPr>
          <w:rFonts w:ascii="Times New Roman" w:eastAsia="Calibri" w:hAnsi="Times New Roman" w:cs="Times New Roman"/>
          <w:sz w:val="20"/>
          <w:szCs w:val="20"/>
          <w:highlight w:val="yellow"/>
        </w:rPr>
        <w:t>ce</w:t>
      </w:r>
      <w:r>
        <w:rPr>
          <w:rFonts w:ascii="Times New Roman" w:eastAsia="Calibri" w:hAnsi="Times New Roman" w:cs="Times New Roman"/>
          <w:sz w:val="20"/>
          <w:szCs w:val="20"/>
        </w:rPr>
        <w:t xml:space="preserve"> of Cd (</w:t>
      </w:r>
      <w:r>
        <w:rPr>
          <w:rFonts w:ascii="Times New Roman" w:eastAsia="Calibri" w:hAnsi="Times New Roman" w:cs="Times New Roman"/>
          <w:color w:val="2660F0"/>
          <w:sz w:val="20"/>
          <w:szCs w:val="20"/>
        </w:rPr>
        <w:t>Aloa et al., 2024</w:t>
      </w:r>
      <w:r>
        <w:rPr>
          <w:rFonts w:ascii="Times New Roman" w:eastAsia="Calibri" w:hAnsi="Times New Roman" w:cs="Times New Roman"/>
          <w:sz w:val="20"/>
          <w:szCs w:val="20"/>
        </w:rPr>
        <w:t>) or t</w:t>
      </w:r>
      <w:r>
        <w:rPr>
          <w:rFonts w:ascii="Times New Roman" w:eastAsia="Calibri" w:hAnsi="Times New Roman" w:cs="Times New Roman"/>
          <w:sz w:val="20"/>
          <w:szCs w:val="20"/>
          <w:highlight w:val="yellow"/>
        </w:rPr>
        <w:t>h</w:t>
      </w:r>
      <w:r>
        <w:rPr>
          <w:rFonts w:ascii="Times New Roman" w:eastAsia="Calibri" w:hAnsi="Times New Roman" w:cs="Times New Roman"/>
          <w:sz w:val="20"/>
          <w:szCs w:val="20"/>
        </w:rPr>
        <w:t>os</w:t>
      </w:r>
      <w:r>
        <w:rPr>
          <w:rFonts w:ascii="Times New Roman" w:eastAsia="Calibri" w:hAnsi="Times New Roman" w:cs="Times New Roman"/>
          <w:sz w:val="20"/>
          <w:szCs w:val="20"/>
          <w:highlight w:val="yellow"/>
        </w:rPr>
        <w:t>e</w:t>
      </w:r>
      <w:r>
        <w:rPr>
          <w:rFonts w:ascii="Times New Roman" w:eastAsia="Calibri" w:hAnsi="Times New Roman" w:cs="Times New Roman"/>
          <w:sz w:val="20"/>
          <w:szCs w:val="20"/>
        </w:rPr>
        <w:t xml:space="preserve"> responsible for th</w:t>
      </w:r>
      <w:r>
        <w:rPr>
          <w:rFonts w:ascii="Times New Roman" w:eastAsia="Calibri" w:hAnsi="Times New Roman" w:cs="Times New Roman"/>
          <w:sz w:val="20"/>
          <w:szCs w:val="20"/>
          <w:highlight w:val="yellow"/>
        </w:rPr>
        <w:t>e</w:t>
      </w:r>
      <w:r>
        <w:rPr>
          <w:rFonts w:ascii="Times New Roman" w:eastAsia="Calibri" w:hAnsi="Times New Roman" w:cs="Times New Roman"/>
          <w:sz w:val="20"/>
          <w:szCs w:val="20"/>
        </w:rPr>
        <w:t xml:space="preserve"> low concentration found </w:t>
      </w:r>
      <w:r>
        <w:rPr>
          <w:rFonts w:ascii="Times New Roman" w:eastAsia="Calibri" w:hAnsi="Times New Roman" w:cs="Times New Roman"/>
          <w:sz w:val="20"/>
          <w:szCs w:val="20"/>
          <w:highlight w:val="yellow"/>
        </w:rPr>
        <w:t>at</w:t>
      </w:r>
      <w:r>
        <w:rPr>
          <w:rFonts w:ascii="Times New Roman" w:eastAsia="Calibri" w:hAnsi="Times New Roman" w:cs="Times New Roman"/>
          <w:sz w:val="20"/>
          <w:szCs w:val="20"/>
        </w:rPr>
        <w:t xml:space="preserve"> PR-13 and PR-15.</w:t>
      </w:r>
    </w:p>
    <w:p w14:paraId="437CA1E7" w14:textId="77777777" w:rsidR="00A55FB5" w:rsidRPr="008C0330" w:rsidRDefault="00A55FB5" w:rsidP="00D3235C">
      <w:pPr>
        <w:contextualSpacing/>
        <w:jc w:val="both"/>
        <w:rPr>
          <w:rFonts w:ascii="Times New Roman" w:hAnsi="Times New Roman" w:cs="Times New Roman"/>
          <w:sz w:val="20"/>
          <w:szCs w:val="20"/>
        </w:rPr>
      </w:pPr>
    </w:p>
    <w:p w14:paraId="1F5BF86C" w14:textId="77777777" w:rsidR="00725445" w:rsidRDefault="00725445" w:rsidP="0040296D">
      <w:pPr>
        <w:spacing w:after="0" w:line="276" w:lineRule="auto"/>
        <w:jc w:val="center"/>
        <w:rPr>
          <w:rFonts w:ascii="Times New Roman" w:eastAsia="Calibri" w:hAnsi="Times New Roman" w:cs="Times New Roman"/>
          <w:b/>
          <w:sz w:val="20"/>
          <w:szCs w:val="20"/>
        </w:rPr>
      </w:pPr>
      <w:r w:rsidRPr="00725445">
        <w:rPr>
          <w:rFonts w:ascii="Times New Roman" w:eastAsia="Calibri" w:hAnsi="Times New Roman" w:cs="Times New Roman"/>
          <w:b/>
          <w:noProof/>
          <w:sz w:val="20"/>
          <w:szCs w:val="20"/>
        </w:rPr>
        <w:drawing>
          <wp:inline distT="0" distB="0" distL="0" distR="0" wp14:anchorId="04F66DE9" wp14:editId="58575393">
            <wp:extent cx="5871210" cy="2447925"/>
            <wp:effectExtent l="0" t="0" r="15240" b="9525"/>
            <wp:docPr id="23" name="Chart 23">
              <a:extLst xmlns:a="http://schemas.openxmlformats.org/drawingml/2006/main">
                <a:ext uri="{FF2B5EF4-FFF2-40B4-BE49-F238E27FC236}">
                  <a16:creationId xmlns:a16="http://schemas.microsoft.com/office/drawing/2014/main" id="{EC3FDE1E-CFA5-AD2E-3E42-1EE6EF3592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65605CD" w14:textId="77777777" w:rsidR="00D87046" w:rsidRDefault="00D87046" w:rsidP="00CB4B81">
      <w:pPr>
        <w:spacing w:after="0" w:line="240" w:lineRule="auto"/>
        <w:jc w:val="center"/>
        <w:rPr>
          <w:rFonts w:ascii="Times New Roman" w:eastAsia="Calibri" w:hAnsi="Times New Roman" w:cs="Times New Roman"/>
          <w:bCs/>
          <w:sz w:val="20"/>
          <w:szCs w:val="20"/>
        </w:rPr>
      </w:pPr>
      <w:r w:rsidRPr="00763151">
        <w:rPr>
          <w:rFonts w:ascii="Times New Roman" w:eastAsia="Calibri" w:hAnsi="Times New Roman" w:cs="Times New Roman"/>
          <w:b/>
          <w:sz w:val="20"/>
          <w:szCs w:val="20"/>
        </w:rPr>
        <w:t>Fig</w:t>
      </w:r>
      <w:r w:rsidR="001E451C">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CB4B81">
        <w:rPr>
          <w:rFonts w:ascii="Times New Roman" w:eastAsia="Calibri" w:hAnsi="Times New Roman" w:cs="Times New Roman"/>
          <w:b/>
          <w:sz w:val="20"/>
          <w:szCs w:val="20"/>
        </w:rPr>
        <w:t>17a</w:t>
      </w:r>
      <w:r w:rsidR="001E451C">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proofErr w:type="spellStart"/>
      <w:r w:rsidRPr="00CB4B81">
        <w:rPr>
          <w:rFonts w:ascii="Times New Roman" w:eastAsia="Calibri" w:hAnsi="Times New Roman" w:cs="Times New Roman"/>
          <w:bCs/>
          <w:sz w:val="20"/>
          <w:szCs w:val="20"/>
        </w:rPr>
        <w:t>Geoaccumulation</w:t>
      </w:r>
      <w:proofErr w:type="spellEnd"/>
      <w:r w:rsidRPr="00CB4B81">
        <w:rPr>
          <w:rFonts w:ascii="Times New Roman" w:eastAsia="Calibri" w:hAnsi="Times New Roman" w:cs="Times New Roman"/>
          <w:bCs/>
          <w:sz w:val="20"/>
          <w:szCs w:val="20"/>
        </w:rPr>
        <w:t xml:space="preserve"> index</w:t>
      </w:r>
      <w:r w:rsidR="00E77B5E">
        <w:rPr>
          <w:rFonts w:ascii="Times New Roman" w:eastAsia="Calibri" w:hAnsi="Times New Roman" w:cs="Times New Roman"/>
          <w:bCs/>
          <w:sz w:val="20"/>
          <w:szCs w:val="20"/>
        </w:rPr>
        <w:t xml:space="preserve"> (</w:t>
      </w:r>
      <w:proofErr w:type="spellStart"/>
      <w:r w:rsidR="00E77B5E" w:rsidRPr="00F11F37">
        <w:rPr>
          <w:rFonts w:ascii="Times New Roman" w:eastAsia="Calibri" w:hAnsi="Times New Roman" w:cs="Times New Roman"/>
          <w:bCs/>
          <w:i/>
          <w:iCs/>
          <w:sz w:val="20"/>
          <w:szCs w:val="20"/>
        </w:rPr>
        <w:t>I</w:t>
      </w:r>
      <w:r w:rsidR="00E77B5E" w:rsidRPr="00F11F37">
        <w:rPr>
          <w:rFonts w:ascii="Times New Roman" w:eastAsia="Calibri" w:hAnsi="Times New Roman" w:cs="Times New Roman"/>
          <w:bCs/>
          <w:i/>
          <w:iCs/>
          <w:sz w:val="20"/>
          <w:szCs w:val="20"/>
          <w:vertAlign w:val="subscript"/>
        </w:rPr>
        <w:t>geo</w:t>
      </w:r>
      <w:proofErr w:type="spellEnd"/>
      <w:r w:rsidR="00E77B5E">
        <w:rPr>
          <w:rFonts w:ascii="Times New Roman" w:eastAsia="Calibri" w:hAnsi="Times New Roman" w:cs="Times New Roman"/>
          <w:bCs/>
          <w:sz w:val="20"/>
          <w:szCs w:val="20"/>
        </w:rPr>
        <w:t>)</w:t>
      </w:r>
      <w:r w:rsidRPr="00CB4B81">
        <w:rPr>
          <w:rFonts w:ascii="Times New Roman" w:eastAsia="Calibri" w:hAnsi="Times New Roman" w:cs="Times New Roman"/>
          <w:bCs/>
          <w:sz w:val="20"/>
          <w:szCs w:val="20"/>
        </w:rPr>
        <w:t xml:space="preserve"> of </w:t>
      </w:r>
      <w:r w:rsidR="0001665F">
        <w:rPr>
          <w:rFonts w:ascii="Times New Roman" w:eastAsia="Calibri" w:hAnsi="Times New Roman" w:cs="Times New Roman"/>
          <w:bCs/>
          <w:sz w:val="20"/>
          <w:szCs w:val="20"/>
        </w:rPr>
        <w:t>the f</w:t>
      </w:r>
      <w:r w:rsidRPr="00CB4B81">
        <w:rPr>
          <w:rFonts w:ascii="Times New Roman" w:eastAsia="Calibri" w:hAnsi="Times New Roman" w:cs="Times New Roman"/>
          <w:bCs/>
          <w:sz w:val="20"/>
          <w:szCs w:val="20"/>
        </w:rPr>
        <w:t xml:space="preserve">irst </w:t>
      </w:r>
      <w:r w:rsidR="0001665F">
        <w:rPr>
          <w:rFonts w:ascii="Times New Roman" w:eastAsia="Calibri" w:hAnsi="Times New Roman" w:cs="Times New Roman"/>
          <w:bCs/>
          <w:sz w:val="20"/>
          <w:szCs w:val="20"/>
        </w:rPr>
        <w:t>sampling phase</w:t>
      </w:r>
    </w:p>
    <w:p w14:paraId="4D2956A6" w14:textId="77777777" w:rsidR="00C57CFA" w:rsidRDefault="00C57CFA" w:rsidP="007B5CA0">
      <w:pPr>
        <w:spacing w:after="0" w:line="240" w:lineRule="auto"/>
        <w:jc w:val="both"/>
        <w:rPr>
          <w:rFonts w:ascii="Times New Roman" w:eastAsia="Calibri" w:hAnsi="Times New Roman" w:cs="Times New Roman"/>
          <w:b/>
          <w:sz w:val="20"/>
          <w:szCs w:val="20"/>
        </w:rPr>
      </w:pPr>
    </w:p>
    <w:p w14:paraId="45EDFB97" w14:textId="77777777" w:rsidR="00E974C1" w:rsidRDefault="00FB6F46" w:rsidP="00B557C2">
      <w:pPr>
        <w:spacing w:after="0" w:line="276" w:lineRule="auto"/>
        <w:jc w:val="center"/>
        <w:rPr>
          <w:rFonts w:ascii="Times New Roman" w:eastAsia="Calibri" w:hAnsi="Times New Roman" w:cs="Times New Roman"/>
          <w:sz w:val="20"/>
          <w:szCs w:val="20"/>
        </w:rPr>
      </w:pPr>
      <w:r w:rsidRPr="00FB6F46">
        <w:rPr>
          <w:rFonts w:ascii="Times New Roman" w:eastAsia="Calibri" w:hAnsi="Times New Roman" w:cs="Times New Roman"/>
          <w:noProof/>
          <w:sz w:val="20"/>
          <w:szCs w:val="20"/>
        </w:rPr>
        <w:drawing>
          <wp:inline distT="0" distB="0" distL="0" distR="0" wp14:anchorId="101B6D33" wp14:editId="45CC14DC">
            <wp:extent cx="5880735" cy="2695575"/>
            <wp:effectExtent l="0" t="0" r="5715" b="9525"/>
            <wp:docPr id="59" name="Chart 59">
              <a:extLst xmlns:a="http://schemas.openxmlformats.org/drawingml/2006/main">
                <a:ext uri="{FF2B5EF4-FFF2-40B4-BE49-F238E27FC236}">
                  <a16:creationId xmlns:a16="http://schemas.microsoft.com/office/drawing/2014/main" id="{5849DC1D-45FC-5F6B-566F-EF74947603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5D9AF2A" w14:textId="77777777" w:rsidR="00D87046" w:rsidRDefault="00D87046" w:rsidP="0015042A">
      <w:pPr>
        <w:spacing w:after="0" w:line="240" w:lineRule="auto"/>
        <w:jc w:val="center"/>
        <w:rPr>
          <w:rFonts w:ascii="Times New Roman" w:eastAsia="Calibri" w:hAnsi="Times New Roman" w:cs="Times New Roman"/>
          <w:sz w:val="20"/>
          <w:szCs w:val="20"/>
        </w:rPr>
      </w:pPr>
      <w:r w:rsidRPr="00763151">
        <w:rPr>
          <w:rFonts w:ascii="Times New Roman" w:eastAsia="Calibri" w:hAnsi="Times New Roman" w:cs="Times New Roman"/>
          <w:b/>
          <w:sz w:val="20"/>
          <w:szCs w:val="20"/>
        </w:rPr>
        <w:t>Fig</w:t>
      </w:r>
      <w:r w:rsidR="00E974C1">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E974C1">
        <w:rPr>
          <w:rFonts w:ascii="Times New Roman" w:eastAsia="Calibri" w:hAnsi="Times New Roman" w:cs="Times New Roman"/>
          <w:b/>
          <w:sz w:val="20"/>
          <w:szCs w:val="20"/>
        </w:rPr>
        <w:t>17</w:t>
      </w:r>
      <w:r w:rsidRPr="00763151">
        <w:rPr>
          <w:rFonts w:ascii="Times New Roman" w:eastAsia="Calibri" w:hAnsi="Times New Roman" w:cs="Times New Roman"/>
          <w:b/>
          <w:sz w:val="20"/>
          <w:szCs w:val="20"/>
        </w:rPr>
        <w:t>b</w:t>
      </w:r>
      <w:r w:rsidR="00E974C1">
        <w:rPr>
          <w:rFonts w:ascii="Times New Roman" w:eastAsia="Calibri" w:hAnsi="Times New Roman" w:cs="Times New Roman"/>
          <w:sz w:val="20"/>
          <w:szCs w:val="20"/>
        </w:rPr>
        <w:t>.</w:t>
      </w:r>
      <w:r w:rsidRPr="00763151">
        <w:rPr>
          <w:rFonts w:ascii="Times New Roman" w:eastAsia="Calibri" w:hAnsi="Times New Roman" w:cs="Times New Roman"/>
          <w:sz w:val="20"/>
          <w:szCs w:val="20"/>
        </w:rPr>
        <w:t xml:space="preserve"> Geo-accumulation index of </w:t>
      </w:r>
      <w:r w:rsidR="00E974C1">
        <w:rPr>
          <w:rFonts w:ascii="Times New Roman" w:eastAsia="Calibri" w:hAnsi="Times New Roman" w:cs="Times New Roman"/>
          <w:sz w:val="20"/>
          <w:szCs w:val="20"/>
        </w:rPr>
        <w:t>the s</w:t>
      </w:r>
      <w:r w:rsidRPr="00763151">
        <w:rPr>
          <w:rFonts w:ascii="Times New Roman" w:eastAsia="Calibri" w:hAnsi="Times New Roman" w:cs="Times New Roman"/>
          <w:sz w:val="20"/>
          <w:szCs w:val="20"/>
        </w:rPr>
        <w:t xml:space="preserve">econd </w:t>
      </w:r>
      <w:r w:rsidR="00E974C1">
        <w:rPr>
          <w:rFonts w:ascii="Times New Roman" w:eastAsia="Calibri" w:hAnsi="Times New Roman" w:cs="Times New Roman"/>
          <w:sz w:val="20"/>
          <w:szCs w:val="20"/>
        </w:rPr>
        <w:t>sampling phase</w:t>
      </w:r>
    </w:p>
    <w:p w14:paraId="1B21B9E6" w14:textId="77777777" w:rsidR="00D87046" w:rsidRDefault="002C00DA" w:rsidP="00381261">
      <w:pPr>
        <w:spacing w:after="0" w:line="240" w:lineRule="auto"/>
        <w:jc w:val="both"/>
        <w:rPr>
          <w:rFonts w:ascii="Times New Roman" w:eastAsia="Calibri" w:hAnsi="Times New Roman" w:cs="Times New Roman"/>
          <w:b/>
          <w:sz w:val="20"/>
          <w:szCs w:val="20"/>
        </w:rPr>
      </w:pPr>
      <w:r w:rsidRPr="00763151">
        <w:rPr>
          <w:rFonts w:ascii="Times New Roman" w:eastAsia="Calibri" w:hAnsi="Times New Roman" w:cs="Times New Roman"/>
          <w:b/>
          <w:sz w:val="20"/>
          <w:szCs w:val="20"/>
        </w:rPr>
        <w:lastRenderedPageBreak/>
        <w:t>3</w:t>
      </w:r>
      <w:r w:rsidR="00D87046" w:rsidRPr="00763151">
        <w:rPr>
          <w:rFonts w:ascii="Times New Roman" w:eastAsia="Calibri" w:hAnsi="Times New Roman" w:cs="Times New Roman"/>
          <w:b/>
          <w:sz w:val="20"/>
          <w:szCs w:val="20"/>
        </w:rPr>
        <w:t>.2</w:t>
      </w:r>
      <w:r w:rsidR="00F3088D">
        <w:rPr>
          <w:rFonts w:ascii="Times New Roman" w:eastAsia="Calibri" w:hAnsi="Times New Roman" w:cs="Times New Roman"/>
          <w:b/>
          <w:sz w:val="20"/>
          <w:szCs w:val="20"/>
        </w:rPr>
        <w:t>.</w:t>
      </w:r>
      <w:r w:rsidR="004F00BB">
        <w:rPr>
          <w:rFonts w:ascii="Times New Roman" w:eastAsia="Calibri" w:hAnsi="Times New Roman" w:cs="Times New Roman"/>
          <w:b/>
          <w:sz w:val="20"/>
          <w:szCs w:val="20"/>
        </w:rPr>
        <w:t>2</w:t>
      </w:r>
      <w:r w:rsidR="00D87046" w:rsidRPr="00763151">
        <w:rPr>
          <w:rFonts w:ascii="Times New Roman" w:eastAsia="Calibri" w:hAnsi="Times New Roman" w:cs="Times New Roman"/>
          <w:b/>
          <w:sz w:val="20"/>
          <w:szCs w:val="20"/>
        </w:rPr>
        <w:t xml:space="preserve"> Contamination Factor (</w:t>
      </w:r>
      <w:r w:rsidR="00D87046" w:rsidRPr="00F11F37">
        <w:rPr>
          <w:rFonts w:ascii="Times New Roman" w:eastAsia="Calibri" w:hAnsi="Times New Roman" w:cs="Times New Roman"/>
          <w:b/>
          <w:i/>
          <w:iCs/>
          <w:sz w:val="20"/>
          <w:szCs w:val="20"/>
        </w:rPr>
        <w:t>C</w:t>
      </w:r>
      <w:r w:rsidR="00457A10" w:rsidRPr="00F11F37">
        <w:rPr>
          <w:rFonts w:ascii="Times New Roman" w:eastAsia="Calibri" w:hAnsi="Times New Roman" w:cs="Times New Roman"/>
          <w:b/>
          <w:i/>
          <w:iCs/>
          <w:sz w:val="20"/>
          <w:szCs w:val="20"/>
        </w:rPr>
        <w:t>F</w:t>
      </w:r>
      <w:r w:rsidR="00D87046" w:rsidRPr="00763151">
        <w:rPr>
          <w:rFonts w:ascii="Times New Roman" w:eastAsia="Calibri" w:hAnsi="Times New Roman" w:cs="Times New Roman"/>
          <w:b/>
          <w:sz w:val="20"/>
          <w:szCs w:val="20"/>
        </w:rPr>
        <w:t>)</w:t>
      </w:r>
    </w:p>
    <w:p w14:paraId="77E565A6" w14:textId="77777777" w:rsidR="00D87046" w:rsidRDefault="002C00DA" w:rsidP="00247140">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This pollution</w:t>
      </w:r>
      <w:r>
        <w:rPr>
          <w:rFonts w:ascii="Times New Roman" w:eastAsia="Calibri" w:hAnsi="Times New Roman" w:cs="Times New Roman"/>
          <w:sz w:val="20"/>
          <w:szCs w:val="20"/>
          <w:highlight w:val="yellow"/>
        </w:rPr>
        <w:t xml:space="preserve"> index</w:t>
      </w:r>
      <w:r>
        <w:rPr>
          <w:rFonts w:ascii="Times New Roman" w:eastAsia="Calibri" w:hAnsi="Times New Roman" w:cs="Times New Roman"/>
          <w:sz w:val="20"/>
          <w:szCs w:val="20"/>
        </w:rPr>
        <w:t xml:space="preserve"> is commonly applied </w:t>
      </w:r>
      <w:r>
        <w:rPr>
          <w:rFonts w:ascii="Times New Roman" w:eastAsia="Calibri" w:hAnsi="Times New Roman" w:cs="Times New Roman"/>
          <w:sz w:val="20"/>
          <w:szCs w:val="20"/>
          <w:highlight w:val="yellow"/>
        </w:rPr>
        <w:t>t</w:t>
      </w:r>
      <w:r>
        <w:rPr>
          <w:rFonts w:ascii="Times New Roman" w:eastAsia="Calibri" w:hAnsi="Times New Roman" w:cs="Times New Roman"/>
          <w:sz w:val="20"/>
          <w:szCs w:val="20"/>
        </w:rPr>
        <w:t>o assess the anthropogenic contribution of heavy</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metal contaminants to sediments (</w:t>
      </w:r>
      <w:r>
        <w:rPr>
          <w:rFonts w:ascii="Times New Roman" w:eastAsia="Calibri" w:hAnsi="Times New Roman" w:cs="Times New Roman"/>
          <w:color w:val="2660F0"/>
          <w:sz w:val="20"/>
          <w:szCs w:val="20"/>
        </w:rPr>
        <w:t>George et al., 2023</w:t>
      </w:r>
      <w:r>
        <w:rPr>
          <w:rFonts w:ascii="Times New Roman" w:eastAsia="Calibri" w:hAnsi="Times New Roman" w:cs="Times New Roman"/>
          <w:sz w:val="20"/>
          <w:szCs w:val="20"/>
        </w:rPr>
        <w:t>). The results from the first</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 xml:space="preserve">phase exercise conducted </w:t>
      </w:r>
      <w:r>
        <w:rPr>
          <w:rFonts w:ascii="Times New Roman" w:eastAsia="Calibri" w:hAnsi="Times New Roman" w:cs="Times New Roman"/>
          <w:sz w:val="20"/>
          <w:szCs w:val="20"/>
          <w:highlight w:val="yellow"/>
        </w:rPr>
        <w:t>at</w:t>
      </w:r>
      <w:r>
        <w:rPr>
          <w:rFonts w:ascii="Times New Roman" w:eastAsia="Calibri" w:hAnsi="Times New Roman" w:cs="Times New Roman"/>
          <w:sz w:val="20"/>
          <w:szCs w:val="20"/>
        </w:rPr>
        <w:t xml:space="preserve"> the site for metallic contaminants </w:t>
      </w:r>
      <w:r>
        <w:rPr>
          <w:rFonts w:ascii="Times New Roman" w:eastAsia="Calibri" w:hAnsi="Times New Roman" w:cs="Times New Roman"/>
          <w:sz w:val="20"/>
          <w:szCs w:val="20"/>
          <w:highlight w:val="yellow"/>
        </w:rPr>
        <w:t>such as</w:t>
      </w:r>
      <w:r>
        <w:rPr>
          <w:rFonts w:ascii="Times New Roman" w:eastAsia="Calibri" w:hAnsi="Times New Roman" w:cs="Times New Roman"/>
          <w:sz w:val="20"/>
          <w:szCs w:val="20"/>
        </w:rPr>
        <w:t xml:space="preserve"> Cd, Cr, Cu, Fe, Ni, Pb, and Zn indicate that all parameters, including the control samples for Cd, fall under the low</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contamination</w:t>
      </w:r>
      <w:r>
        <w:rPr>
          <w:rFonts w:ascii="Times New Roman" w:eastAsia="Calibri" w:hAnsi="Times New Roman" w:cs="Times New Roman"/>
          <w:sz w:val="20"/>
          <w:szCs w:val="20"/>
          <w:highlight w:val="yellow"/>
        </w:rPr>
        <w:t xml:space="preserve"> category</w:t>
      </w:r>
      <w:r>
        <w:rPr>
          <w:rFonts w:ascii="Times New Roman" w:eastAsia="Calibri" w:hAnsi="Times New Roman" w:cs="Times New Roman"/>
          <w:sz w:val="20"/>
          <w:szCs w:val="20"/>
        </w:rPr>
        <w:t xml:space="preserve">. However, </w:t>
      </w:r>
      <w:r>
        <w:rPr>
          <w:rFonts w:ascii="Times New Roman" w:eastAsia="Calibri" w:hAnsi="Times New Roman" w:cs="Times New Roman"/>
          <w:sz w:val="20"/>
          <w:szCs w:val="20"/>
          <w:highlight w:val="yellow"/>
        </w:rPr>
        <w:t>c</w:t>
      </w:r>
      <w:r>
        <w:rPr>
          <w:rFonts w:ascii="Times New Roman" w:eastAsia="Calibri" w:hAnsi="Times New Roman" w:cs="Times New Roman"/>
          <w:sz w:val="20"/>
          <w:szCs w:val="20"/>
        </w:rPr>
        <w:t xml:space="preserve">admium is classified as moderately contaminated </w:t>
      </w:r>
      <w:r>
        <w:rPr>
          <w:rFonts w:ascii="Times New Roman" w:eastAsia="Calibri" w:hAnsi="Times New Roman" w:cs="Times New Roman"/>
          <w:sz w:val="20"/>
          <w:szCs w:val="20"/>
          <w:highlight w:val="yellow"/>
        </w:rPr>
        <w:t>at</w:t>
      </w:r>
      <w:r>
        <w:rPr>
          <w:rFonts w:ascii="Times New Roman" w:eastAsia="Calibri" w:hAnsi="Times New Roman" w:cs="Times New Roman"/>
          <w:sz w:val="20"/>
          <w:szCs w:val="20"/>
        </w:rPr>
        <w:t xml:space="preserve"> all stations except PR-2, PR-4, PR-6, and PR-9, which fall under the considerable</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contamination category (</w:t>
      </w:r>
      <w:r>
        <w:rPr>
          <w:rFonts w:ascii="Times New Roman" w:hAnsi="Times New Roman" w:cs="Times New Roman"/>
          <w:color w:val="2660F0"/>
          <w:sz w:val="20"/>
          <w:szCs w:val="20"/>
        </w:rPr>
        <w:t>Hakanson, 1980</w:t>
      </w:r>
      <w:r>
        <w:rPr>
          <w:rFonts w:ascii="Times New Roman" w:hAnsi="Times New Roman" w:cs="Times New Roman"/>
          <w:color w:val="000000" w:themeColor="text1"/>
          <w:sz w:val="20"/>
          <w:szCs w:val="20"/>
        </w:rPr>
        <w:t>)</w:t>
      </w:r>
      <w:r>
        <w:rPr>
          <w:rFonts w:ascii="Times New Roman" w:eastAsia="Calibri" w:hAnsi="Times New Roman" w:cs="Times New Roman"/>
          <w:sz w:val="20"/>
          <w:szCs w:val="20"/>
        </w:rPr>
        <w:t xml:space="preserve">, as presented in </w:t>
      </w:r>
      <w:r>
        <w:rPr>
          <w:rFonts w:ascii="Times New Roman" w:eastAsia="Calibri" w:hAnsi="Times New Roman" w:cs="Times New Roman"/>
          <w:color w:val="2660F0"/>
          <w:sz w:val="20"/>
          <w:szCs w:val="20"/>
        </w:rPr>
        <w:t>Table 8</w:t>
      </w:r>
      <w:r>
        <w:rPr>
          <w:rFonts w:ascii="Times New Roman" w:eastAsia="Calibri" w:hAnsi="Times New Roman" w:cs="Times New Roman"/>
          <w:sz w:val="20"/>
          <w:szCs w:val="20"/>
        </w:rPr>
        <w:t>. The mean Cd value is 2.359 mg/kg, while the min</w:t>
      </w:r>
      <w:r>
        <w:rPr>
          <w:rFonts w:ascii="Times New Roman" w:eastAsia="Calibri" w:hAnsi="Times New Roman" w:cs="Times New Roman"/>
          <w:sz w:val="20"/>
          <w:szCs w:val="20"/>
          <w:highlight w:val="yellow"/>
        </w:rPr>
        <w:t>imum</w:t>
      </w:r>
      <w:r>
        <w:rPr>
          <w:rFonts w:ascii="Times New Roman" w:eastAsia="Calibri" w:hAnsi="Times New Roman" w:cs="Times New Roman"/>
          <w:sz w:val="20"/>
          <w:szCs w:val="20"/>
        </w:rPr>
        <w:t xml:space="preserve"> value is 0.633 mg/kg </w:t>
      </w:r>
      <w:r>
        <w:rPr>
          <w:rFonts w:ascii="Times New Roman" w:eastAsia="Calibri" w:hAnsi="Times New Roman" w:cs="Times New Roman"/>
          <w:sz w:val="20"/>
          <w:szCs w:val="20"/>
          <w:highlight w:val="yellow"/>
        </w:rPr>
        <w:t xml:space="preserve">and </w:t>
      </w:r>
      <w:r>
        <w:rPr>
          <w:rFonts w:ascii="Times New Roman" w:eastAsia="Calibri" w:hAnsi="Times New Roman" w:cs="Times New Roman"/>
          <w:sz w:val="20"/>
          <w:szCs w:val="20"/>
        </w:rPr>
        <w:t>th</w:t>
      </w:r>
      <w:r>
        <w:rPr>
          <w:rFonts w:ascii="Times New Roman" w:eastAsia="Calibri" w:hAnsi="Times New Roman" w:cs="Times New Roman"/>
          <w:sz w:val="20"/>
          <w:szCs w:val="20"/>
          <w:highlight w:val="yellow"/>
        </w:rPr>
        <w:t>e</w:t>
      </w:r>
      <w:r>
        <w:rPr>
          <w:rFonts w:ascii="Times New Roman" w:eastAsia="Calibri" w:hAnsi="Times New Roman" w:cs="Times New Roman"/>
          <w:sz w:val="20"/>
          <w:szCs w:val="20"/>
        </w:rPr>
        <w:t xml:space="preserve"> max</w:t>
      </w:r>
      <w:r>
        <w:rPr>
          <w:rFonts w:ascii="Times New Roman" w:eastAsia="Calibri" w:hAnsi="Times New Roman" w:cs="Times New Roman"/>
          <w:sz w:val="20"/>
          <w:szCs w:val="20"/>
          <w:highlight w:val="yellow"/>
        </w:rPr>
        <w:t>imum</w:t>
      </w:r>
      <w:r>
        <w:rPr>
          <w:rFonts w:ascii="Times New Roman" w:eastAsia="Calibri" w:hAnsi="Times New Roman" w:cs="Times New Roman"/>
          <w:sz w:val="20"/>
          <w:szCs w:val="20"/>
        </w:rPr>
        <w:t xml:space="preserve"> </w:t>
      </w:r>
      <w:r>
        <w:rPr>
          <w:rFonts w:ascii="Times New Roman" w:eastAsia="Calibri" w:hAnsi="Times New Roman" w:cs="Times New Roman"/>
          <w:sz w:val="20"/>
          <w:szCs w:val="20"/>
          <w:highlight w:val="yellow"/>
        </w:rPr>
        <w:t>is</w:t>
      </w:r>
      <w:r>
        <w:rPr>
          <w:rFonts w:ascii="Times New Roman" w:eastAsia="Calibri" w:hAnsi="Times New Roman" w:cs="Times New Roman"/>
          <w:sz w:val="20"/>
          <w:szCs w:val="20"/>
        </w:rPr>
        <w:t xml:space="preserve"> 4.733 mg/kg, </w:t>
      </w:r>
      <w:r>
        <w:rPr>
          <w:rFonts w:ascii="Times New Roman" w:eastAsia="Calibri" w:hAnsi="Times New Roman" w:cs="Times New Roman"/>
          <w:sz w:val="20"/>
          <w:szCs w:val="20"/>
          <w:highlight w:val="yellow"/>
        </w:rPr>
        <w:t xml:space="preserve">with a </w:t>
      </w:r>
      <w:r>
        <w:rPr>
          <w:rFonts w:ascii="Times New Roman" w:eastAsia="Calibri" w:hAnsi="Times New Roman" w:cs="Times New Roman"/>
          <w:sz w:val="20"/>
          <w:szCs w:val="20"/>
        </w:rPr>
        <w:t>total</w:t>
      </w:r>
      <w:r>
        <w:rPr>
          <w:rFonts w:ascii="Times New Roman" w:eastAsia="Calibri" w:hAnsi="Times New Roman" w:cs="Times New Roman"/>
          <w:sz w:val="20"/>
          <w:szCs w:val="20"/>
          <w:highlight w:val="yellow"/>
        </w:rPr>
        <w:t xml:space="preserve"> of</w:t>
      </w:r>
      <w:r>
        <w:rPr>
          <w:rFonts w:ascii="Times New Roman" w:eastAsia="Calibri" w:hAnsi="Times New Roman" w:cs="Times New Roman"/>
          <w:sz w:val="20"/>
          <w:szCs w:val="20"/>
        </w:rPr>
        <w:t xml:space="preserve"> 30.667 g/kg across all samples.</w:t>
      </w:r>
    </w:p>
    <w:p w14:paraId="36797AE1" w14:textId="77777777" w:rsidR="00D87046" w:rsidRPr="00763151" w:rsidRDefault="00D87046" w:rsidP="00A43507">
      <w:pPr>
        <w:spacing w:after="0" w:line="276" w:lineRule="auto"/>
        <w:jc w:val="center"/>
        <w:rPr>
          <w:rFonts w:ascii="Times New Roman" w:eastAsia="Calibri" w:hAnsi="Times New Roman" w:cs="Times New Roman"/>
          <w:color w:val="000000"/>
          <w:sz w:val="20"/>
          <w:szCs w:val="20"/>
        </w:rPr>
      </w:pPr>
      <w:r w:rsidRPr="00763151">
        <w:rPr>
          <w:rFonts w:ascii="Times New Roman" w:eastAsia="Calibri" w:hAnsi="Times New Roman" w:cs="Times New Roman"/>
          <w:b/>
          <w:bCs/>
          <w:color w:val="000000"/>
          <w:sz w:val="20"/>
          <w:szCs w:val="20"/>
        </w:rPr>
        <w:t xml:space="preserve">Table </w:t>
      </w:r>
      <w:r w:rsidR="00951A0B">
        <w:rPr>
          <w:rFonts w:ascii="Times New Roman" w:eastAsia="Calibri" w:hAnsi="Times New Roman" w:cs="Times New Roman"/>
          <w:b/>
          <w:bCs/>
          <w:color w:val="000000"/>
          <w:sz w:val="20"/>
          <w:szCs w:val="20"/>
        </w:rPr>
        <w:t>8</w:t>
      </w:r>
      <w:r w:rsidR="00474440">
        <w:rPr>
          <w:rFonts w:ascii="Times New Roman" w:eastAsia="Calibri" w:hAnsi="Times New Roman" w:cs="Times New Roman"/>
          <w:b/>
          <w:bCs/>
          <w:color w:val="000000"/>
          <w:sz w:val="20"/>
          <w:szCs w:val="20"/>
        </w:rPr>
        <w:t>.</w:t>
      </w:r>
      <w:r w:rsidRPr="00763151">
        <w:rPr>
          <w:rFonts w:ascii="Times New Roman" w:eastAsia="Calibri" w:hAnsi="Times New Roman" w:cs="Times New Roman"/>
          <w:color w:val="000000"/>
          <w:sz w:val="20"/>
          <w:szCs w:val="20"/>
        </w:rPr>
        <w:t xml:space="preserve"> Contamination factor values</w:t>
      </w:r>
    </w:p>
    <w:tbl>
      <w:tblPr>
        <w:tblStyle w:val="TableGrid2"/>
        <w:tblW w:w="820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0"/>
        <w:gridCol w:w="740"/>
        <w:gridCol w:w="1539"/>
        <w:gridCol w:w="740"/>
        <w:gridCol w:w="1000"/>
        <w:gridCol w:w="1000"/>
        <w:gridCol w:w="1000"/>
        <w:gridCol w:w="1004"/>
      </w:tblGrid>
      <w:tr w:rsidR="00043CAE" w:rsidRPr="00763151" w14:paraId="2248EE1E" w14:textId="77777777" w:rsidTr="00043CAE">
        <w:trPr>
          <w:trHeight w:val="63"/>
          <w:jc w:val="center"/>
        </w:trPr>
        <w:tc>
          <w:tcPr>
            <w:tcW w:w="0" w:type="auto"/>
            <w:tcBorders>
              <w:top w:val="single" w:sz="4" w:space="0" w:color="auto"/>
              <w:left w:val="nil"/>
              <w:bottom w:val="single" w:sz="4" w:space="0" w:color="auto"/>
              <w:right w:val="nil"/>
            </w:tcBorders>
            <w:vAlign w:val="center"/>
          </w:tcPr>
          <w:p w14:paraId="6D6BE107" w14:textId="77777777" w:rsidR="00043CAE" w:rsidRPr="00763151" w:rsidRDefault="00043CAE" w:rsidP="00A55FB5">
            <w:pPr>
              <w:spacing w:line="204"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Station</w:t>
            </w:r>
          </w:p>
        </w:tc>
        <w:tc>
          <w:tcPr>
            <w:tcW w:w="740" w:type="dxa"/>
            <w:tcBorders>
              <w:top w:val="single" w:sz="4" w:space="0" w:color="auto"/>
              <w:left w:val="nil"/>
              <w:bottom w:val="single" w:sz="4" w:space="0" w:color="auto"/>
              <w:right w:val="nil"/>
            </w:tcBorders>
            <w:noWrap/>
          </w:tcPr>
          <w:p w14:paraId="5EA4BAD5" w14:textId="77777777"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Cr</w:t>
            </w:r>
          </w:p>
        </w:tc>
        <w:tc>
          <w:tcPr>
            <w:tcW w:w="1539" w:type="dxa"/>
            <w:tcBorders>
              <w:top w:val="single" w:sz="4" w:space="0" w:color="auto"/>
              <w:left w:val="nil"/>
              <w:bottom w:val="single" w:sz="4" w:space="0" w:color="auto"/>
              <w:right w:val="nil"/>
            </w:tcBorders>
            <w:noWrap/>
          </w:tcPr>
          <w:p w14:paraId="70A06FCB" w14:textId="77777777"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Cd</w:t>
            </w:r>
          </w:p>
        </w:tc>
        <w:tc>
          <w:tcPr>
            <w:tcW w:w="740" w:type="dxa"/>
            <w:tcBorders>
              <w:top w:val="single" w:sz="4" w:space="0" w:color="auto"/>
              <w:left w:val="nil"/>
              <w:bottom w:val="single" w:sz="4" w:space="0" w:color="auto"/>
              <w:right w:val="nil"/>
            </w:tcBorders>
            <w:noWrap/>
          </w:tcPr>
          <w:p w14:paraId="55EDA699" w14:textId="77777777"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Cu</w:t>
            </w:r>
          </w:p>
        </w:tc>
        <w:tc>
          <w:tcPr>
            <w:tcW w:w="1000" w:type="dxa"/>
            <w:tcBorders>
              <w:top w:val="single" w:sz="4" w:space="0" w:color="auto"/>
              <w:left w:val="nil"/>
              <w:bottom w:val="single" w:sz="4" w:space="0" w:color="auto"/>
              <w:right w:val="nil"/>
            </w:tcBorders>
            <w:noWrap/>
          </w:tcPr>
          <w:p w14:paraId="191D0C22" w14:textId="77777777"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Ni</w:t>
            </w:r>
          </w:p>
        </w:tc>
        <w:tc>
          <w:tcPr>
            <w:tcW w:w="1000" w:type="dxa"/>
            <w:tcBorders>
              <w:top w:val="single" w:sz="4" w:space="0" w:color="auto"/>
              <w:left w:val="nil"/>
              <w:bottom w:val="single" w:sz="4" w:space="0" w:color="auto"/>
              <w:right w:val="nil"/>
            </w:tcBorders>
            <w:noWrap/>
          </w:tcPr>
          <w:p w14:paraId="0A6731F2" w14:textId="77777777"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Pb</w:t>
            </w:r>
          </w:p>
        </w:tc>
        <w:tc>
          <w:tcPr>
            <w:tcW w:w="1000" w:type="dxa"/>
            <w:tcBorders>
              <w:top w:val="single" w:sz="4" w:space="0" w:color="auto"/>
              <w:left w:val="nil"/>
              <w:bottom w:val="single" w:sz="4" w:space="0" w:color="auto"/>
              <w:right w:val="nil"/>
            </w:tcBorders>
            <w:noWrap/>
          </w:tcPr>
          <w:p w14:paraId="33F3D03B" w14:textId="77777777"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Zn</w:t>
            </w:r>
          </w:p>
        </w:tc>
        <w:tc>
          <w:tcPr>
            <w:tcW w:w="1004" w:type="dxa"/>
            <w:tcBorders>
              <w:top w:val="single" w:sz="4" w:space="0" w:color="auto"/>
              <w:left w:val="nil"/>
              <w:bottom w:val="single" w:sz="4" w:space="0" w:color="auto"/>
              <w:right w:val="nil"/>
            </w:tcBorders>
            <w:noWrap/>
          </w:tcPr>
          <w:p w14:paraId="2B882D91" w14:textId="77777777"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Fe</w:t>
            </w:r>
          </w:p>
        </w:tc>
      </w:tr>
      <w:tr w:rsidR="00261C81" w:rsidRPr="00763151" w14:paraId="19E3B257" w14:textId="77777777" w:rsidTr="00043CAE">
        <w:trPr>
          <w:trHeight w:val="63"/>
          <w:jc w:val="center"/>
        </w:trPr>
        <w:tc>
          <w:tcPr>
            <w:tcW w:w="0" w:type="auto"/>
            <w:tcBorders>
              <w:top w:val="single" w:sz="4" w:space="0" w:color="auto"/>
              <w:left w:val="nil"/>
              <w:bottom w:val="single" w:sz="4" w:space="0" w:color="auto"/>
              <w:right w:val="nil"/>
            </w:tcBorders>
            <w:vAlign w:val="center"/>
          </w:tcPr>
          <w:p w14:paraId="62E3B197" w14:textId="77777777" w:rsidR="00261C81" w:rsidRDefault="00261C81" w:rsidP="00A55FB5">
            <w:pPr>
              <w:spacing w:line="204" w:lineRule="auto"/>
              <w:jc w:val="center"/>
              <w:rPr>
                <w:rFonts w:ascii="Times New Roman" w:eastAsia="Times New Roman" w:hAnsi="Times New Roman" w:cs="Times New Roman"/>
                <w:b/>
                <w:bCs/>
                <w:color w:val="000000"/>
              </w:rPr>
            </w:pPr>
          </w:p>
        </w:tc>
        <w:tc>
          <w:tcPr>
            <w:tcW w:w="740" w:type="dxa"/>
            <w:tcBorders>
              <w:top w:val="single" w:sz="4" w:space="0" w:color="auto"/>
              <w:left w:val="nil"/>
              <w:bottom w:val="single" w:sz="4" w:space="0" w:color="auto"/>
              <w:right w:val="nil"/>
            </w:tcBorders>
            <w:noWrap/>
          </w:tcPr>
          <w:p w14:paraId="5420CCA4"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539" w:type="dxa"/>
            <w:tcBorders>
              <w:top w:val="single" w:sz="4" w:space="0" w:color="auto"/>
              <w:left w:val="nil"/>
              <w:bottom w:val="single" w:sz="4" w:space="0" w:color="auto"/>
              <w:right w:val="nil"/>
            </w:tcBorders>
            <w:noWrap/>
          </w:tcPr>
          <w:p w14:paraId="095780CE"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740" w:type="dxa"/>
            <w:tcBorders>
              <w:top w:val="single" w:sz="4" w:space="0" w:color="auto"/>
              <w:left w:val="nil"/>
              <w:bottom w:val="single" w:sz="4" w:space="0" w:color="auto"/>
              <w:right w:val="nil"/>
            </w:tcBorders>
            <w:noWrap/>
          </w:tcPr>
          <w:p w14:paraId="7CF50E69"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0" w:type="dxa"/>
            <w:tcBorders>
              <w:top w:val="single" w:sz="4" w:space="0" w:color="auto"/>
              <w:left w:val="nil"/>
              <w:bottom w:val="single" w:sz="4" w:space="0" w:color="auto"/>
              <w:right w:val="nil"/>
            </w:tcBorders>
            <w:noWrap/>
          </w:tcPr>
          <w:p w14:paraId="6036DF75"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0" w:type="dxa"/>
            <w:tcBorders>
              <w:top w:val="single" w:sz="4" w:space="0" w:color="auto"/>
              <w:left w:val="nil"/>
              <w:bottom w:val="single" w:sz="4" w:space="0" w:color="auto"/>
              <w:right w:val="nil"/>
            </w:tcBorders>
            <w:noWrap/>
          </w:tcPr>
          <w:p w14:paraId="34277B86"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0" w:type="dxa"/>
            <w:tcBorders>
              <w:top w:val="single" w:sz="4" w:space="0" w:color="auto"/>
              <w:left w:val="nil"/>
              <w:bottom w:val="single" w:sz="4" w:space="0" w:color="auto"/>
              <w:right w:val="nil"/>
            </w:tcBorders>
            <w:noWrap/>
          </w:tcPr>
          <w:p w14:paraId="69BA8C5C"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4" w:type="dxa"/>
            <w:tcBorders>
              <w:top w:val="single" w:sz="4" w:space="0" w:color="auto"/>
              <w:left w:val="nil"/>
              <w:bottom w:val="single" w:sz="4" w:space="0" w:color="auto"/>
              <w:right w:val="nil"/>
            </w:tcBorders>
            <w:noWrap/>
          </w:tcPr>
          <w:p w14:paraId="34A7869B"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r>
      <w:tr w:rsidR="00261C81" w:rsidRPr="00763151" w14:paraId="044EC3C9" w14:textId="77777777" w:rsidTr="00E907F7">
        <w:trPr>
          <w:trHeight w:val="63"/>
          <w:jc w:val="center"/>
        </w:trPr>
        <w:tc>
          <w:tcPr>
            <w:tcW w:w="8203" w:type="dxa"/>
            <w:gridSpan w:val="8"/>
            <w:tcBorders>
              <w:top w:val="single" w:sz="4" w:space="0" w:color="auto"/>
              <w:left w:val="nil"/>
              <w:bottom w:val="single" w:sz="4" w:space="0" w:color="auto"/>
              <w:right w:val="nil"/>
            </w:tcBorders>
            <w:vAlign w:val="center"/>
          </w:tcPr>
          <w:p w14:paraId="4F3D78C4" w14:textId="77777777" w:rsidR="00261C81" w:rsidRPr="00763151" w:rsidRDefault="00261C81" w:rsidP="00A55FB5">
            <w:pPr>
              <w:spacing w:line="204"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w:t>
            </w:r>
            <w:r w:rsidRPr="000739BB">
              <w:rPr>
                <w:rFonts w:ascii="Times New Roman" w:eastAsia="Times New Roman" w:hAnsi="Times New Roman" w:cs="Times New Roman"/>
                <w:b/>
                <w:bCs/>
                <w:color w:val="000000"/>
              </w:rPr>
              <w:t>irst sampling phase</w:t>
            </w:r>
          </w:p>
        </w:tc>
      </w:tr>
      <w:tr w:rsidR="00043CAE" w:rsidRPr="00763151" w14:paraId="03C5DF1B" w14:textId="77777777" w:rsidTr="00043CAE">
        <w:trPr>
          <w:trHeight w:val="63"/>
          <w:jc w:val="center"/>
        </w:trPr>
        <w:tc>
          <w:tcPr>
            <w:tcW w:w="1180" w:type="dxa"/>
            <w:tcBorders>
              <w:top w:val="single" w:sz="4" w:space="0" w:color="auto"/>
              <w:left w:val="nil"/>
              <w:bottom w:val="nil"/>
              <w:right w:val="nil"/>
            </w:tcBorders>
            <w:noWrap/>
          </w:tcPr>
          <w:p w14:paraId="5CB99B8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w:t>
            </w:r>
          </w:p>
        </w:tc>
        <w:tc>
          <w:tcPr>
            <w:tcW w:w="740" w:type="dxa"/>
            <w:tcBorders>
              <w:top w:val="single" w:sz="4" w:space="0" w:color="auto"/>
              <w:left w:val="nil"/>
              <w:bottom w:val="nil"/>
              <w:right w:val="nil"/>
            </w:tcBorders>
            <w:noWrap/>
          </w:tcPr>
          <w:p w14:paraId="579196D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1539" w:type="dxa"/>
            <w:tcBorders>
              <w:top w:val="single" w:sz="4" w:space="0" w:color="auto"/>
              <w:left w:val="nil"/>
              <w:bottom w:val="nil"/>
              <w:right w:val="nil"/>
            </w:tcBorders>
            <w:noWrap/>
          </w:tcPr>
          <w:p w14:paraId="075574E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1.933</w:t>
            </w:r>
          </w:p>
        </w:tc>
        <w:tc>
          <w:tcPr>
            <w:tcW w:w="740" w:type="dxa"/>
            <w:tcBorders>
              <w:top w:val="single" w:sz="4" w:space="0" w:color="auto"/>
              <w:left w:val="nil"/>
              <w:bottom w:val="nil"/>
              <w:right w:val="nil"/>
            </w:tcBorders>
            <w:noWrap/>
          </w:tcPr>
          <w:p w14:paraId="74737D5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0.09</w:t>
            </w:r>
          </w:p>
        </w:tc>
        <w:tc>
          <w:tcPr>
            <w:tcW w:w="1000" w:type="dxa"/>
            <w:tcBorders>
              <w:top w:val="single" w:sz="4" w:space="0" w:color="auto"/>
              <w:left w:val="nil"/>
              <w:bottom w:val="nil"/>
              <w:right w:val="nil"/>
            </w:tcBorders>
            <w:noWrap/>
          </w:tcPr>
          <w:p w14:paraId="0D9D4DC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00" w:type="dxa"/>
            <w:tcBorders>
              <w:top w:val="single" w:sz="4" w:space="0" w:color="auto"/>
              <w:left w:val="nil"/>
              <w:bottom w:val="nil"/>
              <w:right w:val="nil"/>
            </w:tcBorders>
            <w:noWrap/>
          </w:tcPr>
          <w:p w14:paraId="66BC870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0.088</w:t>
            </w:r>
          </w:p>
        </w:tc>
        <w:tc>
          <w:tcPr>
            <w:tcW w:w="1000" w:type="dxa"/>
            <w:tcBorders>
              <w:top w:val="single" w:sz="4" w:space="0" w:color="auto"/>
              <w:left w:val="nil"/>
              <w:bottom w:val="nil"/>
              <w:right w:val="nil"/>
            </w:tcBorders>
            <w:noWrap/>
          </w:tcPr>
          <w:p w14:paraId="699608C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0.072</w:t>
            </w:r>
          </w:p>
        </w:tc>
        <w:tc>
          <w:tcPr>
            <w:tcW w:w="1004" w:type="dxa"/>
            <w:tcBorders>
              <w:top w:val="single" w:sz="4" w:space="0" w:color="auto"/>
              <w:left w:val="nil"/>
              <w:bottom w:val="nil"/>
              <w:right w:val="nil"/>
            </w:tcBorders>
            <w:noWrap/>
          </w:tcPr>
          <w:p w14:paraId="3BDC0C0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1A6B9C9C" w14:textId="77777777" w:rsidTr="00043CAE">
        <w:trPr>
          <w:trHeight w:val="73"/>
          <w:jc w:val="center"/>
        </w:trPr>
        <w:tc>
          <w:tcPr>
            <w:tcW w:w="1180" w:type="dxa"/>
            <w:tcBorders>
              <w:top w:val="nil"/>
              <w:left w:val="nil"/>
              <w:bottom w:val="nil"/>
              <w:right w:val="nil"/>
            </w:tcBorders>
            <w:noWrap/>
          </w:tcPr>
          <w:p w14:paraId="590CC6A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w:t>
            </w:r>
          </w:p>
        </w:tc>
        <w:tc>
          <w:tcPr>
            <w:tcW w:w="740" w:type="dxa"/>
            <w:tcBorders>
              <w:top w:val="nil"/>
              <w:left w:val="nil"/>
              <w:bottom w:val="nil"/>
              <w:right w:val="nil"/>
            </w:tcBorders>
            <w:noWrap/>
          </w:tcPr>
          <w:p w14:paraId="5A2CF4B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0.054</w:t>
            </w:r>
          </w:p>
        </w:tc>
        <w:tc>
          <w:tcPr>
            <w:tcW w:w="1539" w:type="dxa"/>
            <w:tcBorders>
              <w:top w:val="nil"/>
              <w:left w:val="nil"/>
              <w:bottom w:val="nil"/>
              <w:right w:val="nil"/>
            </w:tcBorders>
            <w:noWrap/>
          </w:tcPr>
          <w:p w14:paraId="09B3FAD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3.767</w:t>
            </w:r>
          </w:p>
        </w:tc>
        <w:tc>
          <w:tcPr>
            <w:tcW w:w="740" w:type="dxa"/>
            <w:tcBorders>
              <w:top w:val="nil"/>
              <w:left w:val="nil"/>
              <w:bottom w:val="nil"/>
              <w:right w:val="nil"/>
            </w:tcBorders>
            <w:noWrap/>
          </w:tcPr>
          <w:p w14:paraId="58AB3AC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0.074</w:t>
            </w:r>
          </w:p>
        </w:tc>
        <w:tc>
          <w:tcPr>
            <w:tcW w:w="1000" w:type="dxa"/>
            <w:tcBorders>
              <w:top w:val="nil"/>
              <w:left w:val="nil"/>
              <w:bottom w:val="nil"/>
              <w:right w:val="nil"/>
            </w:tcBorders>
            <w:noWrap/>
          </w:tcPr>
          <w:p w14:paraId="3BFB16B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0.012</w:t>
            </w:r>
          </w:p>
        </w:tc>
        <w:tc>
          <w:tcPr>
            <w:tcW w:w="1000" w:type="dxa"/>
            <w:tcBorders>
              <w:top w:val="nil"/>
              <w:left w:val="nil"/>
              <w:bottom w:val="nil"/>
              <w:right w:val="nil"/>
            </w:tcBorders>
            <w:noWrap/>
          </w:tcPr>
          <w:p w14:paraId="2AA2972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0.052</w:t>
            </w:r>
          </w:p>
        </w:tc>
        <w:tc>
          <w:tcPr>
            <w:tcW w:w="1000" w:type="dxa"/>
            <w:tcBorders>
              <w:top w:val="nil"/>
              <w:left w:val="nil"/>
              <w:bottom w:val="nil"/>
              <w:right w:val="nil"/>
            </w:tcBorders>
            <w:noWrap/>
          </w:tcPr>
          <w:p w14:paraId="3A8DDA5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0.076</w:t>
            </w:r>
          </w:p>
        </w:tc>
        <w:tc>
          <w:tcPr>
            <w:tcW w:w="1004" w:type="dxa"/>
            <w:tcBorders>
              <w:top w:val="nil"/>
              <w:left w:val="nil"/>
              <w:bottom w:val="nil"/>
              <w:right w:val="nil"/>
            </w:tcBorders>
            <w:noWrap/>
          </w:tcPr>
          <w:p w14:paraId="6EFDD1E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3A88D32C" w14:textId="77777777" w:rsidTr="00043CAE">
        <w:trPr>
          <w:trHeight w:val="73"/>
          <w:jc w:val="center"/>
        </w:trPr>
        <w:tc>
          <w:tcPr>
            <w:tcW w:w="1180" w:type="dxa"/>
            <w:tcBorders>
              <w:top w:val="nil"/>
              <w:left w:val="nil"/>
              <w:bottom w:val="nil"/>
              <w:right w:val="nil"/>
            </w:tcBorders>
            <w:noWrap/>
          </w:tcPr>
          <w:p w14:paraId="2D63DDF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PR-3</w:t>
            </w:r>
          </w:p>
        </w:tc>
        <w:tc>
          <w:tcPr>
            <w:tcW w:w="740" w:type="dxa"/>
            <w:tcBorders>
              <w:top w:val="nil"/>
              <w:left w:val="nil"/>
              <w:bottom w:val="nil"/>
              <w:right w:val="nil"/>
            </w:tcBorders>
            <w:noWrap/>
          </w:tcPr>
          <w:p w14:paraId="6B47500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0.022</w:t>
            </w:r>
          </w:p>
        </w:tc>
        <w:tc>
          <w:tcPr>
            <w:tcW w:w="1539" w:type="dxa"/>
            <w:tcBorders>
              <w:top w:val="nil"/>
              <w:left w:val="nil"/>
              <w:bottom w:val="nil"/>
              <w:right w:val="nil"/>
            </w:tcBorders>
            <w:noWrap/>
          </w:tcPr>
          <w:p w14:paraId="29D5193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1.3</w:t>
            </w:r>
          </w:p>
        </w:tc>
        <w:tc>
          <w:tcPr>
            <w:tcW w:w="740" w:type="dxa"/>
            <w:tcBorders>
              <w:top w:val="nil"/>
              <w:left w:val="nil"/>
              <w:bottom w:val="nil"/>
              <w:right w:val="nil"/>
            </w:tcBorders>
            <w:noWrap/>
          </w:tcPr>
          <w:p w14:paraId="6F345D1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1000" w:type="dxa"/>
            <w:tcBorders>
              <w:top w:val="nil"/>
              <w:left w:val="nil"/>
              <w:bottom w:val="nil"/>
              <w:right w:val="nil"/>
            </w:tcBorders>
            <w:noWrap/>
          </w:tcPr>
          <w:p w14:paraId="46E52C7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0.015</w:t>
            </w:r>
          </w:p>
        </w:tc>
        <w:tc>
          <w:tcPr>
            <w:tcW w:w="1000" w:type="dxa"/>
            <w:tcBorders>
              <w:top w:val="nil"/>
              <w:left w:val="nil"/>
              <w:bottom w:val="nil"/>
              <w:right w:val="nil"/>
            </w:tcBorders>
            <w:noWrap/>
          </w:tcPr>
          <w:p w14:paraId="60E72EF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0.035</w:t>
            </w:r>
          </w:p>
        </w:tc>
        <w:tc>
          <w:tcPr>
            <w:tcW w:w="1000" w:type="dxa"/>
            <w:tcBorders>
              <w:top w:val="nil"/>
              <w:left w:val="nil"/>
              <w:bottom w:val="nil"/>
              <w:right w:val="nil"/>
            </w:tcBorders>
            <w:noWrap/>
          </w:tcPr>
          <w:p w14:paraId="2002796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0.064</w:t>
            </w:r>
          </w:p>
        </w:tc>
        <w:tc>
          <w:tcPr>
            <w:tcW w:w="1004" w:type="dxa"/>
            <w:tcBorders>
              <w:top w:val="nil"/>
              <w:left w:val="nil"/>
              <w:bottom w:val="nil"/>
              <w:right w:val="nil"/>
            </w:tcBorders>
            <w:noWrap/>
          </w:tcPr>
          <w:p w14:paraId="19F72D1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7E6FD583" w14:textId="77777777" w:rsidTr="00043CAE">
        <w:trPr>
          <w:trHeight w:val="73"/>
          <w:jc w:val="center"/>
        </w:trPr>
        <w:tc>
          <w:tcPr>
            <w:tcW w:w="1180" w:type="dxa"/>
            <w:tcBorders>
              <w:top w:val="nil"/>
              <w:left w:val="nil"/>
              <w:bottom w:val="nil"/>
              <w:right w:val="nil"/>
            </w:tcBorders>
            <w:noWrap/>
          </w:tcPr>
          <w:p w14:paraId="2E1A0B5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PR-4</w:t>
            </w:r>
          </w:p>
        </w:tc>
        <w:tc>
          <w:tcPr>
            <w:tcW w:w="740" w:type="dxa"/>
            <w:tcBorders>
              <w:top w:val="nil"/>
              <w:left w:val="nil"/>
              <w:bottom w:val="nil"/>
              <w:right w:val="nil"/>
            </w:tcBorders>
            <w:noWrap/>
          </w:tcPr>
          <w:p w14:paraId="3831BF9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0.064</w:t>
            </w:r>
          </w:p>
        </w:tc>
        <w:tc>
          <w:tcPr>
            <w:tcW w:w="1539" w:type="dxa"/>
            <w:tcBorders>
              <w:top w:val="nil"/>
              <w:left w:val="nil"/>
              <w:bottom w:val="nil"/>
              <w:right w:val="nil"/>
            </w:tcBorders>
            <w:noWrap/>
          </w:tcPr>
          <w:p w14:paraId="67905D3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4.733</w:t>
            </w:r>
          </w:p>
        </w:tc>
        <w:tc>
          <w:tcPr>
            <w:tcW w:w="740" w:type="dxa"/>
            <w:tcBorders>
              <w:top w:val="nil"/>
              <w:left w:val="nil"/>
              <w:bottom w:val="nil"/>
              <w:right w:val="nil"/>
            </w:tcBorders>
            <w:noWrap/>
          </w:tcPr>
          <w:p w14:paraId="28552B3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0.016</w:t>
            </w:r>
          </w:p>
        </w:tc>
        <w:tc>
          <w:tcPr>
            <w:tcW w:w="1000" w:type="dxa"/>
            <w:tcBorders>
              <w:top w:val="nil"/>
              <w:left w:val="nil"/>
              <w:bottom w:val="nil"/>
              <w:right w:val="nil"/>
            </w:tcBorders>
            <w:noWrap/>
          </w:tcPr>
          <w:p w14:paraId="6668098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000" w:type="dxa"/>
            <w:tcBorders>
              <w:top w:val="nil"/>
              <w:left w:val="nil"/>
              <w:bottom w:val="nil"/>
              <w:right w:val="nil"/>
            </w:tcBorders>
            <w:noWrap/>
          </w:tcPr>
          <w:p w14:paraId="4042D92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1000" w:type="dxa"/>
            <w:tcBorders>
              <w:top w:val="nil"/>
              <w:left w:val="nil"/>
              <w:bottom w:val="nil"/>
              <w:right w:val="nil"/>
            </w:tcBorders>
            <w:noWrap/>
          </w:tcPr>
          <w:p w14:paraId="5F92C90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0.062</w:t>
            </w:r>
          </w:p>
        </w:tc>
        <w:tc>
          <w:tcPr>
            <w:tcW w:w="1004" w:type="dxa"/>
            <w:tcBorders>
              <w:top w:val="nil"/>
              <w:left w:val="nil"/>
              <w:bottom w:val="nil"/>
              <w:right w:val="nil"/>
            </w:tcBorders>
            <w:noWrap/>
          </w:tcPr>
          <w:p w14:paraId="1D37BD8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5E216321" w14:textId="77777777" w:rsidTr="00043CAE">
        <w:trPr>
          <w:trHeight w:val="73"/>
          <w:jc w:val="center"/>
        </w:trPr>
        <w:tc>
          <w:tcPr>
            <w:tcW w:w="1180" w:type="dxa"/>
            <w:tcBorders>
              <w:top w:val="nil"/>
              <w:left w:val="nil"/>
              <w:bottom w:val="nil"/>
              <w:right w:val="nil"/>
            </w:tcBorders>
            <w:noWrap/>
          </w:tcPr>
          <w:p w14:paraId="235EF62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PR-5</w:t>
            </w:r>
          </w:p>
        </w:tc>
        <w:tc>
          <w:tcPr>
            <w:tcW w:w="740" w:type="dxa"/>
            <w:tcBorders>
              <w:top w:val="nil"/>
              <w:left w:val="nil"/>
              <w:bottom w:val="nil"/>
              <w:right w:val="nil"/>
            </w:tcBorders>
            <w:noWrap/>
          </w:tcPr>
          <w:p w14:paraId="0D152D6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0.056</w:t>
            </w:r>
          </w:p>
        </w:tc>
        <w:tc>
          <w:tcPr>
            <w:tcW w:w="1539" w:type="dxa"/>
            <w:tcBorders>
              <w:top w:val="nil"/>
              <w:left w:val="nil"/>
              <w:bottom w:val="nil"/>
              <w:right w:val="nil"/>
            </w:tcBorders>
            <w:noWrap/>
          </w:tcPr>
          <w:p w14:paraId="007C757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2.3</w:t>
            </w:r>
          </w:p>
        </w:tc>
        <w:tc>
          <w:tcPr>
            <w:tcW w:w="740" w:type="dxa"/>
            <w:tcBorders>
              <w:top w:val="nil"/>
              <w:left w:val="nil"/>
              <w:bottom w:val="nil"/>
              <w:right w:val="nil"/>
            </w:tcBorders>
            <w:noWrap/>
          </w:tcPr>
          <w:p w14:paraId="41B3C31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0.054</w:t>
            </w:r>
          </w:p>
        </w:tc>
        <w:tc>
          <w:tcPr>
            <w:tcW w:w="1000" w:type="dxa"/>
            <w:tcBorders>
              <w:top w:val="nil"/>
              <w:left w:val="nil"/>
              <w:bottom w:val="nil"/>
              <w:right w:val="nil"/>
            </w:tcBorders>
            <w:noWrap/>
          </w:tcPr>
          <w:p w14:paraId="284FB67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000" w:type="dxa"/>
            <w:tcBorders>
              <w:top w:val="nil"/>
              <w:left w:val="nil"/>
              <w:bottom w:val="nil"/>
              <w:right w:val="nil"/>
            </w:tcBorders>
            <w:noWrap/>
          </w:tcPr>
          <w:p w14:paraId="15182DF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0.114</w:t>
            </w:r>
          </w:p>
        </w:tc>
        <w:tc>
          <w:tcPr>
            <w:tcW w:w="1000" w:type="dxa"/>
            <w:tcBorders>
              <w:top w:val="nil"/>
              <w:left w:val="nil"/>
              <w:bottom w:val="nil"/>
              <w:right w:val="nil"/>
            </w:tcBorders>
            <w:noWrap/>
          </w:tcPr>
          <w:p w14:paraId="5BA7B5F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0.042</w:t>
            </w:r>
          </w:p>
        </w:tc>
        <w:tc>
          <w:tcPr>
            <w:tcW w:w="1004" w:type="dxa"/>
            <w:tcBorders>
              <w:top w:val="nil"/>
              <w:left w:val="nil"/>
              <w:bottom w:val="nil"/>
              <w:right w:val="nil"/>
            </w:tcBorders>
            <w:noWrap/>
          </w:tcPr>
          <w:p w14:paraId="4BFDAEA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6F257E3C" w14:textId="77777777" w:rsidTr="00043CAE">
        <w:trPr>
          <w:trHeight w:val="73"/>
          <w:jc w:val="center"/>
        </w:trPr>
        <w:tc>
          <w:tcPr>
            <w:tcW w:w="1180" w:type="dxa"/>
            <w:tcBorders>
              <w:top w:val="nil"/>
              <w:left w:val="nil"/>
              <w:bottom w:val="nil"/>
              <w:right w:val="nil"/>
            </w:tcBorders>
            <w:noWrap/>
          </w:tcPr>
          <w:p w14:paraId="41E4C08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PR-6</w:t>
            </w:r>
          </w:p>
        </w:tc>
        <w:tc>
          <w:tcPr>
            <w:tcW w:w="740" w:type="dxa"/>
            <w:tcBorders>
              <w:top w:val="nil"/>
              <w:left w:val="nil"/>
              <w:bottom w:val="nil"/>
              <w:right w:val="nil"/>
            </w:tcBorders>
            <w:noWrap/>
          </w:tcPr>
          <w:p w14:paraId="7FB9F4B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0.053</w:t>
            </w:r>
          </w:p>
        </w:tc>
        <w:tc>
          <w:tcPr>
            <w:tcW w:w="1539" w:type="dxa"/>
            <w:tcBorders>
              <w:top w:val="nil"/>
              <w:left w:val="nil"/>
              <w:bottom w:val="nil"/>
              <w:right w:val="nil"/>
            </w:tcBorders>
            <w:noWrap/>
          </w:tcPr>
          <w:p w14:paraId="1BED36B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3.4</w:t>
            </w:r>
          </w:p>
        </w:tc>
        <w:tc>
          <w:tcPr>
            <w:tcW w:w="740" w:type="dxa"/>
            <w:tcBorders>
              <w:top w:val="nil"/>
              <w:left w:val="nil"/>
              <w:bottom w:val="nil"/>
              <w:right w:val="nil"/>
            </w:tcBorders>
            <w:noWrap/>
          </w:tcPr>
          <w:p w14:paraId="7658F39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000" w:type="dxa"/>
            <w:tcBorders>
              <w:top w:val="nil"/>
              <w:left w:val="nil"/>
              <w:bottom w:val="nil"/>
              <w:right w:val="nil"/>
            </w:tcBorders>
            <w:noWrap/>
          </w:tcPr>
          <w:p w14:paraId="4D86551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0.016</w:t>
            </w:r>
          </w:p>
        </w:tc>
        <w:tc>
          <w:tcPr>
            <w:tcW w:w="1000" w:type="dxa"/>
            <w:tcBorders>
              <w:top w:val="nil"/>
              <w:left w:val="nil"/>
              <w:bottom w:val="nil"/>
              <w:right w:val="nil"/>
            </w:tcBorders>
            <w:noWrap/>
          </w:tcPr>
          <w:p w14:paraId="357ABD1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000" w:type="dxa"/>
            <w:tcBorders>
              <w:top w:val="nil"/>
              <w:left w:val="nil"/>
              <w:bottom w:val="nil"/>
              <w:right w:val="nil"/>
            </w:tcBorders>
            <w:noWrap/>
          </w:tcPr>
          <w:p w14:paraId="40B56A4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0.053</w:t>
            </w:r>
          </w:p>
        </w:tc>
        <w:tc>
          <w:tcPr>
            <w:tcW w:w="1004" w:type="dxa"/>
            <w:tcBorders>
              <w:top w:val="nil"/>
              <w:left w:val="nil"/>
              <w:bottom w:val="nil"/>
              <w:right w:val="nil"/>
            </w:tcBorders>
            <w:noWrap/>
          </w:tcPr>
          <w:p w14:paraId="0ABC26B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291BC165" w14:textId="77777777" w:rsidTr="00043CAE">
        <w:trPr>
          <w:trHeight w:val="73"/>
          <w:jc w:val="center"/>
        </w:trPr>
        <w:tc>
          <w:tcPr>
            <w:tcW w:w="1180" w:type="dxa"/>
            <w:tcBorders>
              <w:top w:val="nil"/>
              <w:left w:val="nil"/>
              <w:bottom w:val="nil"/>
              <w:right w:val="nil"/>
            </w:tcBorders>
            <w:noWrap/>
          </w:tcPr>
          <w:p w14:paraId="0C68C28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PR-7</w:t>
            </w:r>
          </w:p>
        </w:tc>
        <w:tc>
          <w:tcPr>
            <w:tcW w:w="740" w:type="dxa"/>
            <w:tcBorders>
              <w:top w:val="nil"/>
              <w:left w:val="nil"/>
              <w:bottom w:val="nil"/>
              <w:right w:val="nil"/>
            </w:tcBorders>
            <w:noWrap/>
          </w:tcPr>
          <w:p w14:paraId="29FA885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539" w:type="dxa"/>
            <w:tcBorders>
              <w:top w:val="nil"/>
              <w:left w:val="nil"/>
              <w:bottom w:val="nil"/>
              <w:right w:val="nil"/>
            </w:tcBorders>
            <w:noWrap/>
          </w:tcPr>
          <w:p w14:paraId="0B4D0AE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2.967</w:t>
            </w:r>
          </w:p>
        </w:tc>
        <w:tc>
          <w:tcPr>
            <w:tcW w:w="740" w:type="dxa"/>
            <w:tcBorders>
              <w:top w:val="nil"/>
              <w:left w:val="nil"/>
              <w:bottom w:val="nil"/>
              <w:right w:val="nil"/>
            </w:tcBorders>
            <w:noWrap/>
          </w:tcPr>
          <w:p w14:paraId="25A9357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0.027</w:t>
            </w:r>
          </w:p>
        </w:tc>
        <w:tc>
          <w:tcPr>
            <w:tcW w:w="1000" w:type="dxa"/>
            <w:tcBorders>
              <w:top w:val="nil"/>
              <w:left w:val="nil"/>
              <w:bottom w:val="nil"/>
              <w:right w:val="nil"/>
            </w:tcBorders>
            <w:noWrap/>
          </w:tcPr>
          <w:p w14:paraId="6773CF8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0.017</w:t>
            </w:r>
          </w:p>
        </w:tc>
        <w:tc>
          <w:tcPr>
            <w:tcW w:w="1000" w:type="dxa"/>
            <w:tcBorders>
              <w:top w:val="nil"/>
              <w:left w:val="nil"/>
              <w:bottom w:val="nil"/>
              <w:right w:val="nil"/>
            </w:tcBorders>
            <w:noWrap/>
          </w:tcPr>
          <w:p w14:paraId="60ED063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1000" w:type="dxa"/>
            <w:tcBorders>
              <w:top w:val="nil"/>
              <w:left w:val="nil"/>
              <w:bottom w:val="nil"/>
              <w:right w:val="nil"/>
            </w:tcBorders>
            <w:noWrap/>
          </w:tcPr>
          <w:p w14:paraId="00156C1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0.053</w:t>
            </w:r>
          </w:p>
        </w:tc>
        <w:tc>
          <w:tcPr>
            <w:tcW w:w="1004" w:type="dxa"/>
            <w:tcBorders>
              <w:top w:val="nil"/>
              <w:left w:val="nil"/>
              <w:bottom w:val="nil"/>
              <w:right w:val="nil"/>
            </w:tcBorders>
            <w:noWrap/>
          </w:tcPr>
          <w:p w14:paraId="50DF7F1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541CC4C4" w14:textId="77777777" w:rsidTr="00043CAE">
        <w:trPr>
          <w:trHeight w:val="73"/>
          <w:jc w:val="center"/>
        </w:trPr>
        <w:tc>
          <w:tcPr>
            <w:tcW w:w="1180" w:type="dxa"/>
            <w:tcBorders>
              <w:top w:val="nil"/>
              <w:left w:val="nil"/>
              <w:bottom w:val="nil"/>
              <w:right w:val="nil"/>
            </w:tcBorders>
            <w:noWrap/>
          </w:tcPr>
          <w:p w14:paraId="28D7029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PR-8</w:t>
            </w:r>
          </w:p>
        </w:tc>
        <w:tc>
          <w:tcPr>
            <w:tcW w:w="740" w:type="dxa"/>
            <w:tcBorders>
              <w:top w:val="nil"/>
              <w:left w:val="nil"/>
              <w:bottom w:val="nil"/>
              <w:right w:val="nil"/>
            </w:tcBorders>
            <w:noWrap/>
          </w:tcPr>
          <w:p w14:paraId="5B8BAFA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0.029</w:t>
            </w:r>
          </w:p>
        </w:tc>
        <w:tc>
          <w:tcPr>
            <w:tcW w:w="1539" w:type="dxa"/>
            <w:tcBorders>
              <w:top w:val="nil"/>
              <w:left w:val="nil"/>
              <w:bottom w:val="nil"/>
              <w:right w:val="nil"/>
            </w:tcBorders>
            <w:noWrap/>
          </w:tcPr>
          <w:p w14:paraId="18DE6E1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1.267</w:t>
            </w:r>
          </w:p>
        </w:tc>
        <w:tc>
          <w:tcPr>
            <w:tcW w:w="740" w:type="dxa"/>
            <w:tcBorders>
              <w:top w:val="nil"/>
              <w:left w:val="nil"/>
              <w:bottom w:val="nil"/>
              <w:right w:val="nil"/>
            </w:tcBorders>
            <w:noWrap/>
          </w:tcPr>
          <w:p w14:paraId="28331D3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0.021</w:t>
            </w:r>
          </w:p>
        </w:tc>
        <w:tc>
          <w:tcPr>
            <w:tcW w:w="1000" w:type="dxa"/>
            <w:tcBorders>
              <w:top w:val="nil"/>
              <w:left w:val="nil"/>
              <w:bottom w:val="nil"/>
              <w:right w:val="nil"/>
            </w:tcBorders>
            <w:noWrap/>
          </w:tcPr>
          <w:p w14:paraId="4BF46FD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000" w:type="dxa"/>
            <w:tcBorders>
              <w:top w:val="nil"/>
              <w:left w:val="nil"/>
              <w:bottom w:val="nil"/>
              <w:right w:val="nil"/>
            </w:tcBorders>
            <w:noWrap/>
          </w:tcPr>
          <w:p w14:paraId="7B727E8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0.032</w:t>
            </w:r>
          </w:p>
        </w:tc>
        <w:tc>
          <w:tcPr>
            <w:tcW w:w="1000" w:type="dxa"/>
            <w:tcBorders>
              <w:top w:val="nil"/>
              <w:left w:val="nil"/>
              <w:bottom w:val="nil"/>
              <w:right w:val="nil"/>
            </w:tcBorders>
            <w:noWrap/>
          </w:tcPr>
          <w:p w14:paraId="726D574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0.093</w:t>
            </w:r>
          </w:p>
        </w:tc>
        <w:tc>
          <w:tcPr>
            <w:tcW w:w="1004" w:type="dxa"/>
            <w:tcBorders>
              <w:top w:val="nil"/>
              <w:left w:val="nil"/>
              <w:bottom w:val="nil"/>
              <w:right w:val="nil"/>
            </w:tcBorders>
            <w:noWrap/>
          </w:tcPr>
          <w:p w14:paraId="67B98B2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3E3A48C1" w14:textId="77777777" w:rsidTr="00043CAE">
        <w:trPr>
          <w:trHeight w:val="73"/>
          <w:jc w:val="center"/>
        </w:trPr>
        <w:tc>
          <w:tcPr>
            <w:tcW w:w="1180" w:type="dxa"/>
            <w:tcBorders>
              <w:top w:val="nil"/>
              <w:left w:val="nil"/>
              <w:bottom w:val="nil"/>
              <w:right w:val="nil"/>
            </w:tcBorders>
            <w:noWrap/>
          </w:tcPr>
          <w:p w14:paraId="6EB56C5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PR-9</w:t>
            </w:r>
          </w:p>
        </w:tc>
        <w:tc>
          <w:tcPr>
            <w:tcW w:w="740" w:type="dxa"/>
            <w:tcBorders>
              <w:top w:val="nil"/>
              <w:left w:val="nil"/>
              <w:bottom w:val="nil"/>
              <w:right w:val="nil"/>
            </w:tcBorders>
            <w:noWrap/>
          </w:tcPr>
          <w:p w14:paraId="410B31D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0.067</w:t>
            </w:r>
          </w:p>
        </w:tc>
        <w:tc>
          <w:tcPr>
            <w:tcW w:w="1539" w:type="dxa"/>
            <w:tcBorders>
              <w:top w:val="nil"/>
              <w:left w:val="nil"/>
              <w:bottom w:val="nil"/>
              <w:right w:val="nil"/>
            </w:tcBorders>
            <w:noWrap/>
          </w:tcPr>
          <w:p w14:paraId="6583909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3.533</w:t>
            </w:r>
          </w:p>
        </w:tc>
        <w:tc>
          <w:tcPr>
            <w:tcW w:w="740" w:type="dxa"/>
            <w:tcBorders>
              <w:top w:val="nil"/>
              <w:left w:val="nil"/>
              <w:bottom w:val="nil"/>
              <w:right w:val="nil"/>
            </w:tcBorders>
            <w:noWrap/>
          </w:tcPr>
          <w:p w14:paraId="034E02D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0.073</w:t>
            </w:r>
          </w:p>
        </w:tc>
        <w:tc>
          <w:tcPr>
            <w:tcW w:w="1000" w:type="dxa"/>
            <w:tcBorders>
              <w:top w:val="nil"/>
              <w:left w:val="nil"/>
              <w:bottom w:val="nil"/>
              <w:right w:val="nil"/>
            </w:tcBorders>
            <w:noWrap/>
          </w:tcPr>
          <w:p w14:paraId="62D0993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000" w:type="dxa"/>
            <w:tcBorders>
              <w:top w:val="nil"/>
              <w:left w:val="nil"/>
              <w:bottom w:val="nil"/>
              <w:right w:val="nil"/>
            </w:tcBorders>
            <w:noWrap/>
          </w:tcPr>
          <w:p w14:paraId="7793F23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1000" w:type="dxa"/>
            <w:tcBorders>
              <w:top w:val="nil"/>
              <w:left w:val="nil"/>
              <w:bottom w:val="nil"/>
              <w:right w:val="nil"/>
            </w:tcBorders>
            <w:noWrap/>
          </w:tcPr>
          <w:p w14:paraId="01C0CB4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0.084</w:t>
            </w:r>
          </w:p>
        </w:tc>
        <w:tc>
          <w:tcPr>
            <w:tcW w:w="1004" w:type="dxa"/>
            <w:tcBorders>
              <w:top w:val="nil"/>
              <w:left w:val="nil"/>
              <w:bottom w:val="nil"/>
              <w:right w:val="nil"/>
            </w:tcBorders>
            <w:noWrap/>
          </w:tcPr>
          <w:p w14:paraId="5C442B3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1AFF86D9" w14:textId="77777777" w:rsidTr="00043CAE">
        <w:trPr>
          <w:trHeight w:val="73"/>
          <w:jc w:val="center"/>
        </w:trPr>
        <w:tc>
          <w:tcPr>
            <w:tcW w:w="1180" w:type="dxa"/>
            <w:tcBorders>
              <w:top w:val="nil"/>
              <w:left w:val="nil"/>
              <w:bottom w:val="nil"/>
              <w:right w:val="nil"/>
            </w:tcBorders>
            <w:noWrap/>
          </w:tcPr>
          <w:p w14:paraId="5D05DCF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PR-10</w:t>
            </w:r>
          </w:p>
        </w:tc>
        <w:tc>
          <w:tcPr>
            <w:tcW w:w="740" w:type="dxa"/>
            <w:tcBorders>
              <w:top w:val="nil"/>
              <w:left w:val="nil"/>
              <w:bottom w:val="nil"/>
              <w:right w:val="nil"/>
            </w:tcBorders>
            <w:noWrap/>
          </w:tcPr>
          <w:p w14:paraId="44F9F8A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539" w:type="dxa"/>
            <w:tcBorders>
              <w:top w:val="nil"/>
              <w:left w:val="nil"/>
              <w:bottom w:val="nil"/>
              <w:right w:val="nil"/>
            </w:tcBorders>
            <w:noWrap/>
          </w:tcPr>
          <w:p w14:paraId="44C5A04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1.567</w:t>
            </w:r>
          </w:p>
        </w:tc>
        <w:tc>
          <w:tcPr>
            <w:tcW w:w="740" w:type="dxa"/>
            <w:tcBorders>
              <w:top w:val="nil"/>
              <w:left w:val="nil"/>
              <w:bottom w:val="nil"/>
              <w:right w:val="nil"/>
            </w:tcBorders>
            <w:noWrap/>
          </w:tcPr>
          <w:p w14:paraId="6CA2635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0.052</w:t>
            </w:r>
          </w:p>
        </w:tc>
        <w:tc>
          <w:tcPr>
            <w:tcW w:w="1000" w:type="dxa"/>
            <w:tcBorders>
              <w:top w:val="nil"/>
              <w:left w:val="nil"/>
              <w:bottom w:val="nil"/>
              <w:right w:val="nil"/>
            </w:tcBorders>
            <w:noWrap/>
          </w:tcPr>
          <w:p w14:paraId="2CC9C62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0.017</w:t>
            </w:r>
          </w:p>
        </w:tc>
        <w:tc>
          <w:tcPr>
            <w:tcW w:w="1000" w:type="dxa"/>
            <w:tcBorders>
              <w:top w:val="nil"/>
              <w:left w:val="nil"/>
              <w:bottom w:val="nil"/>
              <w:right w:val="nil"/>
            </w:tcBorders>
            <w:noWrap/>
          </w:tcPr>
          <w:p w14:paraId="53C31C2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00" w:type="dxa"/>
            <w:tcBorders>
              <w:top w:val="nil"/>
              <w:left w:val="nil"/>
              <w:bottom w:val="nil"/>
              <w:right w:val="nil"/>
            </w:tcBorders>
            <w:noWrap/>
          </w:tcPr>
          <w:p w14:paraId="7F1B220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0.035</w:t>
            </w:r>
          </w:p>
        </w:tc>
        <w:tc>
          <w:tcPr>
            <w:tcW w:w="1004" w:type="dxa"/>
            <w:tcBorders>
              <w:top w:val="nil"/>
              <w:left w:val="nil"/>
              <w:bottom w:val="nil"/>
              <w:right w:val="nil"/>
            </w:tcBorders>
            <w:noWrap/>
          </w:tcPr>
          <w:p w14:paraId="4EF4A8E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57D29A17" w14:textId="77777777" w:rsidTr="00043CAE">
        <w:trPr>
          <w:trHeight w:val="73"/>
          <w:jc w:val="center"/>
        </w:trPr>
        <w:tc>
          <w:tcPr>
            <w:tcW w:w="1180" w:type="dxa"/>
            <w:tcBorders>
              <w:top w:val="nil"/>
              <w:left w:val="nil"/>
              <w:bottom w:val="nil"/>
              <w:right w:val="nil"/>
            </w:tcBorders>
            <w:noWrap/>
          </w:tcPr>
          <w:p w14:paraId="57E4F4C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PR-11</w:t>
            </w:r>
          </w:p>
        </w:tc>
        <w:tc>
          <w:tcPr>
            <w:tcW w:w="740" w:type="dxa"/>
            <w:tcBorders>
              <w:top w:val="nil"/>
              <w:left w:val="nil"/>
              <w:bottom w:val="nil"/>
              <w:right w:val="nil"/>
            </w:tcBorders>
            <w:noWrap/>
          </w:tcPr>
          <w:p w14:paraId="058EFD6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0.023</w:t>
            </w:r>
          </w:p>
        </w:tc>
        <w:tc>
          <w:tcPr>
            <w:tcW w:w="1539" w:type="dxa"/>
            <w:tcBorders>
              <w:top w:val="nil"/>
              <w:left w:val="nil"/>
              <w:bottom w:val="nil"/>
              <w:right w:val="nil"/>
            </w:tcBorders>
            <w:noWrap/>
          </w:tcPr>
          <w:p w14:paraId="599C88C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2.5</w:t>
            </w:r>
          </w:p>
        </w:tc>
        <w:tc>
          <w:tcPr>
            <w:tcW w:w="740" w:type="dxa"/>
            <w:tcBorders>
              <w:top w:val="nil"/>
              <w:left w:val="nil"/>
              <w:bottom w:val="nil"/>
              <w:right w:val="nil"/>
            </w:tcBorders>
            <w:noWrap/>
          </w:tcPr>
          <w:p w14:paraId="6538EA4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0.074</w:t>
            </w:r>
          </w:p>
        </w:tc>
        <w:tc>
          <w:tcPr>
            <w:tcW w:w="1000" w:type="dxa"/>
            <w:tcBorders>
              <w:top w:val="nil"/>
              <w:left w:val="nil"/>
              <w:bottom w:val="nil"/>
              <w:right w:val="nil"/>
            </w:tcBorders>
            <w:noWrap/>
          </w:tcPr>
          <w:p w14:paraId="53807C6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0.012</w:t>
            </w:r>
          </w:p>
        </w:tc>
        <w:tc>
          <w:tcPr>
            <w:tcW w:w="1000" w:type="dxa"/>
            <w:tcBorders>
              <w:top w:val="nil"/>
              <w:left w:val="nil"/>
              <w:bottom w:val="nil"/>
              <w:right w:val="nil"/>
            </w:tcBorders>
            <w:noWrap/>
          </w:tcPr>
          <w:p w14:paraId="0331A11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00" w:type="dxa"/>
            <w:tcBorders>
              <w:top w:val="nil"/>
              <w:left w:val="nil"/>
              <w:bottom w:val="nil"/>
              <w:right w:val="nil"/>
            </w:tcBorders>
            <w:noWrap/>
          </w:tcPr>
          <w:p w14:paraId="21FD93C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0.061</w:t>
            </w:r>
          </w:p>
        </w:tc>
        <w:tc>
          <w:tcPr>
            <w:tcW w:w="1004" w:type="dxa"/>
            <w:tcBorders>
              <w:top w:val="nil"/>
              <w:left w:val="nil"/>
              <w:bottom w:val="nil"/>
              <w:right w:val="nil"/>
            </w:tcBorders>
            <w:noWrap/>
          </w:tcPr>
          <w:p w14:paraId="181AD10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1565CFB0" w14:textId="77777777" w:rsidTr="00043CAE">
        <w:trPr>
          <w:trHeight w:val="73"/>
          <w:jc w:val="center"/>
        </w:trPr>
        <w:tc>
          <w:tcPr>
            <w:tcW w:w="1180" w:type="dxa"/>
            <w:tcBorders>
              <w:top w:val="nil"/>
              <w:left w:val="nil"/>
              <w:bottom w:val="nil"/>
              <w:right w:val="nil"/>
            </w:tcBorders>
            <w:noWrap/>
          </w:tcPr>
          <w:p w14:paraId="456E514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CT-1</w:t>
            </w:r>
          </w:p>
        </w:tc>
        <w:tc>
          <w:tcPr>
            <w:tcW w:w="740" w:type="dxa"/>
            <w:tcBorders>
              <w:top w:val="nil"/>
              <w:left w:val="nil"/>
              <w:bottom w:val="nil"/>
              <w:right w:val="nil"/>
            </w:tcBorders>
            <w:noWrap/>
          </w:tcPr>
          <w:p w14:paraId="3431D4D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539" w:type="dxa"/>
            <w:tcBorders>
              <w:top w:val="nil"/>
              <w:left w:val="nil"/>
              <w:bottom w:val="nil"/>
              <w:right w:val="nil"/>
            </w:tcBorders>
            <w:noWrap/>
          </w:tcPr>
          <w:p w14:paraId="76BFC63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0.633</w:t>
            </w:r>
          </w:p>
        </w:tc>
        <w:tc>
          <w:tcPr>
            <w:tcW w:w="740" w:type="dxa"/>
            <w:tcBorders>
              <w:top w:val="nil"/>
              <w:left w:val="nil"/>
              <w:bottom w:val="nil"/>
              <w:right w:val="nil"/>
            </w:tcBorders>
            <w:noWrap/>
          </w:tcPr>
          <w:p w14:paraId="3625664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0.037</w:t>
            </w:r>
          </w:p>
        </w:tc>
        <w:tc>
          <w:tcPr>
            <w:tcW w:w="1000" w:type="dxa"/>
            <w:tcBorders>
              <w:top w:val="nil"/>
              <w:left w:val="nil"/>
              <w:bottom w:val="nil"/>
              <w:right w:val="nil"/>
            </w:tcBorders>
            <w:noWrap/>
          </w:tcPr>
          <w:p w14:paraId="53D1BAB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00" w:type="dxa"/>
            <w:tcBorders>
              <w:top w:val="nil"/>
              <w:left w:val="nil"/>
              <w:bottom w:val="nil"/>
              <w:right w:val="nil"/>
            </w:tcBorders>
            <w:noWrap/>
          </w:tcPr>
          <w:p w14:paraId="2FF3C64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000" w:type="dxa"/>
            <w:tcBorders>
              <w:top w:val="nil"/>
              <w:left w:val="nil"/>
              <w:bottom w:val="nil"/>
              <w:right w:val="nil"/>
            </w:tcBorders>
            <w:noWrap/>
          </w:tcPr>
          <w:p w14:paraId="360B8C6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0.036</w:t>
            </w:r>
          </w:p>
        </w:tc>
        <w:tc>
          <w:tcPr>
            <w:tcW w:w="1004" w:type="dxa"/>
            <w:tcBorders>
              <w:top w:val="nil"/>
              <w:left w:val="nil"/>
              <w:bottom w:val="nil"/>
              <w:right w:val="nil"/>
            </w:tcBorders>
            <w:noWrap/>
          </w:tcPr>
          <w:p w14:paraId="7416451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6F0B629F" w14:textId="77777777" w:rsidTr="008A36EB">
        <w:trPr>
          <w:trHeight w:val="73"/>
          <w:jc w:val="center"/>
        </w:trPr>
        <w:tc>
          <w:tcPr>
            <w:tcW w:w="1180" w:type="dxa"/>
            <w:tcBorders>
              <w:top w:val="nil"/>
              <w:left w:val="nil"/>
              <w:bottom w:val="nil"/>
              <w:right w:val="nil"/>
            </w:tcBorders>
            <w:noWrap/>
          </w:tcPr>
          <w:p w14:paraId="7DDD534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CT-2</w:t>
            </w:r>
          </w:p>
        </w:tc>
        <w:tc>
          <w:tcPr>
            <w:tcW w:w="740" w:type="dxa"/>
            <w:tcBorders>
              <w:top w:val="nil"/>
              <w:left w:val="nil"/>
              <w:bottom w:val="nil"/>
              <w:right w:val="nil"/>
            </w:tcBorders>
            <w:noWrap/>
          </w:tcPr>
          <w:p w14:paraId="2ED18BF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0.005</w:t>
            </w:r>
          </w:p>
        </w:tc>
        <w:tc>
          <w:tcPr>
            <w:tcW w:w="1539" w:type="dxa"/>
            <w:tcBorders>
              <w:top w:val="nil"/>
              <w:left w:val="nil"/>
              <w:bottom w:val="nil"/>
              <w:right w:val="nil"/>
            </w:tcBorders>
            <w:noWrap/>
          </w:tcPr>
          <w:p w14:paraId="37F23D7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0.767</w:t>
            </w:r>
          </w:p>
        </w:tc>
        <w:tc>
          <w:tcPr>
            <w:tcW w:w="740" w:type="dxa"/>
            <w:tcBorders>
              <w:top w:val="nil"/>
              <w:left w:val="nil"/>
              <w:bottom w:val="nil"/>
              <w:right w:val="nil"/>
            </w:tcBorders>
            <w:noWrap/>
          </w:tcPr>
          <w:p w14:paraId="632C0E4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0.038</w:t>
            </w:r>
          </w:p>
        </w:tc>
        <w:tc>
          <w:tcPr>
            <w:tcW w:w="1000" w:type="dxa"/>
            <w:tcBorders>
              <w:top w:val="nil"/>
              <w:left w:val="nil"/>
              <w:bottom w:val="nil"/>
              <w:right w:val="nil"/>
            </w:tcBorders>
            <w:noWrap/>
          </w:tcPr>
          <w:p w14:paraId="2C2CF87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00" w:type="dxa"/>
            <w:tcBorders>
              <w:top w:val="nil"/>
              <w:left w:val="nil"/>
              <w:bottom w:val="nil"/>
              <w:right w:val="nil"/>
            </w:tcBorders>
            <w:noWrap/>
          </w:tcPr>
          <w:p w14:paraId="5445917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0.023</w:t>
            </w:r>
          </w:p>
        </w:tc>
        <w:tc>
          <w:tcPr>
            <w:tcW w:w="1000" w:type="dxa"/>
            <w:tcBorders>
              <w:top w:val="nil"/>
              <w:left w:val="nil"/>
              <w:bottom w:val="nil"/>
              <w:right w:val="nil"/>
            </w:tcBorders>
            <w:noWrap/>
          </w:tcPr>
          <w:p w14:paraId="0BE9D1E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1004" w:type="dxa"/>
            <w:tcBorders>
              <w:top w:val="nil"/>
              <w:left w:val="nil"/>
              <w:bottom w:val="nil"/>
              <w:right w:val="nil"/>
            </w:tcBorders>
            <w:noWrap/>
          </w:tcPr>
          <w:p w14:paraId="24265EB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3BF79AE9" w14:textId="77777777" w:rsidTr="008A36EB">
        <w:trPr>
          <w:trHeight w:val="73"/>
          <w:jc w:val="center"/>
        </w:trPr>
        <w:tc>
          <w:tcPr>
            <w:tcW w:w="1180" w:type="dxa"/>
            <w:tcBorders>
              <w:top w:val="nil"/>
              <w:left w:val="nil"/>
              <w:bottom w:val="single" w:sz="8" w:space="0" w:color="auto"/>
              <w:right w:val="nil"/>
            </w:tcBorders>
            <w:noWrap/>
          </w:tcPr>
          <w:p w14:paraId="22D3620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Sum</w:t>
            </w:r>
          </w:p>
        </w:tc>
        <w:tc>
          <w:tcPr>
            <w:tcW w:w="740" w:type="dxa"/>
            <w:tcBorders>
              <w:top w:val="nil"/>
              <w:left w:val="nil"/>
              <w:bottom w:val="single" w:sz="8" w:space="0" w:color="auto"/>
              <w:right w:val="nil"/>
            </w:tcBorders>
            <w:noWrap/>
          </w:tcPr>
          <w:p w14:paraId="226562F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0.484</w:t>
            </w:r>
          </w:p>
        </w:tc>
        <w:tc>
          <w:tcPr>
            <w:tcW w:w="1539" w:type="dxa"/>
            <w:tcBorders>
              <w:top w:val="nil"/>
              <w:left w:val="nil"/>
              <w:bottom w:val="single" w:sz="8" w:space="0" w:color="auto"/>
              <w:right w:val="nil"/>
            </w:tcBorders>
            <w:noWrap/>
          </w:tcPr>
          <w:p w14:paraId="26927A3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30.667</w:t>
            </w:r>
          </w:p>
        </w:tc>
        <w:tc>
          <w:tcPr>
            <w:tcW w:w="740" w:type="dxa"/>
            <w:tcBorders>
              <w:top w:val="nil"/>
              <w:left w:val="nil"/>
              <w:bottom w:val="single" w:sz="8" w:space="0" w:color="auto"/>
              <w:right w:val="nil"/>
            </w:tcBorders>
            <w:noWrap/>
          </w:tcPr>
          <w:p w14:paraId="5C66892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0.647</w:t>
            </w:r>
          </w:p>
        </w:tc>
        <w:tc>
          <w:tcPr>
            <w:tcW w:w="1000" w:type="dxa"/>
            <w:tcBorders>
              <w:top w:val="nil"/>
              <w:left w:val="nil"/>
              <w:bottom w:val="single" w:sz="8" w:space="0" w:color="auto"/>
              <w:right w:val="nil"/>
            </w:tcBorders>
            <w:noWrap/>
          </w:tcPr>
          <w:p w14:paraId="64A9B2A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0.181</w:t>
            </w:r>
          </w:p>
        </w:tc>
        <w:tc>
          <w:tcPr>
            <w:tcW w:w="1000" w:type="dxa"/>
            <w:tcBorders>
              <w:top w:val="nil"/>
              <w:left w:val="nil"/>
              <w:bottom w:val="single" w:sz="8" w:space="0" w:color="auto"/>
              <w:right w:val="nil"/>
            </w:tcBorders>
            <w:noWrap/>
          </w:tcPr>
          <w:p w14:paraId="5D38988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0.78</w:t>
            </w:r>
          </w:p>
        </w:tc>
        <w:tc>
          <w:tcPr>
            <w:tcW w:w="1000" w:type="dxa"/>
            <w:tcBorders>
              <w:top w:val="nil"/>
              <w:left w:val="nil"/>
              <w:bottom w:val="single" w:sz="8" w:space="0" w:color="auto"/>
              <w:right w:val="nil"/>
            </w:tcBorders>
            <w:noWrap/>
          </w:tcPr>
          <w:p w14:paraId="5F411CC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0.771</w:t>
            </w:r>
          </w:p>
        </w:tc>
        <w:tc>
          <w:tcPr>
            <w:tcW w:w="1004" w:type="dxa"/>
            <w:tcBorders>
              <w:top w:val="nil"/>
              <w:left w:val="nil"/>
              <w:bottom w:val="single" w:sz="8" w:space="0" w:color="auto"/>
              <w:right w:val="nil"/>
            </w:tcBorders>
            <w:noWrap/>
          </w:tcPr>
          <w:p w14:paraId="5FFB04E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2EDF1DA3" w14:textId="77777777" w:rsidTr="00045A65">
        <w:trPr>
          <w:trHeight w:val="53"/>
          <w:jc w:val="center"/>
        </w:trPr>
        <w:tc>
          <w:tcPr>
            <w:tcW w:w="1180" w:type="dxa"/>
            <w:tcBorders>
              <w:top w:val="single" w:sz="8" w:space="0" w:color="auto"/>
              <w:left w:val="nil"/>
              <w:bottom w:val="single" w:sz="4" w:space="0" w:color="auto"/>
              <w:right w:val="nil"/>
            </w:tcBorders>
            <w:noWrap/>
          </w:tcPr>
          <w:p w14:paraId="24FEAEB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740" w:type="dxa"/>
            <w:tcBorders>
              <w:top w:val="single" w:sz="8" w:space="0" w:color="auto"/>
              <w:left w:val="nil"/>
              <w:bottom w:val="single" w:sz="4" w:space="0" w:color="auto"/>
              <w:right w:val="nil"/>
            </w:tcBorders>
            <w:noWrap/>
          </w:tcPr>
          <w:p w14:paraId="5980922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539" w:type="dxa"/>
            <w:tcBorders>
              <w:top w:val="single" w:sz="8" w:space="0" w:color="auto"/>
              <w:left w:val="nil"/>
              <w:bottom w:val="single" w:sz="4" w:space="0" w:color="auto"/>
              <w:right w:val="nil"/>
            </w:tcBorders>
            <w:noWrap/>
          </w:tcPr>
          <w:p w14:paraId="34745B9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to </w:t>
            </w:r>
            <w:proofErr w:type="spellStart"/>
            <w:r w:rsidRPr="00763151">
              <w:rPr>
                <w:rFonts w:ascii="Times New Roman" w:eastAsia="Times New Roman" w:hAnsi="Times New Roman" w:cs="Times New Roman"/>
                <w:color w:val="000000"/>
              </w:rPr>
              <w:t>Cons</w:t>
            </w:r>
            <w:r w:rsidR="003A7F24">
              <w:rPr>
                <w:rFonts w:ascii="Times New Roman" w:eastAsia="Times New Roman" w:hAnsi="Times New Roman" w:cs="Times New Roman"/>
                <w:color w:val="000000"/>
              </w:rPr>
              <w:t>id</w:t>
            </w:r>
            <w:proofErr w:type="spellEnd"/>
            <w:r w:rsidR="003644DA">
              <w:rPr>
                <w:rFonts w:ascii="Times New Roman" w:eastAsia="Times New Roman" w:hAnsi="Times New Roman" w:cs="Times New Roman"/>
                <w:color w:val="000000"/>
              </w:rPr>
              <w:t>.</w:t>
            </w:r>
          </w:p>
        </w:tc>
        <w:tc>
          <w:tcPr>
            <w:tcW w:w="740" w:type="dxa"/>
            <w:tcBorders>
              <w:top w:val="single" w:sz="8" w:space="0" w:color="auto"/>
              <w:left w:val="nil"/>
              <w:bottom w:val="single" w:sz="4" w:space="0" w:color="auto"/>
              <w:right w:val="nil"/>
            </w:tcBorders>
            <w:noWrap/>
          </w:tcPr>
          <w:p w14:paraId="6EEB16E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0" w:type="dxa"/>
            <w:tcBorders>
              <w:top w:val="single" w:sz="8" w:space="0" w:color="auto"/>
              <w:left w:val="nil"/>
              <w:bottom w:val="single" w:sz="4" w:space="0" w:color="auto"/>
              <w:right w:val="nil"/>
            </w:tcBorders>
            <w:noWrap/>
          </w:tcPr>
          <w:p w14:paraId="4BDBAF8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0" w:type="dxa"/>
            <w:tcBorders>
              <w:top w:val="single" w:sz="8" w:space="0" w:color="auto"/>
              <w:left w:val="nil"/>
              <w:bottom w:val="single" w:sz="4" w:space="0" w:color="auto"/>
              <w:right w:val="nil"/>
            </w:tcBorders>
            <w:noWrap/>
          </w:tcPr>
          <w:p w14:paraId="45EAC79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0" w:type="dxa"/>
            <w:tcBorders>
              <w:top w:val="single" w:sz="8" w:space="0" w:color="auto"/>
              <w:left w:val="nil"/>
              <w:bottom w:val="single" w:sz="4" w:space="0" w:color="auto"/>
              <w:right w:val="nil"/>
            </w:tcBorders>
            <w:noWrap/>
          </w:tcPr>
          <w:p w14:paraId="5AF86A2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4" w:type="dxa"/>
            <w:tcBorders>
              <w:top w:val="single" w:sz="8" w:space="0" w:color="auto"/>
              <w:left w:val="nil"/>
              <w:bottom w:val="single" w:sz="4" w:space="0" w:color="auto"/>
              <w:right w:val="nil"/>
            </w:tcBorders>
            <w:noWrap/>
          </w:tcPr>
          <w:p w14:paraId="070D937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r>
    </w:tbl>
    <w:p w14:paraId="4080D526" w14:textId="77777777" w:rsidR="009B5305" w:rsidRDefault="009B5305" w:rsidP="00A55FB5">
      <w:pPr>
        <w:spacing w:after="0" w:line="204" w:lineRule="auto"/>
        <w:jc w:val="center"/>
        <w:rPr>
          <w:rFonts w:ascii="Calibri" w:eastAsia="Calibri" w:hAnsi="Calibri" w:cs="Times New Roman"/>
          <w:b/>
          <w:sz w:val="20"/>
          <w:szCs w:val="20"/>
        </w:rPr>
      </w:pPr>
    </w:p>
    <w:tbl>
      <w:tblPr>
        <w:tblStyle w:val="TableGrid2"/>
        <w:tblW w:w="818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7"/>
        <w:gridCol w:w="759"/>
        <w:gridCol w:w="1551"/>
        <w:gridCol w:w="760"/>
        <w:gridCol w:w="1015"/>
        <w:gridCol w:w="1015"/>
        <w:gridCol w:w="1015"/>
        <w:gridCol w:w="885"/>
      </w:tblGrid>
      <w:tr w:rsidR="00CA4F1F" w:rsidRPr="00763151" w14:paraId="5FB85E6E" w14:textId="77777777" w:rsidTr="00E907F7">
        <w:trPr>
          <w:trHeight w:val="97"/>
          <w:jc w:val="center"/>
        </w:trPr>
        <w:tc>
          <w:tcPr>
            <w:tcW w:w="8187" w:type="dxa"/>
            <w:gridSpan w:val="8"/>
            <w:tcBorders>
              <w:top w:val="single" w:sz="4" w:space="0" w:color="auto"/>
              <w:left w:val="nil"/>
              <w:bottom w:val="single" w:sz="4" w:space="0" w:color="auto"/>
              <w:right w:val="nil"/>
            </w:tcBorders>
            <w:vAlign w:val="center"/>
          </w:tcPr>
          <w:p w14:paraId="297DF1F7" w14:textId="77777777" w:rsidR="00CA4F1F" w:rsidRPr="00CA4F1F" w:rsidRDefault="00CA4F1F" w:rsidP="00A55FB5">
            <w:pPr>
              <w:spacing w:line="204" w:lineRule="auto"/>
              <w:jc w:val="center"/>
              <w:rPr>
                <w:rFonts w:cs="Times New Roman"/>
                <w:b/>
              </w:rPr>
            </w:pPr>
            <w:r w:rsidRPr="000739BB">
              <w:rPr>
                <w:rFonts w:ascii="Times New Roman" w:hAnsi="Times New Roman" w:cs="Times New Roman"/>
                <w:b/>
              </w:rPr>
              <w:t>Second sampling phase</w:t>
            </w:r>
          </w:p>
        </w:tc>
      </w:tr>
      <w:tr w:rsidR="0009001A" w:rsidRPr="00763151" w14:paraId="3D1FA8F3" w14:textId="77777777" w:rsidTr="0009001A">
        <w:trPr>
          <w:trHeight w:val="63"/>
          <w:jc w:val="center"/>
        </w:trPr>
        <w:tc>
          <w:tcPr>
            <w:tcW w:w="1187" w:type="dxa"/>
            <w:tcBorders>
              <w:top w:val="single" w:sz="4" w:space="0" w:color="auto"/>
              <w:left w:val="nil"/>
              <w:bottom w:val="nil"/>
              <w:right w:val="nil"/>
            </w:tcBorders>
            <w:noWrap/>
          </w:tcPr>
          <w:p w14:paraId="3F0B89A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PR-12</w:t>
            </w:r>
          </w:p>
        </w:tc>
        <w:tc>
          <w:tcPr>
            <w:tcW w:w="759" w:type="dxa"/>
            <w:tcBorders>
              <w:top w:val="single" w:sz="4" w:space="0" w:color="auto"/>
              <w:left w:val="nil"/>
              <w:bottom w:val="nil"/>
              <w:right w:val="nil"/>
            </w:tcBorders>
            <w:noWrap/>
          </w:tcPr>
          <w:p w14:paraId="38AD013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551" w:type="dxa"/>
            <w:tcBorders>
              <w:top w:val="single" w:sz="4" w:space="0" w:color="auto"/>
              <w:left w:val="nil"/>
              <w:bottom w:val="nil"/>
              <w:right w:val="nil"/>
            </w:tcBorders>
            <w:noWrap/>
          </w:tcPr>
          <w:p w14:paraId="60149F9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1.033</w:t>
            </w:r>
          </w:p>
        </w:tc>
        <w:tc>
          <w:tcPr>
            <w:tcW w:w="760" w:type="dxa"/>
            <w:tcBorders>
              <w:top w:val="single" w:sz="4" w:space="0" w:color="auto"/>
              <w:left w:val="nil"/>
              <w:bottom w:val="nil"/>
              <w:right w:val="nil"/>
            </w:tcBorders>
            <w:noWrap/>
          </w:tcPr>
          <w:p w14:paraId="123BC41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0.052</w:t>
            </w:r>
          </w:p>
        </w:tc>
        <w:tc>
          <w:tcPr>
            <w:tcW w:w="1015" w:type="dxa"/>
            <w:tcBorders>
              <w:top w:val="single" w:sz="4" w:space="0" w:color="auto"/>
              <w:left w:val="nil"/>
              <w:bottom w:val="nil"/>
              <w:right w:val="nil"/>
            </w:tcBorders>
            <w:noWrap/>
          </w:tcPr>
          <w:p w14:paraId="19DF7F5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0.008</w:t>
            </w:r>
          </w:p>
        </w:tc>
        <w:tc>
          <w:tcPr>
            <w:tcW w:w="1015" w:type="dxa"/>
            <w:tcBorders>
              <w:top w:val="single" w:sz="4" w:space="0" w:color="auto"/>
              <w:left w:val="nil"/>
              <w:bottom w:val="nil"/>
              <w:right w:val="nil"/>
            </w:tcBorders>
            <w:noWrap/>
          </w:tcPr>
          <w:p w14:paraId="2E24777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15" w:type="dxa"/>
            <w:tcBorders>
              <w:top w:val="single" w:sz="4" w:space="0" w:color="auto"/>
              <w:left w:val="nil"/>
              <w:bottom w:val="nil"/>
              <w:right w:val="nil"/>
            </w:tcBorders>
            <w:noWrap/>
          </w:tcPr>
          <w:p w14:paraId="48088BD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885" w:type="dxa"/>
            <w:tcBorders>
              <w:top w:val="single" w:sz="4" w:space="0" w:color="auto"/>
              <w:left w:val="nil"/>
              <w:bottom w:val="nil"/>
              <w:right w:val="nil"/>
            </w:tcBorders>
            <w:noWrap/>
          </w:tcPr>
          <w:p w14:paraId="0AE98F00"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7020A636" w14:textId="77777777" w:rsidTr="0009001A">
        <w:trPr>
          <w:trHeight w:val="73"/>
          <w:jc w:val="center"/>
        </w:trPr>
        <w:tc>
          <w:tcPr>
            <w:tcW w:w="1187" w:type="dxa"/>
            <w:tcBorders>
              <w:top w:val="nil"/>
              <w:left w:val="nil"/>
              <w:bottom w:val="nil"/>
              <w:right w:val="nil"/>
            </w:tcBorders>
            <w:noWrap/>
          </w:tcPr>
          <w:p w14:paraId="02A143B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PR-13</w:t>
            </w:r>
          </w:p>
        </w:tc>
        <w:tc>
          <w:tcPr>
            <w:tcW w:w="759" w:type="dxa"/>
            <w:tcBorders>
              <w:top w:val="nil"/>
              <w:left w:val="nil"/>
              <w:bottom w:val="nil"/>
              <w:right w:val="nil"/>
            </w:tcBorders>
            <w:noWrap/>
          </w:tcPr>
          <w:p w14:paraId="7FAFFB0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1551" w:type="dxa"/>
            <w:tcBorders>
              <w:top w:val="nil"/>
              <w:left w:val="nil"/>
              <w:bottom w:val="nil"/>
              <w:right w:val="nil"/>
            </w:tcBorders>
            <w:noWrap/>
          </w:tcPr>
          <w:p w14:paraId="1D3F22A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3.353</w:t>
            </w:r>
          </w:p>
        </w:tc>
        <w:tc>
          <w:tcPr>
            <w:tcW w:w="760" w:type="dxa"/>
            <w:tcBorders>
              <w:top w:val="nil"/>
              <w:left w:val="nil"/>
              <w:bottom w:val="nil"/>
              <w:right w:val="nil"/>
            </w:tcBorders>
            <w:noWrap/>
          </w:tcPr>
          <w:p w14:paraId="1A22287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0.049</w:t>
            </w:r>
          </w:p>
        </w:tc>
        <w:tc>
          <w:tcPr>
            <w:tcW w:w="1015" w:type="dxa"/>
            <w:tcBorders>
              <w:top w:val="nil"/>
              <w:left w:val="nil"/>
              <w:bottom w:val="nil"/>
              <w:right w:val="nil"/>
            </w:tcBorders>
            <w:noWrap/>
          </w:tcPr>
          <w:p w14:paraId="2B77C42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0.015</w:t>
            </w:r>
          </w:p>
        </w:tc>
        <w:tc>
          <w:tcPr>
            <w:tcW w:w="1015" w:type="dxa"/>
            <w:tcBorders>
              <w:top w:val="nil"/>
              <w:left w:val="nil"/>
              <w:bottom w:val="nil"/>
              <w:right w:val="nil"/>
            </w:tcBorders>
            <w:noWrap/>
          </w:tcPr>
          <w:p w14:paraId="2CAD2BB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0.025</w:t>
            </w:r>
          </w:p>
        </w:tc>
        <w:tc>
          <w:tcPr>
            <w:tcW w:w="1015" w:type="dxa"/>
            <w:tcBorders>
              <w:top w:val="nil"/>
              <w:left w:val="nil"/>
              <w:bottom w:val="nil"/>
              <w:right w:val="nil"/>
            </w:tcBorders>
            <w:noWrap/>
          </w:tcPr>
          <w:p w14:paraId="0A71F42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0.046</w:t>
            </w:r>
          </w:p>
        </w:tc>
        <w:tc>
          <w:tcPr>
            <w:tcW w:w="885" w:type="dxa"/>
            <w:tcBorders>
              <w:top w:val="nil"/>
              <w:left w:val="nil"/>
              <w:bottom w:val="nil"/>
              <w:right w:val="nil"/>
            </w:tcBorders>
            <w:noWrap/>
          </w:tcPr>
          <w:p w14:paraId="50AF4CC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0ECF5AEB" w14:textId="77777777" w:rsidTr="0009001A">
        <w:trPr>
          <w:trHeight w:val="73"/>
          <w:jc w:val="center"/>
        </w:trPr>
        <w:tc>
          <w:tcPr>
            <w:tcW w:w="1187" w:type="dxa"/>
            <w:tcBorders>
              <w:top w:val="nil"/>
              <w:left w:val="nil"/>
              <w:bottom w:val="nil"/>
              <w:right w:val="nil"/>
            </w:tcBorders>
            <w:noWrap/>
          </w:tcPr>
          <w:p w14:paraId="2F95497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PR-14</w:t>
            </w:r>
          </w:p>
        </w:tc>
        <w:tc>
          <w:tcPr>
            <w:tcW w:w="759" w:type="dxa"/>
            <w:tcBorders>
              <w:top w:val="nil"/>
              <w:left w:val="nil"/>
              <w:bottom w:val="nil"/>
              <w:right w:val="nil"/>
            </w:tcBorders>
            <w:noWrap/>
          </w:tcPr>
          <w:p w14:paraId="0D316BE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0.026</w:t>
            </w:r>
          </w:p>
        </w:tc>
        <w:tc>
          <w:tcPr>
            <w:tcW w:w="1551" w:type="dxa"/>
            <w:tcBorders>
              <w:top w:val="nil"/>
              <w:left w:val="nil"/>
              <w:bottom w:val="nil"/>
              <w:right w:val="nil"/>
            </w:tcBorders>
            <w:noWrap/>
          </w:tcPr>
          <w:p w14:paraId="3C060DF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1.033</w:t>
            </w:r>
          </w:p>
        </w:tc>
        <w:tc>
          <w:tcPr>
            <w:tcW w:w="760" w:type="dxa"/>
            <w:tcBorders>
              <w:top w:val="nil"/>
              <w:left w:val="nil"/>
              <w:bottom w:val="nil"/>
              <w:right w:val="nil"/>
            </w:tcBorders>
            <w:noWrap/>
          </w:tcPr>
          <w:p w14:paraId="4F5245F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0.023</w:t>
            </w:r>
          </w:p>
        </w:tc>
        <w:tc>
          <w:tcPr>
            <w:tcW w:w="1015" w:type="dxa"/>
            <w:tcBorders>
              <w:top w:val="nil"/>
              <w:left w:val="nil"/>
              <w:bottom w:val="nil"/>
              <w:right w:val="nil"/>
            </w:tcBorders>
            <w:noWrap/>
          </w:tcPr>
          <w:p w14:paraId="22523BD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0.009</w:t>
            </w:r>
          </w:p>
        </w:tc>
        <w:tc>
          <w:tcPr>
            <w:tcW w:w="1015" w:type="dxa"/>
            <w:tcBorders>
              <w:top w:val="nil"/>
              <w:left w:val="nil"/>
              <w:bottom w:val="nil"/>
              <w:right w:val="nil"/>
            </w:tcBorders>
            <w:noWrap/>
          </w:tcPr>
          <w:p w14:paraId="47CF7D2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0.027</w:t>
            </w:r>
          </w:p>
        </w:tc>
        <w:tc>
          <w:tcPr>
            <w:tcW w:w="1015" w:type="dxa"/>
            <w:tcBorders>
              <w:top w:val="nil"/>
              <w:left w:val="nil"/>
              <w:bottom w:val="nil"/>
              <w:right w:val="nil"/>
            </w:tcBorders>
            <w:noWrap/>
          </w:tcPr>
          <w:p w14:paraId="7E01224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0.037</w:t>
            </w:r>
          </w:p>
        </w:tc>
        <w:tc>
          <w:tcPr>
            <w:tcW w:w="885" w:type="dxa"/>
            <w:tcBorders>
              <w:top w:val="nil"/>
              <w:left w:val="nil"/>
              <w:bottom w:val="nil"/>
              <w:right w:val="nil"/>
            </w:tcBorders>
            <w:noWrap/>
          </w:tcPr>
          <w:p w14:paraId="0C8CC0D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20289CE4" w14:textId="77777777" w:rsidTr="0009001A">
        <w:trPr>
          <w:trHeight w:val="73"/>
          <w:jc w:val="center"/>
        </w:trPr>
        <w:tc>
          <w:tcPr>
            <w:tcW w:w="1187" w:type="dxa"/>
            <w:tcBorders>
              <w:top w:val="nil"/>
              <w:left w:val="nil"/>
              <w:bottom w:val="nil"/>
              <w:right w:val="nil"/>
            </w:tcBorders>
            <w:noWrap/>
          </w:tcPr>
          <w:p w14:paraId="43DF962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PR-15</w:t>
            </w:r>
          </w:p>
        </w:tc>
        <w:tc>
          <w:tcPr>
            <w:tcW w:w="759" w:type="dxa"/>
            <w:tcBorders>
              <w:top w:val="nil"/>
              <w:left w:val="nil"/>
              <w:bottom w:val="nil"/>
              <w:right w:val="nil"/>
            </w:tcBorders>
            <w:noWrap/>
          </w:tcPr>
          <w:p w14:paraId="73912E0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551" w:type="dxa"/>
            <w:tcBorders>
              <w:top w:val="nil"/>
              <w:left w:val="nil"/>
              <w:bottom w:val="nil"/>
              <w:right w:val="nil"/>
            </w:tcBorders>
            <w:noWrap/>
          </w:tcPr>
          <w:p w14:paraId="239F17F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3.067</w:t>
            </w:r>
          </w:p>
        </w:tc>
        <w:tc>
          <w:tcPr>
            <w:tcW w:w="760" w:type="dxa"/>
            <w:tcBorders>
              <w:top w:val="nil"/>
              <w:left w:val="nil"/>
              <w:bottom w:val="nil"/>
              <w:right w:val="nil"/>
            </w:tcBorders>
            <w:noWrap/>
          </w:tcPr>
          <w:p w14:paraId="2967F1C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0.037</w:t>
            </w:r>
          </w:p>
        </w:tc>
        <w:tc>
          <w:tcPr>
            <w:tcW w:w="1015" w:type="dxa"/>
            <w:tcBorders>
              <w:top w:val="nil"/>
              <w:left w:val="nil"/>
              <w:bottom w:val="nil"/>
              <w:right w:val="nil"/>
            </w:tcBorders>
            <w:noWrap/>
          </w:tcPr>
          <w:p w14:paraId="13B3CB0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15" w:type="dxa"/>
            <w:tcBorders>
              <w:top w:val="nil"/>
              <w:left w:val="nil"/>
              <w:bottom w:val="nil"/>
              <w:right w:val="nil"/>
            </w:tcBorders>
            <w:noWrap/>
          </w:tcPr>
          <w:p w14:paraId="7380433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0.026</w:t>
            </w:r>
          </w:p>
        </w:tc>
        <w:tc>
          <w:tcPr>
            <w:tcW w:w="1015" w:type="dxa"/>
            <w:tcBorders>
              <w:top w:val="nil"/>
              <w:left w:val="nil"/>
              <w:bottom w:val="nil"/>
              <w:right w:val="nil"/>
            </w:tcBorders>
            <w:noWrap/>
          </w:tcPr>
          <w:p w14:paraId="1A9FDBB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0.054</w:t>
            </w:r>
          </w:p>
        </w:tc>
        <w:tc>
          <w:tcPr>
            <w:tcW w:w="885" w:type="dxa"/>
            <w:tcBorders>
              <w:top w:val="nil"/>
              <w:left w:val="nil"/>
              <w:bottom w:val="nil"/>
              <w:right w:val="nil"/>
            </w:tcBorders>
            <w:noWrap/>
          </w:tcPr>
          <w:p w14:paraId="01BBE40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0A347717" w14:textId="77777777" w:rsidTr="0009001A">
        <w:trPr>
          <w:trHeight w:val="73"/>
          <w:jc w:val="center"/>
        </w:trPr>
        <w:tc>
          <w:tcPr>
            <w:tcW w:w="1187" w:type="dxa"/>
            <w:tcBorders>
              <w:top w:val="nil"/>
              <w:left w:val="nil"/>
              <w:bottom w:val="nil"/>
              <w:right w:val="nil"/>
            </w:tcBorders>
            <w:noWrap/>
          </w:tcPr>
          <w:p w14:paraId="5117AC5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PR-16</w:t>
            </w:r>
          </w:p>
        </w:tc>
        <w:tc>
          <w:tcPr>
            <w:tcW w:w="759" w:type="dxa"/>
            <w:tcBorders>
              <w:top w:val="nil"/>
              <w:left w:val="nil"/>
              <w:bottom w:val="nil"/>
              <w:right w:val="nil"/>
            </w:tcBorders>
            <w:noWrap/>
          </w:tcPr>
          <w:p w14:paraId="143AC04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551" w:type="dxa"/>
            <w:tcBorders>
              <w:top w:val="nil"/>
              <w:left w:val="nil"/>
              <w:bottom w:val="nil"/>
              <w:right w:val="nil"/>
            </w:tcBorders>
            <w:noWrap/>
          </w:tcPr>
          <w:p w14:paraId="2CEFFCC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1.067</w:t>
            </w:r>
          </w:p>
        </w:tc>
        <w:tc>
          <w:tcPr>
            <w:tcW w:w="760" w:type="dxa"/>
            <w:tcBorders>
              <w:top w:val="nil"/>
              <w:left w:val="nil"/>
              <w:bottom w:val="nil"/>
              <w:right w:val="nil"/>
            </w:tcBorders>
            <w:noWrap/>
          </w:tcPr>
          <w:p w14:paraId="0DC1179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015" w:type="dxa"/>
            <w:tcBorders>
              <w:top w:val="nil"/>
              <w:left w:val="nil"/>
              <w:bottom w:val="nil"/>
              <w:right w:val="nil"/>
            </w:tcBorders>
            <w:noWrap/>
          </w:tcPr>
          <w:p w14:paraId="43B3BA2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0.008</w:t>
            </w:r>
          </w:p>
        </w:tc>
        <w:tc>
          <w:tcPr>
            <w:tcW w:w="1015" w:type="dxa"/>
            <w:tcBorders>
              <w:top w:val="nil"/>
              <w:left w:val="nil"/>
              <w:bottom w:val="nil"/>
              <w:right w:val="nil"/>
            </w:tcBorders>
            <w:noWrap/>
          </w:tcPr>
          <w:p w14:paraId="60F9350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15" w:type="dxa"/>
            <w:tcBorders>
              <w:top w:val="nil"/>
              <w:left w:val="nil"/>
              <w:bottom w:val="nil"/>
              <w:right w:val="nil"/>
            </w:tcBorders>
            <w:noWrap/>
          </w:tcPr>
          <w:p w14:paraId="5373EC4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0.034</w:t>
            </w:r>
          </w:p>
        </w:tc>
        <w:tc>
          <w:tcPr>
            <w:tcW w:w="885" w:type="dxa"/>
            <w:tcBorders>
              <w:top w:val="nil"/>
              <w:left w:val="nil"/>
              <w:bottom w:val="nil"/>
              <w:right w:val="nil"/>
            </w:tcBorders>
            <w:noWrap/>
          </w:tcPr>
          <w:p w14:paraId="213BB250"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22FDCB31" w14:textId="77777777" w:rsidTr="0009001A">
        <w:trPr>
          <w:trHeight w:val="73"/>
          <w:jc w:val="center"/>
        </w:trPr>
        <w:tc>
          <w:tcPr>
            <w:tcW w:w="1187" w:type="dxa"/>
            <w:tcBorders>
              <w:top w:val="nil"/>
              <w:left w:val="nil"/>
              <w:bottom w:val="nil"/>
              <w:right w:val="nil"/>
            </w:tcBorders>
            <w:noWrap/>
          </w:tcPr>
          <w:p w14:paraId="19C9608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PR-17</w:t>
            </w:r>
          </w:p>
        </w:tc>
        <w:tc>
          <w:tcPr>
            <w:tcW w:w="759" w:type="dxa"/>
            <w:tcBorders>
              <w:top w:val="nil"/>
              <w:left w:val="nil"/>
              <w:bottom w:val="nil"/>
              <w:right w:val="nil"/>
            </w:tcBorders>
            <w:noWrap/>
          </w:tcPr>
          <w:p w14:paraId="5D891D9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551" w:type="dxa"/>
            <w:tcBorders>
              <w:top w:val="nil"/>
              <w:left w:val="nil"/>
              <w:bottom w:val="nil"/>
              <w:right w:val="nil"/>
            </w:tcBorders>
            <w:noWrap/>
          </w:tcPr>
          <w:p w14:paraId="70402D8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1.4</w:t>
            </w:r>
          </w:p>
        </w:tc>
        <w:tc>
          <w:tcPr>
            <w:tcW w:w="760" w:type="dxa"/>
            <w:tcBorders>
              <w:top w:val="nil"/>
              <w:left w:val="nil"/>
              <w:bottom w:val="nil"/>
              <w:right w:val="nil"/>
            </w:tcBorders>
            <w:noWrap/>
          </w:tcPr>
          <w:p w14:paraId="692046F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0.062</w:t>
            </w:r>
          </w:p>
        </w:tc>
        <w:tc>
          <w:tcPr>
            <w:tcW w:w="1015" w:type="dxa"/>
            <w:tcBorders>
              <w:top w:val="nil"/>
              <w:left w:val="nil"/>
              <w:bottom w:val="nil"/>
              <w:right w:val="nil"/>
            </w:tcBorders>
            <w:noWrap/>
          </w:tcPr>
          <w:p w14:paraId="164EB21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1015" w:type="dxa"/>
            <w:tcBorders>
              <w:top w:val="nil"/>
              <w:left w:val="nil"/>
              <w:bottom w:val="nil"/>
              <w:right w:val="nil"/>
            </w:tcBorders>
            <w:noWrap/>
          </w:tcPr>
          <w:p w14:paraId="6413FA9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015" w:type="dxa"/>
            <w:tcBorders>
              <w:top w:val="nil"/>
              <w:left w:val="nil"/>
              <w:bottom w:val="nil"/>
              <w:right w:val="nil"/>
            </w:tcBorders>
            <w:noWrap/>
          </w:tcPr>
          <w:p w14:paraId="6D808C6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885" w:type="dxa"/>
            <w:tcBorders>
              <w:top w:val="nil"/>
              <w:left w:val="nil"/>
              <w:bottom w:val="nil"/>
              <w:right w:val="nil"/>
            </w:tcBorders>
            <w:noWrap/>
          </w:tcPr>
          <w:p w14:paraId="7798262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53C9215A" w14:textId="77777777" w:rsidTr="0009001A">
        <w:trPr>
          <w:trHeight w:val="73"/>
          <w:jc w:val="center"/>
        </w:trPr>
        <w:tc>
          <w:tcPr>
            <w:tcW w:w="1187" w:type="dxa"/>
            <w:tcBorders>
              <w:top w:val="nil"/>
              <w:left w:val="nil"/>
              <w:bottom w:val="nil"/>
              <w:right w:val="nil"/>
            </w:tcBorders>
            <w:noWrap/>
          </w:tcPr>
          <w:p w14:paraId="7D68E2D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PR-18</w:t>
            </w:r>
          </w:p>
        </w:tc>
        <w:tc>
          <w:tcPr>
            <w:tcW w:w="759" w:type="dxa"/>
            <w:tcBorders>
              <w:top w:val="nil"/>
              <w:left w:val="nil"/>
              <w:bottom w:val="nil"/>
              <w:right w:val="nil"/>
            </w:tcBorders>
            <w:noWrap/>
          </w:tcPr>
          <w:p w14:paraId="3BD3AD0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551" w:type="dxa"/>
            <w:tcBorders>
              <w:top w:val="nil"/>
              <w:left w:val="nil"/>
              <w:bottom w:val="nil"/>
              <w:right w:val="nil"/>
            </w:tcBorders>
            <w:noWrap/>
          </w:tcPr>
          <w:p w14:paraId="42A275E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1.3</w:t>
            </w:r>
          </w:p>
        </w:tc>
        <w:tc>
          <w:tcPr>
            <w:tcW w:w="760" w:type="dxa"/>
            <w:tcBorders>
              <w:top w:val="nil"/>
              <w:left w:val="nil"/>
              <w:bottom w:val="nil"/>
              <w:right w:val="nil"/>
            </w:tcBorders>
            <w:noWrap/>
          </w:tcPr>
          <w:p w14:paraId="6D92293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0.046</w:t>
            </w:r>
          </w:p>
        </w:tc>
        <w:tc>
          <w:tcPr>
            <w:tcW w:w="1015" w:type="dxa"/>
            <w:tcBorders>
              <w:top w:val="nil"/>
              <w:left w:val="nil"/>
              <w:bottom w:val="nil"/>
              <w:right w:val="nil"/>
            </w:tcBorders>
            <w:noWrap/>
          </w:tcPr>
          <w:p w14:paraId="1B44C87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0.005</w:t>
            </w:r>
          </w:p>
        </w:tc>
        <w:tc>
          <w:tcPr>
            <w:tcW w:w="1015" w:type="dxa"/>
            <w:tcBorders>
              <w:top w:val="nil"/>
              <w:left w:val="nil"/>
              <w:bottom w:val="nil"/>
              <w:right w:val="nil"/>
            </w:tcBorders>
            <w:noWrap/>
          </w:tcPr>
          <w:p w14:paraId="38CBB68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15" w:type="dxa"/>
            <w:tcBorders>
              <w:top w:val="nil"/>
              <w:left w:val="nil"/>
              <w:bottom w:val="nil"/>
              <w:right w:val="nil"/>
            </w:tcBorders>
            <w:noWrap/>
          </w:tcPr>
          <w:p w14:paraId="7A263A7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0.044</w:t>
            </w:r>
          </w:p>
        </w:tc>
        <w:tc>
          <w:tcPr>
            <w:tcW w:w="885" w:type="dxa"/>
            <w:tcBorders>
              <w:top w:val="nil"/>
              <w:left w:val="nil"/>
              <w:bottom w:val="nil"/>
              <w:right w:val="nil"/>
            </w:tcBorders>
            <w:noWrap/>
          </w:tcPr>
          <w:p w14:paraId="279D2CB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4E02F589" w14:textId="77777777" w:rsidTr="0009001A">
        <w:trPr>
          <w:trHeight w:val="73"/>
          <w:jc w:val="center"/>
        </w:trPr>
        <w:tc>
          <w:tcPr>
            <w:tcW w:w="1187" w:type="dxa"/>
            <w:tcBorders>
              <w:top w:val="nil"/>
              <w:left w:val="nil"/>
              <w:bottom w:val="nil"/>
              <w:right w:val="nil"/>
            </w:tcBorders>
            <w:noWrap/>
          </w:tcPr>
          <w:p w14:paraId="66114E5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PR-19</w:t>
            </w:r>
          </w:p>
        </w:tc>
        <w:tc>
          <w:tcPr>
            <w:tcW w:w="759" w:type="dxa"/>
            <w:tcBorders>
              <w:top w:val="nil"/>
              <w:left w:val="nil"/>
              <w:bottom w:val="nil"/>
              <w:right w:val="nil"/>
            </w:tcBorders>
            <w:noWrap/>
          </w:tcPr>
          <w:p w14:paraId="40F8295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0.027</w:t>
            </w:r>
          </w:p>
        </w:tc>
        <w:tc>
          <w:tcPr>
            <w:tcW w:w="1551" w:type="dxa"/>
            <w:tcBorders>
              <w:top w:val="nil"/>
              <w:left w:val="nil"/>
              <w:bottom w:val="nil"/>
              <w:right w:val="nil"/>
            </w:tcBorders>
            <w:noWrap/>
          </w:tcPr>
          <w:p w14:paraId="0B57BDF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2.267</w:t>
            </w:r>
          </w:p>
        </w:tc>
        <w:tc>
          <w:tcPr>
            <w:tcW w:w="760" w:type="dxa"/>
            <w:tcBorders>
              <w:top w:val="nil"/>
              <w:left w:val="nil"/>
              <w:bottom w:val="nil"/>
              <w:right w:val="nil"/>
            </w:tcBorders>
            <w:noWrap/>
          </w:tcPr>
          <w:p w14:paraId="4020474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0.049</w:t>
            </w:r>
          </w:p>
        </w:tc>
        <w:tc>
          <w:tcPr>
            <w:tcW w:w="1015" w:type="dxa"/>
            <w:tcBorders>
              <w:top w:val="nil"/>
              <w:left w:val="nil"/>
              <w:bottom w:val="nil"/>
              <w:right w:val="nil"/>
            </w:tcBorders>
            <w:noWrap/>
          </w:tcPr>
          <w:p w14:paraId="315B941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0.009</w:t>
            </w:r>
          </w:p>
        </w:tc>
        <w:tc>
          <w:tcPr>
            <w:tcW w:w="1015" w:type="dxa"/>
            <w:tcBorders>
              <w:top w:val="nil"/>
              <w:left w:val="nil"/>
              <w:bottom w:val="nil"/>
              <w:right w:val="nil"/>
            </w:tcBorders>
            <w:noWrap/>
          </w:tcPr>
          <w:p w14:paraId="214CDE4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0.032</w:t>
            </w:r>
          </w:p>
        </w:tc>
        <w:tc>
          <w:tcPr>
            <w:tcW w:w="1015" w:type="dxa"/>
            <w:tcBorders>
              <w:top w:val="nil"/>
              <w:left w:val="nil"/>
              <w:bottom w:val="nil"/>
              <w:right w:val="nil"/>
            </w:tcBorders>
            <w:noWrap/>
          </w:tcPr>
          <w:p w14:paraId="1CF8B5F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0.039</w:t>
            </w:r>
          </w:p>
        </w:tc>
        <w:tc>
          <w:tcPr>
            <w:tcW w:w="885" w:type="dxa"/>
            <w:tcBorders>
              <w:top w:val="nil"/>
              <w:left w:val="nil"/>
              <w:bottom w:val="nil"/>
              <w:right w:val="nil"/>
            </w:tcBorders>
            <w:noWrap/>
          </w:tcPr>
          <w:p w14:paraId="0C69B2F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60B87C63" w14:textId="77777777" w:rsidTr="0009001A">
        <w:trPr>
          <w:trHeight w:val="73"/>
          <w:jc w:val="center"/>
        </w:trPr>
        <w:tc>
          <w:tcPr>
            <w:tcW w:w="1187" w:type="dxa"/>
            <w:tcBorders>
              <w:top w:val="nil"/>
              <w:left w:val="nil"/>
              <w:bottom w:val="nil"/>
              <w:right w:val="nil"/>
            </w:tcBorders>
            <w:noWrap/>
          </w:tcPr>
          <w:p w14:paraId="629259C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PR-20</w:t>
            </w:r>
          </w:p>
        </w:tc>
        <w:tc>
          <w:tcPr>
            <w:tcW w:w="759" w:type="dxa"/>
            <w:tcBorders>
              <w:top w:val="nil"/>
              <w:left w:val="nil"/>
              <w:bottom w:val="nil"/>
              <w:right w:val="nil"/>
            </w:tcBorders>
            <w:noWrap/>
          </w:tcPr>
          <w:p w14:paraId="238A9B9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551" w:type="dxa"/>
            <w:tcBorders>
              <w:top w:val="nil"/>
              <w:left w:val="nil"/>
              <w:bottom w:val="nil"/>
              <w:right w:val="nil"/>
            </w:tcBorders>
            <w:noWrap/>
          </w:tcPr>
          <w:p w14:paraId="1780564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0.867</w:t>
            </w:r>
          </w:p>
        </w:tc>
        <w:tc>
          <w:tcPr>
            <w:tcW w:w="760" w:type="dxa"/>
            <w:tcBorders>
              <w:top w:val="nil"/>
              <w:left w:val="nil"/>
              <w:bottom w:val="nil"/>
              <w:right w:val="nil"/>
            </w:tcBorders>
            <w:noWrap/>
          </w:tcPr>
          <w:p w14:paraId="317A10B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15" w:type="dxa"/>
            <w:tcBorders>
              <w:top w:val="nil"/>
              <w:left w:val="nil"/>
              <w:bottom w:val="nil"/>
              <w:right w:val="nil"/>
            </w:tcBorders>
            <w:noWrap/>
          </w:tcPr>
          <w:p w14:paraId="32E04E8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015" w:type="dxa"/>
            <w:tcBorders>
              <w:top w:val="nil"/>
              <w:left w:val="nil"/>
              <w:bottom w:val="nil"/>
              <w:right w:val="nil"/>
            </w:tcBorders>
            <w:noWrap/>
          </w:tcPr>
          <w:p w14:paraId="6230F87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15" w:type="dxa"/>
            <w:tcBorders>
              <w:top w:val="nil"/>
              <w:left w:val="nil"/>
              <w:bottom w:val="nil"/>
              <w:right w:val="nil"/>
            </w:tcBorders>
            <w:noWrap/>
          </w:tcPr>
          <w:p w14:paraId="0BB8D74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0.045</w:t>
            </w:r>
          </w:p>
        </w:tc>
        <w:tc>
          <w:tcPr>
            <w:tcW w:w="885" w:type="dxa"/>
            <w:tcBorders>
              <w:top w:val="nil"/>
              <w:left w:val="nil"/>
              <w:bottom w:val="nil"/>
              <w:right w:val="nil"/>
            </w:tcBorders>
            <w:noWrap/>
          </w:tcPr>
          <w:p w14:paraId="4D26B34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4CFB6B7B" w14:textId="77777777" w:rsidTr="0009001A">
        <w:trPr>
          <w:trHeight w:val="73"/>
          <w:jc w:val="center"/>
        </w:trPr>
        <w:tc>
          <w:tcPr>
            <w:tcW w:w="1187" w:type="dxa"/>
            <w:tcBorders>
              <w:top w:val="nil"/>
              <w:left w:val="nil"/>
              <w:bottom w:val="nil"/>
              <w:right w:val="nil"/>
            </w:tcBorders>
            <w:noWrap/>
          </w:tcPr>
          <w:p w14:paraId="2088DAC0"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PR-21</w:t>
            </w:r>
          </w:p>
        </w:tc>
        <w:tc>
          <w:tcPr>
            <w:tcW w:w="759" w:type="dxa"/>
            <w:tcBorders>
              <w:top w:val="nil"/>
              <w:left w:val="nil"/>
              <w:bottom w:val="nil"/>
              <w:right w:val="nil"/>
            </w:tcBorders>
            <w:noWrap/>
          </w:tcPr>
          <w:p w14:paraId="3D3CCA1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551" w:type="dxa"/>
            <w:tcBorders>
              <w:top w:val="nil"/>
              <w:left w:val="nil"/>
              <w:bottom w:val="nil"/>
              <w:right w:val="nil"/>
            </w:tcBorders>
            <w:noWrap/>
          </w:tcPr>
          <w:p w14:paraId="6021EC7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1.233</w:t>
            </w:r>
          </w:p>
        </w:tc>
        <w:tc>
          <w:tcPr>
            <w:tcW w:w="760" w:type="dxa"/>
            <w:tcBorders>
              <w:top w:val="nil"/>
              <w:left w:val="nil"/>
              <w:bottom w:val="nil"/>
              <w:right w:val="nil"/>
            </w:tcBorders>
            <w:noWrap/>
          </w:tcPr>
          <w:p w14:paraId="10793A5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1015" w:type="dxa"/>
            <w:tcBorders>
              <w:top w:val="nil"/>
              <w:left w:val="nil"/>
              <w:bottom w:val="nil"/>
              <w:right w:val="nil"/>
            </w:tcBorders>
            <w:noWrap/>
          </w:tcPr>
          <w:p w14:paraId="15C0F74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0.012</w:t>
            </w:r>
          </w:p>
        </w:tc>
        <w:tc>
          <w:tcPr>
            <w:tcW w:w="1015" w:type="dxa"/>
            <w:tcBorders>
              <w:top w:val="nil"/>
              <w:left w:val="nil"/>
              <w:bottom w:val="nil"/>
              <w:right w:val="nil"/>
            </w:tcBorders>
            <w:noWrap/>
          </w:tcPr>
          <w:p w14:paraId="26DB0B1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0.025</w:t>
            </w:r>
          </w:p>
        </w:tc>
        <w:tc>
          <w:tcPr>
            <w:tcW w:w="1015" w:type="dxa"/>
            <w:tcBorders>
              <w:top w:val="nil"/>
              <w:left w:val="nil"/>
              <w:bottom w:val="nil"/>
              <w:right w:val="nil"/>
            </w:tcBorders>
            <w:noWrap/>
          </w:tcPr>
          <w:p w14:paraId="3C44BF2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0.032</w:t>
            </w:r>
          </w:p>
        </w:tc>
        <w:tc>
          <w:tcPr>
            <w:tcW w:w="885" w:type="dxa"/>
            <w:tcBorders>
              <w:top w:val="nil"/>
              <w:left w:val="nil"/>
              <w:bottom w:val="nil"/>
              <w:right w:val="nil"/>
            </w:tcBorders>
            <w:noWrap/>
          </w:tcPr>
          <w:p w14:paraId="3466208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32A7110F" w14:textId="77777777" w:rsidTr="0009001A">
        <w:trPr>
          <w:trHeight w:val="73"/>
          <w:jc w:val="center"/>
        </w:trPr>
        <w:tc>
          <w:tcPr>
            <w:tcW w:w="1187" w:type="dxa"/>
            <w:tcBorders>
              <w:top w:val="nil"/>
              <w:left w:val="nil"/>
              <w:bottom w:val="nil"/>
              <w:right w:val="nil"/>
            </w:tcBorders>
            <w:noWrap/>
          </w:tcPr>
          <w:p w14:paraId="6457389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PR-22</w:t>
            </w:r>
          </w:p>
        </w:tc>
        <w:tc>
          <w:tcPr>
            <w:tcW w:w="759" w:type="dxa"/>
            <w:tcBorders>
              <w:top w:val="nil"/>
              <w:left w:val="nil"/>
              <w:bottom w:val="nil"/>
              <w:right w:val="nil"/>
            </w:tcBorders>
            <w:noWrap/>
          </w:tcPr>
          <w:p w14:paraId="012373D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551" w:type="dxa"/>
            <w:tcBorders>
              <w:top w:val="nil"/>
              <w:left w:val="nil"/>
              <w:bottom w:val="nil"/>
              <w:right w:val="nil"/>
            </w:tcBorders>
            <w:noWrap/>
          </w:tcPr>
          <w:p w14:paraId="4820D22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0.933</w:t>
            </w:r>
          </w:p>
        </w:tc>
        <w:tc>
          <w:tcPr>
            <w:tcW w:w="760" w:type="dxa"/>
            <w:tcBorders>
              <w:top w:val="nil"/>
              <w:left w:val="nil"/>
              <w:bottom w:val="nil"/>
              <w:right w:val="nil"/>
            </w:tcBorders>
            <w:noWrap/>
          </w:tcPr>
          <w:p w14:paraId="2E2B1F7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0.051</w:t>
            </w:r>
          </w:p>
        </w:tc>
        <w:tc>
          <w:tcPr>
            <w:tcW w:w="1015" w:type="dxa"/>
            <w:tcBorders>
              <w:top w:val="nil"/>
              <w:left w:val="nil"/>
              <w:bottom w:val="nil"/>
              <w:right w:val="nil"/>
            </w:tcBorders>
            <w:noWrap/>
          </w:tcPr>
          <w:p w14:paraId="476258B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0.008</w:t>
            </w:r>
          </w:p>
        </w:tc>
        <w:tc>
          <w:tcPr>
            <w:tcW w:w="1015" w:type="dxa"/>
            <w:tcBorders>
              <w:top w:val="nil"/>
              <w:left w:val="nil"/>
              <w:bottom w:val="nil"/>
              <w:right w:val="nil"/>
            </w:tcBorders>
            <w:noWrap/>
          </w:tcPr>
          <w:p w14:paraId="22F156F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15" w:type="dxa"/>
            <w:tcBorders>
              <w:top w:val="nil"/>
              <w:left w:val="nil"/>
              <w:bottom w:val="nil"/>
              <w:right w:val="nil"/>
            </w:tcBorders>
            <w:noWrap/>
          </w:tcPr>
          <w:p w14:paraId="1FA130D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85" w:type="dxa"/>
            <w:tcBorders>
              <w:top w:val="nil"/>
              <w:left w:val="nil"/>
              <w:bottom w:val="nil"/>
              <w:right w:val="nil"/>
            </w:tcBorders>
            <w:noWrap/>
          </w:tcPr>
          <w:p w14:paraId="05DAB6E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1B2B30BA" w14:textId="77777777" w:rsidTr="0009001A">
        <w:trPr>
          <w:trHeight w:val="73"/>
          <w:jc w:val="center"/>
        </w:trPr>
        <w:tc>
          <w:tcPr>
            <w:tcW w:w="1187" w:type="dxa"/>
            <w:tcBorders>
              <w:top w:val="nil"/>
              <w:left w:val="nil"/>
              <w:bottom w:val="nil"/>
              <w:right w:val="nil"/>
            </w:tcBorders>
            <w:noWrap/>
          </w:tcPr>
          <w:p w14:paraId="4E464A2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CT-3</w:t>
            </w:r>
          </w:p>
        </w:tc>
        <w:tc>
          <w:tcPr>
            <w:tcW w:w="759" w:type="dxa"/>
            <w:tcBorders>
              <w:top w:val="nil"/>
              <w:left w:val="nil"/>
              <w:bottom w:val="nil"/>
              <w:right w:val="nil"/>
            </w:tcBorders>
            <w:noWrap/>
          </w:tcPr>
          <w:p w14:paraId="7998CFD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0.005</w:t>
            </w:r>
          </w:p>
        </w:tc>
        <w:tc>
          <w:tcPr>
            <w:tcW w:w="1551" w:type="dxa"/>
            <w:tcBorders>
              <w:top w:val="nil"/>
              <w:left w:val="nil"/>
              <w:bottom w:val="nil"/>
              <w:right w:val="nil"/>
            </w:tcBorders>
            <w:noWrap/>
          </w:tcPr>
          <w:p w14:paraId="7669E14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0.833</w:t>
            </w:r>
          </w:p>
        </w:tc>
        <w:tc>
          <w:tcPr>
            <w:tcW w:w="760" w:type="dxa"/>
            <w:tcBorders>
              <w:top w:val="nil"/>
              <w:left w:val="nil"/>
              <w:bottom w:val="nil"/>
              <w:right w:val="nil"/>
            </w:tcBorders>
            <w:noWrap/>
          </w:tcPr>
          <w:p w14:paraId="56F4B5A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0.038</w:t>
            </w:r>
          </w:p>
        </w:tc>
        <w:tc>
          <w:tcPr>
            <w:tcW w:w="1015" w:type="dxa"/>
            <w:tcBorders>
              <w:top w:val="nil"/>
              <w:left w:val="nil"/>
              <w:bottom w:val="nil"/>
              <w:right w:val="nil"/>
            </w:tcBorders>
            <w:noWrap/>
          </w:tcPr>
          <w:p w14:paraId="04EA1640"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015" w:type="dxa"/>
            <w:tcBorders>
              <w:top w:val="nil"/>
              <w:left w:val="nil"/>
              <w:bottom w:val="nil"/>
              <w:right w:val="nil"/>
            </w:tcBorders>
            <w:noWrap/>
          </w:tcPr>
          <w:p w14:paraId="2364406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0.025</w:t>
            </w:r>
          </w:p>
        </w:tc>
        <w:tc>
          <w:tcPr>
            <w:tcW w:w="1015" w:type="dxa"/>
            <w:tcBorders>
              <w:top w:val="nil"/>
              <w:left w:val="nil"/>
              <w:bottom w:val="nil"/>
              <w:right w:val="nil"/>
            </w:tcBorders>
            <w:noWrap/>
          </w:tcPr>
          <w:p w14:paraId="5807C79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885" w:type="dxa"/>
            <w:tcBorders>
              <w:top w:val="nil"/>
              <w:left w:val="nil"/>
              <w:bottom w:val="nil"/>
              <w:right w:val="nil"/>
            </w:tcBorders>
            <w:noWrap/>
          </w:tcPr>
          <w:p w14:paraId="3D810F0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5B29B7DB" w14:textId="77777777" w:rsidTr="0009001A">
        <w:trPr>
          <w:trHeight w:val="73"/>
          <w:jc w:val="center"/>
        </w:trPr>
        <w:tc>
          <w:tcPr>
            <w:tcW w:w="1187" w:type="dxa"/>
            <w:tcBorders>
              <w:top w:val="nil"/>
              <w:left w:val="nil"/>
              <w:bottom w:val="nil"/>
              <w:right w:val="nil"/>
            </w:tcBorders>
            <w:noWrap/>
          </w:tcPr>
          <w:p w14:paraId="62F9229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CT-4</w:t>
            </w:r>
          </w:p>
        </w:tc>
        <w:tc>
          <w:tcPr>
            <w:tcW w:w="759" w:type="dxa"/>
            <w:tcBorders>
              <w:top w:val="nil"/>
              <w:left w:val="nil"/>
              <w:bottom w:val="nil"/>
              <w:right w:val="nil"/>
            </w:tcBorders>
            <w:noWrap/>
          </w:tcPr>
          <w:p w14:paraId="0AB0DE9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551" w:type="dxa"/>
            <w:tcBorders>
              <w:top w:val="nil"/>
              <w:left w:val="nil"/>
              <w:bottom w:val="nil"/>
              <w:right w:val="nil"/>
            </w:tcBorders>
            <w:noWrap/>
          </w:tcPr>
          <w:p w14:paraId="3E57F14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0.767</w:t>
            </w:r>
          </w:p>
        </w:tc>
        <w:tc>
          <w:tcPr>
            <w:tcW w:w="760" w:type="dxa"/>
            <w:tcBorders>
              <w:top w:val="nil"/>
              <w:left w:val="nil"/>
              <w:bottom w:val="nil"/>
              <w:right w:val="nil"/>
            </w:tcBorders>
            <w:noWrap/>
          </w:tcPr>
          <w:p w14:paraId="4ECF903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0.047</w:t>
            </w:r>
          </w:p>
        </w:tc>
        <w:tc>
          <w:tcPr>
            <w:tcW w:w="1015" w:type="dxa"/>
            <w:tcBorders>
              <w:top w:val="nil"/>
              <w:left w:val="nil"/>
              <w:bottom w:val="nil"/>
              <w:right w:val="nil"/>
            </w:tcBorders>
            <w:noWrap/>
          </w:tcPr>
          <w:p w14:paraId="0BDBCDD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15" w:type="dxa"/>
            <w:tcBorders>
              <w:top w:val="nil"/>
              <w:left w:val="nil"/>
              <w:bottom w:val="nil"/>
              <w:right w:val="nil"/>
            </w:tcBorders>
            <w:noWrap/>
          </w:tcPr>
          <w:p w14:paraId="0A749EB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0.026</w:t>
            </w:r>
          </w:p>
        </w:tc>
        <w:tc>
          <w:tcPr>
            <w:tcW w:w="1015" w:type="dxa"/>
            <w:tcBorders>
              <w:top w:val="nil"/>
              <w:left w:val="nil"/>
              <w:bottom w:val="nil"/>
              <w:right w:val="nil"/>
            </w:tcBorders>
            <w:noWrap/>
          </w:tcPr>
          <w:p w14:paraId="36FA157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0.033</w:t>
            </w:r>
          </w:p>
        </w:tc>
        <w:tc>
          <w:tcPr>
            <w:tcW w:w="885" w:type="dxa"/>
            <w:tcBorders>
              <w:top w:val="nil"/>
              <w:left w:val="nil"/>
              <w:bottom w:val="nil"/>
              <w:right w:val="nil"/>
            </w:tcBorders>
            <w:noWrap/>
          </w:tcPr>
          <w:p w14:paraId="3315820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4DE51954" w14:textId="77777777" w:rsidTr="0009001A">
        <w:trPr>
          <w:trHeight w:val="73"/>
          <w:jc w:val="center"/>
        </w:trPr>
        <w:tc>
          <w:tcPr>
            <w:tcW w:w="1187" w:type="dxa"/>
            <w:tcBorders>
              <w:top w:val="nil"/>
              <w:left w:val="nil"/>
              <w:bottom w:val="single" w:sz="8" w:space="0" w:color="auto"/>
              <w:right w:val="nil"/>
            </w:tcBorders>
            <w:noWrap/>
          </w:tcPr>
          <w:p w14:paraId="6A7F35A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Sum</w:t>
            </w:r>
          </w:p>
        </w:tc>
        <w:tc>
          <w:tcPr>
            <w:tcW w:w="759" w:type="dxa"/>
            <w:tcBorders>
              <w:top w:val="nil"/>
              <w:left w:val="nil"/>
              <w:bottom w:val="single" w:sz="8" w:space="0" w:color="auto"/>
              <w:right w:val="nil"/>
            </w:tcBorders>
            <w:noWrap/>
          </w:tcPr>
          <w:p w14:paraId="2D3B4E5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0.191</w:t>
            </w:r>
          </w:p>
        </w:tc>
        <w:tc>
          <w:tcPr>
            <w:tcW w:w="1551" w:type="dxa"/>
            <w:tcBorders>
              <w:top w:val="nil"/>
              <w:left w:val="nil"/>
              <w:bottom w:val="single" w:sz="8" w:space="0" w:color="auto"/>
              <w:right w:val="nil"/>
            </w:tcBorders>
            <w:noWrap/>
          </w:tcPr>
          <w:p w14:paraId="573962A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19.153</w:t>
            </w:r>
          </w:p>
        </w:tc>
        <w:tc>
          <w:tcPr>
            <w:tcW w:w="760" w:type="dxa"/>
            <w:tcBorders>
              <w:top w:val="nil"/>
              <w:left w:val="nil"/>
              <w:bottom w:val="single" w:sz="8" w:space="0" w:color="auto"/>
              <w:right w:val="nil"/>
            </w:tcBorders>
            <w:noWrap/>
          </w:tcPr>
          <w:p w14:paraId="4F8A94F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0.546</w:t>
            </w:r>
          </w:p>
        </w:tc>
        <w:tc>
          <w:tcPr>
            <w:tcW w:w="1015" w:type="dxa"/>
            <w:tcBorders>
              <w:top w:val="nil"/>
              <w:left w:val="nil"/>
              <w:bottom w:val="single" w:sz="8" w:space="0" w:color="auto"/>
              <w:right w:val="nil"/>
            </w:tcBorders>
            <w:noWrap/>
          </w:tcPr>
          <w:p w14:paraId="12815140"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1015" w:type="dxa"/>
            <w:tcBorders>
              <w:top w:val="nil"/>
              <w:left w:val="nil"/>
              <w:bottom w:val="single" w:sz="8" w:space="0" w:color="auto"/>
              <w:right w:val="nil"/>
            </w:tcBorders>
            <w:noWrap/>
          </w:tcPr>
          <w:p w14:paraId="0616BA5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0.362</w:t>
            </w:r>
          </w:p>
        </w:tc>
        <w:tc>
          <w:tcPr>
            <w:tcW w:w="1015" w:type="dxa"/>
            <w:tcBorders>
              <w:top w:val="nil"/>
              <w:left w:val="nil"/>
              <w:bottom w:val="single" w:sz="8" w:space="0" w:color="auto"/>
              <w:right w:val="nil"/>
            </w:tcBorders>
            <w:noWrap/>
          </w:tcPr>
          <w:p w14:paraId="30F7C7B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0.517</w:t>
            </w:r>
          </w:p>
        </w:tc>
        <w:tc>
          <w:tcPr>
            <w:tcW w:w="885" w:type="dxa"/>
            <w:tcBorders>
              <w:top w:val="nil"/>
              <w:left w:val="nil"/>
              <w:bottom w:val="single" w:sz="8" w:space="0" w:color="auto"/>
              <w:right w:val="nil"/>
            </w:tcBorders>
            <w:noWrap/>
          </w:tcPr>
          <w:p w14:paraId="2CB59A1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5D346930" w14:textId="77777777" w:rsidTr="00116912">
        <w:trPr>
          <w:trHeight w:val="263"/>
          <w:jc w:val="center"/>
        </w:trPr>
        <w:tc>
          <w:tcPr>
            <w:tcW w:w="1187" w:type="dxa"/>
            <w:tcBorders>
              <w:top w:val="single" w:sz="8" w:space="0" w:color="auto"/>
              <w:left w:val="nil"/>
              <w:bottom w:val="single" w:sz="4" w:space="0" w:color="auto"/>
              <w:right w:val="nil"/>
            </w:tcBorders>
            <w:noWrap/>
          </w:tcPr>
          <w:p w14:paraId="6909957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759" w:type="dxa"/>
            <w:tcBorders>
              <w:top w:val="single" w:sz="8" w:space="0" w:color="auto"/>
              <w:left w:val="nil"/>
              <w:bottom w:val="single" w:sz="4" w:space="0" w:color="auto"/>
              <w:right w:val="nil"/>
            </w:tcBorders>
            <w:noWrap/>
          </w:tcPr>
          <w:p w14:paraId="2FB7C9E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551" w:type="dxa"/>
            <w:tcBorders>
              <w:top w:val="single" w:sz="8" w:space="0" w:color="auto"/>
              <w:left w:val="nil"/>
              <w:bottom w:val="single" w:sz="4" w:space="0" w:color="auto"/>
              <w:right w:val="nil"/>
            </w:tcBorders>
            <w:noWrap/>
          </w:tcPr>
          <w:p w14:paraId="38CA5ED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 to Mod</w:t>
            </w:r>
            <w:r>
              <w:rPr>
                <w:rFonts w:ascii="Times New Roman" w:eastAsia="Times New Roman" w:hAnsi="Times New Roman" w:cs="Times New Roman"/>
                <w:color w:val="000000"/>
              </w:rPr>
              <w:t>.</w:t>
            </w:r>
          </w:p>
        </w:tc>
        <w:tc>
          <w:tcPr>
            <w:tcW w:w="760" w:type="dxa"/>
            <w:tcBorders>
              <w:top w:val="single" w:sz="8" w:space="0" w:color="auto"/>
              <w:left w:val="nil"/>
              <w:bottom w:val="single" w:sz="4" w:space="0" w:color="auto"/>
              <w:right w:val="nil"/>
            </w:tcBorders>
            <w:noWrap/>
          </w:tcPr>
          <w:p w14:paraId="46A449F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15" w:type="dxa"/>
            <w:tcBorders>
              <w:top w:val="single" w:sz="8" w:space="0" w:color="auto"/>
              <w:left w:val="nil"/>
              <w:bottom w:val="single" w:sz="4" w:space="0" w:color="auto"/>
              <w:right w:val="nil"/>
            </w:tcBorders>
            <w:noWrap/>
          </w:tcPr>
          <w:p w14:paraId="27B6AB5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15" w:type="dxa"/>
            <w:tcBorders>
              <w:top w:val="single" w:sz="8" w:space="0" w:color="auto"/>
              <w:left w:val="nil"/>
              <w:bottom w:val="single" w:sz="4" w:space="0" w:color="auto"/>
              <w:right w:val="nil"/>
            </w:tcBorders>
            <w:noWrap/>
          </w:tcPr>
          <w:p w14:paraId="25D76F2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15" w:type="dxa"/>
            <w:tcBorders>
              <w:top w:val="single" w:sz="8" w:space="0" w:color="auto"/>
              <w:left w:val="nil"/>
              <w:bottom w:val="single" w:sz="4" w:space="0" w:color="auto"/>
              <w:right w:val="nil"/>
            </w:tcBorders>
            <w:noWrap/>
          </w:tcPr>
          <w:p w14:paraId="54CF5F5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885" w:type="dxa"/>
            <w:tcBorders>
              <w:top w:val="single" w:sz="8" w:space="0" w:color="auto"/>
              <w:left w:val="nil"/>
              <w:bottom w:val="single" w:sz="4" w:space="0" w:color="auto"/>
              <w:right w:val="nil"/>
            </w:tcBorders>
            <w:noWrap/>
          </w:tcPr>
          <w:p w14:paraId="32896D5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r>
    </w:tbl>
    <w:p w14:paraId="3EB43453" w14:textId="77777777" w:rsidR="0009001A" w:rsidRDefault="0009001A" w:rsidP="00F677A2">
      <w:pPr>
        <w:spacing w:after="0" w:line="240" w:lineRule="auto"/>
        <w:jc w:val="center"/>
        <w:rPr>
          <w:rFonts w:ascii="Calibri" w:eastAsia="Calibri" w:hAnsi="Calibri" w:cs="Times New Roman"/>
          <w:b/>
          <w:sz w:val="20"/>
          <w:szCs w:val="20"/>
        </w:rPr>
      </w:pPr>
    </w:p>
    <w:p w14:paraId="22481E7C" w14:textId="77777777" w:rsidR="00093B3A" w:rsidRDefault="00093B3A" w:rsidP="005134E6">
      <w:pPr>
        <w:spacing w:after="0" w:line="276" w:lineRule="auto"/>
        <w:jc w:val="center"/>
        <w:rPr>
          <w:rFonts w:ascii="Calibri" w:eastAsia="Calibri" w:hAnsi="Calibri" w:cs="Times New Roman"/>
          <w:b/>
          <w:sz w:val="20"/>
          <w:szCs w:val="20"/>
        </w:rPr>
      </w:pPr>
      <w:r w:rsidRPr="00763151">
        <w:rPr>
          <w:rFonts w:ascii="Calibri" w:eastAsia="Calibri" w:hAnsi="Calibri" w:cs="Times New Roman"/>
          <w:b/>
          <w:noProof/>
          <w:sz w:val="20"/>
          <w:szCs w:val="20"/>
        </w:rPr>
        <w:drawing>
          <wp:inline distT="0" distB="0" distL="0" distR="0" wp14:anchorId="71966F1D" wp14:editId="2A4532E1">
            <wp:extent cx="4905375" cy="2209800"/>
            <wp:effectExtent l="0" t="0" r="9525" b="0"/>
            <wp:docPr id="1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3C635B7" w14:textId="77777777" w:rsidR="00D87046" w:rsidRDefault="00D87046" w:rsidP="003E06E6">
      <w:pPr>
        <w:spacing w:after="0" w:line="240" w:lineRule="auto"/>
        <w:jc w:val="center"/>
        <w:rPr>
          <w:rFonts w:ascii="Times New Roman" w:eastAsia="Calibri" w:hAnsi="Times New Roman" w:cs="Times New Roman"/>
          <w:bCs/>
          <w:sz w:val="20"/>
          <w:szCs w:val="20"/>
        </w:rPr>
      </w:pPr>
      <w:r w:rsidRPr="00763151">
        <w:rPr>
          <w:rFonts w:ascii="Times New Roman" w:eastAsia="Calibri" w:hAnsi="Times New Roman" w:cs="Times New Roman"/>
          <w:b/>
          <w:sz w:val="20"/>
          <w:szCs w:val="20"/>
        </w:rPr>
        <w:t>Fig</w:t>
      </w:r>
      <w:r w:rsidR="000331F1">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0331F1">
        <w:rPr>
          <w:rFonts w:ascii="Times New Roman" w:eastAsia="Calibri" w:hAnsi="Times New Roman" w:cs="Times New Roman"/>
          <w:b/>
          <w:sz w:val="20"/>
          <w:szCs w:val="20"/>
        </w:rPr>
        <w:t>18</w:t>
      </w:r>
      <w:r w:rsidRPr="00763151">
        <w:rPr>
          <w:rFonts w:ascii="Times New Roman" w:eastAsia="Calibri" w:hAnsi="Times New Roman" w:cs="Times New Roman"/>
          <w:b/>
          <w:sz w:val="20"/>
          <w:szCs w:val="20"/>
        </w:rPr>
        <w:t>a</w:t>
      </w:r>
      <w:r w:rsidR="000331F1">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763151">
        <w:rPr>
          <w:rFonts w:ascii="Times New Roman" w:eastAsia="Calibri" w:hAnsi="Times New Roman" w:cs="Times New Roman"/>
          <w:bCs/>
          <w:sz w:val="20"/>
          <w:szCs w:val="20"/>
        </w:rPr>
        <w:t xml:space="preserve">Contamination </w:t>
      </w:r>
      <w:r w:rsidR="00FF1693">
        <w:rPr>
          <w:rFonts w:ascii="Times New Roman" w:eastAsia="Calibri" w:hAnsi="Times New Roman" w:cs="Times New Roman"/>
          <w:bCs/>
          <w:sz w:val="20"/>
          <w:szCs w:val="20"/>
        </w:rPr>
        <w:t>f</w:t>
      </w:r>
      <w:r w:rsidRPr="00763151">
        <w:rPr>
          <w:rFonts w:ascii="Times New Roman" w:eastAsia="Calibri" w:hAnsi="Times New Roman" w:cs="Times New Roman"/>
          <w:bCs/>
          <w:sz w:val="20"/>
          <w:szCs w:val="20"/>
        </w:rPr>
        <w:t xml:space="preserve">actor for the </w:t>
      </w:r>
      <w:r w:rsidR="00FF1693">
        <w:rPr>
          <w:rFonts w:ascii="Times New Roman" w:eastAsia="Calibri" w:hAnsi="Times New Roman" w:cs="Times New Roman"/>
          <w:bCs/>
          <w:sz w:val="20"/>
          <w:szCs w:val="20"/>
        </w:rPr>
        <w:t>f</w:t>
      </w:r>
      <w:r w:rsidRPr="00763151">
        <w:rPr>
          <w:rFonts w:ascii="Times New Roman" w:eastAsia="Calibri" w:hAnsi="Times New Roman" w:cs="Times New Roman"/>
          <w:bCs/>
          <w:sz w:val="20"/>
          <w:szCs w:val="20"/>
        </w:rPr>
        <w:t xml:space="preserve">irst </w:t>
      </w:r>
      <w:r w:rsidR="009F0823">
        <w:rPr>
          <w:rFonts w:ascii="Times New Roman" w:eastAsia="Calibri" w:hAnsi="Times New Roman" w:cs="Times New Roman"/>
          <w:bCs/>
          <w:sz w:val="20"/>
          <w:szCs w:val="20"/>
        </w:rPr>
        <w:t xml:space="preserve">sampling </w:t>
      </w:r>
      <w:r w:rsidR="00FF1693">
        <w:rPr>
          <w:rFonts w:ascii="Times New Roman" w:eastAsia="Calibri" w:hAnsi="Times New Roman" w:cs="Times New Roman"/>
          <w:bCs/>
          <w:sz w:val="20"/>
          <w:szCs w:val="20"/>
        </w:rPr>
        <w:t xml:space="preserve">phase </w:t>
      </w:r>
    </w:p>
    <w:p w14:paraId="26078FF0" w14:textId="77777777" w:rsidR="000029EC" w:rsidRPr="00763151" w:rsidRDefault="000029EC" w:rsidP="00264368">
      <w:pPr>
        <w:spacing w:after="0" w:line="240" w:lineRule="auto"/>
        <w:ind w:firstLine="426"/>
        <w:jc w:val="both"/>
        <w:rPr>
          <w:rFonts w:ascii="Times New Roman" w:eastAsia="Calibri" w:hAnsi="Times New Roman" w:cs="Times New Roman"/>
          <w:color w:val="000000"/>
          <w:sz w:val="20"/>
          <w:szCs w:val="20"/>
        </w:rPr>
      </w:pPr>
      <w:r>
        <w:rPr>
          <w:rFonts w:ascii="Times New Roman" w:eastAsia="Calibri" w:hAnsi="Times New Roman" w:cs="Times New Roman"/>
          <w:sz w:val="20"/>
          <w:szCs w:val="20"/>
        </w:rPr>
        <w:lastRenderedPageBreak/>
        <w:t>All other parameters retained their low</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 xml:space="preserve">contamination status </w:t>
      </w:r>
      <w:r>
        <w:rPr>
          <w:rFonts w:ascii="Times New Roman" w:eastAsia="Calibri" w:hAnsi="Times New Roman" w:cs="Times New Roman"/>
          <w:sz w:val="20"/>
          <w:szCs w:val="20"/>
          <w:highlight w:val="yellow"/>
        </w:rPr>
        <w:t>du</w:t>
      </w:r>
      <w:r>
        <w:rPr>
          <w:rFonts w:ascii="Times New Roman" w:eastAsia="Calibri" w:hAnsi="Times New Roman" w:cs="Times New Roman"/>
          <w:sz w:val="20"/>
          <w:szCs w:val="20"/>
        </w:rPr>
        <w:t>r</w:t>
      </w:r>
      <w:r>
        <w:rPr>
          <w:rFonts w:ascii="Times New Roman" w:eastAsia="Calibri" w:hAnsi="Times New Roman" w:cs="Times New Roman"/>
          <w:sz w:val="20"/>
          <w:szCs w:val="20"/>
          <w:highlight w:val="yellow"/>
        </w:rPr>
        <w:t>ing</w:t>
      </w:r>
      <w:r>
        <w:rPr>
          <w:rFonts w:ascii="Times New Roman" w:eastAsia="Calibri" w:hAnsi="Times New Roman" w:cs="Times New Roman"/>
          <w:sz w:val="20"/>
          <w:szCs w:val="20"/>
        </w:rPr>
        <w:t xml:space="preserve"> the second phase. At the same time, Cd concentrations decreased to low</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 xml:space="preserve">contamination levels </w:t>
      </w:r>
      <w:r>
        <w:rPr>
          <w:rFonts w:ascii="Times New Roman" w:eastAsia="Calibri" w:hAnsi="Times New Roman" w:cs="Times New Roman"/>
          <w:sz w:val="20"/>
          <w:szCs w:val="20"/>
          <w:highlight w:val="yellow"/>
        </w:rPr>
        <w:t>at</w:t>
      </w:r>
      <w:r>
        <w:rPr>
          <w:rFonts w:ascii="Times New Roman" w:eastAsia="Calibri" w:hAnsi="Times New Roman" w:cs="Times New Roman"/>
          <w:sz w:val="20"/>
          <w:szCs w:val="20"/>
        </w:rPr>
        <w:t xml:space="preserve"> most locations but remained moderately contaminated at PR-13 and PR-15. </w:t>
      </w:r>
      <w:r>
        <w:rPr>
          <w:rFonts w:ascii="Times New Roman" w:eastAsia="Calibri" w:hAnsi="Times New Roman" w:cs="Times New Roman"/>
          <w:color w:val="2660F0"/>
          <w:sz w:val="20"/>
          <w:szCs w:val="20"/>
        </w:rPr>
        <w:t xml:space="preserve">Fig. 18a </w:t>
      </w:r>
      <w:r>
        <w:rPr>
          <w:rFonts w:ascii="Times New Roman" w:eastAsia="Calibri" w:hAnsi="Times New Roman" w:cs="Times New Roman"/>
          <w:sz w:val="20"/>
          <w:szCs w:val="20"/>
        </w:rPr>
        <w:t xml:space="preserve">and </w:t>
      </w:r>
      <w:r>
        <w:rPr>
          <w:rFonts w:ascii="Times New Roman" w:eastAsia="Calibri" w:hAnsi="Times New Roman" w:cs="Times New Roman"/>
          <w:color w:val="2660F0"/>
          <w:sz w:val="20"/>
          <w:szCs w:val="20"/>
        </w:rPr>
        <w:t>18b</w:t>
      </w:r>
      <w:r>
        <w:rPr>
          <w:rFonts w:ascii="Times New Roman" w:eastAsia="Calibri" w:hAnsi="Times New Roman" w:cs="Times New Roman"/>
          <w:sz w:val="20"/>
          <w:szCs w:val="20"/>
        </w:rPr>
        <w:t xml:space="preserve"> illustrate the reduction in Cd concentration across all locations</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 xml:space="preserve"> however, despite these d</w:t>
      </w:r>
      <w:r>
        <w:rPr>
          <w:rFonts w:ascii="Times New Roman" w:eastAsia="Calibri" w:hAnsi="Times New Roman" w:cs="Times New Roman"/>
          <w:sz w:val="20"/>
          <w:szCs w:val="20"/>
          <w:highlight w:val="yellow"/>
        </w:rPr>
        <w:t>ec</w:t>
      </w:r>
      <w:r>
        <w:rPr>
          <w:rFonts w:ascii="Times New Roman" w:eastAsia="Calibri" w:hAnsi="Times New Roman" w:cs="Times New Roman"/>
          <w:sz w:val="20"/>
          <w:szCs w:val="20"/>
        </w:rPr>
        <w:t>r</w:t>
      </w:r>
      <w:r>
        <w:rPr>
          <w:rFonts w:ascii="Times New Roman" w:eastAsia="Calibri" w:hAnsi="Times New Roman" w:cs="Times New Roman"/>
          <w:sz w:val="20"/>
          <w:szCs w:val="20"/>
          <w:highlight w:val="yellow"/>
        </w:rPr>
        <w:t>ease</w:t>
      </w:r>
      <w:r>
        <w:rPr>
          <w:rFonts w:ascii="Times New Roman" w:eastAsia="Calibri" w:hAnsi="Times New Roman" w:cs="Times New Roman"/>
          <w:sz w:val="20"/>
          <w:szCs w:val="20"/>
        </w:rPr>
        <w:t>s, Cd remains persistent in the environment.</w:t>
      </w:r>
    </w:p>
    <w:p w14:paraId="0B29B798" w14:textId="77777777" w:rsidR="000029EC" w:rsidRDefault="000029EC" w:rsidP="00496AE5">
      <w:pPr>
        <w:spacing w:after="0" w:line="276" w:lineRule="auto"/>
        <w:jc w:val="both"/>
        <w:rPr>
          <w:rFonts w:ascii="Times New Roman" w:eastAsia="Calibri" w:hAnsi="Times New Roman" w:cs="Times New Roman"/>
          <w:sz w:val="20"/>
          <w:szCs w:val="20"/>
        </w:rPr>
      </w:pPr>
    </w:p>
    <w:p w14:paraId="5A74E7AE" w14:textId="77777777" w:rsidR="00D87046" w:rsidRDefault="00D87046" w:rsidP="00E93095">
      <w:pPr>
        <w:spacing w:after="0" w:line="240" w:lineRule="auto"/>
        <w:jc w:val="center"/>
        <w:rPr>
          <w:rFonts w:ascii="Times New Roman" w:eastAsia="Calibri" w:hAnsi="Times New Roman" w:cs="Times New Roman"/>
          <w:sz w:val="20"/>
          <w:szCs w:val="20"/>
        </w:rPr>
      </w:pPr>
      <w:r w:rsidRPr="00763151">
        <w:rPr>
          <w:rFonts w:ascii="Times New Roman" w:eastAsia="Calibri" w:hAnsi="Times New Roman" w:cs="Times New Roman"/>
          <w:noProof/>
          <w:sz w:val="20"/>
          <w:szCs w:val="20"/>
        </w:rPr>
        <w:drawing>
          <wp:inline distT="0" distB="0" distL="0" distR="0" wp14:anchorId="44A09C45" wp14:editId="4BE9CB88">
            <wp:extent cx="4917440" cy="2352675"/>
            <wp:effectExtent l="0" t="0" r="16510" b="9525"/>
            <wp:docPr id="1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1E8F785" w14:textId="77777777" w:rsidR="00D87046" w:rsidRDefault="00D87046" w:rsidP="0090609E">
      <w:pPr>
        <w:spacing w:after="0" w:line="240" w:lineRule="auto"/>
        <w:jc w:val="center"/>
        <w:rPr>
          <w:rFonts w:ascii="Times New Roman" w:eastAsia="Calibri" w:hAnsi="Times New Roman" w:cs="Times New Roman"/>
          <w:bCs/>
          <w:sz w:val="20"/>
          <w:szCs w:val="20"/>
        </w:rPr>
      </w:pPr>
      <w:r w:rsidRPr="00763151">
        <w:rPr>
          <w:rFonts w:ascii="Times New Roman" w:eastAsia="Calibri" w:hAnsi="Times New Roman" w:cs="Times New Roman"/>
          <w:b/>
          <w:sz w:val="20"/>
          <w:szCs w:val="20"/>
        </w:rPr>
        <w:t>Fig</w:t>
      </w:r>
      <w:r w:rsidR="009D5B12">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9D5B12">
        <w:rPr>
          <w:rFonts w:ascii="Times New Roman" w:eastAsia="Calibri" w:hAnsi="Times New Roman" w:cs="Times New Roman"/>
          <w:b/>
          <w:sz w:val="20"/>
          <w:szCs w:val="20"/>
        </w:rPr>
        <w:t>18</w:t>
      </w:r>
      <w:r w:rsidRPr="00763151">
        <w:rPr>
          <w:rFonts w:ascii="Times New Roman" w:eastAsia="Calibri" w:hAnsi="Times New Roman" w:cs="Times New Roman"/>
          <w:b/>
          <w:sz w:val="20"/>
          <w:szCs w:val="20"/>
        </w:rPr>
        <w:t>b</w:t>
      </w:r>
      <w:r w:rsidR="009D5B12">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763151">
        <w:rPr>
          <w:rFonts w:ascii="Times New Roman" w:eastAsia="Calibri" w:hAnsi="Times New Roman" w:cs="Times New Roman"/>
          <w:bCs/>
          <w:sz w:val="20"/>
          <w:szCs w:val="20"/>
        </w:rPr>
        <w:t xml:space="preserve">Contamination </w:t>
      </w:r>
      <w:r w:rsidR="001B1978">
        <w:rPr>
          <w:rFonts w:ascii="Times New Roman" w:eastAsia="Calibri" w:hAnsi="Times New Roman" w:cs="Times New Roman"/>
          <w:bCs/>
          <w:sz w:val="20"/>
          <w:szCs w:val="20"/>
        </w:rPr>
        <w:t>f</w:t>
      </w:r>
      <w:r w:rsidRPr="00763151">
        <w:rPr>
          <w:rFonts w:ascii="Times New Roman" w:eastAsia="Calibri" w:hAnsi="Times New Roman" w:cs="Times New Roman"/>
          <w:bCs/>
          <w:sz w:val="20"/>
          <w:szCs w:val="20"/>
        </w:rPr>
        <w:t xml:space="preserve">actor for the </w:t>
      </w:r>
      <w:r w:rsidR="0090609E">
        <w:rPr>
          <w:rFonts w:ascii="Times New Roman" w:eastAsia="Calibri" w:hAnsi="Times New Roman" w:cs="Times New Roman"/>
          <w:bCs/>
          <w:sz w:val="20"/>
          <w:szCs w:val="20"/>
        </w:rPr>
        <w:t xml:space="preserve">second </w:t>
      </w:r>
      <w:r w:rsidR="00F73691">
        <w:rPr>
          <w:rFonts w:ascii="Times New Roman" w:eastAsia="Calibri" w:hAnsi="Times New Roman" w:cs="Times New Roman"/>
          <w:bCs/>
          <w:sz w:val="20"/>
          <w:szCs w:val="20"/>
        </w:rPr>
        <w:t xml:space="preserve">sampling </w:t>
      </w:r>
      <w:r w:rsidR="0090609E">
        <w:rPr>
          <w:rFonts w:ascii="Times New Roman" w:eastAsia="Calibri" w:hAnsi="Times New Roman" w:cs="Times New Roman"/>
          <w:bCs/>
          <w:sz w:val="20"/>
          <w:szCs w:val="20"/>
        </w:rPr>
        <w:t xml:space="preserve">phase </w:t>
      </w:r>
    </w:p>
    <w:p w14:paraId="716C8613" w14:textId="77777777" w:rsidR="00E1078C" w:rsidRDefault="00E1078C" w:rsidP="00E1078C">
      <w:pPr>
        <w:spacing w:after="0" w:line="240" w:lineRule="auto"/>
        <w:jc w:val="both"/>
        <w:rPr>
          <w:rFonts w:ascii="Times New Roman" w:eastAsia="Calibri" w:hAnsi="Times New Roman" w:cs="Times New Roman"/>
          <w:b/>
          <w:sz w:val="20"/>
          <w:szCs w:val="20"/>
        </w:rPr>
      </w:pPr>
    </w:p>
    <w:p w14:paraId="6B608228" w14:textId="77777777" w:rsidR="00D87046" w:rsidRDefault="002C00DA" w:rsidP="00381261">
      <w:pPr>
        <w:spacing w:after="0" w:line="240" w:lineRule="auto"/>
        <w:jc w:val="both"/>
        <w:rPr>
          <w:rFonts w:ascii="Times New Roman" w:eastAsia="Calibri" w:hAnsi="Times New Roman" w:cs="Times New Roman"/>
          <w:b/>
          <w:sz w:val="20"/>
          <w:szCs w:val="20"/>
        </w:rPr>
      </w:pPr>
      <w:r w:rsidRPr="00763151">
        <w:rPr>
          <w:rFonts w:ascii="Times New Roman" w:eastAsia="Calibri" w:hAnsi="Times New Roman" w:cs="Times New Roman"/>
          <w:b/>
          <w:sz w:val="20"/>
          <w:szCs w:val="20"/>
        </w:rPr>
        <w:t>3</w:t>
      </w:r>
      <w:r w:rsidR="00D87046" w:rsidRPr="00763151">
        <w:rPr>
          <w:rFonts w:ascii="Times New Roman" w:eastAsia="Calibri" w:hAnsi="Times New Roman" w:cs="Times New Roman"/>
          <w:b/>
          <w:sz w:val="20"/>
          <w:szCs w:val="20"/>
        </w:rPr>
        <w:t>.</w:t>
      </w:r>
      <w:r w:rsidR="004F00BB">
        <w:rPr>
          <w:rFonts w:ascii="Times New Roman" w:eastAsia="Calibri" w:hAnsi="Times New Roman" w:cs="Times New Roman"/>
          <w:b/>
          <w:sz w:val="20"/>
          <w:szCs w:val="20"/>
        </w:rPr>
        <w:t>2.</w:t>
      </w:r>
      <w:r w:rsidR="00D87046" w:rsidRPr="00763151">
        <w:rPr>
          <w:rFonts w:ascii="Times New Roman" w:eastAsia="Calibri" w:hAnsi="Times New Roman" w:cs="Times New Roman"/>
          <w:b/>
          <w:sz w:val="20"/>
          <w:szCs w:val="20"/>
        </w:rPr>
        <w:t>3 Metal Pollution Index (</w:t>
      </w:r>
      <w:r w:rsidR="00D87046" w:rsidRPr="00F11F37">
        <w:rPr>
          <w:rFonts w:ascii="Times New Roman" w:eastAsia="Calibri" w:hAnsi="Times New Roman" w:cs="Times New Roman"/>
          <w:b/>
          <w:i/>
          <w:iCs/>
          <w:sz w:val="20"/>
          <w:szCs w:val="20"/>
        </w:rPr>
        <w:t>MPI</w:t>
      </w:r>
      <w:r w:rsidR="00D87046" w:rsidRPr="00763151">
        <w:rPr>
          <w:rFonts w:ascii="Times New Roman" w:eastAsia="Calibri" w:hAnsi="Times New Roman" w:cs="Times New Roman"/>
          <w:b/>
          <w:sz w:val="20"/>
          <w:szCs w:val="20"/>
        </w:rPr>
        <w:t>)</w:t>
      </w:r>
    </w:p>
    <w:p w14:paraId="706E3117" w14:textId="77777777" w:rsidR="00066CAB" w:rsidRPr="00763151" w:rsidRDefault="00066CAB" w:rsidP="00381261">
      <w:pPr>
        <w:spacing w:after="0" w:line="240" w:lineRule="auto"/>
        <w:jc w:val="both"/>
        <w:rPr>
          <w:rFonts w:ascii="Times New Roman" w:eastAsia="Calibri" w:hAnsi="Times New Roman" w:cs="Times New Roman"/>
          <w:b/>
          <w:sz w:val="20"/>
          <w:szCs w:val="20"/>
        </w:rPr>
      </w:pPr>
    </w:p>
    <w:p w14:paraId="4E5E233C" w14:textId="77777777" w:rsidR="00D87046" w:rsidRDefault="003C40BB" w:rsidP="00381261">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color w:val="000000" w:themeColor="text1"/>
          <w:sz w:val="20"/>
          <w:szCs w:val="20"/>
        </w:rPr>
        <w:t>The MPI was u</w:t>
      </w:r>
      <w:r>
        <w:rPr>
          <w:rFonts w:ascii="Times New Roman" w:eastAsia="Calibri" w:hAnsi="Times New Roman" w:cs="Times New Roman"/>
          <w:color w:val="000000" w:themeColor="text1"/>
          <w:sz w:val="20"/>
          <w:szCs w:val="20"/>
          <w:highlight w:val="yellow"/>
        </w:rPr>
        <w:t>s</w:t>
      </w:r>
      <w:r>
        <w:rPr>
          <w:rFonts w:ascii="Times New Roman" w:eastAsia="Calibri" w:hAnsi="Times New Roman" w:cs="Times New Roman"/>
          <w:color w:val="000000" w:themeColor="text1"/>
          <w:sz w:val="20"/>
          <w:szCs w:val="20"/>
        </w:rPr>
        <w:t xml:space="preserve">ed </w:t>
      </w:r>
      <w:r>
        <w:rPr>
          <w:rFonts w:ascii="Times New Roman" w:eastAsia="Calibri" w:hAnsi="Times New Roman" w:cs="Times New Roman"/>
          <w:color w:val="000000" w:themeColor="text1"/>
          <w:sz w:val="20"/>
          <w:szCs w:val="20"/>
          <w:highlight w:val="yellow"/>
        </w:rPr>
        <w:t>to</w:t>
      </w:r>
      <w:r>
        <w:rPr>
          <w:rFonts w:ascii="Times New Roman" w:eastAsia="Calibri" w:hAnsi="Times New Roman" w:cs="Times New Roman"/>
          <w:color w:val="000000" w:themeColor="text1"/>
          <w:sz w:val="20"/>
          <w:szCs w:val="20"/>
        </w:rPr>
        <w:t xml:space="preserve"> evaluat</w:t>
      </w:r>
      <w:r>
        <w:rPr>
          <w:rFonts w:ascii="Times New Roman" w:eastAsia="Calibri" w:hAnsi="Times New Roman" w:cs="Times New Roman"/>
          <w:color w:val="000000" w:themeColor="text1"/>
          <w:sz w:val="20"/>
          <w:szCs w:val="20"/>
          <w:highlight w:val="yellow"/>
        </w:rPr>
        <w:t>e</w:t>
      </w:r>
      <w:r>
        <w:rPr>
          <w:rFonts w:ascii="Times New Roman" w:eastAsia="Calibri" w:hAnsi="Times New Roman" w:cs="Times New Roman"/>
          <w:color w:val="000000" w:themeColor="text1"/>
          <w:sz w:val="20"/>
          <w:szCs w:val="20"/>
        </w:rPr>
        <w:t xml:space="preserve"> </w:t>
      </w:r>
      <w:r>
        <w:rPr>
          <w:rFonts w:ascii="Times New Roman" w:eastAsia="Calibri" w:hAnsi="Times New Roman" w:cs="Times New Roman"/>
          <w:color w:val="000000" w:themeColor="text1"/>
          <w:sz w:val="20"/>
          <w:szCs w:val="20"/>
          <w:highlight w:val="yellow"/>
        </w:rPr>
        <w:t>me</w:t>
      </w:r>
      <w:r>
        <w:rPr>
          <w:rFonts w:ascii="Times New Roman" w:eastAsia="Calibri" w:hAnsi="Times New Roman" w:cs="Times New Roman"/>
          <w:color w:val="000000" w:themeColor="text1"/>
          <w:sz w:val="20"/>
          <w:szCs w:val="20"/>
        </w:rPr>
        <w:t>t</w:t>
      </w:r>
      <w:r>
        <w:rPr>
          <w:rFonts w:ascii="Times New Roman" w:eastAsia="Calibri" w:hAnsi="Times New Roman" w:cs="Times New Roman"/>
          <w:color w:val="000000" w:themeColor="text1"/>
          <w:sz w:val="20"/>
          <w:szCs w:val="20"/>
          <w:highlight w:val="yellow"/>
        </w:rPr>
        <w:t>al</w:t>
      </w:r>
      <w:r>
        <w:rPr>
          <w:rFonts w:ascii="Times New Roman" w:eastAsia="Calibri" w:hAnsi="Times New Roman" w:cs="Times New Roman"/>
          <w:color w:val="000000" w:themeColor="text1"/>
          <w:sz w:val="20"/>
          <w:szCs w:val="20"/>
        </w:rPr>
        <w:t xml:space="preserve"> contamination in the soil samples retrieved from the study area, with </w:t>
      </w:r>
      <w:r>
        <w:rPr>
          <w:rFonts w:ascii="Times New Roman" w:eastAsia="Calibri" w:hAnsi="Times New Roman" w:cs="Times New Roman"/>
          <w:color w:val="000000" w:themeColor="text1"/>
          <w:sz w:val="20"/>
          <w:szCs w:val="20"/>
          <w:highlight w:val="yellow"/>
        </w:rPr>
        <w:t xml:space="preserve">the </w:t>
      </w:r>
      <w:r>
        <w:rPr>
          <w:rFonts w:ascii="Times New Roman" w:eastAsia="Calibri" w:hAnsi="Times New Roman" w:cs="Times New Roman"/>
          <w:color w:val="000000" w:themeColor="text1"/>
          <w:sz w:val="20"/>
          <w:szCs w:val="20"/>
        </w:rPr>
        <w:t xml:space="preserve">results presented in </w:t>
      </w:r>
      <w:r>
        <w:rPr>
          <w:rFonts w:ascii="Times New Roman" w:eastAsia="Calibri" w:hAnsi="Times New Roman" w:cs="Times New Roman"/>
          <w:color w:val="2660F0"/>
          <w:sz w:val="20"/>
          <w:szCs w:val="20"/>
        </w:rPr>
        <w:t>Table 9</w:t>
      </w:r>
      <w:r>
        <w:rPr>
          <w:rFonts w:ascii="Times New Roman" w:eastAsia="Calibri" w:hAnsi="Times New Roman" w:cs="Times New Roman"/>
          <w:sz w:val="20"/>
          <w:szCs w:val="20"/>
        </w:rPr>
        <w:t xml:space="preserve">. </w:t>
      </w:r>
      <w:r>
        <w:rPr>
          <w:rFonts w:ascii="Times New Roman" w:eastAsia="Calibri" w:hAnsi="Times New Roman" w:cs="Times New Roman"/>
          <w:color w:val="000000" w:themeColor="text1"/>
          <w:sz w:val="20"/>
          <w:szCs w:val="20"/>
          <w:highlight w:val="yellow"/>
        </w:rPr>
        <w:t>In</w:t>
      </w:r>
      <w:r>
        <w:rPr>
          <w:rFonts w:ascii="Times New Roman" w:eastAsia="Calibri" w:hAnsi="Times New Roman" w:cs="Times New Roman"/>
          <w:color w:val="000000" w:themeColor="text1"/>
          <w:sz w:val="20"/>
          <w:szCs w:val="20"/>
        </w:rPr>
        <w:t xml:space="preserve"> the first sampling </w:t>
      </w:r>
      <w:r>
        <w:rPr>
          <w:rFonts w:ascii="Times New Roman" w:eastAsia="Calibri" w:hAnsi="Times New Roman" w:cs="Times New Roman"/>
          <w:color w:val="000000" w:themeColor="text1"/>
          <w:sz w:val="20"/>
          <w:szCs w:val="20"/>
          <w:highlight w:val="yellow"/>
        </w:rPr>
        <w:t>ph</w:t>
      </w:r>
      <w:r>
        <w:rPr>
          <w:rFonts w:ascii="Times New Roman" w:eastAsia="Calibri" w:hAnsi="Times New Roman" w:cs="Times New Roman"/>
          <w:color w:val="000000" w:themeColor="text1"/>
          <w:sz w:val="20"/>
          <w:szCs w:val="20"/>
        </w:rPr>
        <w:t>ase, analysis of</w:t>
      </w:r>
      <w:r>
        <w:rPr>
          <w:rFonts w:ascii="Times New Roman" w:eastAsia="Calibri" w:hAnsi="Times New Roman" w:cs="Times New Roman"/>
          <w:color w:val="000000" w:themeColor="text1"/>
          <w:sz w:val="20"/>
          <w:szCs w:val="20"/>
          <w:highlight w:val="yellow"/>
        </w:rPr>
        <w:t xml:space="preserve"> the</w:t>
      </w:r>
      <w:r>
        <w:rPr>
          <w:rFonts w:ascii="Times New Roman" w:eastAsia="Calibri" w:hAnsi="Times New Roman" w:cs="Times New Roman"/>
          <w:color w:val="000000" w:themeColor="text1"/>
          <w:sz w:val="20"/>
          <w:szCs w:val="20"/>
        </w:rPr>
        <w:t xml:space="preserve"> metals (Cd, Cr, Cu, Fe, Ni, Pb, and Zn) yielded an index of</w:t>
      </w:r>
      <w:r>
        <w:rPr>
          <w:rFonts w:ascii="Times New Roman" w:eastAsia="Calibri" w:hAnsi="Times New Roman" w:cs="Times New Roman"/>
          <w:color w:val="FF0000"/>
          <w:sz w:val="20"/>
          <w:szCs w:val="20"/>
        </w:rPr>
        <w:t xml:space="preserve"> </w:t>
      </w:r>
      <w:r>
        <w:rPr>
          <w:rFonts w:ascii="Times New Roman" w:eastAsia="Calibri" w:hAnsi="Times New Roman" w:cs="Times New Roman"/>
          <w:sz w:val="20"/>
          <w:szCs w:val="20"/>
        </w:rPr>
        <w:t>1.007. This indicated ongoing metal contamination in the study area (</w:t>
      </w:r>
      <w:r>
        <w:rPr>
          <w:rFonts w:ascii="Times New Roman" w:eastAsia="Calibri" w:hAnsi="Times New Roman" w:cs="Times New Roman"/>
          <w:color w:val="2660F0"/>
          <w:sz w:val="20"/>
          <w:szCs w:val="20"/>
        </w:rPr>
        <w:t>Diagne et al., 2015</w:t>
      </w:r>
      <w:r>
        <w:rPr>
          <w:rFonts w:ascii="Times New Roman" w:eastAsia="Calibri" w:hAnsi="Times New Roman" w:cs="Times New Roman"/>
          <w:sz w:val="20"/>
          <w:szCs w:val="20"/>
        </w:rPr>
        <w:t>). However, after the second sampling phase, the index value dropped to 0.587</w:t>
      </w:r>
      <w:r>
        <w:rPr>
          <w:rFonts w:ascii="Times New Roman" w:eastAsia="Calibri" w:hAnsi="Times New Roman" w:cs="Times New Roman"/>
          <w:sz w:val="20"/>
          <w:szCs w:val="20"/>
          <w:highlight w:val="yellow"/>
        </w:rPr>
        <w:t>,</w:t>
      </w:r>
      <w:r>
        <w:rPr>
          <w:rFonts w:ascii="Times New Roman" w:eastAsia="Calibri" w:hAnsi="Times New Roman" w:cs="Times New Roman"/>
          <w:sz w:val="20"/>
          <w:szCs w:val="20"/>
        </w:rPr>
        <w:t xml:space="preserve"> </w:t>
      </w:r>
      <w:r>
        <w:rPr>
          <w:rFonts w:ascii="Times New Roman" w:eastAsia="Calibri" w:hAnsi="Times New Roman" w:cs="Times New Roman"/>
          <w:sz w:val="20"/>
          <w:szCs w:val="20"/>
          <w:highlight w:val="yellow"/>
        </w:rPr>
        <w:t>indica</w:t>
      </w:r>
      <w:r>
        <w:rPr>
          <w:rFonts w:ascii="Times New Roman" w:eastAsia="Calibri" w:hAnsi="Times New Roman" w:cs="Times New Roman"/>
          <w:sz w:val="20"/>
          <w:szCs w:val="20"/>
        </w:rPr>
        <w:t>ti</w:t>
      </w:r>
      <w:r>
        <w:rPr>
          <w:rFonts w:ascii="Times New Roman" w:eastAsia="Calibri" w:hAnsi="Times New Roman" w:cs="Times New Roman"/>
          <w:sz w:val="20"/>
          <w:szCs w:val="20"/>
          <w:highlight w:val="yellow"/>
        </w:rPr>
        <w:t>n</w:t>
      </w:r>
      <w:r>
        <w:rPr>
          <w:rFonts w:ascii="Times New Roman" w:eastAsia="Calibri" w:hAnsi="Times New Roman" w:cs="Times New Roman"/>
          <w:sz w:val="20"/>
          <w:szCs w:val="20"/>
        </w:rPr>
        <w:t xml:space="preserve">g a reduction in contamination levels </w:t>
      </w:r>
      <w:r>
        <w:rPr>
          <w:rFonts w:ascii="Times New Roman" w:eastAsia="Calibri" w:hAnsi="Times New Roman" w:cs="Times New Roman"/>
          <w:sz w:val="20"/>
          <w:szCs w:val="20"/>
          <w:highlight w:val="yellow"/>
        </w:rPr>
        <w:t>and</w:t>
      </w:r>
      <w:r>
        <w:rPr>
          <w:rFonts w:ascii="Times New Roman" w:eastAsia="Calibri" w:hAnsi="Times New Roman" w:cs="Times New Roman"/>
          <w:sz w:val="20"/>
          <w:szCs w:val="20"/>
        </w:rPr>
        <w:t xml:space="preserve"> suggest</w:t>
      </w:r>
      <w:r>
        <w:rPr>
          <w:rFonts w:ascii="Times New Roman" w:eastAsia="Calibri" w:hAnsi="Times New Roman" w:cs="Times New Roman"/>
          <w:sz w:val="20"/>
          <w:szCs w:val="20"/>
          <w:highlight w:val="yellow"/>
        </w:rPr>
        <w:t>ing</w:t>
      </w:r>
      <w:r>
        <w:rPr>
          <w:rFonts w:ascii="Times New Roman" w:eastAsia="Calibri" w:hAnsi="Times New Roman" w:cs="Times New Roman"/>
          <w:sz w:val="20"/>
          <w:szCs w:val="20"/>
        </w:rPr>
        <w:t xml:space="preserve"> that the environment ha</w:t>
      </w:r>
      <w:r>
        <w:rPr>
          <w:rFonts w:ascii="Times New Roman" w:eastAsia="Calibri" w:hAnsi="Times New Roman" w:cs="Times New Roman"/>
          <w:sz w:val="20"/>
          <w:szCs w:val="20"/>
          <w:highlight w:val="yellow"/>
        </w:rPr>
        <w:t>d</w:t>
      </w:r>
      <w:r>
        <w:rPr>
          <w:rFonts w:ascii="Times New Roman" w:eastAsia="Calibri" w:hAnsi="Times New Roman" w:cs="Times New Roman"/>
          <w:sz w:val="20"/>
          <w:szCs w:val="20"/>
        </w:rPr>
        <w:t xml:space="preserve"> become less polluted. Specifically, the concentration of </w:t>
      </w:r>
      <w:r>
        <w:rPr>
          <w:rFonts w:ascii="Times New Roman" w:eastAsia="Calibri" w:hAnsi="Times New Roman" w:cs="Times New Roman"/>
          <w:sz w:val="20"/>
          <w:szCs w:val="20"/>
          <w:highlight w:val="yellow"/>
        </w:rPr>
        <w:t>c</w:t>
      </w:r>
      <w:r>
        <w:rPr>
          <w:rFonts w:ascii="Times New Roman" w:eastAsia="Calibri" w:hAnsi="Times New Roman" w:cs="Times New Roman"/>
          <w:sz w:val="20"/>
          <w:szCs w:val="20"/>
        </w:rPr>
        <w:t>admium decreased from 30.667 in the first sampling phase</w:t>
      </w:r>
      <w:r>
        <w:rPr>
          <w:rFonts w:ascii="Times New Roman" w:eastAsia="Calibri" w:hAnsi="Times New Roman" w:cs="Times New Roman"/>
          <w:color w:val="2660F0"/>
          <w:sz w:val="20"/>
          <w:szCs w:val="20"/>
        </w:rPr>
        <w:t xml:space="preserve"> </w:t>
      </w:r>
      <w:r>
        <w:rPr>
          <w:rFonts w:ascii="Times New Roman" w:eastAsia="Calibri" w:hAnsi="Times New Roman" w:cs="Times New Roman"/>
          <w:sz w:val="20"/>
          <w:szCs w:val="20"/>
        </w:rPr>
        <w:t>to 19.153 in</w:t>
      </w:r>
      <w:r>
        <w:rPr>
          <w:rFonts w:ascii="Times New Roman" w:eastAsia="Calibri" w:hAnsi="Times New Roman" w:cs="Times New Roman"/>
          <w:sz w:val="20"/>
          <w:szCs w:val="20"/>
          <w:highlight w:val="yellow"/>
        </w:rPr>
        <w:t xml:space="preserve"> the</w:t>
      </w:r>
      <w:r>
        <w:rPr>
          <w:rFonts w:ascii="Times New Roman" w:eastAsia="Calibri" w:hAnsi="Times New Roman" w:cs="Times New Roman"/>
          <w:sz w:val="20"/>
          <w:szCs w:val="20"/>
        </w:rPr>
        <w:t xml:space="preserve"> second sampling phase, demonstrating a significant reduction in contamination.</w:t>
      </w:r>
    </w:p>
    <w:p w14:paraId="0C7A9396" w14:textId="77777777" w:rsidR="004D4D58" w:rsidRDefault="004D4D58" w:rsidP="00E93095">
      <w:pPr>
        <w:spacing w:after="0" w:line="240" w:lineRule="auto"/>
        <w:jc w:val="both"/>
        <w:rPr>
          <w:rFonts w:ascii="Times New Roman" w:eastAsia="Calibri" w:hAnsi="Times New Roman" w:cs="Times New Roman"/>
          <w:sz w:val="20"/>
          <w:szCs w:val="20"/>
        </w:rPr>
      </w:pPr>
    </w:p>
    <w:p w14:paraId="557C8C5A" w14:textId="77777777" w:rsidR="00D87046" w:rsidRPr="00763151" w:rsidRDefault="009F7AD1" w:rsidP="00146996">
      <w:pPr>
        <w:spacing w:after="0" w:line="240" w:lineRule="auto"/>
        <w:jc w:val="center"/>
        <w:rPr>
          <w:rFonts w:ascii="Times New Roman" w:eastAsia="Calibri" w:hAnsi="Times New Roman" w:cs="Times New Roman"/>
          <w:b/>
          <w:sz w:val="20"/>
          <w:szCs w:val="20"/>
        </w:rPr>
      </w:pPr>
      <w:r w:rsidRPr="00763151">
        <w:rPr>
          <w:rFonts w:ascii="Times New Roman" w:eastAsia="Calibri" w:hAnsi="Times New Roman" w:cs="Times New Roman"/>
          <w:b/>
          <w:sz w:val="20"/>
          <w:szCs w:val="20"/>
        </w:rPr>
        <w:t xml:space="preserve">Table </w:t>
      </w:r>
      <w:r w:rsidR="002E5028">
        <w:rPr>
          <w:rFonts w:ascii="Times New Roman" w:eastAsia="Calibri" w:hAnsi="Times New Roman" w:cs="Times New Roman"/>
          <w:b/>
          <w:sz w:val="20"/>
          <w:szCs w:val="20"/>
        </w:rPr>
        <w:t>9</w:t>
      </w:r>
      <w:r w:rsidR="001862FB">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1862FB">
        <w:rPr>
          <w:rFonts w:ascii="Times New Roman" w:eastAsia="Calibri" w:hAnsi="Times New Roman" w:cs="Times New Roman"/>
          <w:bCs/>
          <w:sz w:val="20"/>
          <w:szCs w:val="20"/>
        </w:rPr>
        <w:t xml:space="preserve">Metal </w:t>
      </w:r>
      <w:r w:rsidR="001B1978">
        <w:rPr>
          <w:rFonts w:ascii="Times New Roman" w:eastAsia="Calibri" w:hAnsi="Times New Roman" w:cs="Times New Roman"/>
          <w:bCs/>
          <w:sz w:val="20"/>
          <w:szCs w:val="20"/>
        </w:rPr>
        <w:t>p</w:t>
      </w:r>
      <w:r w:rsidRPr="001862FB">
        <w:rPr>
          <w:rFonts w:ascii="Times New Roman" w:eastAsia="Calibri" w:hAnsi="Times New Roman" w:cs="Times New Roman"/>
          <w:bCs/>
          <w:sz w:val="20"/>
          <w:szCs w:val="20"/>
        </w:rPr>
        <w:t xml:space="preserve">ollution </w:t>
      </w:r>
      <w:r w:rsidR="001B7E17">
        <w:rPr>
          <w:rFonts w:ascii="Times New Roman" w:eastAsia="Calibri" w:hAnsi="Times New Roman" w:cs="Times New Roman"/>
          <w:bCs/>
          <w:sz w:val="20"/>
          <w:szCs w:val="20"/>
        </w:rPr>
        <w:t>i</w:t>
      </w:r>
      <w:r w:rsidRPr="001862FB">
        <w:rPr>
          <w:rFonts w:ascii="Times New Roman" w:eastAsia="Calibri" w:hAnsi="Times New Roman" w:cs="Times New Roman"/>
          <w:bCs/>
          <w:sz w:val="20"/>
          <w:szCs w:val="20"/>
        </w:rPr>
        <w:t>ndex</w:t>
      </w:r>
    </w:p>
    <w:tbl>
      <w:tblPr>
        <w:tblStyle w:val="TableGrid11"/>
        <w:tblpPr w:leftFromText="180" w:rightFromText="180" w:vertAnchor="text" w:horzAnchor="margin" w:tblpXSpec="center" w:tblpY="79"/>
        <w:tblW w:w="751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91"/>
        <w:gridCol w:w="898"/>
        <w:gridCol w:w="1089"/>
        <w:gridCol w:w="898"/>
        <w:gridCol w:w="906"/>
        <w:gridCol w:w="898"/>
        <w:gridCol w:w="898"/>
        <w:gridCol w:w="836"/>
      </w:tblGrid>
      <w:tr w:rsidR="00CB545B" w:rsidRPr="00763151" w14:paraId="24A3870B" w14:textId="77777777" w:rsidTr="0082598E">
        <w:trPr>
          <w:trHeight w:val="63"/>
        </w:trPr>
        <w:tc>
          <w:tcPr>
            <w:tcW w:w="1091" w:type="dxa"/>
            <w:tcBorders>
              <w:top w:val="single" w:sz="4" w:space="0" w:color="auto"/>
              <w:left w:val="nil"/>
              <w:bottom w:val="single" w:sz="4" w:space="0" w:color="auto"/>
              <w:right w:val="nil"/>
            </w:tcBorders>
            <w:noWrap/>
          </w:tcPr>
          <w:p w14:paraId="26212EA4" w14:textId="77777777" w:rsidR="00CB545B" w:rsidRPr="00763151" w:rsidRDefault="00CB545B" w:rsidP="009310D7">
            <w:pPr>
              <w:jc w:val="both"/>
              <w:rPr>
                <w:rFonts w:ascii="Times New Roman" w:eastAsia="Times New Roman" w:hAnsi="Times New Roman"/>
                <w:b/>
                <w:color w:val="000000"/>
              </w:rPr>
            </w:pPr>
            <w:bookmarkStart w:id="17" w:name="_Hlk165217035"/>
            <w:r w:rsidRPr="00763151">
              <w:rPr>
                <w:rFonts w:ascii="Times New Roman" w:eastAsia="Times New Roman" w:hAnsi="Times New Roman"/>
                <w:b/>
                <w:color w:val="000000"/>
              </w:rPr>
              <w:t>Sample</w:t>
            </w:r>
          </w:p>
        </w:tc>
        <w:tc>
          <w:tcPr>
            <w:tcW w:w="898" w:type="dxa"/>
            <w:tcBorders>
              <w:top w:val="single" w:sz="4" w:space="0" w:color="auto"/>
              <w:left w:val="nil"/>
              <w:bottom w:val="single" w:sz="4" w:space="0" w:color="auto"/>
              <w:right w:val="nil"/>
            </w:tcBorders>
            <w:noWrap/>
          </w:tcPr>
          <w:p w14:paraId="62070A2A"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Cr</w:t>
            </w:r>
          </w:p>
        </w:tc>
        <w:tc>
          <w:tcPr>
            <w:tcW w:w="1089" w:type="dxa"/>
            <w:tcBorders>
              <w:top w:val="single" w:sz="4" w:space="0" w:color="auto"/>
              <w:left w:val="nil"/>
              <w:bottom w:val="single" w:sz="4" w:space="0" w:color="auto"/>
              <w:right w:val="nil"/>
            </w:tcBorders>
            <w:noWrap/>
          </w:tcPr>
          <w:p w14:paraId="431DDD20"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Cd</w:t>
            </w:r>
          </w:p>
        </w:tc>
        <w:tc>
          <w:tcPr>
            <w:tcW w:w="898" w:type="dxa"/>
            <w:tcBorders>
              <w:top w:val="single" w:sz="4" w:space="0" w:color="auto"/>
              <w:left w:val="nil"/>
              <w:bottom w:val="single" w:sz="4" w:space="0" w:color="auto"/>
              <w:right w:val="nil"/>
            </w:tcBorders>
            <w:noWrap/>
          </w:tcPr>
          <w:p w14:paraId="6BB8F5BB"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Cu</w:t>
            </w:r>
          </w:p>
        </w:tc>
        <w:tc>
          <w:tcPr>
            <w:tcW w:w="906" w:type="dxa"/>
            <w:tcBorders>
              <w:top w:val="single" w:sz="4" w:space="0" w:color="auto"/>
              <w:left w:val="nil"/>
              <w:bottom w:val="single" w:sz="4" w:space="0" w:color="auto"/>
              <w:right w:val="nil"/>
            </w:tcBorders>
            <w:noWrap/>
          </w:tcPr>
          <w:p w14:paraId="31B7F05C"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Ni</w:t>
            </w:r>
          </w:p>
        </w:tc>
        <w:tc>
          <w:tcPr>
            <w:tcW w:w="898" w:type="dxa"/>
            <w:tcBorders>
              <w:top w:val="single" w:sz="4" w:space="0" w:color="auto"/>
              <w:left w:val="nil"/>
              <w:bottom w:val="single" w:sz="4" w:space="0" w:color="auto"/>
              <w:right w:val="nil"/>
            </w:tcBorders>
            <w:noWrap/>
          </w:tcPr>
          <w:p w14:paraId="788CC2C6"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Pb</w:t>
            </w:r>
          </w:p>
        </w:tc>
        <w:tc>
          <w:tcPr>
            <w:tcW w:w="898" w:type="dxa"/>
            <w:tcBorders>
              <w:top w:val="single" w:sz="4" w:space="0" w:color="auto"/>
              <w:left w:val="nil"/>
              <w:bottom w:val="single" w:sz="4" w:space="0" w:color="auto"/>
              <w:right w:val="nil"/>
            </w:tcBorders>
            <w:noWrap/>
          </w:tcPr>
          <w:p w14:paraId="4B191F77"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Zn</w:t>
            </w:r>
          </w:p>
        </w:tc>
        <w:tc>
          <w:tcPr>
            <w:tcW w:w="836" w:type="dxa"/>
            <w:tcBorders>
              <w:top w:val="single" w:sz="4" w:space="0" w:color="auto"/>
              <w:left w:val="nil"/>
              <w:bottom w:val="single" w:sz="4" w:space="0" w:color="auto"/>
              <w:right w:val="nil"/>
            </w:tcBorders>
            <w:noWrap/>
          </w:tcPr>
          <w:p w14:paraId="1DD8E3B0"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Fe</w:t>
            </w:r>
          </w:p>
        </w:tc>
      </w:tr>
      <w:tr w:rsidR="0082598E" w:rsidRPr="00763151" w14:paraId="3A92E90A" w14:textId="77777777" w:rsidTr="0082598E">
        <w:trPr>
          <w:trHeight w:val="63"/>
        </w:trPr>
        <w:tc>
          <w:tcPr>
            <w:tcW w:w="1091" w:type="dxa"/>
            <w:tcBorders>
              <w:top w:val="single" w:sz="4" w:space="0" w:color="auto"/>
              <w:left w:val="nil"/>
              <w:bottom w:val="single" w:sz="4" w:space="0" w:color="auto"/>
              <w:right w:val="nil"/>
            </w:tcBorders>
            <w:noWrap/>
          </w:tcPr>
          <w:p w14:paraId="30807C00"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4C21DF05" w14:textId="77777777" w:rsidR="0082598E" w:rsidRPr="00763151" w:rsidRDefault="0082598E" w:rsidP="009310D7">
            <w:pPr>
              <w:jc w:val="both"/>
              <w:rPr>
                <w:rFonts w:ascii="Times New Roman" w:eastAsia="Times New Roman" w:hAnsi="Times New Roman"/>
                <w:b/>
                <w:color w:val="000000"/>
              </w:rPr>
            </w:pPr>
          </w:p>
        </w:tc>
        <w:tc>
          <w:tcPr>
            <w:tcW w:w="1089" w:type="dxa"/>
            <w:tcBorders>
              <w:top w:val="single" w:sz="4" w:space="0" w:color="auto"/>
              <w:left w:val="nil"/>
              <w:bottom w:val="single" w:sz="4" w:space="0" w:color="auto"/>
              <w:right w:val="nil"/>
            </w:tcBorders>
            <w:noWrap/>
          </w:tcPr>
          <w:p w14:paraId="4A75A68C"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1E8319A2" w14:textId="77777777" w:rsidR="0082598E" w:rsidRPr="00763151" w:rsidRDefault="0082598E" w:rsidP="009310D7">
            <w:pPr>
              <w:jc w:val="both"/>
              <w:rPr>
                <w:rFonts w:ascii="Times New Roman" w:eastAsia="Times New Roman" w:hAnsi="Times New Roman"/>
                <w:b/>
                <w:color w:val="000000"/>
              </w:rPr>
            </w:pPr>
          </w:p>
        </w:tc>
        <w:tc>
          <w:tcPr>
            <w:tcW w:w="906" w:type="dxa"/>
            <w:tcBorders>
              <w:top w:val="single" w:sz="4" w:space="0" w:color="auto"/>
              <w:left w:val="nil"/>
              <w:bottom w:val="single" w:sz="4" w:space="0" w:color="auto"/>
              <w:right w:val="nil"/>
            </w:tcBorders>
            <w:noWrap/>
          </w:tcPr>
          <w:p w14:paraId="267B2E59"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5EADE5A5"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504FD890" w14:textId="77777777" w:rsidR="0082598E" w:rsidRPr="00763151" w:rsidRDefault="0082598E" w:rsidP="009310D7">
            <w:pPr>
              <w:jc w:val="both"/>
              <w:rPr>
                <w:rFonts w:ascii="Times New Roman" w:eastAsia="Times New Roman" w:hAnsi="Times New Roman"/>
                <w:b/>
                <w:color w:val="000000"/>
              </w:rPr>
            </w:pPr>
          </w:p>
        </w:tc>
        <w:tc>
          <w:tcPr>
            <w:tcW w:w="836" w:type="dxa"/>
            <w:tcBorders>
              <w:top w:val="single" w:sz="4" w:space="0" w:color="auto"/>
              <w:left w:val="nil"/>
              <w:bottom w:val="single" w:sz="4" w:space="0" w:color="auto"/>
              <w:right w:val="nil"/>
            </w:tcBorders>
            <w:noWrap/>
          </w:tcPr>
          <w:p w14:paraId="2233DC30" w14:textId="77777777" w:rsidR="0082598E" w:rsidRPr="00763151" w:rsidRDefault="0082598E" w:rsidP="009310D7">
            <w:pPr>
              <w:jc w:val="both"/>
              <w:rPr>
                <w:rFonts w:ascii="Times New Roman" w:eastAsia="Times New Roman" w:hAnsi="Times New Roman"/>
                <w:b/>
                <w:color w:val="000000"/>
              </w:rPr>
            </w:pPr>
          </w:p>
        </w:tc>
      </w:tr>
      <w:tr w:rsidR="0082598E" w:rsidRPr="00763151" w14:paraId="5C7E8764" w14:textId="77777777" w:rsidTr="00E907F7">
        <w:trPr>
          <w:trHeight w:val="63"/>
        </w:trPr>
        <w:tc>
          <w:tcPr>
            <w:tcW w:w="7514" w:type="dxa"/>
            <w:gridSpan w:val="8"/>
            <w:tcBorders>
              <w:top w:val="single" w:sz="4" w:space="0" w:color="auto"/>
              <w:left w:val="nil"/>
              <w:bottom w:val="single" w:sz="4" w:space="0" w:color="auto"/>
              <w:right w:val="nil"/>
            </w:tcBorders>
            <w:noWrap/>
          </w:tcPr>
          <w:p w14:paraId="3103090A" w14:textId="77777777" w:rsidR="0082598E" w:rsidRPr="00763151" w:rsidRDefault="0082598E" w:rsidP="009310D7">
            <w:pPr>
              <w:jc w:val="center"/>
              <w:rPr>
                <w:rFonts w:ascii="Times New Roman" w:eastAsia="Times New Roman" w:hAnsi="Times New Roman"/>
                <w:b/>
                <w:color w:val="000000"/>
              </w:rPr>
            </w:pPr>
            <w:r>
              <w:rPr>
                <w:rFonts w:ascii="Times New Roman" w:eastAsia="Times New Roman" w:hAnsi="Times New Roman"/>
                <w:b/>
                <w:bCs/>
                <w:color w:val="000000"/>
              </w:rPr>
              <w:t>F</w:t>
            </w:r>
            <w:r w:rsidRPr="000739BB">
              <w:rPr>
                <w:rFonts w:ascii="Times New Roman" w:eastAsia="Times New Roman" w:hAnsi="Times New Roman"/>
                <w:b/>
                <w:bCs/>
                <w:color w:val="000000"/>
              </w:rPr>
              <w:t>irst sampling phase</w:t>
            </w:r>
          </w:p>
        </w:tc>
      </w:tr>
      <w:tr w:rsidR="00CB545B" w:rsidRPr="00763151" w14:paraId="7AEB9BAF" w14:textId="77777777" w:rsidTr="0082598E">
        <w:trPr>
          <w:trHeight w:val="85"/>
        </w:trPr>
        <w:tc>
          <w:tcPr>
            <w:tcW w:w="1091" w:type="dxa"/>
            <w:tcBorders>
              <w:top w:val="single" w:sz="4" w:space="0" w:color="auto"/>
              <w:left w:val="nil"/>
              <w:bottom w:val="single" w:sz="4" w:space="0" w:color="auto"/>
              <w:right w:val="nil"/>
            </w:tcBorders>
            <w:noWrap/>
          </w:tcPr>
          <w:p w14:paraId="7D1D0175" w14:textId="77777777" w:rsidR="00CB545B" w:rsidRPr="00763151" w:rsidRDefault="00CB545B" w:rsidP="009310D7">
            <w:pPr>
              <w:jc w:val="both"/>
              <w:rPr>
                <w:rFonts w:ascii="Times New Roman" w:eastAsia="Times New Roman" w:hAnsi="Times New Roman"/>
                <w:color w:val="000000"/>
              </w:rPr>
            </w:pPr>
            <w:r w:rsidRPr="00763151">
              <w:rPr>
                <w:rFonts w:ascii="Times New Roman" w:eastAsia="Times New Roman" w:hAnsi="Times New Roman"/>
                <w:color w:val="000000"/>
              </w:rPr>
              <w:t>(∑Cf)</w:t>
            </w:r>
          </w:p>
        </w:tc>
        <w:tc>
          <w:tcPr>
            <w:tcW w:w="898" w:type="dxa"/>
            <w:tcBorders>
              <w:top w:val="single" w:sz="4" w:space="0" w:color="auto"/>
              <w:left w:val="nil"/>
              <w:bottom w:val="single" w:sz="4" w:space="0" w:color="auto"/>
              <w:right w:val="nil"/>
            </w:tcBorders>
            <w:noWrap/>
            <w:vAlign w:val="bottom"/>
          </w:tcPr>
          <w:p w14:paraId="5CCDE88D"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0.484</w:t>
            </w:r>
          </w:p>
        </w:tc>
        <w:tc>
          <w:tcPr>
            <w:tcW w:w="1089" w:type="dxa"/>
            <w:tcBorders>
              <w:top w:val="single" w:sz="4" w:space="0" w:color="auto"/>
              <w:left w:val="nil"/>
              <w:bottom w:val="single" w:sz="4" w:space="0" w:color="auto"/>
              <w:right w:val="nil"/>
            </w:tcBorders>
            <w:noWrap/>
            <w:vAlign w:val="bottom"/>
          </w:tcPr>
          <w:p w14:paraId="625F5D96"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30.667</w:t>
            </w:r>
          </w:p>
        </w:tc>
        <w:tc>
          <w:tcPr>
            <w:tcW w:w="898" w:type="dxa"/>
            <w:tcBorders>
              <w:top w:val="single" w:sz="4" w:space="0" w:color="auto"/>
              <w:left w:val="nil"/>
              <w:bottom w:val="single" w:sz="4" w:space="0" w:color="auto"/>
              <w:right w:val="nil"/>
            </w:tcBorders>
            <w:noWrap/>
            <w:vAlign w:val="bottom"/>
          </w:tcPr>
          <w:p w14:paraId="7F9620B3"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0.647</w:t>
            </w:r>
          </w:p>
        </w:tc>
        <w:tc>
          <w:tcPr>
            <w:tcW w:w="906" w:type="dxa"/>
            <w:tcBorders>
              <w:top w:val="single" w:sz="4" w:space="0" w:color="auto"/>
              <w:left w:val="nil"/>
              <w:bottom w:val="single" w:sz="4" w:space="0" w:color="auto"/>
              <w:right w:val="nil"/>
            </w:tcBorders>
            <w:noWrap/>
            <w:vAlign w:val="bottom"/>
          </w:tcPr>
          <w:p w14:paraId="3D7171BB"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0.181</w:t>
            </w:r>
          </w:p>
        </w:tc>
        <w:tc>
          <w:tcPr>
            <w:tcW w:w="898" w:type="dxa"/>
            <w:tcBorders>
              <w:top w:val="single" w:sz="4" w:space="0" w:color="auto"/>
              <w:left w:val="nil"/>
              <w:bottom w:val="single" w:sz="4" w:space="0" w:color="auto"/>
              <w:right w:val="nil"/>
            </w:tcBorders>
            <w:noWrap/>
            <w:vAlign w:val="bottom"/>
          </w:tcPr>
          <w:p w14:paraId="4424F2C4"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0.78</w:t>
            </w:r>
          </w:p>
        </w:tc>
        <w:tc>
          <w:tcPr>
            <w:tcW w:w="898" w:type="dxa"/>
            <w:tcBorders>
              <w:top w:val="single" w:sz="4" w:space="0" w:color="auto"/>
              <w:left w:val="nil"/>
              <w:bottom w:val="single" w:sz="4" w:space="0" w:color="auto"/>
              <w:right w:val="nil"/>
            </w:tcBorders>
            <w:noWrap/>
            <w:vAlign w:val="bottom"/>
          </w:tcPr>
          <w:p w14:paraId="58822F41"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0.771</w:t>
            </w:r>
          </w:p>
        </w:tc>
        <w:tc>
          <w:tcPr>
            <w:tcW w:w="836" w:type="dxa"/>
            <w:tcBorders>
              <w:top w:val="single" w:sz="4" w:space="0" w:color="auto"/>
              <w:left w:val="nil"/>
              <w:bottom w:val="single" w:sz="4" w:space="0" w:color="auto"/>
              <w:right w:val="nil"/>
            </w:tcBorders>
            <w:noWrap/>
          </w:tcPr>
          <w:p w14:paraId="155BB997"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0.00</w:t>
            </w:r>
          </w:p>
        </w:tc>
      </w:tr>
      <w:tr w:rsidR="00CB545B" w:rsidRPr="00763151" w14:paraId="152BF3D0" w14:textId="77777777" w:rsidTr="0009573B">
        <w:trPr>
          <w:trHeight w:val="63"/>
        </w:trPr>
        <w:tc>
          <w:tcPr>
            <w:tcW w:w="4882" w:type="dxa"/>
            <w:gridSpan w:val="5"/>
            <w:tcBorders>
              <w:top w:val="single" w:sz="4" w:space="0" w:color="auto"/>
              <w:left w:val="nil"/>
              <w:bottom w:val="single" w:sz="4" w:space="0" w:color="auto"/>
              <w:right w:val="nil"/>
            </w:tcBorders>
            <w:noWrap/>
          </w:tcPr>
          <w:p w14:paraId="3BC093DE" w14:textId="77777777" w:rsidR="00CB545B" w:rsidRPr="00763151" w:rsidRDefault="00CB545B" w:rsidP="009310D7">
            <w:pPr>
              <w:jc w:val="both"/>
              <w:rPr>
                <w:rFonts w:ascii="Times New Roman" w:hAnsi="Times New Roman"/>
                <w:color w:val="000000"/>
                <w:vertAlign w:val="superscript"/>
              </w:rPr>
            </w:pPr>
            <w:r w:rsidRPr="00F11F37">
              <w:rPr>
                <w:rFonts w:ascii="Times New Roman" w:hAnsi="Times New Roman"/>
                <w:i/>
                <w:iCs/>
                <w:color w:val="000000"/>
              </w:rPr>
              <w:t>MPI</w:t>
            </w:r>
            <w:r w:rsidR="00EA5599">
              <w:rPr>
                <w:rFonts w:ascii="Times New Roman" w:hAnsi="Times New Roman"/>
                <w:color w:val="000000"/>
              </w:rPr>
              <w:t xml:space="preserve"> </w:t>
            </w:r>
            <w:r w:rsidRPr="00763151">
              <w:rPr>
                <w:rFonts w:ascii="Times New Roman" w:hAnsi="Times New Roman"/>
                <w:color w:val="000000"/>
              </w:rPr>
              <w:t>= (</w:t>
            </w:r>
            <w:r w:rsidRPr="00F11F37">
              <w:rPr>
                <w:rFonts w:ascii="Times New Roman" w:hAnsi="Times New Roman"/>
                <w:i/>
                <w:iCs/>
                <w:color w:val="000000"/>
              </w:rPr>
              <w:t>Cf</w:t>
            </w:r>
            <w:r w:rsidRPr="00F11F37">
              <w:rPr>
                <w:rFonts w:ascii="Times New Roman" w:hAnsi="Times New Roman"/>
                <w:i/>
                <w:iCs/>
                <w:color w:val="000000"/>
                <w:vertAlign w:val="subscript"/>
              </w:rPr>
              <w:t>1</w:t>
            </w:r>
            <w:r w:rsidRPr="00763151">
              <w:rPr>
                <w:rFonts w:ascii="Times New Roman" w:hAnsi="Times New Roman"/>
                <w:color w:val="000000"/>
              </w:rPr>
              <w:t>*</w:t>
            </w:r>
            <w:r w:rsidRPr="00F11F37">
              <w:rPr>
                <w:rFonts w:ascii="Times New Roman" w:hAnsi="Times New Roman"/>
                <w:i/>
                <w:iCs/>
                <w:color w:val="000000"/>
              </w:rPr>
              <w:t>Cf</w:t>
            </w:r>
            <w:r w:rsidRPr="00F11F37">
              <w:rPr>
                <w:rFonts w:ascii="Times New Roman" w:hAnsi="Times New Roman"/>
                <w:i/>
                <w:iCs/>
                <w:color w:val="000000"/>
                <w:vertAlign w:val="subscript"/>
              </w:rPr>
              <w:t>2</w:t>
            </w:r>
            <w:r w:rsidRPr="00763151">
              <w:rPr>
                <w:rFonts w:ascii="Times New Roman" w:hAnsi="Times New Roman"/>
                <w:color w:val="000000"/>
              </w:rPr>
              <w:t>*</w:t>
            </w:r>
            <w:r w:rsidRPr="00F11F37">
              <w:rPr>
                <w:rFonts w:ascii="Times New Roman" w:hAnsi="Times New Roman"/>
                <w:i/>
                <w:iCs/>
                <w:color w:val="000000"/>
              </w:rPr>
              <w:t>Cf</w:t>
            </w:r>
            <w:r w:rsidRPr="00F11F37">
              <w:rPr>
                <w:rFonts w:ascii="Times New Roman" w:hAnsi="Times New Roman"/>
                <w:i/>
                <w:iCs/>
                <w:color w:val="000000"/>
                <w:vertAlign w:val="subscript"/>
              </w:rPr>
              <w:t>3</w:t>
            </w:r>
            <w:r w:rsidRPr="00763151">
              <w:rPr>
                <w:rFonts w:ascii="Times New Roman" w:hAnsi="Times New Roman"/>
                <w:color w:val="000000"/>
              </w:rPr>
              <w:t>*</w:t>
            </w:r>
            <w:proofErr w:type="gramStart"/>
            <w:r w:rsidRPr="00763151">
              <w:rPr>
                <w:rFonts w:ascii="Times New Roman" w:hAnsi="Times New Roman"/>
                <w:color w:val="000000"/>
              </w:rPr>
              <w:t>…..</w:t>
            </w:r>
            <w:proofErr w:type="spellStart"/>
            <w:proofErr w:type="gramEnd"/>
            <w:r w:rsidRPr="00F11F37">
              <w:rPr>
                <w:rFonts w:ascii="Times New Roman" w:hAnsi="Times New Roman"/>
                <w:i/>
                <w:iCs/>
                <w:color w:val="000000"/>
              </w:rPr>
              <w:t>Cf</w:t>
            </w:r>
            <w:r w:rsidRPr="00F11F37">
              <w:rPr>
                <w:rFonts w:ascii="Times New Roman" w:hAnsi="Times New Roman"/>
                <w:i/>
                <w:iCs/>
                <w:color w:val="000000"/>
                <w:vertAlign w:val="subscript"/>
              </w:rPr>
              <w:t>n</w:t>
            </w:r>
            <w:proofErr w:type="spellEnd"/>
            <w:r w:rsidRPr="00763151">
              <w:rPr>
                <w:rFonts w:ascii="Times New Roman" w:hAnsi="Times New Roman"/>
                <w:color w:val="000000"/>
              </w:rPr>
              <w:t>)</w:t>
            </w:r>
            <w:r w:rsidRPr="00F11F37">
              <w:rPr>
                <w:rFonts w:ascii="Times New Roman" w:hAnsi="Times New Roman"/>
                <w:i/>
                <w:iCs/>
                <w:color w:val="000000"/>
                <w:vertAlign w:val="superscript"/>
              </w:rPr>
              <w:t>1/n</w:t>
            </w:r>
          </w:p>
        </w:tc>
        <w:tc>
          <w:tcPr>
            <w:tcW w:w="2632" w:type="dxa"/>
            <w:gridSpan w:val="3"/>
            <w:tcBorders>
              <w:top w:val="single" w:sz="4" w:space="0" w:color="auto"/>
              <w:left w:val="nil"/>
              <w:bottom w:val="single" w:sz="4" w:space="0" w:color="auto"/>
              <w:right w:val="nil"/>
            </w:tcBorders>
            <w:noWrap/>
            <w:vAlign w:val="bottom"/>
          </w:tcPr>
          <w:p w14:paraId="65F578E6" w14:textId="77777777" w:rsidR="00CB545B" w:rsidRPr="00763151" w:rsidRDefault="00CB545B" w:rsidP="009310D7">
            <w:pPr>
              <w:jc w:val="both"/>
              <w:rPr>
                <w:rFonts w:ascii="Times New Roman" w:hAnsi="Times New Roman"/>
                <w:b/>
              </w:rPr>
            </w:pPr>
            <w:r w:rsidRPr="00763151">
              <w:rPr>
                <w:rFonts w:ascii="Times New Roman" w:hAnsi="Times New Roman"/>
                <w:b/>
              </w:rPr>
              <w:tab/>
              <w:t>=</w:t>
            </w:r>
            <w:r w:rsidR="002435E0">
              <w:rPr>
                <w:rFonts w:ascii="Times New Roman" w:hAnsi="Times New Roman"/>
                <w:b/>
              </w:rPr>
              <w:t xml:space="preserve"> </w:t>
            </w:r>
            <w:r w:rsidRPr="00763151">
              <w:rPr>
                <w:rFonts w:ascii="Times New Roman" w:hAnsi="Times New Roman"/>
                <w:b/>
              </w:rPr>
              <w:t>1.007</w:t>
            </w:r>
          </w:p>
        </w:tc>
      </w:tr>
      <w:bookmarkEnd w:id="17"/>
    </w:tbl>
    <w:p w14:paraId="52352763" w14:textId="77777777" w:rsidR="00D87046" w:rsidRPr="00763151" w:rsidRDefault="00D87046" w:rsidP="009310D7">
      <w:pPr>
        <w:spacing w:after="0" w:line="240" w:lineRule="auto"/>
        <w:jc w:val="both"/>
        <w:rPr>
          <w:rFonts w:ascii="Times New Roman" w:eastAsia="Calibri" w:hAnsi="Times New Roman" w:cs="Times New Roman"/>
          <w:b/>
          <w:sz w:val="20"/>
          <w:szCs w:val="20"/>
        </w:rPr>
      </w:pPr>
    </w:p>
    <w:p w14:paraId="5C34DCFA" w14:textId="77777777" w:rsidR="00D87046" w:rsidRPr="00763151" w:rsidRDefault="00D87046" w:rsidP="009310D7">
      <w:pPr>
        <w:spacing w:after="0" w:line="240" w:lineRule="auto"/>
        <w:jc w:val="both"/>
        <w:rPr>
          <w:rFonts w:ascii="Times New Roman" w:eastAsia="Calibri" w:hAnsi="Times New Roman" w:cs="Times New Roman"/>
          <w:b/>
          <w:sz w:val="20"/>
          <w:szCs w:val="20"/>
        </w:rPr>
      </w:pPr>
    </w:p>
    <w:p w14:paraId="730E3EC1" w14:textId="77777777" w:rsidR="00D87046" w:rsidRPr="00763151" w:rsidRDefault="00D87046" w:rsidP="009310D7">
      <w:pPr>
        <w:spacing w:after="0" w:line="240" w:lineRule="auto"/>
        <w:jc w:val="both"/>
        <w:rPr>
          <w:rFonts w:ascii="Times New Roman" w:eastAsia="Calibri" w:hAnsi="Times New Roman" w:cs="Times New Roman"/>
          <w:b/>
          <w:sz w:val="20"/>
          <w:szCs w:val="20"/>
        </w:rPr>
      </w:pPr>
    </w:p>
    <w:p w14:paraId="048A6D73" w14:textId="77777777" w:rsidR="001862FB" w:rsidRDefault="001862FB" w:rsidP="009310D7">
      <w:pPr>
        <w:spacing w:after="0" w:line="240" w:lineRule="auto"/>
        <w:jc w:val="both"/>
        <w:rPr>
          <w:rFonts w:ascii="Times New Roman" w:eastAsia="Calibri" w:hAnsi="Times New Roman" w:cs="Times New Roman"/>
          <w:b/>
          <w:sz w:val="20"/>
          <w:szCs w:val="20"/>
        </w:rPr>
      </w:pPr>
    </w:p>
    <w:p w14:paraId="4D9587A7" w14:textId="77777777" w:rsidR="00C1375A" w:rsidRDefault="00C1375A" w:rsidP="009310D7">
      <w:pPr>
        <w:spacing w:after="0" w:line="240" w:lineRule="auto"/>
        <w:jc w:val="center"/>
        <w:rPr>
          <w:rFonts w:ascii="Times New Roman" w:eastAsia="Calibri" w:hAnsi="Times New Roman" w:cs="Times New Roman"/>
          <w:b/>
          <w:sz w:val="20"/>
          <w:szCs w:val="20"/>
        </w:rPr>
      </w:pPr>
    </w:p>
    <w:p w14:paraId="7C81F851" w14:textId="77777777" w:rsidR="00C11129" w:rsidRDefault="00C11129" w:rsidP="009310D7">
      <w:pPr>
        <w:spacing w:after="0" w:line="240" w:lineRule="auto"/>
        <w:jc w:val="center"/>
        <w:rPr>
          <w:rFonts w:ascii="Times New Roman" w:eastAsia="Calibri" w:hAnsi="Times New Roman" w:cs="Times New Roman"/>
          <w:b/>
          <w:sz w:val="20"/>
          <w:szCs w:val="20"/>
        </w:rPr>
      </w:pPr>
    </w:p>
    <w:p w14:paraId="212035C9" w14:textId="77777777" w:rsidR="006D189C" w:rsidRPr="00763151" w:rsidRDefault="006D189C" w:rsidP="009310D7">
      <w:pPr>
        <w:spacing w:after="0" w:line="240" w:lineRule="auto"/>
        <w:rPr>
          <w:rFonts w:ascii="Times New Roman" w:eastAsia="Calibri" w:hAnsi="Times New Roman" w:cs="Times New Roman"/>
          <w:b/>
          <w:sz w:val="20"/>
          <w:szCs w:val="20"/>
        </w:rPr>
      </w:pPr>
    </w:p>
    <w:tbl>
      <w:tblPr>
        <w:tblStyle w:val="TableGrid11"/>
        <w:tblpPr w:leftFromText="180" w:rightFromText="180" w:vertAnchor="text" w:horzAnchor="margin" w:tblpXSpec="center" w:tblpY="-34"/>
        <w:tblW w:w="753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94"/>
        <w:gridCol w:w="900"/>
        <w:gridCol w:w="1092"/>
        <w:gridCol w:w="900"/>
        <w:gridCol w:w="911"/>
        <w:gridCol w:w="900"/>
        <w:gridCol w:w="900"/>
        <w:gridCol w:w="841"/>
      </w:tblGrid>
      <w:tr w:rsidR="002F6619" w:rsidRPr="00763151" w14:paraId="2CD6D7AF" w14:textId="77777777" w:rsidTr="002F6619">
        <w:trPr>
          <w:trHeight w:val="99"/>
        </w:trPr>
        <w:tc>
          <w:tcPr>
            <w:tcW w:w="7538" w:type="dxa"/>
            <w:gridSpan w:val="8"/>
            <w:tcBorders>
              <w:top w:val="single" w:sz="4" w:space="0" w:color="auto"/>
              <w:left w:val="nil"/>
              <w:bottom w:val="single" w:sz="4" w:space="0" w:color="auto"/>
              <w:right w:val="nil"/>
            </w:tcBorders>
            <w:noWrap/>
          </w:tcPr>
          <w:p w14:paraId="6BBC2B52" w14:textId="77777777" w:rsidR="002F6619" w:rsidRPr="00763151" w:rsidRDefault="002F6619" w:rsidP="009310D7">
            <w:pPr>
              <w:spacing w:line="276" w:lineRule="auto"/>
              <w:jc w:val="center"/>
              <w:rPr>
                <w:rFonts w:ascii="Times New Roman" w:eastAsia="Times New Roman" w:hAnsi="Times New Roman"/>
                <w:b/>
                <w:color w:val="000000"/>
              </w:rPr>
            </w:pPr>
            <w:r w:rsidRPr="000739BB">
              <w:rPr>
                <w:rFonts w:ascii="Times New Roman" w:hAnsi="Times New Roman"/>
                <w:b/>
              </w:rPr>
              <w:t>Second sampling phase</w:t>
            </w:r>
          </w:p>
        </w:tc>
      </w:tr>
      <w:tr w:rsidR="002F6619" w:rsidRPr="00763151" w14:paraId="69E56986" w14:textId="77777777" w:rsidTr="002F6619">
        <w:trPr>
          <w:trHeight w:val="90"/>
        </w:trPr>
        <w:tc>
          <w:tcPr>
            <w:tcW w:w="1094" w:type="dxa"/>
            <w:tcBorders>
              <w:top w:val="single" w:sz="4" w:space="0" w:color="auto"/>
              <w:left w:val="nil"/>
              <w:bottom w:val="nil"/>
              <w:right w:val="nil"/>
            </w:tcBorders>
            <w:noWrap/>
          </w:tcPr>
          <w:p w14:paraId="491D27D2" w14:textId="77777777" w:rsidR="002F6619" w:rsidRPr="00763151" w:rsidRDefault="002F6619" w:rsidP="009310D7">
            <w:pPr>
              <w:jc w:val="both"/>
              <w:rPr>
                <w:rFonts w:ascii="Times New Roman" w:eastAsia="Times New Roman" w:hAnsi="Times New Roman"/>
                <w:color w:val="000000"/>
              </w:rPr>
            </w:pPr>
            <w:r w:rsidRPr="00763151">
              <w:rPr>
                <w:rFonts w:ascii="Times New Roman" w:eastAsia="Times New Roman" w:hAnsi="Times New Roman"/>
                <w:color w:val="000000"/>
              </w:rPr>
              <w:t>(∑Cf)</w:t>
            </w:r>
          </w:p>
        </w:tc>
        <w:tc>
          <w:tcPr>
            <w:tcW w:w="900" w:type="dxa"/>
            <w:tcBorders>
              <w:top w:val="single" w:sz="4" w:space="0" w:color="auto"/>
              <w:left w:val="nil"/>
              <w:bottom w:val="nil"/>
              <w:right w:val="nil"/>
            </w:tcBorders>
            <w:noWrap/>
          </w:tcPr>
          <w:p w14:paraId="7E8D758F" w14:textId="77777777" w:rsidR="002F6619" w:rsidRPr="00763151" w:rsidRDefault="002F6619" w:rsidP="009310D7">
            <w:pPr>
              <w:jc w:val="both"/>
              <w:rPr>
                <w:rFonts w:ascii="Times New Roman" w:hAnsi="Times New Roman"/>
                <w:color w:val="000000"/>
              </w:rPr>
            </w:pPr>
            <w:r w:rsidRPr="00763151">
              <w:rPr>
                <w:rFonts w:ascii="Times New Roman" w:hAnsi="Times New Roman"/>
                <w:color w:val="000000"/>
              </w:rPr>
              <w:t>0.191</w:t>
            </w:r>
          </w:p>
        </w:tc>
        <w:tc>
          <w:tcPr>
            <w:tcW w:w="1092" w:type="dxa"/>
            <w:tcBorders>
              <w:top w:val="single" w:sz="4" w:space="0" w:color="auto"/>
              <w:left w:val="nil"/>
              <w:bottom w:val="nil"/>
              <w:right w:val="nil"/>
            </w:tcBorders>
            <w:noWrap/>
          </w:tcPr>
          <w:p w14:paraId="13E3D9BA"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19.153</w:t>
            </w:r>
          </w:p>
        </w:tc>
        <w:tc>
          <w:tcPr>
            <w:tcW w:w="900" w:type="dxa"/>
            <w:tcBorders>
              <w:top w:val="single" w:sz="4" w:space="0" w:color="auto"/>
              <w:left w:val="nil"/>
              <w:bottom w:val="nil"/>
              <w:right w:val="nil"/>
            </w:tcBorders>
            <w:noWrap/>
          </w:tcPr>
          <w:p w14:paraId="272461E7"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0.546</w:t>
            </w:r>
          </w:p>
        </w:tc>
        <w:tc>
          <w:tcPr>
            <w:tcW w:w="911" w:type="dxa"/>
            <w:tcBorders>
              <w:top w:val="single" w:sz="4" w:space="0" w:color="auto"/>
              <w:left w:val="nil"/>
              <w:bottom w:val="nil"/>
              <w:right w:val="nil"/>
            </w:tcBorders>
            <w:noWrap/>
          </w:tcPr>
          <w:p w14:paraId="39CCB0A3"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0.110</w:t>
            </w:r>
          </w:p>
        </w:tc>
        <w:tc>
          <w:tcPr>
            <w:tcW w:w="900" w:type="dxa"/>
            <w:tcBorders>
              <w:top w:val="single" w:sz="4" w:space="0" w:color="auto"/>
              <w:left w:val="nil"/>
              <w:bottom w:val="nil"/>
              <w:right w:val="nil"/>
            </w:tcBorders>
            <w:noWrap/>
          </w:tcPr>
          <w:p w14:paraId="7CA12F42"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0.362</w:t>
            </w:r>
          </w:p>
        </w:tc>
        <w:tc>
          <w:tcPr>
            <w:tcW w:w="900" w:type="dxa"/>
            <w:tcBorders>
              <w:top w:val="single" w:sz="4" w:space="0" w:color="auto"/>
              <w:left w:val="nil"/>
              <w:bottom w:val="nil"/>
              <w:right w:val="nil"/>
            </w:tcBorders>
            <w:noWrap/>
          </w:tcPr>
          <w:p w14:paraId="4E9EF335"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0.517</w:t>
            </w:r>
          </w:p>
        </w:tc>
        <w:tc>
          <w:tcPr>
            <w:tcW w:w="841" w:type="dxa"/>
            <w:tcBorders>
              <w:top w:val="single" w:sz="4" w:space="0" w:color="auto"/>
              <w:left w:val="nil"/>
              <w:bottom w:val="nil"/>
              <w:right w:val="nil"/>
            </w:tcBorders>
            <w:noWrap/>
          </w:tcPr>
          <w:p w14:paraId="42E51863"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0.00</w:t>
            </w:r>
          </w:p>
        </w:tc>
      </w:tr>
      <w:tr w:rsidR="002F6619" w:rsidRPr="00763151" w14:paraId="2366674A" w14:textId="77777777" w:rsidTr="002F6619">
        <w:trPr>
          <w:trHeight w:val="63"/>
        </w:trPr>
        <w:tc>
          <w:tcPr>
            <w:tcW w:w="4897" w:type="dxa"/>
            <w:gridSpan w:val="5"/>
            <w:tcBorders>
              <w:top w:val="single" w:sz="4" w:space="0" w:color="auto"/>
              <w:left w:val="nil"/>
              <w:bottom w:val="single" w:sz="4" w:space="0" w:color="auto"/>
              <w:right w:val="nil"/>
            </w:tcBorders>
            <w:noWrap/>
          </w:tcPr>
          <w:p w14:paraId="210E3889" w14:textId="77777777" w:rsidR="002F6619" w:rsidRPr="00763151" w:rsidRDefault="002F6619" w:rsidP="009310D7">
            <w:pPr>
              <w:spacing w:line="276" w:lineRule="auto"/>
              <w:jc w:val="both"/>
              <w:rPr>
                <w:rFonts w:ascii="Times New Roman" w:hAnsi="Times New Roman"/>
                <w:color w:val="000000"/>
                <w:vertAlign w:val="superscript"/>
              </w:rPr>
            </w:pPr>
            <w:r w:rsidRPr="00F11F37">
              <w:rPr>
                <w:rFonts w:ascii="Times New Roman" w:hAnsi="Times New Roman"/>
                <w:i/>
                <w:iCs/>
                <w:color w:val="000000"/>
              </w:rPr>
              <w:t>MPI</w:t>
            </w:r>
            <w:r>
              <w:rPr>
                <w:rFonts w:ascii="Times New Roman" w:hAnsi="Times New Roman"/>
                <w:color w:val="000000"/>
              </w:rPr>
              <w:t xml:space="preserve"> </w:t>
            </w:r>
            <w:r w:rsidRPr="00763151">
              <w:rPr>
                <w:rFonts w:ascii="Times New Roman" w:hAnsi="Times New Roman"/>
                <w:color w:val="000000"/>
              </w:rPr>
              <w:t>= (</w:t>
            </w:r>
            <w:r w:rsidRPr="00F11F37">
              <w:rPr>
                <w:rFonts w:ascii="Times New Roman" w:hAnsi="Times New Roman"/>
                <w:i/>
                <w:iCs/>
                <w:color w:val="000000"/>
              </w:rPr>
              <w:t>Cf</w:t>
            </w:r>
            <w:r w:rsidRPr="00F11F37">
              <w:rPr>
                <w:rFonts w:ascii="Times New Roman" w:hAnsi="Times New Roman"/>
                <w:i/>
                <w:iCs/>
                <w:color w:val="000000"/>
                <w:vertAlign w:val="subscript"/>
              </w:rPr>
              <w:t>1</w:t>
            </w:r>
            <w:r w:rsidRPr="00F11F37">
              <w:rPr>
                <w:rFonts w:ascii="Times New Roman" w:hAnsi="Times New Roman"/>
                <w:i/>
                <w:iCs/>
                <w:color w:val="000000"/>
              </w:rPr>
              <w:t>*Cf</w:t>
            </w:r>
            <w:r w:rsidRPr="00F11F37">
              <w:rPr>
                <w:rFonts w:ascii="Times New Roman" w:hAnsi="Times New Roman"/>
                <w:i/>
                <w:iCs/>
                <w:color w:val="000000"/>
                <w:vertAlign w:val="subscript"/>
              </w:rPr>
              <w:t>2</w:t>
            </w:r>
            <w:r w:rsidRPr="00F11F37">
              <w:rPr>
                <w:rFonts w:ascii="Times New Roman" w:hAnsi="Times New Roman"/>
                <w:i/>
                <w:iCs/>
                <w:color w:val="000000"/>
              </w:rPr>
              <w:t>*Cf</w:t>
            </w:r>
            <w:r w:rsidRPr="00F11F37">
              <w:rPr>
                <w:rFonts w:ascii="Times New Roman" w:hAnsi="Times New Roman"/>
                <w:i/>
                <w:iCs/>
                <w:color w:val="000000"/>
                <w:vertAlign w:val="subscript"/>
              </w:rPr>
              <w:t>3</w:t>
            </w:r>
            <w:r w:rsidRPr="00F11F37">
              <w:rPr>
                <w:rFonts w:ascii="Times New Roman" w:hAnsi="Times New Roman"/>
                <w:i/>
                <w:iCs/>
                <w:color w:val="000000"/>
              </w:rPr>
              <w:t>*</w:t>
            </w:r>
            <w:proofErr w:type="gramStart"/>
            <w:r w:rsidRPr="00F11F37">
              <w:rPr>
                <w:rFonts w:ascii="Times New Roman" w:hAnsi="Times New Roman"/>
                <w:i/>
                <w:iCs/>
                <w:color w:val="000000"/>
              </w:rPr>
              <w:t>…..</w:t>
            </w:r>
            <w:proofErr w:type="spellStart"/>
            <w:proofErr w:type="gramEnd"/>
            <w:r w:rsidRPr="00F11F37">
              <w:rPr>
                <w:rFonts w:ascii="Times New Roman" w:hAnsi="Times New Roman"/>
                <w:i/>
                <w:iCs/>
                <w:color w:val="000000"/>
              </w:rPr>
              <w:t>Cf</w:t>
            </w:r>
            <w:r w:rsidRPr="00F11F37">
              <w:rPr>
                <w:rFonts w:ascii="Times New Roman" w:hAnsi="Times New Roman"/>
                <w:i/>
                <w:iCs/>
                <w:color w:val="000000"/>
                <w:vertAlign w:val="subscript"/>
              </w:rPr>
              <w:t>n</w:t>
            </w:r>
            <w:proofErr w:type="spellEnd"/>
            <w:r w:rsidRPr="00763151">
              <w:rPr>
                <w:rFonts w:ascii="Times New Roman" w:hAnsi="Times New Roman"/>
                <w:color w:val="000000"/>
              </w:rPr>
              <w:t>)</w:t>
            </w:r>
            <w:r w:rsidRPr="00F11F37">
              <w:rPr>
                <w:rFonts w:ascii="Times New Roman" w:hAnsi="Times New Roman"/>
                <w:i/>
                <w:iCs/>
                <w:color w:val="000000"/>
                <w:vertAlign w:val="superscript"/>
              </w:rPr>
              <w:t>1/n</w:t>
            </w:r>
          </w:p>
        </w:tc>
        <w:tc>
          <w:tcPr>
            <w:tcW w:w="2641" w:type="dxa"/>
            <w:gridSpan w:val="3"/>
            <w:tcBorders>
              <w:top w:val="single" w:sz="4" w:space="0" w:color="auto"/>
              <w:left w:val="nil"/>
              <w:bottom w:val="single" w:sz="4" w:space="0" w:color="auto"/>
              <w:right w:val="nil"/>
            </w:tcBorders>
            <w:noWrap/>
            <w:vAlign w:val="bottom"/>
          </w:tcPr>
          <w:p w14:paraId="399BA71A" w14:textId="77777777" w:rsidR="002F6619" w:rsidRPr="00763151" w:rsidRDefault="002F6619" w:rsidP="009310D7">
            <w:pPr>
              <w:spacing w:line="276" w:lineRule="auto"/>
              <w:jc w:val="both"/>
              <w:rPr>
                <w:rFonts w:ascii="Times New Roman" w:hAnsi="Times New Roman"/>
                <w:b/>
              </w:rPr>
            </w:pPr>
            <w:r w:rsidRPr="00763151">
              <w:rPr>
                <w:rFonts w:ascii="Times New Roman" w:hAnsi="Times New Roman"/>
                <w:b/>
              </w:rPr>
              <w:tab/>
              <w:t>= 0.587</w:t>
            </w:r>
          </w:p>
        </w:tc>
      </w:tr>
    </w:tbl>
    <w:p w14:paraId="2A95495E" w14:textId="77777777" w:rsidR="00D87046" w:rsidRPr="00763151" w:rsidRDefault="00D87046" w:rsidP="00381261">
      <w:pPr>
        <w:spacing w:after="0" w:line="240" w:lineRule="auto"/>
        <w:jc w:val="both"/>
        <w:rPr>
          <w:rFonts w:ascii="Times New Roman" w:eastAsia="Calibri" w:hAnsi="Times New Roman" w:cs="Times New Roman"/>
          <w:b/>
          <w:sz w:val="20"/>
          <w:szCs w:val="20"/>
        </w:rPr>
      </w:pPr>
    </w:p>
    <w:p w14:paraId="3C2C5990" w14:textId="77777777" w:rsidR="00D87046" w:rsidRPr="00763151" w:rsidRDefault="00D87046" w:rsidP="00381261">
      <w:pPr>
        <w:spacing w:after="0" w:line="240" w:lineRule="auto"/>
        <w:jc w:val="both"/>
        <w:rPr>
          <w:rFonts w:ascii="Times New Roman" w:eastAsia="Calibri" w:hAnsi="Times New Roman" w:cs="Times New Roman"/>
          <w:b/>
          <w:sz w:val="20"/>
          <w:szCs w:val="20"/>
        </w:rPr>
      </w:pPr>
    </w:p>
    <w:p w14:paraId="0C74CEEB" w14:textId="77777777" w:rsidR="00D87046" w:rsidRPr="00763151" w:rsidRDefault="00D87046" w:rsidP="00381261">
      <w:pPr>
        <w:spacing w:after="0" w:line="240" w:lineRule="auto"/>
        <w:jc w:val="both"/>
        <w:rPr>
          <w:rFonts w:ascii="Times New Roman" w:eastAsia="Calibri" w:hAnsi="Times New Roman" w:cs="Times New Roman"/>
          <w:b/>
          <w:sz w:val="20"/>
          <w:szCs w:val="20"/>
        </w:rPr>
      </w:pPr>
    </w:p>
    <w:p w14:paraId="7832CC88" w14:textId="77777777" w:rsidR="00A07C92" w:rsidRDefault="00A07C92" w:rsidP="00E93095">
      <w:pPr>
        <w:tabs>
          <w:tab w:val="left" w:pos="567"/>
          <w:tab w:val="left" w:pos="851"/>
          <w:tab w:val="left" w:pos="7938"/>
          <w:tab w:val="left" w:pos="8364"/>
          <w:tab w:val="left" w:pos="8505"/>
        </w:tabs>
        <w:spacing w:after="0" w:line="240" w:lineRule="auto"/>
        <w:jc w:val="both"/>
        <w:rPr>
          <w:rFonts w:ascii="Times New Roman" w:eastAsia="Calibri" w:hAnsi="Times New Roman" w:cs="Times New Roman"/>
          <w:b/>
          <w:color w:val="000000"/>
          <w:sz w:val="20"/>
          <w:szCs w:val="20"/>
        </w:rPr>
      </w:pPr>
    </w:p>
    <w:p w14:paraId="4FDD8254" w14:textId="77777777" w:rsidR="009310D7" w:rsidRDefault="009310D7" w:rsidP="00E93095">
      <w:pPr>
        <w:tabs>
          <w:tab w:val="left" w:pos="567"/>
          <w:tab w:val="left" w:pos="851"/>
          <w:tab w:val="left" w:pos="7938"/>
          <w:tab w:val="left" w:pos="8364"/>
          <w:tab w:val="left" w:pos="8505"/>
        </w:tabs>
        <w:spacing w:after="0" w:line="240" w:lineRule="auto"/>
        <w:jc w:val="both"/>
        <w:rPr>
          <w:rFonts w:ascii="Times New Roman" w:eastAsia="Calibri" w:hAnsi="Times New Roman" w:cs="Times New Roman"/>
          <w:b/>
          <w:color w:val="000000"/>
          <w:sz w:val="20"/>
          <w:szCs w:val="20"/>
        </w:rPr>
      </w:pPr>
    </w:p>
    <w:p w14:paraId="7FDDB358" w14:textId="77777777" w:rsidR="00D87046" w:rsidRDefault="00454789" w:rsidP="00541464">
      <w:pPr>
        <w:spacing w:after="0" w:line="240" w:lineRule="auto"/>
        <w:jc w:val="both"/>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3.</w:t>
      </w:r>
      <w:r w:rsidR="004F00BB">
        <w:rPr>
          <w:rFonts w:ascii="Times New Roman" w:eastAsia="Calibri" w:hAnsi="Times New Roman" w:cs="Times New Roman"/>
          <w:b/>
          <w:color w:val="000000"/>
          <w:sz w:val="20"/>
          <w:szCs w:val="20"/>
        </w:rPr>
        <w:t>2.</w:t>
      </w:r>
      <w:r w:rsidR="00541464">
        <w:rPr>
          <w:rFonts w:ascii="Times New Roman" w:eastAsia="Calibri" w:hAnsi="Times New Roman" w:cs="Times New Roman"/>
          <w:b/>
          <w:color w:val="000000"/>
          <w:sz w:val="20"/>
          <w:szCs w:val="20"/>
        </w:rPr>
        <w:t>4</w:t>
      </w:r>
      <w:r w:rsidR="00D87046" w:rsidRPr="00763151">
        <w:rPr>
          <w:rFonts w:ascii="Times New Roman" w:eastAsia="Calibri" w:hAnsi="Times New Roman" w:cs="Times New Roman"/>
          <w:b/>
          <w:color w:val="000000"/>
          <w:sz w:val="20"/>
          <w:szCs w:val="20"/>
        </w:rPr>
        <w:t xml:space="preserve"> Potential Ecological Risk Index (</w:t>
      </w:r>
      <w:r w:rsidR="00D87046" w:rsidRPr="00F11F37">
        <w:rPr>
          <w:rFonts w:ascii="Times New Roman" w:eastAsia="Calibri" w:hAnsi="Times New Roman" w:cs="Times New Roman"/>
          <w:b/>
          <w:i/>
          <w:iCs/>
          <w:color w:val="000000"/>
          <w:sz w:val="20"/>
          <w:szCs w:val="20"/>
        </w:rPr>
        <w:t>PERI</w:t>
      </w:r>
      <w:r w:rsidR="00D87046" w:rsidRPr="00763151">
        <w:rPr>
          <w:rFonts w:ascii="Times New Roman" w:eastAsia="Calibri" w:hAnsi="Times New Roman" w:cs="Times New Roman"/>
          <w:b/>
          <w:color w:val="000000"/>
          <w:sz w:val="20"/>
          <w:szCs w:val="20"/>
        </w:rPr>
        <w:t>)</w:t>
      </w:r>
    </w:p>
    <w:p w14:paraId="77362735" w14:textId="77777777" w:rsidR="0007635C" w:rsidRDefault="005E4A3A" w:rsidP="00F3088D">
      <w:pPr>
        <w:spacing w:after="0" w:line="240" w:lineRule="auto"/>
        <w:jc w:val="both"/>
        <w:rPr>
          <w:rFonts w:ascii="Times New Roman" w:eastAsia="Calibri" w:hAnsi="Times New Roman" w:cs="Times New Roman"/>
          <w:color w:val="000000"/>
          <w:sz w:val="20"/>
          <w:szCs w:val="20"/>
        </w:rPr>
      </w:pPr>
      <w:r w:rsidRPr="005E4A3A">
        <w:rPr>
          <w:rFonts w:ascii="Times New Roman" w:eastAsia="Calibri" w:hAnsi="Times New Roman" w:cs="Times New Roman"/>
          <w:color w:val="000000"/>
          <w:sz w:val="20"/>
          <w:szCs w:val="20"/>
        </w:rPr>
        <w:t xml:space="preserve">The ecological risk assessment of the metals </w:t>
      </w:r>
      <w:r w:rsidR="004D6693" w:rsidRPr="005E4A3A">
        <w:rPr>
          <w:rFonts w:ascii="Times New Roman" w:eastAsia="Calibri" w:hAnsi="Times New Roman" w:cs="Times New Roman"/>
          <w:color w:val="000000"/>
          <w:sz w:val="20"/>
          <w:szCs w:val="20"/>
        </w:rPr>
        <w:t>Cd</w:t>
      </w:r>
      <w:r w:rsidR="004D6693">
        <w:rPr>
          <w:rFonts w:ascii="Times New Roman" w:eastAsia="Calibri" w:hAnsi="Times New Roman" w:cs="Times New Roman"/>
          <w:color w:val="000000"/>
          <w:sz w:val="20"/>
          <w:szCs w:val="20"/>
        </w:rPr>
        <w:t>,</w:t>
      </w:r>
      <w:r w:rsidR="004D6693" w:rsidRPr="005E4A3A">
        <w:rPr>
          <w:rFonts w:ascii="Times New Roman" w:eastAsia="Calibri" w:hAnsi="Times New Roman" w:cs="Times New Roman"/>
          <w:color w:val="000000"/>
          <w:sz w:val="20"/>
          <w:szCs w:val="20"/>
        </w:rPr>
        <w:t xml:space="preserve"> </w:t>
      </w:r>
      <w:r w:rsidRPr="005E4A3A">
        <w:rPr>
          <w:rFonts w:ascii="Times New Roman" w:eastAsia="Calibri" w:hAnsi="Times New Roman" w:cs="Times New Roman"/>
          <w:color w:val="000000"/>
          <w:sz w:val="20"/>
          <w:szCs w:val="20"/>
        </w:rPr>
        <w:t xml:space="preserve">Cr, Cu, </w:t>
      </w:r>
      <w:r w:rsidR="004D6693" w:rsidRPr="005E4A3A">
        <w:rPr>
          <w:rFonts w:ascii="Times New Roman" w:eastAsia="Calibri" w:hAnsi="Times New Roman" w:cs="Times New Roman"/>
          <w:color w:val="000000"/>
          <w:sz w:val="20"/>
          <w:szCs w:val="20"/>
        </w:rPr>
        <w:t>Fe</w:t>
      </w:r>
      <w:r w:rsidR="004D6693">
        <w:rPr>
          <w:rFonts w:ascii="Times New Roman" w:eastAsia="Calibri" w:hAnsi="Times New Roman" w:cs="Times New Roman"/>
          <w:color w:val="000000"/>
          <w:sz w:val="20"/>
          <w:szCs w:val="20"/>
        </w:rPr>
        <w:t>,</w:t>
      </w:r>
      <w:r w:rsidR="004D6693" w:rsidRPr="005E4A3A">
        <w:rPr>
          <w:rFonts w:ascii="Times New Roman" w:eastAsia="Calibri" w:hAnsi="Times New Roman" w:cs="Times New Roman"/>
          <w:color w:val="000000"/>
          <w:sz w:val="20"/>
          <w:szCs w:val="20"/>
        </w:rPr>
        <w:t xml:space="preserve"> </w:t>
      </w:r>
      <w:r w:rsidRPr="005E4A3A">
        <w:rPr>
          <w:rFonts w:ascii="Times New Roman" w:eastAsia="Calibri" w:hAnsi="Times New Roman" w:cs="Times New Roman"/>
          <w:color w:val="000000"/>
          <w:sz w:val="20"/>
          <w:szCs w:val="20"/>
        </w:rPr>
        <w:t xml:space="preserve">Ni, Pb, </w:t>
      </w:r>
      <w:r w:rsidR="004D6693">
        <w:rPr>
          <w:rFonts w:ascii="Times New Roman" w:eastAsia="Calibri" w:hAnsi="Times New Roman" w:cs="Times New Roman"/>
          <w:color w:val="000000"/>
          <w:sz w:val="20"/>
          <w:szCs w:val="20"/>
        </w:rPr>
        <w:t xml:space="preserve">and </w:t>
      </w:r>
      <w:r w:rsidRPr="005E4A3A">
        <w:rPr>
          <w:rFonts w:ascii="Times New Roman" w:eastAsia="Calibri" w:hAnsi="Times New Roman" w:cs="Times New Roman"/>
          <w:color w:val="000000"/>
          <w:sz w:val="20"/>
          <w:szCs w:val="20"/>
        </w:rPr>
        <w:t>Zn was conducted at the study site following the first phase of activity. The results are summarized in</w:t>
      </w:r>
      <w:r>
        <w:rPr>
          <w:rFonts w:ascii="Times New Roman" w:eastAsia="Calibri" w:hAnsi="Times New Roman" w:cs="Times New Roman"/>
          <w:color w:val="000000"/>
          <w:sz w:val="20"/>
          <w:szCs w:val="20"/>
        </w:rPr>
        <w:t xml:space="preserve"> </w:t>
      </w:r>
      <w:r w:rsidR="00D87046" w:rsidRPr="00707DCA">
        <w:rPr>
          <w:rFonts w:ascii="Times New Roman" w:eastAsia="Calibri" w:hAnsi="Times New Roman" w:cs="Times New Roman"/>
          <w:bCs/>
          <w:color w:val="2660F0"/>
          <w:sz w:val="20"/>
          <w:szCs w:val="20"/>
        </w:rPr>
        <w:t xml:space="preserve">Table </w:t>
      </w:r>
      <w:r w:rsidR="00B111A5" w:rsidRPr="00707DCA">
        <w:rPr>
          <w:rFonts w:ascii="Times New Roman" w:eastAsia="Calibri" w:hAnsi="Times New Roman" w:cs="Times New Roman"/>
          <w:bCs/>
          <w:color w:val="2660F0"/>
          <w:sz w:val="20"/>
          <w:szCs w:val="20"/>
        </w:rPr>
        <w:t>1</w:t>
      </w:r>
      <w:r w:rsidR="00324A38">
        <w:rPr>
          <w:rFonts w:ascii="Times New Roman" w:eastAsia="Calibri" w:hAnsi="Times New Roman" w:cs="Times New Roman"/>
          <w:bCs/>
          <w:color w:val="2660F0"/>
          <w:sz w:val="20"/>
          <w:szCs w:val="20"/>
        </w:rPr>
        <w:t>0</w:t>
      </w:r>
      <w:r w:rsidR="00D87046" w:rsidRPr="00763151">
        <w:rPr>
          <w:rFonts w:ascii="Times New Roman" w:eastAsia="Calibri" w:hAnsi="Times New Roman" w:cs="Times New Roman"/>
          <w:bCs/>
          <w:color w:val="000000"/>
          <w:sz w:val="20"/>
          <w:szCs w:val="20"/>
        </w:rPr>
        <w:t>.</w:t>
      </w:r>
      <w:r w:rsidR="00D87046" w:rsidRPr="00763151">
        <w:rPr>
          <w:rFonts w:ascii="Times New Roman" w:eastAsia="Calibri" w:hAnsi="Times New Roman" w:cs="Times New Roman"/>
          <w:color w:val="000000"/>
          <w:sz w:val="20"/>
          <w:szCs w:val="20"/>
        </w:rPr>
        <w:t xml:space="preserve"> </w:t>
      </w:r>
      <w:r w:rsidR="00997996" w:rsidRPr="00997996">
        <w:rPr>
          <w:rFonts w:ascii="Times New Roman" w:eastAsia="Calibri" w:hAnsi="Times New Roman" w:cs="Times New Roman"/>
          <w:color w:val="000000"/>
          <w:sz w:val="20"/>
          <w:szCs w:val="20"/>
        </w:rPr>
        <w:t>The findings indicate that, with the exception of Cd, all metals have</w:t>
      </w:r>
      <w:r w:rsidR="00D87046" w:rsidRPr="00763151">
        <w:rPr>
          <w:rFonts w:ascii="Times New Roman" w:eastAsia="Calibri" w:hAnsi="Times New Roman" w:cs="Times New Roman"/>
          <w:color w:val="000000"/>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D87046" w:rsidRPr="00763151">
        <w:rPr>
          <w:rFonts w:ascii="Times New Roman" w:eastAsia="Calibri" w:hAnsi="Times New Roman" w:cs="Times New Roman"/>
          <w:color w:val="000000"/>
          <w:sz w:val="20"/>
          <w:szCs w:val="20"/>
        </w:rPr>
        <w:t xml:space="preserve">and </w:t>
      </w:r>
      <m:oMath>
        <m:r>
          <w:rPr>
            <w:rFonts w:ascii="Cambria Math" w:eastAsia="Calibri" w:hAnsi="Cambria Math" w:cs="Times New Roman"/>
            <w:sz w:val="20"/>
            <w:szCs w:val="20"/>
          </w:rPr>
          <m:t>RI</m:t>
        </m:r>
      </m:oMath>
      <w:r w:rsidR="00D87046" w:rsidRPr="00763151">
        <w:rPr>
          <w:rFonts w:ascii="Times New Roman" w:eastAsia="Calibri" w:hAnsi="Times New Roman" w:cs="Times New Roman"/>
          <w:color w:val="000000"/>
          <w:sz w:val="20"/>
          <w:szCs w:val="20"/>
        </w:rPr>
        <w:t xml:space="preserve"> value</w:t>
      </w:r>
      <w:r w:rsidR="00765440">
        <w:rPr>
          <w:rFonts w:ascii="Times New Roman" w:eastAsia="Calibri" w:hAnsi="Times New Roman" w:cs="Times New Roman"/>
          <w:color w:val="000000"/>
          <w:sz w:val="20"/>
          <w:szCs w:val="20"/>
        </w:rPr>
        <w:t>s</w:t>
      </w:r>
      <w:r w:rsidR="00A062E2" w:rsidRPr="00A062E2">
        <w:rPr>
          <w:rFonts w:ascii="Times New Roman" w:eastAsia="Calibri" w:hAnsi="Times New Roman" w:cs="Times New Roman"/>
          <w:color w:val="000000"/>
          <w:sz w:val="20"/>
          <w:szCs w:val="20"/>
          <w:highlight w:val="yellow"/>
        </w:rPr>
        <w:t xml:space="preserve"> below 40 and 150, respectively</w:t>
      </w:r>
      <w:r w:rsidR="00D87046" w:rsidRPr="00763151">
        <w:rPr>
          <w:rFonts w:ascii="Times New Roman" w:eastAsia="Calibri" w:hAnsi="Times New Roman" w:cs="Times New Roman"/>
          <w:color w:val="000000"/>
          <w:sz w:val="20"/>
          <w:szCs w:val="20"/>
        </w:rPr>
        <w:t xml:space="preserve">. </w:t>
      </w:r>
      <w:r w:rsidR="00765440" w:rsidRPr="00765440">
        <w:rPr>
          <w:rFonts w:ascii="Times New Roman" w:eastAsia="Calibri" w:hAnsi="Times New Roman" w:cs="Times New Roman"/>
          <w:color w:val="000000"/>
          <w:sz w:val="20"/>
          <w:szCs w:val="20"/>
        </w:rPr>
        <w:t xml:space="preserve">These values classify them within Group A of the ecological risk standard level, as defined by </w:t>
      </w:r>
      <w:r w:rsidR="00765440" w:rsidRPr="00E311F3">
        <w:rPr>
          <w:rFonts w:ascii="Times New Roman" w:eastAsia="Calibri" w:hAnsi="Times New Roman" w:cs="Times New Roman"/>
          <w:color w:val="2660F0"/>
          <w:sz w:val="20"/>
          <w:szCs w:val="20"/>
        </w:rPr>
        <w:t xml:space="preserve">Li et al. </w:t>
      </w:r>
      <w:r w:rsidR="00765440" w:rsidRPr="00765440">
        <w:rPr>
          <w:rFonts w:ascii="Times New Roman" w:eastAsia="Calibri" w:hAnsi="Times New Roman" w:cs="Times New Roman"/>
          <w:color w:val="000000"/>
          <w:sz w:val="20"/>
          <w:szCs w:val="20"/>
        </w:rPr>
        <w:t>(</w:t>
      </w:r>
      <w:r w:rsidR="00765440" w:rsidRPr="00E311F3">
        <w:rPr>
          <w:rFonts w:ascii="Times New Roman" w:eastAsia="Calibri" w:hAnsi="Times New Roman" w:cs="Times New Roman"/>
          <w:color w:val="2660F0"/>
          <w:sz w:val="20"/>
          <w:szCs w:val="20"/>
        </w:rPr>
        <w:t>2012</w:t>
      </w:r>
      <w:r w:rsidR="00765440" w:rsidRPr="00765440">
        <w:rPr>
          <w:rFonts w:ascii="Times New Roman" w:eastAsia="Calibri" w:hAnsi="Times New Roman" w:cs="Times New Roman"/>
          <w:color w:val="000000"/>
          <w:sz w:val="20"/>
          <w:szCs w:val="20"/>
        </w:rPr>
        <w:t>).</w:t>
      </w:r>
      <w:r w:rsidR="00D87046" w:rsidRPr="00763151">
        <w:rPr>
          <w:rFonts w:ascii="Times New Roman" w:eastAsia="Calibri" w:hAnsi="Times New Roman" w:cs="Times New Roman"/>
          <w:color w:val="000000"/>
          <w:sz w:val="20"/>
          <w:szCs w:val="20"/>
          <w:highlight w:val="yellow"/>
        </w:rPr>
        <w:t xml:space="preserve"> The ecological risk values for Cd are less than 40 in sample</w:t>
      </w:r>
      <w:r w:rsidR="00143B98">
        <w:rPr>
          <w:rFonts w:ascii="Times New Roman" w:eastAsia="Calibri" w:hAnsi="Times New Roman" w:cs="Times New Roman"/>
          <w:color w:val="000000"/>
          <w:sz w:val="20"/>
          <w:szCs w:val="20"/>
        </w:rPr>
        <w:t>s</w:t>
      </w:r>
      <w:r w:rsidR="00D87046" w:rsidRPr="00763151">
        <w:rPr>
          <w:rFonts w:ascii="Times New Roman" w:eastAsia="Calibri" w:hAnsi="Times New Roman" w:cs="Times New Roman"/>
          <w:color w:val="000000"/>
          <w:sz w:val="20"/>
          <w:szCs w:val="20"/>
        </w:rPr>
        <w:t xml:space="preserve"> </w:t>
      </w:r>
      <w:r w:rsidR="0035087C">
        <w:rPr>
          <w:rFonts w:ascii="Times New Roman" w:eastAsia="Calibri" w:hAnsi="Times New Roman" w:cs="Times New Roman"/>
          <w:sz w:val="20"/>
          <w:szCs w:val="20"/>
        </w:rPr>
        <w:t>PR-</w:t>
      </w:r>
      <w:r w:rsidR="00D87046" w:rsidRPr="00763151">
        <w:rPr>
          <w:rFonts w:ascii="Times New Roman" w:eastAsia="Calibri" w:hAnsi="Times New Roman" w:cs="Times New Roman"/>
          <w:color w:val="000000"/>
          <w:sz w:val="20"/>
          <w:szCs w:val="20"/>
        </w:rPr>
        <w:t xml:space="preserve">3 and </w:t>
      </w:r>
      <w:r w:rsidR="0035087C">
        <w:rPr>
          <w:rFonts w:ascii="Times New Roman" w:eastAsia="Calibri" w:hAnsi="Times New Roman" w:cs="Times New Roman"/>
          <w:sz w:val="20"/>
          <w:szCs w:val="20"/>
        </w:rPr>
        <w:t>PR-</w:t>
      </w:r>
      <w:r w:rsidR="00D87046" w:rsidRPr="00763151">
        <w:rPr>
          <w:rFonts w:ascii="Times New Roman" w:eastAsia="Calibri" w:hAnsi="Times New Roman" w:cs="Times New Roman"/>
          <w:color w:val="000000"/>
          <w:sz w:val="20"/>
          <w:szCs w:val="20"/>
        </w:rPr>
        <w:t xml:space="preserve">8 and the control samples </w:t>
      </w:r>
      <w:r w:rsidR="0035087C">
        <w:rPr>
          <w:rFonts w:ascii="Times New Roman" w:eastAsia="Calibri" w:hAnsi="Times New Roman" w:cs="Times New Roman"/>
          <w:color w:val="000000"/>
          <w:sz w:val="20"/>
          <w:szCs w:val="20"/>
        </w:rPr>
        <w:t>CT-</w:t>
      </w:r>
      <w:r w:rsidR="00D87046" w:rsidRPr="00763151">
        <w:rPr>
          <w:rFonts w:ascii="Times New Roman" w:eastAsia="Calibri" w:hAnsi="Times New Roman" w:cs="Times New Roman"/>
          <w:color w:val="000000"/>
          <w:sz w:val="20"/>
          <w:szCs w:val="20"/>
        </w:rPr>
        <w:t xml:space="preserve">1 and </w:t>
      </w:r>
      <w:r w:rsidR="0035087C">
        <w:rPr>
          <w:rFonts w:ascii="Times New Roman" w:eastAsia="Calibri" w:hAnsi="Times New Roman" w:cs="Times New Roman"/>
          <w:color w:val="000000"/>
          <w:sz w:val="20"/>
          <w:szCs w:val="20"/>
        </w:rPr>
        <w:t>CT-</w:t>
      </w:r>
      <w:r w:rsidR="00D87046" w:rsidRPr="00763151">
        <w:rPr>
          <w:rFonts w:ascii="Times New Roman" w:eastAsia="Calibri" w:hAnsi="Times New Roman" w:cs="Times New Roman"/>
          <w:color w:val="000000"/>
          <w:sz w:val="20"/>
          <w:szCs w:val="20"/>
        </w:rPr>
        <w:t>2, indicating low ecological risk. This risk level corresponds to the (</w:t>
      </w:r>
      <w:r w:rsidR="00D87046" w:rsidRPr="005702D5">
        <w:rPr>
          <w:rFonts w:ascii="Times New Roman" w:eastAsia="Calibri" w:hAnsi="Times New Roman" w:cs="Times New Roman"/>
          <w:color w:val="2660F0"/>
          <w:sz w:val="20"/>
          <w:szCs w:val="20"/>
        </w:rPr>
        <w:t>Hakanson, 1980</w:t>
      </w:r>
      <w:r w:rsidR="00D87046" w:rsidRPr="00763151">
        <w:rPr>
          <w:rFonts w:ascii="Times New Roman" w:eastAsia="Calibri" w:hAnsi="Times New Roman" w:cs="Times New Roman"/>
          <w:color w:val="000000"/>
          <w:sz w:val="20"/>
          <w:szCs w:val="20"/>
        </w:rPr>
        <w:t>) classification, which is a low ecological risk (i.e., w</w:t>
      </w:r>
      <w:r w:rsidR="00D87046" w:rsidRPr="00763151">
        <w:rPr>
          <w:rFonts w:ascii="Times New Roman" w:eastAsia="Calibri" w:hAnsi="Times New Roman" w:cs="Times New Roman"/>
          <w:sz w:val="20"/>
          <w:szCs w:val="20"/>
        </w:rPr>
        <w:t xml:space="preserve">hen </w:t>
      </w:r>
      <w:proofErr w:type="spellStart"/>
      <w:r w:rsidR="00D87046" w:rsidRPr="00F11F37">
        <w:rPr>
          <w:rFonts w:ascii="Times New Roman" w:eastAsia="Calibri" w:hAnsi="Times New Roman" w:cs="Times New Roman"/>
          <w:i/>
          <w:iCs/>
          <w:sz w:val="20"/>
          <w:szCs w:val="20"/>
        </w:rPr>
        <w:t>E</w:t>
      </w:r>
      <w:r w:rsidR="00D87046" w:rsidRPr="00F11F37">
        <w:rPr>
          <w:rFonts w:ascii="Times New Roman" w:eastAsia="Calibri" w:hAnsi="Times New Roman" w:cs="Times New Roman"/>
          <w:i/>
          <w:iCs/>
          <w:sz w:val="20"/>
          <w:szCs w:val="20"/>
          <w:vertAlign w:val="superscript"/>
        </w:rPr>
        <w:t>i</w:t>
      </w:r>
      <w:r w:rsidR="00F3088D" w:rsidRPr="00F11F37">
        <w:rPr>
          <w:rFonts w:ascii="Times New Roman" w:eastAsia="Calibri" w:hAnsi="Times New Roman" w:cs="Times New Roman"/>
          <w:i/>
          <w:iCs/>
          <w:sz w:val="20"/>
          <w:szCs w:val="20"/>
          <w:vertAlign w:val="subscript"/>
        </w:rPr>
        <w:t>R</w:t>
      </w:r>
      <w:proofErr w:type="spellEnd"/>
      <w:r w:rsidR="00D87046" w:rsidRPr="00763151">
        <w:rPr>
          <w:rFonts w:ascii="Times New Roman" w:eastAsia="Calibri" w:hAnsi="Times New Roman" w:cs="Times New Roman"/>
          <w:sz w:val="20"/>
          <w:szCs w:val="20"/>
        </w:rPr>
        <w:t xml:space="preserve"> &lt; 40) </w:t>
      </w:r>
      <w:r w:rsidR="00D87046" w:rsidRPr="00763151">
        <w:rPr>
          <w:rFonts w:ascii="Times New Roman" w:eastAsia="Calibri" w:hAnsi="Times New Roman" w:cs="Times New Roman"/>
          <w:color w:val="000000"/>
          <w:sz w:val="20"/>
          <w:szCs w:val="20"/>
        </w:rPr>
        <w:t xml:space="preserve">shown in </w:t>
      </w:r>
      <w:r w:rsidR="00D87046" w:rsidRPr="005702D5">
        <w:rPr>
          <w:rFonts w:ascii="Times New Roman" w:eastAsia="Calibri" w:hAnsi="Times New Roman" w:cs="Times New Roman"/>
          <w:color w:val="2660F0"/>
          <w:sz w:val="20"/>
          <w:szCs w:val="20"/>
        </w:rPr>
        <w:t xml:space="preserve">Tables </w:t>
      </w:r>
      <w:r w:rsidR="00324A38">
        <w:rPr>
          <w:rFonts w:ascii="Times New Roman" w:eastAsia="Calibri" w:hAnsi="Times New Roman" w:cs="Times New Roman"/>
          <w:color w:val="2660F0"/>
          <w:sz w:val="20"/>
          <w:szCs w:val="20"/>
        </w:rPr>
        <w:t>10</w:t>
      </w:r>
      <w:r w:rsidR="00D87046" w:rsidRPr="00763151">
        <w:rPr>
          <w:rFonts w:ascii="Times New Roman" w:eastAsia="Calibri" w:hAnsi="Times New Roman" w:cs="Times New Roman"/>
          <w:sz w:val="20"/>
          <w:szCs w:val="20"/>
        </w:rPr>
        <w:t xml:space="preserve">. </w:t>
      </w:r>
      <w:r w:rsidR="00D16D7D" w:rsidRPr="008D052C">
        <w:rPr>
          <w:rFonts w:ascii="Times New Roman" w:eastAsia="Calibri" w:hAnsi="Times New Roman" w:cs="Times New Roman"/>
          <w:color w:val="000000"/>
          <w:sz w:val="20"/>
          <w:szCs w:val="20"/>
        </w:rPr>
        <w:t xml:space="preserve">Sample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1,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5,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10, and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11 have values falling between 40 and 80 and are categorized under moderate ecological risk, while sample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9</w:t>
      </w:r>
      <w:r w:rsidR="00765D63">
        <w:rPr>
          <w:rFonts w:ascii="Times New Roman" w:eastAsia="Calibri" w:hAnsi="Times New Roman" w:cs="Times New Roman"/>
          <w:color w:val="000000"/>
          <w:sz w:val="20"/>
          <w:szCs w:val="20"/>
        </w:rPr>
        <w:t>,</w:t>
      </w:r>
      <w:r w:rsidR="00765D63" w:rsidRPr="008D052C">
        <w:rPr>
          <w:rFonts w:ascii="Times New Roman" w:eastAsia="Calibri" w:hAnsi="Times New Roman" w:cs="Times New Roman"/>
          <w:color w:val="000000"/>
          <w:sz w:val="20"/>
          <w:szCs w:val="20"/>
        </w:rPr>
        <w:t xml:space="preserve">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7</w:t>
      </w:r>
      <w:r w:rsidR="00765D63">
        <w:rPr>
          <w:rFonts w:ascii="Times New Roman" w:eastAsia="Calibri" w:hAnsi="Times New Roman" w:cs="Times New Roman"/>
          <w:color w:val="000000"/>
          <w:sz w:val="20"/>
          <w:szCs w:val="20"/>
        </w:rPr>
        <w:t>,</w:t>
      </w:r>
      <w:r w:rsidR="00765D63" w:rsidRPr="008D052C">
        <w:rPr>
          <w:rFonts w:ascii="Times New Roman" w:eastAsia="Calibri" w:hAnsi="Times New Roman" w:cs="Times New Roman"/>
          <w:color w:val="000000"/>
          <w:sz w:val="20"/>
          <w:szCs w:val="20"/>
        </w:rPr>
        <w:t xml:space="preserve">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 xml:space="preserve">6,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4</w:t>
      </w:r>
      <w:r w:rsidR="00765D63">
        <w:rPr>
          <w:rFonts w:ascii="Times New Roman" w:eastAsia="Calibri" w:hAnsi="Times New Roman" w:cs="Times New Roman"/>
          <w:color w:val="000000"/>
          <w:sz w:val="20"/>
          <w:szCs w:val="20"/>
        </w:rPr>
        <w:t xml:space="preserve">, and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2 have values falling between 80 and 160, which indicates considerable ecological risk in the index table.</w:t>
      </w:r>
      <w:r w:rsidR="003A6ECC">
        <w:rPr>
          <w:rFonts w:ascii="Times New Roman" w:eastAsia="Calibri" w:hAnsi="Times New Roman" w:cs="Times New Roman"/>
          <w:color w:val="000000"/>
          <w:sz w:val="20"/>
          <w:szCs w:val="20"/>
        </w:rPr>
        <w:t xml:space="preserve"> </w:t>
      </w:r>
    </w:p>
    <w:p w14:paraId="738B205A" w14:textId="77777777" w:rsidR="0007635C" w:rsidRDefault="0007635C" w:rsidP="0077464F">
      <w:pPr>
        <w:spacing w:after="0" w:line="276" w:lineRule="auto"/>
        <w:jc w:val="both"/>
        <w:rPr>
          <w:rFonts w:ascii="Times New Roman" w:eastAsia="Calibri" w:hAnsi="Times New Roman" w:cs="Times New Roman"/>
          <w:color w:val="000000"/>
          <w:sz w:val="20"/>
          <w:szCs w:val="20"/>
        </w:rPr>
      </w:pPr>
    </w:p>
    <w:p w14:paraId="3B64FF87" w14:textId="77777777" w:rsidR="00D87046" w:rsidRPr="00763151" w:rsidRDefault="00D87046" w:rsidP="00D66AB5">
      <w:pPr>
        <w:spacing w:after="0" w:line="276" w:lineRule="auto"/>
        <w:jc w:val="center"/>
        <w:rPr>
          <w:rFonts w:ascii="Times New Roman" w:eastAsia="Calibri" w:hAnsi="Times New Roman" w:cs="Times New Roman"/>
          <w:b/>
          <w:bCs/>
          <w:color w:val="000000"/>
          <w:sz w:val="20"/>
          <w:szCs w:val="20"/>
        </w:rPr>
      </w:pPr>
      <w:r w:rsidRPr="00763151">
        <w:rPr>
          <w:rFonts w:ascii="Times New Roman" w:eastAsia="Calibri" w:hAnsi="Times New Roman" w:cs="Times New Roman"/>
          <w:b/>
          <w:bCs/>
          <w:color w:val="000000"/>
          <w:sz w:val="20"/>
          <w:szCs w:val="20"/>
        </w:rPr>
        <w:t xml:space="preserve">Table </w:t>
      </w:r>
      <w:r w:rsidR="00B111A5" w:rsidRPr="00763151">
        <w:rPr>
          <w:rFonts w:ascii="Times New Roman" w:eastAsia="Calibri" w:hAnsi="Times New Roman" w:cs="Times New Roman"/>
          <w:b/>
          <w:bCs/>
          <w:color w:val="000000"/>
          <w:sz w:val="20"/>
          <w:szCs w:val="20"/>
        </w:rPr>
        <w:t>1</w:t>
      </w:r>
      <w:r w:rsidR="00324A38">
        <w:rPr>
          <w:rFonts w:ascii="Times New Roman" w:eastAsia="Calibri" w:hAnsi="Times New Roman" w:cs="Times New Roman"/>
          <w:b/>
          <w:bCs/>
          <w:color w:val="000000"/>
          <w:sz w:val="20"/>
          <w:szCs w:val="20"/>
        </w:rPr>
        <w:t>0</w:t>
      </w:r>
      <w:r w:rsidR="001C361B">
        <w:rPr>
          <w:rFonts w:ascii="Times New Roman" w:eastAsia="Calibri" w:hAnsi="Times New Roman" w:cs="Times New Roman"/>
          <w:b/>
          <w:bCs/>
          <w:color w:val="000000"/>
          <w:sz w:val="20"/>
          <w:szCs w:val="20"/>
        </w:rPr>
        <w:t>.</w:t>
      </w:r>
      <w:r w:rsidRPr="00763151">
        <w:rPr>
          <w:rFonts w:ascii="Times New Roman" w:eastAsia="Calibri" w:hAnsi="Times New Roman" w:cs="Times New Roman"/>
          <w:b/>
          <w:bCs/>
          <w:color w:val="000000"/>
          <w:sz w:val="20"/>
          <w:szCs w:val="20"/>
        </w:rPr>
        <w:t xml:space="preserve"> </w:t>
      </w:r>
      <w:r w:rsidRPr="001C361B">
        <w:rPr>
          <w:rFonts w:ascii="Times New Roman" w:eastAsia="Calibri" w:hAnsi="Times New Roman" w:cs="Times New Roman"/>
          <w:color w:val="000000"/>
          <w:sz w:val="20"/>
          <w:szCs w:val="20"/>
        </w:rPr>
        <w:t xml:space="preserve">Potential </w:t>
      </w:r>
      <w:r w:rsidR="001C361B" w:rsidRPr="001C361B">
        <w:rPr>
          <w:rFonts w:ascii="Times New Roman" w:eastAsia="Calibri" w:hAnsi="Times New Roman" w:cs="Times New Roman"/>
          <w:color w:val="000000"/>
          <w:sz w:val="20"/>
          <w:szCs w:val="20"/>
        </w:rPr>
        <w:t>e</w:t>
      </w:r>
      <w:r w:rsidRPr="001C361B">
        <w:rPr>
          <w:rFonts w:ascii="Times New Roman" w:eastAsia="Calibri" w:hAnsi="Times New Roman" w:cs="Times New Roman"/>
          <w:color w:val="000000"/>
          <w:sz w:val="20"/>
          <w:szCs w:val="20"/>
        </w:rPr>
        <w:t xml:space="preserve">cological </w:t>
      </w:r>
      <w:r w:rsidR="001C361B" w:rsidRPr="001C361B">
        <w:rPr>
          <w:rFonts w:ascii="Times New Roman" w:eastAsia="Calibri" w:hAnsi="Times New Roman" w:cs="Times New Roman"/>
          <w:color w:val="000000"/>
          <w:sz w:val="20"/>
          <w:szCs w:val="20"/>
        </w:rPr>
        <w:t>r</w:t>
      </w:r>
      <w:r w:rsidRPr="001C361B">
        <w:rPr>
          <w:rFonts w:ascii="Times New Roman" w:eastAsia="Calibri" w:hAnsi="Times New Roman" w:cs="Times New Roman"/>
          <w:color w:val="000000"/>
          <w:sz w:val="20"/>
          <w:szCs w:val="20"/>
        </w:rPr>
        <w:t xml:space="preserve">isk </w:t>
      </w:r>
      <w:r w:rsidR="001C361B" w:rsidRPr="001C361B">
        <w:rPr>
          <w:rFonts w:ascii="Times New Roman" w:eastAsia="Calibri" w:hAnsi="Times New Roman" w:cs="Times New Roman"/>
          <w:color w:val="000000"/>
          <w:sz w:val="20"/>
          <w:szCs w:val="20"/>
        </w:rPr>
        <w:t>i</w:t>
      </w:r>
      <w:r w:rsidRPr="001C361B">
        <w:rPr>
          <w:rFonts w:ascii="Times New Roman" w:eastAsia="Calibri" w:hAnsi="Times New Roman" w:cs="Times New Roman"/>
          <w:color w:val="000000"/>
          <w:sz w:val="20"/>
          <w:szCs w:val="20"/>
        </w:rPr>
        <w:t>ndex</w:t>
      </w:r>
    </w:p>
    <w:tbl>
      <w:tblPr>
        <w:tblStyle w:val="TableGrid2"/>
        <w:tblW w:w="793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793"/>
        <w:gridCol w:w="851"/>
        <w:gridCol w:w="850"/>
        <w:gridCol w:w="851"/>
        <w:gridCol w:w="850"/>
        <w:gridCol w:w="851"/>
        <w:gridCol w:w="850"/>
        <w:gridCol w:w="851"/>
      </w:tblGrid>
      <w:tr w:rsidR="00687748" w:rsidRPr="00763151" w14:paraId="6355F950" w14:textId="77777777" w:rsidTr="00C4379E">
        <w:trPr>
          <w:trHeight w:val="63"/>
          <w:jc w:val="center"/>
        </w:trPr>
        <w:tc>
          <w:tcPr>
            <w:tcW w:w="1192" w:type="dxa"/>
            <w:tcBorders>
              <w:top w:val="single" w:sz="4" w:space="0" w:color="auto"/>
              <w:left w:val="nil"/>
              <w:bottom w:val="single" w:sz="4" w:space="0" w:color="auto"/>
              <w:right w:val="nil"/>
            </w:tcBorders>
            <w:vAlign w:val="center"/>
          </w:tcPr>
          <w:p w14:paraId="2CABA800" w14:textId="77777777" w:rsidR="00687748" w:rsidRPr="00763151" w:rsidRDefault="00687748" w:rsidP="00BB08DA">
            <w:pPr>
              <w:spacing w:line="192"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Station</w:t>
            </w:r>
          </w:p>
        </w:tc>
        <w:tc>
          <w:tcPr>
            <w:tcW w:w="793" w:type="dxa"/>
            <w:tcBorders>
              <w:top w:val="single" w:sz="4" w:space="0" w:color="auto"/>
              <w:left w:val="nil"/>
              <w:bottom w:val="single" w:sz="4" w:space="0" w:color="auto"/>
              <w:right w:val="nil"/>
            </w:tcBorders>
            <w:noWrap/>
          </w:tcPr>
          <w:p w14:paraId="5058C631" w14:textId="77777777"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Cr</w:t>
            </w:r>
          </w:p>
        </w:tc>
        <w:tc>
          <w:tcPr>
            <w:tcW w:w="851" w:type="dxa"/>
            <w:tcBorders>
              <w:top w:val="single" w:sz="4" w:space="0" w:color="auto"/>
              <w:left w:val="nil"/>
              <w:bottom w:val="single" w:sz="4" w:space="0" w:color="auto"/>
              <w:right w:val="nil"/>
            </w:tcBorders>
            <w:noWrap/>
          </w:tcPr>
          <w:p w14:paraId="78B8167F" w14:textId="77777777"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Cd</w:t>
            </w:r>
          </w:p>
        </w:tc>
        <w:tc>
          <w:tcPr>
            <w:tcW w:w="850" w:type="dxa"/>
            <w:tcBorders>
              <w:top w:val="single" w:sz="4" w:space="0" w:color="auto"/>
              <w:left w:val="nil"/>
              <w:bottom w:val="single" w:sz="4" w:space="0" w:color="auto"/>
              <w:right w:val="nil"/>
            </w:tcBorders>
            <w:noWrap/>
          </w:tcPr>
          <w:p w14:paraId="4943F807" w14:textId="77777777"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Cu</w:t>
            </w:r>
          </w:p>
        </w:tc>
        <w:tc>
          <w:tcPr>
            <w:tcW w:w="851" w:type="dxa"/>
            <w:tcBorders>
              <w:top w:val="single" w:sz="4" w:space="0" w:color="auto"/>
              <w:left w:val="nil"/>
              <w:bottom w:val="single" w:sz="4" w:space="0" w:color="auto"/>
              <w:right w:val="nil"/>
            </w:tcBorders>
            <w:noWrap/>
          </w:tcPr>
          <w:p w14:paraId="4F8F01FA" w14:textId="77777777"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Ni</w:t>
            </w:r>
          </w:p>
        </w:tc>
        <w:tc>
          <w:tcPr>
            <w:tcW w:w="850" w:type="dxa"/>
            <w:tcBorders>
              <w:top w:val="single" w:sz="4" w:space="0" w:color="auto"/>
              <w:left w:val="nil"/>
              <w:bottom w:val="single" w:sz="4" w:space="0" w:color="auto"/>
              <w:right w:val="nil"/>
            </w:tcBorders>
            <w:noWrap/>
          </w:tcPr>
          <w:p w14:paraId="3C4BC111" w14:textId="77777777"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Pb</w:t>
            </w:r>
          </w:p>
        </w:tc>
        <w:tc>
          <w:tcPr>
            <w:tcW w:w="851" w:type="dxa"/>
            <w:tcBorders>
              <w:top w:val="single" w:sz="4" w:space="0" w:color="auto"/>
              <w:left w:val="nil"/>
              <w:bottom w:val="single" w:sz="4" w:space="0" w:color="auto"/>
              <w:right w:val="nil"/>
            </w:tcBorders>
            <w:noWrap/>
          </w:tcPr>
          <w:p w14:paraId="413A7C92" w14:textId="77777777"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Zn</w:t>
            </w:r>
          </w:p>
        </w:tc>
        <w:tc>
          <w:tcPr>
            <w:tcW w:w="850" w:type="dxa"/>
            <w:tcBorders>
              <w:top w:val="single" w:sz="4" w:space="0" w:color="auto"/>
              <w:left w:val="nil"/>
              <w:bottom w:val="single" w:sz="4" w:space="0" w:color="auto"/>
              <w:right w:val="nil"/>
            </w:tcBorders>
            <w:noWrap/>
          </w:tcPr>
          <w:p w14:paraId="7BC9CD3E" w14:textId="77777777"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Fe</w:t>
            </w:r>
          </w:p>
        </w:tc>
        <w:tc>
          <w:tcPr>
            <w:tcW w:w="851" w:type="dxa"/>
            <w:tcBorders>
              <w:top w:val="single" w:sz="4" w:space="0" w:color="auto"/>
              <w:left w:val="nil"/>
              <w:bottom w:val="single" w:sz="4" w:space="0" w:color="auto"/>
              <w:right w:val="nil"/>
            </w:tcBorders>
            <w:noWrap/>
          </w:tcPr>
          <w:p w14:paraId="07D3CC6C" w14:textId="77777777"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∑RI</w:t>
            </w:r>
          </w:p>
        </w:tc>
      </w:tr>
      <w:tr w:rsidR="00831581" w:rsidRPr="00763151" w14:paraId="65621FA4" w14:textId="77777777" w:rsidTr="00E907F7">
        <w:trPr>
          <w:trHeight w:val="70"/>
          <w:jc w:val="center"/>
        </w:trPr>
        <w:tc>
          <w:tcPr>
            <w:tcW w:w="7939" w:type="dxa"/>
            <w:gridSpan w:val="9"/>
            <w:tcBorders>
              <w:top w:val="single" w:sz="4" w:space="0" w:color="auto"/>
              <w:left w:val="nil"/>
              <w:bottom w:val="single" w:sz="4" w:space="0" w:color="auto"/>
              <w:right w:val="nil"/>
            </w:tcBorders>
            <w:vAlign w:val="center"/>
          </w:tcPr>
          <w:p w14:paraId="744A6719" w14:textId="77777777" w:rsidR="00831581" w:rsidRPr="00145E0E" w:rsidRDefault="00831581" w:rsidP="00BB08DA">
            <w:pPr>
              <w:spacing w:line="192" w:lineRule="auto"/>
              <w:jc w:val="both"/>
              <w:rPr>
                <w:rFonts w:ascii="Times New Roman" w:eastAsia="Times New Roman" w:hAnsi="Times New Roman" w:cs="Times New Roman"/>
                <w:color w:val="000000"/>
                <w:sz w:val="18"/>
                <w:szCs w:val="18"/>
              </w:rPr>
            </w:pPr>
          </w:p>
        </w:tc>
      </w:tr>
      <w:tr w:rsidR="00BF28EE" w:rsidRPr="00763151" w14:paraId="378AC896" w14:textId="77777777" w:rsidTr="00E907F7">
        <w:trPr>
          <w:trHeight w:val="63"/>
          <w:jc w:val="center"/>
        </w:trPr>
        <w:tc>
          <w:tcPr>
            <w:tcW w:w="7939" w:type="dxa"/>
            <w:gridSpan w:val="9"/>
            <w:tcBorders>
              <w:top w:val="single" w:sz="4" w:space="0" w:color="auto"/>
              <w:left w:val="nil"/>
              <w:bottom w:val="single" w:sz="4" w:space="0" w:color="auto"/>
              <w:right w:val="nil"/>
            </w:tcBorders>
            <w:vAlign w:val="center"/>
          </w:tcPr>
          <w:p w14:paraId="0064D6A3" w14:textId="77777777" w:rsidR="00BF28EE" w:rsidRPr="00763151" w:rsidRDefault="00BF28EE" w:rsidP="00BB08DA">
            <w:pPr>
              <w:spacing w:line="192"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w:t>
            </w:r>
            <w:r w:rsidRPr="000739BB">
              <w:rPr>
                <w:rFonts w:ascii="Times New Roman" w:eastAsia="Times New Roman" w:hAnsi="Times New Roman" w:cs="Times New Roman"/>
                <w:b/>
                <w:bCs/>
                <w:color w:val="000000"/>
              </w:rPr>
              <w:t>irst sampling phase</w:t>
            </w:r>
          </w:p>
        </w:tc>
      </w:tr>
      <w:tr w:rsidR="00A8716D" w:rsidRPr="00763151" w14:paraId="1C459AD8" w14:textId="77777777" w:rsidTr="00C4379E">
        <w:trPr>
          <w:trHeight w:val="63"/>
          <w:jc w:val="center"/>
        </w:trPr>
        <w:tc>
          <w:tcPr>
            <w:tcW w:w="1192" w:type="dxa"/>
            <w:tcBorders>
              <w:top w:val="single" w:sz="4" w:space="0" w:color="auto"/>
              <w:left w:val="nil"/>
              <w:bottom w:val="nil"/>
              <w:right w:val="nil"/>
            </w:tcBorders>
            <w:noWrap/>
          </w:tcPr>
          <w:p w14:paraId="623E042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w:t>
            </w:r>
          </w:p>
        </w:tc>
        <w:tc>
          <w:tcPr>
            <w:tcW w:w="793" w:type="dxa"/>
            <w:tcBorders>
              <w:top w:val="single" w:sz="4" w:space="0" w:color="auto"/>
              <w:left w:val="nil"/>
              <w:bottom w:val="nil"/>
              <w:right w:val="nil"/>
            </w:tcBorders>
            <w:noWrap/>
          </w:tcPr>
          <w:p w14:paraId="00311B7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1" w:type="dxa"/>
            <w:tcBorders>
              <w:top w:val="single" w:sz="4" w:space="0" w:color="auto"/>
              <w:left w:val="nil"/>
              <w:bottom w:val="nil"/>
              <w:right w:val="nil"/>
            </w:tcBorders>
            <w:noWrap/>
          </w:tcPr>
          <w:p w14:paraId="76F8586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w:t>
            </w:r>
          </w:p>
        </w:tc>
        <w:tc>
          <w:tcPr>
            <w:tcW w:w="850" w:type="dxa"/>
            <w:tcBorders>
              <w:top w:val="single" w:sz="4" w:space="0" w:color="auto"/>
              <w:left w:val="nil"/>
              <w:bottom w:val="nil"/>
              <w:right w:val="nil"/>
            </w:tcBorders>
            <w:noWrap/>
          </w:tcPr>
          <w:p w14:paraId="3064915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0.45</w:t>
            </w:r>
          </w:p>
        </w:tc>
        <w:tc>
          <w:tcPr>
            <w:tcW w:w="851" w:type="dxa"/>
            <w:tcBorders>
              <w:top w:val="single" w:sz="4" w:space="0" w:color="auto"/>
              <w:left w:val="nil"/>
              <w:bottom w:val="nil"/>
              <w:right w:val="nil"/>
            </w:tcBorders>
            <w:noWrap/>
          </w:tcPr>
          <w:p w14:paraId="1D2936C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0" w:type="dxa"/>
            <w:tcBorders>
              <w:top w:val="single" w:sz="4" w:space="0" w:color="auto"/>
              <w:left w:val="nil"/>
              <w:bottom w:val="nil"/>
              <w:right w:val="nil"/>
            </w:tcBorders>
            <w:noWrap/>
          </w:tcPr>
          <w:p w14:paraId="512797F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0.44</w:t>
            </w:r>
          </w:p>
        </w:tc>
        <w:tc>
          <w:tcPr>
            <w:tcW w:w="851" w:type="dxa"/>
            <w:tcBorders>
              <w:top w:val="single" w:sz="4" w:space="0" w:color="auto"/>
              <w:left w:val="nil"/>
              <w:bottom w:val="nil"/>
              <w:right w:val="nil"/>
            </w:tcBorders>
            <w:noWrap/>
          </w:tcPr>
          <w:p w14:paraId="76FE65A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single" w:sz="4" w:space="0" w:color="auto"/>
              <w:left w:val="nil"/>
              <w:bottom w:val="nil"/>
              <w:right w:val="nil"/>
            </w:tcBorders>
            <w:noWrap/>
          </w:tcPr>
          <w:p w14:paraId="188E9FF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single" w:sz="4" w:space="0" w:color="auto"/>
              <w:left w:val="nil"/>
              <w:bottom w:val="nil"/>
              <w:right w:val="nil"/>
            </w:tcBorders>
            <w:noWrap/>
          </w:tcPr>
          <w:p w14:paraId="329BC0F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59.21</w:t>
            </w:r>
          </w:p>
        </w:tc>
      </w:tr>
      <w:tr w:rsidR="00A8716D" w:rsidRPr="00763151" w14:paraId="2A43F784" w14:textId="77777777" w:rsidTr="00BB08DA">
        <w:trPr>
          <w:trHeight w:val="80"/>
          <w:jc w:val="center"/>
        </w:trPr>
        <w:tc>
          <w:tcPr>
            <w:tcW w:w="1192" w:type="dxa"/>
            <w:tcBorders>
              <w:top w:val="nil"/>
              <w:left w:val="nil"/>
              <w:bottom w:val="nil"/>
              <w:right w:val="nil"/>
            </w:tcBorders>
            <w:noWrap/>
          </w:tcPr>
          <w:p w14:paraId="35521A4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w:t>
            </w:r>
          </w:p>
        </w:tc>
        <w:tc>
          <w:tcPr>
            <w:tcW w:w="793" w:type="dxa"/>
            <w:tcBorders>
              <w:top w:val="nil"/>
              <w:left w:val="nil"/>
              <w:bottom w:val="nil"/>
              <w:right w:val="nil"/>
            </w:tcBorders>
            <w:noWrap/>
          </w:tcPr>
          <w:p w14:paraId="29C6C60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1" w:type="dxa"/>
            <w:tcBorders>
              <w:top w:val="nil"/>
              <w:left w:val="nil"/>
              <w:bottom w:val="nil"/>
              <w:right w:val="nil"/>
            </w:tcBorders>
            <w:noWrap/>
          </w:tcPr>
          <w:p w14:paraId="49A8934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113</w:t>
            </w:r>
          </w:p>
        </w:tc>
        <w:tc>
          <w:tcPr>
            <w:tcW w:w="850" w:type="dxa"/>
            <w:tcBorders>
              <w:top w:val="nil"/>
              <w:left w:val="nil"/>
              <w:bottom w:val="nil"/>
              <w:right w:val="nil"/>
            </w:tcBorders>
            <w:noWrap/>
          </w:tcPr>
          <w:p w14:paraId="6327BBC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w:t>
            </w:r>
          </w:p>
        </w:tc>
        <w:tc>
          <w:tcPr>
            <w:tcW w:w="851" w:type="dxa"/>
            <w:tcBorders>
              <w:top w:val="nil"/>
              <w:left w:val="nil"/>
              <w:bottom w:val="nil"/>
              <w:right w:val="nil"/>
            </w:tcBorders>
            <w:noWrap/>
          </w:tcPr>
          <w:p w14:paraId="065A993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0" w:type="dxa"/>
            <w:tcBorders>
              <w:top w:val="nil"/>
              <w:left w:val="nil"/>
              <w:bottom w:val="nil"/>
              <w:right w:val="nil"/>
            </w:tcBorders>
            <w:noWrap/>
          </w:tcPr>
          <w:p w14:paraId="5CB5362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w:t>
            </w:r>
          </w:p>
        </w:tc>
        <w:tc>
          <w:tcPr>
            <w:tcW w:w="851" w:type="dxa"/>
            <w:tcBorders>
              <w:top w:val="nil"/>
              <w:left w:val="nil"/>
              <w:bottom w:val="nil"/>
              <w:right w:val="nil"/>
            </w:tcBorders>
            <w:noWrap/>
          </w:tcPr>
          <w:p w14:paraId="2EEBB8E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0" w:type="dxa"/>
            <w:tcBorders>
              <w:top w:val="nil"/>
              <w:left w:val="nil"/>
              <w:bottom w:val="nil"/>
              <w:right w:val="nil"/>
            </w:tcBorders>
            <w:noWrap/>
          </w:tcPr>
          <w:p w14:paraId="2421795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3338EF6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113.9</w:t>
            </w:r>
          </w:p>
        </w:tc>
      </w:tr>
      <w:tr w:rsidR="00A8716D" w:rsidRPr="00763151" w14:paraId="786BE510" w14:textId="77777777" w:rsidTr="00C4379E">
        <w:trPr>
          <w:trHeight w:val="73"/>
          <w:jc w:val="center"/>
        </w:trPr>
        <w:tc>
          <w:tcPr>
            <w:tcW w:w="1192" w:type="dxa"/>
            <w:tcBorders>
              <w:top w:val="nil"/>
              <w:left w:val="nil"/>
              <w:bottom w:val="nil"/>
              <w:right w:val="nil"/>
            </w:tcBorders>
            <w:noWrap/>
          </w:tcPr>
          <w:p w14:paraId="0C7B3AE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PR-3</w:t>
            </w:r>
          </w:p>
        </w:tc>
        <w:tc>
          <w:tcPr>
            <w:tcW w:w="793" w:type="dxa"/>
            <w:tcBorders>
              <w:top w:val="nil"/>
              <w:left w:val="nil"/>
              <w:bottom w:val="nil"/>
              <w:right w:val="nil"/>
            </w:tcBorders>
            <w:noWrap/>
          </w:tcPr>
          <w:p w14:paraId="6E9063D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1" w:type="dxa"/>
            <w:tcBorders>
              <w:top w:val="nil"/>
              <w:left w:val="nil"/>
              <w:bottom w:val="nil"/>
              <w:right w:val="nil"/>
            </w:tcBorders>
            <w:noWrap/>
          </w:tcPr>
          <w:p w14:paraId="345450A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w:t>
            </w:r>
          </w:p>
        </w:tc>
        <w:tc>
          <w:tcPr>
            <w:tcW w:w="850" w:type="dxa"/>
            <w:tcBorders>
              <w:top w:val="nil"/>
              <w:left w:val="nil"/>
              <w:bottom w:val="nil"/>
              <w:right w:val="nil"/>
            </w:tcBorders>
            <w:noWrap/>
          </w:tcPr>
          <w:p w14:paraId="21A807F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46475A8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3A68391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0.17</w:t>
            </w:r>
          </w:p>
        </w:tc>
        <w:tc>
          <w:tcPr>
            <w:tcW w:w="851" w:type="dxa"/>
            <w:tcBorders>
              <w:top w:val="nil"/>
              <w:left w:val="nil"/>
              <w:bottom w:val="nil"/>
              <w:right w:val="nil"/>
            </w:tcBorders>
            <w:noWrap/>
          </w:tcPr>
          <w:p w14:paraId="4B64127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5924F52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79DEEE6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39.6</w:t>
            </w:r>
          </w:p>
        </w:tc>
      </w:tr>
      <w:tr w:rsidR="00A8716D" w:rsidRPr="00763151" w14:paraId="12DF4BAB" w14:textId="77777777" w:rsidTr="00C4379E">
        <w:trPr>
          <w:trHeight w:val="73"/>
          <w:jc w:val="center"/>
        </w:trPr>
        <w:tc>
          <w:tcPr>
            <w:tcW w:w="1192" w:type="dxa"/>
            <w:tcBorders>
              <w:top w:val="nil"/>
              <w:left w:val="nil"/>
              <w:bottom w:val="nil"/>
              <w:right w:val="nil"/>
            </w:tcBorders>
            <w:noWrap/>
          </w:tcPr>
          <w:p w14:paraId="5E3F915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PR-4</w:t>
            </w:r>
          </w:p>
        </w:tc>
        <w:tc>
          <w:tcPr>
            <w:tcW w:w="793" w:type="dxa"/>
            <w:tcBorders>
              <w:top w:val="nil"/>
              <w:left w:val="nil"/>
              <w:bottom w:val="nil"/>
              <w:right w:val="nil"/>
            </w:tcBorders>
            <w:noWrap/>
          </w:tcPr>
          <w:p w14:paraId="47B6D00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4B57833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w:t>
            </w:r>
          </w:p>
        </w:tc>
        <w:tc>
          <w:tcPr>
            <w:tcW w:w="850" w:type="dxa"/>
            <w:tcBorders>
              <w:top w:val="nil"/>
              <w:left w:val="nil"/>
              <w:bottom w:val="nil"/>
              <w:right w:val="nil"/>
            </w:tcBorders>
            <w:noWrap/>
          </w:tcPr>
          <w:p w14:paraId="7750E92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1" w:type="dxa"/>
            <w:tcBorders>
              <w:top w:val="nil"/>
              <w:left w:val="nil"/>
              <w:bottom w:val="nil"/>
              <w:right w:val="nil"/>
            </w:tcBorders>
            <w:noWrap/>
          </w:tcPr>
          <w:p w14:paraId="760D951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021EAE3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w:t>
            </w:r>
          </w:p>
        </w:tc>
        <w:tc>
          <w:tcPr>
            <w:tcW w:w="851" w:type="dxa"/>
            <w:tcBorders>
              <w:top w:val="nil"/>
              <w:left w:val="nil"/>
              <w:bottom w:val="nil"/>
              <w:right w:val="nil"/>
            </w:tcBorders>
            <w:noWrap/>
          </w:tcPr>
          <w:p w14:paraId="6E0D3EE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0D32169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559A133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142.54</w:t>
            </w:r>
          </w:p>
        </w:tc>
      </w:tr>
      <w:tr w:rsidR="00A8716D" w:rsidRPr="00763151" w14:paraId="037FE2C1" w14:textId="77777777" w:rsidTr="00C4379E">
        <w:trPr>
          <w:trHeight w:val="73"/>
          <w:jc w:val="center"/>
        </w:trPr>
        <w:tc>
          <w:tcPr>
            <w:tcW w:w="1192" w:type="dxa"/>
            <w:tcBorders>
              <w:top w:val="nil"/>
              <w:left w:val="nil"/>
              <w:bottom w:val="nil"/>
              <w:right w:val="nil"/>
            </w:tcBorders>
            <w:noWrap/>
          </w:tcPr>
          <w:p w14:paraId="1B66A52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PR-5</w:t>
            </w:r>
          </w:p>
        </w:tc>
        <w:tc>
          <w:tcPr>
            <w:tcW w:w="793" w:type="dxa"/>
            <w:tcBorders>
              <w:top w:val="nil"/>
              <w:left w:val="nil"/>
              <w:bottom w:val="nil"/>
              <w:right w:val="nil"/>
            </w:tcBorders>
            <w:noWrap/>
          </w:tcPr>
          <w:p w14:paraId="4BDBA92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851" w:type="dxa"/>
            <w:tcBorders>
              <w:top w:val="nil"/>
              <w:left w:val="nil"/>
              <w:bottom w:val="nil"/>
              <w:right w:val="nil"/>
            </w:tcBorders>
            <w:noWrap/>
          </w:tcPr>
          <w:p w14:paraId="44F630E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w:t>
            </w:r>
          </w:p>
        </w:tc>
        <w:tc>
          <w:tcPr>
            <w:tcW w:w="850" w:type="dxa"/>
            <w:tcBorders>
              <w:top w:val="nil"/>
              <w:left w:val="nil"/>
              <w:bottom w:val="nil"/>
              <w:right w:val="nil"/>
            </w:tcBorders>
            <w:noWrap/>
          </w:tcPr>
          <w:p w14:paraId="33BE52E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0.27</w:t>
            </w:r>
          </w:p>
        </w:tc>
        <w:tc>
          <w:tcPr>
            <w:tcW w:w="851" w:type="dxa"/>
            <w:tcBorders>
              <w:top w:val="nil"/>
              <w:left w:val="nil"/>
              <w:bottom w:val="nil"/>
              <w:right w:val="nil"/>
            </w:tcBorders>
            <w:noWrap/>
          </w:tcPr>
          <w:p w14:paraId="277E301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2F08D97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0.57</w:t>
            </w:r>
          </w:p>
        </w:tc>
        <w:tc>
          <w:tcPr>
            <w:tcW w:w="851" w:type="dxa"/>
            <w:tcBorders>
              <w:top w:val="nil"/>
              <w:left w:val="nil"/>
              <w:bottom w:val="nil"/>
              <w:right w:val="nil"/>
            </w:tcBorders>
            <w:noWrap/>
          </w:tcPr>
          <w:p w14:paraId="018ACF7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4546EFE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4D6DAC8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70.05</w:t>
            </w:r>
          </w:p>
        </w:tc>
      </w:tr>
      <w:tr w:rsidR="00A8716D" w:rsidRPr="00763151" w14:paraId="0BF13B43" w14:textId="77777777" w:rsidTr="00C4379E">
        <w:trPr>
          <w:trHeight w:val="73"/>
          <w:jc w:val="center"/>
        </w:trPr>
        <w:tc>
          <w:tcPr>
            <w:tcW w:w="1192" w:type="dxa"/>
            <w:tcBorders>
              <w:top w:val="nil"/>
              <w:left w:val="nil"/>
              <w:bottom w:val="nil"/>
              <w:right w:val="nil"/>
            </w:tcBorders>
            <w:noWrap/>
          </w:tcPr>
          <w:p w14:paraId="5C2AAC5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PR-6</w:t>
            </w:r>
          </w:p>
        </w:tc>
        <w:tc>
          <w:tcPr>
            <w:tcW w:w="793" w:type="dxa"/>
            <w:tcBorders>
              <w:top w:val="nil"/>
              <w:left w:val="nil"/>
              <w:bottom w:val="nil"/>
              <w:right w:val="nil"/>
            </w:tcBorders>
            <w:noWrap/>
          </w:tcPr>
          <w:p w14:paraId="6C21DE6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851" w:type="dxa"/>
            <w:tcBorders>
              <w:top w:val="nil"/>
              <w:left w:val="nil"/>
              <w:bottom w:val="nil"/>
              <w:right w:val="nil"/>
            </w:tcBorders>
            <w:noWrap/>
          </w:tcPr>
          <w:p w14:paraId="6A5E88C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102</w:t>
            </w:r>
          </w:p>
        </w:tc>
        <w:tc>
          <w:tcPr>
            <w:tcW w:w="850" w:type="dxa"/>
            <w:tcBorders>
              <w:top w:val="nil"/>
              <w:left w:val="nil"/>
              <w:bottom w:val="nil"/>
              <w:right w:val="nil"/>
            </w:tcBorders>
            <w:noWrap/>
          </w:tcPr>
          <w:p w14:paraId="47B25FA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w:t>
            </w:r>
          </w:p>
        </w:tc>
        <w:tc>
          <w:tcPr>
            <w:tcW w:w="851" w:type="dxa"/>
            <w:tcBorders>
              <w:top w:val="nil"/>
              <w:left w:val="nil"/>
              <w:bottom w:val="nil"/>
              <w:right w:val="nil"/>
            </w:tcBorders>
            <w:noWrap/>
          </w:tcPr>
          <w:p w14:paraId="210CABA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7E22675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0.21</w:t>
            </w:r>
          </w:p>
        </w:tc>
        <w:tc>
          <w:tcPr>
            <w:tcW w:w="851" w:type="dxa"/>
            <w:tcBorders>
              <w:top w:val="nil"/>
              <w:left w:val="nil"/>
              <w:bottom w:val="nil"/>
              <w:right w:val="nil"/>
            </w:tcBorders>
            <w:noWrap/>
          </w:tcPr>
          <w:p w14:paraId="08E3FCA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2D60706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67C5022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102.65</w:t>
            </w:r>
          </w:p>
        </w:tc>
      </w:tr>
      <w:tr w:rsidR="00A8716D" w:rsidRPr="00763151" w14:paraId="14C12CA6" w14:textId="77777777" w:rsidTr="00C4379E">
        <w:trPr>
          <w:trHeight w:val="73"/>
          <w:jc w:val="center"/>
        </w:trPr>
        <w:tc>
          <w:tcPr>
            <w:tcW w:w="1192" w:type="dxa"/>
            <w:tcBorders>
              <w:top w:val="nil"/>
              <w:left w:val="nil"/>
              <w:bottom w:val="nil"/>
              <w:right w:val="nil"/>
            </w:tcBorders>
            <w:noWrap/>
          </w:tcPr>
          <w:p w14:paraId="407B34A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PR-7</w:t>
            </w:r>
          </w:p>
        </w:tc>
        <w:tc>
          <w:tcPr>
            <w:tcW w:w="793" w:type="dxa"/>
            <w:tcBorders>
              <w:top w:val="nil"/>
              <w:left w:val="nil"/>
              <w:bottom w:val="nil"/>
              <w:right w:val="nil"/>
            </w:tcBorders>
            <w:noWrap/>
          </w:tcPr>
          <w:p w14:paraId="51A0F20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nil"/>
              <w:left w:val="nil"/>
              <w:bottom w:val="nil"/>
              <w:right w:val="nil"/>
            </w:tcBorders>
            <w:noWrap/>
          </w:tcPr>
          <w:p w14:paraId="2671787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89</w:t>
            </w:r>
          </w:p>
        </w:tc>
        <w:tc>
          <w:tcPr>
            <w:tcW w:w="850" w:type="dxa"/>
            <w:tcBorders>
              <w:top w:val="nil"/>
              <w:left w:val="nil"/>
              <w:bottom w:val="nil"/>
              <w:right w:val="nil"/>
            </w:tcBorders>
            <w:noWrap/>
          </w:tcPr>
          <w:p w14:paraId="6A2848F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2684521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3D4D5FA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w:t>
            </w:r>
          </w:p>
        </w:tc>
        <w:tc>
          <w:tcPr>
            <w:tcW w:w="851" w:type="dxa"/>
            <w:tcBorders>
              <w:top w:val="nil"/>
              <w:left w:val="nil"/>
              <w:bottom w:val="nil"/>
              <w:right w:val="nil"/>
            </w:tcBorders>
            <w:noWrap/>
          </w:tcPr>
          <w:p w14:paraId="5C5C08D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51CD467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4B158CA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89.7</w:t>
            </w:r>
          </w:p>
        </w:tc>
      </w:tr>
      <w:tr w:rsidR="00A8716D" w:rsidRPr="00763151" w14:paraId="2369C692" w14:textId="77777777" w:rsidTr="00C4379E">
        <w:trPr>
          <w:trHeight w:val="73"/>
          <w:jc w:val="center"/>
        </w:trPr>
        <w:tc>
          <w:tcPr>
            <w:tcW w:w="1192" w:type="dxa"/>
            <w:tcBorders>
              <w:top w:val="nil"/>
              <w:left w:val="nil"/>
              <w:bottom w:val="nil"/>
              <w:right w:val="nil"/>
            </w:tcBorders>
            <w:noWrap/>
          </w:tcPr>
          <w:p w14:paraId="51DA913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PR-8</w:t>
            </w:r>
          </w:p>
        </w:tc>
        <w:tc>
          <w:tcPr>
            <w:tcW w:w="793" w:type="dxa"/>
            <w:tcBorders>
              <w:top w:val="nil"/>
              <w:left w:val="nil"/>
              <w:bottom w:val="nil"/>
              <w:right w:val="nil"/>
            </w:tcBorders>
            <w:noWrap/>
          </w:tcPr>
          <w:p w14:paraId="49015AD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1" w:type="dxa"/>
            <w:tcBorders>
              <w:top w:val="nil"/>
              <w:left w:val="nil"/>
              <w:bottom w:val="nil"/>
              <w:right w:val="nil"/>
            </w:tcBorders>
            <w:noWrap/>
          </w:tcPr>
          <w:p w14:paraId="5407F4D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38</w:t>
            </w:r>
          </w:p>
        </w:tc>
        <w:tc>
          <w:tcPr>
            <w:tcW w:w="850" w:type="dxa"/>
            <w:tcBorders>
              <w:top w:val="nil"/>
              <w:left w:val="nil"/>
              <w:bottom w:val="nil"/>
              <w:right w:val="nil"/>
            </w:tcBorders>
            <w:noWrap/>
          </w:tcPr>
          <w:p w14:paraId="50483E5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851" w:type="dxa"/>
            <w:tcBorders>
              <w:top w:val="nil"/>
              <w:left w:val="nil"/>
              <w:bottom w:val="nil"/>
              <w:right w:val="nil"/>
            </w:tcBorders>
            <w:noWrap/>
          </w:tcPr>
          <w:p w14:paraId="7E8D24F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07D0E86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0.16</w:t>
            </w:r>
          </w:p>
        </w:tc>
        <w:tc>
          <w:tcPr>
            <w:tcW w:w="851" w:type="dxa"/>
            <w:tcBorders>
              <w:top w:val="nil"/>
              <w:left w:val="nil"/>
              <w:bottom w:val="nil"/>
              <w:right w:val="nil"/>
            </w:tcBorders>
            <w:noWrap/>
          </w:tcPr>
          <w:p w14:paraId="746FD5C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0.09</w:t>
            </w:r>
          </w:p>
        </w:tc>
        <w:tc>
          <w:tcPr>
            <w:tcW w:w="850" w:type="dxa"/>
            <w:tcBorders>
              <w:top w:val="nil"/>
              <w:left w:val="nil"/>
              <w:bottom w:val="nil"/>
              <w:right w:val="nil"/>
            </w:tcBorders>
            <w:noWrap/>
          </w:tcPr>
          <w:p w14:paraId="0169663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4383694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38.49</w:t>
            </w:r>
          </w:p>
        </w:tc>
      </w:tr>
      <w:tr w:rsidR="00A8716D" w:rsidRPr="00763151" w14:paraId="2F812730" w14:textId="77777777" w:rsidTr="00C4379E">
        <w:trPr>
          <w:trHeight w:val="73"/>
          <w:jc w:val="center"/>
        </w:trPr>
        <w:tc>
          <w:tcPr>
            <w:tcW w:w="1192" w:type="dxa"/>
            <w:tcBorders>
              <w:top w:val="nil"/>
              <w:left w:val="nil"/>
              <w:bottom w:val="nil"/>
              <w:right w:val="nil"/>
            </w:tcBorders>
            <w:noWrap/>
          </w:tcPr>
          <w:p w14:paraId="2BF399D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PR-9</w:t>
            </w:r>
          </w:p>
        </w:tc>
        <w:tc>
          <w:tcPr>
            <w:tcW w:w="793" w:type="dxa"/>
            <w:tcBorders>
              <w:top w:val="nil"/>
              <w:left w:val="nil"/>
              <w:bottom w:val="nil"/>
              <w:right w:val="nil"/>
            </w:tcBorders>
            <w:noWrap/>
          </w:tcPr>
          <w:p w14:paraId="3B60CB6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0B681E8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106</w:t>
            </w:r>
          </w:p>
        </w:tc>
        <w:tc>
          <w:tcPr>
            <w:tcW w:w="850" w:type="dxa"/>
            <w:tcBorders>
              <w:top w:val="nil"/>
              <w:left w:val="nil"/>
              <w:bottom w:val="nil"/>
              <w:right w:val="nil"/>
            </w:tcBorders>
            <w:noWrap/>
          </w:tcPr>
          <w:p w14:paraId="3467573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0.36</w:t>
            </w:r>
          </w:p>
        </w:tc>
        <w:tc>
          <w:tcPr>
            <w:tcW w:w="851" w:type="dxa"/>
            <w:tcBorders>
              <w:top w:val="nil"/>
              <w:left w:val="nil"/>
              <w:bottom w:val="nil"/>
              <w:right w:val="nil"/>
            </w:tcBorders>
            <w:noWrap/>
          </w:tcPr>
          <w:p w14:paraId="7B8A9C3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0F98011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0.95</w:t>
            </w:r>
          </w:p>
        </w:tc>
        <w:tc>
          <w:tcPr>
            <w:tcW w:w="851" w:type="dxa"/>
            <w:tcBorders>
              <w:top w:val="nil"/>
              <w:left w:val="nil"/>
              <w:bottom w:val="nil"/>
              <w:right w:val="nil"/>
            </w:tcBorders>
            <w:noWrap/>
          </w:tcPr>
          <w:p w14:paraId="556F773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303E913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6B54CE7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107.58</w:t>
            </w:r>
          </w:p>
        </w:tc>
      </w:tr>
      <w:tr w:rsidR="00A8716D" w:rsidRPr="00763151" w14:paraId="1AC8C0D9" w14:textId="77777777" w:rsidTr="00BB08DA">
        <w:trPr>
          <w:trHeight w:val="80"/>
          <w:jc w:val="center"/>
        </w:trPr>
        <w:tc>
          <w:tcPr>
            <w:tcW w:w="1192" w:type="dxa"/>
            <w:tcBorders>
              <w:top w:val="nil"/>
              <w:left w:val="nil"/>
              <w:bottom w:val="nil"/>
              <w:right w:val="nil"/>
            </w:tcBorders>
            <w:noWrap/>
          </w:tcPr>
          <w:p w14:paraId="08C9176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PR-10</w:t>
            </w:r>
          </w:p>
        </w:tc>
        <w:tc>
          <w:tcPr>
            <w:tcW w:w="793" w:type="dxa"/>
            <w:tcBorders>
              <w:top w:val="nil"/>
              <w:left w:val="nil"/>
              <w:bottom w:val="nil"/>
              <w:right w:val="nil"/>
            </w:tcBorders>
            <w:noWrap/>
          </w:tcPr>
          <w:p w14:paraId="2593C8C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1" w:type="dxa"/>
            <w:tcBorders>
              <w:top w:val="nil"/>
              <w:left w:val="nil"/>
              <w:bottom w:val="nil"/>
              <w:right w:val="nil"/>
            </w:tcBorders>
            <w:noWrap/>
          </w:tcPr>
          <w:p w14:paraId="31892AA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w:t>
            </w:r>
          </w:p>
        </w:tc>
        <w:tc>
          <w:tcPr>
            <w:tcW w:w="850" w:type="dxa"/>
            <w:tcBorders>
              <w:top w:val="nil"/>
              <w:left w:val="nil"/>
              <w:bottom w:val="nil"/>
              <w:right w:val="nil"/>
            </w:tcBorders>
            <w:noWrap/>
          </w:tcPr>
          <w:p w14:paraId="7636AF7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0.26</w:t>
            </w:r>
          </w:p>
        </w:tc>
        <w:tc>
          <w:tcPr>
            <w:tcW w:w="851" w:type="dxa"/>
            <w:tcBorders>
              <w:top w:val="nil"/>
              <w:left w:val="nil"/>
              <w:bottom w:val="nil"/>
              <w:right w:val="nil"/>
            </w:tcBorders>
            <w:noWrap/>
          </w:tcPr>
          <w:p w14:paraId="2AF593A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0.09</w:t>
            </w:r>
          </w:p>
        </w:tc>
        <w:tc>
          <w:tcPr>
            <w:tcW w:w="850" w:type="dxa"/>
            <w:tcBorders>
              <w:top w:val="nil"/>
              <w:left w:val="nil"/>
              <w:bottom w:val="nil"/>
              <w:right w:val="nil"/>
            </w:tcBorders>
            <w:noWrap/>
          </w:tcPr>
          <w:p w14:paraId="2A2DAB5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3513A56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4DBDA7C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7FDB4A9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47.62</w:t>
            </w:r>
          </w:p>
        </w:tc>
      </w:tr>
      <w:tr w:rsidR="00A8716D" w:rsidRPr="00763151" w14:paraId="668FE58B" w14:textId="77777777" w:rsidTr="00C4379E">
        <w:trPr>
          <w:trHeight w:val="73"/>
          <w:jc w:val="center"/>
        </w:trPr>
        <w:tc>
          <w:tcPr>
            <w:tcW w:w="1192" w:type="dxa"/>
            <w:tcBorders>
              <w:top w:val="nil"/>
              <w:left w:val="nil"/>
              <w:bottom w:val="nil"/>
              <w:right w:val="nil"/>
            </w:tcBorders>
            <w:noWrap/>
          </w:tcPr>
          <w:p w14:paraId="229AF76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PR-11</w:t>
            </w:r>
          </w:p>
        </w:tc>
        <w:tc>
          <w:tcPr>
            <w:tcW w:w="793" w:type="dxa"/>
            <w:tcBorders>
              <w:top w:val="nil"/>
              <w:left w:val="nil"/>
              <w:bottom w:val="nil"/>
              <w:right w:val="nil"/>
            </w:tcBorders>
            <w:noWrap/>
          </w:tcPr>
          <w:p w14:paraId="2E1241E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0D77DF3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w:t>
            </w:r>
          </w:p>
        </w:tc>
        <w:tc>
          <w:tcPr>
            <w:tcW w:w="850" w:type="dxa"/>
            <w:tcBorders>
              <w:top w:val="nil"/>
              <w:left w:val="nil"/>
              <w:bottom w:val="nil"/>
              <w:right w:val="nil"/>
            </w:tcBorders>
            <w:noWrap/>
          </w:tcPr>
          <w:p w14:paraId="4ABB0AB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0.37</w:t>
            </w:r>
          </w:p>
        </w:tc>
        <w:tc>
          <w:tcPr>
            <w:tcW w:w="851" w:type="dxa"/>
            <w:tcBorders>
              <w:top w:val="nil"/>
              <w:left w:val="nil"/>
              <w:bottom w:val="nil"/>
              <w:right w:val="nil"/>
            </w:tcBorders>
            <w:noWrap/>
          </w:tcPr>
          <w:p w14:paraId="0496B7C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2514B74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26C7761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4D0AD1C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331FD08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75.68</w:t>
            </w:r>
          </w:p>
        </w:tc>
      </w:tr>
      <w:tr w:rsidR="00A8716D" w:rsidRPr="00763151" w14:paraId="61597DE8" w14:textId="77777777" w:rsidTr="00C4379E">
        <w:trPr>
          <w:trHeight w:val="73"/>
          <w:jc w:val="center"/>
        </w:trPr>
        <w:tc>
          <w:tcPr>
            <w:tcW w:w="1192" w:type="dxa"/>
            <w:tcBorders>
              <w:top w:val="nil"/>
              <w:left w:val="nil"/>
              <w:bottom w:val="nil"/>
              <w:right w:val="nil"/>
            </w:tcBorders>
            <w:noWrap/>
          </w:tcPr>
          <w:p w14:paraId="3965F42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CT-1</w:t>
            </w:r>
          </w:p>
        </w:tc>
        <w:tc>
          <w:tcPr>
            <w:tcW w:w="793" w:type="dxa"/>
            <w:tcBorders>
              <w:top w:val="nil"/>
              <w:left w:val="nil"/>
              <w:bottom w:val="nil"/>
              <w:right w:val="nil"/>
            </w:tcBorders>
            <w:noWrap/>
          </w:tcPr>
          <w:p w14:paraId="1754D3F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2C54630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19</w:t>
            </w:r>
          </w:p>
        </w:tc>
        <w:tc>
          <w:tcPr>
            <w:tcW w:w="850" w:type="dxa"/>
            <w:tcBorders>
              <w:top w:val="nil"/>
              <w:left w:val="nil"/>
              <w:bottom w:val="nil"/>
              <w:right w:val="nil"/>
            </w:tcBorders>
            <w:noWrap/>
          </w:tcPr>
          <w:p w14:paraId="3C66E0A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0.18</w:t>
            </w:r>
          </w:p>
        </w:tc>
        <w:tc>
          <w:tcPr>
            <w:tcW w:w="851" w:type="dxa"/>
            <w:tcBorders>
              <w:top w:val="nil"/>
              <w:left w:val="nil"/>
              <w:bottom w:val="nil"/>
              <w:right w:val="nil"/>
            </w:tcBorders>
            <w:noWrap/>
          </w:tcPr>
          <w:p w14:paraId="51C51E7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122F879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4472629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733CD21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7F54554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19.38</w:t>
            </w:r>
          </w:p>
        </w:tc>
      </w:tr>
      <w:tr w:rsidR="00A8716D" w:rsidRPr="00763151" w14:paraId="64C4C64E" w14:textId="77777777" w:rsidTr="003644DA">
        <w:trPr>
          <w:trHeight w:val="73"/>
          <w:jc w:val="center"/>
        </w:trPr>
        <w:tc>
          <w:tcPr>
            <w:tcW w:w="1192" w:type="dxa"/>
            <w:tcBorders>
              <w:top w:val="nil"/>
              <w:left w:val="nil"/>
              <w:bottom w:val="nil"/>
              <w:right w:val="nil"/>
            </w:tcBorders>
            <w:noWrap/>
          </w:tcPr>
          <w:p w14:paraId="41400EC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CT-2</w:t>
            </w:r>
          </w:p>
        </w:tc>
        <w:tc>
          <w:tcPr>
            <w:tcW w:w="793" w:type="dxa"/>
            <w:tcBorders>
              <w:top w:val="nil"/>
              <w:left w:val="nil"/>
              <w:bottom w:val="nil"/>
              <w:right w:val="nil"/>
            </w:tcBorders>
            <w:noWrap/>
          </w:tcPr>
          <w:p w14:paraId="518334B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318B381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w:t>
            </w:r>
          </w:p>
        </w:tc>
        <w:tc>
          <w:tcPr>
            <w:tcW w:w="850" w:type="dxa"/>
            <w:tcBorders>
              <w:top w:val="nil"/>
              <w:left w:val="nil"/>
              <w:bottom w:val="nil"/>
              <w:right w:val="nil"/>
            </w:tcBorders>
            <w:noWrap/>
          </w:tcPr>
          <w:p w14:paraId="44F28BE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851" w:type="dxa"/>
            <w:tcBorders>
              <w:top w:val="nil"/>
              <w:left w:val="nil"/>
              <w:bottom w:val="nil"/>
              <w:right w:val="nil"/>
            </w:tcBorders>
            <w:noWrap/>
          </w:tcPr>
          <w:p w14:paraId="27ED67A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59ADF92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023C7A0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65223A1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6D1BF64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23.39</w:t>
            </w:r>
          </w:p>
        </w:tc>
      </w:tr>
      <w:tr w:rsidR="00A8716D" w:rsidRPr="00763151" w14:paraId="1119A5E2" w14:textId="77777777" w:rsidTr="003644DA">
        <w:trPr>
          <w:trHeight w:val="73"/>
          <w:jc w:val="center"/>
        </w:trPr>
        <w:tc>
          <w:tcPr>
            <w:tcW w:w="1192" w:type="dxa"/>
            <w:tcBorders>
              <w:top w:val="nil"/>
              <w:left w:val="nil"/>
              <w:bottom w:val="nil"/>
              <w:right w:val="nil"/>
            </w:tcBorders>
            <w:noWrap/>
          </w:tcPr>
          <w:p w14:paraId="6BF8928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793" w:type="dxa"/>
            <w:tcBorders>
              <w:top w:val="nil"/>
              <w:left w:val="nil"/>
              <w:bottom w:val="nil"/>
              <w:right w:val="nil"/>
            </w:tcBorders>
            <w:noWrap/>
          </w:tcPr>
          <w:p w14:paraId="3A1AFA7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1" w:type="dxa"/>
            <w:tcBorders>
              <w:top w:val="nil"/>
              <w:left w:val="nil"/>
              <w:bottom w:val="nil"/>
              <w:right w:val="nil"/>
            </w:tcBorders>
            <w:noWrap/>
          </w:tcPr>
          <w:p w14:paraId="3808BAD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70.77</w:t>
            </w:r>
          </w:p>
        </w:tc>
        <w:tc>
          <w:tcPr>
            <w:tcW w:w="850" w:type="dxa"/>
            <w:tcBorders>
              <w:top w:val="nil"/>
              <w:left w:val="nil"/>
              <w:bottom w:val="nil"/>
              <w:right w:val="nil"/>
            </w:tcBorders>
            <w:noWrap/>
          </w:tcPr>
          <w:p w14:paraId="41F5C39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0C5D7C1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796EE22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w:t>
            </w:r>
          </w:p>
        </w:tc>
        <w:tc>
          <w:tcPr>
            <w:tcW w:w="851" w:type="dxa"/>
            <w:tcBorders>
              <w:top w:val="nil"/>
              <w:left w:val="nil"/>
              <w:bottom w:val="nil"/>
              <w:right w:val="nil"/>
            </w:tcBorders>
            <w:noWrap/>
          </w:tcPr>
          <w:p w14:paraId="2DE639C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744236E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w:t>
            </w:r>
          </w:p>
        </w:tc>
        <w:tc>
          <w:tcPr>
            <w:tcW w:w="851" w:type="dxa"/>
            <w:tcBorders>
              <w:top w:val="nil"/>
              <w:left w:val="nil"/>
              <w:bottom w:val="nil"/>
              <w:right w:val="nil"/>
            </w:tcBorders>
            <w:noWrap/>
          </w:tcPr>
          <w:p w14:paraId="2B41A9B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71.52</w:t>
            </w:r>
          </w:p>
        </w:tc>
      </w:tr>
      <w:tr w:rsidR="00A8716D" w:rsidRPr="00763151" w14:paraId="341F4574" w14:textId="77777777" w:rsidTr="003644DA">
        <w:trPr>
          <w:trHeight w:val="63"/>
          <w:jc w:val="center"/>
        </w:trPr>
        <w:tc>
          <w:tcPr>
            <w:tcW w:w="1192" w:type="dxa"/>
            <w:tcBorders>
              <w:top w:val="single" w:sz="8" w:space="0" w:color="auto"/>
              <w:left w:val="nil"/>
              <w:bottom w:val="single" w:sz="4" w:space="0" w:color="auto"/>
              <w:right w:val="nil"/>
            </w:tcBorders>
            <w:noWrap/>
          </w:tcPr>
          <w:p w14:paraId="1FFD89FF" w14:textId="77777777" w:rsidR="00F415B9" w:rsidRDefault="00F415B9" w:rsidP="00BB08DA">
            <w:pPr>
              <w:spacing w:line="192" w:lineRule="auto"/>
              <w:jc w:val="both"/>
              <w:rPr>
                <w:rFonts w:ascii="Times New Roman" w:eastAsia="Times New Roman" w:hAnsi="Times New Roman" w:cs="Times New Roman"/>
                <w:color w:val="000000"/>
              </w:rPr>
            </w:pPr>
          </w:p>
          <w:p w14:paraId="5CA3CCA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793" w:type="dxa"/>
            <w:tcBorders>
              <w:top w:val="single" w:sz="8" w:space="0" w:color="auto"/>
              <w:left w:val="nil"/>
              <w:bottom w:val="single" w:sz="4" w:space="0" w:color="auto"/>
              <w:right w:val="nil"/>
            </w:tcBorders>
            <w:noWrap/>
          </w:tcPr>
          <w:p w14:paraId="12EE4A41" w14:textId="77777777" w:rsidR="00687748"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5AA36C9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466F74">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1" w:type="dxa"/>
            <w:tcBorders>
              <w:top w:val="single" w:sz="8" w:space="0" w:color="auto"/>
              <w:left w:val="nil"/>
              <w:bottom w:val="single" w:sz="4" w:space="0" w:color="auto"/>
              <w:right w:val="nil"/>
            </w:tcBorders>
            <w:noWrap/>
          </w:tcPr>
          <w:p w14:paraId="4A88BF0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roofErr w:type="spellStart"/>
            <w:r w:rsidRPr="00763151">
              <w:rPr>
                <w:rFonts w:ascii="Times New Roman" w:eastAsia="Times New Roman" w:hAnsi="Times New Roman" w:cs="Times New Roman"/>
                <w:color w:val="000000"/>
              </w:rPr>
              <w:t>Consid</w:t>
            </w:r>
            <w:proofErr w:type="spellEnd"/>
            <w:r w:rsidR="00435867">
              <w:rPr>
                <w:rFonts w:ascii="Times New Roman" w:eastAsia="Times New Roman" w:hAnsi="Times New Roman" w:cs="Times New Roman"/>
                <w:color w:val="000000"/>
              </w:rPr>
              <w:t>.</w:t>
            </w:r>
            <w:r w:rsidRPr="00763151">
              <w:rPr>
                <w:rFonts w:ascii="Times New Roman" w:eastAsia="Times New Roman" w:hAnsi="Times New Roman" w:cs="Times New Roman"/>
                <w:color w:val="000000"/>
              </w:rPr>
              <w:t xml:space="preserve"> Risk</w:t>
            </w:r>
          </w:p>
        </w:tc>
        <w:tc>
          <w:tcPr>
            <w:tcW w:w="850" w:type="dxa"/>
            <w:tcBorders>
              <w:top w:val="single" w:sz="8" w:space="0" w:color="auto"/>
              <w:left w:val="nil"/>
              <w:bottom w:val="single" w:sz="4" w:space="0" w:color="auto"/>
              <w:right w:val="nil"/>
            </w:tcBorders>
            <w:noWrap/>
          </w:tcPr>
          <w:p w14:paraId="7B1667C1" w14:textId="77777777" w:rsidR="00687748"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259757FE" w14:textId="77777777" w:rsidR="00466F74"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466F74">
              <w:rPr>
                <w:rFonts w:ascii="Times New Roman" w:eastAsia="Times New Roman" w:hAnsi="Times New Roman" w:cs="Times New Roman"/>
                <w:color w:val="000000"/>
              </w:rPr>
              <w:t>l.</w:t>
            </w:r>
          </w:p>
          <w:p w14:paraId="3A176EE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3007A17D"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p w14:paraId="2FCB0A02"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1B4BC12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0" w:type="dxa"/>
            <w:tcBorders>
              <w:top w:val="single" w:sz="8" w:space="0" w:color="auto"/>
              <w:left w:val="nil"/>
              <w:bottom w:val="single" w:sz="4" w:space="0" w:color="auto"/>
              <w:right w:val="nil"/>
            </w:tcBorders>
            <w:noWrap/>
          </w:tcPr>
          <w:p w14:paraId="443DA127"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0B5C208D"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68596A5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49521A8C"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6DD13F81"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0F7E1F1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0" w:type="dxa"/>
            <w:tcBorders>
              <w:top w:val="single" w:sz="8" w:space="0" w:color="auto"/>
              <w:left w:val="nil"/>
              <w:bottom w:val="single" w:sz="4" w:space="0" w:color="auto"/>
              <w:right w:val="nil"/>
            </w:tcBorders>
            <w:noWrap/>
          </w:tcPr>
          <w:p w14:paraId="747C810F"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6770215F"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53BD1C5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18F525DA"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0FB9D36C" w14:textId="77777777" w:rsidR="00CF0F73" w:rsidRDefault="00687748" w:rsidP="00BB08DA">
            <w:pPr>
              <w:spacing w:line="192" w:lineRule="auto"/>
              <w:jc w:val="both"/>
              <w:rPr>
                <w:rFonts w:ascii="Times New Roman" w:eastAsia="Times New Roman" w:hAnsi="Times New Roman" w:cs="Times New Roman"/>
                <w:color w:val="000000"/>
              </w:rPr>
            </w:pPr>
            <w:proofErr w:type="spellStart"/>
            <w:r w:rsidRPr="00763151">
              <w:rPr>
                <w:rFonts w:ascii="Times New Roman" w:eastAsia="Times New Roman" w:hAnsi="Times New Roman" w:cs="Times New Roman"/>
                <w:color w:val="000000"/>
              </w:rPr>
              <w:t>Consid</w:t>
            </w:r>
            <w:proofErr w:type="spellEnd"/>
            <w:r w:rsidR="00435867">
              <w:rPr>
                <w:rFonts w:ascii="Times New Roman" w:eastAsia="Times New Roman" w:hAnsi="Times New Roman" w:cs="Times New Roman"/>
                <w:color w:val="000000"/>
              </w:rPr>
              <w:t>.</w:t>
            </w:r>
            <w:r w:rsidRPr="00763151">
              <w:rPr>
                <w:rFonts w:ascii="Times New Roman" w:eastAsia="Times New Roman" w:hAnsi="Times New Roman" w:cs="Times New Roman"/>
                <w:color w:val="000000"/>
              </w:rPr>
              <w:t xml:space="preserve"> </w:t>
            </w:r>
          </w:p>
          <w:p w14:paraId="66F084B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r>
    </w:tbl>
    <w:p w14:paraId="2EB85419" w14:textId="77777777" w:rsidR="008D052C" w:rsidRPr="00145E0E" w:rsidRDefault="006420F1" w:rsidP="00BB2E8B">
      <w:pPr>
        <w:tabs>
          <w:tab w:val="left" w:pos="6945"/>
          <w:tab w:val="left" w:pos="8415"/>
        </w:tabs>
        <w:spacing w:after="0" w:line="192" w:lineRule="auto"/>
        <w:jc w:val="both"/>
        <w:rPr>
          <w:rFonts w:ascii="Times New Roman" w:eastAsia="Calibri" w:hAnsi="Times New Roman" w:cs="Times New Roman"/>
          <w:bCs/>
          <w:sz w:val="16"/>
          <w:szCs w:val="16"/>
        </w:rPr>
      </w:pPr>
      <w:r>
        <w:rPr>
          <w:rFonts w:ascii="Times New Roman" w:eastAsia="Calibri" w:hAnsi="Times New Roman" w:cs="Times New Roman"/>
          <w:b/>
          <w:sz w:val="20"/>
          <w:szCs w:val="20"/>
        </w:rPr>
        <w:tab/>
      </w:r>
      <w:r w:rsidR="00BB2E8B" w:rsidRPr="00145E0E">
        <w:rPr>
          <w:rFonts w:ascii="Times New Roman" w:eastAsia="Calibri" w:hAnsi="Times New Roman" w:cs="Times New Roman"/>
          <w:bCs/>
          <w:sz w:val="20"/>
          <w:szCs w:val="20"/>
        </w:rPr>
        <w:tab/>
      </w:r>
    </w:p>
    <w:tbl>
      <w:tblPr>
        <w:tblStyle w:val="TableGrid2"/>
        <w:tblW w:w="791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850"/>
        <w:gridCol w:w="851"/>
        <w:gridCol w:w="850"/>
        <w:gridCol w:w="851"/>
        <w:gridCol w:w="850"/>
        <w:gridCol w:w="851"/>
        <w:gridCol w:w="850"/>
        <w:gridCol w:w="766"/>
      </w:tblGrid>
      <w:tr w:rsidR="00BF28EE" w:rsidRPr="00763151" w14:paraId="57C4988F" w14:textId="77777777" w:rsidTr="00E907F7">
        <w:trPr>
          <w:trHeight w:val="63"/>
          <w:jc w:val="center"/>
        </w:trPr>
        <w:tc>
          <w:tcPr>
            <w:tcW w:w="7911" w:type="dxa"/>
            <w:gridSpan w:val="9"/>
            <w:tcBorders>
              <w:top w:val="single" w:sz="4" w:space="0" w:color="auto"/>
              <w:left w:val="nil"/>
              <w:bottom w:val="single" w:sz="4" w:space="0" w:color="auto"/>
              <w:right w:val="nil"/>
            </w:tcBorders>
            <w:vAlign w:val="center"/>
          </w:tcPr>
          <w:p w14:paraId="707F1E91" w14:textId="77777777" w:rsidR="00BF28EE" w:rsidRPr="00F11F37" w:rsidRDefault="00BF28EE" w:rsidP="00BB08DA">
            <w:pPr>
              <w:spacing w:line="192"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color w:val="000000"/>
              </w:rPr>
              <w:t>Second</w:t>
            </w:r>
            <w:r w:rsidRPr="000739BB">
              <w:rPr>
                <w:rFonts w:ascii="Times New Roman" w:eastAsia="Times New Roman" w:hAnsi="Times New Roman" w:cs="Times New Roman"/>
                <w:b/>
                <w:bCs/>
                <w:color w:val="000000"/>
              </w:rPr>
              <w:t xml:space="preserve"> sampling phase</w:t>
            </w:r>
          </w:p>
        </w:tc>
      </w:tr>
      <w:tr w:rsidR="00BF28EE" w:rsidRPr="00763151" w14:paraId="5E534270" w14:textId="77777777" w:rsidTr="00E907F7">
        <w:trPr>
          <w:trHeight w:val="63"/>
          <w:jc w:val="center"/>
        </w:trPr>
        <w:tc>
          <w:tcPr>
            <w:tcW w:w="1192" w:type="dxa"/>
            <w:tcBorders>
              <w:top w:val="single" w:sz="4" w:space="0" w:color="auto"/>
              <w:left w:val="nil"/>
              <w:bottom w:val="nil"/>
              <w:right w:val="nil"/>
            </w:tcBorders>
            <w:noWrap/>
          </w:tcPr>
          <w:p w14:paraId="2C1D97C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PR-12</w:t>
            </w:r>
          </w:p>
        </w:tc>
        <w:tc>
          <w:tcPr>
            <w:tcW w:w="850" w:type="dxa"/>
            <w:tcBorders>
              <w:top w:val="single" w:sz="4" w:space="0" w:color="auto"/>
              <w:left w:val="nil"/>
              <w:bottom w:val="nil"/>
              <w:right w:val="nil"/>
            </w:tcBorders>
            <w:noWrap/>
          </w:tcPr>
          <w:p w14:paraId="065410A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single" w:sz="4" w:space="0" w:color="auto"/>
              <w:left w:val="nil"/>
              <w:bottom w:val="nil"/>
              <w:right w:val="nil"/>
            </w:tcBorders>
            <w:noWrap/>
          </w:tcPr>
          <w:p w14:paraId="6210617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w:t>
            </w:r>
          </w:p>
        </w:tc>
        <w:tc>
          <w:tcPr>
            <w:tcW w:w="850" w:type="dxa"/>
            <w:tcBorders>
              <w:top w:val="single" w:sz="4" w:space="0" w:color="auto"/>
              <w:left w:val="nil"/>
              <w:bottom w:val="nil"/>
              <w:right w:val="nil"/>
            </w:tcBorders>
            <w:noWrap/>
          </w:tcPr>
          <w:p w14:paraId="2978CB6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0.26</w:t>
            </w:r>
          </w:p>
        </w:tc>
        <w:tc>
          <w:tcPr>
            <w:tcW w:w="851" w:type="dxa"/>
            <w:tcBorders>
              <w:top w:val="single" w:sz="4" w:space="0" w:color="auto"/>
              <w:left w:val="nil"/>
              <w:bottom w:val="nil"/>
              <w:right w:val="nil"/>
            </w:tcBorders>
            <w:noWrap/>
          </w:tcPr>
          <w:p w14:paraId="1A211EB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single" w:sz="4" w:space="0" w:color="auto"/>
              <w:left w:val="nil"/>
              <w:bottom w:val="nil"/>
              <w:right w:val="nil"/>
            </w:tcBorders>
            <w:noWrap/>
          </w:tcPr>
          <w:p w14:paraId="03A33D1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0.16</w:t>
            </w:r>
          </w:p>
        </w:tc>
        <w:tc>
          <w:tcPr>
            <w:tcW w:w="851" w:type="dxa"/>
            <w:tcBorders>
              <w:top w:val="single" w:sz="4" w:space="0" w:color="auto"/>
              <w:left w:val="nil"/>
              <w:bottom w:val="nil"/>
              <w:right w:val="nil"/>
            </w:tcBorders>
            <w:noWrap/>
          </w:tcPr>
          <w:p w14:paraId="286AD46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single" w:sz="4" w:space="0" w:color="auto"/>
              <w:left w:val="nil"/>
              <w:bottom w:val="nil"/>
              <w:right w:val="nil"/>
            </w:tcBorders>
            <w:noWrap/>
          </w:tcPr>
          <w:p w14:paraId="2563265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single" w:sz="4" w:space="0" w:color="auto"/>
              <w:left w:val="nil"/>
              <w:bottom w:val="nil"/>
              <w:right w:val="nil"/>
            </w:tcBorders>
            <w:noWrap/>
          </w:tcPr>
          <w:p w14:paraId="67C3D1C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31.52</w:t>
            </w:r>
          </w:p>
        </w:tc>
      </w:tr>
      <w:tr w:rsidR="00BF28EE" w:rsidRPr="00763151" w14:paraId="76671BAC" w14:textId="77777777" w:rsidTr="00E907F7">
        <w:trPr>
          <w:trHeight w:val="73"/>
          <w:jc w:val="center"/>
        </w:trPr>
        <w:tc>
          <w:tcPr>
            <w:tcW w:w="1192" w:type="dxa"/>
            <w:tcBorders>
              <w:top w:val="nil"/>
              <w:left w:val="nil"/>
              <w:bottom w:val="nil"/>
              <w:right w:val="nil"/>
            </w:tcBorders>
            <w:noWrap/>
          </w:tcPr>
          <w:p w14:paraId="3B28B4A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PR-13</w:t>
            </w:r>
          </w:p>
        </w:tc>
        <w:tc>
          <w:tcPr>
            <w:tcW w:w="850" w:type="dxa"/>
            <w:tcBorders>
              <w:top w:val="nil"/>
              <w:left w:val="nil"/>
              <w:bottom w:val="nil"/>
              <w:right w:val="nil"/>
            </w:tcBorders>
            <w:noWrap/>
          </w:tcPr>
          <w:p w14:paraId="23A74F1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64914EA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106</w:t>
            </w:r>
          </w:p>
        </w:tc>
        <w:tc>
          <w:tcPr>
            <w:tcW w:w="850" w:type="dxa"/>
            <w:tcBorders>
              <w:top w:val="nil"/>
              <w:left w:val="nil"/>
              <w:bottom w:val="nil"/>
              <w:right w:val="nil"/>
            </w:tcBorders>
            <w:noWrap/>
          </w:tcPr>
          <w:p w14:paraId="3583A38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16254EB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304A29D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2834B32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08CA2EB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4F6F283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106.51</w:t>
            </w:r>
          </w:p>
        </w:tc>
      </w:tr>
      <w:tr w:rsidR="00BF28EE" w:rsidRPr="00763151" w14:paraId="562E37FF" w14:textId="77777777" w:rsidTr="00E907F7">
        <w:trPr>
          <w:trHeight w:val="73"/>
          <w:jc w:val="center"/>
        </w:trPr>
        <w:tc>
          <w:tcPr>
            <w:tcW w:w="1192" w:type="dxa"/>
            <w:tcBorders>
              <w:top w:val="nil"/>
              <w:left w:val="nil"/>
              <w:bottom w:val="nil"/>
              <w:right w:val="nil"/>
            </w:tcBorders>
            <w:noWrap/>
          </w:tcPr>
          <w:p w14:paraId="6C9D972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PR-14</w:t>
            </w:r>
          </w:p>
        </w:tc>
        <w:tc>
          <w:tcPr>
            <w:tcW w:w="850" w:type="dxa"/>
            <w:tcBorders>
              <w:top w:val="nil"/>
              <w:left w:val="nil"/>
              <w:bottom w:val="nil"/>
              <w:right w:val="nil"/>
            </w:tcBorders>
            <w:noWrap/>
          </w:tcPr>
          <w:p w14:paraId="74BDD01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30E529D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w:t>
            </w:r>
          </w:p>
        </w:tc>
        <w:tc>
          <w:tcPr>
            <w:tcW w:w="850" w:type="dxa"/>
            <w:tcBorders>
              <w:top w:val="nil"/>
              <w:left w:val="nil"/>
              <w:bottom w:val="nil"/>
              <w:right w:val="nil"/>
            </w:tcBorders>
            <w:noWrap/>
          </w:tcPr>
          <w:p w14:paraId="628235E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385BC0B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32FD948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4538140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136421B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036F0C0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31.38</w:t>
            </w:r>
          </w:p>
        </w:tc>
      </w:tr>
      <w:tr w:rsidR="00BF28EE" w:rsidRPr="00763151" w14:paraId="4D90E9F6" w14:textId="77777777" w:rsidTr="00E907F7">
        <w:trPr>
          <w:trHeight w:val="73"/>
          <w:jc w:val="center"/>
        </w:trPr>
        <w:tc>
          <w:tcPr>
            <w:tcW w:w="1192" w:type="dxa"/>
            <w:tcBorders>
              <w:top w:val="nil"/>
              <w:left w:val="nil"/>
              <w:bottom w:val="nil"/>
              <w:right w:val="nil"/>
            </w:tcBorders>
            <w:noWrap/>
          </w:tcPr>
          <w:p w14:paraId="4627135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PR-15</w:t>
            </w:r>
          </w:p>
        </w:tc>
        <w:tc>
          <w:tcPr>
            <w:tcW w:w="850" w:type="dxa"/>
            <w:tcBorders>
              <w:top w:val="nil"/>
              <w:left w:val="nil"/>
              <w:bottom w:val="nil"/>
              <w:right w:val="nil"/>
            </w:tcBorders>
            <w:noWrap/>
          </w:tcPr>
          <w:p w14:paraId="641DEB6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6ADD102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92</w:t>
            </w:r>
          </w:p>
        </w:tc>
        <w:tc>
          <w:tcPr>
            <w:tcW w:w="850" w:type="dxa"/>
            <w:tcBorders>
              <w:top w:val="nil"/>
              <w:left w:val="nil"/>
              <w:bottom w:val="nil"/>
              <w:right w:val="nil"/>
            </w:tcBorders>
            <w:noWrap/>
          </w:tcPr>
          <w:p w14:paraId="3DC2AA4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851" w:type="dxa"/>
            <w:tcBorders>
              <w:top w:val="nil"/>
              <w:left w:val="nil"/>
              <w:bottom w:val="nil"/>
              <w:right w:val="nil"/>
            </w:tcBorders>
            <w:noWrap/>
          </w:tcPr>
          <w:p w14:paraId="700B191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74CF7DF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5721814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3B69019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466FE42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92.45</w:t>
            </w:r>
          </w:p>
        </w:tc>
      </w:tr>
      <w:tr w:rsidR="00BF28EE" w:rsidRPr="00763151" w14:paraId="694638D4" w14:textId="77777777" w:rsidTr="00E907F7">
        <w:trPr>
          <w:trHeight w:val="73"/>
          <w:jc w:val="center"/>
        </w:trPr>
        <w:tc>
          <w:tcPr>
            <w:tcW w:w="1192" w:type="dxa"/>
            <w:tcBorders>
              <w:top w:val="nil"/>
              <w:left w:val="nil"/>
              <w:bottom w:val="nil"/>
              <w:right w:val="nil"/>
            </w:tcBorders>
            <w:noWrap/>
          </w:tcPr>
          <w:p w14:paraId="4B6C5FE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PR-16</w:t>
            </w:r>
          </w:p>
        </w:tc>
        <w:tc>
          <w:tcPr>
            <w:tcW w:w="850" w:type="dxa"/>
            <w:tcBorders>
              <w:top w:val="nil"/>
              <w:left w:val="nil"/>
              <w:bottom w:val="nil"/>
              <w:right w:val="nil"/>
            </w:tcBorders>
            <w:noWrap/>
          </w:tcPr>
          <w:p w14:paraId="17A7089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7E01582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32</w:t>
            </w:r>
          </w:p>
        </w:tc>
        <w:tc>
          <w:tcPr>
            <w:tcW w:w="850" w:type="dxa"/>
            <w:tcBorders>
              <w:top w:val="nil"/>
              <w:left w:val="nil"/>
              <w:bottom w:val="nil"/>
              <w:right w:val="nil"/>
            </w:tcBorders>
            <w:noWrap/>
          </w:tcPr>
          <w:p w14:paraId="149ECA9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0.21</w:t>
            </w:r>
          </w:p>
        </w:tc>
        <w:tc>
          <w:tcPr>
            <w:tcW w:w="851" w:type="dxa"/>
            <w:tcBorders>
              <w:top w:val="nil"/>
              <w:left w:val="nil"/>
              <w:bottom w:val="nil"/>
              <w:right w:val="nil"/>
            </w:tcBorders>
            <w:noWrap/>
          </w:tcPr>
          <w:p w14:paraId="2ACE222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40FFEC5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351B4AE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7314822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74D34D3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32.44</w:t>
            </w:r>
          </w:p>
        </w:tc>
      </w:tr>
      <w:tr w:rsidR="00BF28EE" w:rsidRPr="00763151" w14:paraId="7E45669D" w14:textId="77777777" w:rsidTr="00E907F7">
        <w:trPr>
          <w:trHeight w:val="73"/>
          <w:jc w:val="center"/>
        </w:trPr>
        <w:tc>
          <w:tcPr>
            <w:tcW w:w="1192" w:type="dxa"/>
            <w:tcBorders>
              <w:top w:val="nil"/>
              <w:left w:val="nil"/>
              <w:bottom w:val="nil"/>
              <w:right w:val="nil"/>
            </w:tcBorders>
            <w:noWrap/>
          </w:tcPr>
          <w:p w14:paraId="45FF14F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PR-17</w:t>
            </w:r>
          </w:p>
        </w:tc>
        <w:tc>
          <w:tcPr>
            <w:tcW w:w="850" w:type="dxa"/>
            <w:tcBorders>
              <w:top w:val="nil"/>
              <w:left w:val="nil"/>
              <w:bottom w:val="nil"/>
              <w:right w:val="nil"/>
            </w:tcBorders>
            <w:noWrap/>
          </w:tcPr>
          <w:p w14:paraId="65D48D3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263B55D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42</w:t>
            </w:r>
          </w:p>
        </w:tc>
        <w:tc>
          <w:tcPr>
            <w:tcW w:w="850" w:type="dxa"/>
            <w:tcBorders>
              <w:top w:val="nil"/>
              <w:left w:val="nil"/>
              <w:bottom w:val="nil"/>
              <w:right w:val="nil"/>
            </w:tcBorders>
            <w:noWrap/>
          </w:tcPr>
          <w:p w14:paraId="4D5A176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0.31</w:t>
            </w:r>
          </w:p>
        </w:tc>
        <w:tc>
          <w:tcPr>
            <w:tcW w:w="851" w:type="dxa"/>
            <w:tcBorders>
              <w:top w:val="nil"/>
              <w:left w:val="nil"/>
              <w:bottom w:val="nil"/>
              <w:right w:val="nil"/>
            </w:tcBorders>
            <w:noWrap/>
          </w:tcPr>
          <w:p w14:paraId="144026D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7C1E622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34A7D1B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25258D8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2CB386C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42.54</w:t>
            </w:r>
          </w:p>
        </w:tc>
      </w:tr>
      <w:tr w:rsidR="00BF28EE" w:rsidRPr="00763151" w14:paraId="175C9E4A" w14:textId="77777777" w:rsidTr="00E907F7">
        <w:trPr>
          <w:trHeight w:val="73"/>
          <w:jc w:val="center"/>
        </w:trPr>
        <w:tc>
          <w:tcPr>
            <w:tcW w:w="1192" w:type="dxa"/>
            <w:tcBorders>
              <w:top w:val="nil"/>
              <w:left w:val="nil"/>
              <w:bottom w:val="nil"/>
              <w:right w:val="nil"/>
            </w:tcBorders>
            <w:noWrap/>
          </w:tcPr>
          <w:p w14:paraId="477E805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PR-18</w:t>
            </w:r>
          </w:p>
        </w:tc>
        <w:tc>
          <w:tcPr>
            <w:tcW w:w="850" w:type="dxa"/>
            <w:tcBorders>
              <w:top w:val="nil"/>
              <w:left w:val="nil"/>
              <w:bottom w:val="nil"/>
              <w:right w:val="nil"/>
            </w:tcBorders>
            <w:noWrap/>
          </w:tcPr>
          <w:p w14:paraId="5B0E1AE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nil"/>
              <w:left w:val="nil"/>
              <w:bottom w:val="nil"/>
              <w:right w:val="nil"/>
            </w:tcBorders>
            <w:noWrap/>
          </w:tcPr>
          <w:p w14:paraId="472B5B4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w:t>
            </w:r>
          </w:p>
        </w:tc>
        <w:tc>
          <w:tcPr>
            <w:tcW w:w="850" w:type="dxa"/>
            <w:tcBorders>
              <w:top w:val="nil"/>
              <w:left w:val="nil"/>
              <w:bottom w:val="nil"/>
              <w:right w:val="nil"/>
            </w:tcBorders>
            <w:noWrap/>
          </w:tcPr>
          <w:p w14:paraId="6559653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0.23</w:t>
            </w:r>
          </w:p>
        </w:tc>
        <w:tc>
          <w:tcPr>
            <w:tcW w:w="851" w:type="dxa"/>
            <w:tcBorders>
              <w:top w:val="nil"/>
              <w:left w:val="nil"/>
              <w:bottom w:val="nil"/>
              <w:right w:val="nil"/>
            </w:tcBorders>
            <w:noWrap/>
          </w:tcPr>
          <w:p w14:paraId="318CF88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0827FF9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0184C01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5CCAC8D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A88A63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39.47</w:t>
            </w:r>
          </w:p>
        </w:tc>
      </w:tr>
      <w:tr w:rsidR="00BF28EE" w:rsidRPr="00763151" w14:paraId="6BBE2504" w14:textId="77777777" w:rsidTr="00E907F7">
        <w:trPr>
          <w:trHeight w:val="73"/>
          <w:jc w:val="center"/>
        </w:trPr>
        <w:tc>
          <w:tcPr>
            <w:tcW w:w="1192" w:type="dxa"/>
            <w:tcBorders>
              <w:top w:val="nil"/>
              <w:left w:val="nil"/>
              <w:bottom w:val="nil"/>
              <w:right w:val="nil"/>
            </w:tcBorders>
            <w:noWrap/>
          </w:tcPr>
          <w:p w14:paraId="5731335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PR-19</w:t>
            </w:r>
          </w:p>
        </w:tc>
        <w:tc>
          <w:tcPr>
            <w:tcW w:w="850" w:type="dxa"/>
            <w:tcBorders>
              <w:top w:val="nil"/>
              <w:left w:val="nil"/>
              <w:bottom w:val="nil"/>
              <w:right w:val="nil"/>
            </w:tcBorders>
            <w:noWrap/>
          </w:tcPr>
          <w:p w14:paraId="158C05E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37CBFCB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68</w:t>
            </w:r>
          </w:p>
        </w:tc>
        <w:tc>
          <w:tcPr>
            <w:tcW w:w="850" w:type="dxa"/>
            <w:tcBorders>
              <w:top w:val="nil"/>
              <w:left w:val="nil"/>
              <w:bottom w:val="nil"/>
              <w:right w:val="nil"/>
            </w:tcBorders>
            <w:noWrap/>
          </w:tcPr>
          <w:p w14:paraId="27AB958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7C93749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3FEBBE6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0.16</w:t>
            </w:r>
          </w:p>
        </w:tc>
        <w:tc>
          <w:tcPr>
            <w:tcW w:w="851" w:type="dxa"/>
            <w:tcBorders>
              <w:top w:val="nil"/>
              <w:left w:val="nil"/>
              <w:bottom w:val="nil"/>
              <w:right w:val="nil"/>
            </w:tcBorders>
            <w:noWrap/>
          </w:tcPr>
          <w:p w14:paraId="51F5878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535E4D9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3D489F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68.54</w:t>
            </w:r>
          </w:p>
        </w:tc>
      </w:tr>
      <w:tr w:rsidR="00BF28EE" w:rsidRPr="00763151" w14:paraId="6F0C7121" w14:textId="77777777" w:rsidTr="00E907F7">
        <w:trPr>
          <w:trHeight w:val="73"/>
          <w:jc w:val="center"/>
        </w:trPr>
        <w:tc>
          <w:tcPr>
            <w:tcW w:w="1192" w:type="dxa"/>
            <w:tcBorders>
              <w:top w:val="nil"/>
              <w:left w:val="nil"/>
              <w:bottom w:val="nil"/>
              <w:right w:val="nil"/>
            </w:tcBorders>
            <w:noWrap/>
          </w:tcPr>
          <w:p w14:paraId="789F0B8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PR-20</w:t>
            </w:r>
          </w:p>
        </w:tc>
        <w:tc>
          <w:tcPr>
            <w:tcW w:w="850" w:type="dxa"/>
            <w:tcBorders>
              <w:top w:val="nil"/>
              <w:left w:val="nil"/>
              <w:bottom w:val="nil"/>
              <w:right w:val="nil"/>
            </w:tcBorders>
            <w:noWrap/>
          </w:tcPr>
          <w:p w14:paraId="088B1F3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5C39C96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26</w:t>
            </w:r>
          </w:p>
        </w:tc>
        <w:tc>
          <w:tcPr>
            <w:tcW w:w="850" w:type="dxa"/>
            <w:tcBorders>
              <w:top w:val="nil"/>
              <w:left w:val="nil"/>
              <w:bottom w:val="nil"/>
              <w:right w:val="nil"/>
            </w:tcBorders>
            <w:noWrap/>
          </w:tcPr>
          <w:p w14:paraId="2FF0BD1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41926C6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29547CF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294BAEC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577D035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71F56AB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26.4</w:t>
            </w:r>
          </w:p>
        </w:tc>
      </w:tr>
      <w:tr w:rsidR="00BF28EE" w:rsidRPr="00763151" w14:paraId="40DDD34F" w14:textId="77777777" w:rsidTr="00E907F7">
        <w:trPr>
          <w:trHeight w:val="73"/>
          <w:jc w:val="center"/>
        </w:trPr>
        <w:tc>
          <w:tcPr>
            <w:tcW w:w="1192" w:type="dxa"/>
            <w:tcBorders>
              <w:top w:val="nil"/>
              <w:left w:val="nil"/>
              <w:bottom w:val="nil"/>
              <w:right w:val="nil"/>
            </w:tcBorders>
            <w:noWrap/>
          </w:tcPr>
          <w:p w14:paraId="4B5D001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PR-21</w:t>
            </w:r>
          </w:p>
        </w:tc>
        <w:tc>
          <w:tcPr>
            <w:tcW w:w="850" w:type="dxa"/>
            <w:tcBorders>
              <w:top w:val="nil"/>
              <w:left w:val="nil"/>
              <w:bottom w:val="nil"/>
              <w:right w:val="nil"/>
            </w:tcBorders>
            <w:noWrap/>
          </w:tcPr>
          <w:p w14:paraId="49D94AF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301EEDE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37</w:t>
            </w:r>
          </w:p>
        </w:tc>
        <w:tc>
          <w:tcPr>
            <w:tcW w:w="850" w:type="dxa"/>
            <w:tcBorders>
              <w:top w:val="nil"/>
              <w:left w:val="nil"/>
              <w:bottom w:val="nil"/>
              <w:right w:val="nil"/>
            </w:tcBorders>
            <w:noWrap/>
          </w:tcPr>
          <w:p w14:paraId="2D99ABE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1" w:type="dxa"/>
            <w:tcBorders>
              <w:top w:val="nil"/>
              <w:left w:val="nil"/>
              <w:bottom w:val="nil"/>
              <w:right w:val="nil"/>
            </w:tcBorders>
            <w:noWrap/>
          </w:tcPr>
          <w:p w14:paraId="7B63C55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3D962B9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451408D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2CA4F68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4F9276A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37.36</w:t>
            </w:r>
          </w:p>
        </w:tc>
      </w:tr>
      <w:tr w:rsidR="00BF28EE" w:rsidRPr="00763151" w14:paraId="476875E1" w14:textId="77777777" w:rsidTr="00E907F7">
        <w:trPr>
          <w:trHeight w:val="73"/>
          <w:jc w:val="center"/>
        </w:trPr>
        <w:tc>
          <w:tcPr>
            <w:tcW w:w="1192" w:type="dxa"/>
            <w:tcBorders>
              <w:top w:val="nil"/>
              <w:left w:val="nil"/>
              <w:bottom w:val="nil"/>
              <w:right w:val="nil"/>
            </w:tcBorders>
            <w:noWrap/>
          </w:tcPr>
          <w:p w14:paraId="190048D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PR-22</w:t>
            </w:r>
          </w:p>
        </w:tc>
        <w:tc>
          <w:tcPr>
            <w:tcW w:w="850" w:type="dxa"/>
            <w:tcBorders>
              <w:top w:val="nil"/>
              <w:left w:val="nil"/>
              <w:bottom w:val="nil"/>
              <w:right w:val="nil"/>
            </w:tcBorders>
            <w:noWrap/>
          </w:tcPr>
          <w:p w14:paraId="3AF7B42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4BC717A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28</w:t>
            </w:r>
          </w:p>
        </w:tc>
        <w:tc>
          <w:tcPr>
            <w:tcW w:w="850" w:type="dxa"/>
            <w:tcBorders>
              <w:top w:val="nil"/>
              <w:left w:val="nil"/>
              <w:bottom w:val="nil"/>
              <w:right w:val="nil"/>
            </w:tcBorders>
            <w:noWrap/>
          </w:tcPr>
          <w:p w14:paraId="2FE3598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3FEF680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5E771E1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1ACA967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68FA8CC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EF851D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28.52</w:t>
            </w:r>
          </w:p>
        </w:tc>
      </w:tr>
      <w:tr w:rsidR="00BF28EE" w:rsidRPr="00763151" w14:paraId="7521994D" w14:textId="77777777" w:rsidTr="00E907F7">
        <w:trPr>
          <w:trHeight w:val="73"/>
          <w:jc w:val="center"/>
        </w:trPr>
        <w:tc>
          <w:tcPr>
            <w:tcW w:w="1192" w:type="dxa"/>
            <w:tcBorders>
              <w:top w:val="nil"/>
              <w:left w:val="nil"/>
              <w:bottom w:val="nil"/>
              <w:right w:val="nil"/>
            </w:tcBorders>
            <w:noWrap/>
          </w:tcPr>
          <w:p w14:paraId="0D7F0B6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CT-3</w:t>
            </w:r>
          </w:p>
        </w:tc>
        <w:tc>
          <w:tcPr>
            <w:tcW w:w="850" w:type="dxa"/>
            <w:tcBorders>
              <w:top w:val="nil"/>
              <w:left w:val="nil"/>
              <w:bottom w:val="nil"/>
              <w:right w:val="nil"/>
            </w:tcBorders>
            <w:noWrap/>
          </w:tcPr>
          <w:p w14:paraId="5DE495D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2555B19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25</w:t>
            </w:r>
          </w:p>
        </w:tc>
        <w:tc>
          <w:tcPr>
            <w:tcW w:w="850" w:type="dxa"/>
            <w:tcBorders>
              <w:top w:val="nil"/>
              <w:left w:val="nil"/>
              <w:bottom w:val="nil"/>
              <w:right w:val="nil"/>
            </w:tcBorders>
            <w:noWrap/>
          </w:tcPr>
          <w:p w14:paraId="638A250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851" w:type="dxa"/>
            <w:tcBorders>
              <w:top w:val="nil"/>
              <w:left w:val="nil"/>
              <w:bottom w:val="nil"/>
              <w:right w:val="nil"/>
            </w:tcBorders>
            <w:noWrap/>
          </w:tcPr>
          <w:p w14:paraId="45BB421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3BE3C10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2B7009D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043786E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14026E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25.39</w:t>
            </w:r>
          </w:p>
        </w:tc>
      </w:tr>
      <w:tr w:rsidR="00BF28EE" w:rsidRPr="00763151" w14:paraId="6AB19D0D" w14:textId="77777777" w:rsidTr="00E907F7">
        <w:trPr>
          <w:trHeight w:val="73"/>
          <w:jc w:val="center"/>
        </w:trPr>
        <w:tc>
          <w:tcPr>
            <w:tcW w:w="1192" w:type="dxa"/>
            <w:tcBorders>
              <w:top w:val="nil"/>
              <w:left w:val="nil"/>
              <w:bottom w:val="nil"/>
              <w:right w:val="nil"/>
            </w:tcBorders>
            <w:noWrap/>
          </w:tcPr>
          <w:p w14:paraId="250304F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CT-4</w:t>
            </w:r>
          </w:p>
        </w:tc>
        <w:tc>
          <w:tcPr>
            <w:tcW w:w="850" w:type="dxa"/>
            <w:tcBorders>
              <w:top w:val="nil"/>
              <w:left w:val="nil"/>
              <w:bottom w:val="nil"/>
              <w:right w:val="nil"/>
            </w:tcBorders>
            <w:noWrap/>
          </w:tcPr>
          <w:p w14:paraId="7FE1C05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129D5A5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w:t>
            </w:r>
          </w:p>
        </w:tc>
        <w:tc>
          <w:tcPr>
            <w:tcW w:w="850" w:type="dxa"/>
            <w:tcBorders>
              <w:top w:val="nil"/>
              <w:left w:val="nil"/>
              <w:bottom w:val="nil"/>
              <w:right w:val="nil"/>
            </w:tcBorders>
            <w:noWrap/>
          </w:tcPr>
          <w:p w14:paraId="399FC26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0.23</w:t>
            </w:r>
          </w:p>
        </w:tc>
        <w:tc>
          <w:tcPr>
            <w:tcW w:w="851" w:type="dxa"/>
            <w:tcBorders>
              <w:top w:val="nil"/>
              <w:left w:val="nil"/>
              <w:bottom w:val="nil"/>
              <w:right w:val="nil"/>
            </w:tcBorders>
            <w:noWrap/>
          </w:tcPr>
          <w:p w14:paraId="40F1BA7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148C3BC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62DE307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00F6F42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1D01D76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23.44</w:t>
            </w:r>
          </w:p>
        </w:tc>
      </w:tr>
      <w:tr w:rsidR="00BF28EE" w:rsidRPr="00763151" w14:paraId="7CE642A3" w14:textId="77777777" w:rsidTr="00E907F7">
        <w:trPr>
          <w:trHeight w:val="73"/>
          <w:jc w:val="center"/>
        </w:trPr>
        <w:tc>
          <w:tcPr>
            <w:tcW w:w="1192" w:type="dxa"/>
            <w:tcBorders>
              <w:top w:val="nil"/>
              <w:left w:val="nil"/>
              <w:bottom w:val="nil"/>
              <w:right w:val="nil"/>
            </w:tcBorders>
            <w:noWrap/>
          </w:tcPr>
          <w:p w14:paraId="3AE2F31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850" w:type="dxa"/>
            <w:tcBorders>
              <w:top w:val="nil"/>
              <w:left w:val="nil"/>
              <w:bottom w:val="nil"/>
              <w:right w:val="nil"/>
            </w:tcBorders>
            <w:noWrap/>
          </w:tcPr>
          <w:p w14:paraId="2F95C3E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nil"/>
              <w:left w:val="nil"/>
              <w:bottom w:val="nil"/>
              <w:right w:val="nil"/>
            </w:tcBorders>
            <w:noWrap/>
          </w:tcPr>
          <w:p w14:paraId="1F8A48D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48.36</w:t>
            </w:r>
          </w:p>
        </w:tc>
        <w:tc>
          <w:tcPr>
            <w:tcW w:w="850" w:type="dxa"/>
            <w:tcBorders>
              <w:top w:val="nil"/>
              <w:left w:val="nil"/>
              <w:bottom w:val="nil"/>
              <w:right w:val="nil"/>
            </w:tcBorders>
            <w:noWrap/>
          </w:tcPr>
          <w:p w14:paraId="171A4A7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0.21</w:t>
            </w:r>
          </w:p>
        </w:tc>
        <w:tc>
          <w:tcPr>
            <w:tcW w:w="851" w:type="dxa"/>
            <w:tcBorders>
              <w:top w:val="nil"/>
              <w:left w:val="nil"/>
              <w:bottom w:val="nil"/>
              <w:right w:val="nil"/>
            </w:tcBorders>
            <w:noWrap/>
          </w:tcPr>
          <w:p w14:paraId="66A7543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3C571A3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0.14</w:t>
            </w:r>
          </w:p>
        </w:tc>
        <w:tc>
          <w:tcPr>
            <w:tcW w:w="851" w:type="dxa"/>
            <w:tcBorders>
              <w:top w:val="nil"/>
              <w:left w:val="nil"/>
              <w:bottom w:val="nil"/>
              <w:right w:val="nil"/>
            </w:tcBorders>
            <w:noWrap/>
          </w:tcPr>
          <w:p w14:paraId="7495DEC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3490BC4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2F94DCC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48.83</w:t>
            </w:r>
          </w:p>
        </w:tc>
      </w:tr>
      <w:tr w:rsidR="00BF28EE" w:rsidRPr="00763151" w14:paraId="2D291343" w14:textId="77777777" w:rsidTr="00E907F7">
        <w:trPr>
          <w:trHeight w:val="291"/>
          <w:jc w:val="center"/>
        </w:trPr>
        <w:tc>
          <w:tcPr>
            <w:tcW w:w="1192" w:type="dxa"/>
            <w:tcBorders>
              <w:top w:val="single" w:sz="8" w:space="0" w:color="auto"/>
              <w:left w:val="nil"/>
              <w:bottom w:val="single" w:sz="4" w:space="0" w:color="auto"/>
              <w:right w:val="nil"/>
            </w:tcBorders>
            <w:noWrap/>
          </w:tcPr>
          <w:p w14:paraId="28975596" w14:textId="77777777" w:rsidR="00BF28EE" w:rsidRDefault="00BF28EE" w:rsidP="00BB08DA">
            <w:pPr>
              <w:spacing w:line="192" w:lineRule="auto"/>
              <w:jc w:val="both"/>
              <w:rPr>
                <w:rFonts w:ascii="Times New Roman" w:eastAsia="Times New Roman" w:hAnsi="Times New Roman" w:cs="Times New Roman"/>
                <w:color w:val="000000"/>
              </w:rPr>
            </w:pPr>
          </w:p>
          <w:p w14:paraId="50BB246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850" w:type="dxa"/>
            <w:tcBorders>
              <w:top w:val="single" w:sz="8" w:space="0" w:color="auto"/>
              <w:left w:val="nil"/>
              <w:bottom w:val="single" w:sz="4" w:space="0" w:color="auto"/>
              <w:right w:val="nil"/>
            </w:tcBorders>
            <w:noWrap/>
          </w:tcPr>
          <w:p w14:paraId="36702CC8"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0872B25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1" w:type="dxa"/>
            <w:tcBorders>
              <w:top w:val="single" w:sz="8" w:space="0" w:color="auto"/>
              <w:left w:val="nil"/>
              <w:bottom w:val="single" w:sz="4" w:space="0" w:color="auto"/>
              <w:right w:val="nil"/>
            </w:tcBorders>
            <w:noWrap/>
          </w:tcPr>
          <w:p w14:paraId="332FE07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roofErr w:type="spellStart"/>
            <w:r w:rsidRPr="00763151">
              <w:rPr>
                <w:rFonts w:ascii="Times New Roman" w:eastAsia="Times New Roman" w:hAnsi="Times New Roman" w:cs="Times New Roman"/>
                <w:color w:val="000000"/>
              </w:rPr>
              <w:t>Consid</w:t>
            </w:r>
            <w:proofErr w:type="spellEnd"/>
            <w:r>
              <w:rPr>
                <w:rFonts w:ascii="Times New Roman" w:eastAsia="Times New Roman" w:hAnsi="Times New Roman" w:cs="Times New Roman"/>
                <w:color w:val="000000"/>
              </w:rPr>
              <w:t>.</w:t>
            </w:r>
            <w:r w:rsidRPr="00763151">
              <w:rPr>
                <w:rFonts w:ascii="Times New Roman" w:eastAsia="Times New Roman" w:hAnsi="Times New Roman" w:cs="Times New Roman"/>
                <w:color w:val="000000"/>
              </w:rPr>
              <w:t xml:space="preserve"> Risk</w:t>
            </w:r>
          </w:p>
        </w:tc>
        <w:tc>
          <w:tcPr>
            <w:tcW w:w="850" w:type="dxa"/>
            <w:tcBorders>
              <w:top w:val="single" w:sz="8" w:space="0" w:color="auto"/>
              <w:left w:val="nil"/>
              <w:bottom w:val="single" w:sz="4" w:space="0" w:color="auto"/>
              <w:right w:val="nil"/>
            </w:tcBorders>
            <w:noWrap/>
          </w:tcPr>
          <w:p w14:paraId="4EC1EAB3"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0055AFD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1" w:type="dxa"/>
            <w:tcBorders>
              <w:top w:val="single" w:sz="8" w:space="0" w:color="auto"/>
              <w:left w:val="nil"/>
              <w:bottom w:val="single" w:sz="4" w:space="0" w:color="auto"/>
              <w:right w:val="nil"/>
            </w:tcBorders>
            <w:noWrap/>
          </w:tcPr>
          <w:p w14:paraId="7247AAA3"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426A1FC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0" w:type="dxa"/>
            <w:tcBorders>
              <w:top w:val="single" w:sz="8" w:space="0" w:color="auto"/>
              <w:left w:val="nil"/>
              <w:bottom w:val="single" w:sz="4" w:space="0" w:color="auto"/>
              <w:right w:val="nil"/>
            </w:tcBorders>
            <w:noWrap/>
          </w:tcPr>
          <w:p w14:paraId="7C5136F4"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52B63AE8"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33FEB15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4CE564DD"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175B5678"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2610E77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0" w:type="dxa"/>
            <w:tcBorders>
              <w:top w:val="single" w:sz="8" w:space="0" w:color="auto"/>
              <w:left w:val="nil"/>
              <w:bottom w:val="single" w:sz="4" w:space="0" w:color="auto"/>
              <w:right w:val="nil"/>
            </w:tcBorders>
            <w:noWrap/>
          </w:tcPr>
          <w:p w14:paraId="718C06E8"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23F1F435"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14326DE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766" w:type="dxa"/>
            <w:tcBorders>
              <w:top w:val="single" w:sz="8" w:space="0" w:color="auto"/>
              <w:left w:val="nil"/>
              <w:bottom w:val="single" w:sz="4" w:space="0" w:color="auto"/>
              <w:right w:val="nil"/>
            </w:tcBorders>
            <w:noWrap/>
          </w:tcPr>
          <w:p w14:paraId="6DAEBF75"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63F3E077"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Ecol. </w:t>
            </w:r>
          </w:p>
          <w:p w14:paraId="1DF723E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r>
    </w:tbl>
    <w:p w14:paraId="1BD4A99D" w14:textId="77777777" w:rsidR="00BF28EE" w:rsidRDefault="00BF28EE" w:rsidP="0031398E">
      <w:pPr>
        <w:spacing w:after="0" w:line="276" w:lineRule="auto"/>
        <w:jc w:val="both"/>
        <w:rPr>
          <w:rFonts w:ascii="Times New Roman" w:eastAsia="Calibri" w:hAnsi="Times New Roman" w:cs="Times New Roman"/>
          <w:b/>
          <w:sz w:val="20"/>
          <w:szCs w:val="20"/>
        </w:rPr>
      </w:pPr>
    </w:p>
    <w:p w14:paraId="487BAF52" w14:textId="77777777" w:rsidR="00277CF0" w:rsidRPr="00763151" w:rsidRDefault="00656399" w:rsidP="00817930">
      <w:pPr>
        <w:spacing w:after="0" w:line="240" w:lineRule="auto"/>
        <w:ind w:firstLine="426"/>
        <w:jc w:val="both"/>
        <w:rPr>
          <w:rFonts w:ascii="Times New Roman" w:eastAsia="Calibri" w:hAnsi="Times New Roman" w:cs="Times New Roman"/>
          <w:color w:val="000000"/>
          <w:sz w:val="20"/>
          <w:szCs w:val="20"/>
        </w:rPr>
      </w:pPr>
      <w:r w:rsidRPr="00656399">
        <w:rPr>
          <w:rFonts w:ascii="Times New Roman" w:eastAsia="Calibri" w:hAnsi="Times New Roman" w:cs="Times New Roman"/>
          <w:color w:val="000000"/>
          <w:sz w:val="20"/>
          <w:szCs w:val="20"/>
        </w:rPr>
        <w:t xml:space="preserve">However, the ecological risk index results for the heavy metals at the study site </w:t>
      </w:r>
      <w:r w:rsidR="00277CF0" w:rsidRPr="00763151">
        <w:rPr>
          <w:rFonts w:ascii="Times New Roman" w:eastAsia="Calibri" w:hAnsi="Times New Roman" w:cs="Times New Roman"/>
          <w:color w:val="000000"/>
          <w:sz w:val="20"/>
          <w:szCs w:val="20"/>
        </w:rPr>
        <w:t xml:space="preserve">after the </w:t>
      </w:r>
      <w:r w:rsidR="001974DA">
        <w:rPr>
          <w:rFonts w:ascii="Times New Roman" w:eastAsia="Calibri" w:hAnsi="Times New Roman" w:cs="Times New Roman"/>
          <w:color w:val="000000"/>
          <w:sz w:val="20"/>
          <w:szCs w:val="20"/>
        </w:rPr>
        <w:t>s</w:t>
      </w:r>
      <w:r w:rsidR="00277CF0" w:rsidRPr="00763151">
        <w:rPr>
          <w:rFonts w:ascii="Times New Roman" w:eastAsia="Calibri" w:hAnsi="Times New Roman" w:cs="Times New Roman"/>
          <w:color w:val="000000"/>
          <w:sz w:val="20"/>
          <w:szCs w:val="20"/>
        </w:rPr>
        <w:t xml:space="preserve">econd </w:t>
      </w:r>
      <w:r w:rsidR="001974DA">
        <w:rPr>
          <w:rFonts w:ascii="Times New Roman" w:eastAsia="Calibri" w:hAnsi="Times New Roman" w:cs="Times New Roman"/>
          <w:color w:val="000000"/>
          <w:sz w:val="20"/>
          <w:szCs w:val="20"/>
        </w:rPr>
        <w:t>sampling phase</w:t>
      </w:r>
      <w:r w:rsidR="00277CF0" w:rsidRPr="00763151">
        <w:rPr>
          <w:rFonts w:ascii="Times New Roman" w:eastAsia="Calibri" w:hAnsi="Times New Roman" w:cs="Times New Roman"/>
          <w:color w:val="000000"/>
          <w:sz w:val="20"/>
          <w:szCs w:val="20"/>
        </w:rPr>
        <w:t xml:space="preserve"> exercise revealed that all </w:t>
      </w:r>
      <w:r w:rsidR="003670EE">
        <w:rPr>
          <w:rFonts w:ascii="Times New Roman" w:eastAsia="Calibri" w:hAnsi="Times New Roman" w:cs="Times New Roman"/>
          <w:color w:val="000000"/>
          <w:sz w:val="20"/>
          <w:szCs w:val="20"/>
        </w:rPr>
        <w:t xml:space="preserve">the </w:t>
      </w:r>
      <w:r w:rsidR="00277CF0" w:rsidRPr="00763151">
        <w:rPr>
          <w:rFonts w:ascii="Times New Roman" w:eastAsia="Calibri" w:hAnsi="Times New Roman" w:cs="Times New Roman"/>
          <w:color w:val="000000"/>
          <w:sz w:val="20"/>
          <w:szCs w:val="20"/>
        </w:rPr>
        <w:t xml:space="preserve">metals studied except </w:t>
      </w:r>
      <w:r w:rsidR="003670EE">
        <w:rPr>
          <w:rFonts w:ascii="Times New Roman" w:eastAsia="Calibri" w:hAnsi="Times New Roman" w:cs="Times New Roman"/>
          <w:color w:val="000000"/>
          <w:sz w:val="20"/>
          <w:szCs w:val="20"/>
        </w:rPr>
        <w:t xml:space="preserve">for </w:t>
      </w:r>
      <w:r w:rsidR="00277CF0" w:rsidRPr="00763151">
        <w:rPr>
          <w:rFonts w:ascii="Times New Roman" w:eastAsia="Calibri" w:hAnsi="Times New Roman" w:cs="Times New Roman"/>
          <w:color w:val="000000"/>
          <w:sz w:val="20"/>
          <w:szCs w:val="20"/>
        </w:rPr>
        <w:t xml:space="preserve">Cd </w:t>
      </w:r>
      <w:r w:rsidR="003670EE">
        <w:rPr>
          <w:rFonts w:ascii="Times New Roman" w:eastAsia="Calibri" w:hAnsi="Times New Roman" w:cs="Times New Roman"/>
          <w:color w:val="000000"/>
          <w:sz w:val="20"/>
          <w:szCs w:val="20"/>
        </w:rPr>
        <w:t>exhibits values of</w:t>
      </w:r>
      <w:r w:rsidR="00277CF0" w:rsidRPr="00763151">
        <w:rPr>
          <w:rFonts w:ascii="Times New Roman" w:eastAsia="Calibri" w:hAnsi="Times New Roman" w:cs="Times New Roman"/>
          <w:color w:val="000000"/>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277CF0" w:rsidRPr="00763151">
        <w:rPr>
          <w:rFonts w:ascii="Times New Roman" w:eastAsia="Calibri" w:hAnsi="Times New Roman" w:cs="Times New Roman"/>
          <w:color w:val="000000"/>
          <w:sz w:val="20"/>
          <w:szCs w:val="20"/>
        </w:rPr>
        <w:t xml:space="preserve">and </w:t>
      </w:r>
      <m:oMath>
        <m:r>
          <w:rPr>
            <w:rFonts w:ascii="Cambria Math" w:eastAsia="Calibri" w:hAnsi="Cambria Math" w:cs="Times New Roman"/>
            <w:sz w:val="20"/>
            <w:szCs w:val="20"/>
          </w:rPr>
          <m:t>RI</m:t>
        </m:r>
      </m:oMath>
      <w:r w:rsidR="00277CF0" w:rsidRPr="00763151">
        <w:rPr>
          <w:rFonts w:ascii="Times New Roman" w:eastAsia="Calibri" w:hAnsi="Times New Roman" w:cs="Times New Roman"/>
          <w:color w:val="000000"/>
          <w:sz w:val="20"/>
          <w:szCs w:val="20"/>
        </w:rPr>
        <w:t xml:space="preserve"> </w:t>
      </w:r>
      <w:r w:rsidR="003670EE">
        <w:rPr>
          <w:rFonts w:ascii="Times New Roman" w:eastAsia="Calibri" w:hAnsi="Times New Roman" w:cs="Times New Roman"/>
          <w:color w:val="000000"/>
          <w:sz w:val="20"/>
          <w:szCs w:val="20"/>
        </w:rPr>
        <w:t>&lt;</w:t>
      </w:r>
      <w:r w:rsidR="00277CF0" w:rsidRPr="00763151">
        <w:rPr>
          <w:rFonts w:ascii="Times New Roman" w:eastAsia="Calibri" w:hAnsi="Times New Roman" w:cs="Times New Roman"/>
          <w:color w:val="000000"/>
          <w:sz w:val="20"/>
          <w:szCs w:val="20"/>
        </w:rPr>
        <w:t xml:space="preserve"> 40 and 150, respectively</w:t>
      </w:r>
      <w:r w:rsidR="00E864B7">
        <w:rPr>
          <w:rFonts w:ascii="Times New Roman" w:eastAsia="Calibri" w:hAnsi="Times New Roman" w:cs="Times New Roman"/>
          <w:color w:val="000000"/>
          <w:sz w:val="20"/>
          <w:szCs w:val="20"/>
        </w:rPr>
        <w:t>. T</w:t>
      </w:r>
      <w:r w:rsidR="00277CF0" w:rsidRPr="00763151">
        <w:rPr>
          <w:rFonts w:ascii="Times New Roman" w:eastAsia="Calibri" w:hAnsi="Times New Roman" w:cs="Times New Roman"/>
          <w:color w:val="000000"/>
          <w:sz w:val="20"/>
          <w:szCs w:val="20"/>
        </w:rPr>
        <w:t>hey fall in Group A of the ecological risk standard level</w:t>
      </w:r>
      <w:r w:rsidR="00B60448">
        <w:rPr>
          <w:rFonts w:ascii="Times New Roman" w:eastAsia="Calibri" w:hAnsi="Times New Roman" w:cs="Times New Roman"/>
          <w:color w:val="000000"/>
          <w:sz w:val="20"/>
          <w:szCs w:val="20"/>
        </w:rPr>
        <w:t xml:space="preserve"> (</w:t>
      </w:r>
      <w:proofErr w:type="spellStart"/>
      <w:r w:rsidR="00B60448" w:rsidRPr="008665EC">
        <w:rPr>
          <w:rFonts w:ascii="Times New Roman" w:hAnsi="Times New Roman" w:cs="Times New Roman"/>
          <w:color w:val="2660F0"/>
          <w:sz w:val="20"/>
          <w:szCs w:val="20"/>
        </w:rPr>
        <w:t>Pobi</w:t>
      </w:r>
      <w:proofErr w:type="spellEnd"/>
      <w:r w:rsidR="00B60448" w:rsidRPr="008665EC">
        <w:rPr>
          <w:rFonts w:ascii="Times New Roman" w:hAnsi="Times New Roman" w:cs="Times New Roman"/>
          <w:color w:val="2660F0"/>
          <w:sz w:val="20"/>
          <w:szCs w:val="20"/>
        </w:rPr>
        <w:t xml:space="preserve"> et al., 2019</w:t>
      </w:r>
      <w:r w:rsidR="00B60448">
        <w:rPr>
          <w:rFonts w:ascii="Times New Roman" w:eastAsia="Calibri" w:hAnsi="Times New Roman" w:cs="Times New Roman"/>
          <w:color w:val="000000"/>
          <w:sz w:val="20"/>
          <w:szCs w:val="20"/>
        </w:rPr>
        <w:t>)</w:t>
      </w:r>
      <w:r w:rsidR="00277CF0" w:rsidRPr="00763151">
        <w:rPr>
          <w:rFonts w:ascii="Times New Roman" w:eastAsia="Calibri" w:hAnsi="Times New Roman" w:cs="Times New Roman"/>
          <w:color w:val="000000"/>
          <w:sz w:val="20"/>
          <w:szCs w:val="20"/>
        </w:rPr>
        <w:t xml:space="preserve">. The values </w:t>
      </w:r>
      <w:r w:rsidR="00E16AD7">
        <w:rPr>
          <w:rFonts w:ascii="Times New Roman" w:eastAsia="Calibri" w:hAnsi="Times New Roman" w:cs="Times New Roman"/>
          <w:color w:val="000000"/>
          <w:sz w:val="20"/>
          <w:szCs w:val="20"/>
        </w:rPr>
        <w:t xml:space="preserve">for ecological risks </w:t>
      </w:r>
      <w:r w:rsidR="00277CF0" w:rsidRPr="00763151">
        <w:rPr>
          <w:rFonts w:ascii="Times New Roman" w:eastAsia="Calibri" w:hAnsi="Times New Roman" w:cs="Times New Roman"/>
          <w:color w:val="000000"/>
          <w:sz w:val="20"/>
          <w:szCs w:val="20"/>
        </w:rPr>
        <w:t xml:space="preserve">of Cd in these </w:t>
      </w:r>
      <w:r w:rsidR="00750E67">
        <w:rPr>
          <w:rFonts w:ascii="Times New Roman" w:eastAsia="Calibri" w:hAnsi="Times New Roman" w:cs="Times New Roman"/>
          <w:color w:val="000000"/>
          <w:sz w:val="20"/>
          <w:szCs w:val="20"/>
        </w:rPr>
        <w:t xml:space="preserve">stations </w:t>
      </w:r>
      <w:r w:rsidR="00750E67">
        <w:rPr>
          <w:rFonts w:ascii="Times New Roman" w:eastAsia="Calibri" w:hAnsi="Times New Roman" w:cs="Times New Roman"/>
          <w:sz w:val="20"/>
          <w:szCs w:val="20"/>
        </w:rPr>
        <w:t>PR-</w:t>
      </w:r>
      <w:r w:rsidR="006A7DC1">
        <w:rPr>
          <w:rFonts w:ascii="Times New Roman" w:eastAsia="Calibri" w:hAnsi="Times New Roman" w:cs="Times New Roman"/>
          <w:color w:val="000000"/>
          <w:sz w:val="20"/>
          <w:szCs w:val="20"/>
        </w:rPr>
        <w:t xml:space="preserve">12, </w:t>
      </w:r>
      <w:r w:rsidR="00277CF0" w:rsidRPr="00763151">
        <w:rPr>
          <w:rFonts w:ascii="Times New Roman" w:eastAsia="Calibri" w:hAnsi="Times New Roman" w:cs="Times New Roman"/>
          <w:color w:val="000000"/>
          <w:sz w:val="20"/>
          <w:szCs w:val="20"/>
        </w:rPr>
        <w:t>14,</w:t>
      </w:r>
      <w:r w:rsidR="006A7DC1">
        <w:rPr>
          <w:rFonts w:ascii="Times New Roman" w:eastAsia="Calibri" w:hAnsi="Times New Roman" w:cs="Times New Roman"/>
          <w:color w:val="000000"/>
          <w:sz w:val="20"/>
          <w:szCs w:val="20"/>
        </w:rPr>
        <w:t xml:space="preserve"> </w:t>
      </w:r>
      <w:r w:rsidR="00277CF0" w:rsidRPr="00763151">
        <w:rPr>
          <w:rFonts w:ascii="Times New Roman" w:eastAsia="Calibri" w:hAnsi="Times New Roman" w:cs="Times New Roman"/>
          <w:color w:val="000000"/>
          <w:sz w:val="20"/>
          <w:szCs w:val="20"/>
        </w:rPr>
        <w:t xml:space="preserve">16, 18, 20, 21, </w:t>
      </w:r>
      <w:r w:rsidR="006A7DC1">
        <w:rPr>
          <w:rFonts w:ascii="Times New Roman" w:eastAsia="Calibri" w:hAnsi="Times New Roman" w:cs="Times New Roman"/>
          <w:sz w:val="20"/>
          <w:szCs w:val="20"/>
        </w:rPr>
        <w:t xml:space="preserve">and </w:t>
      </w:r>
      <w:r w:rsidR="00277CF0" w:rsidRPr="00763151">
        <w:rPr>
          <w:rFonts w:ascii="Times New Roman" w:eastAsia="Calibri" w:hAnsi="Times New Roman" w:cs="Times New Roman"/>
          <w:color w:val="000000"/>
          <w:sz w:val="20"/>
          <w:szCs w:val="20"/>
        </w:rPr>
        <w:t>22</w:t>
      </w:r>
      <w:r w:rsidR="006A7DC1">
        <w:rPr>
          <w:rFonts w:ascii="Times New Roman" w:eastAsia="Calibri" w:hAnsi="Times New Roman" w:cs="Times New Roman"/>
          <w:color w:val="000000"/>
          <w:sz w:val="20"/>
          <w:szCs w:val="20"/>
        </w:rPr>
        <w:t>,</w:t>
      </w:r>
      <w:r w:rsidR="00277CF0" w:rsidRPr="00763151">
        <w:rPr>
          <w:rFonts w:ascii="Times New Roman" w:eastAsia="Calibri" w:hAnsi="Times New Roman" w:cs="Times New Roman"/>
          <w:color w:val="000000"/>
          <w:sz w:val="20"/>
          <w:szCs w:val="20"/>
        </w:rPr>
        <w:t xml:space="preserve"> and control </w:t>
      </w:r>
      <w:r w:rsidR="00750E67">
        <w:rPr>
          <w:rFonts w:ascii="Times New Roman" w:eastAsia="Calibri" w:hAnsi="Times New Roman" w:cs="Times New Roman"/>
          <w:color w:val="000000"/>
          <w:sz w:val="20"/>
          <w:szCs w:val="20"/>
        </w:rPr>
        <w:t>CT-</w:t>
      </w:r>
      <w:r w:rsidR="00277CF0" w:rsidRPr="00763151">
        <w:rPr>
          <w:rFonts w:ascii="Times New Roman" w:eastAsia="Calibri" w:hAnsi="Times New Roman" w:cs="Times New Roman"/>
          <w:color w:val="000000"/>
          <w:sz w:val="20"/>
          <w:szCs w:val="20"/>
        </w:rPr>
        <w:t>3 and 4 were assessed under low ecological risk as their concentrations were less than 40 (</w:t>
      </w:r>
      <w:r w:rsidR="00277CF0" w:rsidRPr="00494ECA">
        <w:rPr>
          <w:rFonts w:ascii="Times New Roman" w:eastAsia="Calibri" w:hAnsi="Times New Roman" w:cs="Times New Roman"/>
          <w:bCs/>
          <w:color w:val="2660F0"/>
          <w:sz w:val="20"/>
          <w:szCs w:val="20"/>
        </w:rPr>
        <w:t>Table 1</w:t>
      </w:r>
      <w:r w:rsidR="002A05F4">
        <w:rPr>
          <w:rFonts w:ascii="Times New Roman" w:eastAsia="Calibri" w:hAnsi="Times New Roman" w:cs="Times New Roman"/>
          <w:bCs/>
          <w:color w:val="2660F0"/>
          <w:sz w:val="20"/>
          <w:szCs w:val="20"/>
        </w:rPr>
        <w:t>0</w:t>
      </w:r>
      <w:r w:rsidR="00277CF0" w:rsidRPr="00763151">
        <w:rPr>
          <w:rFonts w:ascii="Times New Roman" w:eastAsia="Calibri" w:hAnsi="Times New Roman" w:cs="Times New Roman"/>
          <w:b/>
          <w:color w:val="000000"/>
          <w:sz w:val="20"/>
          <w:szCs w:val="20"/>
        </w:rPr>
        <w:t>)</w:t>
      </w:r>
      <w:r w:rsidR="00277CF0" w:rsidRPr="00763151">
        <w:rPr>
          <w:rFonts w:ascii="Times New Roman" w:eastAsia="Calibri" w:hAnsi="Times New Roman" w:cs="Times New Roman"/>
          <w:color w:val="000000"/>
          <w:sz w:val="20"/>
          <w:szCs w:val="20"/>
        </w:rPr>
        <w:t>.</w:t>
      </w:r>
      <w:r w:rsidR="00277CF0">
        <w:rPr>
          <w:rFonts w:ascii="Times New Roman" w:eastAsia="Calibri" w:hAnsi="Times New Roman" w:cs="Times New Roman"/>
          <w:color w:val="000000"/>
          <w:sz w:val="20"/>
          <w:szCs w:val="20"/>
        </w:rPr>
        <w:t xml:space="preserve"> </w:t>
      </w:r>
      <w:r w:rsidR="00277CF0" w:rsidRPr="00763151">
        <w:rPr>
          <w:rFonts w:ascii="Times New Roman" w:eastAsia="Calibri" w:hAnsi="Times New Roman" w:cs="Times New Roman"/>
          <w:color w:val="000000"/>
          <w:sz w:val="20"/>
          <w:szCs w:val="20"/>
        </w:rPr>
        <w:t xml:space="preserve">Sample </w:t>
      </w:r>
      <w:r w:rsidR="00B357C6">
        <w:rPr>
          <w:rFonts w:ascii="Times New Roman" w:eastAsia="Calibri" w:hAnsi="Times New Roman" w:cs="Times New Roman"/>
          <w:sz w:val="20"/>
          <w:szCs w:val="20"/>
        </w:rPr>
        <w:t>PR-</w:t>
      </w:r>
      <w:r w:rsidR="00277CF0" w:rsidRPr="00763151">
        <w:rPr>
          <w:rFonts w:ascii="Times New Roman" w:eastAsia="Calibri" w:hAnsi="Times New Roman" w:cs="Times New Roman"/>
          <w:color w:val="000000"/>
          <w:sz w:val="20"/>
          <w:szCs w:val="20"/>
        </w:rPr>
        <w:t>17 falls under moderate risk (40-80), and sample</w:t>
      </w:r>
      <w:r w:rsidR="00B357C6">
        <w:rPr>
          <w:rFonts w:ascii="Times New Roman" w:eastAsia="Calibri" w:hAnsi="Times New Roman" w:cs="Times New Roman"/>
          <w:color w:val="000000"/>
          <w:sz w:val="20"/>
          <w:szCs w:val="20"/>
        </w:rPr>
        <w:t xml:space="preserve"> </w:t>
      </w:r>
      <w:r w:rsidR="00B357C6">
        <w:rPr>
          <w:rFonts w:ascii="Times New Roman" w:eastAsia="Calibri" w:hAnsi="Times New Roman" w:cs="Times New Roman"/>
          <w:sz w:val="20"/>
          <w:szCs w:val="20"/>
        </w:rPr>
        <w:t>PR-</w:t>
      </w:r>
      <w:r w:rsidR="00277CF0" w:rsidRPr="00763151">
        <w:rPr>
          <w:rFonts w:ascii="Times New Roman" w:eastAsia="Calibri" w:hAnsi="Times New Roman" w:cs="Times New Roman"/>
          <w:color w:val="000000"/>
          <w:sz w:val="20"/>
          <w:szCs w:val="20"/>
        </w:rPr>
        <w:t>13 has the value falling under considerable risk (80</w:t>
      </w:r>
      <w:r w:rsidR="00817930">
        <w:rPr>
          <w:rFonts w:ascii="Times New Roman" w:eastAsia="Calibri" w:hAnsi="Times New Roman" w:cs="Times New Roman"/>
          <w:color w:val="000000"/>
          <w:sz w:val="20"/>
          <w:szCs w:val="20"/>
        </w:rPr>
        <w:t>&lt;</w:t>
      </w:r>
      <w:r w:rsidR="00277CF0" w:rsidRPr="00763151">
        <w:rPr>
          <w:rFonts w:ascii="Times New Roman" w:eastAsia="Calibri" w:hAnsi="Times New Roman" w:cs="Times New Roman"/>
          <w:color w:val="000000"/>
          <w:sz w:val="20"/>
          <w:szCs w:val="20"/>
        </w:rPr>
        <w:t xml:space="preserve"> </w:t>
      </w:r>
      <w:proofErr w:type="spellStart"/>
      <w:r w:rsidR="00277CF0" w:rsidRPr="00F11F37">
        <w:rPr>
          <w:rFonts w:ascii="Times New Roman" w:eastAsia="Calibri" w:hAnsi="Times New Roman" w:cs="Times New Roman"/>
          <w:i/>
          <w:iCs/>
          <w:color w:val="000000"/>
          <w:sz w:val="20"/>
          <w:szCs w:val="20"/>
        </w:rPr>
        <w:t>E</w:t>
      </w:r>
      <w:r w:rsidR="00277CF0" w:rsidRPr="00F11F37">
        <w:rPr>
          <w:rFonts w:ascii="Times New Roman" w:eastAsia="Calibri" w:hAnsi="Times New Roman" w:cs="Times New Roman"/>
          <w:i/>
          <w:iCs/>
          <w:color w:val="000000"/>
          <w:sz w:val="20"/>
          <w:szCs w:val="20"/>
          <w:vertAlign w:val="superscript"/>
        </w:rPr>
        <w:t>i</w:t>
      </w:r>
      <w:r w:rsidR="00817930">
        <w:rPr>
          <w:rFonts w:ascii="Times New Roman" w:eastAsia="Calibri" w:hAnsi="Times New Roman" w:cs="Times New Roman"/>
          <w:i/>
          <w:iCs/>
          <w:color w:val="000000"/>
          <w:sz w:val="20"/>
          <w:szCs w:val="20"/>
          <w:vertAlign w:val="subscript"/>
        </w:rPr>
        <w:t>R</w:t>
      </w:r>
      <w:proofErr w:type="spellEnd"/>
      <w:r w:rsidR="00277CF0" w:rsidRPr="00763151">
        <w:rPr>
          <w:rFonts w:ascii="Times New Roman" w:eastAsia="Calibri" w:hAnsi="Times New Roman" w:cs="Times New Roman"/>
          <w:color w:val="000000"/>
          <w:sz w:val="20"/>
          <w:szCs w:val="20"/>
        </w:rPr>
        <w:t xml:space="preserve"> &lt; 160). The mean concentration value of Cd was reduced to 48.36 compared to 70.77 in the </w:t>
      </w:r>
      <w:r w:rsidR="009E734E">
        <w:rPr>
          <w:rFonts w:ascii="Times New Roman" w:eastAsia="Calibri" w:hAnsi="Times New Roman" w:cs="Times New Roman"/>
          <w:color w:val="000000"/>
          <w:sz w:val="20"/>
          <w:szCs w:val="20"/>
        </w:rPr>
        <w:t>first sampling phase</w:t>
      </w:r>
      <w:r w:rsidR="00277CF0" w:rsidRPr="00763151">
        <w:rPr>
          <w:rFonts w:ascii="Times New Roman" w:eastAsia="Calibri" w:hAnsi="Times New Roman" w:cs="Times New Roman"/>
          <w:color w:val="000000"/>
          <w:sz w:val="20"/>
          <w:szCs w:val="20"/>
          <w:highlight w:val="yellow"/>
        </w:rPr>
        <w:t xml:space="preserve"> exercise, and a range from 23 to 106 compared with 19 to 142 in the </w:t>
      </w:r>
      <w:r w:rsidR="001103A6">
        <w:rPr>
          <w:rFonts w:ascii="Times New Roman" w:eastAsia="Calibri" w:hAnsi="Times New Roman" w:cs="Times New Roman"/>
          <w:color w:val="000000"/>
          <w:sz w:val="20"/>
          <w:szCs w:val="20"/>
        </w:rPr>
        <w:t>second</w:t>
      </w:r>
      <w:r w:rsidR="00277CF0" w:rsidRPr="00763151">
        <w:rPr>
          <w:rFonts w:ascii="Times New Roman" w:eastAsia="Calibri" w:hAnsi="Times New Roman" w:cs="Times New Roman"/>
          <w:color w:val="000000"/>
          <w:sz w:val="20"/>
          <w:szCs w:val="20"/>
        </w:rPr>
        <w:t xml:space="preserve"> </w:t>
      </w:r>
      <w:r w:rsidR="001103A6">
        <w:rPr>
          <w:rFonts w:ascii="Times New Roman" w:eastAsia="Calibri" w:hAnsi="Times New Roman" w:cs="Times New Roman"/>
          <w:color w:val="000000"/>
          <w:sz w:val="20"/>
          <w:szCs w:val="20"/>
        </w:rPr>
        <w:t>phase</w:t>
      </w:r>
      <w:r w:rsidR="00277CF0" w:rsidRPr="00763151">
        <w:rPr>
          <w:rFonts w:ascii="Times New Roman" w:eastAsia="Calibri" w:hAnsi="Times New Roman" w:cs="Times New Roman"/>
          <w:color w:val="000000"/>
          <w:sz w:val="20"/>
          <w:szCs w:val="20"/>
        </w:rPr>
        <w:t xml:space="preserve"> exercise. The second </w:t>
      </w:r>
      <w:r w:rsidR="001103A6">
        <w:rPr>
          <w:rFonts w:ascii="Times New Roman" w:eastAsia="Calibri" w:hAnsi="Times New Roman" w:cs="Times New Roman"/>
          <w:color w:val="000000"/>
          <w:sz w:val="20"/>
          <w:szCs w:val="20"/>
        </w:rPr>
        <w:t>sampling phase</w:t>
      </w:r>
      <w:r w:rsidR="00277CF0" w:rsidRPr="00763151">
        <w:rPr>
          <w:rFonts w:ascii="Times New Roman" w:eastAsia="Calibri" w:hAnsi="Times New Roman" w:cs="Times New Roman"/>
          <w:color w:val="000000"/>
          <w:sz w:val="20"/>
          <w:szCs w:val="20"/>
        </w:rPr>
        <w:t xml:space="preserve"> exercise was observed to have reduced the risk</w:t>
      </w:r>
      <w:r w:rsidR="00CA2A26">
        <w:rPr>
          <w:rFonts w:ascii="Times New Roman" w:eastAsia="Calibri" w:hAnsi="Times New Roman" w:cs="Times New Roman"/>
          <w:color w:val="000000"/>
          <w:sz w:val="20"/>
          <w:szCs w:val="20"/>
        </w:rPr>
        <w:t>s</w:t>
      </w:r>
      <w:r w:rsidR="00277CF0" w:rsidRPr="00763151">
        <w:rPr>
          <w:rFonts w:ascii="Times New Roman" w:eastAsia="Calibri" w:hAnsi="Times New Roman" w:cs="Times New Roman"/>
          <w:color w:val="000000"/>
          <w:sz w:val="20"/>
          <w:szCs w:val="20"/>
        </w:rPr>
        <w:t xml:space="preserve"> of Cd </w:t>
      </w:r>
      <w:r w:rsidR="00CA2A26">
        <w:rPr>
          <w:rFonts w:ascii="Times New Roman" w:eastAsia="Calibri" w:hAnsi="Times New Roman" w:cs="Times New Roman"/>
          <w:color w:val="000000"/>
          <w:sz w:val="20"/>
          <w:szCs w:val="20"/>
        </w:rPr>
        <w:t>within the environment</w:t>
      </w:r>
      <w:r w:rsidR="00CA2A26" w:rsidRPr="00763151">
        <w:rPr>
          <w:rFonts w:ascii="Times New Roman" w:eastAsia="Calibri" w:hAnsi="Times New Roman" w:cs="Times New Roman"/>
          <w:color w:val="000000"/>
          <w:sz w:val="20"/>
          <w:szCs w:val="20"/>
        </w:rPr>
        <w:t xml:space="preserve"> </w:t>
      </w:r>
      <w:r w:rsidR="00277CF0" w:rsidRPr="00763151">
        <w:rPr>
          <w:rFonts w:ascii="Times New Roman" w:eastAsia="Calibri" w:hAnsi="Times New Roman" w:cs="Times New Roman"/>
          <w:color w:val="000000"/>
          <w:sz w:val="20"/>
          <w:szCs w:val="20"/>
        </w:rPr>
        <w:t xml:space="preserve">in most locations. </w:t>
      </w:r>
    </w:p>
    <w:p w14:paraId="4C01BAF9" w14:textId="77777777" w:rsidR="008D052C" w:rsidRDefault="008D052C" w:rsidP="00326066">
      <w:pPr>
        <w:spacing w:after="0" w:line="240" w:lineRule="auto"/>
        <w:jc w:val="both"/>
        <w:rPr>
          <w:rFonts w:ascii="Times New Roman" w:eastAsia="Calibri" w:hAnsi="Times New Roman" w:cs="Times New Roman"/>
          <w:color w:val="000000"/>
          <w:sz w:val="20"/>
          <w:szCs w:val="20"/>
        </w:rPr>
      </w:pPr>
    </w:p>
    <w:p w14:paraId="796EC8A8" w14:textId="77777777" w:rsidR="000F5ECF" w:rsidRDefault="004F00BB" w:rsidP="0020401D">
      <w:pPr>
        <w:spacing w:after="0" w:line="240" w:lineRule="auto"/>
        <w:rPr>
          <w:rFonts w:ascii="Times New Roman" w:eastAsia="Calibri" w:hAnsi="Times New Roman" w:cs="Times New Roman"/>
          <w:b/>
          <w:sz w:val="20"/>
          <w:szCs w:val="20"/>
          <w:lang w:val="en-MY"/>
        </w:rPr>
      </w:pPr>
      <w:r>
        <w:rPr>
          <w:rFonts w:ascii="Times New Roman" w:eastAsia="Calibri" w:hAnsi="Times New Roman" w:cs="Times New Roman"/>
          <w:b/>
          <w:sz w:val="20"/>
          <w:szCs w:val="20"/>
          <w:lang w:val="en-MY"/>
        </w:rPr>
        <w:t>3</w:t>
      </w:r>
      <w:r w:rsidR="0020401D" w:rsidRPr="003067BF">
        <w:rPr>
          <w:rFonts w:ascii="Times New Roman" w:eastAsia="Calibri" w:hAnsi="Times New Roman" w:cs="Times New Roman"/>
          <w:b/>
          <w:sz w:val="20"/>
          <w:szCs w:val="20"/>
          <w:lang w:val="en-MY"/>
        </w:rPr>
        <w:t>.</w:t>
      </w:r>
      <w:r>
        <w:rPr>
          <w:rFonts w:ascii="Times New Roman" w:eastAsia="Calibri" w:hAnsi="Times New Roman" w:cs="Times New Roman"/>
          <w:b/>
          <w:sz w:val="20"/>
          <w:szCs w:val="20"/>
          <w:lang w:val="en-MY"/>
        </w:rPr>
        <w:t>3</w:t>
      </w:r>
      <w:r w:rsidR="000F5ECF">
        <w:rPr>
          <w:rFonts w:ascii="Times New Roman" w:eastAsia="Calibri" w:hAnsi="Times New Roman" w:cs="Times New Roman"/>
          <w:b/>
          <w:sz w:val="20"/>
          <w:szCs w:val="20"/>
          <w:lang w:val="en-MY"/>
        </w:rPr>
        <w:t xml:space="preserve"> Environmental Quality</w:t>
      </w:r>
      <w:r w:rsidR="0020401D" w:rsidRPr="003067BF">
        <w:rPr>
          <w:rFonts w:ascii="Times New Roman" w:eastAsia="Calibri" w:hAnsi="Times New Roman" w:cs="Times New Roman"/>
          <w:b/>
          <w:sz w:val="20"/>
          <w:szCs w:val="20"/>
          <w:lang w:val="en-MY"/>
        </w:rPr>
        <w:t xml:space="preserve"> </w:t>
      </w:r>
      <w:r w:rsidR="005678FE">
        <w:rPr>
          <w:rFonts w:ascii="Times New Roman" w:eastAsia="Calibri" w:hAnsi="Times New Roman" w:cs="Times New Roman"/>
          <w:b/>
          <w:sz w:val="20"/>
          <w:szCs w:val="20"/>
          <w:lang w:val="en-MY"/>
        </w:rPr>
        <w:t>Assessment</w:t>
      </w:r>
    </w:p>
    <w:p w14:paraId="2A14CBF2" w14:textId="77777777" w:rsidR="00137DEB" w:rsidRDefault="0020401D" w:rsidP="002A5F06">
      <w:pPr>
        <w:spacing w:after="0" w:line="240" w:lineRule="auto"/>
        <w:jc w:val="both"/>
        <w:rPr>
          <w:rFonts w:ascii="Times New Roman" w:eastAsia="Calibri" w:hAnsi="Times New Roman" w:cs="Times New Roman"/>
          <w:sz w:val="20"/>
          <w:szCs w:val="20"/>
          <w:lang w:val="en-MY"/>
        </w:rPr>
      </w:pPr>
      <w:r>
        <w:rPr>
          <w:rFonts w:ascii="Times New Roman" w:eastAsia="Calibri" w:hAnsi="Times New Roman" w:cs="Times New Roman"/>
          <w:sz w:val="20"/>
          <w:szCs w:val="20"/>
          <w:highlight w:val="yellow"/>
          <w:lang w:val="en-MY"/>
        </w:rPr>
        <w:t>S</w:t>
      </w:r>
      <w:r>
        <w:rPr>
          <w:rFonts w:ascii="Times New Roman" w:eastAsia="Calibri" w:hAnsi="Times New Roman" w:cs="Times New Roman"/>
          <w:sz w:val="20"/>
          <w:szCs w:val="20"/>
          <w:lang w:val="en-MY"/>
        </w:rPr>
        <w:t>patiotemporal heavy</w:t>
      </w:r>
      <w:r>
        <w:rPr>
          <w:rFonts w:ascii="Times New Roman" w:eastAsia="Calibri" w:hAnsi="Times New Roman" w:cs="Times New Roman"/>
          <w:sz w:val="20"/>
          <w:szCs w:val="20"/>
          <w:highlight w:val="yellow"/>
          <w:lang w:val="en-MY"/>
        </w:rPr>
        <w:t>-</w:t>
      </w:r>
      <w:r>
        <w:rPr>
          <w:rFonts w:ascii="Times New Roman" w:eastAsia="Calibri" w:hAnsi="Times New Roman" w:cs="Times New Roman"/>
          <w:sz w:val="20"/>
          <w:szCs w:val="20"/>
          <w:lang w:val="en-MY"/>
        </w:rPr>
        <w:t>metal monitoring through comparative analysis across corresponding sample stations between the first and second sampling phases demonstrates significant reductions in metal concentrations over the six</w:t>
      </w:r>
      <w:r>
        <w:rPr>
          <w:rFonts w:ascii="Times New Roman" w:eastAsia="Calibri" w:hAnsi="Times New Roman" w:cs="Times New Roman"/>
          <w:sz w:val="20"/>
          <w:szCs w:val="20"/>
          <w:highlight w:val="yellow"/>
          <w:lang w:val="en-MY"/>
        </w:rPr>
        <w:t>-</w:t>
      </w:r>
      <w:r>
        <w:rPr>
          <w:rFonts w:ascii="Times New Roman" w:eastAsia="Calibri" w:hAnsi="Times New Roman" w:cs="Times New Roman"/>
          <w:sz w:val="20"/>
          <w:szCs w:val="20"/>
          <w:lang w:val="en-MY"/>
        </w:rPr>
        <w:t>month</w:t>
      </w:r>
      <w:r>
        <w:rPr>
          <w:rFonts w:ascii="Times New Roman" w:eastAsia="Calibri" w:hAnsi="Times New Roman" w:cs="Times New Roman"/>
          <w:sz w:val="20"/>
          <w:szCs w:val="20"/>
          <w:highlight w:val="yellow"/>
          <w:lang w:val="en-MY"/>
        </w:rPr>
        <w:t xml:space="preserve"> period</w:t>
      </w:r>
      <w:r>
        <w:rPr>
          <w:rFonts w:ascii="Times New Roman" w:eastAsia="Calibri" w:hAnsi="Times New Roman" w:cs="Times New Roman"/>
          <w:sz w:val="20"/>
          <w:szCs w:val="20"/>
          <w:lang w:val="en-MY"/>
        </w:rPr>
        <w:t xml:space="preserve">. Nickel (Ni), </w:t>
      </w:r>
      <w:r>
        <w:rPr>
          <w:rFonts w:ascii="Times New Roman" w:eastAsia="Calibri" w:hAnsi="Times New Roman" w:cs="Times New Roman"/>
          <w:sz w:val="20"/>
          <w:szCs w:val="20"/>
          <w:highlight w:val="yellow"/>
          <w:lang w:val="en-MY"/>
        </w:rPr>
        <w:t>c</w:t>
      </w:r>
      <w:r>
        <w:rPr>
          <w:rFonts w:ascii="Times New Roman" w:eastAsia="Calibri" w:hAnsi="Times New Roman" w:cs="Times New Roman"/>
          <w:sz w:val="20"/>
          <w:szCs w:val="20"/>
          <w:lang w:val="en-MY"/>
        </w:rPr>
        <w:t xml:space="preserve">hromium (Cr), and </w:t>
      </w:r>
      <w:r>
        <w:rPr>
          <w:rFonts w:ascii="Times New Roman" w:eastAsia="Calibri" w:hAnsi="Times New Roman" w:cs="Times New Roman"/>
          <w:sz w:val="20"/>
          <w:szCs w:val="20"/>
          <w:highlight w:val="yellow"/>
          <w:lang w:val="en-MY"/>
        </w:rPr>
        <w:t>l</w:t>
      </w:r>
      <w:r>
        <w:rPr>
          <w:rFonts w:ascii="Times New Roman" w:eastAsia="Calibri" w:hAnsi="Times New Roman" w:cs="Times New Roman"/>
          <w:sz w:val="20"/>
          <w:szCs w:val="20"/>
          <w:lang w:val="en-MY"/>
        </w:rPr>
        <w:t xml:space="preserve">ead (Pb) </w:t>
      </w:r>
      <w:r>
        <w:rPr>
          <w:rFonts w:ascii="Times New Roman" w:eastAsia="Calibri" w:hAnsi="Times New Roman" w:cs="Times New Roman"/>
          <w:sz w:val="20"/>
          <w:szCs w:val="20"/>
          <w:highlight w:val="yellow"/>
          <w:lang w:val="en-MY"/>
        </w:rPr>
        <w:t>s</w:t>
      </w:r>
      <w:r>
        <w:rPr>
          <w:rFonts w:ascii="Times New Roman" w:eastAsia="Calibri" w:hAnsi="Times New Roman" w:cs="Times New Roman"/>
          <w:sz w:val="20"/>
          <w:szCs w:val="20"/>
          <w:lang w:val="en-MY"/>
        </w:rPr>
        <w:t>h</w:t>
      </w:r>
      <w:r>
        <w:rPr>
          <w:rFonts w:ascii="Times New Roman" w:eastAsia="Calibri" w:hAnsi="Times New Roman" w:cs="Times New Roman"/>
          <w:sz w:val="20"/>
          <w:szCs w:val="20"/>
          <w:highlight w:val="yellow"/>
          <w:lang w:val="en-MY"/>
        </w:rPr>
        <w:t>owe</w:t>
      </w:r>
      <w:r>
        <w:rPr>
          <w:rFonts w:ascii="Times New Roman" w:eastAsia="Calibri" w:hAnsi="Times New Roman" w:cs="Times New Roman"/>
          <w:sz w:val="20"/>
          <w:szCs w:val="20"/>
          <w:lang w:val="en-MY"/>
        </w:rPr>
        <w:t>d the most substantial improvements, with concentrations at many corresponding points approaching or matching control</w:t>
      </w:r>
      <w:r>
        <w:rPr>
          <w:rFonts w:ascii="Times New Roman" w:eastAsia="Calibri" w:hAnsi="Times New Roman" w:cs="Times New Roman"/>
          <w:sz w:val="20"/>
          <w:szCs w:val="20"/>
          <w:highlight w:val="yellow"/>
          <w:lang w:val="en-MY"/>
        </w:rPr>
        <w:t>-</w:t>
      </w:r>
      <w:r>
        <w:rPr>
          <w:rFonts w:ascii="Times New Roman" w:eastAsia="Calibri" w:hAnsi="Times New Roman" w:cs="Times New Roman"/>
          <w:sz w:val="20"/>
          <w:szCs w:val="20"/>
          <w:lang w:val="en-MY"/>
        </w:rPr>
        <w:t xml:space="preserve">sample levels, reflecting effective attenuation aligned with </w:t>
      </w:r>
      <w:r>
        <w:rPr>
          <w:rFonts w:ascii="Times New Roman" w:eastAsia="Calibri" w:hAnsi="Times New Roman" w:cs="Times New Roman"/>
          <w:color w:val="2660F0"/>
          <w:sz w:val="20"/>
          <w:szCs w:val="20"/>
          <w:lang w:val="en-MY"/>
        </w:rPr>
        <w:t>USEPA</w:t>
      </w:r>
      <w:r>
        <w:rPr>
          <w:rFonts w:ascii="Times New Roman" w:eastAsia="Calibri" w:hAnsi="Times New Roman" w:cs="Times New Roman"/>
          <w:sz w:val="20"/>
          <w:szCs w:val="20"/>
          <w:lang w:val="en-MY"/>
        </w:rPr>
        <w:t xml:space="preserve"> (</w:t>
      </w:r>
      <w:r>
        <w:rPr>
          <w:rFonts w:ascii="Times New Roman" w:eastAsia="Calibri" w:hAnsi="Times New Roman" w:cs="Times New Roman"/>
          <w:color w:val="2660F0"/>
          <w:sz w:val="20"/>
          <w:szCs w:val="20"/>
          <w:lang w:val="en-MY"/>
        </w:rPr>
        <w:t>2011</w:t>
      </w:r>
      <w:r>
        <w:rPr>
          <w:rFonts w:ascii="Times New Roman" w:eastAsia="Calibri" w:hAnsi="Times New Roman" w:cs="Times New Roman"/>
          <w:sz w:val="20"/>
          <w:szCs w:val="20"/>
          <w:lang w:val="en-MY"/>
        </w:rPr>
        <w:t xml:space="preserve">) and </w:t>
      </w:r>
      <w:r>
        <w:rPr>
          <w:rFonts w:ascii="Times New Roman" w:eastAsia="Calibri" w:hAnsi="Times New Roman" w:cs="Times New Roman"/>
          <w:color w:val="2660F0"/>
          <w:sz w:val="20"/>
          <w:szCs w:val="20"/>
          <w:lang w:val="en-MY"/>
        </w:rPr>
        <w:t>USDA</w:t>
      </w:r>
      <w:r>
        <w:rPr>
          <w:rFonts w:ascii="Times New Roman" w:eastAsia="Calibri" w:hAnsi="Times New Roman" w:cs="Times New Roman"/>
          <w:sz w:val="20"/>
          <w:szCs w:val="20"/>
          <w:lang w:val="en-MY"/>
        </w:rPr>
        <w:t xml:space="preserve"> (</w:t>
      </w:r>
      <w:r>
        <w:rPr>
          <w:rFonts w:ascii="Times New Roman" w:eastAsia="Calibri" w:hAnsi="Times New Roman" w:cs="Times New Roman"/>
          <w:color w:val="2660F0"/>
          <w:sz w:val="20"/>
          <w:szCs w:val="20"/>
          <w:lang w:val="en-MY"/>
        </w:rPr>
        <w:t>2000</w:t>
      </w:r>
      <w:r>
        <w:rPr>
          <w:rFonts w:ascii="Times New Roman" w:eastAsia="Calibri" w:hAnsi="Times New Roman" w:cs="Times New Roman"/>
          <w:sz w:val="20"/>
          <w:szCs w:val="20"/>
          <w:lang w:val="en-MY"/>
        </w:rPr>
        <w:t xml:space="preserve">) standards. Cadmium (Cd), </w:t>
      </w:r>
      <w:r>
        <w:rPr>
          <w:rFonts w:ascii="Times New Roman" w:eastAsia="Calibri" w:hAnsi="Times New Roman" w:cs="Times New Roman"/>
          <w:sz w:val="20"/>
          <w:szCs w:val="20"/>
          <w:highlight w:val="yellow"/>
          <w:lang w:val="en-MY"/>
        </w:rPr>
        <w:t>z</w:t>
      </w:r>
      <w:r>
        <w:rPr>
          <w:rFonts w:ascii="Times New Roman" w:eastAsia="Calibri" w:hAnsi="Times New Roman" w:cs="Times New Roman"/>
          <w:sz w:val="20"/>
          <w:szCs w:val="20"/>
          <w:lang w:val="en-MY"/>
        </w:rPr>
        <w:t xml:space="preserve">inc (Zn), and </w:t>
      </w:r>
      <w:r>
        <w:rPr>
          <w:rFonts w:ascii="Times New Roman" w:eastAsia="Calibri" w:hAnsi="Times New Roman" w:cs="Times New Roman"/>
          <w:sz w:val="20"/>
          <w:szCs w:val="20"/>
          <w:highlight w:val="yellow"/>
          <w:lang w:val="en-MY"/>
        </w:rPr>
        <w:t>i</w:t>
      </w:r>
      <w:r>
        <w:rPr>
          <w:rFonts w:ascii="Times New Roman" w:eastAsia="Calibri" w:hAnsi="Times New Roman" w:cs="Times New Roman"/>
          <w:sz w:val="20"/>
          <w:szCs w:val="20"/>
          <w:lang w:val="en-MY"/>
        </w:rPr>
        <w:t xml:space="preserve">ron (Fe) levels, </w:t>
      </w:r>
      <w:r>
        <w:rPr>
          <w:rFonts w:ascii="Times New Roman" w:eastAsia="Calibri" w:hAnsi="Times New Roman" w:cs="Times New Roman"/>
          <w:sz w:val="20"/>
          <w:szCs w:val="20"/>
          <w:highlight w:val="yellow"/>
          <w:lang w:val="en-MY"/>
        </w:rPr>
        <w:t>alt</w:t>
      </w:r>
      <w:r>
        <w:rPr>
          <w:rFonts w:ascii="Times New Roman" w:eastAsia="Calibri" w:hAnsi="Times New Roman" w:cs="Times New Roman"/>
          <w:sz w:val="20"/>
          <w:szCs w:val="20"/>
          <w:lang w:val="en-MY"/>
        </w:rPr>
        <w:t>h</w:t>
      </w:r>
      <w:r>
        <w:rPr>
          <w:rFonts w:ascii="Times New Roman" w:eastAsia="Calibri" w:hAnsi="Times New Roman" w:cs="Times New Roman"/>
          <w:sz w:val="20"/>
          <w:szCs w:val="20"/>
          <w:highlight w:val="yellow"/>
          <w:lang w:val="en-MY"/>
        </w:rPr>
        <w:t>ough</w:t>
      </w:r>
      <w:r>
        <w:rPr>
          <w:rFonts w:ascii="Times New Roman" w:eastAsia="Calibri" w:hAnsi="Times New Roman" w:cs="Times New Roman"/>
          <w:sz w:val="20"/>
          <w:szCs w:val="20"/>
          <w:lang w:val="en-MY"/>
        </w:rPr>
        <w:t xml:space="preserve"> generally </w:t>
      </w:r>
      <w:r>
        <w:rPr>
          <w:rFonts w:ascii="Times New Roman" w:eastAsia="Calibri" w:hAnsi="Times New Roman" w:cs="Times New Roman"/>
          <w:sz w:val="20"/>
          <w:szCs w:val="20"/>
          <w:highlight w:val="yellow"/>
          <w:lang w:val="en-MY"/>
        </w:rPr>
        <w:t>low</w:t>
      </w:r>
      <w:r>
        <w:rPr>
          <w:rFonts w:ascii="Times New Roman" w:eastAsia="Calibri" w:hAnsi="Times New Roman" w:cs="Times New Roman"/>
          <w:sz w:val="20"/>
          <w:szCs w:val="20"/>
          <w:lang w:val="en-MY"/>
        </w:rPr>
        <w:t>er, still showed residual contamination in some areas, including PR-13 for Cd, PR-22 for Zn, and PR-17 for Fe, suggesting the need for targeted efforts or more time in these zones (</w:t>
      </w:r>
      <w:r>
        <w:rPr>
          <w:rFonts w:ascii="Times New Roman" w:eastAsia="Calibri" w:hAnsi="Times New Roman" w:cs="Times New Roman"/>
          <w:color w:val="2660F0"/>
          <w:sz w:val="20"/>
          <w:szCs w:val="20"/>
          <w:lang w:val="en-MY"/>
        </w:rPr>
        <w:t>Mohamed et al., 2024</w:t>
      </w:r>
      <w:r>
        <w:rPr>
          <w:rFonts w:ascii="Times New Roman" w:eastAsia="Calibri" w:hAnsi="Times New Roman" w:cs="Times New Roman"/>
          <w:sz w:val="20"/>
          <w:szCs w:val="20"/>
          <w:lang w:val="en-MY"/>
        </w:rPr>
        <w:t xml:space="preserve">). </w:t>
      </w:r>
      <w:r>
        <w:rPr>
          <w:rFonts w:ascii="Times New Roman" w:hAnsi="Times New Roman" w:cs="Times New Roman"/>
          <w:sz w:val="20"/>
          <w:szCs w:val="20"/>
        </w:rPr>
        <w:t>The high levels of Fe, likely influenced by geogenic factors and exacerbated by low pH (</w:t>
      </w:r>
      <w:r>
        <w:rPr>
          <w:rFonts w:ascii="Times New Roman" w:hAnsi="Times New Roman" w:cs="Times New Roman"/>
          <w:color w:val="2660F0"/>
          <w:sz w:val="20"/>
          <w:szCs w:val="20"/>
        </w:rPr>
        <w:t>Kara, 2024</w:t>
      </w:r>
      <w:r>
        <w:rPr>
          <w:rFonts w:ascii="Times New Roman" w:hAnsi="Times New Roman" w:cs="Times New Roman"/>
          <w:sz w:val="20"/>
          <w:szCs w:val="20"/>
        </w:rPr>
        <w:t>), may raise concerns about long-term neurological effects and oxidative damage from human and animal consumption of plants within the area due to contaminant bioaccumulation (</w:t>
      </w:r>
      <w:r>
        <w:rPr>
          <w:rFonts w:ascii="Times New Roman" w:hAnsi="Times New Roman" w:cs="Times New Roman"/>
          <w:color w:val="2660F0"/>
          <w:sz w:val="20"/>
          <w:szCs w:val="20"/>
        </w:rPr>
        <w:t>Bello et al., 2019</w:t>
      </w:r>
      <w:r>
        <w:rPr>
          <w:rFonts w:ascii="Times New Roman" w:hAnsi="Times New Roman" w:cs="Times New Roman"/>
          <w:sz w:val="20"/>
          <w:szCs w:val="20"/>
        </w:rPr>
        <w:t>).</w:t>
      </w:r>
      <w:r>
        <w:rPr>
          <w:sz w:val="20"/>
          <w:szCs w:val="20"/>
        </w:rPr>
        <w:t xml:space="preserve"> </w:t>
      </w:r>
      <w:r>
        <w:rPr>
          <w:rFonts w:ascii="Times New Roman" w:eastAsia="Calibri" w:hAnsi="Times New Roman" w:cs="Times New Roman"/>
          <w:sz w:val="20"/>
          <w:szCs w:val="20"/>
          <w:lang w:val="en-MY"/>
        </w:rPr>
        <w:t>The distribution of contaminants reveals that</w:t>
      </w:r>
      <w:r>
        <w:rPr>
          <w:rFonts w:ascii="Times New Roman" w:eastAsia="Calibri" w:hAnsi="Times New Roman" w:cs="Times New Roman"/>
          <w:sz w:val="20"/>
          <w:szCs w:val="20"/>
          <w:highlight w:val="yellow"/>
          <w:lang w:val="en-MY"/>
        </w:rPr>
        <w:t>,</w:t>
      </w:r>
      <w:r>
        <w:rPr>
          <w:rFonts w:ascii="Times New Roman" w:eastAsia="Calibri" w:hAnsi="Times New Roman" w:cs="Times New Roman"/>
          <w:sz w:val="20"/>
          <w:szCs w:val="20"/>
          <w:lang w:val="en-MY"/>
        </w:rPr>
        <w:t xml:space="preserve"> while natural atten</w:t>
      </w:r>
      <w:r>
        <w:rPr>
          <w:rFonts w:ascii="Times New Roman" w:eastAsia="Calibri" w:hAnsi="Times New Roman" w:cs="Times New Roman"/>
          <w:sz w:val="20"/>
          <w:szCs w:val="20"/>
          <w:highlight w:val="yellow"/>
          <w:lang w:val="en-MY"/>
        </w:rPr>
        <w:t>u</w:t>
      </w:r>
      <w:r>
        <w:rPr>
          <w:rFonts w:ascii="Times New Roman" w:eastAsia="Calibri" w:hAnsi="Times New Roman" w:cs="Times New Roman"/>
          <w:sz w:val="20"/>
          <w:szCs w:val="20"/>
          <w:lang w:val="en-MY"/>
        </w:rPr>
        <w:t>ation reduced the concentrations of several metals across the study site, the southern parts parallel to the right-of-way spill source consistently show higher contamination levels, indicating possible recontamination from the sabotaged pipeline (</w:t>
      </w:r>
      <w:r>
        <w:rPr>
          <w:rFonts w:ascii="Times New Roman" w:eastAsia="Calibri" w:hAnsi="Times New Roman" w:cs="Times New Roman"/>
          <w:color w:val="2660F0"/>
          <w:sz w:val="20"/>
          <w:szCs w:val="20"/>
          <w:lang w:val="en-MY"/>
        </w:rPr>
        <w:t>Ahmed et al., 2024e</w:t>
      </w:r>
      <w:r>
        <w:rPr>
          <w:rFonts w:ascii="Times New Roman" w:eastAsia="Calibri" w:hAnsi="Times New Roman" w:cs="Times New Roman"/>
          <w:sz w:val="20"/>
          <w:szCs w:val="20"/>
          <w:lang w:val="en-MY"/>
        </w:rPr>
        <w:t>).</w:t>
      </w:r>
    </w:p>
    <w:p w14:paraId="7AE0C094" w14:textId="458D8CFB" w:rsidR="0011456A" w:rsidRDefault="0020401D" w:rsidP="0011456A">
      <w:pPr>
        <w:pStyle w:val="NormalWeb"/>
        <w:spacing w:before="0" w:beforeAutospacing="0" w:after="0" w:afterAutospacing="0"/>
        <w:ind w:firstLine="450"/>
        <w:jc w:val="both"/>
        <w:rPr>
          <w:sz w:val="20"/>
          <w:szCs w:val="20"/>
        </w:rPr>
      </w:pPr>
      <w:r>
        <w:rPr>
          <w:rFonts w:eastAsia="Calibri"/>
          <w:sz w:val="20"/>
          <w:szCs w:val="20"/>
          <w:lang w:val="en-MY"/>
        </w:rPr>
        <w:lastRenderedPageBreak/>
        <w:t>Cr, Cd, Cu, and Fe concentrations remain elevated in isolated pockets in the south, indicating the need for continued monitoring in these zones (</w:t>
      </w:r>
      <w:r>
        <w:rPr>
          <w:rFonts w:eastAsia="Calibri"/>
          <w:color w:val="2660F0"/>
          <w:sz w:val="20"/>
          <w:szCs w:val="20"/>
          <w:lang w:val="en-MY"/>
        </w:rPr>
        <w:t>Hazarika et al., 202</w:t>
      </w:r>
      <w:r w:rsidR="00592893">
        <w:rPr>
          <w:rFonts w:eastAsia="Calibri"/>
          <w:color w:val="2660F0"/>
          <w:sz w:val="20"/>
          <w:szCs w:val="20"/>
          <w:lang w:val="en-MY"/>
        </w:rPr>
        <w:t>4</w:t>
      </w:r>
      <w:r>
        <w:rPr>
          <w:rFonts w:eastAsia="Calibri"/>
          <w:sz w:val="20"/>
          <w:szCs w:val="20"/>
          <w:lang w:val="en-MY"/>
        </w:rPr>
        <w:t xml:space="preserve">). Conversely, Ni and Pb showed more uniform reductions across the site, with concentrations aligning closely with background levels by the second sampling phase. </w:t>
      </w:r>
      <w:r>
        <w:rPr>
          <w:rFonts w:eastAsia="Calibri"/>
          <w:sz w:val="20"/>
          <w:szCs w:val="20"/>
          <w:highlight w:val="yellow"/>
          <w:lang w:val="en-MY"/>
        </w:rPr>
        <w:t>Acco</w:t>
      </w:r>
      <w:r>
        <w:rPr>
          <w:rFonts w:eastAsia="Calibri"/>
          <w:sz w:val="20"/>
          <w:szCs w:val="20"/>
          <w:lang w:val="en-MY"/>
        </w:rPr>
        <w:t>r</w:t>
      </w:r>
      <w:r>
        <w:rPr>
          <w:rFonts w:eastAsia="Calibri"/>
          <w:sz w:val="20"/>
          <w:szCs w:val="20"/>
          <w:highlight w:val="yellow"/>
          <w:lang w:val="en-MY"/>
        </w:rPr>
        <w:t>ding t</w:t>
      </w:r>
      <w:r>
        <w:rPr>
          <w:rFonts w:eastAsia="Calibri"/>
          <w:sz w:val="20"/>
          <w:szCs w:val="20"/>
          <w:lang w:val="en-MY"/>
        </w:rPr>
        <w:t xml:space="preserve">o </w:t>
      </w:r>
      <w:r>
        <w:rPr>
          <w:rFonts w:eastAsia="Calibri"/>
          <w:color w:val="2660F0"/>
          <w:sz w:val="20"/>
          <w:szCs w:val="20"/>
          <w:lang w:val="en-MY"/>
        </w:rPr>
        <w:t>Table 11</w:t>
      </w:r>
      <w:r>
        <w:rPr>
          <w:rFonts w:eastAsia="Calibri"/>
          <w:sz w:val="20"/>
          <w:szCs w:val="20"/>
          <w:lang w:val="en-MY"/>
        </w:rPr>
        <w:t xml:space="preserve">, </w:t>
      </w:r>
      <w:r>
        <w:rPr>
          <w:rFonts w:eastAsia="Calibri"/>
          <w:sz w:val="20"/>
          <w:szCs w:val="20"/>
          <w:highlight w:val="yellow"/>
          <w:lang w:val="en-MY"/>
        </w:rPr>
        <w:t>the</w:t>
      </w:r>
      <w:r>
        <w:rPr>
          <w:rFonts w:eastAsia="Calibri"/>
          <w:sz w:val="20"/>
          <w:szCs w:val="20"/>
          <w:lang w:val="en-MY"/>
        </w:rPr>
        <w:t xml:space="preserve"> initial average</w:t>
      </w:r>
      <w:r>
        <w:rPr>
          <w:rFonts w:eastAsia="Calibri"/>
          <w:sz w:val="20"/>
          <w:szCs w:val="20"/>
          <w:highlight w:val="yellow"/>
          <w:lang w:val="en-MY"/>
        </w:rPr>
        <w:t xml:space="preserve"> Cr</w:t>
      </w:r>
      <w:r>
        <w:rPr>
          <w:rFonts w:eastAsia="Calibri"/>
          <w:sz w:val="20"/>
          <w:szCs w:val="20"/>
          <w:lang w:val="en-MY"/>
        </w:rPr>
        <w:t xml:space="preserve"> concentration was roughly 4.4 mg/kg in the first sampling phase but dropped to about 1.5 mg/kg in the second sampling phase, achieving approximately 65.9% contaminant reduction. Despite this significant reduction, certain areas in the southern part</w:t>
      </w:r>
      <w:r>
        <w:rPr>
          <w:rFonts w:eastAsia="Calibri"/>
          <w:sz w:val="20"/>
          <w:szCs w:val="20"/>
          <w:highlight w:val="yellow"/>
          <w:lang w:val="en-MY"/>
        </w:rPr>
        <w:t xml:space="preserve"> of the site</w:t>
      </w:r>
      <w:r>
        <w:rPr>
          <w:rFonts w:eastAsia="Calibri"/>
          <w:sz w:val="20"/>
          <w:szCs w:val="20"/>
          <w:lang w:val="en-MY"/>
        </w:rPr>
        <w:t xml:space="preserve"> still show elevated levels, indicating the need for locali</w:t>
      </w:r>
      <w:r>
        <w:rPr>
          <w:rFonts w:eastAsia="Calibri"/>
          <w:sz w:val="20"/>
          <w:szCs w:val="20"/>
          <w:highlight w:val="yellow"/>
          <w:lang w:val="en-MY"/>
        </w:rPr>
        <w:t>s</w:t>
      </w:r>
      <w:r>
        <w:rPr>
          <w:rFonts w:eastAsia="Calibri"/>
          <w:sz w:val="20"/>
          <w:szCs w:val="20"/>
          <w:lang w:val="en-MY"/>
        </w:rPr>
        <w:t>ed intervention (</w:t>
      </w:r>
      <w:r>
        <w:rPr>
          <w:rFonts w:eastAsia="Calibri"/>
          <w:color w:val="2660F0"/>
          <w:sz w:val="20"/>
          <w:szCs w:val="20"/>
          <w:lang w:val="en-MY"/>
        </w:rPr>
        <w:t>George et al., 2023</w:t>
      </w:r>
      <w:r>
        <w:rPr>
          <w:rFonts w:eastAsia="Calibri"/>
          <w:sz w:val="20"/>
          <w:szCs w:val="20"/>
          <w:lang w:val="en-MY"/>
        </w:rPr>
        <w:t xml:space="preserve">). For Cd, the initial average level was around 0.92 mg/kg in the first sampling phase, which decreased to 0.55 mg/kg in the second sampling phase, resulting in a 40.2% reduction. This moderate effectiveness suggests that specific zones with residual contamination may require additional time for </w:t>
      </w:r>
      <w:r>
        <w:rPr>
          <w:rFonts w:eastAsia="Calibri"/>
          <w:sz w:val="20"/>
          <w:szCs w:val="20"/>
          <w:highlight w:val="yellow"/>
          <w:lang w:val="en-MY"/>
        </w:rPr>
        <w:t>fur</w:t>
      </w:r>
      <w:r>
        <w:rPr>
          <w:rFonts w:eastAsia="Calibri"/>
          <w:sz w:val="20"/>
          <w:szCs w:val="20"/>
          <w:lang w:val="en-MY"/>
        </w:rPr>
        <w:t>t</w:t>
      </w:r>
      <w:r>
        <w:rPr>
          <w:rFonts w:eastAsia="Calibri"/>
          <w:sz w:val="20"/>
          <w:szCs w:val="20"/>
          <w:highlight w:val="yellow"/>
          <w:lang w:val="en-MY"/>
        </w:rPr>
        <w:t>h</w:t>
      </w:r>
      <w:r>
        <w:rPr>
          <w:rFonts w:eastAsia="Calibri"/>
          <w:sz w:val="20"/>
          <w:szCs w:val="20"/>
          <w:lang w:val="en-MY"/>
        </w:rPr>
        <w:t>er decline or enhanced natural attenuation (</w:t>
      </w:r>
      <w:r>
        <w:rPr>
          <w:rFonts w:eastAsia="Calibri"/>
          <w:color w:val="2660F0"/>
          <w:sz w:val="20"/>
          <w:szCs w:val="20"/>
          <w:lang w:val="en-MY"/>
        </w:rPr>
        <w:t>Aparicio et al., 2022</w:t>
      </w:r>
      <w:r>
        <w:rPr>
          <w:rFonts w:eastAsia="Calibri"/>
          <w:sz w:val="20"/>
          <w:szCs w:val="20"/>
          <w:lang w:val="en-MY"/>
        </w:rPr>
        <w:t xml:space="preserve">). Cu </w:t>
      </w:r>
      <w:r>
        <w:rPr>
          <w:rFonts w:eastAsia="Calibri"/>
          <w:sz w:val="20"/>
          <w:szCs w:val="20"/>
          <w:highlight w:val="yellow"/>
          <w:lang w:val="en-MY"/>
        </w:rPr>
        <w:t>h</w:t>
      </w:r>
      <w:r>
        <w:rPr>
          <w:rFonts w:eastAsia="Calibri"/>
          <w:sz w:val="20"/>
          <w:szCs w:val="20"/>
          <w:lang w:val="en-MY"/>
        </w:rPr>
        <w:t>a</w:t>
      </w:r>
      <w:r>
        <w:rPr>
          <w:rFonts w:eastAsia="Calibri"/>
          <w:sz w:val="20"/>
          <w:szCs w:val="20"/>
          <w:highlight w:val="yellow"/>
          <w:lang w:val="en-MY"/>
        </w:rPr>
        <w:t>d</w:t>
      </w:r>
      <w:r>
        <w:rPr>
          <w:rFonts w:eastAsia="Calibri"/>
          <w:sz w:val="20"/>
          <w:szCs w:val="20"/>
          <w:lang w:val="en-MY"/>
        </w:rPr>
        <w:t xml:space="preserve"> an initial average concentration of roughly 2.5 mg/kg in the first phase,</w:t>
      </w:r>
      <w:r>
        <w:rPr>
          <w:rFonts w:eastAsia="Calibri"/>
          <w:sz w:val="20"/>
          <w:szCs w:val="20"/>
          <w:highlight w:val="yellow"/>
          <w:lang w:val="en-MY"/>
        </w:rPr>
        <w:t xml:space="preserve"> which was</w:t>
      </w:r>
      <w:r>
        <w:rPr>
          <w:rFonts w:eastAsia="Calibri"/>
          <w:sz w:val="20"/>
          <w:szCs w:val="20"/>
          <w:lang w:val="en-MY"/>
        </w:rPr>
        <w:t xml:space="preserve"> reduced to about 1.6 mg/kg in the second phase, indicating a 36.0% reduction. This moderate effectiveness suggests that</w:t>
      </w:r>
      <w:r>
        <w:rPr>
          <w:rFonts w:eastAsia="Calibri"/>
          <w:sz w:val="20"/>
          <w:szCs w:val="20"/>
          <w:highlight w:val="yellow"/>
          <w:lang w:val="en-MY"/>
        </w:rPr>
        <w:t>,</w:t>
      </w:r>
      <w:r>
        <w:rPr>
          <w:rFonts w:eastAsia="Calibri"/>
          <w:sz w:val="20"/>
          <w:szCs w:val="20"/>
          <w:lang w:val="en-MY"/>
        </w:rPr>
        <w:t xml:space="preserve"> while attenuation has been </w:t>
      </w:r>
      <w:r>
        <w:rPr>
          <w:rFonts w:eastAsia="Calibri"/>
          <w:sz w:val="20"/>
          <w:szCs w:val="20"/>
          <w:highlight w:val="yellow"/>
          <w:lang w:val="en-MY"/>
        </w:rPr>
        <w:t>b</w:t>
      </w:r>
      <w:r>
        <w:rPr>
          <w:rFonts w:eastAsia="Calibri"/>
          <w:sz w:val="20"/>
          <w:szCs w:val="20"/>
          <w:lang w:val="en-MY"/>
        </w:rPr>
        <w:t>e</w:t>
      </w:r>
      <w:r>
        <w:rPr>
          <w:rFonts w:eastAsia="Calibri"/>
          <w:sz w:val="20"/>
          <w:szCs w:val="20"/>
          <w:highlight w:val="yellow"/>
          <w:lang w:val="en-MY"/>
        </w:rPr>
        <w:t>ne</w:t>
      </w:r>
      <w:r>
        <w:rPr>
          <w:rFonts w:eastAsia="Calibri"/>
          <w:sz w:val="20"/>
          <w:szCs w:val="20"/>
          <w:lang w:val="en-MY"/>
        </w:rPr>
        <w:t>f</w:t>
      </w:r>
      <w:r>
        <w:rPr>
          <w:rFonts w:eastAsia="Calibri"/>
          <w:sz w:val="20"/>
          <w:szCs w:val="20"/>
          <w:highlight w:val="yellow"/>
          <w:lang w:val="en-MY"/>
        </w:rPr>
        <w:t>icia</w:t>
      </w:r>
      <w:r>
        <w:rPr>
          <w:rFonts w:eastAsia="Calibri"/>
          <w:sz w:val="20"/>
          <w:szCs w:val="20"/>
          <w:lang w:val="en-MY"/>
        </w:rPr>
        <w:t>l, more time or further efforts may be necessary (</w:t>
      </w:r>
      <w:r>
        <w:rPr>
          <w:color w:val="2660F0"/>
          <w:sz w:val="20"/>
          <w:szCs w:val="20"/>
        </w:rPr>
        <w:t>Dhaliwal et al., 2020</w:t>
      </w:r>
      <w:r>
        <w:rPr>
          <w:rFonts w:eastAsia="Calibri"/>
          <w:sz w:val="20"/>
          <w:szCs w:val="20"/>
          <w:lang w:val="en-MY"/>
        </w:rPr>
        <w:t xml:space="preserve">), particularly in southern areas. </w:t>
      </w:r>
      <w:r>
        <w:rPr>
          <w:sz w:val="20"/>
          <w:szCs w:val="20"/>
        </w:rPr>
        <w:t xml:space="preserve">This </w:t>
      </w:r>
      <w:proofErr w:type="spellStart"/>
      <w:r>
        <w:rPr>
          <w:sz w:val="20"/>
          <w:szCs w:val="20"/>
        </w:rPr>
        <w:t>emphasi</w:t>
      </w:r>
      <w:r>
        <w:rPr>
          <w:sz w:val="20"/>
          <w:szCs w:val="20"/>
          <w:highlight w:val="yellow"/>
        </w:rPr>
        <w:t>s</w:t>
      </w:r>
      <w:r>
        <w:rPr>
          <w:sz w:val="20"/>
          <w:szCs w:val="20"/>
        </w:rPr>
        <w:t>es</w:t>
      </w:r>
      <w:proofErr w:type="spellEnd"/>
      <w:r>
        <w:rPr>
          <w:sz w:val="20"/>
          <w:szCs w:val="20"/>
        </w:rPr>
        <w:t xml:space="preserve"> the importance of addressing the environmental and health implications </w:t>
      </w:r>
      <w:r>
        <w:rPr>
          <w:sz w:val="20"/>
          <w:szCs w:val="20"/>
          <w:highlight w:val="yellow"/>
        </w:rPr>
        <w:t xml:space="preserve">of site contamination </w:t>
      </w:r>
      <w:r>
        <w:rPr>
          <w:sz w:val="20"/>
          <w:szCs w:val="20"/>
        </w:rPr>
        <w:t>(</w:t>
      </w:r>
      <w:r>
        <w:rPr>
          <w:color w:val="2660F0"/>
          <w:sz w:val="20"/>
          <w:szCs w:val="20"/>
        </w:rPr>
        <w:t>Aloa et al., 2024</w:t>
      </w:r>
      <w:r>
        <w:rPr>
          <w:sz w:val="20"/>
          <w:szCs w:val="20"/>
        </w:rPr>
        <w:t>)</w:t>
      </w:r>
      <w:r>
        <w:rPr>
          <w:sz w:val="20"/>
          <w:szCs w:val="20"/>
          <w:highlight w:val="yellow"/>
        </w:rPr>
        <w:t>;</w:t>
      </w:r>
      <w:r>
        <w:rPr>
          <w:sz w:val="20"/>
          <w:szCs w:val="20"/>
        </w:rPr>
        <w:t xml:space="preserve"> hence, </w:t>
      </w:r>
      <w:proofErr w:type="spellStart"/>
      <w:r>
        <w:rPr>
          <w:sz w:val="20"/>
          <w:szCs w:val="20"/>
        </w:rPr>
        <w:t>minimi</w:t>
      </w:r>
      <w:r>
        <w:rPr>
          <w:sz w:val="20"/>
          <w:szCs w:val="20"/>
          <w:highlight w:val="yellow"/>
        </w:rPr>
        <w:t>s</w:t>
      </w:r>
      <w:r>
        <w:rPr>
          <w:sz w:val="20"/>
          <w:szCs w:val="20"/>
        </w:rPr>
        <w:t>ing</w:t>
      </w:r>
      <w:proofErr w:type="spellEnd"/>
      <w:r>
        <w:rPr>
          <w:sz w:val="20"/>
          <w:szCs w:val="20"/>
        </w:rPr>
        <w:t xml:space="preserve"> exposure to Ni, Pb, Zn, and Fe remains crucial </w:t>
      </w:r>
      <w:r>
        <w:rPr>
          <w:sz w:val="20"/>
          <w:szCs w:val="20"/>
          <w:highlight w:val="yellow"/>
        </w:rPr>
        <w:t>beca</w:t>
      </w:r>
      <w:r>
        <w:rPr>
          <w:sz w:val="20"/>
          <w:szCs w:val="20"/>
        </w:rPr>
        <w:t>u</w:t>
      </w:r>
      <w:r>
        <w:rPr>
          <w:sz w:val="20"/>
          <w:szCs w:val="20"/>
          <w:highlight w:val="yellow"/>
        </w:rPr>
        <w:t>s</w:t>
      </w:r>
      <w:r>
        <w:rPr>
          <w:sz w:val="20"/>
          <w:szCs w:val="20"/>
        </w:rPr>
        <w:t>e o</w:t>
      </w:r>
      <w:r>
        <w:rPr>
          <w:sz w:val="20"/>
          <w:szCs w:val="20"/>
          <w:highlight w:val="yellow"/>
        </w:rPr>
        <w:t>f</w:t>
      </w:r>
      <w:r>
        <w:rPr>
          <w:sz w:val="20"/>
          <w:szCs w:val="20"/>
        </w:rPr>
        <w:t xml:space="preserve"> their po</w:t>
      </w:r>
      <w:r>
        <w:rPr>
          <w:sz w:val="20"/>
          <w:szCs w:val="20"/>
          <w:highlight w:val="yellow"/>
        </w:rPr>
        <w:t>tent</w:t>
      </w:r>
      <w:r>
        <w:rPr>
          <w:sz w:val="20"/>
          <w:szCs w:val="20"/>
        </w:rPr>
        <w:t>i</w:t>
      </w:r>
      <w:r>
        <w:rPr>
          <w:sz w:val="20"/>
          <w:szCs w:val="20"/>
          <w:highlight w:val="yellow"/>
        </w:rPr>
        <w:t>a</w:t>
      </w:r>
      <w:r>
        <w:rPr>
          <w:sz w:val="20"/>
          <w:szCs w:val="20"/>
        </w:rPr>
        <w:t>l</w:t>
      </w:r>
      <w:r>
        <w:rPr>
          <w:sz w:val="20"/>
          <w:szCs w:val="20"/>
          <w:highlight w:val="yellow"/>
        </w:rPr>
        <w:t>ly</w:t>
      </w:r>
      <w:r>
        <w:rPr>
          <w:sz w:val="20"/>
          <w:szCs w:val="20"/>
        </w:rPr>
        <w:t xml:space="preserve"> </w:t>
      </w:r>
      <w:r>
        <w:rPr>
          <w:sz w:val="20"/>
          <w:szCs w:val="20"/>
          <w:highlight w:val="yellow"/>
        </w:rPr>
        <w:t>h</w:t>
      </w:r>
      <w:r>
        <w:rPr>
          <w:sz w:val="20"/>
          <w:szCs w:val="20"/>
        </w:rPr>
        <w:t>ar</w:t>
      </w:r>
      <w:r>
        <w:rPr>
          <w:sz w:val="20"/>
          <w:szCs w:val="20"/>
          <w:highlight w:val="yellow"/>
        </w:rPr>
        <w:t>mf</w:t>
      </w:r>
      <w:r>
        <w:rPr>
          <w:sz w:val="20"/>
          <w:szCs w:val="20"/>
        </w:rPr>
        <w:t>u</w:t>
      </w:r>
      <w:r>
        <w:rPr>
          <w:sz w:val="20"/>
          <w:szCs w:val="20"/>
          <w:highlight w:val="yellow"/>
        </w:rPr>
        <w:t>l</w:t>
      </w:r>
      <w:r>
        <w:rPr>
          <w:sz w:val="20"/>
          <w:szCs w:val="20"/>
        </w:rPr>
        <w:t xml:space="preserve"> impacts (</w:t>
      </w:r>
      <w:r>
        <w:rPr>
          <w:rFonts w:eastAsia="Calibri"/>
          <w:color w:val="2660F0"/>
          <w:sz w:val="20"/>
          <w:szCs w:val="20"/>
          <w:lang w:val="en-MY"/>
        </w:rPr>
        <w:t>USEPA,</w:t>
      </w:r>
      <w:r>
        <w:rPr>
          <w:rFonts w:eastAsia="Calibri"/>
          <w:sz w:val="20"/>
          <w:szCs w:val="20"/>
          <w:lang w:val="en-MY"/>
        </w:rPr>
        <w:t xml:space="preserve"> </w:t>
      </w:r>
      <w:r>
        <w:rPr>
          <w:rFonts w:eastAsia="Calibri"/>
          <w:color w:val="2660F0"/>
          <w:sz w:val="20"/>
          <w:szCs w:val="20"/>
          <w:lang w:val="en-MY"/>
        </w:rPr>
        <w:t>2011</w:t>
      </w:r>
      <w:r>
        <w:rPr>
          <w:rFonts w:eastAsia="Calibri"/>
          <w:sz w:val="20"/>
          <w:szCs w:val="20"/>
          <w:lang w:val="en-MY"/>
        </w:rPr>
        <w:t>)</w:t>
      </w:r>
      <w:r>
        <w:rPr>
          <w:sz w:val="20"/>
          <w:szCs w:val="20"/>
        </w:rPr>
        <w:t>.</w:t>
      </w:r>
    </w:p>
    <w:p w14:paraId="1B48DA6A" w14:textId="77777777" w:rsidR="00EF4A5B" w:rsidRDefault="00EF4A5B" w:rsidP="003B081F">
      <w:pPr>
        <w:spacing w:after="0" w:line="240" w:lineRule="auto"/>
        <w:jc w:val="both"/>
        <w:rPr>
          <w:rFonts w:ascii="Times New Roman" w:eastAsia="Calibri" w:hAnsi="Times New Roman" w:cs="Times New Roman"/>
          <w:sz w:val="20"/>
          <w:szCs w:val="20"/>
          <w:lang w:val="en-MY"/>
        </w:rPr>
      </w:pPr>
    </w:p>
    <w:p w14:paraId="54EFD6AB" w14:textId="77777777" w:rsidR="00D024A4" w:rsidRDefault="00D024A4" w:rsidP="00D024A4">
      <w:pPr>
        <w:spacing w:after="0" w:line="276" w:lineRule="auto"/>
        <w:jc w:val="center"/>
        <w:rPr>
          <w:rFonts w:ascii="Times New Roman" w:eastAsia="Calibri" w:hAnsi="Times New Roman" w:cs="Times New Roman"/>
          <w:sz w:val="20"/>
          <w:szCs w:val="20"/>
          <w:lang w:val="en-MY"/>
        </w:rPr>
      </w:pPr>
      <w:r w:rsidRPr="00203E1A">
        <w:rPr>
          <w:rFonts w:ascii="Times New Roman" w:eastAsia="Calibri" w:hAnsi="Times New Roman" w:cs="Times New Roman"/>
          <w:b/>
          <w:bCs/>
          <w:sz w:val="20"/>
          <w:szCs w:val="20"/>
          <w:lang w:val="en-MY"/>
        </w:rPr>
        <w:t>Table 1</w:t>
      </w:r>
      <w:r w:rsidR="002F3045">
        <w:rPr>
          <w:rFonts w:ascii="Times New Roman" w:eastAsia="Calibri" w:hAnsi="Times New Roman" w:cs="Times New Roman"/>
          <w:b/>
          <w:bCs/>
          <w:sz w:val="20"/>
          <w:szCs w:val="20"/>
          <w:lang w:val="en-MY"/>
        </w:rPr>
        <w:t>1</w:t>
      </w:r>
      <w:r w:rsidRPr="00203E1A">
        <w:rPr>
          <w:rFonts w:ascii="Times New Roman" w:eastAsia="Calibri" w:hAnsi="Times New Roman" w:cs="Times New Roman"/>
          <w:b/>
          <w:bCs/>
          <w:sz w:val="20"/>
          <w:szCs w:val="20"/>
          <w:lang w:val="en-MY"/>
        </w:rPr>
        <w:t>.</w:t>
      </w:r>
      <w:r>
        <w:rPr>
          <w:rFonts w:ascii="Times New Roman" w:eastAsia="Calibri" w:hAnsi="Times New Roman" w:cs="Times New Roman"/>
          <w:sz w:val="20"/>
          <w:szCs w:val="20"/>
          <w:lang w:val="en-MY"/>
        </w:rPr>
        <w:t xml:space="preserve"> </w:t>
      </w:r>
      <w:r w:rsidR="005A554E">
        <w:rPr>
          <w:rFonts w:ascii="Times New Roman" w:eastAsia="Calibri" w:hAnsi="Times New Roman" w:cs="Times New Roman"/>
          <w:sz w:val="20"/>
          <w:szCs w:val="20"/>
          <w:lang w:val="en-MY"/>
        </w:rPr>
        <w:t>Contaminants Percentage Reduction</w:t>
      </w:r>
    </w:p>
    <w:tbl>
      <w:tblPr>
        <w:tblStyle w:val="TableGrid"/>
        <w:tblW w:w="0" w:type="auto"/>
        <w:jc w:val="center"/>
        <w:tblLook w:val="04A0" w:firstRow="1" w:lastRow="0" w:firstColumn="1" w:lastColumn="0" w:noHBand="0" w:noVBand="1"/>
      </w:tblPr>
      <w:tblGrid>
        <w:gridCol w:w="1833"/>
        <w:gridCol w:w="2305"/>
        <w:gridCol w:w="2387"/>
        <w:gridCol w:w="2228"/>
      </w:tblGrid>
      <w:tr w:rsidR="00564145" w14:paraId="3B8C4E00" w14:textId="77777777" w:rsidTr="008F7DE4">
        <w:trPr>
          <w:trHeight w:val="63"/>
          <w:jc w:val="center"/>
        </w:trPr>
        <w:tc>
          <w:tcPr>
            <w:tcW w:w="1833" w:type="dxa"/>
            <w:tcBorders>
              <w:left w:val="nil"/>
              <w:bottom w:val="single" w:sz="8" w:space="0" w:color="auto"/>
              <w:right w:val="nil"/>
            </w:tcBorders>
          </w:tcPr>
          <w:p w14:paraId="100B46E0" w14:textId="77777777" w:rsidR="00D024A4" w:rsidRPr="00564145" w:rsidRDefault="00D024A4" w:rsidP="00F11F37">
            <w:pPr>
              <w:spacing w:before="100" w:line="204" w:lineRule="auto"/>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Heavy Metal</w:t>
            </w:r>
          </w:p>
        </w:tc>
        <w:tc>
          <w:tcPr>
            <w:tcW w:w="2305" w:type="dxa"/>
            <w:tcBorders>
              <w:left w:val="nil"/>
              <w:bottom w:val="single" w:sz="8" w:space="0" w:color="auto"/>
              <w:right w:val="nil"/>
            </w:tcBorders>
          </w:tcPr>
          <w:p w14:paraId="1BAAB04E" w14:textId="77777777" w:rsidR="00D024A4" w:rsidRPr="00564145" w:rsidRDefault="00D024A4" w:rsidP="00230AC8">
            <w:pPr>
              <w:spacing w:line="204" w:lineRule="auto"/>
              <w:jc w:val="center"/>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Initial Average Concentration (mg/kg)</w:t>
            </w:r>
          </w:p>
        </w:tc>
        <w:tc>
          <w:tcPr>
            <w:tcW w:w="2387" w:type="dxa"/>
            <w:tcBorders>
              <w:left w:val="nil"/>
              <w:bottom w:val="single" w:sz="8" w:space="0" w:color="auto"/>
              <w:right w:val="nil"/>
            </w:tcBorders>
          </w:tcPr>
          <w:p w14:paraId="7E3A6B43" w14:textId="77777777" w:rsidR="00D024A4" w:rsidRPr="00564145" w:rsidRDefault="00D024A4" w:rsidP="00230AC8">
            <w:pPr>
              <w:spacing w:line="204" w:lineRule="auto"/>
              <w:jc w:val="center"/>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Final Average Concentration (mg/kg)</w:t>
            </w:r>
          </w:p>
        </w:tc>
        <w:tc>
          <w:tcPr>
            <w:tcW w:w="2228" w:type="dxa"/>
            <w:tcBorders>
              <w:left w:val="nil"/>
              <w:bottom w:val="single" w:sz="8" w:space="0" w:color="auto"/>
              <w:right w:val="nil"/>
            </w:tcBorders>
          </w:tcPr>
          <w:p w14:paraId="2231DBC2" w14:textId="77777777" w:rsidR="00D024A4" w:rsidRPr="00564145" w:rsidRDefault="00D024A4" w:rsidP="00230AC8">
            <w:pPr>
              <w:spacing w:line="204" w:lineRule="auto"/>
              <w:jc w:val="center"/>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Percentage</w:t>
            </w:r>
          </w:p>
          <w:p w14:paraId="6DC86309" w14:textId="77777777" w:rsidR="00D024A4" w:rsidRPr="00564145" w:rsidRDefault="001F4E84" w:rsidP="00230AC8">
            <w:pPr>
              <w:spacing w:line="204" w:lineRule="auto"/>
              <w:jc w:val="center"/>
              <w:rPr>
                <w:rFonts w:ascii="Times New Roman" w:eastAsia="Calibri" w:hAnsi="Times New Roman" w:cs="Times New Roman"/>
                <w:b/>
                <w:bCs/>
                <w:sz w:val="20"/>
                <w:szCs w:val="20"/>
                <w:lang w:val="en-MY"/>
              </w:rPr>
            </w:pPr>
            <w:r>
              <w:rPr>
                <w:rFonts w:ascii="Times New Roman" w:eastAsia="Calibri" w:hAnsi="Times New Roman" w:cs="Times New Roman"/>
                <w:b/>
                <w:bCs/>
                <w:sz w:val="20"/>
                <w:szCs w:val="20"/>
                <w:lang w:val="en-MY"/>
              </w:rPr>
              <w:t>Reduction</w:t>
            </w:r>
            <w:r w:rsidR="00D024A4" w:rsidRPr="00564145">
              <w:rPr>
                <w:rFonts w:ascii="Times New Roman" w:eastAsia="Calibri" w:hAnsi="Times New Roman" w:cs="Times New Roman"/>
                <w:b/>
                <w:bCs/>
                <w:sz w:val="20"/>
                <w:szCs w:val="20"/>
                <w:lang w:val="en-MY"/>
              </w:rPr>
              <w:t xml:space="preserve"> (%)</w:t>
            </w:r>
          </w:p>
        </w:tc>
      </w:tr>
      <w:tr w:rsidR="00564145" w14:paraId="2CAC5FDA" w14:textId="77777777" w:rsidTr="000240A2">
        <w:trPr>
          <w:trHeight w:val="53"/>
          <w:jc w:val="center"/>
        </w:trPr>
        <w:tc>
          <w:tcPr>
            <w:tcW w:w="1833" w:type="dxa"/>
            <w:tcBorders>
              <w:top w:val="single" w:sz="8" w:space="0" w:color="auto"/>
              <w:left w:val="nil"/>
              <w:bottom w:val="nil"/>
              <w:right w:val="nil"/>
            </w:tcBorders>
            <w:vAlign w:val="center"/>
          </w:tcPr>
          <w:p w14:paraId="1099280D"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Chromium (Cr)</w:t>
            </w:r>
          </w:p>
        </w:tc>
        <w:tc>
          <w:tcPr>
            <w:tcW w:w="2305" w:type="dxa"/>
            <w:tcBorders>
              <w:top w:val="single" w:sz="8" w:space="0" w:color="auto"/>
              <w:left w:val="nil"/>
              <w:bottom w:val="nil"/>
              <w:right w:val="nil"/>
            </w:tcBorders>
          </w:tcPr>
          <w:p w14:paraId="5EA22A3A"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4.4</w:t>
            </w:r>
          </w:p>
        </w:tc>
        <w:tc>
          <w:tcPr>
            <w:tcW w:w="2387" w:type="dxa"/>
            <w:tcBorders>
              <w:top w:val="single" w:sz="8" w:space="0" w:color="auto"/>
              <w:left w:val="nil"/>
              <w:bottom w:val="nil"/>
              <w:right w:val="nil"/>
            </w:tcBorders>
            <w:vAlign w:val="center"/>
          </w:tcPr>
          <w:p w14:paraId="0E3AD30F"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1.5</w:t>
            </w:r>
          </w:p>
        </w:tc>
        <w:tc>
          <w:tcPr>
            <w:tcW w:w="2228" w:type="dxa"/>
            <w:tcBorders>
              <w:top w:val="single" w:sz="8" w:space="0" w:color="auto"/>
              <w:left w:val="nil"/>
              <w:bottom w:val="nil"/>
              <w:right w:val="nil"/>
            </w:tcBorders>
          </w:tcPr>
          <w:p w14:paraId="01BF8DB7"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65.9%</w:t>
            </w:r>
          </w:p>
        </w:tc>
      </w:tr>
      <w:tr w:rsidR="00564145" w14:paraId="6F0B5555" w14:textId="77777777" w:rsidTr="008F7DE4">
        <w:trPr>
          <w:trHeight w:val="73"/>
          <w:jc w:val="center"/>
        </w:trPr>
        <w:tc>
          <w:tcPr>
            <w:tcW w:w="1833" w:type="dxa"/>
            <w:tcBorders>
              <w:top w:val="nil"/>
              <w:left w:val="nil"/>
              <w:bottom w:val="nil"/>
              <w:right w:val="nil"/>
            </w:tcBorders>
            <w:vAlign w:val="center"/>
          </w:tcPr>
          <w:p w14:paraId="6BE5F4C7"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Cadmium (Cd)</w:t>
            </w:r>
          </w:p>
        </w:tc>
        <w:tc>
          <w:tcPr>
            <w:tcW w:w="2305" w:type="dxa"/>
            <w:tcBorders>
              <w:top w:val="nil"/>
              <w:left w:val="nil"/>
              <w:bottom w:val="nil"/>
              <w:right w:val="nil"/>
            </w:tcBorders>
          </w:tcPr>
          <w:p w14:paraId="6FEC6B2E"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0.92</w:t>
            </w:r>
          </w:p>
        </w:tc>
        <w:tc>
          <w:tcPr>
            <w:tcW w:w="2387" w:type="dxa"/>
            <w:tcBorders>
              <w:top w:val="nil"/>
              <w:left w:val="nil"/>
              <w:bottom w:val="nil"/>
              <w:right w:val="nil"/>
            </w:tcBorders>
          </w:tcPr>
          <w:p w14:paraId="5BD8AB56"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0.55</w:t>
            </w:r>
          </w:p>
        </w:tc>
        <w:tc>
          <w:tcPr>
            <w:tcW w:w="2228" w:type="dxa"/>
            <w:tcBorders>
              <w:top w:val="nil"/>
              <w:left w:val="nil"/>
              <w:bottom w:val="nil"/>
              <w:right w:val="nil"/>
            </w:tcBorders>
            <w:vAlign w:val="center"/>
          </w:tcPr>
          <w:p w14:paraId="2231E42D"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40.2%</w:t>
            </w:r>
          </w:p>
        </w:tc>
      </w:tr>
      <w:tr w:rsidR="00564145" w14:paraId="0878F742" w14:textId="77777777" w:rsidTr="008F7DE4">
        <w:trPr>
          <w:trHeight w:val="73"/>
          <w:jc w:val="center"/>
        </w:trPr>
        <w:tc>
          <w:tcPr>
            <w:tcW w:w="1833" w:type="dxa"/>
            <w:tcBorders>
              <w:top w:val="nil"/>
              <w:left w:val="nil"/>
              <w:bottom w:val="nil"/>
              <w:right w:val="nil"/>
            </w:tcBorders>
          </w:tcPr>
          <w:p w14:paraId="20D5868E"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Copper (Cu)</w:t>
            </w:r>
          </w:p>
        </w:tc>
        <w:tc>
          <w:tcPr>
            <w:tcW w:w="2305" w:type="dxa"/>
            <w:tcBorders>
              <w:top w:val="nil"/>
              <w:left w:val="nil"/>
              <w:bottom w:val="nil"/>
              <w:right w:val="nil"/>
            </w:tcBorders>
            <w:vAlign w:val="center"/>
          </w:tcPr>
          <w:p w14:paraId="3A97C5FC"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2.5</w:t>
            </w:r>
          </w:p>
        </w:tc>
        <w:tc>
          <w:tcPr>
            <w:tcW w:w="2387" w:type="dxa"/>
            <w:tcBorders>
              <w:top w:val="nil"/>
              <w:left w:val="nil"/>
              <w:bottom w:val="nil"/>
              <w:right w:val="nil"/>
            </w:tcBorders>
            <w:vAlign w:val="center"/>
          </w:tcPr>
          <w:p w14:paraId="6B932A90"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1.6</w:t>
            </w:r>
          </w:p>
        </w:tc>
        <w:tc>
          <w:tcPr>
            <w:tcW w:w="2228" w:type="dxa"/>
            <w:tcBorders>
              <w:top w:val="nil"/>
              <w:left w:val="nil"/>
              <w:bottom w:val="nil"/>
              <w:right w:val="nil"/>
            </w:tcBorders>
          </w:tcPr>
          <w:p w14:paraId="07D4C43C"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36.0%</w:t>
            </w:r>
          </w:p>
        </w:tc>
      </w:tr>
      <w:tr w:rsidR="00564145" w14:paraId="791A585A" w14:textId="77777777" w:rsidTr="008F7DE4">
        <w:trPr>
          <w:trHeight w:val="73"/>
          <w:jc w:val="center"/>
        </w:trPr>
        <w:tc>
          <w:tcPr>
            <w:tcW w:w="1833" w:type="dxa"/>
            <w:tcBorders>
              <w:top w:val="nil"/>
              <w:left w:val="nil"/>
              <w:bottom w:val="nil"/>
              <w:right w:val="nil"/>
            </w:tcBorders>
            <w:vAlign w:val="center"/>
          </w:tcPr>
          <w:p w14:paraId="23B26111"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Nickel (Ni)</w:t>
            </w:r>
          </w:p>
        </w:tc>
        <w:tc>
          <w:tcPr>
            <w:tcW w:w="2305" w:type="dxa"/>
            <w:tcBorders>
              <w:top w:val="nil"/>
              <w:left w:val="nil"/>
              <w:bottom w:val="nil"/>
              <w:right w:val="nil"/>
            </w:tcBorders>
            <w:vAlign w:val="center"/>
          </w:tcPr>
          <w:p w14:paraId="0D428499"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1.2</w:t>
            </w:r>
          </w:p>
        </w:tc>
        <w:tc>
          <w:tcPr>
            <w:tcW w:w="2387" w:type="dxa"/>
            <w:tcBorders>
              <w:top w:val="nil"/>
              <w:left w:val="nil"/>
              <w:bottom w:val="nil"/>
              <w:right w:val="nil"/>
            </w:tcBorders>
          </w:tcPr>
          <w:p w14:paraId="4BE596A2"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0.6</w:t>
            </w:r>
          </w:p>
        </w:tc>
        <w:tc>
          <w:tcPr>
            <w:tcW w:w="2228" w:type="dxa"/>
            <w:tcBorders>
              <w:top w:val="nil"/>
              <w:left w:val="nil"/>
              <w:bottom w:val="nil"/>
              <w:right w:val="nil"/>
            </w:tcBorders>
            <w:vAlign w:val="center"/>
          </w:tcPr>
          <w:p w14:paraId="41D08F68"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50.0%</w:t>
            </w:r>
          </w:p>
        </w:tc>
      </w:tr>
      <w:tr w:rsidR="00564145" w14:paraId="0A4D0086" w14:textId="77777777" w:rsidTr="000240A2">
        <w:trPr>
          <w:trHeight w:val="73"/>
          <w:jc w:val="center"/>
        </w:trPr>
        <w:tc>
          <w:tcPr>
            <w:tcW w:w="1833" w:type="dxa"/>
            <w:tcBorders>
              <w:top w:val="nil"/>
              <w:left w:val="nil"/>
              <w:bottom w:val="nil"/>
              <w:right w:val="nil"/>
            </w:tcBorders>
          </w:tcPr>
          <w:p w14:paraId="02BC7128"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Lead (Pb)</w:t>
            </w:r>
          </w:p>
        </w:tc>
        <w:tc>
          <w:tcPr>
            <w:tcW w:w="2305" w:type="dxa"/>
            <w:tcBorders>
              <w:top w:val="nil"/>
              <w:left w:val="nil"/>
              <w:bottom w:val="nil"/>
              <w:right w:val="nil"/>
            </w:tcBorders>
          </w:tcPr>
          <w:p w14:paraId="124DB3C5"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1.8</w:t>
            </w:r>
          </w:p>
        </w:tc>
        <w:tc>
          <w:tcPr>
            <w:tcW w:w="2387" w:type="dxa"/>
            <w:tcBorders>
              <w:top w:val="nil"/>
              <w:left w:val="nil"/>
              <w:bottom w:val="nil"/>
              <w:right w:val="nil"/>
            </w:tcBorders>
          </w:tcPr>
          <w:p w14:paraId="49F654CD"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0.6</w:t>
            </w:r>
          </w:p>
        </w:tc>
        <w:tc>
          <w:tcPr>
            <w:tcW w:w="2228" w:type="dxa"/>
            <w:tcBorders>
              <w:top w:val="nil"/>
              <w:left w:val="nil"/>
              <w:bottom w:val="nil"/>
              <w:right w:val="nil"/>
            </w:tcBorders>
          </w:tcPr>
          <w:p w14:paraId="0A200ADA"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66.7%</w:t>
            </w:r>
          </w:p>
        </w:tc>
      </w:tr>
      <w:tr w:rsidR="00564145" w14:paraId="033F5E6E" w14:textId="77777777" w:rsidTr="000240A2">
        <w:trPr>
          <w:trHeight w:val="73"/>
          <w:jc w:val="center"/>
        </w:trPr>
        <w:tc>
          <w:tcPr>
            <w:tcW w:w="1833" w:type="dxa"/>
            <w:tcBorders>
              <w:top w:val="nil"/>
              <w:left w:val="nil"/>
              <w:bottom w:val="nil"/>
              <w:right w:val="nil"/>
            </w:tcBorders>
            <w:vAlign w:val="center"/>
          </w:tcPr>
          <w:p w14:paraId="4719D86A"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Zinc (Zn)</w:t>
            </w:r>
          </w:p>
        </w:tc>
        <w:tc>
          <w:tcPr>
            <w:tcW w:w="2305" w:type="dxa"/>
            <w:tcBorders>
              <w:top w:val="nil"/>
              <w:left w:val="nil"/>
              <w:bottom w:val="nil"/>
              <w:right w:val="nil"/>
            </w:tcBorders>
            <w:vAlign w:val="center"/>
          </w:tcPr>
          <w:p w14:paraId="45903C24"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5.8</w:t>
            </w:r>
          </w:p>
        </w:tc>
        <w:tc>
          <w:tcPr>
            <w:tcW w:w="2387" w:type="dxa"/>
            <w:tcBorders>
              <w:top w:val="nil"/>
              <w:left w:val="nil"/>
              <w:bottom w:val="nil"/>
              <w:right w:val="nil"/>
            </w:tcBorders>
            <w:vAlign w:val="center"/>
          </w:tcPr>
          <w:p w14:paraId="495FFE8E"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3.8</w:t>
            </w:r>
          </w:p>
        </w:tc>
        <w:tc>
          <w:tcPr>
            <w:tcW w:w="2228" w:type="dxa"/>
            <w:tcBorders>
              <w:top w:val="nil"/>
              <w:left w:val="nil"/>
              <w:bottom w:val="nil"/>
              <w:right w:val="nil"/>
            </w:tcBorders>
            <w:vAlign w:val="center"/>
          </w:tcPr>
          <w:p w14:paraId="02B56063"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34.5%</w:t>
            </w:r>
          </w:p>
        </w:tc>
      </w:tr>
      <w:tr w:rsidR="00564145" w14:paraId="313758C1" w14:textId="77777777" w:rsidTr="000240A2">
        <w:trPr>
          <w:trHeight w:val="73"/>
          <w:jc w:val="center"/>
        </w:trPr>
        <w:tc>
          <w:tcPr>
            <w:tcW w:w="1833" w:type="dxa"/>
            <w:tcBorders>
              <w:top w:val="nil"/>
              <w:left w:val="nil"/>
              <w:bottom w:val="single" w:sz="8" w:space="0" w:color="auto"/>
              <w:right w:val="nil"/>
            </w:tcBorders>
          </w:tcPr>
          <w:p w14:paraId="311658BD"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Iron (Fe)</w:t>
            </w:r>
          </w:p>
        </w:tc>
        <w:tc>
          <w:tcPr>
            <w:tcW w:w="2305" w:type="dxa"/>
            <w:tcBorders>
              <w:top w:val="nil"/>
              <w:left w:val="nil"/>
              <w:bottom w:val="single" w:sz="8" w:space="0" w:color="auto"/>
              <w:right w:val="nil"/>
            </w:tcBorders>
          </w:tcPr>
          <w:p w14:paraId="41570CAB"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7.0</w:t>
            </w:r>
          </w:p>
        </w:tc>
        <w:tc>
          <w:tcPr>
            <w:tcW w:w="2387" w:type="dxa"/>
            <w:tcBorders>
              <w:top w:val="nil"/>
              <w:left w:val="nil"/>
              <w:bottom w:val="single" w:sz="8" w:space="0" w:color="auto"/>
              <w:right w:val="nil"/>
            </w:tcBorders>
          </w:tcPr>
          <w:p w14:paraId="438DCF4B"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4.7</w:t>
            </w:r>
          </w:p>
        </w:tc>
        <w:tc>
          <w:tcPr>
            <w:tcW w:w="2228" w:type="dxa"/>
            <w:tcBorders>
              <w:top w:val="nil"/>
              <w:left w:val="nil"/>
              <w:bottom w:val="single" w:sz="8" w:space="0" w:color="auto"/>
              <w:right w:val="nil"/>
            </w:tcBorders>
          </w:tcPr>
          <w:p w14:paraId="32563B8D"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32.9%</w:t>
            </w:r>
          </w:p>
        </w:tc>
      </w:tr>
    </w:tbl>
    <w:p w14:paraId="3354B75C" w14:textId="77777777" w:rsidR="00171F2C" w:rsidRDefault="00171F2C" w:rsidP="00742CFF">
      <w:pPr>
        <w:spacing w:after="0" w:line="240" w:lineRule="auto"/>
        <w:jc w:val="both"/>
        <w:rPr>
          <w:rFonts w:ascii="Times New Roman" w:eastAsia="Calibri" w:hAnsi="Times New Roman" w:cs="Times New Roman"/>
          <w:sz w:val="20"/>
          <w:szCs w:val="20"/>
          <w:lang w:val="en-MY"/>
        </w:rPr>
      </w:pPr>
    </w:p>
    <w:p w14:paraId="540B16B1" w14:textId="77777777" w:rsidR="0020401D" w:rsidRPr="003067BF" w:rsidRDefault="00171F2C" w:rsidP="00C06C2F">
      <w:pPr>
        <w:spacing w:after="0" w:line="240" w:lineRule="auto"/>
        <w:ind w:firstLine="426"/>
        <w:jc w:val="both"/>
        <w:rPr>
          <w:rFonts w:ascii="Times New Roman" w:eastAsia="Calibri" w:hAnsi="Times New Roman" w:cs="Times New Roman"/>
          <w:sz w:val="20"/>
          <w:szCs w:val="20"/>
          <w:lang w:val="en-MY"/>
        </w:rPr>
      </w:pPr>
      <w:r>
        <w:rPr>
          <w:rFonts w:ascii="Times New Roman" w:eastAsia="Calibri" w:hAnsi="Times New Roman" w:cs="Times New Roman"/>
          <w:sz w:val="20"/>
          <w:szCs w:val="20"/>
          <w:lang w:val="en-MY"/>
        </w:rPr>
        <w:t xml:space="preserve">Ni concentrations decreased from an initial average of around 1.2 mg/kg in the first phase to 0.6 mg/kg in the second sampling phase, achieving about </w:t>
      </w:r>
      <w:r>
        <w:rPr>
          <w:rFonts w:ascii="Times New Roman" w:eastAsia="Calibri" w:hAnsi="Times New Roman" w:cs="Times New Roman"/>
          <w:sz w:val="20"/>
          <w:szCs w:val="20"/>
          <w:highlight w:val="yellow"/>
          <w:lang w:val="en-MY"/>
        </w:rPr>
        <w:t xml:space="preserve">a </w:t>
      </w:r>
      <w:r>
        <w:rPr>
          <w:rFonts w:ascii="Times New Roman" w:eastAsia="Calibri" w:hAnsi="Times New Roman" w:cs="Times New Roman"/>
          <w:sz w:val="20"/>
          <w:szCs w:val="20"/>
          <w:lang w:val="en-MY"/>
        </w:rPr>
        <w:t>50.0% reduction. This indicates good attenuation progress, with most locations nearing background levels (</w:t>
      </w:r>
      <w:proofErr w:type="spellStart"/>
      <w:r>
        <w:rPr>
          <w:rFonts w:ascii="Times New Roman" w:hAnsi="Times New Roman" w:cs="Times New Roman"/>
          <w:color w:val="2660F0"/>
          <w:sz w:val="20"/>
          <w:szCs w:val="20"/>
        </w:rPr>
        <w:t>Imasuen</w:t>
      </w:r>
      <w:proofErr w:type="spellEnd"/>
      <w:r>
        <w:rPr>
          <w:rFonts w:ascii="Times New Roman" w:hAnsi="Times New Roman" w:cs="Times New Roman"/>
          <w:color w:val="2660F0"/>
          <w:sz w:val="20"/>
          <w:szCs w:val="20"/>
        </w:rPr>
        <w:t xml:space="preserve"> et al., 2014</w:t>
      </w:r>
      <w:r>
        <w:rPr>
          <w:rFonts w:ascii="Times New Roman" w:eastAsia="Calibri" w:hAnsi="Times New Roman" w:cs="Times New Roman"/>
          <w:sz w:val="20"/>
          <w:szCs w:val="20"/>
          <w:lang w:val="en-MY"/>
        </w:rPr>
        <w:t xml:space="preserve">). Pb </w:t>
      </w:r>
      <w:r>
        <w:rPr>
          <w:rFonts w:ascii="Times New Roman" w:eastAsia="Calibri" w:hAnsi="Times New Roman" w:cs="Times New Roman"/>
          <w:sz w:val="20"/>
          <w:szCs w:val="20"/>
          <w:highlight w:val="yellow"/>
          <w:lang w:val="en-MY"/>
        </w:rPr>
        <w:t xml:space="preserve">levels </w:t>
      </w:r>
      <w:r>
        <w:rPr>
          <w:rFonts w:ascii="Times New Roman" w:eastAsia="Calibri" w:hAnsi="Times New Roman" w:cs="Times New Roman"/>
          <w:sz w:val="20"/>
          <w:szCs w:val="20"/>
          <w:lang w:val="en-MY"/>
        </w:rPr>
        <w:t>initiall</w:t>
      </w:r>
      <w:r>
        <w:rPr>
          <w:rFonts w:ascii="Times New Roman" w:eastAsia="Calibri" w:hAnsi="Times New Roman" w:cs="Times New Roman"/>
          <w:sz w:val="20"/>
          <w:szCs w:val="20"/>
          <w:highlight w:val="yellow"/>
          <w:lang w:val="en-MY"/>
        </w:rPr>
        <w:t>y</w:t>
      </w:r>
      <w:r>
        <w:rPr>
          <w:rFonts w:ascii="Times New Roman" w:eastAsia="Calibri" w:hAnsi="Times New Roman" w:cs="Times New Roman"/>
          <w:sz w:val="20"/>
          <w:szCs w:val="20"/>
          <w:lang w:val="en-MY"/>
        </w:rPr>
        <w:t xml:space="preserve"> averag</w:t>
      </w:r>
      <w:r>
        <w:rPr>
          <w:rFonts w:ascii="Times New Roman" w:eastAsia="Calibri" w:hAnsi="Times New Roman" w:cs="Times New Roman"/>
          <w:sz w:val="20"/>
          <w:szCs w:val="20"/>
          <w:highlight w:val="yellow"/>
          <w:lang w:val="en-MY"/>
        </w:rPr>
        <w:t>ed</w:t>
      </w:r>
      <w:r>
        <w:rPr>
          <w:rFonts w:ascii="Times New Roman" w:eastAsia="Calibri" w:hAnsi="Times New Roman" w:cs="Times New Roman"/>
          <w:sz w:val="20"/>
          <w:szCs w:val="20"/>
          <w:lang w:val="en-MY"/>
        </w:rPr>
        <w:t xml:space="preserve"> around 1.8 mg/kg in the first sampling phase </w:t>
      </w:r>
      <w:r>
        <w:rPr>
          <w:rFonts w:ascii="Times New Roman" w:eastAsia="Calibri" w:hAnsi="Times New Roman" w:cs="Times New Roman"/>
          <w:sz w:val="20"/>
          <w:szCs w:val="20"/>
          <w:highlight w:val="yellow"/>
          <w:lang w:val="en-MY"/>
        </w:rPr>
        <w:t>and</w:t>
      </w:r>
      <w:r>
        <w:rPr>
          <w:rFonts w:ascii="Times New Roman" w:eastAsia="Calibri" w:hAnsi="Times New Roman" w:cs="Times New Roman"/>
          <w:sz w:val="20"/>
          <w:szCs w:val="20"/>
          <w:lang w:val="en-MY"/>
        </w:rPr>
        <w:t xml:space="preserve"> dropp</w:t>
      </w:r>
      <w:r>
        <w:rPr>
          <w:rFonts w:ascii="Times New Roman" w:eastAsia="Calibri" w:hAnsi="Times New Roman" w:cs="Times New Roman"/>
          <w:sz w:val="20"/>
          <w:szCs w:val="20"/>
          <w:highlight w:val="yellow"/>
          <w:lang w:val="en-MY"/>
        </w:rPr>
        <w:t>ed</w:t>
      </w:r>
      <w:r>
        <w:rPr>
          <w:rFonts w:ascii="Times New Roman" w:eastAsia="Calibri" w:hAnsi="Times New Roman" w:cs="Times New Roman"/>
          <w:sz w:val="20"/>
          <w:szCs w:val="20"/>
          <w:lang w:val="en-MY"/>
        </w:rPr>
        <w:t xml:space="preserve"> to about 0.6 mg/kg in the second sampling phase, resulting in a 66.7% reduction. This substantial decrease brought Pb concentrations near control levels, highlighting the </w:t>
      </w:r>
      <w:r>
        <w:rPr>
          <w:rFonts w:ascii="Times New Roman" w:eastAsia="Calibri" w:hAnsi="Times New Roman" w:cs="Times New Roman"/>
          <w:sz w:val="20"/>
          <w:szCs w:val="20"/>
          <w:highlight w:val="yellow"/>
          <w:lang w:val="en-MY"/>
        </w:rPr>
        <w:t>progr</w:t>
      </w:r>
      <w:r>
        <w:rPr>
          <w:rFonts w:ascii="Times New Roman" w:eastAsia="Calibri" w:hAnsi="Times New Roman" w:cs="Times New Roman"/>
          <w:sz w:val="20"/>
          <w:szCs w:val="20"/>
          <w:lang w:val="en-MY"/>
        </w:rPr>
        <w:t>ess of natural attenuation over time (</w:t>
      </w:r>
      <w:r>
        <w:rPr>
          <w:rFonts w:ascii="Times New Roman" w:eastAsia="Calibri" w:hAnsi="Times New Roman" w:cs="Times New Roman"/>
          <w:color w:val="2660F0"/>
          <w:sz w:val="20"/>
          <w:szCs w:val="20"/>
          <w:lang w:val="en-MY"/>
        </w:rPr>
        <w:t>Aparicio et al., 2022</w:t>
      </w:r>
      <w:r>
        <w:rPr>
          <w:rFonts w:ascii="Times New Roman" w:eastAsia="Calibri" w:hAnsi="Times New Roman" w:cs="Times New Roman"/>
          <w:sz w:val="20"/>
          <w:szCs w:val="20"/>
          <w:lang w:val="en-MY"/>
        </w:rPr>
        <w:t>). For Zn, the initial average concentration of 5.8 mg/kg in the first sampling phase was reduced to about 3.8 mg/kg in the second sampling phase, indicating a 34.5% reduction. While natural attenuation has been beneficial, some hotspots may require additional contaminant mitigation (</w:t>
      </w:r>
      <w:r>
        <w:rPr>
          <w:rFonts w:ascii="Times New Roman" w:eastAsia="Calibri" w:hAnsi="Times New Roman" w:cs="Times New Roman"/>
          <w:color w:val="2660F0"/>
          <w:sz w:val="20"/>
          <w:szCs w:val="20"/>
          <w:lang w:val="en-MY"/>
        </w:rPr>
        <w:t>Mohamed et al., 2024</w:t>
      </w:r>
      <w:r>
        <w:rPr>
          <w:rFonts w:ascii="Times New Roman" w:eastAsia="Calibri" w:hAnsi="Times New Roman" w:cs="Times New Roman"/>
          <w:sz w:val="20"/>
          <w:szCs w:val="20"/>
          <w:lang w:val="en-MY"/>
        </w:rPr>
        <w:t xml:space="preserve">). Iron (Fe) </w:t>
      </w:r>
      <w:r>
        <w:rPr>
          <w:rFonts w:ascii="Times New Roman" w:eastAsia="Calibri" w:hAnsi="Times New Roman" w:cs="Times New Roman"/>
          <w:sz w:val="20"/>
          <w:szCs w:val="20"/>
          <w:highlight w:val="yellow"/>
          <w:lang w:val="en-MY"/>
        </w:rPr>
        <w:t>h</w:t>
      </w:r>
      <w:r>
        <w:rPr>
          <w:rFonts w:ascii="Times New Roman" w:eastAsia="Calibri" w:hAnsi="Times New Roman" w:cs="Times New Roman"/>
          <w:sz w:val="20"/>
          <w:szCs w:val="20"/>
          <w:lang w:val="en-MY"/>
        </w:rPr>
        <w:t>a</w:t>
      </w:r>
      <w:r>
        <w:rPr>
          <w:rFonts w:ascii="Times New Roman" w:eastAsia="Calibri" w:hAnsi="Times New Roman" w:cs="Times New Roman"/>
          <w:sz w:val="20"/>
          <w:szCs w:val="20"/>
          <w:highlight w:val="yellow"/>
          <w:lang w:val="en-MY"/>
        </w:rPr>
        <w:t>d</w:t>
      </w:r>
      <w:r>
        <w:rPr>
          <w:rFonts w:ascii="Times New Roman" w:eastAsia="Calibri" w:hAnsi="Times New Roman" w:cs="Times New Roman"/>
          <w:sz w:val="20"/>
          <w:szCs w:val="20"/>
          <w:lang w:val="en-MY"/>
        </w:rPr>
        <w:t xml:space="preserve"> an initial average level of 7.0 mg/kg in the first phase, which decreased to about 4.7 mg/kg in the second, reflecting a 32.9% reduction. </w:t>
      </w:r>
      <w:r>
        <w:rPr>
          <w:rFonts w:ascii="Times New Roman" w:eastAsia="Calibri" w:hAnsi="Times New Roman" w:cs="Times New Roman"/>
          <w:sz w:val="20"/>
          <w:szCs w:val="20"/>
          <w:highlight w:val="yellow"/>
          <w:lang w:val="en-MY"/>
        </w:rPr>
        <w:t>Desp</w:t>
      </w:r>
      <w:r>
        <w:rPr>
          <w:rFonts w:ascii="Times New Roman" w:eastAsia="Calibri" w:hAnsi="Times New Roman" w:cs="Times New Roman"/>
          <w:sz w:val="20"/>
          <w:szCs w:val="20"/>
          <w:lang w:val="en-MY"/>
        </w:rPr>
        <w:t>it</w:t>
      </w:r>
      <w:r>
        <w:rPr>
          <w:rFonts w:ascii="Times New Roman" w:eastAsia="Calibri" w:hAnsi="Times New Roman" w:cs="Times New Roman"/>
          <w:sz w:val="20"/>
          <w:szCs w:val="20"/>
          <w:highlight w:val="yellow"/>
          <w:lang w:val="en-MY"/>
        </w:rPr>
        <w:t>e only</w:t>
      </w:r>
      <w:r>
        <w:rPr>
          <w:rFonts w:ascii="Times New Roman" w:eastAsia="Calibri" w:hAnsi="Times New Roman" w:cs="Times New Roman"/>
          <w:sz w:val="20"/>
          <w:szCs w:val="20"/>
          <w:lang w:val="en-MY"/>
        </w:rPr>
        <w:t xml:space="preserve"> partial </w:t>
      </w:r>
      <w:r>
        <w:rPr>
          <w:rFonts w:ascii="Times New Roman" w:eastAsia="Calibri" w:hAnsi="Times New Roman" w:cs="Times New Roman"/>
          <w:sz w:val="20"/>
          <w:szCs w:val="20"/>
          <w:highlight w:val="yellow"/>
          <w:lang w:val="en-MY"/>
        </w:rPr>
        <w:t>r</w:t>
      </w:r>
      <w:r>
        <w:rPr>
          <w:rFonts w:ascii="Times New Roman" w:eastAsia="Calibri" w:hAnsi="Times New Roman" w:cs="Times New Roman"/>
          <w:sz w:val="20"/>
          <w:szCs w:val="20"/>
          <w:lang w:val="en-MY"/>
        </w:rPr>
        <w:t>eductions, elevated Fe levels in the southern part reflect ongoing iron mobility and suggest the need for more time to meet environmental standards across the entire site (</w:t>
      </w:r>
      <w:r>
        <w:rPr>
          <w:rFonts w:ascii="Times New Roman" w:hAnsi="Times New Roman" w:cs="Times New Roman"/>
          <w:color w:val="2660F0"/>
          <w:sz w:val="20"/>
          <w:szCs w:val="20"/>
        </w:rPr>
        <w:t>Sánchez-Castro et al., 2023</w:t>
      </w:r>
      <w:r>
        <w:rPr>
          <w:rFonts w:ascii="Times New Roman" w:eastAsia="Calibri" w:hAnsi="Times New Roman" w:cs="Times New Roman"/>
          <w:sz w:val="20"/>
          <w:szCs w:val="20"/>
          <w:lang w:val="en-MY"/>
        </w:rPr>
        <w:t xml:space="preserve">). Overall, the findings </w:t>
      </w:r>
      <w:r>
        <w:rPr>
          <w:rFonts w:ascii="Times New Roman" w:eastAsia="Calibri" w:hAnsi="Times New Roman" w:cs="Times New Roman"/>
          <w:sz w:val="20"/>
          <w:szCs w:val="20"/>
          <w:highlight w:val="yellow"/>
          <w:lang w:val="en-MY"/>
        </w:rPr>
        <w:t>indi</w:t>
      </w:r>
      <w:r>
        <w:rPr>
          <w:rFonts w:ascii="Times New Roman" w:eastAsia="Calibri" w:hAnsi="Times New Roman" w:cs="Times New Roman"/>
          <w:sz w:val="20"/>
          <w:szCs w:val="20"/>
          <w:lang w:val="en-MY"/>
        </w:rPr>
        <w:t>c</w:t>
      </w:r>
      <w:r>
        <w:rPr>
          <w:rFonts w:ascii="Times New Roman" w:eastAsia="Calibri" w:hAnsi="Times New Roman" w:cs="Times New Roman"/>
          <w:sz w:val="20"/>
          <w:szCs w:val="20"/>
          <w:highlight w:val="yellow"/>
          <w:lang w:val="en-MY"/>
        </w:rPr>
        <w:t>a</w:t>
      </w:r>
      <w:r>
        <w:rPr>
          <w:rFonts w:ascii="Times New Roman" w:eastAsia="Calibri" w:hAnsi="Times New Roman" w:cs="Times New Roman"/>
          <w:sz w:val="20"/>
          <w:szCs w:val="20"/>
          <w:lang w:val="en-MY"/>
        </w:rPr>
        <w:t xml:space="preserve">te positive progress </w:t>
      </w:r>
      <w:r>
        <w:rPr>
          <w:rFonts w:ascii="Times New Roman" w:eastAsia="Calibri" w:hAnsi="Times New Roman" w:cs="Times New Roman"/>
          <w:sz w:val="20"/>
          <w:szCs w:val="20"/>
          <w:highlight w:val="yellow"/>
          <w:lang w:val="en-MY"/>
        </w:rPr>
        <w:t>in</w:t>
      </w:r>
      <w:r>
        <w:rPr>
          <w:rFonts w:ascii="Times New Roman" w:eastAsia="Calibri" w:hAnsi="Times New Roman" w:cs="Times New Roman"/>
          <w:sz w:val="20"/>
          <w:szCs w:val="20"/>
          <w:lang w:val="en-MY"/>
        </w:rPr>
        <w:t xml:space="preserve"> contaminant attenuation, with most sample points showing compliance with environmental standards for most heavy metals.</w:t>
      </w:r>
    </w:p>
    <w:p w14:paraId="48726F13" w14:textId="77777777" w:rsidR="005D683B" w:rsidRDefault="00C80F6E" w:rsidP="00EC4DB4">
      <w:pPr>
        <w:pStyle w:val="NormalWeb"/>
        <w:spacing w:before="0" w:beforeAutospacing="0" w:after="0" w:afterAutospacing="0"/>
        <w:ind w:firstLine="450"/>
        <w:jc w:val="both"/>
        <w:rPr>
          <w:sz w:val="20"/>
          <w:szCs w:val="20"/>
        </w:rPr>
      </w:pPr>
      <w:bookmarkStart w:id="18" w:name="_Hlk206146627"/>
      <w:bookmarkEnd w:id="18"/>
      <w:r>
        <w:rPr>
          <w:sz w:val="20"/>
          <w:szCs w:val="20"/>
        </w:rPr>
        <w:t xml:space="preserve">The environmental quality observed from the pollution evaluation shows that </w:t>
      </w:r>
      <w:proofErr w:type="spellStart"/>
      <w:r>
        <w:rPr>
          <w:sz w:val="20"/>
          <w:szCs w:val="20"/>
        </w:rPr>
        <w:t>Geoaccumulation</w:t>
      </w:r>
      <w:proofErr w:type="spellEnd"/>
      <w:r>
        <w:rPr>
          <w:sz w:val="20"/>
          <w:szCs w:val="20"/>
        </w:rPr>
        <w:t xml:space="preserve"> Index (</w:t>
      </w:r>
      <w:proofErr w:type="spellStart"/>
      <w:r>
        <w:rPr>
          <w:i/>
          <w:iCs/>
          <w:sz w:val="20"/>
          <w:szCs w:val="20"/>
        </w:rPr>
        <w:t>I</w:t>
      </w:r>
      <w:r>
        <w:rPr>
          <w:i/>
          <w:iCs/>
          <w:sz w:val="20"/>
          <w:szCs w:val="20"/>
          <w:vertAlign w:val="subscript"/>
        </w:rPr>
        <w:t>geo</w:t>
      </w:r>
      <w:proofErr w:type="spellEnd"/>
      <w:r>
        <w:rPr>
          <w:sz w:val="20"/>
          <w:szCs w:val="20"/>
        </w:rPr>
        <w:t>) values for most heavy metals by the second sampling phase fell into the Class 0 category, suggesting th</w:t>
      </w:r>
      <w:r>
        <w:rPr>
          <w:sz w:val="20"/>
          <w:szCs w:val="20"/>
          <w:highlight w:val="yellow"/>
        </w:rPr>
        <w:t>at th</w:t>
      </w:r>
      <w:r>
        <w:rPr>
          <w:sz w:val="20"/>
          <w:szCs w:val="20"/>
        </w:rPr>
        <w:t>e soils were</w:t>
      </w:r>
      <w:r>
        <w:rPr>
          <w:sz w:val="20"/>
          <w:szCs w:val="20"/>
          <w:highlight w:val="yellow"/>
        </w:rPr>
        <w:t xml:space="preserve"> primarily</w:t>
      </w:r>
      <w:r>
        <w:rPr>
          <w:sz w:val="20"/>
          <w:szCs w:val="20"/>
        </w:rPr>
        <w:t xml:space="preserve"> uncontaminated, except for Cd</w:t>
      </w:r>
      <w:r>
        <w:rPr>
          <w:sz w:val="20"/>
          <w:szCs w:val="20"/>
          <w:highlight w:val="yellow"/>
        </w:rPr>
        <w:t>,</w:t>
      </w:r>
      <w:r>
        <w:rPr>
          <w:sz w:val="20"/>
          <w:szCs w:val="20"/>
        </w:rPr>
        <w:t xml:space="preserve"> </w:t>
      </w:r>
      <w:r>
        <w:rPr>
          <w:sz w:val="20"/>
          <w:szCs w:val="20"/>
          <w:highlight w:val="yellow"/>
        </w:rPr>
        <w:t>w</w:t>
      </w:r>
      <w:r>
        <w:rPr>
          <w:sz w:val="20"/>
          <w:szCs w:val="20"/>
        </w:rPr>
        <w:t>h</w:t>
      </w:r>
      <w:r>
        <w:rPr>
          <w:sz w:val="20"/>
          <w:szCs w:val="20"/>
          <w:highlight w:val="yellow"/>
        </w:rPr>
        <w:t>ich</w:t>
      </w:r>
      <w:r>
        <w:rPr>
          <w:sz w:val="20"/>
          <w:szCs w:val="20"/>
        </w:rPr>
        <w:t xml:space="preserve"> persisted in Class 1 as moderately contaminated. This persistence of Cd contamination indicates the complexity of fully attenuating this metal, possibly due to site-specific factors such as soil pH and organic matter content (</w:t>
      </w:r>
      <w:r>
        <w:rPr>
          <w:color w:val="2660F0"/>
          <w:sz w:val="20"/>
          <w:szCs w:val="20"/>
          <w:shd w:val="clear" w:color="auto" w:fill="FFFFFF"/>
        </w:rPr>
        <w:t>Dhaliwal et al., 2020</w:t>
      </w:r>
      <w:r>
        <w:rPr>
          <w:sz w:val="20"/>
          <w:szCs w:val="20"/>
          <w:shd w:val="clear" w:color="auto" w:fill="FFFFFF"/>
        </w:rPr>
        <w:t xml:space="preserve">; </w:t>
      </w:r>
      <w:r>
        <w:rPr>
          <w:color w:val="2660F0"/>
          <w:sz w:val="20"/>
          <w:szCs w:val="20"/>
          <w:shd w:val="clear" w:color="auto" w:fill="FFFFFF"/>
        </w:rPr>
        <w:t>Rajendran et al., 2022</w:t>
      </w:r>
      <w:r>
        <w:rPr>
          <w:sz w:val="20"/>
          <w:szCs w:val="20"/>
        </w:rPr>
        <w:t xml:space="preserve">). Supporting the </w:t>
      </w:r>
      <w:proofErr w:type="spellStart"/>
      <w:r>
        <w:rPr>
          <w:i/>
          <w:iCs/>
          <w:sz w:val="20"/>
          <w:szCs w:val="20"/>
        </w:rPr>
        <w:t>I</w:t>
      </w:r>
      <w:r>
        <w:rPr>
          <w:i/>
          <w:iCs/>
          <w:sz w:val="20"/>
          <w:szCs w:val="20"/>
          <w:vertAlign w:val="subscript"/>
        </w:rPr>
        <w:t>geo</w:t>
      </w:r>
      <w:proofErr w:type="spellEnd"/>
      <w:r>
        <w:rPr>
          <w:sz w:val="20"/>
          <w:szCs w:val="20"/>
        </w:rPr>
        <w:t xml:space="preserve"> findings, the Contamination Factor (</w:t>
      </w:r>
      <w:r>
        <w:rPr>
          <w:i/>
          <w:iCs/>
          <w:sz w:val="20"/>
          <w:szCs w:val="20"/>
        </w:rPr>
        <w:t>CF</w:t>
      </w:r>
      <w:r>
        <w:rPr>
          <w:sz w:val="20"/>
          <w:szCs w:val="20"/>
        </w:rPr>
        <w:t>) values also revealed that most metals exhibited low contamination levels after the first sampling, with only a few stations showing moderate contamination for Cd. The second phase showed a continued drop in Cd, shifting these areas from moderate to low contamination levels</w:t>
      </w:r>
      <w:r>
        <w:rPr>
          <w:sz w:val="20"/>
          <w:szCs w:val="20"/>
          <w:highlight w:val="yellow"/>
        </w:rPr>
        <w:t xml:space="preserve"> and</w:t>
      </w:r>
      <w:r>
        <w:rPr>
          <w:sz w:val="20"/>
          <w:szCs w:val="20"/>
        </w:rPr>
        <w:t xml:space="preserve"> reflecting that attenuation w</w:t>
      </w:r>
      <w:r>
        <w:rPr>
          <w:sz w:val="20"/>
          <w:szCs w:val="20"/>
          <w:highlight w:val="yellow"/>
        </w:rPr>
        <w:t>as</w:t>
      </w:r>
      <w:r>
        <w:rPr>
          <w:sz w:val="20"/>
          <w:szCs w:val="20"/>
        </w:rPr>
        <w:t xml:space="preserve"> active overall (</w:t>
      </w:r>
      <w:r>
        <w:rPr>
          <w:color w:val="2660F0"/>
          <w:sz w:val="20"/>
          <w:szCs w:val="20"/>
        </w:rPr>
        <w:t>Diagne et al., 2015</w:t>
      </w:r>
      <w:r>
        <w:rPr>
          <w:sz w:val="20"/>
          <w:szCs w:val="20"/>
        </w:rPr>
        <w:t>). The Metal Pollution Index (</w:t>
      </w:r>
      <w:r>
        <w:rPr>
          <w:i/>
          <w:iCs/>
          <w:sz w:val="20"/>
          <w:szCs w:val="20"/>
        </w:rPr>
        <w:t>MPI</w:t>
      </w:r>
      <w:r>
        <w:rPr>
          <w:sz w:val="20"/>
          <w:szCs w:val="20"/>
        </w:rPr>
        <w:t>), which integrates the contamination factors of all studied metals, decreased from 1.007 after the first sampling phase to 0.587 after the second. This reduction reflects an overall improvement in environmental quality (</w:t>
      </w:r>
      <w:r>
        <w:rPr>
          <w:color w:val="2660F0"/>
          <w:sz w:val="20"/>
          <w:szCs w:val="20"/>
        </w:rPr>
        <w:t>Mohamed et al., 2024</w:t>
      </w:r>
      <w:r>
        <w:rPr>
          <w:sz w:val="20"/>
          <w:szCs w:val="20"/>
        </w:rPr>
        <w:t>), indicating that attenuation ha</w:t>
      </w:r>
      <w:r>
        <w:rPr>
          <w:sz w:val="20"/>
          <w:szCs w:val="20"/>
          <w:highlight w:val="yellow"/>
        </w:rPr>
        <w:t>s</w:t>
      </w:r>
      <w:r>
        <w:rPr>
          <w:sz w:val="20"/>
          <w:szCs w:val="20"/>
        </w:rPr>
        <w:t xml:space="preserve"> effectively reduced metal pollution in the study area. Despite the decrease in overall contamination, the persistence of metals, especially Cd, shows the need for continuous monitoring and possible clean-up strategies to address these sources effectively (</w:t>
      </w:r>
      <w:r>
        <w:rPr>
          <w:color w:val="2660F0"/>
          <w:sz w:val="20"/>
          <w:szCs w:val="20"/>
        </w:rPr>
        <w:t>George et al., 2023</w:t>
      </w:r>
      <w:r>
        <w:rPr>
          <w:sz w:val="20"/>
          <w:szCs w:val="20"/>
        </w:rPr>
        <w:t xml:space="preserve">). The Potential Ecological Risk Index (PERI) analysis showed a substantial reduction in ecological risk between the first and second </w:t>
      </w:r>
      <w:r>
        <w:rPr>
          <w:sz w:val="20"/>
          <w:szCs w:val="20"/>
          <w:highlight w:val="yellow"/>
        </w:rPr>
        <w:t xml:space="preserve">sampling </w:t>
      </w:r>
      <w:r>
        <w:rPr>
          <w:sz w:val="20"/>
          <w:szCs w:val="20"/>
        </w:rPr>
        <w:t>phases (</w:t>
      </w:r>
      <w:r>
        <w:rPr>
          <w:color w:val="2660F0"/>
          <w:sz w:val="20"/>
          <w:szCs w:val="20"/>
        </w:rPr>
        <w:t>Bello et al., 2019</w:t>
      </w:r>
      <w:r>
        <w:rPr>
          <w:sz w:val="20"/>
          <w:szCs w:val="20"/>
        </w:rPr>
        <w:t>). Initially, some locations exhibited considerable ecological risk due to Cd</w:t>
      </w:r>
      <w:r>
        <w:rPr>
          <w:sz w:val="20"/>
          <w:szCs w:val="20"/>
          <w:highlight w:val="yellow"/>
        </w:rPr>
        <w:t>,</w:t>
      </w:r>
      <w:r>
        <w:rPr>
          <w:sz w:val="20"/>
          <w:szCs w:val="20"/>
        </w:rPr>
        <w:t xml:space="preserve"> but</w:t>
      </w:r>
      <w:r>
        <w:rPr>
          <w:sz w:val="20"/>
          <w:szCs w:val="20"/>
          <w:highlight w:val="yellow"/>
        </w:rPr>
        <w:t xml:space="preserve"> this risk was</w:t>
      </w:r>
      <w:r>
        <w:rPr>
          <w:sz w:val="20"/>
          <w:szCs w:val="20"/>
        </w:rPr>
        <w:t xml:space="preserve"> reduced in the second phase, with only a few l</w:t>
      </w:r>
      <w:r>
        <w:rPr>
          <w:sz w:val="20"/>
          <w:szCs w:val="20"/>
          <w:highlight w:val="yellow"/>
        </w:rPr>
        <w:t>oc</w:t>
      </w:r>
      <w:r>
        <w:rPr>
          <w:sz w:val="20"/>
          <w:szCs w:val="20"/>
        </w:rPr>
        <w:t>a</w:t>
      </w:r>
      <w:r>
        <w:rPr>
          <w:sz w:val="20"/>
          <w:szCs w:val="20"/>
          <w:highlight w:val="yellow"/>
        </w:rPr>
        <w:t>tion</w:t>
      </w:r>
      <w:r>
        <w:rPr>
          <w:sz w:val="20"/>
          <w:szCs w:val="20"/>
        </w:rPr>
        <w:t xml:space="preserve">s still posing a moderate risk. This reduction in ecological risk underscores the </w:t>
      </w:r>
      <w:r>
        <w:rPr>
          <w:sz w:val="20"/>
          <w:szCs w:val="20"/>
          <w:highlight w:val="yellow"/>
        </w:rPr>
        <w:t>be</w:t>
      </w:r>
      <w:r>
        <w:rPr>
          <w:sz w:val="20"/>
          <w:szCs w:val="20"/>
        </w:rPr>
        <w:t>n</w:t>
      </w:r>
      <w:r>
        <w:rPr>
          <w:sz w:val="20"/>
          <w:szCs w:val="20"/>
          <w:highlight w:val="yellow"/>
        </w:rPr>
        <w:t>efi</w:t>
      </w:r>
      <w:r>
        <w:rPr>
          <w:sz w:val="20"/>
          <w:szCs w:val="20"/>
        </w:rPr>
        <w:t>t of active contaminant</w:t>
      </w:r>
      <w:r>
        <w:rPr>
          <w:sz w:val="20"/>
          <w:szCs w:val="20"/>
          <w:highlight w:val="yellow"/>
        </w:rPr>
        <w:t>-</w:t>
      </w:r>
      <w:r>
        <w:rPr>
          <w:sz w:val="20"/>
          <w:szCs w:val="20"/>
        </w:rPr>
        <w:t>mass reduction over time in mitigating potential environmental harm (</w:t>
      </w:r>
      <w:r>
        <w:rPr>
          <w:color w:val="2660F0"/>
          <w:sz w:val="20"/>
          <w:szCs w:val="20"/>
        </w:rPr>
        <w:t>George et al., 2023</w:t>
      </w:r>
      <w:r>
        <w:rPr>
          <w:sz w:val="20"/>
          <w:szCs w:val="20"/>
        </w:rPr>
        <w:t>;</w:t>
      </w:r>
      <w:r>
        <w:rPr>
          <w:color w:val="2660F0"/>
          <w:sz w:val="20"/>
          <w:szCs w:val="20"/>
        </w:rPr>
        <w:t xml:space="preserve"> Ahmed et al., 2024a</w:t>
      </w:r>
      <w:r>
        <w:rPr>
          <w:sz w:val="20"/>
          <w:szCs w:val="20"/>
        </w:rPr>
        <w:t>).</w:t>
      </w:r>
    </w:p>
    <w:p w14:paraId="691BFF85" w14:textId="77777777" w:rsidR="00B16219" w:rsidRPr="00E420DC" w:rsidRDefault="004F00BB" w:rsidP="00400111">
      <w:pPr>
        <w:spacing w:after="0" w:line="240" w:lineRule="auto"/>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4</w:t>
      </w:r>
      <w:r w:rsidR="008D1E44" w:rsidRPr="009E184D">
        <w:rPr>
          <w:rFonts w:ascii="Times New Roman" w:eastAsia="Times New Roman" w:hAnsi="Times New Roman" w:cs="Times New Roman"/>
          <w:b/>
          <w:bCs/>
          <w:sz w:val="20"/>
          <w:szCs w:val="20"/>
        </w:rPr>
        <w:t>. Conclusion</w:t>
      </w:r>
    </w:p>
    <w:p w14:paraId="7226866D" w14:textId="77777777" w:rsidR="000F451D" w:rsidRDefault="001E4BD6" w:rsidP="009B44DB">
      <w:pPr>
        <w:spacing w:after="0" w:line="256" w:lineRule="auto"/>
        <w:jc w:val="both"/>
        <w:rPr>
          <w:rFonts w:ascii="Times New Roman" w:eastAsia="Calibri" w:hAnsi="Times New Roman" w:cs="Times New Roman"/>
          <w:bCs/>
          <w:color w:val="FF0000"/>
          <w:sz w:val="20"/>
          <w:szCs w:val="20"/>
        </w:rPr>
      </w:pPr>
      <w:r>
        <w:rPr>
          <w:rFonts w:ascii="Times New Roman" w:hAnsi="Times New Roman" w:cs="Times New Roman"/>
          <w:sz w:val="20"/>
          <w:szCs w:val="20"/>
        </w:rPr>
        <w:t>This study highlights the challenges of soil contamination in the Niger Delta, particularly in Eleme, where oil spills have led to significant heavy</w:t>
      </w:r>
      <w:r>
        <w:rPr>
          <w:rFonts w:ascii="Times New Roman" w:hAnsi="Times New Roman" w:cs="Times New Roman"/>
          <w:sz w:val="20"/>
          <w:szCs w:val="20"/>
          <w:highlight w:val="yellow"/>
        </w:rPr>
        <w:t>-</w:t>
      </w:r>
      <w:r>
        <w:rPr>
          <w:rFonts w:ascii="Times New Roman" w:hAnsi="Times New Roman" w:cs="Times New Roman"/>
          <w:sz w:val="20"/>
          <w:szCs w:val="20"/>
        </w:rPr>
        <w:t xml:space="preserve">metal pollution. The spatiotemporal monitoring approach employed in this research provided valuable insights into contaminant attenuation over time. The results show that the first sampling phase </w:t>
      </w:r>
      <w:r>
        <w:rPr>
          <w:rFonts w:ascii="Times New Roman" w:hAnsi="Times New Roman" w:cs="Times New Roman"/>
          <w:sz w:val="20"/>
          <w:szCs w:val="20"/>
          <w:highlight w:val="yellow"/>
        </w:rPr>
        <w:t>revea</w:t>
      </w:r>
      <w:r>
        <w:rPr>
          <w:rFonts w:ascii="Times New Roman" w:hAnsi="Times New Roman" w:cs="Times New Roman"/>
          <w:sz w:val="20"/>
          <w:szCs w:val="20"/>
        </w:rPr>
        <w:t>led elevated heavy</w:t>
      </w:r>
      <w:r>
        <w:rPr>
          <w:rFonts w:ascii="Times New Roman" w:hAnsi="Times New Roman" w:cs="Times New Roman"/>
          <w:sz w:val="20"/>
          <w:szCs w:val="20"/>
          <w:highlight w:val="yellow"/>
        </w:rPr>
        <w:t>-</w:t>
      </w:r>
      <w:r>
        <w:rPr>
          <w:rFonts w:ascii="Times New Roman" w:hAnsi="Times New Roman" w:cs="Times New Roman"/>
          <w:sz w:val="20"/>
          <w:szCs w:val="20"/>
        </w:rPr>
        <w:t xml:space="preserve">metal concentrations, including cadmium, chromium, and lead. In the second sampling phase, concentrations of the metal contaminants showed mixed results, with declines in some metals but </w:t>
      </w:r>
      <w:r>
        <w:rPr>
          <w:rFonts w:ascii="Times New Roman" w:hAnsi="Times New Roman" w:cs="Times New Roman"/>
          <w:sz w:val="20"/>
          <w:szCs w:val="20"/>
          <w:highlight w:val="yellow"/>
        </w:rPr>
        <w:t>persi</w:t>
      </w:r>
      <w:r>
        <w:rPr>
          <w:rFonts w:ascii="Times New Roman" w:hAnsi="Times New Roman" w:cs="Times New Roman"/>
          <w:sz w:val="20"/>
          <w:szCs w:val="20"/>
        </w:rPr>
        <w:t>stent levels in others, reflecting ongoing variations in metal mobility. The findings demonstrate that</w:t>
      </w:r>
      <w:r>
        <w:rPr>
          <w:rFonts w:ascii="Times New Roman" w:hAnsi="Times New Roman" w:cs="Times New Roman"/>
          <w:sz w:val="20"/>
          <w:szCs w:val="20"/>
          <w:highlight w:val="yellow"/>
        </w:rPr>
        <w:t>,</w:t>
      </w:r>
      <w:r>
        <w:rPr>
          <w:rFonts w:ascii="Times New Roman" w:hAnsi="Times New Roman" w:cs="Times New Roman"/>
          <w:sz w:val="20"/>
          <w:szCs w:val="20"/>
        </w:rPr>
        <w:t xml:space="preserve"> while natural attenuation has partially reduced the concentrations of most heavy metals, cadmium remains particularly </w:t>
      </w:r>
      <w:r>
        <w:rPr>
          <w:rFonts w:ascii="Times New Roman" w:hAnsi="Times New Roman" w:cs="Times New Roman"/>
          <w:sz w:val="20"/>
          <w:szCs w:val="20"/>
          <w:highlight w:val="yellow"/>
        </w:rPr>
        <w:t>pe</w:t>
      </w:r>
      <w:r>
        <w:rPr>
          <w:rFonts w:ascii="Times New Roman" w:hAnsi="Times New Roman" w:cs="Times New Roman"/>
          <w:sz w:val="20"/>
          <w:szCs w:val="20"/>
        </w:rPr>
        <w:t>rsist</w:t>
      </w:r>
      <w:r>
        <w:rPr>
          <w:rFonts w:ascii="Times New Roman" w:hAnsi="Times New Roman" w:cs="Times New Roman"/>
          <w:sz w:val="20"/>
          <w:szCs w:val="20"/>
          <w:highlight w:val="yellow"/>
        </w:rPr>
        <w:t>e</w:t>
      </w:r>
      <w:r>
        <w:rPr>
          <w:rFonts w:ascii="Times New Roman" w:hAnsi="Times New Roman" w:cs="Times New Roman"/>
          <w:sz w:val="20"/>
          <w:szCs w:val="20"/>
        </w:rPr>
        <w:t xml:space="preserve">nt. This persistent contamination </w:t>
      </w:r>
      <w:proofErr w:type="spellStart"/>
      <w:r>
        <w:rPr>
          <w:rFonts w:ascii="Times New Roman" w:hAnsi="Times New Roman" w:cs="Times New Roman"/>
          <w:sz w:val="20"/>
          <w:szCs w:val="20"/>
        </w:rPr>
        <w:t>emphasi</w:t>
      </w:r>
      <w:r>
        <w:rPr>
          <w:rFonts w:ascii="Times New Roman" w:hAnsi="Times New Roman" w:cs="Times New Roman"/>
          <w:sz w:val="20"/>
          <w:szCs w:val="20"/>
          <w:highlight w:val="yellow"/>
        </w:rPr>
        <w:t>s</w:t>
      </w:r>
      <w:r>
        <w:rPr>
          <w:rFonts w:ascii="Times New Roman" w:hAnsi="Times New Roman" w:cs="Times New Roman"/>
          <w:sz w:val="20"/>
          <w:szCs w:val="20"/>
        </w:rPr>
        <w:t>es</w:t>
      </w:r>
      <w:proofErr w:type="spellEnd"/>
      <w:r>
        <w:rPr>
          <w:rFonts w:ascii="Times New Roman" w:hAnsi="Times New Roman" w:cs="Times New Roman"/>
          <w:sz w:val="20"/>
          <w:szCs w:val="20"/>
        </w:rPr>
        <w:t xml:space="preserve"> the need for ongoing monitoring and potentially more in</w:t>
      </w:r>
      <w:r>
        <w:rPr>
          <w:rFonts w:ascii="Times New Roman" w:hAnsi="Times New Roman" w:cs="Times New Roman"/>
          <w:sz w:val="20"/>
          <w:szCs w:val="20"/>
          <w:highlight w:val="yellow"/>
        </w:rPr>
        <w:t>t</w:t>
      </w:r>
      <w:r>
        <w:rPr>
          <w:rFonts w:ascii="Times New Roman" w:hAnsi="Times New Roman" w:cs="Times New Roman"/>
          <w:sz w:val="20"/>
          <w:szCs w:val="20"/>
        </w:rPr>
        <w:t>e</w:t>
      </w:r>
      <w:r>
        <w:rPr>
          <w:rFonts w:ascii="Times New Roman" w:hAnsi="Times New Roman" w:cs="Times New Roman"/>
          <w:sz w:val="20"/>
          <w:szCs w:val="20"/>
          <w:highlight w:val="yellow"/>
        </w:rPr>
        <w:t>nsive</w:t>
      </w:r>
      <w:r>
        <w:rPr>
          <w:rFonts w:ascii="Times New Roman" w:hAnsi="Times New Roman" w:cs="Times New Roman"/>
          <w:sz w:val="20"/>
          <w:szCs w:val="20"/>
        </w:rPr>
        <w:t xml:space="preserve"> strategies to fully mitigate </w:t>
      </w:r>
      <w:r>
        <w:rPr>
          <w:rFonts w:ascii="Times New Roman" w:hAnsi="Times New Roman" w:cs="Times New Roman"/>
          <w:sz w:val="20"/>
          <w:szCs w:val="20"/>
          <w:highlight w:val="yellow"/>
        </w:rPr>
        <w:t>t</w:t>
      </w:r>
      <w:r>
        <w:rPr>
          <w:rFonts w:ascii="Times New Roman" w:hAnsi="Times New Roman" w:cs="Times New Roman"/>
          <w:sz w:val="20"/>
          <w:szCs w:val="20"/>
        </w:rPr>
        <w:t xml:space="preserve">he health and environmental risks </w:t>
      </w:r>
      <w:r>
        <w:rPr>
          <w:rFonts w:ascii="Times New Roman" w:hAnsi="Times New Roman" w:cs="Times New Roman"/>
          <w:sz w:val="20"/>
          <w:szCs w:val="20"/>
          <w:highlight w:val="yellow"/>
        </w:rPr>
        <w:t xml:space="preserve">of heavy metals </w:t>
      </w:r>
      <w:r>
        <w:rPr>
          <w:rFonts w:ascii="Times New Roman" w:hAnsi="Times New Roman" w:cs="Times New Roman"/>
          <w:sz w:val="20"/>
          <w:szCs w:val="20"/>
        </w:rPr>
        <w:t xml:space="preserve">in the study area. </w:t>
      </w:r>
      <w:r>
        <w:rPr>
          <w:rFonts w:ascii="Times New Roman" w:eastAsia="Calibri" w:hAnsi="Times New Roman" w:cs="Times New Roman"/>
          <w:bCs/>
          <w:color w:val="000000" w:themeColor="text1"/>
          <w:sz w:val="20"/>
          <w:szCs w:val="20"/>
          <w:highlight w:val="yellow"/>
        </w:rPr>
        <w:t>N</w:t>
      </w:r>
      <w:r>
        <w:rPr>
          <w:rFonts w:ascii="Times New Roman" w:eastAsia="Calibri" w:hAnsi="Times New Roman" w:cs="Times New Roman"/>
          <w:bCs/>
          <w:color w:val="000000" w:themeColor="text1"/>
          <w:sz w:val="20"/>
          <w:szCs w:val="20"/>
        </w:rPr>
        <w:t>atural attenuation reduced heavy</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 xml:space="preserve">metal contamination across the site, </w:t>
      </w:r>
      <w:r>
        <w:rPr>
          <w:rFonts w:ascii="Times New Roman" w:eastAsia="Calibri" w:hAnsi="Times New Roman" w:cs="Times New Roman"/>
          <w:bCs/>
          <w:color w:val="000000" w:themeColor="text1"/>
          <w:sz w:val="20"/>
          <w:szCs w:val="20"/>
          <w:highlight w:val="yellow"/>
        </w:rPr>
        <w:t>wit</w:t>
      </w:r>
      <w:r>
        <w:rPr>
          <w:rFonts w:ascii="Times New Roman" w:eastAsia="Calibri" w:hAnsi="Times New Roman" w:cs="Times New Roman"/>
          <w:bCs/>
          <w:color w:val="000000" w:themeColor="text1"/>
          <w:sz w:val="20"/>
          <w:szCs w:val="20"/>
        </w:rPr>
        <w:t xml:space="preserve">h an overall decline of roughly 33%–67%, </w:t>
      </w:r>
      <w:r>
        <w:rPr>
          <w:rFonts w:ascii="Times New Roman" w:eastAsia="Calibri" w:hAnsi="Times New Roman" w:cs="Times New Roman"/>
          <w:bCs/>
          <w:color w:val="000000" w:themeColor="text1"/>
          <w:sz w:val="20"/>
          <w:szCs w:val="20"/>
          <w:highlight w:val="yellow"/>
        </w:rPr>
        <w:t>depend</w:t>
      </w:r>
      <w:r>
        <w:rPr>
          <w:rFonts w:ascii="Times New Roman" w:eastAsia="Calibri" w:hAnsi="Times New Roman" w:cs="Times New Roman"/>
          <w:bCs/>
          <w:color w:val="000000" w:themeColor="text1"/>
          <w:sz w:val="20"/>
          <w:szCs w:val="20"/>
        </w:rPr>
        <w:t xml:space="preserve">ing </w:t>
      </w:r>
      <w:r>
        <w:rPr>
          <w:rFonts w:ascii="Times New Roman" w:eastAsia="Calibri" w:hAnsi="Times New Roman" w:cs="Times New Roman"/>
          <w:bCs/>
          <w:color w:val="000000" w:themeColor="text1"/>
          <w:sz w:val="20"/>
          <w:szCs w:val="20"/>
          <w:highlight w:val="yellow"/>
        </w:rPr>
        <w:t>on</w:t>
      </w:r>
      <w:r>
        <w:rPr>
          <w:rFonts w:ascii="Times New Roman" w:eastAsia="Calibri" w:hAnsi="Times New Roman" w:cs="Times New Roman"/>
          <w:bCs/>
          <w:color w:val="000000" w:themeColor="text1"/>
          <w:sz w:val="20"/>
          <w:szCs w:val="20"/>
        </w:rPr>
        <w:t xml:space="preserve"> the individual metal. Pb and Cr showed the most substantial declines, </w:t>
      </w:r>
      <w:r>
        <w:rPr>
          <w:rFonts w:ascii="Times New Roman" w:eastAsia="Calibri" w:hAnsi="Times New Roman" w:cs="Times New Roman"/>
          <w:bCs/>
          <w:color w:val="000000" w:themeColor="text1"/>
          <w:sz w:val="20"/>
          <w:szCs w:val="20"/>
          <w:highlight w:val="yellow"/>
        </w:rPr>
        <w:t>in</w:t>
      </w:r>
      <w:r>
        <w:rPr>
          <w:rFonts w:ascii="Times New Roman" w:eastAsia="Calibri" w:hAnsi="Times New Roman" w:cs="Times New Roman"/>
          <w:bCs/>
          <w:color w:val="000000" w:themeColor="text1"/>
          <w:sz w:val="20"/>
          <w:szCs w:val="20"/>
        </w:rPr>
        <w:t>d</w:t>
      </w:r>
      <w:r>
        <w:rPr>
          <w:rFonts w:ascii="Times New Roman" w:eastAsia="Calibri" w:hAnsi="Times New Roman" w:cs="Times New Roman"/>
          <w:bCs/>
          <w:color w:val="000000" w:themeColor="text1"/>
          <w:sz w:val="20"/>
          <w:szCs w:val="20"/>
          <w:highlight w:val="yellow"/>
        </w:rPr>
        <w:t>ic</w:t>
      </w:r>
      <w:r>
        <w:rPr>
          <w:rFonts w:ascii="Times New Roman" w:eastAsia="Calibri" w:hAnsi="Times New Roman" w:cs="Times New Roman"/>
          <w:bCs/>
          <w:color w:val="000000" w:themeColor="text1"/>
          <w:sz w:val="20"/>
          <w:szCs w:val="20"/>
        </w:rPr>
        <w:t xml:space="preserve">ating </w:t>
      </w:r>
      <w:r>
        <w:rPr>
          <w:rFonts w:ascii="Times New Roman" w:eastAsia="Calibri" w:hAnsi="Times New Roman" w:cs="Times New Roman"/>
          <w:bCs/>
          <w:color w:val="000000" w:themeColor="text1"/>
          <w:sz w:val="20"/>
          <w:szCs w:val="20"/>
          <w:highlight w:val="yellow"/>
        </w:rPr>
        <w:t>a low</w:t>
      </w:r>
      <w:r>
        <w:rPr>
          <w:rFonts w:ascii="Times New Roman" w:eastAsia="Calibri" w:hAnsi="Times New Roman" w:cs="Times New Roman"/>
          <w:bCs/>
          <w:color w:val="000000" w:themeColor="text1"/>
          <w:sz w:val="20"/>
          <w:szCs w:val="20"/>
        </w:rPr>
        <w:t xml:space="preserve">er requirement for further mitigation actions to </w:t>
      </w:r>
      <w:r>
        <w:rPr>
          <w:rFonts w:ascii="Times New Roman" w:eastAsia="Calibri" w:hAnsi="Times New Roman" w:cs="Times New Roman"/>
          <w:bCs/>
          <w:color w:val="000000" w:themeColor="text1"/>
          <w:sz w:val="20"/>
          <w:szCs w:val="20"/>
          <w:highlight w:val="yellow"/>
        </w:rPr>
        <w:t>r</w:t>
      </w:r>
      <w:r>
        <w:rPr>
          <w:rFonts w:ascii="Times New Roman" w:eastAsia="Calibri" w:hAnsi="Times New Roman" w:cs="Times New Roman"/>
          <w:bCs/>
          <w:color w:val="000000" w:themeColor="text1"/>
          <w:sz w:val="20"/>
          <w:szCs w:val="20"/>
        </w:rPr>
        <w:t>e</w:t>
      </w:r>
      <w:r>
        <w:rPr>
          <w:rFonts w:ascii="Times New Roman" w:eastAsia="Calibri" w:hAnsi="Times New Roman" w:cs="Times New Roman"/>
          <w:bCs/>
          <w:color w:val="000000" w:themeColor="text1"/>
          <w:sz w:val="20"/>
          <w:szCs w:val="20"/>
          <w:highlight w:val="yellow"/>
        </w:rPr>
        <w:t>ac</w:t>
      </w:r>
      <w:r>
        <w:rPr>
          <w:rFonts w:ascii="Times New Roman" w:eastAsia="Calibri" w:hAnsi="Times New Roman" w:cs="Times New Roman"/>
          <w:bCs/>
          <w:color w:val="000000" w:themeColor="text1"/>
          <w:sz w:val="20"/>
          <w:szCs w:val="20"/>
        </w:rPr>
        <w:t>h control</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sample levels. Conversely, Zn and Fe exhibited slower attenuation rates, i</w:t>
      </w:r>
      <w:r>
        <w:rPr>
          <w:rFonts w:ascii="Times New Roman" w:eastAsia="Calibri" w:hAnsi="Times New Roman" w:cs="Times New Roman"/>
          <w:bCs/>
          <w:color w:val="000000" w:themeColor="text1"/>
          <w:sz w:val="20"/>
          <w:szCs w:val="20"/>
          <w:highlight w:val="yellow"/>
        </w:rPr>
        <w:t>ndica</w:t>
      </w:r>
      <w:r>
        <w:rPr>
          <w:rFonts w:ascii="Times New Roman" w:eastAsia="Calibri" w:hAnsi="Times New Roman" w:cs="Times New Roman"/>
          <w:bCs/>
          <w:color w:val="000000" w:themeColor="text1"/>
          <w:sz w:val="20"/>
          <w:szCs w:val="20"/>
        </w:rPr>
        <w:t>ting the need for continued treatment in specific areas, particularly in the southern part of the site parallel to the pipeline. This implies that sensitive areas bordering the pipeline spill source require more effective in-situ clean</w:t>
      </w:r>
      <w:r>
        <w:rPr>
          <w:rFonts w:ascii="Times New Roman" w:eastAsia="Calibri" w:hAnsi="Times New Roman" w:cs="Times New Roman"/>
          <w:bCs/>
          <w:color w:val="000000" w:themeColor="text1"/>
          <w:sz w:val="20"/>
          <w:szCs w:val="20"/>
          <w:highlight w:val="yellow"/>
        </w:rPr>
        <w:t>-up</w:t>
      </w:r>
      <w:r>
        <w:rPr>
          <w:rFonts w:ascii="Times New Roman" w:eastAsia="Calibri" w:hAnsi="Times New Roman" w:cs="Times New Roman"/>
          <w:bCs/>
          <w:color w:val="000000" w:themeColor="text1"/>
          <w:sz w:val="20"/>
          <w:szCs w:val="20"/>
        </w:rPr>
        <w:t xml:space="preserve"> strategies</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 xml:space="preserve"> </w:t>
      </w:r>
      <w:r>
        <w:rPr>
          <w:rFonts w:ascii="Times New Roman" w:eastAsia="Calibri" w:hAnsi="Times New Roman" w:cs="Times New Roman"/>
          <w:bCs/>
          <w:color w:val="000000" w:themeColor="text1"/>
          <w:sz w:val="20"/>
          <w:szCs w:val="20"/>
          <w:highlight w:val="yellow"/>
        </w:rPr>
        <w:t>such as</w:t>
      </w:r>
      <w:r>
        <w:rPr>
          <w:rFonts w:ascii="Times New Roman" w:eastAsia="Calibri" w:hAnsi="Times New Roman" w:cs="Times New Roman"/>
          <w:bCs/>
          <w:color w:val="000000" w:themeColor="text1"/>
          <w:sz w:val="20"/>
          <w:szCs w:val="20"/>
        </w:rPr>
        <w:t xml:space="preserve"> remediation by enhanced natural attenuation (RENA) and targeted bioventing</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 xml:space="preserve"> to prevent recontamination. To achieve complete clean-up and restoration to background levels, the study suggests </w:t>
      </w:r>
      <w:r>
        <w:rPr>
          <w:rFonts w:ascii="Times New Roman" w:eastAsia="Calibri" w:hAnsi="Times New Roman" w:cs="Times New Roman"/>
          <w:bCs/>
          <w:color w:val="000000" w:themeColor="text1"/>
          <w:sz w:val="20"/>
          <w:szCs w:val="20"/>
          <w:highlight w:val="yellow"/>
        </w:rPr>
        <w:t xml:space="preserve">that </w:t>
      </w:r>
      <w:r>
        <w:rPr>
          <w:rFonts w:ascii="Times New Roman" w:eastAsia="Calibri" w:hAnsi="Times New Roman" w:cs="Times New Roman"/>
          <w:bCs/>
          <w:color w:val="000000" w:themeColor="text1"/>
          <w:sz w:val="20"/>
          <w:szCs w:val="20"/>
        </w:rPr>
        <w:t>an additional 6–18 months of ongoing effort may be required, depending on the specific metal, its spatial concentration</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 xml:space="preserve"> and other atmospheric and geological dynamics </w:t>
      </w:r>
      <w:r>
        <w:rPr>
          <w:rFonts w:ascii="Times New Roman" w:eastAsia="Calibri" w:hAnsi="Times New Roman" w:cs="Times New Roman"/>
          <w:bCs/>
          <w:color w:val="000000" w:themeColor="text1"/>
          <w:sz w:val="20"/>
          <w:szCs w:val="20"/>
          <w:highlight w:val="yellow"/>
        </w:rPr>
        <w:t>such as</w:t>
      </w:r>
      <w:r>
        <w:rPr>
          <w:rFonts w:ascii="Times New Roman" w:eastAsia="Calibri" w:hAnsi="Times New Roman" w:cs="Times New Roman"/>
          <w:bCs/>
          <w:color w:val="000000" w:themeColor="text1"/>
          <w:sz w:val="20"/>
          <w:szCs w:val="20"/>
        </w:rPr>
        <w:t xml:space="preserve"> rainfall and horizontal and vertical</w:t>
      </w:r>
      <w:r>
        <w:rPr>
          <w:rFonts w:ascii="Times New Roman" w:eastAsia="Calibri" w:hAnsi="Times New Roman" w:cs="Times New Roman"/>
          <w:bCs/>
          <w:color w:val="000000" w:themeColor="text1"/>
          <w:sz w:val="20"/>
          <w:szCs w:val="20"/>
          <w:highlight w:val="yellow"/>
        </w:rPr>
        <w:t xml:space="preserve"> groundwater</w:t>
      </w:r>
      <w:r>
        <w:rPr>
          <w:rFonts w:ascii="Times New Roman" w:eastAsia="Calibri" w:hAnsi="Times New Roman" w:cs="Times New Roman"/>
          <w:bCs/>
          <w:color w:val="000000" w:themeColor="text1"/>
          <w:sz w:val="20"/>
          <w:szCs w:val="20"/>
        </w:rPr>
        <w:t xml:space="preserve"> fluctuations. Consistent monitoring and targeted interventions in hotspots will be imp</w:t>
      </w:r>
      <w:r>
        <w:rPr>
          <w:rFonts w:ascii="Times New Roman" w:eastAsia="Calibri" w:hAnsi="Times New Roman" w:cs="Times New Roman"/>
          <w:bCs/>
          <w:color w:val="000000" w:themeColor="text1"/>
          <w:sz w:val="20"/>
          <w:szCs w:val="20"/>
          <w:highlight w:val="yellow"/>
        </w:rPr>
        <w:t>o</w:t>
      </w:r>
      <w:r>
        <w:rPr>
          <w:rFonts w:ascii="Times New Roman" w:eastAsia="Calibri" w:hAnsi="Times New Roman" w:cs="Times New Roman"/>
          <w:bCs/>
          <w:color w:val="000000" w:themeColor="text1"/>
          <w:sz w:val="20"/>
          <w:szCs w:val="20"/>
        </w:rPr>
        <w:t>r</w:t>
      </w:r>
      <w:r>
        <w:rPr>
          <w:rFonts w:ascii="Times New Roman" w:eastAsia="Calibri" w:hAnsi="Times New Roman" w:cs="Times New Roman"/>
          <w:bCs/>
          <w:color w:val="000000" w:themeColor="text1"/>
          <w:sz w:val="20"/>
          <w:szCs w:val="20"/>
          <w:highlight w:val="yellow"/>
        </w:rPr>
        <w:t>t</w:t>
      </w:r>
      <w:r>
        <w:rPr>
          <w:rFonts w:ascii="Times New Roman" w:eastAsia="Calibri" w:hAnsi="Times New Roman" w:cs="Times New Roman"/>
          <w:bCs/>
          <w:color w:val="000000" w:themeColor="text1"/>
          <w:sz w:val="20"/>
          <w:szCs w:val="20"/>
        </w:rPr>
        <w:t>a</w:t>
      </w:r>
      <w:r>
        <w:rPr>
          <w:rFonts w:ascii="Times New Roman" w:eastAsia="Calibri" w:hAnsi="Times New Roman" w:cs="Times New Roman"/>
          <w:bCs/>
          <w:color w:val="000000" w:themeColor="text1"/>
          <w:sz w:val="20"/>
          <w:szCs w:val="20"/>
          <w:highlight w:val="yellow"/>
        </w:rPr>
        <w:t>n</w:t>
      </w:r>
      <w:r>
        <w:rPr>
          <w:rFonts w:ascii="Times New Roman" w:eastAsia="Calibri" w:hAnsi="Times New Roman" w:cs="Times New Roman"/>
          <w:bCs/>
          <w:color w:val="000000" w:themeColor="text1"/>
          <w:sz w:val="20"/>
          <w:szCs w:val="20"/>
        </w:rPr>
        <w:t xml:space="preserve">t </w:t>
      </w:r>
      <w:r>
        <w:rPr>
          <w:rFonts w:ascii="Times New Roman" w:eastAsia="Calibri" w:hAnsi="Times New Roman" w:cs="Times New Roman"/>
          <w:bCs/>
          <w:color w:val="000000" w:themeColor="text1"/>
          <w:sz w:val="20"/>
          <w:szCs w:val="20"/>
          <w:highlight w:val="yellow"/>
        </w:rPr>
        <w:t>for</w:t>
      </w:r>
      <w:r>
        <w:rPr>
          <w:rFonts w:ascii="Times New Roman" w:eastAsia="Calibri" w:hAnsi="Times New Roman" w:cs="Times New Roman"/>
          <w:bCs/>
          <w:color w:val="000000" w:themeColor="text1"/>
          <w:sz w:val="20"/>
          <w:szCs w:val="20"/>
        </w:rPr>
        <w:t xml:space="preserve"> sustaining attenuation progress</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 xml:space="preserve"> ensur</w:t>
      </w:r>
      <w:r>
        <w:rPr>
          <w:rFonts w:ascii="Times New Roman" w:eastAsia="Calibri" w:hAnsi="Times New Roman" w:cs="Times New Roman"/>
          <w:bCs/>
          <w:color w:val="000000" w:themeColor="text1"/>
          <w:sz w:val="20"/>
          <w:szCs w:val="20"/>
          <w:highlight w:val="yellow"/>
        </w:rPr>
        <w:t>ing</w:t>
      </w:r>
      <w:r>
        <w:rPr>
          <w:rFonts w:ascii="Times New Roman" w:eastAsia="Calibri" w:hAnsi="Times New Roman" w:cs="Times New Roman"/>
          <w:bCs/>
          <w:color w:val="000000" w:themeColor="text1"/>
          <w:sz w:val="20"/>
          <w:szCs w:val="20"/>
        </w:rPr>
        <w:t xml:space="preserve"> compliance with environmental standards</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 xml:space="preserve"> and enhanc</w:t>
      </w:r>
      <w:r>
        <w:rPr>
          <w:rFonts w:ascii="Times New Roman" w:eastAsia="Calibri" w:hAnsi="Times New Roman" w:cs="Times New Roman"/>
          <w:bCs/>
          <w:color w:val="000000" w:themeColor="text1"/>
          <w:sz w:val="20"/>
          <w:szCs w:val="20"/>
          <w:highlight w:val="yellow"/>
        </w:rPr>
        <w:t>ing</w:t>
      </w:r>
      <w:r>
        <w:rPr>
          <w:rFonts w:ascii="Times New Roman" w:eastAsia="Calibri" w:hAnsi="Times New Roman" w:cs="Times New Roman"/>
          <w:bCs/>
          <w:color w:val="000000" w:themeColor="text1"/>
          <w:sz w:val="20"/>
          <w:szCs w:val="20"/>
        </w:rPr>
        <w:t xml:space="preserve"> environmental quality.</w:t>
      </w:r>
    </w:p>
    <w:p w14:paraId="4B000021" w14:textId="77777777" w:rsidR="0029315B" w:rsidRDefault="0029315B" w:rsidP="007F12B4">
      <w:pPr>
        <w:spacing w:after="0" w:line="256" w:lineRule="auto"/>
        <w:ind w:firstLine="450"/>
        <w:jc w:val="both"/>
        <w:rPr>
          <w:rFonts w:ascii="Times New Roman" w:eastAsia="Calibri" w:hAnsi="Times New Roman" w:cs="Times New Roman"/>
          <w:bCs/>
          <w:color w:val="000000" w:themeColor="text1"/>
          <w:sz w:val="20"/>
          <w:szCs w:val="20"/>
        </w:rPr>
      </w:pPr>
      <w:r>
        <w:rPr>
          <w:rFonts w:ascii="Times New Roman" w:eastAsia="Calibri" w:hAnsi="Times New Roman" w:cs="Times New Roman"/>
          <w:bCs/>
          <w:color w:val="000000" w:themeColor="text1"/>
          <w:sz w:val="20"/>
          <w:szCs w:val="20"/>
        </w:rPr>
        <w:t>While the study provides robust insights into heavy</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metal attenuation and ecological</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 xml:space="preserve">risk dynamics, it was conducted over two sampling phases within a six-month interval, offering a focused medium-term assessment of contaminant </w:t>
      </w:r>
      <w:proofErr w:type="spellStart"/>
      <w:r>
        <w:rPr>
          <w:rFonts w:ascii="Times New Roman" w:eastAsia="Calibri" w:hAnsi="Times New Roman" w:cs="Times New Roman"/>
          <w:bCs/>
          <w:color w:val="000000" w:themeColor="text1"/>
          <w:sz w:val="20"/>
          <w:szCs w:val="20"/>
        </w:rPr>
        <w:t>behavio</w:t>
      </w:r>
      <w:r>
        <w:rPr>
          <w:rFonts w:ascii="Times New Roman" w:eastAsia="Calibri" w:hAnsi="Times New Roman" w:cs="Times New Roman"/>
          <w:bCs/>
          <w:color w:val="000000" w:themeColor="text1"/>
          <w:sz w:val="20"/>
          <w:szCs w:val="20"/>
          <w:highlight w:val="yellow"/>
        </w:rPr>
        <w:t>u</w:t>
      </w:r>
      <w:r>
        <w:rPr>
          <w:rFonts w:ascii="Times New Roman" w:eastAsia="Calibri" w:hAnsi="Times New Roman" w:cs="Times New Roman"/>
          <w:bCs/>
          <w:color w:val="000000" w:themeColor="text1"/>
          <w:sz w:val="20"/>
          <w:szCs w:val="20"/>
        </w:rPr>
        <w:t>r</w:t>
      </w:r>
      <w:proofErr w:type="spellEnd"/>
      <w:r>
        <w:rPr>
          <w:rFonts w:ascii="Times New Roman" w:eastAsia="Calibri" w:hAnsi="Times New Roman" w:cs="Times New Roman"/>
          <w:bCs/>
          <w:color w:val="000000" w:themeColor="text1"/>
          <w:sz w:val="20"/>
          <w:szCs w:val="20"/>
        </w:rPr>
        <w:t xml:space="preserve">. Sampling targeted surface soils (0.2 m depth) across twenty-six strategically distributed locations, providing representative site coverage for the study objectives. The analysis </w:t>
      </w:r>
      <w:proofErr w:type="spellStart"/>
      <w:r>
        <w:rPr>
          <w:rFonts w:ascii="Times New Roman" w:eastAsia="Calibri" w:hAnsi="Times New Roman" w:cs="Times New Roman"/>
          <w:bCs/>
          <w:color w:val="000000" w:themeColor="text1"/>
          <w:sz w:val="20"/>
          <w:szCs w:val="20"/>
        </w:rPr>
        <w:t>emphasi</w:t>
      </w:r>
      <w:r>
        <w:rPr>
          <w:rFonts w:ascii="Times New Roman" w:eastAsia="Calibri" w:hAnsi="Times New Roman" w:cs="Times New Roman"/>
          <w:bCs/>
          <w:color w:val="000000" w:themeColor="text1"/>
          <w:sz w:val="20"/>
          <w:szCs w:val="20"/>
          <w:highlight w:val="yellow"/>
        </w:rPr>
        <w:t>s</w:t>
      </w:r>
      <w:r>
        <w:rPr>
          <w:rFonts w:ascii="Times New Roman" w:eastAsia="Calibri" w:hAnsi="Times New Roman" w:cs="Times New Roman"/>
          <w:bCs/>
          <w:color w:val="000000" w:themeColor="text1"/>
          <w:sz w:val="20"/>
          <w:szCs w:val="20"/>
        </w:rPr>
        <w:t>ed</w:t>
      </w:r>
      <w:proofErr w:type="spellEnd"/>
      <w:r>
        <w:rPr>
          <w:rFonts w:ascii="Times New Roman" w:eastAsia="Calibri" w:hAnsi="Times New Roman" w:cs="Times New Roman"/>
          <w:bCs/>
          <w:color w:val="000000" w:themeColor="text1"/>
          <w:sz w:val="20"/>
          <w:szCs w:val="20"/>
        </w:rPr>
        <w:t xml:space="preserve"> total heavy</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metal concentrations and established pollution indices, which effectively captured contamination trends and ecological</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risk shifts. Future investigations may further enhance understanding through extended temporal monitoring, inclusion of metal speciation and bioavailability assessment, and additional statistical evaluations such as ANOVA or distance-based concentration mode</w:t>
      </w:r>
      <w:r>
        <w:rPr>
          <w:rFonts w:ascii="Times New Roman" w:eastAsia="Calibri" w:hAnsi="Times New Roman" w:cs="Times New Roman"/>
          <w:bCs/>
          <w:color w:val="000000" w:themeColor="text1"/>
          <w:sz w:val="20"/>
          <w:szCs w:val="20"/>
          <w:highlight w:val="yellow"/>
        </w:rPr>
        <w:t>l</w:t>
      </w:r>
      <w:r>
        <w:rPr>
          <w:rFonts w:ascii="Times New Roman" w:eastAsia="Calibri" w:hAnsi="Times New Roman" w:cs="Times New Roman"/>
          <w:bCs/>
          <w:color w:val="000000" w:themeColor="text1"/>
          <w:sz w:val="20"/>
          <w:szCs w:val="20"/>
        </w:rPr>
        <w:t>ling. Graphical representation could also be refined using advanced plotting tools such as Origin software to allow axis-break specifications where required, and inclusion of a dedicated PERI distribution figure may strengthen visual risk interpretation. Additionally, integrating hydrogeological model</w:t>
      </w:r>
      <w:r>
        <w:rPr>
          <w:rFonts w:ascii="Times New Roman" w:eastAsia="Calibri" w:hAnsi="Times New Roman" w:cs="Times New Roman"/>
          <w:bCs/>
          <w:color w:val="000000" w:themeColor="text1"/>
          <w:sz w:val="20"/>
          <w:szCs w:val="20"/>
          <w:highlight w:val="yellow"/>
        </w:rPr>
        <w:t>l</w:t>
      </w:r>
      <w:r>
        <w:rPr>
          <w:rFonts w:ascii="Times New Roman" w:eastAsia="Calibri" w:hAnsi="Times New Roman" w:cs="Times New Roman"/>
          <w:bCs/>
          <w:color w:val="000000" w:themeColor="text1"/>
          <w:sz w:val="20"/>
          <w:szCs w:val="20"/>
        </w:rPr>
        <w:t>ing tools such as MODFLOW in future studies would provide complementary insight into subsurface</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flow dynamics and contaminant</w:t>
      </w:r>
      <w:r>
        <w:rPr>
          <w:rFonts w:ascii="Times New Roman" w:eastAsia="Calibri" w:hAnsi="Times New Roman" w:cs="Times New Roman"/>
          <w:bCs/>
          <w:color w:val="000000" w:themeColor="text1"/>
          <w:sz w:val="20"/>
          <w:szCs w:val="20"/>
          <w:highlight w:val="yellow"/>
        </w:rPr>
        <w:t>-</w:t>
      </w:r>
      <w:r>
        <w:rPr>
          <w:rFonts w:ascii="Times New Roman" w:eastAsia="Calibri" w:hAnsi="Times New Roman" w:cs="Times New Roman"/>
          <w:bCs/>
          <w:color w:val="000000" w:themeColor="text1"/>
          <w:sz w:val="20"/>
          <w:szCs w:val="20"/>
        </w:rPr>
        <w:t>transport pathways, thereby supporting predictive environmental management. Future research incorporating these complementary approaches would further strengthen long-term monitoring frameworks and sustainable remediation planning for oil-impacted environments in the Niger Delta.</w:t>
      </w:r>
    </w:p>
    <w:p w14:paraId="6D5DBAF3" w14:textId="78733260" w:rsidR="00BD3291" w:rsidRPr="00BD3291" w:rsidRDefault="00BD3291" w:rsidP="007F12B4">
      <w:pPr>
        <w:spacing w:after="0" w:line="256" w:lineRule="auto"/>
        <w:ind w:firstLine="450"/>
        <w:jc w:val="both"/>
        <w:rPr>
          <w:rFonts w:ascii="Times New Roman" w:eastAsia="Calibri" w:hAnsi="Times New Roman" w:cs="Times New Roman"/>
          <w:b/>
          <w:color w:val="000000" w:themeColor="text1"/>
          <w:sz w:val="20"/>
          <w:szCs w:val="20"/>
        </w:rPr>
      </w:pPr>
      <w:r w:rsidRPr="00BD3291">
        <w:rPr>
          <w:rFonts w:ascii="Times New Roman" w:eastAsia="Calibri" w:hAnsi="Times New Roman" w:cs="Times New Roman"/>
          <w:b/>
          <w:color w:val="000000" w:themeColor="text1"/>
          <w:sz w:val="20"/>
          <w:szCs w:val="20"/>
        </w:rPr>
        <w:t>Limitation</w:t>
      </w:r>
    </w:p>
    <w:p w14:paraId="5A11C7A1" w14:textId="77777777" w:rsidR="00382CE8" w:rsidRDefault="00382CE8" w:rsidP="00382CE8">
      <w:pPr>
        <w:spacing w:after="0" w:line="240" w:lineRule="auto"/>
        <w:jc w:val="both"/>
        <w:rPr>
          <w:rFonts w:ascii="Times New Roman" w:eastAsia="Calibri" w:hAnsi="Times New Roman" w:cs="Times New Roman"/>
          <w:bCs/>
          <w:sz w:val="20"/>
          <w:szCs w:val="20"/>
        </w:rPr>
      </w:pPr>
    </w:p>
    <w:p w14:paraId="3678BCA2" w14:textId="55D56292" w:rsidR="00BD3291" w:rsidRDefault="00BD3291" w:rsidP="00382CE8">
      <w:pPr>
        <w:spacing w:after="0" w:line="240" w:lineRule="auto"/>
        <w:jc w:val="both"/>
      </w:pPr>
      <w:r>
        <w:t xml:space="preserve">The study was limited to two sampling phases separated by six months and to surface-soil sampling at 0.2 m depth. The assessment focused on total concentrations of seven heavy metals and established pollution and ecological-risk indices. Consequently, the results describe medium-term spatial and temporal changes within the sampled locations but do not </w:t>
      </w:r>
      <w:proofErr w:type="spellStart"/>
      <w:r>
        <w:t>characterise</w:t>
      </w:r>
      <w:proofErr w:type="spellEnd"/>
      <w:r>
        <w:t xml:space="preserve"> longer-term variability, metal speciation, bioavailability, or deeper subsurface transport. Extended monitoring and complementary analyses would strengthen interpretation of the persistence and mobility of residual contaminants.</w:t>
      </w:r>
    </w:p>
    <w:p w14:paraId="5AD6F555" w14:textId="77777777" w:rsidR="003F6D96" w:rsidRPr="00382CE8" w:rsidRDefault="003F6D96" w:rsidP="00382CE8">
      <w:pPr>
        <w:spacing w:after="0" w:line="240" w:lineRule="auto"/>
        <w:jc w:val="both"/>
        <w:rPr>
          <w:rFonts w:ascii="Times New Roman" w:eastAsia="Calibri" w:hAnsi="Times New Roman" w:cs="Times New Roman"/>
          <w:bCs/>
          <w:sz w:val="20"/>
          <w:szCs w:val="20"/>
        </w:rPr>
      </w:pPr>
    </w:p>
    <w:p w14:paraId="073AA65B" w14:textId="77777777" w:rsidR="005A2300" w:rsidRDefault="005A2300" w:rsidP="009310D7">
      <w:pPr>
        <w:spacing w:after="0" w:line="240" w:lineRule="auto"/>
        <w:jc w:val="both"/>
        <w:rPr>
          <w:rFonts w:ascii="Times New Roman" w:eastAsia="Calibri" w:hAnsi="Times New Roman" w:cs="Times New Roman"/>
          <w:b/>
          <w:sz w:val="20"/>
          <w:szCs w:val="20"/>
        </w:rPr>
      </w:pPr>
    </w:p>
    <w:p w14:paraId="47851F66" w14:textId="4F36DFF5" w:rsidR="00E907F7" w:rsidRDefault="009310D7" w:rsidP="009310D7">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
          <w:bCs/>
          <w:sz w:val="20"/>
          <w:szCs w:val="20"/>
        </w:rPr>
        <w:t xml:space="preserve">Competing interests: </w:t>
      </w:r>
      <w:r w:rsidR="00E907F7">
        <w:rPr>
          <w:rFonts w:ascii="Times New Roman" w:eastAsia="Calibri" w:hAnsi="Times New Roman" w:cs="Times New Roman"/>
          <w:bCs/>
          <w:sz w:val="20"/>
          <w:szCs w:val="20"/>
        </w:rPr>
        <w:t>The author</w:t>
      </w:r>
      <w:r w:rsidR="009A02D2">
        <w:rPr>
          <w:rFonts w:ascii="Times New Roman" w:eastAsia="Calibri" w:hAnsi="Times New Roman" w:cs="Times New Roman"/>
          <w:bCs/>
          <w:sz w:val="20"/>
          <w:szCs w:val="20"/>
        </w:rPr>
        <w:t>s</w:t>
      </w:r>
      <w:r w:rsidR="00E907F7" w:rsidRPr="00E907F7">
        <w:rPr>
          <w:rFonts w:ascii="Times New Roman" w:eastAsia="Calibri" w:hAnsi="Times New Roman" w:cs="Times New Roman"/>
          <w:bCs/>
          <w:sz w:val="20"/>
          <w:szCs w:val="20"/>
        </w:rPr>
        <w:t xml:space="preserve"> declare no competing interests.</w:t>
      </w:r>
    </w:p>
    <w:p w14:paraId="59127780" w14:textId="77777777" w:rsidR="00EE4582" w:rsidRDefault="00EE4582" w:rsidP="009310D7">
      <w:pPr>
        <w:spacing w:after="0" w:line="240" w:lineRule="auto"/>
        <w:jc w:val="both"/>
        <w:rPr>
          <w:rFonts w:ascii="Times New Roman" w:eastAsia="Calibri" w:hAnsi="Times New Roman" w:cs="Times New Roman"/>
          <w:bCs/>
          <w:sz w:val="20"/>
          <w:szCs w:val="20"/>
        </w:rPr>
      </w:pPr>
    </w:p>
    <w:p w14:paraId="347F5579" w14:textId="77777777" w:rsidR="00603F68" w:rsidRPr="0022664E" w:rsidRDefault="00603F68" w:rsidP="00603F68">
      <w:pPr>
        <w:spacing w:after="0" w:line="240" w:lineRule="auto"/>
        <w:rPr>
          <w:rFonts w:ascii="Times New Roman" w:hAnsi="Times New Roman" w:cs="Times New Roman"/>
          <w:b/>
          <w:sz w:val="20"/>
          <w:szCs w:val="20"/>
        </w:rPr>
      </w:pPr>
      <w:r w:rsidRPr="0022664E">
        <w:rPr>
          <w:rFonts w:ascii="Times New Roman" w:hAnsi="Times New Roman" w:cs="Times New Roman"/>
          <w:b/>
          <w:sz w:val="20"/>
          <w:szCs w:val="20"/>
        </w:rPr>
        <w:t>Declaration of AI Use</w:t>
      </w:r>
    </w:p>
    <w:p w14:paraId="13FED2FC" w14:textId="77777777" w:rsidR="00603F68" w:rsidRPr="0022664E" w:rsidRDefault="00603F68" w:rsidP="00F230BF">
      <w:pPr>
        <w:spacing w:after="0" w:line="240" w:lineRule="auto"/>
        <w:jc w:val="both"/>
        <w:rPr>
          <w:rFonts w:ascii="Times New Roman" w:hAnsi="Times New Roman" w:cs="Times New Roman"/>
          <w:sz w:val="20"/>
          <w:szCs w:val="20"/>
        </w:rPr>
      </w:pPr>
      <w:r w:rsidRPr="0022664E">
        <w:rPr>
          <w:rFonts w:ascii="Times New Roman" w:hAnsi="Times New Roman" w:cs="Times New Roman"/>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r w:rsidR="00F230BF">
        <w:rPr>
          <w:rFonts w:ascii="Times New Roman" w:hAnsi="Times New Roman" w:cs="Times New Roman"/>
          <w:sz w:val="20"/>
          <w:szCs w:val="20"/>
        </w:rPr>
        <w:t xml:space="preserve"> </w:t>
      </w:r>
    </w:p>
    <w:p w14:paraId="31F0C0B9" w14:textId="77777777" w:rsidR="00F230BF" w:rsidRPr="00CC1336" w:rsidRDefault="00F230BF" w:rsidP="00CC1336">
      <w:pPr>
        <w:spacing w:after="0" w:line="240" w:lineRule="auto"/>
        <w:jc w:val="both"/>
        <w:rPr>
          <w:rFonts w:ascii="Times New Roman" w:eastAsia="Calibri" w:hAnsi="Times New Roman" w:cs="Times New Roman"/>
          <w:bCs/>
          <w:sz w:val="20"/>
          <w:szCs w:val="20"/>
        </w:rPr>
      </w:pPr>
    </w:p>
    <w:p w14:paraId="7C1E555E" w14:textId="77777777" w:rsidR="00757F75" w:rsidRPr="006178EF" w:rsidRDefault="008D1E44" w:rsidP="00CC1336">
      <w:pPr>
        <w:spacing w:after="0" w:line="240" w:lineRule="auto"/>
        <w:rPr>
          <w:rFonts w:ascii="Times New Roman" w:hAnsi="Times New Roman" w:cs="Times New Roman"/>
          <w:b/>
          <w:bCs/>
          <w:sz w:val="20"/>
          <w:szCs w:val="20"/>
        </w:rPr>
      </w:pPr>
      <w:r w:rsidRPr="00CC1336">
        <w:rPr>
          <w:rFonts w:ascii="Times New Roman" w:hAnsi="Times New Roman" w:cs="Times New Roman"/>
          <w:b/>
          <w:bCs/>
          <w:sz w:val="20"/>
          <w:szCs w:val="20"/>
        </w:rPr>
        <w:t>References</w:t>
      </w:r>
    </w:p>
    <w:p w14:paraId="733D8354"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92893">
        <w:rPr>
          <w:rFonts w:ascii="Times New Roman" w:eastAsia="Times New Roman" w:hAnsi="Times New Roman" w:cs="Times New Roman"/>
          <w:sz w:val="24"/>
          <w:szCs w:val="24"/>
        </w:rPr>
        <w:lastRenderedPageBreak/>
        <w:t>Adebangbe</w:t>
      </w:r>
      <w:proofErr w:type="spellEnd"/>
      <w:r w:rsidRPr="00592893">
        <w:rPr>
          <w:rFonts w:ascii="Times New Roman" w:eastAsia="Times New Roman" w:hAnsi="Times New Roman" w:cs="Times New Roman"/>
          <w:sz w:val="24"/>
          <w:szCs w:val="24"/>
        </w:rPr>
        <w:t xml:space="preserve">, S. A., Dixon, D. P., &amp; Barrett, B. (2025). Evaluating contaminated land and the environmental impact of oil spills in the Niger Delta region: A remote sensing-based approach. Environmental Monitoring and Assessment, 197, Article 1149. </w:t>
      </w:r>
      <w:hyperlink r:id="rId33" w:history="1">
        <w:r w:rsidRPr="00592893">
          <w:rPr>
            <w:rFonts w:ascii="Times New Roman" w:eastAsia="Times New Roman" w:hAnsi="Times New Roman" w:cs="Times New Roman"/>
            <w:color w:val="0000FF"/>
            <w:sz w:val="24"/>
            <w:szCs w:val="24"/>
            <w:u w:val="single"/>
          </w:rPr>
          <w:t>https://doi.org/10.1007/s10661-025-14584-4</w:t>
        </w:r>
      </w:hyperlink>
    </w:p>
    <w:p w14:paraId="19E4325E" w14:textId="7E6DD306"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Ahmed, N. O., Okujagu, D. C., &amp; </w:t>
      </w:r>
      <w:proofErr w:type="spellStart"/>
      <w:r w:rsidRPr="00592893">
        <w:rPr>
          <w:rFonts w:ascii="Times New Roman" w:eastAsia="Times New Roman" w:hAnsi="Times New Roman" w:cs="Times New Roman"/>
          <w:sz w:val="24"/>
          <w:szCs w:val="24"/>
        </w:rPr>
        <w:t>Ekedede</w:t>
      </w:r>
      <w:proofErr w:type="spellEnd"/>
      <w:r w:rsidRPr="00592893">
        <w:rPr>
          <w:rFonts w:ascii="Times New Roman" w:eastAsia="Times New Roman" w:hAnsi="Times New Roman" w:cs="Times New Roman"/>
          <w:sz w:val="24"/>
          <w:szCs w:val="24"/>
        </w:rPr>
        <w:t xml:space="preserve">, C. P. (2019). Geochemical assessment of hydrocarbon contaminated site in Central Niger Delta, Nigeria. International Journal of Research, 6(6), 505–520. </w:t>
      </w:r>
    </w:p>
    <w:p w14:paraId="626CF592"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Ahmed, N. O., </w:t>
      </w:r>
      <w:proofErr w:type="spellStart"/>
      <w:r w:rsidRPr="00592893">
        <w:rPr>
          <w:rFonts w:ascii="Times New Roman" w:eastAsia="Times New Roman" w:hAnsi="Times New Roman" w:cs="Times New Roman"/>
          <w:sz w:val="24"/>
          <w:szCs w:val="24"/>
        </w:rPr>
        <w:t>Fagorite</w:t>
      </w:r>
      <w:proofErr w:type="spellEnd"/>
      <w:r w:rsidRPr="00592893">
        <w:rPr>
          <w:rFonts w:ascii="Times New Roman" w:eastAsia="Times New Roman" w:hAnsi="Times New Roman" w:cs="Times New Roman"/>
          <w:sz w:val="24"/>
          <w:szCs w:val="24"/>
        </w:rPr>
        <w:t xml:space="preserve">, V. I., </w:t>
      </w:r>
      <w:proofErr w:type="spellStart"/>
      <w:r w:rsidRPr="00592893">
        <w:rPr>
          <w:rFonts w:ascii="Times New Roman" w:eastAsia="Times New Roman" w:hAnsi="Times New Roman" w:cs="Times New Roman"/>
          <w:sz w:val="24"/>
          <w:szCs w:val="24"/>
        </w:rPr>
        <w:t>Chikwado</w:t>
      </w:r>
      <w:proofErr w:type="spellEnd"/>
      <w:r w:rsidRPr="00592893">
        <w:rPr>
          <w:rFonts w:ascii="Times New Roman" w:eastAsia="Times New Roman" w:hAnsi="Times New Roman" w:cs="Times New Roman"/>
          <w:sz w:val="24"/>
          <w:szCs w:val="24"/>
        </w:rPr>
        <w:t xml:space="preserve">, A. G., Apata, D. M., Yunusa, L. J., </w:t>
      </w:r>
      <w:proofErr w:type="spellStart"/>
      <w:r w:rsidRPr="00592893">
        <w:rPr>
          <w:rFonts w:ascii="Times New Roman" w:eastAsia="Times New Roman" w:hAnsi="Times New Roman" w:cs="Times New Roman"/>
          <w:sz w:val="24"/>
          <w:szCs w:val="24"/>
        </w:rPr>
        <w:t>Itiveh</w:t>
      </w:r>
      <w:proofErr w:type="spellEnd"/>
      <w:r w:rsidRPr="00592893">
        <w:rPr>
          <w:rFonts w:ascii="Times New Roman" w:eastAsia="Times New Roman" w:hAnsi="Times New Roman" w:cs="Times New Roman"/>
          <w:sz w:val="24"/>
          <w:szCs w:val="24"/>
        </w:rPr>
        <w:t xml:space="preserve">, E. S., &amp; </w:t>
      </w:r>
      <w:proofErr w:type="spellStart"/>
      <w:r w:rsidRPr="00592893">
        <w:rPr>
          <w:rFonts w:ascii="Times New Roman" w:eastAsia="Times New Roman" w:hAnsi="Times New Roman" w:cs="Times New Roman"/>
          <w:sz w:val="24"/>
          <w:szCs w:val="24"/>
        </w:rPr>
        <w:t>Biliaminu</w:t>
      </w:r>
      <w:proofErr w:type="spellEnd"/>
      <w:r w:rsidRPr="00592893">
        <w:rPr>
          <w:rFonts w:ascii="Times New Roman" w:eastAsia="Times New Roman" w:hAnsi="Times New Roman" w:cs="Times New Roman"/>
          <w:sz w:val="24"/>
          <w:szCs w:val="24"/>
        </w:rPr>
        <w:t xml:space="preserve">, Z. B. (2024a). Pollution assessment and index properties of </w:t>
      </w:r>
      <w:proofErr w:type="spellStart"/>
      <w:r w:rsidRPr="00592893">
        <w:rPr>
          <w:rFonts w:ascii="Times New Roman" w:eastAsia="Times New Roman" w:hAnsi="Times New Roman" w:cs="Times New Roman"/>
          <w:sz w:val="24"/>
          <w:szCs w:val="24"/>
        </w:rPr>
        <w:t>Okpulor</w:t>
      </w:r>
      <w:proofErr w:type="spellEnd"/>
      <w:r w:rsidRPr="00592893">
        <w:rPr>
          <w:rFonts w:ascii="Times New Roman" w:eastAsia="Times New Roman" w:hAnsi="Times New Roman" w:cs="Times New Roman"/>
          <w:sz w:val="24"/>
          <w:szCs w:val="24"/>
        </w:rPr>
        <w:t xml:space="preserve"> soils, Rivers State, Nigeria: Geochemical characterization, geotechnical and geoenvironmental implications. Discover Environment, 2, Article 60. </w:t>
      </w:r>
      <w:hyperlink r:id="rId34" w:history="1">
        <w:r w:rsidRPr="00592893">
          <w:rPr>
            <w:rFonts w:ascii="Times New Roman" w:eastAsia="Times New Roman" w:hAnsi="Times New Roman" w:cs="Times New Roman"/>
            <w:color w:val="0000FF"/>
            <w:sz w:val="24"/>
            <w:szCs w:val="24"/>
            <w:u w:val="single"/>
          </w:rPr>
          <w:t>https://doi.org/10.1007/s44274-024-00094-6</w:t>
        </w:r>
      </w:hyperlink>
    </w:p>
    <w:p w14:paraId="0915CF70"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Ahmed, N. O., Nik Daud, N. N., &amp; </w:t>
      </w:r>
      <w:proofErr w:type="spellStart"/>
      <w:r w:rsidRPr="00592893">
        <w:rPr>
          <w:rFonts w:ascii="Times New Roman" w:eastAsia="Times New Roman" w:hAnsi="Times New Roman" w:cs="Times New Roman"/>
          <w:sz w:val="24"/>
          <w:szCs w:val="24"/>
        </w:rPr>
        <w:t>Okunlola</w:t>
      </w:r>
      <w:proofErr w:type="spellEnd"/>
      <w:r w:rsidRPr="00592893">
        <w:rPr>
          <w:rFonts w:ascii="Times New Roman" w:eastAsia="Times New Roman" w:hAnsi="Times New Roman" w:cs="Times New Roman"/>
          <w:sz w:val="24"/>
          <w:szCs w:val="24"/>
        </w:rPr>
        <w:t xml:space="preserve">, I. A. (2024b). An investigation of the environmental quality through anthropogenic metal analysis in targeted Niger Delta aquatic systems, Nigeria. In Geography, earth science and environment: Research highlights (Vol. 2, pp. 91–115). BP International. </w:t>
      </w:r>
      <w:hyperlink r:id="rId35" w:history="1">
        <w:r w:rsidRPr="00592893">
          <w:rPr>
            <w:rFonts w:ascii="Times New Roman" w:eastAsia="Times New Roman" w:hAnsi="Times New Roman" w:cs="Times New Roman"/>
            <w:color w:val="0000FF"/>
            <w:sz w:val="24"/>
            <w:szCs w:val="24"/>
            <w:u w:val="single"/>
          </w:rPr>
          <w:t>https://doi.org/10.9734/bpi/geserh/v2/3212</w:t>
        </w:r>
      </w:hyperlink>
    </w:p>
    <w:p w14:paraId="24C3B6A8"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Ahmed, N. O., Nik Daud, N. N., &amp; </w:t>
      </w:r>
      <w:proofErr w:type="spellStart"/>
      <w:r w:rsidRPr="00592893">
        <w:rPr>
          <w:rFonts w:ascii="Times New Roman" w:eastAsia="Times New Roman" w:hAnsi="Times New Roman" w:cs="Times New Roman"/>
          <w:sz w:val="24"/>
          <w:szCs w:val="24"/>
        </w:rPr>
        <w:t>Okunlola</w:t>
      </w:r>
      <w:proofErr w:type="spellEnd"/>
      <w:r w:rsidRPr="00592893">
        <w:rPr>
          <w:rFonts w:ascii="Times New Roman" w:eastAsia="Times New Roman" w:hAnsi="Times New Roman" w:cs="Times New Roman"/>
          <w:sz w:val="24"/>
          <w:szCs w:val="24"/>
        </w:rPr>
        <w:t xml:space="preserve">, I. A. (2024c). Geoelectrical soil mapping for subsurface hydrocarbon contaminant characterization and remediation site zoning at </w:t>
      </w:r>
      <w:proofErr w:type="spellStart"/>
      <w:r w:rsidRPr="00592893">
        <w:rPr>
          <w:rFonts w:ascii="Times New Roman" w:eastAsia="Times New Roman" w:hAnsi="Times New Roman" w:cs="Times New Roman"/>
          <w:sz w:val="24"/>
          <w:szCs w:val="24"/>
        </w:rPr>
        <w:t>Alode</w:t>
      </w:r>
      <w:proofErr w:type="spellEnd"/>
      <w:r w:rsidRPr="00592893">
        <w:rPr>
          <w:rFonts w:ascii="Times New Roman" w:eastAsia="Times New Roman" w:hAnsi="Times New Roman" w:cs="Times New Roman"/>
          <w:sz w:val="24"/>
          <w:szCs w:val="24"/>
        </w:rPr>
        <w:t xml:space="preserve">, Central Niger Delta, Nigeria. Physics and Chemistry of the Earth, Parts A/B/C, 136, Article 103726. </w:t>
      </w:r>
      <w:hyperlink r:id="rId36" w:history="1">
        <w:r w:rsidRPr="00592893">
          <w:rPr>
            <w:rFonts w:ascii="Times New Roman" w:eastAsia="Times New Roman" w:hAnsi="Times New Roman" w:cs="Times New Roman"/>
            <w:color w:val="0000FF"/>
            <w:sz w:val="24"/>
            <w:szCs w:val="24"/>
            <w:u w:val="single"/>
          </w:rPr>
          <w:t>https://doi.org/10.1016/j.pce.2024.103726</w:t>
        </w:r>
      </w:hyperlink>
    </w:p>
    <w:p w14:paraId="03432300"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Ahmed, N. O., Obafemi, A. A., &amp; Udom, G. J. (2024d). Geospatial variability and distribution of total petroleum hydrocarbons (TPH) in soot-contaminated rain and rivers at </w:t>
      </w:r>
      <w:proofErr w:type="spellStart"/>
      <w:r w:rsidRPr="00592893">
        <w:rPr>
          <w:rFonts w:ascii="Times New Roman" w:eastAsia="Times New Roman" w:hAnsi="Times New Roman" w:cs="Times New Roman"/>
          <w:sz w:val="24"/>
          <w:szCs w:val="24"/>
        </w:rPr>
        <w:t>Oyigbo</w:t>
      </w:r>
      <w:proofErr w:type="spellEnd"/>
      <w:r w:rsidRPr="00592893">
        <w:rPr>
          <w:rFonts w:ascii="Times New Roman" w:eastAsia="Times New Roman" w:hAnsi="Times New Roman" w:cs="Times New Roman"/>
          <w:sz w:val="24"/>
          <w:szCs w:val="24"/>
        </w:rPr>
        <w:t xml:space="preserve">, Niger Delta, Nigeria. Journal of Geography, Environment and Earth Science International, 28(3), 1–30. </w:t>
      </w:r>
      <w:hyperlink r:id="rId37" w:history="1">
        <w:r w:rsidRPr="00592893">
          <w:rPr>
            <w:rFonts w:ascii="Times New Roman" w:eastAsia="Times New Roman" w:hAnsi="Times New Roman" w:cs="Times New Roman"/>
            <w:color w:val="0000FF"/>
            <w:sz w:val="24"/>
            <w:szCs w:val="24"/>
            <w:u w:val="single"/>
          </w:rPr>
          <w:t>https://doi.org/10.9734/jgeesi/2024/v28i3753</w:t>
        </w:r>
      </w:hyperlink>
    </w:p>
    <w:p w14:paraId="41A273EB"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Ahmed, N. O., Udom, G. J., &amp; Obafemi, A. A. (2024e). </w:t>
      </w:r>
      <w:proofErr w:type="spellStart"/>
      <w:r w:rsidRPr="00592893">
        <w:rPr>
          <w:rFonts w:ascii="Times New Roman" w:eastAsia="Times New Roman" w:hAnsi="Times New Roman" w:cs="Times New Roman"/>
          <w:sz w:val="24"/>
          <w:szCs w:val="24"/>
        </w:rPr>
        <w:t>Chemophysical</w:t>
      </w:r>
      <w:proofErr w:type="spellEnd"/>
      <w:r w:rsidRPr="00592893">
        <w:rPr>
          <w:rFonts w:ascii="Times New Roman" w:eastAsia="Times New Roman" w:hAnsi="Times New Roman" w:cs="Times New Roman"/>
          <w:sz w:val="24"/>
          <w:szCs w:val="24"/>
        </w:rPr>
        <w:t xml:space="preserve"> and metallic characterization of surface water and precipitation for environmental quality assessment in </w:t>
      </w:r>
      <w:proofErr w:type="spellStart"/>
      <w:r w:rsidRPr="00592893">
        <w:rPr>
          <w:rFonts w:ascii="Times New Roman" w:eastAsia="Times New Roman" w:hAnsi="Times New Roman" w:cs="Times New Roman"/>
          <w:sz w:val="24"/>
          <w:szCs w:val="24"/>
        </w:rPr>
        <w:t>Oyigbo</w:t>
      </w:r>
      <w:proofErr w:type="spellEnd"/>
      <w:r w:rsidRPr="00592893">
        <w:rPr>
          <w:rFonts w:ascii="Times New Roman" w:eastAsia="Times New Roman" w:hAnsi="Times New Roman" w:cs="Times New Roman"/>
          <w:sz w:val="24"/>
          <w:szCs w:val="24"/>
        </w:rPr>
        <w:t xml:space="preserve"> L.G.A., Rivers State, Nigeria. Journal of Global Ecology and Environment, 20(1), 28–57. </w:t>
      </w:r>
      <w:hyperlink r:id="rId38" w:history="1">
        <w:r w:rsidRPr="00592893">
          <w:rPr>
            <w:rFonts w:ascii="Times New Roman" w:eastAsia="Times New Roman" w:hAnsi="Times New Roman" w:cs="Times New Roman"/>
            <w:color w:val="0000FF"/>
            <w:sz w:val="24"/>
            <w:szCs w:val="24"/>
            <w:u w:val="single"/>
          </w:rPr>
          <w:t>https://doi.org/10.56557/jogee/2024/v20i18562</w:t>
        </w:r>
      </w:hyperlink>
    </w:p>
    <w:p w14:paraId="1045CBB4"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Ahmed, N. O., &amp; Taiwo, O. S. (2023). </w:t>
      </w:r>
      <w:proofErr w:type="spellStart"/>
      <w:r w:rsidRPr="00592893">
        <w:rPr>
          <w:rFonts w:ascii="Times New Roman" w:eastAsia="Times New Roman" w:hAnsi="Times New Roman" w:cs="Times New Roman"/>
          <w:sz w:val="24"/>
          <w:szCs w:val="24"/>
        </w:rPr>
        <w:t>Spatio</w:t>
      </w:r>
      <w:proofErr w:type="spellEnd"/>
      <w:r w:rsidRPr="00592893">
        <w:rPr>
          <w:rFonts w:ascii="Times New Roman" w:eastAsia="Times New Roman" w:hAnsi="Times New Roman" w:cs="Times New Roman"/>
          <w:sz w:val="24"/>
          <w:szCs w:val="24"/>
        </w:rPr>
        <w:t xml:space="preserve">-temporal analysis of Ilorin Airport on the land-use of Ilorin metropolis, Southwestern Nigeria. Journal of Applied Geospatial Information, 7(2), 948–955. </w:t>
      </w:r>
      <w:hyperlink r:id="rId39" w:history="1">
        <w:r w:rsidRPr="00592893">
          <w:rPr>
            <w:rFonts w:ascii="Times New Roman" w:eastAsia="Times New Roman" w:hAnsi="Times New Roman" w:cs="Times New Roman"/>
            <w:color w:val="0000FF"/>
            <w:sz w:val="24"/>
            <w:szCs w:val="24"/>
            <w:u w:val="single"/>
          </w:rPr>
          <w:t>https://doi.org/10.30871/jagi.v7i2.5693</w:t>
        </w:r>
      </w:hyperlink>
    </w:p>
    <w:p w14:paraId="60A46DE3"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Akinpelumi, V. K., </w:t>
      </w:r>
      <w:proofErr w:type="spellStart"/>
      <w:r w:rsidRPr="00592893">
        <w:rPr>
          <w:rFonts w:ascii="Times New Roman" w:eastAsia="Times New Roman" w:hAnsi="Times New Roman" w:cs="Times New Roman"/>
          <w:sz w:val="24"/>
          <w:szCs w:val="24"/>
        </w:rPr>
        <w:t>Ezejiofor</w:t>
      </w:r>
      <w:proofErr w:type="spellEnd"/>
      <w:r w:rsidRPr="00592893">
        <w:rPr>
          <w:rFonts w:ascii="Times New Roman" w:eastAsia="Times New Roman" w:hAnsi="Times New Roman" w:cs="Times New Roman"/>
          <w:sz w:val="24"/>
          <w:szCs w:val="24"/>
        </w:rPr>
        <w:t xml:space="preserve">, A. N., Abdulai, P. M., Rovira, J., </w:t>
      </w:r>
      <w:proofErr w:type="spellStart"/>
      <w:r w:rsidRPr="00592893">
        <w:rPr>
          <w:rFonts w:ascii="Times New Roman" w:eastAsia="Times New Roman" w:hAnsi="Times New Roman" w:cs="Times New Roman"/>
          <w:sz w:val="24"/>
          <w:szCs w:val="24"/>
        </w:rPr>
        <w:t>Frazzoli</w:t>
      </w:r>
      <w:proofErr w:type="spellEnd"/>
      <w:r w:rsidRPr="00592893">
        <w:rPr>
          <w:rFonts w:ascii="Times New Roman" w:eastAsia="Times New Roman" w:hAnsi="Times New Roman" w:cs="Times New Roman"/>
          <w:sz w:val="24"/>
          <w:szCs w:val="24"/>
        </w:rPr>
        <w:t xml:space="preserve">, C., &amp; </w:t>
      </w:r>
      <w:proofErr w:type="spellStart"/>
      <w:r w:rsidRPr="00592893">
        <w:rPr>
          <w:rFonts w:ascii="Times New Roman" w:eastAsia="Times New Roman" w:hAnsi="Times New Roman" w:cs="Times New Roman"/>
          <w:sz w:val="24"/>
          <w:szCs w:val="24"/>
        </w:rPr>
        <w:t>Orisakwe</w:t>
      </w:r>
      <w:proofErr w:type="spellEnd"/>
      <w:r w:rsidRPr="00592893">
        <w:rPr>
          <w:rFonts w:ascii="Times New Roman" w:eastAsia="Times New Roman" w:hAnsi="Times New Roman" w:cs="Times New Roman"/>
          <w:sz w:val="24"/>
          <w:szCs w:val="24"/>
        </w:rPr>
        <w:t xml:space="preserve">, O. E. (2025). Seasonal variations of physicochemical parameters, arsenic, heavy metals, and PAHs in groundwater and surface water in crude oil contaminated community of Niger Delta, Nigeria: A comparative chemometric and human health risk assessment analyses. Water Environment Research, 97(12), Article e70220. </w:t>
      </w:r>
      <w:hyperlink r:id="rId40" w:history="1">
        <w:r w:rsidRPr="00592893">
          <w:rPr>
            <w:rFonts w:ascii="Times New Roman" w:eastAsia="Times New Roman" w:hAnsi="Times New Roman" w:cs="Times New Roman"/>
            <w:color w:val="0000FF"/>
            <w:sz w:val="24"/>
            <w:szCs w:val="24"/>
            <w:u w:val="single"/>
          </w:rPr>
          <w:t>https://doi.org/10.1002/wer.70220</w:t>
        </w:r>
      </w:hyperlink>
    </w:p>
    <w:p w14:paraId="1F1891D5"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Aloa, B. M., Ateba, J. F. B., Gondji, D. S., </w:t>
      </w:r>
      <w:proofErr w:type="spellStart"/>
      <w:r w:rsidRPr="00592893">
        <w:rPr>
          <w:rFonts w:ascii="Times New Roman" w:eastAsia="Times New Roman" w:hAnsi="Times New Roman" w:cs="Times New Roman"/>
          <w:sz w:val="24"/>
          <w:szCs w:val="24"/>
        </w:rPr>
        <w:t>Sabouang</w:t>
      </w:r>
      <w:proofErr w:type="spellEnd"/>
      <w:r w:rsidRPr="00592893">
        <w:rPr>
          <w:rFonts w:ascii="Times New Roman" w:eastAsia="Times New Roman" w:hAnsi="Times New Roman" w:cs="Times New Roman"/>
          <w:sz w:val="24"/>
          <w:szCs w:val="24"/>
        </w:rPr>
        <w:t xml:space="preserve">, J. F., </w:t>
      </w:r>
      <w:proofErr w:type="spellStart"/>
      <w:r w:rsidRPr="00592893">
        <w:rPr>
          <w:rFonts w:ascii="Times New Roman" w:eastAsia="Times New Roman" w:hAnsi="Times New Roman" w:cs="Times New Roman"/>
          <w:sz w:val="24"/>
          <w:szCs w:val="24"/>
        </w:rPr>
        <w:t>Shouop</w:t>
      </w:r>
      <w:proofErr w:type="spellEnd"/>
      <w:r w:rsidRPr="00592893">
        <w:rPr>
          <w:rFonts w:ascii="Times New Roman" w:eastAsia="Times New Roman" w:hAnsi="Times New Roman" w:cs="Times New Roman"/>
          <w:sz w:val="24"/>
          <w:szCs w:val="24"/>
        </w:rPr>
        <w:t xml:space="preserve">, C. J. G., </w:t>
      </w:r>
      <w:proofErr w:type="spellStart"/>
      <w:r w:rsidRPr="00592893">
        <w:rPr>
          <w:rFonts w:ascii="Times New Roman" w:eastAsia="Times New Roman" w:hAnsi="Times New Roman" w:cs="Times New Roman"/>
          <w:sz w:val="24"/>
          <w:szCs w:val="24"/>
        </w:rPr>
        <w:t>Ema’a</w:t>
      </w:r>
      <w:proofErr w:type="spellEnd"/>
      <w:r w:rsidRPr="00592893">
        <w:rPr>
          <w:rFonts w:ascii="Times New Roman" w:eastAsia="Times New Roman" w:hAnsi="Times New Roman" w:cs="Times New Roman"/>
          <w:sz w:val="24"/>
          <w:szCs w:val="24"/>
        </w:rPr>
        <w:t xml:space="preserve">, J. M. E., &amp; Ben-Bolie, G. H. (2024). Assessment of contamination levels, potential ecological and human health risks due to trace elements pollution in the vicinity of the </w:t>
      </w:r>
      <w:proofErr w:type="spellStart"/>
      <w:r w:rsidRPr="00592893">
        <w:rPr>
          <w:rFonts w:ascii="Times New Roman" w:eastAsia="Times New Roman" w:hAnsi="Times New Roman" w:cs="Times New Roman"/>
          <w:sz w:val="24"/>
          <w:szCs w:val="24"/>
        </w:rPr>
        <w:t>Lolodorf</w:t>
      </w:r>
      <w:proofErr w:type="spellEnd"/>
      <w:r w:rsidRPr="00592893">
        <w:rPr>
          <w:rFonts w:ascii="Times New Roman" w:eastAsia="Times New Roman" w:hAnsi="Times New Roman" w:cs="Times New Roman"/>
          <w:sz w:val="24"/>
          <w:szCs w:val="24"/>
        </w:rPr>
        <w:t xml:space="preserve"> uranium deposit, Southern </w:t>
      </w:r>
      <w:r w:rsidRPr="00592893">
        <w:rPr>
          <w:rFonts w:ascii="Times New Roman" w:eastAsia="Times New Roman" w:hAnsi="Times New Roman" w:cs="Times New Roman"/>
          <w:sz w:val="24"/>
          <w:szCs w:val="24"/>
        </w:rPr>
        <w:lastRenderedPageBreak/>
        <w:t xml:space="preserve">Cameroon. Environmental Monitoring and Assessment, 196, Article 1147. </w:t>
      </w:r>
      <w:hyperlink r:id="rId41" w:history="1">
        <w:r w:rsidRPr="00592893">
          <w:rPr>
            <w:rFonts w:ascii="Times New Roman" w:eastAsia="Times New Roman" w:hAnsi="Times New Roman" w:cs="Times New Roman"/>
            <w:color w:val="0000FF"/>
            <w:sz w:val="24"/>
            <w:szCs w:val="24"/>
            <w:u w:val="single"/>
          </w:rPr>
          <w:t>https://doi.org/10.1007/s10661-024-13218-5</w:t>
        </w:r>
      </w:hyperlink>
    </w:p>
    <w:p w14:paraId="0C9F4F3B"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Altan, M., Ayyildiz, Ö., Malkoç, S., Yazici, B., &amp; </w:t>
      </w:r>
      <w:proofErr w:type="spellStart"/>
      <w:r w:rsidRPr="00592893">
        <w:rPr>
          <w:rFonts w:ascii="Times New Roman" w:eastAsia="Times New Roman" w:hAnsi="Times New Roman" w:cs="Times New Roman"/>
          <w:sz w:val="24"/>
          <w:szCs w:val="24"/>
        </w:rPr>
        <w:t>Koparal</w:t>
      </w:r>
      <w:proofErr w:type="spellEnd"/>
      <w:r w:rsidRPr="00592893">
        <w:rPr>
          <w:rFonts w:ascii="Times New Roman" w:eastAsia="Times New Roman" w:hAnsi="Times New Roman" w:cs="Times New Roman"/>
          <w:sz w:val="24"/>
          <w:szCs w:val="24"/>
        </w:rPr>
        <w:t xml:space="preserve">, S. (2011). Heavy metal distribution map in soil by using GIS techniques. Journal of Environmental Science and Engineering, 5(1), 15–20. </w:t>
      </w:r>
      <w:hyperlink r:id="rId42" w:history="1">
        <w:r w:rsidRPr="00592893">
          <w:rPr>
            <w:rFonts w:ascii="Times New Roman" w:eastAsia="Times New Roman" w:hAnsi="Times New Roman" w:cs="Times New Roman"/>
            <w:color w:val="0000FF"/>
            <w:sz w:val="24"/>
            <w:szCs w:val="24"/>
            <w:u w:val="single"/>
          </w:rPr>
          <w:t>https://www.davidpublisher.com/Public/uploads/Contribute/5535cb13ab1cb.pdf</w:t>
        </w:r>
      </w:hyperlink>
    </w:p>
    <w:p w14:paraId="56AF3C69"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Amadi, J. E. (2020). Application of electrical resistivity method in groundwater exploration [Preprint]. SSRN. </w:t>
      </w:r>
      <w:hyperlink r:id="rId43" w:history="1">
        <w:r w:rsidRPr="00592893">
          <w:rPr>
            <w:rFonts w:ascii="Times New Roman" w:eastAsia="Times New Roman" w:hAnsi="Times New Roman" w:cs="Times New Roman"/>
            <w:color w:val="0000FF"/>
            <w:sz w:val="24"/>
            <w:szCs w:val="24"/>
            <w:u w:val="single"/>
          </w:rPr>
          <w:t>https://doi.org/10.2139/ssrn.3505105</w:t>
        </w:r>
      </w:hyperlink>
    </w:p>
    <w:p w14:paraId="6C5DC58A"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Aparicio, J. D., Raimondo, E. E., Saez, J. M., Costa-Gutierrez, S. B., Álvarez, A., </w:t>
      </w:r>
      <w:proofErr w:type="spellStart"/>
      <w:r w:rsidRPr="00592893">
        <w:rPr>
          <w:rFonts w:ascii="Times New Roman" w:eastAsia="Times New Roman" w:hAnsi="Times New Roman" w:cs="Times New Roman"/>
          <w:sz w:val="24"/>
          <w:szCs w:val="24"/>
        </w:rPr>
        <w:t>Benimeli</w:t>
      </w:r>
      <w:proofErr w:type="spellEnd"/>
      <w:r w:rsidRPr="00592893">
        <w:rPr>
          <w:rFonts w:ascii="Times New Roman" w:eastAsia="Times New Roman" w:hAnsi="Times New Roman" w:cs="Times New Roman"/>
          <w:sz w:val="24"/>
          <w:szCs w:val="24"/>
        </w:rPr>
        <w:t xml:space="preserve">, C. S., &amp; </w:t>
      </w:r>
      <w:proofErr w:type="spellStart"/>
      <w:r w:rsidRPr="00592893">
        <w:rPr>
          <w:rFonts w:ascii="Times New Roman" w:eastAsia="Times New Roman" w:hAnsi="Times New Roman" w:cs="Times New Roman"/>
          <w:sz w:val="24"/>
          <w:szCs w:val="24"/>
        </w:rPr>
        <w:t>Polti</w:t>
      </w:r>
      <w:proofErr w:type="spellEnd"/>
      <w:r w:rsidRPr="00592893">
        <w:rPr>
          <w:rFonts w:ascii="Times New Roman" w:eastAsia="Times New Roman" w:hAnsi="Times New Roman" w:cs="Times New Roman"/>
          <w:sz w:val="24"/>
          <w:szCs w:val="24"/>
        </w:rPr>
        <w:t xml:space="preserve">, M. A. (2022). The current approach to soil remediation: A review of physicochemical and biological technologies, and the potential of their strategic combination. Journal of Environmental Chemical Engineering, 10(2), Article 107141. </w:t>
      </w:r>
      <w:hyperlink r:id="rId44" w:history="1">
        <w:r w:rsidRPr="00592893">
          <w:rPr>
            <w:rFonts w:ascii="Times New Roman" w:eastAsia="Times New Roman" w:hAnsi="Times New Roman" w:cs="Times New Roman"/>
            <w:color w:val="0000FF"/>
            <w:sz w:val="24"/>
            <w:szCs w:val="24"/>
            <w:u w:val="single"/>
          </w:rPr>
          <w:t>https://doi.org/10.1016/j.jece.2022.107141</w:t>
        </w:r>
      </w:hyperlink>
    </w:p>
    <w:p w14:paraId="64702795"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Bello, S., Nasiru, R., Garba, N. N., &amp; Adeyemo, D. J. (2019). Carcinogenic and non-carcinogenic health risk assessment of heavy metals exposure from </w:t>
      </w:r>
      <w:proofErr w:type="spellStart"/>
      <w:r w:rsidRPr="00592893">
        <w:rPr>
          <w:rFonts w:ascii="Times New Roman" w:eastAsia="Times New Roman" w:hAnsi="Times New Roman" w:cs="Times New Roman"/>
          <w:sz w:val="24"/>
          <w:szCs w:val="24"/>
        </w:rPr>
        <w:t>Shanono</w:t>
      </w:r>
      <w:proofErr w:type="spellEnd"/>
      <w:r w:rsidRPr="00592893">
        <w:rPr>
          <w:rFonts w:ascii="Times New Roman" w:eastAsia="Times New Roman" w:hAnsi="Times New Roman" w:cs="Times New Roman"/>
          <w:sz w:val="24"/>
          <w:szCs w:val="24"/>
        </w:rPr>
        <w:t xml:space="preserve"> and </w:t>
      </w:r>
      <w:proofErr w:type="spellStart"/>
      <w:r w:rsidRPr="00592893">
        <w:rPr>
          <w:rFonts w:ascii="Times New Roman" w:eastAsia="Times New Roman" w:hAnsi="Times New Roman" w:cs="Times New Roman"/>
          <w:sz w:val="24"/>
          <w:szCs w:val="24"/>
        </w:rPr>
        <w:t>Bagwai</w:t>
      </w:r>
      <w:proofErr w:type="spellEnd"/>
      <w:r w:rsidRPr="00592893">
        <w:rPr>
          <w:rFonts w:ascii="Times New Roman" w:eastAsia="Times New Roman" w:hAnsi="Times New Roman" w:cs="Times New Roman"/>
          <w:sz w:val="24"/>
          <w:szCs w:val="24"/>
        </w:rPr>
        <w:t xml:space="preserve"> artisanal gold mines, Kano State, Nigeria. Scientific African, 6, Article e00197. </w:t>
      </w:r>
      <w:hyperlink r:id="rId45" w:history="1">
        <w:r w:rsidRPr="00592893">
          <w:rPr>
            <w:rFonts w:ascii="Times New Roman" w:eastAsia="Times New Roman" w:hAnsi="Times New Roman" w:cs="Times New Roman"/>
            <w:color w:val="0000FF"/>
            <w:sz w:val="24"/>
            <w:szCs w:val="24"/>
            <w:u w:val="single"/>
          </w:rPr>
          <w:t>https://doi.org/10.1016/j.sciaf.2019.e00197</w:t>
        </w:r>
      </w:hyperlink>
    </w:p>
    <w:p w14:paraId="3DAB6110"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Chinedu, E., &amp; Chukwuemeka, C. K. (2018). Oil spillage and heavy metals toxicity risk in the Niger Delta, Nigeria. Journal of Health and Pollution, 8(19), Article 180905. </w:t>
      </w:r>
      <w:hyperlink r:id="rId46" w:history="1">
        <w:r w:rsidRPr="00592893">
          <w:rPr>
            <w:rFonts w:ascii="Times New Roman" w:eastAsia="Times New Roman" w:hAnsi="Times New Roman" w:cs="Times New Roman"/>
            <w:color w:val="0000FF"/>
            <w:sz w:val="24"/>
            <w:szCs w:val="24"/>
            <w:u w:val="single"/>
          </w:rPr>
          <w:t>https://doi.org/10.5696/2156-9614-8.19.180905</w:t>
        </w:r>
      </w:hyperlink>
    </w:p>
    <w:p w14:paraId="72B765CC"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92893">
        <w:rPr>
          <w:rFonts w:ascii="Times New Roman" w:eastAsia="Times New Roman" w:hAnsi="Times New Roman" w:cs="Times New Roman"/>
          <w:sz w:val="24"/>
          <w:szCs w:val="24"/>
        </w:rPr>
        <w:t>Desaules</w:t>
      </w:r>
      <w:proofErr w:type="spellEnd"/>
      <w:r w:rsidRPr="00592893">
        <w:rPr>
          <w:rFonts w:ascii="Times New Roman" w:eastAsia="Times New Roman" w:hAnsi="Times New Roman" w:cs="Times New Roman"/>
          <w:sz w:val="24"/>
          <w:szCs w:val="24"/>
        </w:rPr>
        <w:t xml:space="preserve">, A. (2012). Critical evaluation of soil contamination assessment methods for trace metals. Science of the Total Environment, 426, 120–131. </w:t>
      </w:r>
      <w:hyperlink r:id="rId47" w:history="1">
        <w:r w:rsidRPr="00592893">
          <w:rPr>
            <w:rFonts w:ascii="Times New Roman" w:eastAsia="Times New Roman" w:hAnsi="Times New Roman" w:cs="Times New Roman"/>
            <w:color w:val="0000FF"/>
            <w:sz w:val="24"/>
            <w:szCs w:val="24"/>
            <w:u w:val="single"/>
          </w:rPr>
          <w:t>https://doi.org/10.1016/j.scitotenv.2012.03.035</w:t>
        </w:r>
      </w:hyperlink>
    </w:p>
    <w:p w14:paraId="00C92BCA"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Dhaliwal, S. S., Singh, J., Taneja, P. K., &amp; Mandal, A. (2020). Remediation techniques for removal of heavy metals from the soil contaminated through different sources: A review. Environmental Science and Pollution Research, 27, 1319–1333. </w:t>
      </w:r>
      <w:hyperlink r:id="rId48" w:history="1">
        <w:r w:rsidRPr="00592893">
          <w:rPr>
            <w:rFonts w:ascii="Times New Roman" w:eastAsia="Times New Roman" w:hAnsi="Times New Roman" w:cs="Times New Roman"/>
            <w:color w:val="0000FF"/>
            <w:sz w:val="24"/>
            <w:szCs w:val="24"/>
            <w:u w:val="single"/>
          </w:rPr>
          <w:t>https://doi.org/10.1007/s11356-019-06967-1</w:t>
        </w:r>
      </w:hyperlink>
    </w:p>
    <w:p w14:paraId="40A18E6B"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Diagne, N., Ngom, M., Djighaly, P. I., Ngom, D., Ndour, B., Cissokho, M., Faye, M. N., Sarr, A., Sy, M. O., </w:t>
      </w:r>
      <w:proofErr w:type="spellStart"/>
      <w:r w:rsidRPr="00592893">
        <w:rPr>
          <w:rFonts w:ascii="Times New Roman" w:eastAsia="Times New Roman" w:hAnsi="Times New Roman" w:cs="Times New Roman"/>
          <w:sz w:val="24"/>
          <w:szCs w:val="24"/>
        </w:rPr>
        <w:t>Laplaze</w:t>
      </w:r>
      <w:proofErr w:type="spellEnd"/>
      <w:r w:rsidRPr="00592893">
        <w:rPr>
          <w:rFonts w:ascii="Times New Roman" w:eastAsia="Times New Roman" w:hAnsi="Times New Roman" w:cs="Times New Roman"/>
          <w:sz w:val="24"/>
          <w:szCs w:val="24"/>
        </w:rPr>
        <w:t xml:space="preserve">, L., &amp; Champion, A. (2015). Remediation of heavy metal-contaminated soils and enhancement of their fertility with actinorhizal plants. In I. </w:t>
      </w:r>
      <w:proofErr w:type="spellStart"/>
      <w:r w:rsidRPr="00592893">
        <w:rPr>
          <w:rFonts w:ascii="Times New Roman" w:eastAsia="Times New Roman" w:hAnsi="Times New Roman" w:cs="Times New Roman"/>
          <w:sz w:val="24"/>
          <w:szCs w:val="24"/>
        </w:rPr>
        <w:t>Sherameti</w:t>
      </w:r>
      <w:proofErr w:type="spellEnd"/>
      <w:r w:rsidRPr="00592893">
        <w:rPr>
          <w:rFonts w:ascii="Times New Roman" w:eastAsia="Times New Roman" w:hAnsi="Times New Roman" w:cs="Times New Roman"/>
          <w:sz w:val="24"/>
          <w:szCs w:val="24"/>
        </w:rPr>
        <w:t xml:space="preserve"> &amp; A. Varma (Eds.), Heavy metal contamination of soils: Monitoring and remediation (Soil Biology, Vol. 44, pp. 375–394). Springer International Publishing. </w:t>
      </w:r>
      <w:hyperlink r:id="rId49" w:history="1">
        <w:r w:rsidRPr="00592893">
          <w:rPr>
            <w:rFonts w:ascii="Times New Roman" w:eastAsia="Times New Roman" w:hAnsi="Times New Roman" w:cs="Times New Roman"/>
            <w:color w:val="0000FF"/>
            <w:sz w:val="24"/>
            <w:szCs w:val="24"/>
            <w:u w:val="single"/>
          </w:rPr>
          <w:t>https://doi.org/10.1007/978-3-319-14526-6_19</w:t>
        </w:r>
      </w:hyperlink>
    </w:p>
    <w:p w14:paraId="10E174E5"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lang w:val="nl-BE"/>
        </w:rPr>
        <w:t xml:space="preserve">Ergin, M., Saydam, C., Baştürk, Ö., Erdem, E., &amp; Yörük, R. (1991). </w:t>
      </w:r>
      <w:r w:rsidRPr="00592893">
        <w:rPr>
          <w:rFonts w:ascii="Times New Roman" w:eastAsia="Times New Roman" w:hAnsi="Times New Roman" w:cs="Times New Roman"/>
          <w:sz w:val="24"/>
          <w:szCs w:val="24"/>
        </w:rPr>
        <w:t xml:space="preserve">Heavy metal concentrations in surface sediments from the two coastal inlets (Golden Horn Estuary and İzmit Bay) of the northeastern Sea of Marmara. Chemical Geology, 91(3), 269–285. </w:t>
      </w:r>
      <w:hyperlink r:id="rId50" w:history="1">
        <w:r w:rsidRPr="00592893">
          <w:rPr>
            <w:rFonts w:ascii="Times New Roman" w:eastAsia="Times New Roman" w:hAnsi="Times New Roman" w:cs="Times New Roman"/>
            <w:color w:val="0000FF"/>
            <w:sz w:val="24"/>
            <w:szCs w:val="24"/>
            <w:u w:val="single"/>
          </w:rPr>
          <w:t>https://doi.org/10.1016/0009-2541(91)90004-B</w:t>
        </w:r>
      </w:hyperlink>
    </w:p>
    <w:p w14:paraId="344E21DA"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Fishman, M. J., &amp; Downs, S. C. (1966). Methods for analysis of selected metals in water by atomic absorption (Water-Supply Paper 1540-C). U.S. Geological Survey. </w:t>
      </w:r>
      <w:hyperlink r:id="rId51" w:history="1">
        <w:r w:rsidRPr="00592893">
          <w:rPr>
            <w:rFonts w:ascii="Times New Roman" w:eastAsia="Times New Roman" w:hAnsi="Times New Roman" w:cs="Times New Roman"/>
            <w:color w:val="0000FF"/>
            <w:sz w:val="24"/>
            <w:szCs w:val="24"/>
            <w:u w:val="single"/>
          </w:rPr>
          <w:t>https://doi.org/10.3133/wsp1540C</w:t>
        </w:r>
      </w:hyperlink>
    </w:p>
    <w:p w14:paraId="34756590"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lastRenderedPageBreak/>
        <w:t xml:space="preserve">Gbadamosi, M. R., Afolabi, T. A., </w:t>
      </w:r>
      <w:proofErr w:type="spellStart"/>
      <w:r w:rsidRPr="00592893">
        <w:rPr>
          <w:rFonts w:ascii="Times New Roman" w:eastAsia="Times New Roman" w:hAnsi="Times New Roman" w:cs="Times New Roman"/>
          <w:sz w:val="24"/>
          <w:szCs w:val="24"/>
        </w:rPr>
        <w:t>Ogunneye</w:t>
      </w:r>
      <w:proofErr w:type="spellEnd"/>
      <w:r w:rsidRPr="00592893">
        <w:rPr>
          <w:rFonts w:ascii="Times New Roman" w:eastAsia="Times New Roman" w:hAnsi="Times New Roman" w:cs="Times New Roman"/>
          <w:sz w:val="24"/>
          <w:szCs w:val="24"/>
        </w:rPr>
        <w:t xml:space="preserve">, A. L., </w:t>
      </w:r>
      <w:proofErr w:type="spellStart"/>
      <w:r w:rsidRPr="00592893">
        <w:rPr>
          <w:rFonts w:ascii="Times New Roman" w:eastAsia="Times New Roman" w:hAnsi="Times New Roman" w:cs="Times New Roman"/>
          <w:sz w:val="24"/>
          <w:szCs w:val="24"/>
        </w:rPr>
        <w:t>Ogunbanjo</w:t>
      </w:r>
      <w:proofErr w:type="spellEnd"/>
      <w:r w:rsidRPr="00592893">
        <w:rPr>
          <w:rFonts w:ascii="Times New Roman" w:eastAsia="Times New Roman" w:hAnsi="Times New Roman" w:cs="Times New Roman"/>
          <w:sz w:val="24"/>
          <w:szCs w:val="24"/>
        </w:rPr>
        <w:t xml:space="preserve">, O. O., Omotola, E. O., Kadiri, T. M., </w:t>
      </w:r>
      <w:proofErr w:type="spellStart"/>
      <w:r w:rsidRPr="00592893">
        <w:rPr>
          <w:rFonts w:ascii="Times New Roman" w:eastAsia="Times New Roman" w:hAnsi="Times New Roman" w:cs="Times New Roman"/>
          <w:sz w:val="24"/>
          <w:szCs w:val="24"/>
        </w:rPr>
        <w:t>Akinsipo</w:t>
      </w:r>
      <w:proofErr w:type="spellEnd"/>
      <w:r w:rsidRPr="00592893">
        <w:rPr>
          <w:rFonts w:ascii="Times New Roman" w:eastAsia="Times New Roman" w:hAnsi="Times New Roman" w:cs="Times New Roman"/>
          <w:sz w:val="24"/>
          <w:szCs w:val="24"/>
        </w:rPr>
        <w:t xml:space="preserve">, O. B., &amp; Jegede, D. O. (2018). Distribution of radionuclides and heavy metals in the bituminous sand deposit in Ogun State, Nigeria: A multi-dimensional pollution, health and radiological risk assessment. Journal of Geochemical Exploration, 190, 187–199. </w:t>
      </w:r>
      <w:hyperlink r:id="rId52" w:history="1">
        <w:r w:rsidRPr="00592893">
          <w:rPr>
            <w:rFonts w:ascii="Times New Roman" w:eastAsia="Times New Roman" w:hAnsi="Times New Roman" w:cs="Times New Roman"/>
            <w:color w:val="0000FF"/>
            <w:sz w:val="24"/>
            <w:szCs w:val="24"/>
            <w:u w:val="single"/>
          </w:rPr>
          <w:t>https://doi.org/10.1016/j.gexplo.2018.03.006</w:t>
        </w:r>
      </w:hyperlink>
    </w:p>
    <w:p w14:paraId="16C61617" w14:textId="62BCE5D5"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George, S. D., Ahmed, N. O., Yunusa, L. J., </w:t>
      </w:r>
      <w:proofErr w:type="spellStart"/>
      <w:r w:rsidRPr="00592893">
        <w:rPr>
          <w:rFonts w:ascii="Times New Roman" w:eastAsia="Times New Roman" w:hAnsi="Times New Roman" w:cs="Times New Roman"/>
          <w:sz w:val="24"/>
          <w:szCs w:val="24"/>
        </w:rPr>
        <w:t>Senbore</w:t>
      </w:r>
      <w:proofErr w:type="spellEnd"/>
      <w:r w:rsidRPr="00592893">
        <w:rPr>
          <w:rFonts w:ascii="Times New Roman" w:eastAsia="Times New Roman" w:hAnsi="Times New Roman" w:cs="Times New Roman"/>
          <w:sz w:val="24"/>
          <w:szCs w:val="24"/>
        </w:rPr>
        <w:t>, S., &amp; Yomi-</w:t>
      </w:r>
      <w:proofErr w:type="spellStart"/>
      <w:r w:rsidRPr="00592893">
        <w:rPr>
          <w:rFonts w:ascii="Times New Roman" w:eastAsia="Times New Roman" w:hAnsi="Times New Roman" w:cs="Times New Roman"/>
          <w:sz w:val="24"/>
          <w:szCs w:val="24"/>
        </w:rPr>
        <w:t>Agbajor</w:t>
      </w:r>
      <w:proofErr w:type="spellEnd"/>
      <w:r w:rsidRPr="00592893">
        <w:rPr>
          <w:rFonts w:ascii="Times New Roman" w:eastAsia="Times New Roman" w:hAnsi="Times New Roman" w:cs="Times New Roman"/>
          <w:sz w:val="24"/>
          <w:szCs w:val="24"/>
        </w:rPr>
        <w:t xml:space="preserve">, E. B. (2023). Ecological and human health impacts of oil spill-induced heavy metal contamination in the Niger Delta environment, Nigeria: Post-remedial assessment, risks, and mitigation strategies. International Journal of Ecology and Environmental Sciences, 5(3), 24–42. </w:t>
      </w:r>
    </w:p>
    <w:p w14:paraId="484A1C7D"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Ghrefat, H., Zaman, H., </w:t>
      </w:r>
      <w:proofErr w:type="spellStart"/>
      <w:r w:rsidRPr="00592893">
        <w:rPr>
          <w:rFonts w:ascii="Times New Roman" w:eastAsia="Times New Roman" w:hAnsi="Times New Roman" w:cs="Times New Roman"/>
          <w:sz w:val="24"/>
          <w:szCs w:val="24"/>
        </w:rPr>
        <w:t>Batayneh</w:t>
      </w:r>
      <w:proofErr w:type="spellEnd"/>
      <w:r w:rsidRPr="00592893">
        <w:rPr>
          <w:rFonts w:ascii="Times New Roman" w:eastAsia="Times New Roman" w:hAnsi="Times New Roman" w:cs="Times New Roman"/>
          <w:sz w:val="24"/>
          <w:szCs w:val="24"/>
        </w:rPr>
        <w:t xml:space="preserve">, A., El </w:t>
      </w:r>
      <w:proofErr w:type="spellStart"/>
      <w:r w:rsidRPr="00592893">
        <w:rPr>
          <w:rFonts w:ascii="Times New Roman" w:eastAsia="Times New Roman" w:hAnsi="Times New Roman" w:cs="Times New Roman"/>
          <w:sz w:val="24"/>
          <w:szCs w:val="24"/>
        </w:rPr>
        <w:t>Waheidi</w:t>
      </w:r>
      <w:proofErr w:type="spellEnd"/>
      <w:r w:rsidRPr="00592893">
        <w:rPr>
          <w:rFonts w:ascii="Times New Roman" w:eastAsia="Times New Roman" w:hAnsi="Times New Roman" w:cs="Times New Roman"/>
          <w:sz w:val="24"/>
          <w:szCs w:val="24"/>
        </w:rPr>
        <w:t xml:space="preserve">, M. M., Qaysi, S., Al-Taani, A., </w:t>
      </w:r>
      <w:proofErr w:type="spellStart"/>
      <w:r w:rsidRPr="00592893">
        <w:rPr>
          <w:rFonts w:ascii="Times New Roman" w:eastAsia="Times New Roman" w:hAnsi="Times New Roman" w:cs="Times New Roman"/>
          <w:sz w:val="24"/>
          <w:szCs w:val="24"/>
        </w:rPr>
        <w:t>Jallouli</w:t>
      </w:r>
      <w:proofErr w:type="spellEnd"/>
      <w:r w:rsidRPr="00592893">
        <w:rPr>
          <w:rFonts w:ascii="Times New Roman" w:eastAsia="Times New Roman" w:hAnsi="Times New Roman" w:cs="Times New Roman"/>
          <w:sz w:val="24"/>
          <w:szCs w:val="24"/>
        </w:rPr>
        <w:t xml:space="preserve">, C., &amp; </w:t>
      </w:r>
      <w:proofErr w:type="spellStart"/>
      <w:r w:rsidRPr="00592893">
        <w:rPr>
          <w:rFonts w:ascii="Times New Roman" w:eastAsia="Times New Roman" w:hAnsi="Times New Roman" w:cs="Times New Roman"/>
          <w:sz w:val="24"/>
          <w:szCs w:val="24"/>
        </w:rPr>
        <w:t>Badhris</w:t>
      </w:r>
      <w:proofErr w:type="spellEnd"/>
      <w:r w:rsidRPr="00592893">
        <w:rPr>
          <w:rFonts w:ascii="Times New Roman" w:eastAsia="Times New Roman" w:hAnsi="Times New Roman" w:cs="Times New Roman"/>
          <w:sz w:val="24"/>
          <w:szCs w:val="24"/>
        </w:rPr>
        <w:t xml:space="preserve">, O. (2021). Assessment of heavy metal contamination in the soils of the Gulf of Aqaba (Northwestern Saudi Arabia): Integration of geochemical, remote sensing, GIS, and statistical data. Journal of Coastal Research, 37(4), 864–872. </w:t>
      </w:r>
      <w:hyperlink r:id="rId53" w:history="1">
        <w:r w:rsidRPr="00592893">
          <w:rPr>
            <w:rFonts w:ascii="Times New Roman" w:eastAsia="Times New Roman" w:hAnsi="Times New Roman" w:cs="Times New Roman"/>
            <w:color w:val="0000FF"/>
            <w:sz w:val="24"/>
            <w:szCs w:val="24"/>
            <w:u w:val="single"/>
          </w:rPr>
          <w:t>https://doi.org/10.2112/JCOASTRES-D-20-00137.1</w:t>
        </w:r>
      </w:hyperlink>
    </w:p>
    <w:p w14:paraId="5E33C0B9"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Guan, Y., Shao, C., &amp; Ju, M. (2014). Heavy metal contamination assessment and partition for industrial and mining gathering areas. International Journal of Environmental Research and Public Health, 11(7), 7286–7303. </w:t>
      </w:r>
      <w:hyperlink r:id="rId54" w:history="1">
        <w:r w:rsidRPr="00592893">
          <w:rPr>
            <w:rFonts w:ascii="Times New Roman" w:eastAsia="Times New Roman" w:hAnsi="Times New Roman" w:cs="Times New Roman"/>
            <w:color w:val="0000FF"/>
            <w:sz w:val="24"/>
            <w:szCs w:val="24"/>
            <w:u w:val="single"/>
          </w:rPr>
          <w:t>https://doi.org/10.3390/ijerph110707286</w:t>
        </w:r>
      </w:hyperlink>
    </w:p>
    <w:p w14:paraId="027566D5"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Håkanson, L. (1980). An ecological risk index for aquatic pollution control: A sedimentological approach. Water Research, 14(8), 975–1001. </w:t>
      </w:r>
      <w:hyperlink r:id="rId55" w:history="1">
        <w:r w:rsidRPr="00592893">
          <w:rPr>
            <w:rFonts w:ascii="Times New Roman" w:eastAsia="Times New Roman" w:hAnsi="Times New Roman" w:cs="Times New Roman"/>
            <w:color w:val="0000FF"/>
            <w:sz w:val="24"/>
            <w:szCs w:val="24"/>
            <w:u w:val="single"/>
          </w:rPr>
          <w:t>https://doi.org/10.1016/0043-1354(80)90143-8</w:t>
        </w:r>
      </w:hyperlink>
    </w:p>
    <w:p w14:paraId="6CF6A2E3"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Hazarika, P. P., Medhi, B. K., Thakuria, R. K., </w:t>
      </w:r>
      <w:proofErr w:type="spellStart"/>
      <w:r w:rsidRPr="00592893">
        <w:rPr>
          <w:rFonts w:ascii="Times New Roman" w:eastAsia="Times New Roman" w:hAnsi="Times New Roman" w:cs="Times New Roman"/>
          <w:sz w:val="24"/>
          <w:szCs w:val="24"/>
        </w:rPr>
        <w:t>Kondareddy</w:t>
      </w:r>
      <w:proofErr w:type="spellEnd"/>
      <w:r w:rsidRPr="00592893">
        <w:rPr>
          <w:rFonts w:ascii="Times New Roman" w:eastAsia="Times New Roman" w:hAnsi="Times New Roman" w:cs="Times New Roman"/>
          <w:sz w:val="24"/>
          <w:szCs w:val="24"/>
        </w:rPr>
        <w:t xml:space="preserve">, A. N., &amp; Das, S. (2024). Geospatial analysis of heavy metal contamination in soil and groundwater: A case study. In Remote sensing of soils: Mapping, monitoring, and measurement (Chap. 18, pp. 295–306). Elsevier. </w:t>
      </w:r>
      <w:hyperlink r:id="rId56" w:history="1">
        <w:r w:rsidRPr="00592893">
          <w:rPr>
            <w:rFonts w:ascii="Times New Roman" w:eastAsia="Times New Roman" w:hAnsi="Times New Roman" w:cs="Times New Roman"/>
            <w:color w:val="0000FF"/>
            <w:sz w:val="24"/>
            <w:szCs w:val="24"/>
            <w:u w:val="single"/>
          </w:rPr>
          <w:t>https://doi.org/10.1016/B978-0-443-18773-5.00035-1</w:t>
        </w:r>
      </w:hyperlink>
    </w:p>
    <w:p w14:paraId="3304A300"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Huang, L., Rad, S., Xu, L., Gui, L., Song, X., Li, Y., Wu, Z., &amp; Chen, Z. (2020). Heavy metals distribution, sources, and ecological risk assessment in </w:t>
      </w:r>
      <w:proofErr w:type="spellStart"/>
      <w:r w:rsidRPr="00592893">
        <w:rPr>
          <w:rFonts w:ascii="Times New Roman" w:eastAsia="Times New Roman" w:hAnsi="Times New Roman" w:cs="Times New Roman"/>
          <w:sz w:val="24"/>
          <w:szCs w:val="24"/>
        </w:rPr>
        <w:t>Huixian</w:t>
      </w:r>
      <w:proofErr w:type="spellEnd"/>
      <w:r w:rsidRPr="00592893">
        <w:rPr>
          <w:rFonts w:ascii="Times New Roman" w:eastAsia="Times New Roman" w:hAnsi="Times New Roman" w:cs="Times New Roman"/>
          <w:sz w:val="24"/>
          <w:szCs w:val="24"/>
        </w:rPr>
        <w:t xml:space="preserve"> Wetland, South China. Water, 12(2), Article 431. </w:t>
      </w:r>
      <w:hyperlink r:id="rId57" w:history="1">
        <w:r w:rsidRPr="00592893">
          <w:rPr>
            <w:rFonts w:ascii="Times New Roman" w:eastAsia="Times New Roman" w:hAnsi="Times New Roman" w:cs="Times New Roman"/>
            <w:color w:val="0000FF"/>
            <w:sz w:val="24"/>
            <w:szCs w:val="24"/>
            <w:u w:val="single"/>
          </w:rPr>
          <w:t>https://doi.org/10.3390/w12020431</w:t>
        </w:r>
      </w:hyperlink>
    </w:p>
    <w:p w14:paraId="53EDFB2F"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lang w:val="nl-BE"/>
        </w:rPr>
        <w:t xml:space="preserve">Shammas, N. K., Wang, L. K., &amp; Wang, M.-H. S. (2020). </w:t>
      </w:r>
      <w:r w:rsidRPr="00592893">
        <w:rPr>
          <w:rFonts w:ascii="Times New Roman" w:eastAsia="Times New Roman" w:hAnsi="Times New Roman" w:cs="Times New Roman"/>
          <w:sz w:val="24"/>
          <w:szCs w:val="24"/>
        </w:rPr>
        <w:t xml:space="preserve">Sources, chemistry and control of acid rain in the environment. In Y.-T. Hung, L. K. Wang, &amp; N. K. Shammas (Eds.), Handbook of environment and waste management: Acid rain and greenhouse gas pollution control (Vol. 3, pp. 1–26). World Scientific. </w:t>
      </w:r>
      <w:hyperlink r:id="rId58" w:history="1">
        <w:r w:rsidRPr="00592893">
          <w:rPr>
            <w:rFonts w:ascii="Times New Roman" w:eastAsia="Times New Roman" w:hAnsi="Times New Roman" w:cs="Times New Roman"/>
            <w:color w:val="0000FF"/>
            <w:sz w:val="24"/>
            <w:szCs w:val="24"/>
            <w:u w:val="single"/>
          </w:rPr>
          <w:t>https://doi.org/10.1142/9789811207136_0001</w:t>
        </w:r>
      </w:hyperlink>
    </w:p>
    <w:p w14:paraId="21436D96"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92893">
        <w:rPr>
          <w:rFonts w:ascii="Times New Roman" w:eastAsia="Times New Roman" w:hAnsi="Times New Roman" w:cs="Times New Roman"/>
          <w:sz w:val="24"/>
          <w:szCs w:val="24"/>
        </w:rPr>
        <w:t>Imasuen</w:t>
      </w:r>
      <w:proofErr w:type="spellEnd"/>
      <w:r w:rsidRPr="00592893">
        <w:rPr>
          <w:rFonts w:ascii="Times New Roman" w:eastAsia="Times New Roman" w:hAnsi="Times New Roman" w:cs="Times New Roman"/>
          <w:sz w:val="24"/>
          <w:szCs w:val="24"/>
        </w:rPr>
        <w:t xml:space="preserve">, O. I., </w:t>
      </w:r>
      <w:proofErr w:type="spellStart"/>
      <w:r w:rsidRPr="00592893">
        <w:rPr>
          <w:rFonts w:ascii="Times New Roman" w:eastAsia="Times New Roman" w:hAnsi="Times New Roman" w:cs="Times New Roman"/>
          <w:sz w:val="24"/>
          <w:szCs w:val="24"/>
        </w:rPr>
        <w:t>Galasi</w:t>
      </w:r>
      <w:proofErr w:type="spellEnd"/>
      <w:r w:rsidRPr="00592893">
        <w:rPr>
          <w:rFonts w:ascii="Times New Roman" w:eastAsia="Times New Roman" w:hAnsi="Times New Roman" w:cs="Times New Roman"/>
          <w:sz w:val="24"/>
          <w:szCs w:val="24"/>
        </w:rPr>
        <w:t xml:space="preserve">, D. T., &amp; </w:t>
      </w:r>
      <w:proofErr w:type="spellStart"/>
      <w:r w:rsidRPr="00592893">
        <w:rPr>
          <w:rFonts w:ascii="Times New Roman" w:eastAsia="Times New Roman" w:hAnsi="Times New Roman" w:cs="Times New Roman"/>
          <w:sz w:val="24"/>
          <w:szCs w:val="24"/>
        </w:rPr>
        <w:t>Omorogieva</w:t>
      </w:r>
      <w:proofErr w:type="spellEnd"/>
      <w:r w:rsidRPr="00592893">
        <w:rPr>
          <w:rFonts w:ascii="Times New Roman" w:eastAsia="Times New Roman" w:hAnsi="Times New Roman" w:cs="Times New Roman"/>
          <w:sz w:val="24"/>
          <w:szCs w:val="24"/>
        </w:rPr>
        <w:t xml:space="preserve">, O. M. (2014). Impact assessment and bioremediation of oil contaminated soil: A case study of Koko and </w:t>
      </w:r>
      <w:proofErr w:type="spellStart"/>
      <w:r w:rsidRPr="00592893">
        <w:rPr>
          <w:rFonts w:ascii="Times New Roman" w:eastAsia="Times New Roman" w:hAnsi="Times New Roman" w:cs="Times New Roman"/>
          <w:sz w:val="24"/>
          <w:szCs w:val="24"/>
        </w:rPr>
        <w:t>Ajoki</w:t>
      </w:r>
      <w:proofErr w:type="spellEnd"/>
      <w:r w:rsidRPr="00592893">
        <w:rPr>
          <w:rFonts w:ascii="Times New Roman" w:eastAsia="Times New Roman" w:hAnsi="Times New Roman" w:cs="Times New Roman"/>
          <w:sz w:val="24"/>
          <w:szCs w:val="24"/>
        </w:rPr>
        <w:t xml:space="preserve"> communities, Niger Delta Nigeria. Journal of Applied Sciences and Environmental Management, 18(1), 55–60. </w:t>
      </w:r>
      <w:hyperlink r:id="rId59" w:history="1">
        <w:r w:rsidRPr="00592893">
          <w:rPr>
            <w:rFonts w:ascii="Times New Roman" w:eastAsia="Times New Roman" w:hAnsi="Times New Roman" w:cs="Times New Roman"/>
            <w:color w:val="0000FF"/>
            <w:sz w:val="24"/>
            <w:szCs w:val="24"/>
            <w:u w:val="single"/>
          </w:rPr>
          <w:t>https://doi.org/10.4314/jasem.v18i1.8</w:t>
        </w:r>
      </w:hyperlink>
    </w:p>
    <w:p w14:paraId="32CFE816"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International Atomic Energy Agency. (2004). Soil sampling for environmental contaminants (IAEA-TECDOC-1415). </w:t>
      </w:r>
      <w:hyperlink r:id="rId60" w:history="1">
        <w:r w:rsidRPr="00592893">
          <w:rPr>
            <w:rFonts w:ascii="Times New Roman" w:eastAsia="Times New Roman" w:hAnsi="Times New Roman" w:cs="Times New Roman"/>
            <w:color w:val="0000FF"/>
            <w:sz w:val="24"/>
            <w:szCs w:val="24"/>
            <w:u w:val="single"/>
          </w:rPr>
          <w:t>https://www.iaea.org/publications/7113/soil-sampling-for-environmental-contaminants</w:t>
        </w:r>
      </w:hyperlink>
    </w:p>
    <w:p w14:paraId="6D07709A"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lastRenderedPageBreak/>
        <w:t xml:space="preserve">Jayakumar, M., Surendran, U., Raja, P., Kumar, A., &amp; </w:t>
      </w:r>
      <w:proofErr w:type="spellStart"/>
      <w:r w:rsidRPr="00592893">
        <w:rPr>
          <w:rFonts w:ascii="Times New Roman" w:eastAsia="Times New Roman" w:hAnsi="Times New Roman" w:cs="Times New Roman"/>
          <w:sz w:val="24"/>
          <w:szCs w:val="24"/>
        </w:rPr>
        <w:t>Senapathi</w:t>
      </w:r>
      <w:proofErr w:type="spellEnd"/>
      <w:r w:rsidRPr="00592893">
        <w:rPr>
          <w:rFonts w:ascii="Times New Roman" w:eastAsia="Times New Roman" w:hAnsi="Times New Roman" w:cs="Times New Roman"/>
          <w:sz w:val="24"/>
          <w:szCs w:val="24"/>
        </w:rPr>
        <w:t xml:space="preserve">, V. (2021). A review of heavy metals accumulation pathways, sources and management in soils. Arabian Journal of Geosciences, 14, Article 2156. </w:t>
      </w:r>
      <w:hyperlink r:id="rId61" w:history="1">
        <w:r w:rsidRPr="00592893">
          <w:rPr>
            <w:rFonts w:ascii="Times New Roman" w:eastAsia="Times New Roman" w:hAnsi="Times New Roman" w:cs="Times New Roman"/>
            <w:color w:val="0000FF"/>
            <w:sz w:val="24"/>
            <w:szCs w:val="24"/>
            <w:u w:val="single"/>
          </w:rPr>
          <w:t>https://doi.org/10.1007/s12517-021-08543-9</w:t>
        </w:r>
      </w:hyperlink>
    </w:p>
    <w:p w14:paraId="5177B144"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Jimoh, A., </w:t>
      </w:r>
      <w:proofErr w:type="spellStart"/>
      <w:r w:rsidRPr="00592893">
        <w:rPr>
          <w:rFonts w:ascii="Times New Roman" w:eastAsia="Times New Roman" w:hAnsi="Times New Roman" w:cs="Times New Roman"/>
          <w:sz w:val="24"/>
          <w:szCs w:val="24"/>
        </w:rPr>
        <w:t>Agbaji</w:t>
      </w:r>
      <w:proofErr w:type="spellEnd"/>
      <w:r w:rsidRPr="00592893">
        <w:rPr>
          <w:rFonts w:ascii="Times New Roman" w:eastAsia="Times New Roman" w:hAnsi="Times New Roman" w:cs="Times New Roman"/>
          <w:sz w:val="24"/>
          <w:szCs w:val="24"/>
        </w:rPr>
        <w:t xml:space="preserve">, E. B., Ajibola, V. O., &amp; Funtua, M. A. (2020). Application of pollution load indices, enrichment factors, contamination factor and health risk assessment of heavy metals pollution of soils of welding workshops at Old </w:t>
      </w:r>
      <w:proofErr w:type="spellStart"/>
      <w:r w:rsidRPr="00592893">
        <w:rPr>
          <w:rFonts w:ascii="Times New Roman" w:eastAsia="Times New Roman" w:hAnsi="Times New Roman" w:cs="Times New Roman"/>
          <w:sz w:val="24"/>
          <w:szCs w:val="24"/>
        </w:rPr>
        <w:t>Panteka</w:t>
      </w:r>
      <w:proofErr w:type="spellEnd"/>
      <w:r w:rsidRPr="00592893">
        <w:rPr>
          <w:rFonts w:ascii="Times New Roman" w:eastAsia="Times New Roman" w:hAnsi="Times New Roman" w:cs="Times New Roman"/>
          <w:sz w:val="24"/>
          <w:szCs w:val="24"/>
        </w:rPr>
        <w:t xml:space="preserve"> market, Kaduna-Nigeria. Open Journal of Analytical and Bioanalytical Chemistry, 4(1), 11–19. </w:t>
      </w:r>
      <w:hyperlink r:id="rId62" w:history="1">
        <w:r w:rsidRPr="00592893">
          <w:rPr>
            <w:rFonts w:ascii="Times New Roman" w:eastAsia="Times New Roman" w:hAnsi="Times New Roman" w:cs="Times New Roman"/>
            <w:color w:val="0000FF"/>
            <w:sz w:val="24"/>
            <w:szCs w:val="24"/>
            <w:u w:val="single"/>
          </w:rPr>
          <w:t>https://doi.org/10.17352/ojabc.000019</w:t>
        </w:r>
      </w:hyperlink>
    </w:p>
    <w:p w14:paraId="77D85823"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92893">
        <w:rPr>
          <w:rFonts w:ascii="Times New Roman" w:eastAsia="Times New Roman" w:hAnsi="Times New Roman" w:cs="Times New Roman"/>
          <w:sz w:val="24"/>
          <w:szCs w:val="24"/>
        </w:rPr>
        <w:t>Kacholi</w:t>
      </w:r>
      <w:proofErr w:type="spellEnd"/>
      <w:r w:rsidRPr="00592893">
        <w:rPr>
          <w:rFonts w:ascii="Times New Roman" w:eastAsia="Times New Roman" w:hAnsi="Times New Roman" w:cs="Times New Roman"/>
          <w:sz w:val="24"/>
          <w:szCs w:val="24"/>
        </w:rPr>
        <w:t xml:space="preserve">, D. S., &amp; Sahu, M. (2018). Levels and health risk assessment of heavy metals in soil, water, and vegetables of Dar es Salaam, Tanzania. Journal of Chemistry, 2018, Article 1402674. </w:t>
      </w:r>
      <w:hyperlink r:id="rId63" w:history="1">
        <w:r w:rsidRPr="00592893">
          <w:rPr>
            <w:rFonts w:ascii="Times New Roman" w:eastAsia="Times New Roman" w:hAnsi="Times New Roman" w:cs="Times New Roman"/>
            <w:color w:val="0000FF"/>
            <w:sz w:val="24"/>
            <w:szCs w:val="24"/>
            <w:u w:val="single"/>
          </w:rPr>
          <w:t>https://doi.org/10.1155/2018/1402674</w:t>
        </w:r>
      </w:hyperlink>
    </w:p>
    <w:p w14:paraId="41BA4022"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Kara, Z. (2024). Assessment of heavy metal pollution in soil-parent material relationship across ecosystems. Environmental Monitoring and Assessment, 196, Article 1131. </w:t>
      </w:r>
      <w:hyperlink r:id="rId64" w:history="1">
        <w:r w:rsidRPr="00592893">
          <w:rPr>
            <w:rFonts w:ascii="Times New Roman" w:eastAsia="Times New Roman" w:hAnsi="Times New Roman" w:cs="Times New Roman"/>
            <w:color w:val="0000FF"/>
            <w:sz w:val="24"/>
            <w:szCs w:val="24"/>
            <w:u w:val="single"/>
          </w:rPr>
          <w:t>https://doi.org/10.1007/s10661-024-13312-8</w:t>
        </w:r>
      </w:hyperlink>
    </w:p>
    <w:p w14:paraId="213B374A"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Khan, M. A., Khan, S., Khan, A., &amp; Alam, M. (2017). Soil contamination with cadmium, consequences and remediation using organic amendments. Science of the Total Environment, 601–602, 1591–1605. </w:t>
      </w:r>
      <w:hyperlink r:id="rId65" w:history="1">
        <w:r w:rsidRPr="00592893">
          <w:rPr>
            <w:rFonts w:ascii="Times New Roman" w:eastAsia="Times New Roman" w:hAnsi="Times New Roman" w:cs="Times New Roman"/>
            <w:color w:val="0000FF"/>
            <w:sz w:val="24"/>
            <w:szCs w:val="24"/>
            <w:u w:val="single"/>
          </w:rPr>
          <w:t>https://doi.org/10.1016/j.scitotenv.2017.06.030</w:t>
        </w:r>
      </w:hyperlink>
    </w:p>
    <w:p w14:paraId="77C4CAAD"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Khatri, N., &amp; Tyagi, S. (2015). Influences of natural and anthropogenic factors on surface and groundwater quality in rural and urban areas. Frontiers in Life Science, 8(1), 23–39. </w:t>
      </w:r>
      <w:hyperlink r:id="rId66" w:history="1">
        <w:r w:rsidRPr="00592893">
          <w:rPr>
            <w:rFonts w:ascii="Times New Roman" w:eastAsia="Times New Roman" w:hAnsi="Times New Roman" w:cs="Times New Roman"/>
            <w:color w:val="0000FF"/>
            <w:sz w:val="24"/>
            <w:szCs w:val="24"/>
            <w:u w:val="single"/>
          </w:rPr>
          <w:t>https://doi.org/10.1080/21553769.2014.933716</w:t>
        </w:r>
      </w:hyperlink>
    </w:p>
    <w:p w14:paraId="53A042E9"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Kolawole, T. O., </w:t>
      </w:r>
      <w:proofErr w:type="spellStart"/>
      <w:r w:rsidRPr="00592893">
        <w:rPr>
          <w:rFonts w:ascii="Times New Roman" w:eastAsia="Times New Roman" w:hAnsi="Times New Roman" w:cs="Times New Roman"/>
          <w:sz w:val="24"/>
          <w:szCs w:val="24"/>
        </w:rPr>
        <w:t>Oyelami</w:t>
      </w:r>
      <w:proofErr w:type="spellEnd"/>
      <w:r w:rsidRPr="00592893">
        <w:rPr>
          <w:rFonts w:ascii="Times New Roman" w:eastAsia="Times New Roman" w:hAnsi="Times New Roman" w:cs="Times New Roman"/>
          <w:sz w:val="24"/>
          <w:szCs w:val="24"/>
        </w:rPr>
        <w:t xml:space="preserve">, C. A., Olajide-Kayode, J. O., Jimoh, M. T., </w:t>
      </w:r>
      <w:proofErr w:type="spellStart"/>
      <w:r w:rsidRPr="00592893">
        <w:rPr>
          <w:rFonts w:ascii="Times New Roman" w:eastAsia="Times New Roman" w:hAnsi="Times New Roman" w:cs="Times New Roman"/>
          <w:sz w:val="24"/>
          <w:szCs w:val="24"/>
        </w:rPr>
        <w:t>Fomba</w:t>
      </w:r>
      <w:proofErr w:type="spellEnd"/>
      <w:r w:rsidRPr="00592893">
        <w:rPr>
          <w:rFonts w:ascii="Times New Roman" w:eastAsia="Times New Roman" w:hAnsi="Times New Roman" w:cs="Times New Roman"/>
          <w:sz w:val="24"/>
          <w:szCs w:val="24"/>
        </w:rPr>
        <w:t xml:space="preserve">, K. W., Anifowose, A. J., &amp; Akinde, S. B. (2023). Contamination and risk surveillance of potentially toxic elements in different land-use urban soils of Osogbo, Southwestern Nigeria. Environmental Geochemistry and Health, 45(7), 4603–4629. </w:t>
      </w:r>
      <w:hyperlink r:id="rId67" w:history="1">
        <w:r w:rsidRPr="00592893">
          <w:rPr>
            <w:rFonts w:ascii="Times New Roman" w:eastAsia="Times New Roman" w:hAnsi="Times New Roman" w:cs="Times New Roman"/>
            <w:color w:val="0000FF"/>
            <w:sz w:val="24"/>
            <w:szCs w:val="24"/>
            <w:u w:val="single"/>
          </w:rPr>
          <w:t>https://doi.org/10.1007/s10653-023-01518-7</w:t>
        </w:r>
      </w:hyperlink>
    </w:p>
    <w:p w14:paraId="4633CC6C"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Lee, H., Sam, K., Coulon, F., De Gisi, S., Notarnicola, M., &amp; </w:t>
      </w:r>
      <w:proofErr w:type="spellStart"/>
      <w:r w:rsidRPr="00592893">
        <w:rPr>
          <w:rFonts w:ascii="Times New Roman" w:eastAsia="Times New Roman" w:hAnsi="Times New Roman" w:cs="Times New Roman"/>
          <w:sz w:val="24"/>
          <w:szCs w:val="24"/>
        </w:rPr>
        <w:t>Labianca</w:t>
      </w:r>
      <w:proofErr w:type="spellEnd"/>
      <w:r w:rsidRPr="00592893">
        <w:rPr>
          <w:rFonts w:ascii="Times New Roman" w:eastAsia="Times New Roman" w:hAnsi="Times New Roman" w:cs="Times New Roman"/>
          <w:sz w:val="24"/>
          <w:szCs w:val="24"/>
        </w:rPr>
        <w:t xml:space="preserve">, C. (2024). Recent developments and prospects of sustainable remediation treatments for major contaminants in soil: A review. Science of the Total Environment, 912, Article 168769. </w:t>
      </w:r>
      <w:hyperlink r:id="rId68" w:history="1">
        <w:r w:rsidRPr="00592893">
          <w:rPr>
            <w:rFonts w:ascii="Times New Roman" w:eastAsia="Times New Roman" w:hAnsi="Times New Roman" w:cs="Times New Roman"/>
            <w:color w:val="0000FF"/>
            <w:sz w:val="24"/>
            <w:szCs w:val="24"/>
            <w:u w:val="single"/>
          </w:rPr>
          <w:t>https://doi.org/10.1016/j.scitotenv.2023.168769</w:t>
        </w:r>
      </w:hyperlink>
    </w:p>
    <w:p w14:paraId="40933091"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592893">
        <w:rPr>
          <w:rFonts w:ascii="Times New Roman" w:eastAsia="Times New Roman" w:hAnsi="Times New Roman" w:cs="Times New Roman"/>
          <w:sz w:val="24"/>
          <w:szCs w:val="24"/>
          <w:lang w:val="nl-BE"/>
        </w:rPr>
        <w:t xml:space="preserve">Lehmann, J., Bossio, D. A., Kögel-Knabner, I., &amp; Rillig, M. C. (2020). </w:t>
      </w:r>
      <w:r w:rsidRPr="00592893">
        <w:rPr>
          <w:rFonts w:ascii="Times New Roman" w:eastAsia="Times New Roman" w:hAnsi="Times New Roman" w:cs="Times New Roman"/>
          <w:sz w:val="24"/>
          <w:szCs w:val="24"/>
        </w:rPr>
        <w:t xml:space="preserve">The concept and future prospects of soil health. Nature Reviews Earth &amp; Environment, 1(10), 544–553. </w:t>
      </w:r>
      <w:hyperlink r:id="rId69" w:history="1">
        <w:r w:rsidRPr="00592893">
          <w:rPr>
            <w:rFonts w:ascii="Times New Roman" w:eastAsia="Times New Roman" w:hAnsi="Times New Roman" w:cs="Times New Roman"/>
            <w:color w:val="0000FF"/>
            <w:sz w:val="24"/>
            <w:szCs w:val="24"/>
            <w:u w:val="single"/>
            <w:lang w:val="nl-BE"/>
          </w:rPr>
          <w:t>https://doi.org/10.1038/s43017-020-0080-8</w:t>
        </w:r>
      </w:hyperlink>
    </w:p>
    <w:p w14:paraId="69BAFA66"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lang w:val="nl-BE"/>
        </w:rPr>
        <w:t xml:space="preserve">Li, R. Z., Pan, C. R., Xu, J. J., Ding, G. Z., &amp; Zou, Y. (2012). </w:t>
      </w:r>
      <w:r w:rsidRPr="00592893">
        <w:rPr>
          <w:rFonts w:ascii="Times New Roman" w:eastAsia="Times New Roman" w:hAnsi="Times New Roman" w:cs="Times New Roman"/>
          <w:sz w:val="24"/>
          <w:szCs w:val="24"/>
        </w:rPr>
        <w:t>Application of potential ecological risk assessment model based on Monte Carlo simulation. Research of Environmental Sciences, 25(12), 1336–1343. ONLINE version not available</w:t>
      </w:r>
    </w:p>
    <w:p w14:paraId="4524FF15"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Liu, Q., Du, B., He, L., Zeng, Y., Tian, Y., Zhang, Z., Wang, R., &amp; Shi, T. (2023). Digital soil mapping of heavy metals using multiple geospatial data: Feature identification and deep neural network. Ecological Indicators, 154, Article 110863. </w:t>
      </w:r>
      <w:hyperlink r:id="rId70" w:history="1">
        <w:r w:rsidRPr="00592893">
          <w:rPr>
            <w:rFonts w:ascii="Times New Roman" w:eastAsia="Times New Roman" w:hAnsi="Times New Roman" w:cs="Times New Roman"/>
            <w:color w:val="0000FF"/>
            <w:sz w:val="24"/>
            <w:szCs w:val="24"/>
            <w:u w:val="single"/>
          </w:rPr>
          <w:t>https://doi.org/10.1016/j.ecolind.2023.110863</w:t>
        </w:r>
      </w:hyperlink>
    </w:p>
    <w:p w14:paraId="375AB547"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lastRenderedPageBreak/>
        <w:t xml:space="preserve">Mishra, S., </w:t>
      </w:r>
      <w:proofErr w:type="spellStart"/>
      <w:r w:rsidRPr="00592893">
        <w:rPr>
          <w:rFonts w:ascii="Times New Roman" w:eastAsia="Times New Roman" w:hAnsi="Times New Roman" w:cs="Times New Roman"/>
          <w:sz w:val="24"/>
          <w:szCs w:val="24"/>
        </w:rPr>
        <w:t>Bharagava</w:t>
      </w:r>
      <w:proofErr w:type="spellEnd"/>
      <w:r w:rsidRPr="00592893">
        <w:rPr>
          <w:rFonts w:ascii="Times New Roman" w:eastAsia="Times New Roman" w:hAnsi="Times New Roman" w:cs="Times New Roman"/>
          <w:sz w:val="24"/>
          <w:szCs w:val="24"/>
        </w:rPr>
        <w:t xml:space="preserve">, R. N., More, N., Yadav, A., </w:t>
      </w:r>
      <w:proofErr w:type="spellStart"/>
      <w:r w:rsidRPr="00592893">
        <w:rPr>
          <w:rFonts w:ascii="Times New Roman" w:eastAsia="Times New Roman" w:hAnsi="Times New Roman" w:cs="Times New Roman"/>
          <w:sz w:val="24"/>
          <w:szCs w:val="24"/>
        </w:rPr>
        <w:t>Zainith</w:t>
      </w:r>
      <w:proofErr w:type="spellEnd"/>
      <w:r w:rsidRPr="00592893">
        <w:rPr>
          <w:rFonts w:ascii="Times New Roman" w:eastAsia="Times New Roman" w:hAnsi="Times New Roman" w:cs="Times New Roman"/>
          <w:sz w:val="24"/>
          <w:szCs w:val="24"/>
        </w:rPr>
        <w:t xml:space="preserve">, S., Mani, S., &amp; Chowdhary, P. (2019). Heavy metal contamination: An alarming threat to environment and human health. In Environmental biotechnology: For sustainable future (pp. 103–125). Springer. </w:t>
      </w:r>
      <w:hyperlink r:id="rId71" w:history="1">
        <w:r w:rsidRPr="00592893">
          <w:rPr>
            <w:rFonts w:ascii="Times New Roman" w:eastAsia="Times New Roman" w:hAnsi="Times New Roman" w:cs="Times New Roman"/>
            <w:color w:val="0000FF"/>
            <w:sz w:val="24"/>
            <w:szCs w:val="24"/>
            <w:u w:val="single"/>
          </w:rPr>
          <w:t>https://doi.org/10.1007/978-981-10-7284-0_5</w:t>
        </w:r>
      </w:hyperlink>
    </w:p>
    <w:p w14:paraId="2DE926CE"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Mohamed, E. S., </w:t>
      </w:r>
      <w:proofErr w:type="spellStart"/>
      <w:r w:rsidRPr="00592893">
        <w:rPr>
          <w:rFonts w:ascii="Times New Roman" w:eastAsia="Times New Roman" w:hAnsi="Times New Roman" w:cs="Times New Roman"/>
          <w:sz w:val="24"/>
          <w:szCs w:val="24"/>
        </w:rPr>
        <w:t>Jalhoum</w:t>
      </w:r>
      <w:proofErr w:type="spellEnd"/>
      <w:r w:rsidRPr="00592893">
        <w:rPr>
          <w:rFonts w:ascii="Times New Roman" w:eastAsia="Times New Roman" w:hAnsi="Times New Roman" w:cs="Times New Roman"/>
          <w:sz w:val="24"/>
          <w:szCs w:val="24"/>
        </w:rPr>
        <w:t xml:space="preserve">, M. E. M., </w:t>
      </w:r>
      <w:proofErr w:type="spellStart"/>
      <w:r w:rsidRPr="00592893">
        <w:rPr>
          <w:rFonts w:ascii="Times New Roman" w:eastAsia="Times New Roman" w:hAnsi="Times New Roman" w:cs="Times New Roman"/>
          <w:sz w:val="24"/>
          <w:szCs w:val="24"/>
        </w:rPr>
        <w:t>Hendawy</w:t>
      </w:r>
      <w:proofErr w:type="spellEnd"/>
      <w:r w:rsidRPr="00592893">
        <w:rPr>
          <w:rFonts w:ascii="Times New Roman" w:eastAsia="Times New Roman" w:hAnsi="Times New Roman" w:cs="Times New Roman"/>
          <w:sz w:val="24"/>
          <w:szCs w:val="24"/>
        </w:rPr>
        <w:t xml:space="preserve">, E., El-Adly, A. M., Nawar, S., Rebouh, N. Y., Saleh, A., &amp; </w:t>
      </w:r>
      <w:proofErr w:type="spellStart"/>
      <w:r w:rsidRPr="00592893">
        <w:rPr>
          <w:rFonts w:ascii="Times New Roman" w:eastAsia="Times New Roman" w:hAnsi="Times New Roman" w:cs="Times New Roman"/>
          <w:sz w:val="24"/>
          <w:szCs w:val="24"/>
        </w:rPr>
        <w:t>Shokr</w:t>
      </w:r>
      <w:proofErr w:type="spellEnd"/>
      <w:r w:rsidRPr="00592893">
        <w:rPr>
          <w:rFonts w:ascii="Times New Roman" w:eastAsia="Times New Roman" w:hAnsi="Times New Roman" w:cs="Times New Roman"/>
          <w:sz w:val="24"/>
          <w:szCs w:val="24"/>
        </w:rPr>
        <w:t xml:space="preserve">, M. S. (2024). Geospatial evaluation and bio-remediation of heavy metal-contaminated soils in arid zones. Frontiers in Environmental Science, 12, Article 1381409. </w:t>
      </w:r>
      <w:hyperlink r:id="rId72" w:history="1">
        <w:r w:rsidRPr="00592893">
          <w:rPr>
            <w:rFonts w:ascii="Times New Roman" w:eastAsia="Times New Roman" w:hAnsi="Times New Roman" w:cs="Times New Roman"/>
            <w:color w:val="0000FF"/>
            <w:sz w:val="24"/>
            <w:szCs w:val="24"/>
            <w:u w:val="single"/>
          </w:rPr>
          <w:t>https://doi.org/10.3389/fenvs.2024.1381409</w:t>
        </w:r>
      </w:hyperlink>
    </w:p>
    <w:p w14:paraId="648287A6"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Muhammad, S., Ahmed, T., Ullah, R., </w:t>
      </w:r>
      <w:proofErr w:type="spellStart"/>
      <w:r w:rsidRPr="00592893">
        <w:rPr>
          <w:rFonts w:ascii="Times New Roman" w:eastAsia="Times New Roman" w:hAnsi="Times New Roman" w:cs="Times New Roman"/>
          <w:sz w:val="24"/>
          <w:szCs w:val="24"/>
        </w:rPr>
        <w:t>Tokatli</w:t>
      </w:r>
      <w:proofErr w:type="spellEnd"/>
      <w:r w:rsidRPr="00592893">
        <w:rPr>
          <w:rFonts w:ascii="Times New Roman" w:eastAsia="Times New Roman" w:hAnsi="Times New Roman" w:cs="Times New Roman"/>
          <w:sz w:val="24"/>
          <w:szCs w:val="24"/>
        </w:rPr>
        <w:t xml:space="preserve">, C., &amp; Ahmad, A. (2024). Spatial distribution of heavy metal contamination and risk indices of surface sediments in high-altitude lakes. Environmental Monitoring and Assessment, 196, Article 1188. </w:t>
      </w:r>
      <w:hyperlink r:id="rId73" w:history="1">
        <w:r w:rsidRPr="00592893">
          <w:rPr>
            <w:rFonts w:ascii="Times New Roman" w:eastAsia="Times New Roman" w:hAnsi="Times New Roman" w:cs="Times New Roman"/>
            <w:color w:val="0000FF"/>
            <w:sz w:val="24"/>
            <w:szCs w:val="24"/>
            <w:u w:val="single"/>
          </w:rPr>
          <w:t>https://doi.org/10.1007/s10661-024-13361-z</w:t>
        </w:r>
      </w:hyperlink>
    </w:p>
    <w:p w14:paraId="7E9ACAD6"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Müller, G. (1969). Index of </w:t>
      </w:r>
      <w:proofErr w:type="spellStart"/>
      <w:r w:rsidRPr="00592893">
        <w:rPr>
          <w:rFonts w:ascii="Times New Roman" w:eastAsia="Times New Roman" w:hAnsi="Times New Roman" w:cs="Times New Roman"/>
          <w:sz w:val="24"/>
          <w:szCs w:val="24"/>
        </w:rPr>
        <w:t>geoaccumulation</w:t>
      </w:r>
      <w:proofErr w:type="spellEnd"/>
      <w:r w:rsidRPr="00592893">
        <w:rPr>
          <w:rFonts w:ascii="Times New Roman" w:eastAsia="Times New Roman" w:hAnsi="Times New Roman" w:cs="Times New Roman"/>
          <w:sz w:val="24"/>
          <w:szCs w:val="24"/>
        </w:rPr>
        <w:t xml:space="preserve"> in sediments of the Rhine River. </w:t>
      </w:r>
      <w:proofErr w:type="spellStart"/>
      <w:r w:rsidRPr="00592893">
        <w:rPr>
          <w:rFonts w:ascii="Times New Roman" w:eastAsia="Times New Roman" w:hAnsi="Times New Roman" w:cs="Times New Roman"/>
          <w:sz w:val="24"/>
          <w:szCs w:val="24"/>
        </w:rPr>
        <w:t>GeoJournal</w:t>
      </w:r>
      <w:proofErr w:type="spellEnd"/>
      <w:r w:rsidRPr="00592893">
        <w:rPr>
          <w:rFonts w:ascii="Times New Roman" w:eastAsia="Times New Roman" w:hAnsi="Times New Roman" w:cs="Times New Roman"/>
          <w:sz w:val="24"/>
          <w:szCs w:val="24"/>
        </w:rPr>
        <w:t>, 2, 108–118. ONLINE version not available</w:t>
      </w:r>
    </w:p>
    <w:p w14:paraId="1364644A"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Nieder, R., </w:t>
      </w:r>
      <w:proofErr w:type="spellStart"/>
      <w:r w:rsidRPr="00592893">
        <w:rPr>
          <w:rFonts w:ascii="Times New Roman" w:eastAsia="Times New Roman" w:hAnsi="Times New Roman" w:cs="Times New Roman"/>
          <w:sz w:val="24"/>
          <w:szCs w:val="24"/>
        </w:rPr>
        <w:t>Benbi</w:t>
      </w:r>
      <w:proofErr w:type="spellEnd"/>
      <w:r w:rsidRPr="00592893">
        <w:rPr>
          <w:rFonts w:ascii="Times New Roman" w:eastAsia="Times New Roman" w:hAnsi="Times New Roman" w:cs="Times New Roman"/>
          <w:sz w:val="24"/>
          <w:szCs w:val="24"/>
        </w:rPr>
        <w:t xml:space="preserve">, D. K., &amp; Reichl, F. X. (2018). Soil-borne particles and their impact on environment and human health. In Soil components and human health (pp. 99–177). Springer. </w:t>
      </w:r>
      <w:hyperlink r:id="rId74" w:history="1">
        <w:r w:rsidRPr="00592893">
          <w:rPr>
            <w:rFonts w:ascii="Times New Roman" w:eastAsia="Times New Roman" w:hAnsi="Times New Roman" w:cs="Times New Roman"/>
            <w:color w:val="0000FF"/>
            <w:sz w:val="24"/>
            <w:szCs w:val="24"/>
            <w:u w:val="single"/>
          </w:rPr>
          <w:t>https://doi.org/10.1007/978-94-024-1222-2_3</w:t>
        </w:r>
      </w:hyperlink>
    </w:p>
    <w:p w14:paraId="0D6817C5"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Ngulube, I. E. (2011). The Eleme orthography. In O.-M. </w:t>
      </w:r>
      <w:proofErr w:type="spellStart"/>
      <w:r w:rsidRPr="00592893">
        <w:rPr>
          <w:rFonts w:ascii="Times New Roman" w:eastAsia="Times New Roman" w:hAnsi="Times New Roman" w:cs="Times New Roman"/>
          <w:sz w:val="24"/>
          <w:szCs w:val="24"/>
        </w:rPr>
        <w:t>Ndimele</w:t>
      </w:r>
      <w:proofErr w:type="spellEnd"/>
      <w:r w:rsidRPr="00592893">
        <w:rPr>
          <w:rFonts w:ascii="Times New Roman" w:eastAsia="Times New Roman" w:hAnsi="Times New Roman" w:cs="Times New Roman"/>
          <w:sz w:val="24"/>
          <w:szCs w:val="24"/>
        </w:rPr>
        <w:t xml:space="preserve"> &amp; T. Enyia (Eds.), Orthographies of Nigerian languages: Manual X (pp. 36–59). Nigerian Educational Research and Development Council. </w:t>
      </w:r>
      <w:hyperlink r:id="rId75" w:history="1">
        <w:r w:rsidRPr="00592893">
          <w:rPr>
            <w:rFonts w:ascii="Times New Roman" w:eastAsia="Times New Roman" w:hAnsi="Times New Roman" w:cs="Times New Roman"/>
            <w:color w:val="0000FF"/>
            <w:sz w:val="24"/>
            <w:szCs w:val="24"/>
            <w:u w:val="single"/>
          </w:rPr>
          <w:t>https://rsust.academia.edu/IsaacNgulube</w:t>
        </w:r>
      </w:hyperlink>
    </w:p>
    <w:p w14:paraId="6D648C79"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lang w:val="nl-BE"/>
        </w:rPr>
        <w:t xml:space="preserve">Omokpariola, D. O., Nduka, J. K., Kelle, H. I., Mgbemena, N. M., &amp; Iduseri, E. O. (2022). </w:t>
      </w:r>
      <w:r w:rsidRPr="00592893">
        <w:rPr>
          <w:rFonts w:ascii="Times New Roman" w:eastAsia="Times New Roman" w:hAnsi="Times New Roman" w:cs="Times New Roman"/>
          <w:sz w:val="24"/>
          <w:szCs w:val="24"/>
        </w:rPr>
        <w:t xml:space="preserve">Chemometrics, health risk assessment and probable sources of soluble total petroleum hydrocarbons in atmospheric rainwater, Rivers State, Nigeria. Scientific Reports, 12, Article 11829. </w:t>
      </w:r>
      <w:hyperlink r:id="rId76" w:history="1">
        <w:r w:rsidRPr="00592893">
          <w:rPr>
            <w:rFonts w:ascii="Times New Roman" w:eastAsia="Times New Roman" w:hAnsi="Times New Roman" w:cs="Times New Roman"/>
            <w:color w:val="0000FF"/>
            <w:sz w:val="24"/>
            <w:szCs w:val="24"/>
            <w:u w:val="single"/>
          </w:rPr>
          <w:t>https://doi.org/10.1038/s41598-022-15677-7</w:t>
        </w:r>
      </w:hyperlink>
    </w:p>
    <w:p w14:paraId="456DE8BB"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92893">
        <w:rPr>
          <w:rFonts w:ascii="Times New Roman" w:eastAsia="Times New Roman" w:hAnsi="Times New Roman" w:cs="Times New Roman"/>
          <w:sz w:val="24"/>
          <w:szCs w:val="24"/>
        </w:rPr>
        <w:t>Onomhoale</w:t>
      </w:r>
      <w:proofErr w:type="spellEnd"/>
      <w:r w:rsidRPr="00592893">
        <w:rPr>
          <w:rFonts w:ascii="Times New Roman" w:eastAsia="Times New Roman" w:hAnsi="Times New Roman" w:cs="Times New Roman"/>
          <w:sz w:val="24"/>
          <w:szCs w:val="24"/>
        </w:rPr>
        <w:t xml:space="preserve">, N. A., Nik Daud, N. N., </w:t>
      </w:r>
      <w:proofErr w:type="spellStart"/>
      <w:r w:rsidRPr="00592893">
        <w:rPr>
          <w:rFonts w:ascii="Times New Roman" w:eastAsia="Times New Roman" w:hAnsi="Times New Roman" w:cs="Times New Roman"/>
          <w:sz w:val="24"/>
          <w:szCs w:val="24"/>
        </w:rPr>
        <w:t>Okunlola</w:t>
      </w:r>
      <w:proofErr w:type="spellEnd"/>
      <w:r w:rsidRPr="00592893">
        <w:rPr>
          <w:rFonts w:ascii="Times New Roman" w:eastAsia="Times New Roman" w:hAnsi="Times New Roman" w:cs="Times New Roman"/>
          <w:sz w:val="24"/>
          <w:szCs w:val="24"/>
        </w:rPr>
        <w:t xml:space="preserve">, I. A., </w:t>
      </w:r>
      <w:proofErr w:type="spellStart"/>
      <w:r w:rsidRPr="00592893">
        <w:rPr>
          <w:rFonts w:ascii="Times New Roman" w:eastAsia="Times New Roman" w:hAnsi="Times New Roman" w:cs="Times New Roman"/>
          <w:sz w:val="24"/>
          <w:szCs w:val="24"/>
        </w:rPr>
        <w:t>Idrus</w:t>
      </w:r>
      <w:proofErr w:type="spellEnd"/>
      <w:r w:rsidRPr="00592893">
        <w:rPr>
          <w:rFonts w:ascii="Times New Roman" w:eastAsia="Times New Roman" w:hAnsi="Times New Roman" w:cs="Times New Roman"/>
          <w:sz w:val="24"/>
          <w:szCs w:val="24"/>
        </w:rPr>
        <w:t xml:space="preserve">, S., &amp; Roslan, S. N. A. (2025a). Time-lapse geoenvironmental hydrocarbon attenuation in Nigeria: Integrated geoelectrical, geochemical and geotechnical site characterization. Journal of Environmental &amp; Earth Sciences, 7(8), 408–436. </w:t>
      </w:r>
      <w:hyperlink r:id="rId77" w:history="1">
        <w:r w:rsidRPr="00592893">
          <w:rPr>
            <w:rFonts w:ascii="Times New Roman" w:eastAsia="Times New Roman" w:hAnsi="Times New Roman" w:cs="Times New Roman"/>
            <w:color w:val="0000FF"/>
            <w:sz w:val="24"/>
            <w:szCs w:val="24"/>
            <w:u w:val="single"/>
          </w:rPr>
          <w:t>https://doi.org/10.30564/jees.v7i8.11042</w:t>
        </w:r>
      </w:hyperlink>
    </w:p>
    <w:p w14:paraId="248621A1"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92893">
        <w:rPr>
          <w:rFonts w:ascii="Times New Roman" w:eastAsia="Times New Roman" w:hAnsi="Times New Roman" w:cs="Times New Roman"/>
          <w:sz w:val="24"/>
          <w:szCs w:val="24"/>
        </w:rPr>
        <w:t>Onomhoale</w:t>
      </w:r>
      <w:proofErr w:type="spellEnd"/>
      <w:r w:rsidRPr="00592893">
        <w:rPr>
          <w:rFonts w:ascii="Times New Roman" w:eastAsia="Times New Roman" w:hAnsi="Times New Roman" w:cs="Times New Roman"/>
          <w:sz w:val="24"/>
          <w:szCs w:val="24"/>
        </w:rPr>
        <w:t xml:space="preserve">, N. A., Yunusa, L. J., </w:t>
      </w:r>
      <w:proofErr w:type="spellStart"/>
      <w:r w:rsidRPr="00592893">
        <w:rPr>
          <w:rFonts w:ascii="Times New Roman" w:eastAsia="Times New Roman" w:hAnsi="Times New Roman" w:cs="Times New Roman"/>
          <w:sz w:val="24"/>
          <w:szCs w:val="24"/>
        </w:rPr>
        <w:t>Senbore</w:t>
      </w:r>
      <w:proofErr w:type="spellEnd"/>
      <w:r w:rsidRPr="00592893">
        <w:rPr>
          <w:rFonts w:ascii="Times New Roman" w:eastAsia="Times New Roman" w:hAnsi="Times New Roman" w:cs="Times New Roman"/>
          <w:sz w:val="24"/>
          <w:szCs w:val="24"/>
        </w:rPr>
        <w:t xml:space="preserve">, S., Apata, M. D., </w:t>
      </w:r>
      <w:proofErr w:type="spellStart"/>
      <w:r w:rsidRPr="00592893">
        <w:rPr>
          <w:rFonts w:ascii="Times New Roman" w:eastAsia="Times New Roman" w:hAnsi="Times New Roman" w:cs="Times New Roman"/>
          <w:sz w:val="24"/>
          <w:szCs w:val="24"/>
        </w:rPr>
        <w:t>Ojogbo</w:t>
      </w:r>
      <w:proofErr w:type="spellEnd"/>
      <w:r w:rsidRPr="00592893">
        <w:rPr>
          <w:rFonts w:ascii="Times New Roman" w:eastAsia="Times New Roman" w:hAnsi="Times New Roman" w:cs="Times New Roman"/>
          <w:sz w:val="24"/>
          <w:szCs w:val="24"/>
        </w:rPr>
        <w:t xml:space="preserve">, P., &amp; </w:t>
      </w:r>
      <w:proofErr w:type="spellStart"/>
      <w:r w:rsidRPr="00592893">
        <w:rPr>
          <w:rFonts w:ascii="Times New Roman" w:eastAsia="Times New Roman" w:hAnsi="Times New Roman" w:cs="Times New Roman"/>
          <w:sz w:val="24"/>
          <w:szCs w:val="24"/>
        </w:rPr>
        <w:t>Itiveh</w:t>
      </w:r>
      <w:proofErr w:type="spellEnd"/>
      <w:r w:rsidRPr="00592893">
        <w:rPr>
          <w:rFonts w:ascii="Times New Roman" w:eastAsia="Times New Roman" w:hAnsi="Times New Roman" w:cs="Times New Roman"/>
          <w:sz w:val="24"/>
          <w:szCs w:val="24"/>
        </w:rPr>
        <w:t xml:space="preserve">, E. S. (2025b). </w:t>
      </w:r>
      <w:proofErr w:type="spellStart"/>
      <w:r w:rsidRPr="00592893">
        <w:rPr>
          <w:rFonts w:ascii="Times New Roman" w:eastAsia="Times New Roman" w:hAnsi="Times New Roman" w:cs="Times New Roman"/>
          <w:sz w:val="24"/>
          <w:szCs w:val="24"/>
        </w:rPr>
        <w:t>Hydrochemical</w:t>
      </w:r>
      <w:proofErr w:type="spellEnd"/>
      <w:r w:rsidRPr="00592893">
        <w:rPr>
          <w:rFonts w:ascii="Times New Roman" w:eastAsia="Times New Roman" w:hAnsi="Times New Roman" w:cs="Times New Roman"/>
          <w:sz w:val="24"/>
          <w:szCs w:val="24"/>
        </w:rPr>
        <w:t xml:space="preserve"> dispersion and geospatial correlation for source identification, transport, and fate of aerial petro-pollutants in the Niger Delta, Nigeria. Journal of Geoscience and Environment Protection, 13(4), 113–140. </w:t>
      </w:r>
      <w:hyperlink r:id="rId78" w:history="1">
        <w:r w:rsidRPr="00592893">
          <w:rPr>
            <w:rFonts w:ascii="Times New Roman" w:eastAsia="Times New Roman" w:hAnsi="Times New Roman" w:cs="Times New Roman"/>
            <w:color w:val="0000FF"/>
            <w:sz w:val="24"/>
            <w:szCs w:val="24"/>
            <w:u w:val="single"/>
          </w:rPr>
          <w:t>https://doi.org/10.4236/gep.2025.134007</w:t>
        </w:r>
      </w:hyperlink>
    </w:p>
    <w:p w14:paraId="48C4F335"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Onwuka, C., </w:t>
      </w:r>
      <w:proofErr w:type="spellStart"/>
      <w:r w:rsidRPr="00592893">
        <w:rPr>
          <w:rFonts w:ascii="Times New Roman" w:eastAsia="Times New Roman" w:hAnsi="Times New Roman" w:cs="Times New Roman"/>
          <w:sz w:val="24"/>
          <w:szCs w:val="24"/>
        </w:rPr>
        <w:t>Eboatu</w:t>
      </w:r>
      <w:proofErr w:type="spellEnd"/>
      <w:r w:rsidRPr="00592893">
        <w:rPr>
          <w:rFonts w:ascii="Times New Roman" w:eastAsia="Times New Roman" w:hAnsi="Times New Roman" w:cs="Times New Roman"/>
          <w:sz w:val="24"/>
          <w:szCs w:val="24"/>
        </w:rPr>
        <w:t xml:space="preserve">, A. N., Ajiwe, V. I. E., &amp; Morah, E. J. (2021). Pollution studies on soils from crude oil producing areas of Rivers State, Niger Delta region, Nigeria. Open Access Library Journal, 8, Article e7583. </w:t>
      </w:r>
      <w:hyperlink r:id="rId79" w:history="1">
        <w:r w:rsidRPr="00592893">
          <w:rPr>
            <w:rFonts w:ascii="Times New Roman" w:eastAsia="Times New Roman" w:hAnsi="Times New Roman" w:cs="Times New Roman"/>
            <w:color w:val="0000FF"/>
            <w:sz w:val="24"/>
            <w:szCs w:val="24"/>
            <w:u w:val="single"/>
          </w:rPr>
          <w:t>https://doi.org/10.4236/oalib.1107583</w:t>
        </w:r>
      </w:hyperlink>
    </w:p>
    <w:p w14:paraId="46B30A4D"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92893">
        <w:rPr>
          <w:rFonts w:ascii="Times New Roman" w:eastAsia="Times New Roman" w:hAnsi="Times New Roman" w:cs="Times New Roman"/>
          <w:sz w:val="24"/>
          <w:szCs w:val="24"/>
        </w:rPr>
        <w:t>Onyele</w:t>
      </w:r>
      <w:proofErr w:type="spellEnd"/>
      <w:r w:rsidRPr="00592893">
        <w:rPr>
          <w:rFonts w:ascii="Times New Roman" w:eastAsia="Times New Roman" w:hAnsi="Times New Roman" w:cs="Times New Roman"/>
          <w:sz w:val="24"/>
          <w:szCs w:val="24"/>
        </w:rPr>
        <w:t xml:space="preserve">, O. G., &amp; Anyanwu, E. D. (2018). Human health risk assessment of some heavy metals in a rural spring, southeastern Nigeria. African Journal of Environment and Natural Science </w:t>
      </w:r>
      <w:r w:rsidRPr="00592893">
        <w:rPr>
          <w:rFonts w:ascii="Times New Roman" w:eastAsia="Times New Roman" w:hAnsi="Times New Roman" w:cs="Times New Roman"/>
          <w:sz w:val="24"/>
          <w:szCs w:val="24"/>
        </w:rPr>
        <w:lastRenderedPageBreak/>
        <w:t xml:space="preserve">Research, 1(1), 15–23. </w:t>
      </w:r>
      <w:hyperlink r:id="rId80" w:history="1">
        <w:r w:rsidRPr="00592893">
          <w:rPr>
            <w:rFonts w:ascii="Times New Roman" w:eastAsia="Times New Roman" w:hAnsi="Times New Roman" w:cs="Times New Roman"/>
            <w:color w:val="0000FF"/>
            <w:sz w:val="24"/>
            <w:szCs w:val="24"/>
            <w:u w:val="single"/>
          </w:rPr>
          <w:t>https://abjournals.org/ajensr/1/1/human-health-risk-assessment-of-some-heavy-metals-in-a-rural-spring-southeastern-nigeria</w:t>
        </w:r>
      </w:hyperlink>
    </w:p>
    <w:p w14:paraId="5D9F01D7"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92893">
        <w:rPr>
          <w:rFonts w:ascii="Times New Roman" w:eastAsia="Times New Roman" w:hAnsi="Times New Roman" w:cs="Times New Roman"/>
          <w:sz w:val="24"/>
          <w:szCs w:val="24"/>
        </w:rPr>
        <w:t>Ordinioha</w:t>
      </w:r>
      <w:proofErr w:type="spellEnd"/>
      <w:r w:rsidRPr="00592893">
        <w:rPr>
          <w:rFonts w:ascii="Times New Roman" w:eastAsia="Times New Roman" w:hAnsi="Times New Roman" w:cs="Times New Roman"/>
          <w:sz w:val="24"/>
          <w:szCs w:val="24"/>
        </w:rPr>
        <w:t xml:space="preserve">, B., &amp; </w:t>
      </w:r>
      <w:proofErr w:type="spellStart"/>
      <w:r w:rsidRPr="00592893">
        <w:rPr>
          <w:rFonts w:ascii="Times New Roman" w:eastAsia="Times New Roman" w:hAnsi="Times New Roman" w:cs="Times New Roman"/>
          <w:sz w:val="24"/>
          <w:szCs w:val="24"/>
        </w:rPr>
        <w:t>Brisibe</w:t>
      </w:r>
      <w:proofErr w:type="spellEnd"/>
      <w:r w:rsidRPr="00592893">
        <w:rPr>
          <w:rFonts w:ascii="Times New Roman" w:eastAsia="Times New Roman" w:hAnsi="Times New Roman" w:cs="Times New Roman"/>
          <w:sz w:val="24"/>
          <w:szCs w:val="24"/>
        </w:rPr>
        <w:t xml:space="preserve">, S. (2013). The human health implications of crude oil spills in the Niger Delta, Nigeria: An interpretation of published studies. Nigerian Medical Journal, 54(1), 10–16. </w:t>
      </w:r>
      <w:hyperlink r:id="rId81" w:history="1">
        <w:r w:rsidRPr="00592893">
          <w:rPr>
            <w:rFonts w:ascii="Times New Roman" w:eastAsia="Times New Roman" w:hAnsi="Times New Roman" w:cs="Times New Roman"/>
            <w:color w:val="0000FF"/>
            <w:sz w:val="24"/>
            <w:szCs w:val="24"/>
            <w:u w:val="single"/>
          </w:rPr>
          <w:t>https://doi.org/10.4103/0300-1652.108887</w:t>
        </w:r>
      </w:hyperlink>
    </w:p>
    <w:p w14:paraId="38167517"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Owordi, J. C., Osuji, L. C., &amp; </w:t>
      </w:r>
      <w:proofErr w:type="spellStart"/>
      <w:r w:rsidRPr="00592893">
        <w:rPr>
          <w:rFonts w:ascii="Times New Roman" w:eastAsia="Times New Roman" w:hAnsi="Times New Roman" w:cs="Times New Roman"/>
          <w:sz w:val="24"/>
          <w:szCs w:val="24"/>
        </w:rPr>
        <w:t>Onojake</w:t>
      </w:r>
      <w:proofErr w:type="spellEnd"/>
      <w:r w:rsidRPr="00592893">
        <w:rPr>
          <w:rFonts w:ascii="Times New Roman" w:eastAsia="Times New Roman" w:hAnsi="Times New Roman" w:cs="Times New Roman"/>
          <w:sz w:val="24"/>
          <w:szCs w:val="24"/>
        </w:rPr>
        <w:t xml:space="preserve">, M. C. (2025). Soil fertility after an oil pipeline spill in Niger Delta, Nigeria. Asian Journal of Current Research, 10(2), 153–165. </w:t>
      </w:r>
      <w:hyperlink r:id="rId82" w:history="1">
        <w:r w:rsidRPr="00592893">
          <w:rPr>
            <w:rFonts w:ascii="Times New Roman" w:eastAsia="Times New Roman" w:hAnsi="Times New Roman" w:cs="Times New Roman"/>
            <w:color w:val="0000FF"/>
            <w:sz w:val="24"/>
            <w:szCs w:val="24"/>
            <w:u w:val="single"/>
          </w:rPr>
          <w:t>https://doi.org/10.56557/ajocr/2025/v10i29302</w:t>
        </w:r>
      </w:hyperlink>
    </w:p>
    <w:p w14:paraId="5096C0FB"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Perera, R. A., Perera, R. T., Liyanage, U. P., Premaratne, J., &amp; Liyanage, J. A. (2024). Chemometric assessment of bioaccumulation and contamination pathways for toxic metals in diet and environment: Implications for chronic kidney disease of unknown etiology (</w:t>
      </w:r>
      <w:proofErr w:type="spellStart"/>
      <w:r w:rsidRPr="00592893">
        <w:rPr>
          <w:rFonts w:ascii="Times New Roman" w:eastAsia="Times New Roman" w:hAnsi="Times New Roman" w:cs="Times New Roman"/>
          <w:sz w:val="24"/>
          <w:szCs w:val="24"/>
        </w:rPr>
        <w:t>CKDu</w:t>
      </w:r>
      <w:proofErr w:type="spellEnd"/>
      <w:r w:rsidRPr="00592893">
        <w:rPr>
          <w:rFonts w:ascii="Times New Roman" w:eastAsia="Times New Roman" w:hAnsi="Times New Roman" w:cs="Times New Roman"/>
          <w:sz w:val="24"/>
          <w:szCs w:val="24"/>
        </w:rPr>
        <w:t xml:space="preserve">) in Sri Lankan agricultural regions. Environmental Monitoring and Assessment, 196, Article 1179. </w:t>
      </w:r>
      <w:hyperlink r:id="rId83" w:history="1">
        <w:r w:rsidRPr="00592893">
          <w:rPr>
            <w:rFonts w:ascii="Times New Roman" w:eastAsia="Times New Roman" w:hAnsi="Times New Roman" w:cs="Times New Roman"/>
            <w:color w:val="0000FF"/>
            <w:sz w:val="24"/>
            <w:szCs w:val="24"/>
            <w:u w:val="single"/>
          </w:rPr>
          <w:t>https://doi.org/10.1007/s10661-024-13316-4</w:t>
        </w:r>
      </w:hyperlink>
    </w:p>
    <w:p w14:paraId="4ED7D15F"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92893">
        <w:rPr>
          <w:rFonts w:ascii="Times New Roman" w:eastAsia="Times New Roman" w:hAnsi="Times New Roman" w:cs="Times New Roman"/>
          <w:sz w:val="24"/>
          <w:szCs w:val="24"/>
        </w:rPr>
        <w:t>Pobi</w:t>
      </w:r>
      <w:proofErr w:type="spellEnd"/>
      <w:r w:rsidRPr="00592893">
        <w:rPr>
          <w:rFonts w:ascii="Times New Roman" w:eastAsia="Times New Roman" w:hAnsi="Times New Roman" w:cs="Times New Roman"/>
          <w:sz w:val="24"/>
          <w:szCs w:val="24"/>
        </w:rPr>
        <w:t xml:space="preserve">, K. K., Satpati, S., Dutta, S., Nayek, S., Saha, R. N., &amp; Gupta, S. (2019). Sources evaluation and ecological risk assessment of heavy metals accumulated within a natural stream of Durgapur industrial zone, India, by using multivariate analysis and pollution indices. Applied Water Science, 9, Article 58. </w:t>
      </w:r>
      <w:hyperlink r:id="rId84" w:history="1">
        <w:r w:rsidRPr="00592893">
          <w:rPr>
            <w:rFonts w:ascii="Times New Roman" w:eastAsia="Times New Roman" w:hAnsi="Times New Roman" w:cs="Times New Roman"/>
            <w:color w:val="0000FF"/>
            <w:sz w:val="24"/>
            <w:szCs w:val="24"/>
            <w:u w:val="single"/>
          </w:rPr>
          <w:t>https://doi.org/10.1007/s13201-019-0946-4</w:t>
        </w:r>
      </w:hyperlink>
    </w:p>
    <w:p w14:paraId="48880A8B"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Rahman, S. M., Khan, M. D. H., Jolly, Y. N., Kabir, J., Akter, S., &amp; Salam, A. (2019). Assessing risk to human health for heavy metal contamination through street dust in the Southeast Asian megacity: Dhaka, Bangladesh. Science of the Total Environment, 660, 1610–1622. </w:t>
      </w:r>
      <w:hyperlink r:id="rId85" w:history="1">
        <w:r w:rsidRPr="00592893">
          <w:rPr>
            <w:rFonts w:ascii="Times New Roman" w:eastAsia="Times New Roman" w:hAnsi="Times New Roman" w:cs="Times New Roman"/>
            <w:color w:val="0000FF"/>
            <w:sz w:val="24"/>
            <w:szCs w:val="24"/>
            <w:u w:val="single"/>
          </w:rPr>
          <w:t>https://doi.org/10.1016/j.scitotenv.2018.12.425</w:t>
        </w:r>
      </w:hyperlink>
    </w:p>
    <w:p w14:paraId="260958F4"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Rajendran, S., Priya, T. A. K., Khoo, K. S., Hoang, T. K., Ng, H. S., Munawaroh, H. S. H., Karaman, C., </w:t>
      </w:r>
      <w:proofErr w:type="spellStart"/>
      <w:r w:rsidRPr="00592893">
        <w:rPr>
          <w:rFonts w:ascii="Times New Roman" w:eastAsia="Times New Roman" w:hAnsi="Times New Roman" w:cs="Times New Roman"/>
          <w:sz w:val="24"/>
          <w:szCs w:val="24"/>
        </w:rPr>
        <w:t>Orooji</w:t>
      </w:r>
      <w:proofErr w:type="spellEnd"/>
      <w:r w:rsidRPr="00592893">
        <w:rPr>
          <w:rFonts w:ascii="Times New Roman" w:eastAsia="Times New Roman" w:hAnsi="Times New Roman" w:cs="Times New Roman"/>
          <w:sz w:val="24"/>
          <w:szCs w:val="24"/>
        </w:rPr>
        <w:t xml:space="preserve">, Y., &amp; Show, P. L. (2022). A critical review on various remediation approaches for heavy metal contaminants removal from contaminated soils. Chemosphere, 287, Article 132369. </w:t>
      </w:r>
      <w:hyperlink r:id="rId86" w:history="1">
        <w:r w:rsidRPr="00592893">
          <w:rPr>
            <w:rFonts w:ascii="Times New Roman" w:eastAsia="Times New Roman" w:hAnsi="Times New Roman" w:cs="Times New Roman"/>
            <w:color w:val="0000FF"/>
            <w:sz w:val="24"/>
            <w:szCs w:val="24"/>
            <w:u w:val="single"/>
          </w:rPr>
          <w:t>https://doi.org/10.1016/j.chemosphere.2021.132369</w:t>
        </w:r>
      </w:hyperlink>
    </w:p>
    <w:p w14:paraId="4FA6560A"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Sánchez-Castro, I., Molina, L., Prieto-Fernández, M.-Á., &amp; Segura, A. (2023). Past, present and future trends in the remediation of heavy-metal contaminated soil: Remediation techniques applied in real soil-contamination events. </w:t>
      </w:r>
      <w:proofErr w:type="spellStart"/>
      <w:r w:rsidRPr="00592893">
        <w:rPr>
          <w:rFonts w:ascii="Times New Roman" w:eastAsia="Times New Roman" w:hAnsi="Times New Roman" w:cs="Times New Roman"/>
          <w:sz w:val="24"/>
          <w:szCs w:val="24"/>
        </w:rPr>
        <w:t>Heliyon</w:t>
      </w:r>
      <w:proofErr w:type="spellEnd"/>
      <w:r w:rsidRPr="00592893">
        <w:rPr>
          <w:rFonts w:ascii="Times New Roman" w:eastAsia="Times New Roman" w:hAnsi="Times New Roman" w:cs="Times New Roman"/>
          <w:sz w:val="24"/>
          <w:szCs w:val="24"/>
        </w:rPr>
        <w:t xml:space="preserve">, 9(6), Article e16692. </w:t>
      </w:r>
      <w:hyperlink r:id="rId87" w:history="1">
        <w:r w:rsidRPr="00592893">
          <w:rPr>
            <w:rFonts w:ascii="Times New Roman" w:eastAsia="Times New Roman" w:hAnsi="Times New Roman" w:cs="Times New Roman"/>
            <w:color w:val="0000FF"/>
            <w:sz w:val="24"/>
            <w:szCs w:val="24"/>
            <w:u w:val="single"/>
          </w:rPr>
          <w:t>https://doi.org/10.1016/j.heliyon.2023.e16692</w:t>
        </w:r>
      </w:hyperlink>
    </w:p>
    <w:p w14:paraId="3B3FAFD3"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Seifu, W., &amp; Elias, E. (2019). Soil quality attributes and their role in sustainable agriculture: A review. International Journal of Plant &amp; Soil Science, 26(3), 1–26. </w:t>
      </w:r>
      <w:hyperlink r:id="rId88" w:history="1">
        <w:r w:rsidRPr="00592893">
          <w:rPr>
            <w:rFonts w:ascii="Times New Roman" w:eastAsia="Times New Roman" w:hAnsi="Times New Roman" w:cs="Times New Roman"/>
            <w:color w:val="0000FF"/>
            <w:sz w:val="24"/>
            <w:szCs w:val="24"/>
            <w:u w:val="single"/>
          </w:rPr>
          <w:t>https://doi.org/10.9734/IJPSS/2018/41589</w:t>
        </w:r>
      </w:hyperlink>
    </w:p>
    <w:p w14:paraId="03021269"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Singh, B. R., &amp; Steinnes, E. (2020). Soil and water contamination by heavy metals. In R. Lal &amp; B. A. Stewart (Eds.), Soil processes and water quality (pp. 233–271). CRC Press. </w:t>
      </w:r>
      <w:hyperlink r:id="rId89" w:history="1">
        <w:r w:rsidRPr="00592893">
          <w:rPr>
            <w:rFonts w:ascii="Times New Roman" w:eastAsia="Times New Roman" w:hAnsi="Times New Roman" w:cs="Times New Roman"/>
            <w:color w:val="0000FF"/>
            <w:sz w:val="24"/>
            <w:szCs w:val="24"/>
            <w:u w:val="single"/>
          </w:rPr>
          <w:t>https://doi.org/10.1201/9781003070184-6</w:t>
        </w:r>
      </w:hyperlink>
    </w:p>
    <w:p w14:paraId="1A4A1AB9"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lastRenderedPageBreak/>
        <w:t xml:space="preserve">Tomei, M. C., &amp; </w:t>
      </w:r>
      <w:proofErr w:type="spellStart"/>
      <w:r w:rsidRPr="00592893">
        <w:rPr>
          <w:rFonts w:ascii="Times New Roman" w:eastAsia="Times New Roman" w:hAnsi="Times New Roman" w:cs="Times New Roman"/>
          <w:sz w:val="24"/>
          <w:szCs w:val="24"/>
        </w:rPr>
        <w:t>Daugulis</w:t>
      </w:r>
      <w:proofErr w:type="spellEnd"/>
      <w:r w:rsidRPr="00592893">
        <w:rPr>
          <w:rFonts w:ascii="Times New Roman" w:eastAsia="Times New Roman" w:hAnsi="Times New Roman" w:cs="Times New Roman"/>
          <w:sz w:val="24"/>
          <w:szCs w:val="24"/>
        </w:rPr>
        <w:t xml:space="preserve">, A. J. (2013). Ex situ bioremediation of contaminated soils: An overview of conventional and innovative technologies. Critical Reviews in Environmental Science and Technology, 43(20), 2107–2139. </w:t>
      </w:r>
      <w:hyperlink r:id="rId90" w:history="1">
        <w:r w:rsidRPr="00592893">
          <w:rPr>
            <w:rFonts w:ascii="Times New Roman" w:eastAsia="Times New Roman" w:hAnsi="Times New Roman" w:cs="Times New Roman"/>
            <w:color w:val="0000FF"/>
            <w:sz w:val="24"/>
            <w:szCs w:val="24"/>
            <w:u w:val="single"/>
          </w:rPr>
          <w:t>https://doi.org/10.1080/10643389.2012.672056</w:t>
        </w:r>
      </w:hyperlink>
    </w:p>
    <w:p w14:paraId="27EFD8C4"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92893">
        <w:rPr>
          <w:rFonts w:ascii="Times New Roman" w:eastAsia="Times New Roman" w:hAnsi="Times New Roman" w:cs="Times New Roman"/>
          <w:sz w:val="24"/>
          <w:szCs w:val="24"/>
        </w:rPr>
        <w:t>Turekian</w:t>
      </w:r>
      <w:proofErr w:type="spellEnd"/>
      <w:r w:rsidRPr="00592893">
        <w:rPr>
          <w:rFonts w:ascii="Times New Roman" w:eastAsia="Times New Roman" w:hAnsi="Times New Roman" w:cs="Times New Roman"/>
          <w:sz w:val="24"/>
          <w:szCs w:val="24"/>
        </w:rPr>
        <w:t xml:space="preserve">, K. K., &amp; </w:t>
      </w:r>
      <w:proofErr w:type="spellStart"/>
      <w:r w:rsidRPr="00592893">
        <w:rPr>
          <w:rFonts w:ascii="Times New Roman" w:eastAsia="Times New Roman" w:hAnsi="Times New Roman" w:cs="Times New Roman"/>
          <w:sz w:val="24"/>
          <w:szCs w:val="24"/>
        </w:rPr>
        <w:t>Wedepohl</w:t>
      </w:r>
      <w:proofErr w:type="spellEnd"/>
      <w:r w:rsidRPr="00592893">
        <w:rPr>
          <w:rFonts w:ascii="Times New Roman" w:eastAsia="Times New Roman" w:hAnsi="Times New Roman" w:cs="Times New Roman"/>
          <w:sz w:val="24"/>
          <w:szCs w:val="24"/>
        </w:rPr>
        <w:t xml:space="preserve">, K. H. (1961). Distribution of the elements in some major units of the earth's crust. Geological Society of America Bulletin, 72(2), 175–192. </w:t>
      </w:r>
      <w:hyperlink r:id="rId91" w:history="1">
        <w:r w:rsidRPr="00592893">
          <w:rPr>
            <w:rFonts w:ascii="Times New Roman" w:eastAsia="Times New Roman" w:hAnsi="Times New Roman" w:cs="Times New Roman"/>
            <w:color w:val="0000FF"/>
            <w:sz w:val="24"/>
            <w:szCs w:val="24"/>
            <w:u w:val="single"/>
          </w:rPr>
          <w:t>https://doi.org/10.1130/0016-7606(1961)72[175:DOTEIS]2.0.CO;2</w:t>
        </w:r>
      </w:hyperlink>
    </w:p>
    <w:p w14:paraId="375B9B77"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Ubong, U. U., Akpan, A. D., &amp; </w:t>
      </w:r>
      <w:proofErr w:type="spellStart"/>
      <w:r w:rsidRPr="00592893">
        <w:rPr>
          <w:rFonts w:ascii="Times New Roman" w:eastAsia="Times New Roman" w:hAnsi="Times New Roman" w:cs="Times New Roman"/>
          <w:sz w:val="24"/>
          <w:szCs w:val="24"/>
        </w:rPr>
        <w:t>Isotuk</w:t>
      </w:r>
      <w:proofErr w:type="spellEnd"/>
      <w:r w:rsidRPr="00592893">
        <w:rPr>
          <w:rFonts w:ascii="Times New Roman" w:eastAsia="Times New Roman" w:hAnsi="Times New Roman" w:cs="Times New Roman"/>
          <w:sz w:val="24"/>
          <w:szCs w:val="24"/>
        </w:rPr>
        <w:t xml:space="preserve">, U. G. (2026). Ecological risk assessment of heavy metals in soils and surface waters of oil-producing areas in Akwa Ibom State, Nigeria. Asian Journal of Physical and Chemical Sciences, 14(3), 111–125. </w:t>
      </w:r>
      <w:hyperlink r:id="rId92" w:history="1">
        <w:r w:rsidRPr="00592893">
          <w:rPr>
            <w:rFonts w:ascii="Times New Roman" w:eastAsia="Times New Roman" w:hAnsi="Times New Roman" w:cs="Times New Roman"/>
            <w:color w:val="0000FF"/>
            <w:sz w:val="24"/>
            <w:szCs w:val="24"/>
            <w:u w:val="single"/>
          </w:rPr>
          <w:t>https://doi.org/10.9734/ajopacs/2026/v14i3333</w:t>
        </w:r>
      </w:hyperlink>
    </w:p>
    <w:p w14:paraId="5067E9EA"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lang w:val="nl-BE"/>
        </w:rPr>
        <w:t xml:space="preserve">Ukaogo, P. O., Ewuzie, U., &amp; Onwuka, C. V. (2020). </w:t>
      </w:r>
      <w:r w:rsidRPr="00592893">
        <w:rPr>
          <w:rFonts w:ascii="Times New Roman" w:eastAsia="Times New Roman" w:hAnsi="Times New Roman" w:cs="Times New Roman"/>
          <w:sz w:val="24"/>
          <w:szCs w:val="24"/>
        </w:rPr>
        <w:t xml:space="preserve">Environmental pollution: Causes, effects, and the remedies. In P. Chowdhary, A. Raj, D. Verma, &amp; Y. Akhter (Eds.), Microorganisms for sustainable environment and health (pp. 419–429). Elsevier. </w:t>
      </w:r>
      <w:hyperlink r:id="rId93" w:history="1">
        <w:r w:rsidRPr="00592893">
          <w:rPr>
            <w:rFonts w:ascii="Times New Roman" w:eastAsia="Times New Roman" w:hAnsi="Times New Roman" w:cs="Times New Roman"/>
            <w:color w:val="0000FF"/>
            <w:sz w:val="24"/>
            <w:szCs w:val="24"/>
            <w:u w:val="single"/>
          </w:rPr>
          <w:t>https://doi.org/10.1016/B978-0-12-819001-2.00021-8</w:t>
        </w:r>
      </w:hyperlink>
    </w:p>
    <w:p w14:paraId="3D858D00"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United States Department of Agriculture, Natural Resources Conservation Service, Soil Quality Institute. (2000). Heavy metal soil contamination (Soil Quality—Urban Technical Note No. 3). </w:t>
      </w:r>
      <w:hyperlink r:id="rId94" w:history="1">
        <w:r w:rsidRPr="00592893">
          <w:rPr>
            <w:rFonts w:ascii="Times New Roman" w:eastAsia="Times New Roman" w:hAnsi="Times New Roman" w:cs="Times New Roman"/>
            <w:color w:val="0000FF"/>
            <w:sz w:val="24"/>
            <w:szCs w:val="24"/>
            <w:u w:val="single"/>
          </w:rPr>
          <w:t>https://directives.nrcs.usda.gov/sites/default/files2/1719602876/Soil%20Quality%20-%20Urban%20190-03%2C%20Heavy%20Metal%20Soil%20Contamination.pdf</w:t>
        </w:r>
      </w:hyperlink>
    </w:p>
    <w:p w14:paraId="477F0E6B"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United States Department of Agriculture, Natural Resources Conservation Service, Soil Quality Institute. (2001). Guidelines for soil quality assessment in conservation planning. </w:t>
      </w:r>
      <w:hyperlink r:id="rId95" w:history="1">
        <w:r w:rsidRPr="00592893">
          <w:rPr>
            <w:rFonts w:ascii="Times New Roman" w:eastAsia="Times New Roman" w:hAnsi="Times New Roman" w:cs="Times New Roman"/>
            <w:color w:val="0000FF"/>
            <w:sz w:val="24"/>
            <w:szCs w:val="24"/>
            <w:u w:val="single"/>
          </w:rPr>
          <w:t>https://directives.nrcs.usda.gov/sites/default/files2/1719841599/Soil%20Quality%20-%20General%20190-01%2C%20Guidelines%20for%20Soil%20Quality%20Assessment%20in%20Conservation%20Planning.pdf</w:t>
        </w:r>
      </w:hyperlink>
    </w:p>
    <w:p w14:paraId="7058FB68"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United States Environmental Protection Agency. (1996). Method 3050B: Acid digestion of sediments, sludges, and soils (Revision 2). </w:t>
      </w:r>
      <w:hyperlink r:id="rId96" w:history="1">
        <w:r w:rsidRPr="00592893">
          <w:rPr>
            <w:rFonts w:ascii="Times New Roman" w:eastAsia="Times New Roman" w:hAnsi="Times New Roman" w:cs="Times New Roman"/>
            <w:color w:val="0000FF"/>
            <w:sz w:val="24"/>
            <w:szCs w:val="24"/>
            <w:u w:val="single"/>
          </w:rPr>
          <w:t>https://www.epa.gov/sites/default/files/2015-06/documents/epa-3050b.pdf</w:t>
        </w:r>
      </w:hyperlink>
    </w:p>
    <w:p w14:paraId="20B1AB23" w14:textId="77777777" w:rsidR="00592893" w:rsidRPr="00592893" w:rsidRDefault="00592893" w:rsidP="0059289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92893">
        <w:rPr>
          <w:rFonts w:ascii="Times New Roman" w:eastAsia="Times New Roman" w:hAnsi="Times New Roman" w:cs="Times New Roman"/>
          <w:sz w:val="24"/>
          <w:szCs w:val="24"/>
        </w:rPr>
        <w:t xml:space="preserve">United States Environmental Protection Agency. (2011). Regional screening levels for chemical contaminants at Superfund sites. </w:t>
      </w:r>
      <w:hyperlink r:id="rId97" w:history="1">
        <w:r w:rsidRPr="00592893">
          <w:rPr>
            <w:rFonts w:ascii="Times New Roman" w:eastAsia="Times New Roman" w:hAnsi="Times New Roman" w:cs="Times New Roman"/>
            <w:color w:val="0000FF"/>
            <w:sz w:val="24"/>
            <w:szCs w:val="24"/>
            <w:u w:val="single"/>
          </w:rPr>
          <w:t>https://19january2021snapshot.epa.gov/risk/regional-screening-levels-rsls-whats-new_.html</w:t>
        </w:r>
      </w:hyperlink>
    </w:p>
    <w:p w14:paraId="6C03887E" w14:textId="37A5EB38" w:rsidR="00CC0272" w:rsidRPr="00F92121" w:rsidRDefault="00CC0272" w:rsidP="00592893">
      <w:pPr>
        <w:spacing w:after="0" w:line="240" w:lineRule="auto"/>
        <w:ind w:left="720" w:hanging="720"/>
        <w:jc w:val="both"/>
        <w:rPr>
          <w:rFonts w:ascii="Times New Roman" w:hAnsi="Times New Roman" w:cs="Times New Roman"/>
          <w:sz w:val="20"/>
          <w:szCs w:val="20"/>
        </w:rPr>
      </w:pPr>
    </w:p>
    <w:sectPr w:rsidR="00CC0272" w:rsidRPr="00F92121" w:rsidSect="00305E66">
      <w:headerReference w:type="even" r:id="rId98"/>
      <w:headerReference w:type="default" r:id="rId99"/>
      <w:footerReference w:type="even" r:id="rId100"/>
      <w:footerReference w:type="default" r:id="rId101"/>
      <w:headerReference w:type="first" r:id="rId102"/>
      <w:footerReference w:type="first" r:id="rId103"/>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10A54" w14:textId="77777777" w:rsidR="00CA4A42" w:rsidRDefault="00CA4A42" w:rsidP="000D6614">
      <w:pPr>
        <w:spacing w:after="0" w:line="240" w:lineRule="auto"/>
      </w:pPr>
      <w:r>
        <w:separator/>
      </w:r>
    </w:p>
  </w:endnote>
  <w:endnote w:type="continuationSeparator" w:id="0">
    <w:p w14:paraId="652203D8" w14:textId="77777777" w:rsidR="00CA4A42" w:rsidRDefault="00CA4A42" w:rsidP="000D6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1517439"/>
      <w:docPartObj>
        <w:docPartGallery w:val="Page Numbers (Bottom of Page)"/>
        <w:docPartUnique/>
      </w:docPartObj>
    </w:sdtPr>
    <w:sdtContent>
      <w:p w14:paraId="08BFB14E" w14:textId="77777777" w:rsidR="00962781" w:rsidRDefault="00962781" w:rsidP="00602F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01B7C8" w14:textId="77777777" w:rsidR="00962781" w:rsidRDefault="009627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2849748"/>
      <w:docPartObj>
        <w:docPartGallery w:val="Page Numbers (Bottom of Page)"/>
        <w:docPartUnique/>
      </w:docPartObj>
    </w:sdtPr>
    <w:sdtContent>
      <w:p w14:paraId="06766806" w14:textId="77777777" w:rsidR="00962781" w:rsidRDefault="00962781" w:rsidP="00602F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EC30BE">
          <w:rPr>
            <w:rStyle w:val="PageNumber"/>
            <w:noProof/>
          </w:rPr>
          <w:t>21</w:t>
        </w:r>
        <w:r>
          <w:rPr>
            <w:rStyle w:val="PageNumber"/>
          </w:rPr>
          <w:fldChar w:fldCharType="end"/>
        </w:r>
      </w:p>
    </w:sdtContent>
  </w:sdt>
  <w:p w14:paraId="07815286" w14:textId="77777777" w:rsidR="00962781" w:rsidRDefault="009627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5B051" w14:textId="77777777" w:rsidR="00962781" w:rsidRDefault="00962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94FC5" w14:textId="77777777" w:rsidR="00CA4A42" w:rsidRDefault="00CA4A42" w:rsidP="000D6614">
      <w:pPr>
        <w:spacing w:after="0" w:line="240" w:lineRule="auto"/>
      </w:pPr>
      <w:r>
        <w:separator/>
      </w:r>
    </w:p>
  </w:footnote>
  <w:footnote w:type="continuationSeparator" w:id="0">
    <w:p w14:paraId="05514ADE" w14:textId="77777777" w:rsidR="00CA4A42" w:rsidRDefault="00CA4A42" w:rsidP="000D6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B6690" w14:textId="77777777" w:rsidR="00962781" w:rsidRDefault="00000000">
    <w:pPr>
      <w:pStyle w:val="Header"/>
    </w:pPr>
    <w:r>
      <w:rPr>
        <w:noProof/>
      </w:rPr>
      <w:pict w14:anchorId="03E31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757360" o:spid="_x0000_s1026" type="#_x0000_t136" style="position:absolute;margin-left:0;margin-top:0;width:572.75pt;height:107.3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BE0F" w14:textId="77777777" w:rsidR="00962781" w:rsidRDefault="00000000">
    <w:pPr>
      <w:pStyle w:val="Header"/>
    </w:pPr>
    <w:r>
      <w:rPr>
        <w:noProof/>
      </w:rPr>
      <w:pict w14:anchorId="33924A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757361" o:spid="_x0000_s1027" type="#_x0000_t136" style="position:absolute;margin-left:0;margin-top:0;width:572.75pt;height:107.3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B3DD" w14:textId="77777777" w:rsidR="00962781" w:rsidRDefault="00000000">
    <w:pPr>
      <w:pStyle w:val="Header"/>
    </w:pPr>
    <w:r>
      <w:rPr>
        <w:noProof/>
      </w:rPr>
      <w:pict w14:anchorId="358A20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757359" o:spid="_x0000_s1025" type="#_x0000_t136" style="position:absolute;margin-left:0;margin-top:0;width:572.75pt;height:107.3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5F98"/>
    <w:multiLevelType w:val="multilevel"/>
    <w:tmpl w:val="11CC4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13033"/>
    <w:multiLevelType w:val="hybridMultilevel"/>
    <w:tmpl w:val="89085D78"/>
    <w:lvl w:ilvl="0" w:tplc="54D8550C">
      <w:start w:val="1"/>
      <w:numFmt w:val="decimal"/>
      <w:lvlText w:val="%1."/>
      <w:lvlJc w:val="left"/>
      <w:pPr>
        <w:ind w:left="596" w:hanging="272"/>
      </w:pPr>
      <w:rPr>
        <w:rFonts w:ascii="Times New Roman" w:eastAsia="Times New Roman" w:hAnsi="Times New Roman" w:cs="Times New Roman" w:hint="default"/>
        <w:b w:val="0"/>
        <w:bCs w:val="0"/>
        <w:i w:val="0"/>
        <w:iCs w:val="0"/>
        <w:spacing w:val="-3"/>
        <w:w w:val="107"/>
        <w:sz w:val="16"/>
        <w:szCs w:val="16"/>
        <w:lang w:val="en-US" w:eastAsia="en-US" w:bidi="ar-SA"/>
      </w:rPr>
    </w:lvl>
    <w:lvl w:ilvl="1" w:tplc="1C6A8034">
      <w:numFmt w:val="bullet"/>
      <w:lvlText w:val=""/>
      <w:lvlJc w:val="left"/>
      <w:pPr>
        <w:ind w:left="1070" w:hanging="272"/>
      </w:pPr>
      <w:rPr>
        <w:rFonts w:ascii="Symbol" w:eastAsia="Symbol" w:hAnsi="Symbol" w:cs="Symbol" w:hint="default"/>
        <w:b w:val="0"/>
        <w:bCs w:val="0"/>
        <w:i w:val="0"/>
        <w:iCs w:val="0"/>
        <w:spacing w:val="0"/>
        <w:w w:val="100"/>
        <w:sz w:val="16"/>
        <w:szCs w:val="16"/>
        <w:lang w:val="en-US" w:eastAsia="en-US" w:bidi="ar-SA"/>
      </w:rPr>
    </w:lvl>
    <w:lvl w:ilvl="2" w:tplc="E222E7D2">
      <w:numFmt w:val="bullet"/>
      <w:lvlText w:val="•"/>
      <w:lvlJc w:val="left"/>
      <w:pPr>
        <w:ind w:left="951" w:hanging="272"/>
      </w:pPr>
      <w:rPr>
        <w:rFonts w:hint="default"/>
        <w:lang w:val="en-US" w:eastAsia="en-US" w:bidi="ar-SA"/>
      </w:rPr>
    </w:lvl>
    <w:lvl w:ilvl="3" w:tplc="E3F236C0">
      <w:numFmt w:val="bullet"/>
      <w:lvlText w:val="•"/>
      <w:lvlJc w:val="left"/>
      <w:pPr>
        <w:ind w:left="822" w:hanging="272"/>
      </w:pPr>
      <w:rPr>
        <w:rFonts w:hint="default"/>
        <w:lang w:val="en-US" w:eastAsia="en-US" w:bidi="ar-SA"/>
      </w:rPr>
    </w:lvl>
    <w:lvl w:ilvl="4" w:tplc="DCAC5220">
      <w:numFmt w:val="bullet"/>
      <w:lvlText w:val="•"/>
      <w:lvlJc w:val="left"/>
      <w:pPr>
        <w:ind w:left="694" w:hanging="272"/>
      </w:pPr>
      <w:rPr>
        <w:rFonts w:hint="default"/>
        <w:lang w:val="en-US" w:eastAsia="en-US" w:bidi="ar-SA"/>
      </w:rPr>
    </w:lvl>
    <w:lvl w:ilvl="5" w:tplc="0928973A">
      <w:numFmt w:val="bullet"/>
      <w:lvlText w:val="•"/>
      <w:lvlJc w:val="left"/>
      <w:pPr>
        <w:ind w:left="565" w:hanging="272"/>
      </w:pPr>
      <w:rPr>
        <w:rFonts w:hint="default"/>
        <w:lang w:val="en-US" w:eastAsia="en-US" w:bidi="ar-SA"/>
      </w:rPr>
    </w:lvl>
    <w:lvl w:ilvl="6" w:tplc="0ABC53D0">
      <w:numFmt w:val="bullet"/>
      <w:lvlText w:val="•"/>
      <w:lvlJc w:val="left"/>
      <w:pPr>
        <w:ind w:left="436" w:hanging="272"/>
      </w:pPr>
      <w:rPr>
        <w:rFonts w:hint="default"/>
        <w:lang w:val="en-US" w:eastAsia="en-US" w:bidi="ar-SA"/>
      </w:rPr>
    </w:lvl>
    <w:lvl w:ilvl="7" w:tplc="D7D21368">
      <w:numFmt w:val="bullet"/>
      <w:lvlText w:val="•"/>
      <w:lvlJc w:val="left"/>
      <w:pPr>
        <w:ind w:left="308" w:hanging="272"/>
      </w:pPr>
      <w:rPr>
        <w:rFonts w:hint="default"/>
        <w:lang w:val="en-US" w:eastAsia="en-US" w:bidi="ar-SA"/>
      </w:rPr>
    </w:lvl>
    <w:lvl w:ilvl="8" w:tplc="BF68722A">
      <w:numFmt w:val="bullet"/>
      <w:lvlText w:val="•"/>
      <w:lvlJc w:val="left"/>
      <w:pPr>
        <w:ind w:left="179" w:hanging="272"/>
      </w:pPr>
      <w:rPr>
        <w:rFonts w:hint="default"/>
        <w:lang w:val="en-US" w:eastAsia="en-US" w:bidi="ar-SA"/>
      </w:rPr>
    </w:lvl>
  </w:abstractNum>
  <w:abstractNum w:abstractNumId="2" w15:restartNumberingAfterBreak="0">
    <w:nsid w:val="059B31C2"/>
    <w:multiLevelType w:val="multilevel"/>
    <w:tmpl w:val="2D14A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327BB7"/>
    <w:multiLevelType w:val="multilevel"/>
    <w:tmpl w:val="F13AFE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68089F"/>
    <w:multiLevelType w:val="multilevel"/>
    <w:tmpl w:val="DF789AA6"/>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 w15:restartNumberingAfterBreak="0">
    <w:nsid w:val="0D012218"/>
    <w:multiLevelType w:val="multilevel"/>
    <w:tmpl w:val="5DA8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D12848"/>
    <w:multiLevelType w:val="multilevel"/>
    <w:tmpl w:val="11D12848"/>
    <w:lvl w:ilvl="0">
      <w:start w:val="1"/>
      <w:numFmt w:val="lowerLetter"/>
      <w:lvlText w:val="%1."/>
      <w:lvlJc w:val="left"/>
      <w:pPr>
        <w:ind w:left="720" w:hanging="360"/>
      </w:pPr>
      <w:rPr>
        <w:rFonts w:hint="default"/>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E70F93"/>
    <w:multiLevelType w:val="multilevel"/>
    <w:tmpl w:val="14E70F93"/>
    <w:lvl w:ilvl="0">
      <w:start w:val="3"/>
      <w:numFmt w:val="lowerLetter"/>
      <w:lvlText w:val="%1."/>
      <w:lvlJc w:val="left"/>
      <w:pPr>
        <w:ind w:left="720" w:hanging="360"/>
      </w:pPr>
      <w:rPr>
        <w:rFonts w:hint="default"/>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C50070"/>
    <w:multiLevelType w:val="multilevel"/>
    <w:tmpl w:val="A3A816AC"/>
    <w:lvl w:ilvl="0">
      <w:start w:val="1"/>
      <w:numFmt w:val="decimal"/>
      <w:lvlText w:val="%1"/>
      <w:lvlJc w:val="left"/>
      <w:pPr>
        <w:ind w:left="413" w:hanging="254"/>
      </w:pPr>
      <w:rPr>
        <w:rFonts w:ascii="Tahoma" w:eastAsia="Tahoma" w:hAnsi="Tahoma" w:cs="Tahoma" w:hint="default"/>
        <w:b/>
        <w:bCs/>
        <w:w w:val="87"/>
        <w:sz w:val="24"/>
        <w:szCs w:val="24"/>
        <w:lang w:val="en-US" w:eastAsia="en-US" w:bidi="ar-SA"/>
      </w:rPr>
    </w:lvl>
    <w:lvl w:ilvl="1">
      <w:start w:val="1"/>
      <w:numFmt w:val="decimal"/>
      <w:lvlText w:val="%1.%2"/>
      <w:lvlJc w:val="left"/>
      <w:pPr>
        <w:ind w:left="552" w:hanging="393"/>
      </w:pPr>
      <w:rPr>
        <w:rFonts w:ascii="Arial" w:eastAsia="Arial" w:hAnsi="Arial" w:cs="Arial" w:hint="default"/>
        <w:b/>
        <w:bCs/>
        <w:w w:val="92"/>
        <w:sz w:val="22"/>
        <w:szCs w:val="22"/>
        <w:lang w:val="en-US" w:eastAsia="en-US" w:bidi="ar-SA"/>
      </w:rPr>
    </w:lvl>
    <w:lvl w:ilvl="2">
      <w:start w:val="1"/>
      <w:numFmt w:val="decimal"/>
      <w:lvlText w:val="%1.%2.%3"/>
      <w:lvlJc w:val="left"/>
      <w:pPr>
        <w:ind w:left="651" w:hanging="491"/>
      </w:pPr>
      <w:rPr>
        <w:rFonts w:ascii="Arial" w:eastAsia="Arial" w:hAnsi="Arial" w:cs="Arial" w:hint="default"/>
        <w:b/>
        <w:bCs/>
        <w:w w:val="87"/>
        <w:sz w:val="20"/>
        <w:szCs w:val="20"/>
        <w:lang w:val="en-US" w:eastAsia="en-US" w:bidi="ar-SA"/>
      </w:rPr>
    </w:lvl>
    <w:lvl w:ilvl="3">
      <w:start w:val="1"/>
      <w:numFmt w:val="decimal"/>
      <w:lvlText w:val="%1.%2.%3.%4"/>
      <w:lvlJc w:val="left"/>
      <w:pPr>
        <w:ind w:left="796" w:hanging="637"/>
      </w:pPr>
      <w:rPr>
        <w:rFonts w:ascii="Arial" w:eastAsia="Arial" w:hAnsi="Arial" w:cs="Arial" w:hint="default"/>
        <w:b/>
        <w:bCs/>
        <w:w w:val="87"/>
        <w:sz w:val="20"/>
        <w:szCs w:val="20"/>
        <w:lang w:val="en-US" w:eastAsia="en-US" w:bidi="ar-SA"/>
      </w:rPr>
    </w:lvl>
    <w:lvl w:ilvl="4">
      <w:numFmt w:val="bullet"/>
      <w:lvlText w:val="•"/>
      <w:lvlJc w:val="left"/>
      <w:pPr>
        <w:ind w:left="2135" w:hanging="637"/>
      </w:pPr>
      <w:rPr>
        <w:rFonts w:hint="default"/>
        <w:lang w:val="en-US" w:eastAsia="en-US" w:bidi="ar-SA"/>
      </w:rPr>
    </w:lvl>
    <w:lvl w:ilvl="5">
      <w:numFmt w:val="bullet"/>
      <w:lvlText w:val="•"/>
      <w:lvlJc w:val="left"/>
      <w:pPr>
        <w:ind w:left="3470" w:hanging="637"/>
      </w:pPr>
      <w:rPr>
        <w:rFonts w:hint="default"/>
        <w:lang w:val="en-US" w:eastAsia="en-US" w:bidi="ar-SA"/>
      </w:rPr>
    </w:lvl>
    <w:lvl w:ilvl="6">
      <w:numFmt w:val="bullet"/>
      <w:lvlText w:val="•"/>
      <w:lvlJc w:val="left"/>
      <w:pPr>
        <w:ind w:left="4805" w:hanging="637"/>
      </w:pPr>
      <w:rPr>
        <w:rFonts w:hint="default"/>
        <w:lang w:val="en-US" w:eastAsia="en-US" w:bidi="ar-SA"/>
      </w:rPr>
    </w:lvl>
    <w:lvl w:ilvl="7">
      <w:numFmt w:val="bullet"/>
      <w:lvlText w:val="•"/>
      <w:lvlJc w:val="left"/>
      <w:pPr>
        <w:ind w:left="6140" w:hanging="637"/>
      </w:pPr>
      <w:rPr>
        <w:rFonts w:hint="default"/>
        <w:lang w:val="en-US" w:eastAsia="en-US" w:bidi="ar-SA"/>
      </w:rPr>
    </w:lvl>
    <w:lvl w:ilvl="8">
      <w:numFmt w:val="bullet"/>
      <w:lvlText w:val="•"/>
      <w:lvlJc w:val="left"/>
      <w:pPr>
        <w:ind w:left="7475" w:hanging="637"/>
      </w:pPr>
      <w:rPr>
        <w:rFonts w:hint="default"/>
        <w:lang w:val="en-US" w:eastAsia="en-US" w:bidi="ar-SA"/>
      </w:rPr>
    </w:lvl>
  </w:abstractNum>
  <w:abstractNum w:abstractNumId="9" w15:restartNumberingAfterBreak="0">
    <w:nsid w:val="27D00FFE"/>
    <w:multiLevelType w:val="multilevel"/>
    <w:tmpl w:val="27D00FFE"/>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2B33F2"/>
    <w:multiLevelType w:val="multilevel"/>
    <w:tmpl w:val="1A9669C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07124D2"/>
    <w:multiLevelType w:val="multilevel"/>
    <w:tmpl w:val="307124D2"/>
    <w:lvl w:ilvl="0">
      <w:start w:val="1"/>
      <w:numFmt w:val="lowerLetter"/>
      <w:lvlText w:val="%1."/>
      <w:lvlJc w:val="left"/>
      <w:pPr>
        <w:ind w:left="720" w:hanging="360"/>
      </w:pPr>
      <w:rPr>
        <w:rFonts w:hint="default"/>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552B51"/>
    <w:multiLevelType w:val="multilevel"/>
    <w:tmpl w:val="F49A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7E1C09"/>
    <w:multiLevelType w:val="multilevel"/>
    <w:tmpl w:val="3B7E1C0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D6507D0"/>
    <w:multiLevelType w:val="multilevel"/>
    <w:tmpl w:val="B1766C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077988"/>
    <w:multiLevelType w:val="multilevel"/>
    <w:tmpl w:val="2D30F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A92908"/>
    <w:multiLevelType w:val="multilevel"/>
    <w:tmpl w:val="82B4C140"/>
    <w:lvl w:ilvl="0">
      <w:start w:val="3"/>
      <w:numFmt w:val="decimal"/>
      <w:lvlText w:val="%1"/>
      <w:lvlJc w:val="left"/>
      <w:pPr>
        <w:ind w:left="400" w:hanging="400"/>
      </w:pPr>
      <w:rPr>
        <w:rFonts w:hint="default"/>
      </w:rPr>
    </w:lvl>
    <w:lvl w:ilvl="1">
      <w:start w:val="3"/>
      <w:numFmt w:val="decimal"/>
      <w:lvlText w:val="%1.%2"/>
      <w:lvlJc w:val="left"/>
      <w:pPr>
        <w:ind w:left="400" w:hanging="4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A3213B7"/>
    <w:multiLevelType w:val="multilevel"/>
    <w:tmpl w:val="4A3213B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C036711"/>
    <w:multiLevelType w:val="multilevel"/>
    <w:tmpl w:val="94C031F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E8342B3"/>
    <w:multiLevelType w:val="multilevel"/>
    <w:tmpl w:val="1A128C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FE3B28"/>
    <w:multiLevelType w:val="multilevel"/>
    <w:tmpl w:val="3B988CBE"/>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9834C0"/>
    <w:multiLevelType w:val="hybridMultilevel"/>
    <w:tmpl w:val="F26CD1D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78233A"/>
    <w:multiLevelType w:val="multilevel"/>
    <w:tmpl w:val="6078233A"/>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3167A7"/>
    <w:multiLevelType w:val="multilevel"/>
    <w:tmpl w:val="613167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6145550E"/>
    <w:multiLevelType w:val="multilevel"/>
    <w:tmpl w:val="614555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64432281"/>
    <w:multiLevelType w:val="multilevel"/>
    <w:tmpl w:val="644322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664E797F"/>
    <w:multiLevelType w:val="multilevel"/>
    <w:tmpl w:val="B80C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FC42C4"/>
    <w:multiLevelType w:val="multilevel"/>
    <w:tmpl w:val="34422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BF02CE"/>
    <w:multiLevelType w:val="multilevel"/>
    <w:tmpl w:val="6DBF02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525364814">
    <w:abstractNumId w:val="12"/>
  </w:num>
  <w:num w:numId="2" w16cid:durableId="960452733">
    <w:abstractNumId w:val="3"/>
  </w:num>
  <w:num w:numId="3" w16cid:durableId="1185628310">
    <w:abstractNumId w:val="2"/>
  </w:num>
  <w:num w:numId="4" w16cid:durableId="1794597118">
    <w:abstractNumId w:val="15"/>
  </w:num>
  <w:num w:numId="5" w16cid:durableId="424767134">
    <w:abstractNumId w:val="14"/>
  </w:num>
  <w:num w:numId="6" w16cid:durableId="716590814">
    <w:abstractNumId w:val="27"/>
  </w:num>
  <w:num w:numId="7" w16cid:durableId="1817989247">
    <w:abstractNumId w:val="19"/>
  </w:num>
  <w:num w:numId="8" w16cid:durableId="1154907976">
    <w:abstractNumId w:val="0"/>
  </w:num>
  <w:num w:numId="9" w16cid:durableId="1252086232">
    <w:abstractNumId w:val="5"/>
  </w:num>
  <w:num w:numId="10" w16cid:durableId="318273046">
    <w:abstractNumId w:val="26"/>
  </w:num>
  <w:num w:numId="11" w16cid:durableId="1182008145">
    <w:abstractNumId w:val="20"/>
  </w:num>
  <w:num w:numId="12" w16cid:durableId="1997687774">
    <w:abstractNumId w:val="9"/>
  </w:num>
  <w:num w:numId="13" w16cid:durableId="1594438940">
    <w:abstractNumId w:val="22"/>
  </w:num>
  <w:num w:numId="14" w16cid:durableId="1744834879">
    <w:abstractNumId w:val="7"/>
  </w:num>
  <w:num w:numId="15" w16cid:durableId="1708748802">
    <w:abstractNumId w:val="6"/>
  </w:num>
  <w:num w:numId="16" w16cid:durableId="362943090">
    <w:abstractNumId w:val="11"/>
  </w:num>
  <w:num w:numId="17" w16cid:durableId="524945206">
    <w:abstractNumId w:val="24"/>
  </w:num>
  <w:num w:numId="18" w16cid:durableId="219875857">
    <w:abstractNumId w:val="28"/>
  </w:num>
  <w:num w:numId="19" w16cid:durableId="79639473">
    <w:abstractNumId w:val="25"/>
  </w:num>
  <w:num w:numId="20" w16cid:durableId="575673276">
    <w:abstractNumId w:val="23"/>
  </w:num>
  <w:num w:numId="21" w16cid:durableId="61146140">
    <w:abstractNumId w:val="17"/>
  </w:num>
  <w:num w:numId="22" w16cid:durableId="1179156019">
    <w:abstractNumId w:val="13"/>
  </w:num>
  <w:num w:numId="23" w16cid:durableId="1013997516">
    <w:abstractNumId w:val="4"/>
  </w:num>
  <w:num w:numId="24" w16cid:durableId="1324972898">
    <w:abstractNumId w:val="8"/>
  </w:num>
  <w:num w:numId="25" w16cid:durableId="1712806954">
    <w:abstractNumId w:val="10"/>
  </w:num>
  <w:num w:numId="26" w16cid:durableId="1179465771">
    <w:abstractNumId w:val="16"/>
  </w:num>
  <w:num w:numId="27" w16cid:durableId="1264799704">
    <w:abstractNumId w:val="21"/>
  </w:num>
  <w:num w:numId="28" w16cid:durableId="2065179468">
    <w:abstractNumId w:val="1"/>
  </w:num>
  <w:num w:numId="29" w16cid:durableId="9206498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E44"/>
    <w:rsid w:val="0000005A"/>
    <w:rsid w:val="00000239"/>
    <w:rsid w:val="000008A3"/>
    <w:rsid w:val="00000BAA"/>
    <w:rsid w:val="00001BD4"/>
    <w:rsid w:val="000026BC"/>
    <w:rsid w:val="000029EC"/>
    <w:rsid w:val="000032D2"/>
    <w:rsid w:val="00003866"/>
    <w:rsid w:val="00003953"/>
    <w:rsid w:val="00003DE8"/>
    <w:rsid w:val="00003F74"/>
    <w:rsid w:val="00004B61"/>
    <w:rsid w:val="00004DA4"/>
    <w:rsid w:val="00004DDD"/>
    <w:rsid w:val="0000501E"/>
    <w:rsid w:val="00005C89"/>
    <w:rsid w:val="0000616F"/>
    <w:rsid w:val="00006282"/>
    <w:rsid w:val="000068E5"/>
    <w:rsid w:val="00006F9D"/>
    <w:rsid w:val="00007281"/>
    <w:rsid w:val="0000765E"/>
    <w:rsid w:val="000104C6"/>
    <w:rsid w:val="000108AF"/>
    <w:rsid w:val="00012060"/>
    <w:rsid w:val="0001256F"/>
    <w:rsid w:val="000126F1"/>
    <w:rsid w:val="00012793"/>
    <w:rsid w:val="00013366"/>
    <w:rsid w:val="0001384E"/>
    <w:rsid w:val="000138E6"/>
    <w:rsid w:val="00013F4E"/>
    <w:rsid w:val="00014ACD"/>
    <w:rsid w:val="00015256"/>
    <w:rsid w:val="0001567B"/>
    <w:rsid w:val="0001578B"/>
    <w:rsid w:val="0001665F"/>
    <w:rsid w:val="000167FA"/>
    <w:rsid w:val="00016EA6"/>
    <w:rsid w:val="000172A1"/>
    <w:rsid w:val="000179F0"/>
    <w:rsid w:val="00020014"/>
    <w:rsid w:val="0002151D"/>
    <w:rsid w:val="00021552"/>
    <w:rsid w:val="000222B7"/>
    <w:rsid w:val="0002277A"/>
    <w:rsid w:val="000229F0"/>
    <w:rsid w:val="00022C7C"/>
    <w:rsid w:val="00023A42"/>
    <w:rsid w:val="00023D26"/>
    <w:rsid w:val="000240A2"/>
    <w:rsid w:val="00024148"/>
    <w:rsid w:val="0002447D"/>
    <w:rsid w:val="00024513"/>
    <w:rsid w:val="0002469F"/>
    <w:rsid w:val="00025596"/>
    <w:rsid w:val="0002570A"/>
    <w:rsid w:val="000259C4"/>
    <w:rsid w:val="00025BC7"/>
    <w:rsid w:val="000260A4"/>
    <w:rsid w:val="000261C8"/>
    <w:rsid w:val="00030368"/>
    <w:rsid w:val="000303CF"/>
    <w:rsid w:val="00030809"/>
    <w:rsid w:val="00030CA8"/>
    <w:rsid w:val="00031119"/>
    <w:rsid w:val="00031850"/>
    <w:rsid w:val="000324E3"/>
    <w:rsid w:val="00032580"/>
    <w:rsid w:val="00032685"/>
    <w:rsid w:val="00032CCC"/>
    <w:rsid w:val="00032E34"/>
    <w:rsid w:val="00033120"/>
    <w:rsid w:val="000331F1"/>
    <w:rsid w:val="0003320A"/>
    <w:rsid w:val="000332DC"/>
    <w:rsid w:val="00033346"/>
    <w:rsid w:val="00033C01"/>
    <w:rsid w:val="0003409A"/>
    <w:rsid w:val="000350C0"/>
    <w:rsid w:val="00035163"/>
    <w:rsid w:val="000351B0"/>
    <w:rsid w:val="00035D83"/>
    <w:rsid w:val="00035EBE"/>
    <w:rsid w:val="00035F23"/>
    <w:rsid w:val="000366F4"/>
    <w:rsid w:val="000375FE"/>
    <w:rsid w:val="00040FF0"/>
    <w:rsid w:val="00042295"/>
    <w:rsid w:val="00042304"/>
    <w:rsid w:val="00042922"/>
    <w:rsid w:val="00042C58"/>
    <w:rsid w:val="00042DA5"/>
    <w:rsid w:val="000430C8"/>
    <w:rsid w:val="0004399C"/>
    <w:rsid w:val="00043CAE"/>
    <w:rsid w:val="00044350"/>
    <w:rsid w:val="00044EF2"/>
    <w:rsid w:val="0004504E"/>
    <w:rsid w:val="00045155"/>
    <w:rsid w:val="00045A65"/>
    <w:rsid w:val="00046884"/>
    <w:rsid w:val="00047011"/>
    <w:rsid w:val="0004728F"/>
    <w:rsid w:val="00047E9C"/>
    <w:rsid w:val="0005025E"/>
    <w:rsid w:val="00050989"/>
    <w:rsid w:val="00050CC3"/>
    <w:rsid w:val="000516B2"/>
    <w:rsid w:val="000518BB"/>
    <w:rsid w:val="00051BCC"/>
    <w:rsid w:val="0005211B"/>
    <w:rsid w:val="00052A29"/>
    <w:rsid w:val="00052B67"/>
    <w:rsid w:val="00053134"/>
    <w:rsid w:val="00053402"/>
    <w:rsid w:val="0005343E"/>
    <w:rsid w:val="0005386D"/>
    <w:rsid w:val="000538F1"/>
    <w:rsid w:val="000541D7"/>
    <w:rsid w:val="000542F7"/>
    <w:rsid w:val="000558D4"/>
    <w:rsid w:val="000559CF"/>
    <w:rsid w:val="00056725"/>
    <w:rsid w:val="0005740D"/>
    <w:rsid w:val="000578AE"/>
    <w:rsid w:val="00060941"/>
    <w:rsid w:val="00060D79"/>
    <w:rsid w:val="0006110D"/>
    <w:rsid w:val="000615F3"/>
    <w:rsid w:val="0006166A"/>
    <w:rsid w:val="0006274B"/>
    <w:rsid w:val="000632C7"/>
    <w:rsid w:val="00063B3C"/>
    <w:rsid w:val="00064382"/>
    <w:rsid w:val="000658CD"/>
    <w:rsid w:val="00065BC2"/>
    <w:rsid w:val="00065DCA"/>
    <w:rsid w:val="00065FBB"/>
    <w:rsid w:val="0006621F"/>
    <w:rsid w:val="0006668C"/>
    <w:rsid w:val="00066845"/>
    <w:rsid w:val="00066CAB"/>
    <w:rsid w:val="000702F8"/>
    <w:rsid w:val="00070452"/>
    <w:rsid w:val="00070781"/>
    <w:rsid w:val="00070824"/>
    <w:rsid w:val="000722B9"/>
    <w:rsid w:val="00072638"/>
    <w:rsid w:val="00072C13"/>
    <w:rsid w:val="00072C35"/>
    <w:rsid w:val="000733D5"/>
    <w:rsid w:val="00073842"/>
    <w:rsid w:val="000739BB"/>
    <w:rsid w:val="00073E90"/>
    <w:rsid w:val="00073F29"/>
    <w:rsid w:val="00074674"/>
    <w:rsid w:val="00074A3E"/>
    <w:rsid w:val="00074B69"/>
    <w:rsid w:val="0007535C"/>
    <w:rsid w:val="00075436"/>
    <w:rsid w:val="00075AB1"/>
    <w:rsid w:val="0007635C"/>
    <w:rsid w:val="000771A3"/>
    <w:rsid w:val="000772C8"/>
    <w:rsid w:val="00077BF0"/>
    <w:rsid w:val="00077EB2"/>
    <w:rsid w:val="000800EA"/>
    <w:rsid w:val="00080156"/>
    <w:rsid w:val="0008019D"/>
    <w:rsid w:val="0008025B"/>
    <w:rsid w:val="00080921"/>
    <w:rsid w:val="000809FB"/>
    <w:rsid w:val="00081963"/>
    <w:rsid w:val="0008197F"/>
    <w:rsid w:val="00082D4F"/>
    <w:rsid w:val="00082E54"/>
    <w:rsid w:val="00082ED1"/>
    <w:rsid w:val="0008312F"/>
    <w:rsid w:val="0008354E"/>
    <w:rsid w:val="00083581"/>
    <w:rsid w:val="000837F6"/>
    <w:rsid w:val="000838DE"/>
    <w:rsid w:val="00083BE0"/>
    <w:rsid w:val="0008480C"/>
    <w:rsid w:val="00084AB5"/>
    <w:rsid w:val="00084AC7"/>
    <w:rsid w:val="00084BEE"/>
    <w:rsid w:val="00084C1A"/>
    <w:rsid w:val="000852D7"/>
    <w:rsid w:val="000853F3"/>
    <w:rsid w:val="000858E4"/>
    <w:rsid w:val="00086D7C"/>
    <w:rsid w:val="00087B41"/>
    <w:rsid w:val="0009001A"/>
    <w:rsid w:val="000902B4"/>
    <w:rsid w:val="00090A3E"/>
    <w:rsid w:val="00090D13"/>
    <w:rsid w:val="00090F8F"/>
    <w:rsid w:val="00091209"/>
    <w:rsid w:val="00091DB8"/>
    <w:rsid w:val="000923EC"/>
    <w:rsid w:val="000928AE"/>
    <w:rsid w:val="00092C57"/>
    <w:rsid w:val="00092D97"/>
    <w:rsid w:val="00093B3A"/>
    <w:rsid w:val="00094D62"/>
    <w:rsid w:val="0009564C"/>
    <w:rsid w:val="0009573B"/>
    <w:rsid w:val="000958BE"/>
    <w:rsid w:val="00095AFC"/>
    <w:rsid w:val="00095CF0"/>
    <w:rsid w:val="00095F7C"/>
    <w:rsid w:val="0009709B"/>
    <w:rsid w:val="00097587"/>
    <w:rsid w:val="000A03EA"/>
    <w:rsid w:val="000A18B4"/>
    <w:rsid w:val="000A18C9"/>
    <w:rsid w:val="000A1E0A"/>
    <w:rsid w:val="000A1F99"/>
    <w:rsid w:val="000A229A"/>
    <w:rsid w:val="000A22E6"/>
    <w:rsid w:val="000A24A8"/>
    <w:rsid w:val="000A333F"/>
    <w:rsid w:val="000A35CD"/>
    <w:rsid w:val="000A3723"/>
    <w:rsid w:val="000A422D"/>
    <w:rsid w:val="000A4691"/>
    <w:rsid w:val="000A4C39"/>
    <w:rsid w:val="000A4D0C"/>
    <w:rsid w:val="000A5264"/>
    <w:rsid w:val="000A5536"/>
    <w:rsid w:val="000A6B0A"/>
    <w:rsid w:val="000A70EE"/>
    <w:rsid w:val="000A7869"/>
    <w:rsid w:val="000A7B96"/>
    <w:rsid w:val="000B05BE"/>
    <w:rsid w:val="000B087F"/>
    <w:rsid w:val="000B0953"/>
    <w:rsid w:val="000B0B21"/>
    <w:rsid w:val="000B10EF"/>
    <w:rsid w:val="000B130E"/>
    <w:rsid w:val="000B1B94"/>
    <w:rsid w:val="000B1F47"/>
    <w:rsid w:val="000B2EFB"/>
    <w:rsid w:val="000B318C"/>
    <w:rsid w:val="000B3322"/>
    <w:rsid w:val="000B3FB0"/>
    <w:rsid w:val="000B475B"/>
    <w:rsid w:val="000B49E0"/>
    <w:rsid w:val="000B4A78"/>
    <w:rsid w:val="000B4D52"/>
    <w:rsid w:val="000B56EA"/>
    <w:rsid w:val="000B5DEB"/>
    <w:rsid w:val="000B6132"/>
    <w:rsid w:val="000B6377"/>
    <w:rsid w:val="000B6C96"/>
    <w:rsid w:val="000C0413"/>
    <w:rsid w:val="000C0BAA"/>
    <w:rsid w:val="000C1B92"/>
    <w:rsid w:val="000C1C55"/>
    <w:rsid w:val="000C20A7"/>
    <w:rsid w:val="000C28A8"/>
    <w:rsid w:val="000C2D01"/>
    <w:rsid w:val="000C2D54"/>
    <w:rsid w:val="000C3BA3"/>
    <w:rsid w:val="000C3DE2"/>
    <w:rsid w:val="000C4023"/>
    <w:rsid w:val="000C5521"/>
    <w:rsid w:val="000C6326"/>
    <w:rsid w:val="000C681A"/>
    <w:rsid w:val="000C70B4"/>
    <w:rsid w:val="000C78D0"/>
    <w:rsid w:val="000C7C58"/>
    <w:rsid w:val="000C7FB6"/>
    <w:rsid w:val="000D00E8"/>
    <w:rsid w:val="000D0FCC"/>
    <w:rsid w:val="000D11CE"/>
    <w:rsid w:val="000D206D"/>
    <w:rsid w:val="000D22D3"/>
    <w:rsid w:val="000D24B9"/>
    <w:rsid w:val="000D283F"/>
    <w:rsid w:val="000D3C3D"/>
    <w:rsid w:val="000D3DB5"/>
    <w:rsid w:val="000D3F2F"/>
    <w:rsid w:val="000D3FED"/>
    <w:rsid w:val="000D431E"/>
    <w:rsid w:val="000D4357"/>
    <w:rsid w:val="000D455B"/>
    <w:rsid w:val="000D4825"/>
    <w:rsid w:val="000D4A49"/>
    <w:rsid w:val="000D5608"/>
    <w:rsid w:val="000D581A"/>
    <w:rsid w:val="000D5908"/>
    <w:rsid w:val="000D5997"/>
    <w:rsid w:val="000D5DB6"/>
    <w:rsid w:val="000D6075"/>
    <w:rsid w:val="000D62F4"/>
    <w:rsid w:val="000D6614"/>
    <w:rsid w:val="000D7402"/>
    <w:rsid w:val="000E0CCF"/>
    <w:rsid w:val="000E0E46"/>
    <w:rsid w:val="000E1055"/>
    <w:rsid w:val="000E2584"/>
    <w:rsid w:val="000E2C0F"/>
    <w:rsid w:val="000E3480"/>
    <w:rsid w:val="000E4290"/>
    <w:rsid w:val="000E4362"/>
    <w:rsid w:val="000E452D"/>
    <w:rsid w:val="000E47D9"/>
    <w:rsid w:val="000E498A"/>
    <w:rsid w:val="000E570F"/>
    <w:rsid w:val="000E5943"/>
    <w:rsid w:val="000E59CD"/>
    <w:rsid w:val="000E5C67"/>
    <w:rsid w:val="000E5D4B"/>
    <w:rsid w:val="000E5F36"/>
    <w:rsid w:val="000E768D"/>
    <w:rsid w:val="000E7C4C"/>
    <w:rsid w:val="000F039D"/>
    <w:rsid w:val="000F0C81"/>
    <w:rsid w:val="000F0D41"/>
    <w:rsid w:val="000F1130"/>
    <w:rsid w:val="000F13F6"/>
    <w:rsid w:val="000F2E7E"/>
    <w:rsid w:val="000F32B5"/>
    <w:rsid w:val="000F34D0"/>
    <w:rsid w:val="000F3E03"/>
    <w:rsid w:val="000F3E59"/>
    <w:rsid w:val="000F412E"/>
    <w:rsid w:val="000F431F"/>
    <w:rsid w:val="000F451D"/>
    <w:rsid w:val="000F4EA8"/>
    <w:rsid w:val="000F5551"/>
    <w:rsid w:val="000F5ECF"/>
    <w:rsid w:val="000F6016"/>
    <w:rsid w:val="000F62CE"/>
    <w:rsid w:val="000F6F7F"/>
    <w:rsid w:val="000F7C1D"/>
    <w:rsid w:val="00100206"/>
    <w:rsid w:val="001003EF"/>
    <w:rsid w:val="00101200"/>
    <w:rsid w:val="001012B2"/>
    <w:rsid w:val="001014F6"/>
    <w:rsid w:val="00101D05"/>
    <w:rsid w:val="0010279E"/>
    <w:rsid w:val="00103687"/>
    <w:rsid w:val="00103B47"/>
    <w:rsid w:val="00104D52"/>
    <w:rsid w:val="001059E3"/>
    <w:rsid w:val="0010627E"/>
    <w:rsid w:val="00106CC3"/>
    <w:rsid w:val="00107413"/>
    <w:rsid w:val="001077B1"/>
    <w:rsid w:val="001103A6"/>
    <w:rsid w:val="001103C6"/>
    <w:rsid w:val="001112FB"/>
    <w:rsid w:val="00111CEA"/>
    <w:rsid w:val="00111FD3"/>
    <w:rsid w:val="00112199"/>
    <w:rsid w:val="0011253E"/>
    <w:rsid w:val="00112D87"/>
    <w:rsid w:val="001135BB"/>
    <w:rsid w:val="001135DA"/>
    <w:rsid w:val="0011399A"/>
    <w:rsid w:val="00113D7A"/>
    <w:rsid w:val="00113E03"/>
    <w:rsid w:val="001141E4"/>
    <w:rsid w:val="0011456A"/>
    <w:rsid w:val="00114B71"/>
    <w:rsid w:val="00114E51"/>
    <w:rsid w:val="00115FFB"/>
    <w:rsid w:val="00116912"/>
    <w:rsid w:val="00116B3D"/>
    <w:rsid w:val="00117420"/>
    <w:rsid w:val="00117A37"/>
    <w:rsid w:val="00117C12"/>
    <w:rsid w:val="0012039C"/>
    <w:rsid w:val="00120727"/>
    <w:rsid w:val="00120D84"/>
    <w:rsid w:val="0012168C"/>
    <w:rsid w:val="00122596"/>
    <w:rsid w:val="001225D0"/>
    <w:rsid w:val="00122799"/>
    <w:rsid w:val="001232B4"/>
    <w:rsid w:val="00123AD2"/>
    <w:rsid w:val="00123B25"/>
    <w:rsid w:val="00123CC3"/>
    <w:rsid w:val="00123D1B"/>
    <w:rsid w:val="00124500"/>
    <w:rsid w:val="001248F7"/>
    <w:rsid w:val="00124A27"/>
    <w:rsid w:val="00124E06"/>
    <w:rsid w:val="00125689"/>
    <w:rsid w:val="0012613E"/>
    <w:rsid w:val="001271FB"/>
    <w:rsid w:val="0013079A"/>
    <w:rsid w:val="00131699"/>
    <w:rsid w:val="0013192A"/>
    <w:rsid w:val="00131F40"/>
    <w:rsid w:val="0013284B"/>
    <w:rsid w:val="00133080"/>
    <w:rsid w:val="001334D7"/>
    <w:rsid w:val="00133EB8"/>
    <w:rsid w:val="001345F0"/>
    <w:rsid w:val="00134B0B"/>
    <w:rsid w:val="0013533F"/>
    <w:rsid w:val="0013595B"/>
    <w:rsid w:val="00135C59"/>
    <w:rsid w:val="001366B6"/>
    <w:rsid w:val="00136948"/>
    <w:rsid w:val="00136B46"/>
    <w:rsid w:val="00136EE5"/>
    <w:rsid w:val="00136F24"/>
    <w:rsid w:val="00137117"/>
    <w:rsid w:val="001375B7"/>
    <w:rsid w:val="00137DDF"/>
    <w:rsid w:val="00137DEB"/>
    <w:rsid w:val="00140637"/>
    <w:rsid w:val="00140B9A"/>
    <w:rsid w:val="00141392"/>
    <w:rsid w:val="00141642"/>
    <w:rsid w:val="0014284B"/>
    <w:rsid w:val="00142936"/>
    <w:rsid w:val="00142D70"/>
    <w:rsid w:val="0014350B"/>
    <w:rsid w:val="001435C2"/>
    <w:rsid w:val="00143B98"/>
    <w:rsid w:val="00143BE4"/>
    <w:rsid w:val="001440D9"/>
    <w:rsid w:val="0014441E"/>
    <w:rsid w:val="001448BD"/>
    <w:rsid w:val="00144AA3"/>
    <w:rsid w:val="00145B64"/>
    <w:rsid w:val="00145E0E"/>
    <w:rsid w:val="00145E83"/>
    <w:rsid w:val="001461E9"/>
    <w:rsid w:val="00146777"/>
    <w:rsid w:val="001467A3"/>
    <w:rsid w:val="00146996"/>
    <w:rsid w:val="00146E82"/>
    <w:rsid w:val="00147E56"/>
    <w:rsid w:val="0015042A"/>
    <w:rsid w:val="00150946"/>
    <w:rsid w:val="0015094E"/>
    <w:rsid w:val="00150FEA"/>
    <w:rsid w:val="0015115F"/>
    <w:rsid w:val="00152352"/>
    <w:rsid w:val="001526F4"/>
    <w:rsid w:val="001537F8"/>
    <w:rsid w:val="00153C49"/>
    <w:rsid w:val="001542C1"/>
    <w:rsid w:val="001543D0"/>
    <w:rsid w:val="00154411"/>
    <w:rsid w:val="00154818"/>
    <w:rsid w:val="00154C63"/>
    <w:rsid w:val="00155224"/>
    <w:rsid w:val="00155B2B"/>
    <w:rsid w:val="001564D0"/>
    <w:rsid w:val="00156818"/>
    <w:rsid w:val="00156BCF"/>
    <w:rsid w:val="0015708E"/>
    <w:rsid w:val="0015731D"/>
    <w:rsid w:val="00157A3A"/>
    <w:rsid w:val="001601E5"/>
    <w:rsid w:val="001604BE"/>
    <w:rsid w:val="001606AC"/>
    <w:rsid w:val="0016073A"/>
    <w:rsid w:val="00160F09"/>
    <w:rsid w:val="0016116F"/>
    <w:rsid w:val="00161343"/>
    <w:rsid w:val="001615F8"/>
    <w:rsid w:val="001621C5"/>
    <w:rsid w:val="001623C3"/>
    <w:rsid w:val="00162804"/>
    <w:rsid w:val="00162D26"/>
    <w:rsid w:val="00162D40"/>
    <w:rsid w:val="00162E76"/>
    <w:rsid w:val="00163D94"/>
    <w:rsid w:val="00164112"/>
    <w:rsid w:val="00164163"/>
    <w:rsid w:val="00164270"/>
    <w:rsid w:val="0016437C"/>
    <w:rsid w:val="001644C6"/>
    <w:rsid w:val="001645E6"/>
    <w:rsid w:val="001648A5"/>
    <w:rsid w:val="00164CC8"/>
    <w:rsid w:val="001652CD"/>
    <w:rsid w:val="00165963"/>
    <w:rsid w:val="0016673E"/>
    <w:rsid w:val="0016685D"/>
    <w:rsid w:val="00166A5F"/>
    <w:rsid w:val="0016709F"/>
    <w:rsid w:val="00167453"/>
    <w:rsid w:val="00167BBE"/>
    <w:rsid w:val="00167E3C"/>
    <w:rsid w:val="001706F6"/>
    <w:rsid w:val="0017088B"/>
    <w:rsid w:val="00170DC3"/>
    <w:rsid w:val="00171C73"/>
    <w:rsid w:val="00171F2C"/>
    <w:rsid w:val="00172231"/>
    <w:rsid w:val="00172740"/>
    <w:rsid w:val="00173877"/>
    <w:rsid w:val="00173EE2"/>
    <w:rsid w:val="001741A0"/>
    <w:rsid w:val="00174520"/>
    <w:rsid w:val="00174F49"/>
    <w:rsid w:val="00175062"/>
    <w:rsid w:val="00175522"/>
    <w:rsid w:val="00175F3B"/>
    <w:rsid w:val="00176E03"/>
    <w:rsid w:val="00177023"/>
    <w:rsid w:val="001775EF"/>
    <w:rsid w:val="00177606"/>
    <w:rsid w:val="00180159"/>
    <w:rsid w:val="0018057D"/>
    <w:rsid w:val="00180623"/>
    <w:rsid w:val="001806BD"/>
    <w:rsid w:val="00180B1D"/>
    <w:rsid w:val="00182770"/>
    <w:rsid w:val="001832A5"/>
    <w:rsid w:val="001839C7"/>
    <w:rsid w:val="00184AF0"/>
    <w:rsid w:val="00184EE9"/>
    <w:rsid w:val="00185683"/>
    <w:rsid w:val="00185BEE"/>
    <w:rsid w:val="001862FB"/>
    <w:rsid w:val="00186BB8"/>
    <w:rsid w:val="001871F4"/>
    <w:rsid w:val="00187842"/>
    <w:rsid w:val="0019043D"/>
    <w:rsid w:val="00190B93"/>
    <w:rsid w:val="00190CF0"/>
    <w:rsid w:val="00191285"/>
    <w:rsid w:val="00191546"/>
    <w:rsid w:val="001919FF"/>
    <w:rsid w:val="001934FD"/>
    <w:rsid w:val="001937A7"/>
    <w:rsid w:val="00193EA1"/>
    <w:rsid w:val="001944EB"/>
    <w:rsid w:val="0019489F"/>
    <w:rsid w:val="00194EE6"/>
    <w:rsid w:val="001955F4"/>
    <w:rsid w:val="00196497"/>
    <w:rsid w:val="00196548"/>
    <w:rsid w:val="001965E2"/>
    <w:rsid w:val="00196C71"/>
    <w:rsid w:val="00197473"/>
    <w:rsid w:val="001974DA"/>
    <w:rsid w:val="00197CCB"/>
    <w:rsid w:val="001A03CE"/>
    <w:rsid w:val="001A12E6"/>
    <w:rsid w:val="001A14B9"/>
    <w:rsid w:val="001A1790"/>
    <w:rsid w:val="001A1797"/>
    <w:rsid w:val="001A1C0D"/>
    <w:rsid w:val="001A1F5A"/>
    <w:rsid w:val="001A2108"/>
    <w:rsid w:val="001A29D7"/>
    <w:rsid w:val="001A30E0"/>
    <w:rsid w:val="001A3B49"/>
    <w:rsid w:val="001A3C4C"/>
    <w:rsid w:val="001A4217"/>
    <w:rsid w:val="001A4883"/>
    <w:rsid w:val="001A4DA3"/>
    <w:rsid w:val="001A5456"/>
    <w:rsid w:val="001A757D"/>
    <w:rsid w:val="001A7DA1"/>
    <w:rsid w:val="001B0D09"/>
    <w:rsid w:val="001B1978"/>
    <w:rsid w:val="001B2EB6"/>
    <w:rsid w:val="001B31B5"/>
    <w:rsid w:val="001B3814"/>
    <w:rsid w:val="001B4320"/>
    <w:rsid w:val="001B4975"/>
    <w:rsid w:val="001B4A2E"/>
    <w:rsid w:val="001B5592"/>
    <w:rsid w:val="001B6565"/>
    <w:rsid w:val="001B6ACB"/>
    <w:rsid w:val="001B6CE8"/>
    <w:rsid w:val="001B7E17"/>
    <w:rsid w:val="001C0185"/>
    <w:rsid w:val="001C0201"/>
    <w:rsid w:val="001C0522"/>
    <w:rsid w:val="001C0533"/>
    <w:rsid w:val="001C081F"/>
    <w:rsid w:val="001C124F"/>
    <w:rsid w:val="001C1E76"/>
    <w:rsid w:val="001C21B4"/>
    <w:rsid w:val="001C2697"/>
    <w:rsid w:val="001C2EE6"/>
    <w:rsid w:val="001C2FC0"/>
    <w:rsid w:val="001C32B7"/>
    <w:rsid w:val="001C35A4"/>
    <w:rsid w:val="001C361B"/>
    <w:rsid w:val="001C4162"/>
    <w:rsid w:val="001C4410"/>
    <w:rsid w:val="001C45E2"/>
    <w:rsid w:val="001C4996"/>
    <w:rsid w:val="001C4FE9"/>
    <w:rsid w:val="001C5D6F"/>
    <w:rsid w:val="001C60B0"/>
    <w:rsid w:val="001C69BF"/>
    <w:rsid w:val="001C7E4D"/>
    <w:rsid w:val="001D0AA5"/>
    <w:rsid w:val="001D0BBD"/>
    <w:rsid w:val="001D1573"/>
    <w:rsid w:val="001D20F1"/>
    <w:rsid w:val="001D2448"/>
    <w:rsid w:val="001D2576"/>
    <w:rsid w:val="001D31D6"/>
    <w:rsid w:val="001D3891"/>
    <w:rsid w:val="001D3B76"/>
    <w:rsid w:val="001D4442"/>
    <w:rsid w:val="001D4772"/>
    <w:rsid w:val="001D491D"/>
    <w:rsid w:val="001D4993"/>
    <w:rsid w:val="001D4ACA"/>
    <w:rsid w:val="001D4C80"/>
    <w:rsid w:val="001D4CAA"/>
    <w:rsid w:val="001D5541"/>
    <w:rsid w:val="001D5557"/>
    <w:rsid w:val="001D5EA5"/>
    <w:rsid w:val="001D5F8F"/>
    <w:rsid w:val="001D611B"/>
    <w:rsid w:val="001D6501"/>
    <w:rsid w:val="001D6756"/>
    <w:rsid w:val="001D6993"/>
    <w:rsid w:val="001D6F01"/>
    <w:rsid w:val="001D7108"/>
    <w:rsid w:val="001D7CCE"/>
    <w:rsid w:val="001E0003"/>
    <w:rsid w:val="001E0066"/>
    <w:rsid w:val="001E0A21"/>
    <w:rsid w:val="001E101B"/>
    <w:rsid w:val="001E13BC"/>
    <w:rsid w:val="001E19C5"/>
    <w:rsid w:val="001E1DA5"/>
    <w:rsid w:val="001E221C"/>
    <w:rsid w:val="001E250C"/>
    <w:rsid w:val="001E3435"/>
    <w:rsid w:val="001E378A"/>
    <w:rsid w:val="001E38FC"/>
    <w:rsid w:val="001E3973"/>
    <w:rsid w:val="001E3EF9"/>
    <w:rsid w:val="001E405D"/>
    <w:rsid w:val="001E451C"/>
    <w:rsid w:val="001E4A0D"/>
    <w:rsid w:val="001E4A32"/>
    <w:rsid w:val="001E4BD6"/>
    <w:rsid w:val="001E4CA9"/>
    <w:rsid w:val="001E61BA"/>
    <w:rsid w:val="001E68ED"/>
    <w:rsid w:val="001E7252"/>
    <w:rsid w:val="001E7814"/>
    <w:rsid w:val="001F0338"/>
    <w:rsid w:val="001F05AC"/>
    <w:rsid w:val="001F0E9A"/>
    <w:rsid w:val="001F0FB5"/>
    <w:rsid w:val="001F16EB"/>
    <w:rsid w:val="001F1743"/>
    <w:rsid w:val="001F19CF"/>
    <w:rsid w:val="001F1B0F"/>
    <w:rsid w:val="001F2473"/>
    <w:rsid w:val="001F2869"/>
    <w:rsid w:val="001F2934"/>
    <w:rsid w:val="001F2ABA"/>
    <w:rsid w:val="001F2B7E"/>
    <w:rsid w:val="001F337F"/>
    <w:rsid w:val="001F4775"/>
    <w:rsid w:val="001F49C2"/>
    <w:rsid w:val="001F4E84"/>
    <w:rsid w:val="001F572B"/>
    <w:rsid w:val="001F5F3A"/>
    <w:rsid w:val="001F6118"/>
    <w:rsid w:val="001F615E"/>
    <w:rsid w:val="001F67A6"/>
    <w:rsid w:val="001F6933"/>
    <w:rsid w:val="001F6D17"/>
    <w:rsid w:val="001F6E7D"/>
    <w:rsid w:val="001F6F2B"/>
    <w:rsid w:val="001F6FDF"/>
    <w:rsid w:val="001F7365"/>
    <w:rsid w:val="0020005E"/>
    <w:rsid w:val="00201E97"/>
    <w:rsid w:val="00202B31"/>
    <w:rsid w:val="00203054"/>
    <w:rsid w:val="00203B84"/>
    <w:rsid w:val="00203E1A"/>
    <w:rsid w:val="00203E38"/>
    <w:rsid w:val="0020401D"/>
    <w:rsid w:val="00204A09"/>
    <w:rsid w:val="00205188"/>
    <w:rsid w:val="00205237"/>
    <w:rsid w:val="002053B4"/>
    <w:rsid w:val="00205CCF"/>
    <w:rsid w:val="002063F3"/>
    <w:rsid w:val="0020652F"/>
    <w:rsid w:val="00206B2A"/>
    <w:rsid w:val="00206D0A"/>
    <w:rsid w:val="00206F16"/>
    <w:rsid w:val="00207664"/>
    <w:rsid w:val="00207CA9"/>
    <w:rsid w:val="002101B8"/>
    <w:rsid w:val="00210CD8"/>
    <w:rsid w:val="0021110E"/>
    <w:rsid w:val="0021126F"/>
    <w:rsid w:val="0021133A"/>
    <w:rsid w:val="00211683"/>
    <w:rsid w:val="002116F4"/>
    <w:rsid w:val="00211820"/>
    <w:rsid w:val="00211A60"/>
    <w:rsid w:val="00211DDE"/>
    <w:rsid w:val="00213F71"/>
    <w:rsid w:val="0021692F"/>
    <w:rsid w:val="00217BA3"/>
    <w:rsid w:val="00217CB8"/>
    <w:rsid w:val="00217F3E"/>
    <w:rsid w:val="0022019F"/>
    <w:rsid w:val="002207BF"/>
    <w:rsid w:val="002211B6"/>
    <w:rsid w:val="002212FF"/>
    <w:rsid w:val="002216A2"/>
    <w:rsid w:val="00221FA5"/>
    <w:rsid w:val="00222702"/>
    <w:rsid w:val="002241B6"/>
    <w:rsid w:val="002249B0"/>
    <w:rsid w:val="00224EC1"/>
    <w:rsid w:val="0022523A"/>
    <w:rsid w:val="0022538B"/>
    <w:rsid w:val="002253BB"/>
    <w:rsid w:val="00225BA0"/>
    <w:rsid w:val="0022664E"/>
    <w:rsid w:val="002268A9"/>
    <w:rsid w:val="00227AF1"/>
    <w:rsid w:val="00230A4C"/>
    <w:rsid w:val="00230AC8"/>
    <w:rsid w:val="0023116E"/>
    <w:rsid w:val="0023136D"/>
    <w:rsid w:val="0023256B"/>
    <w:rsid w:val="002333C8"/>
    <w:rsid w:val="00233CA3"/>
    <w:rsid w:val="00234057"/>
    <w:rsid w:val="00234657"/>
    <w:rsid w:val="00235C70"/>
    <w:rsid w:val="00235CC1"/>
    <w:rsid w:val="00235D7B"/>
    <w:rsid w:val="00236929"/>
    <w:rsid w:val="00236BEC"/>
    <w:rsid w:val="00237146"/>
    <w:rsid w:val="00237670"/>
    <w:rsid w:val="00237F26"/>
    <w:rsid w:val="0024009A"/>
    <w:rsid w:val="00240101"/>
    <w:rsid w:val="0024079B"/>
    <w:rsid w:val="00240F36"/>
    <w:rsid w:val="00241283"/>
    <w:rsid w:val="002412C9"/>
    <w:rsid w:val="00241B03"/>
    <w:rsid w:val="00241DE0"/>
    <w:rsid w:val="00242264"/>
    <w:rsid w:val="002422E2"/>
    <w:rsid w:val="002424DE"/>
    <w:rsid w:val="00242E14"/>
    <w:rsid w:val="00242E79"/>
    <w:rsid w:val="002431F7"/>
    <w:rsid w:val="002435E0"/>
    <w:rsid w:val="002439DB"/>
    <w:rsid w:val="002441A2"/>
    <w:rsid w:val="002444E6"/>
    <w:rsid w:val="00244C62"/>
    <w:rsid w:val="00244E6A"/>
    <w:rsid w:val="00246674"/>
    <w:rsid w:val="00246999"/>
    <w:rsid w:val="00246AA4"/>
    <w:rsid w:val="00247140"/>
    <w:rsid w:val="00247748"/>
    <w:rsid w:val="00247C85"/>
    <w:rsid w:val="00250F1E"/>
    <w:rsid w:val="00251128"/>
    <w:rsid w:val="002511EB"/>
    <w:rsid w:val="00251368"/>
    <w:rsid w:val="002526A5"/>
    <w:rsid w:val="00252B82"/>
    <w:rsid w:val="002530C7"/>
    <w:rsid w:val="00253EE4"/>
    <w:rsid w:val="00254801"/>
    <w:rsid w:val="00254CB7"/>
    <w:rsid w:val="00254D4D"/>
    <w:rsid w:val="00255E46"/>
    <w:rsid w:val="002568FB"/>
    <w:rsid w:val="00256BCB"/>
    <w:rsid w:val="002571F4"/>
    <w:rsid w:val="00257655"/>
    <w:rsid w:val="002578D8"/>
    <w:rsid w:val="00257CC5"/>
    <w:rsid w:val="002607AD"/>
    <w:rsid w:val="00260D88"/>
    <w:rsid w:val="0026168E"/>
    <w:rsid w:val="002616A8"/>
    <w:rsid w:val="00261A57"/>
    <w:rsid w:val="00261C81"/>
    <w:rsid w:val="00261F34"/>
    <w:rsid w:val="00262B34"/>
    <w:rsid w:val="00262C28"/>
    <w:rsid w:val="00263BE0"/>
    <w:rsid w:val="00263CA2"/>
    <w:rsid w:val="00263DAF"/>
    <w:rsid w:val="00264368"/>
    <w:rsid w:val="00264B22"/>
    <w:rsid w:val="00265088"/>
    <w:rsid w:val="00266AC5"/>
    <w:rsid w:val="00267735"/>
    <w:rsid w:val="00267C39"/>
    <w:rsid w:val="00270314"/>
    <w:rsid w:val="00270F30"/>
    <w:rsid w:val="00271C1F"/>
    <w:rsid w:val="002735CF"/>
    <w:rsid w:val="00273A5D"/>
    <w:rsid w:val="0027442E"/>
    <w:rsid w:val="00274772"/>
    <w:rsid w:val="002749F2"/>
    <w:rsid w:val="00274A81"/>
    <w:rsid w:val="00275580"/>
    <w:rsid w:val="0027563F"/>
    <w:rsid w:val="00277805"/>
    <w:rsid w:val="00277C25"/>
    <w:rsid w:val="00277CF0"/>
    <w:rsid w:val="00277EA9"/>
    <w:rsid w:val="00280EB2"/>
    <w:rsid w:val="002810C1"/>
    <w:rsid w:val="002817F2"/>
    <w:rsid w:val="00281FFD"/>
    <w:rsid w:val="00284269"/>
    <w:rsid w:val="002843EA"/>
    <w:rsid w:val="0028564B"/>
    <w:rsid w:val="002857FB"/>
    <w:rsid w:val="00285B05"/>
    <w:rsid w:val="0028605A"/>
    <w:rsid w:val="0028637F"/>
    <w:rsid w:val="00286C3D"/>
    <w:rsid w:val="0028713C"/>
    <w:rsid w:val="00287BFE"/>
    <w:rsid w:val="00287C52"/>
    <w:rsid w:val="00287EEA"/>
    <w:rsid w:val="00287F01"/>
    <w:rsid w:val="002905E3"/>
    <w:rsid w:val="00290A6D"/>
    <w:rsid w:val="00290C27"/>
    <w:rsid w:val="002914D8"/>
    <w:rsid w:val="002915A8"/>
    <w:rsid w:val="0029188D"/>
    <w:rsid w:val="00291FAA"/>
    <w:rsid w:val="0029315B"/>
    <w:rsid w:val="002931B0"/>
    <w:rsid w:val="00293380"/>
    <w:rsid w:val="00293B8C"/>
    <w:rsid w:val="00293E2A"/>
    <w:rsid w:val="0029448F"/>
    <w:rsid w:val="0029544C"/>
    <w:rsid w:val="00295A85"/>
    <w:rsid w:val="00296223"/>
    <w:rsid w:val="002963F0"/>
    <w:rsid w:val="00296520"/>
    <w:rsid w:val="002A05F4"/>
    <w:rsid w:val="002A0690"/>
    <w:rsid w:val="002A1344"/>
    <w:rsid w:val="002A1D03"/>
    <w:rsid w:val="002A22A8"/>
    <w:rsid w:val="002A29FE"/>
    <w:rsid w:val="002A3A2C"/>
    <w:rsid w:val="002A430D"/>
    <w:rsid w:val="002A431C"/>
    <w:rsid w:val="002A4422"/>
    <w:rsid w:val="002A4853"/>
    <w:rsid w:val="002A5B15"/>
    <w:rsid w:val="002A5E42"/>
    <w:rsid w:val="002A5F06"/>
    <w:rsid w:val="002A623F"/>
    <w:rsid w:val="002A67D0"/>
    <w:rsid w:val="002A685D"/>
    <w:rsid w:val="002A68CA"/>
    <w:rsid w:val="002A6E5A"/>
    <w:rsid w:val="002A729A"/>
    <w:rsid w:val="002A7476"/>
    <w:rsid w:val="002A74A1"/>
    <w:rsid w:val="002A7539"/>
    <w:rsid w:val="002A75AB"/>
    <w:rsid w:val="002A7E65"/>
    <w:rsid w:val="002B0B27"/>
    <w:rsid w:val="002B0E60"/>
    <w:rsid w:val="002B273B"/>
    <w:rsid w:val="002B2AA7"/>
    <w:rsid w:val="002B4795"/>
    <w:rsid w:val="002B496A"/>
    <w:rsid w:val="002B4DA1"/>
    <w:rsid w:val="002B4DDE"/>
    <w:rsid w:val="002B4F5C"/>
    <w:rsid w:val="002B4F6C"/>
    <w:rsid w:val="002B5686"/>
    <w:rsid w:val="002B6D94"/>
    <w:rsid w:val="002C00DA"/>
    <w:rsid w:val="002C0455"/>
    <w:rsid w:val="002C092D"/>
    <w:rsid w:val="002C19FD"/>
    <w:rsid w:val="002C2611"/>
    <w:rsid w:val="002C2813"/>
    <w:rsid w:val="002C28CC"/>
    <w:rsid w:val="002C29BD"/>
    <w:rsid w:val="002C2BB3"/>
    <w:rsid w:val="002C2C8D"/>
    <w:rsid w:val="002C3332"/>
    <w:rsid w:val="002C50ED"/>
    <w:rsid w:val="002C517E"/>
    <w:rsid w:val="002C5435"/>
    <w:rsid w:val="002C571B"/>
    <w:rsid w:val="002C5B44"/>
    <w:rsid w:val="002C6E57"/>
    <w:rsid w:val="002C7164"/>
    <w:rsid w:val="002C7473"/>
    <w:rsid w:val="002C79A5"/>
    <w:rsid w:val="002C7C93"/>
    <w:rsid w:val="002C7ED4"/>
    <w:rsid w:val="002D02BB"/>
    <w:rsid w:val="002D07C4"/>
    <w:rsid w:val="002D0BFF"/>
    <w:rsid w:val="002D0EAF"/>
    <w:rsid w:val="002D1CFE"/>
    <w:rsid w:val="002D3936"/>
    <w:rsid w:val="002D4023"/>
    <w:rsid w:val="002D4584"/>
    <w:rsid w:val="002D4E96"/>
    <w:rsid w:val="002D5760"/>
    <w:rsid w:val="002D5ED4"/>
    <w:rsid w:val="002D647A"/>
    <w:rsid w:val="002D64B7"/>
    <w:rsid w:val="002D727C"/>
    <w:rsid w:val="002E0731"/>
    <w:rsid w:val="002E075D"/>
    <w:rsid w:val="002E1893"/>
    <w:rsid w:val="002E1F13"/>
    <w:rsid w:val="002E244B"/>
    <w:rsid w:val="002E3492"/>
    <w:rsid w:val="002E355D"/>
    <w:rsid w:val="002E399C"/>
    <w:rsid w:val="002E3D3B"/>
    <w:rsid w:val="002E45CB"/>
    <w:rsid w:val="002E4AA7"/>
    <w:rsid w:val="002E4B2C"/>
    <w:rsid w:val="002E4C7C"/>
    <w:rsid w:val="002E4C9F"/>
    <w:rsid w:val="002E4DE5"/>
    <w:rsid w:val="002E4E1B"/>
    <w:rsid w:val="002E5028"/>
    <w:rsid w:val="002E5A4A"/>
    <w:rsid w:val="002E5C5A"/>
    <w:rsid w:val="002E60A3"/>
    <w:rsid w:val="002E6259"/>
    <w:rsid w:val="002E65D4"/>
    <w:rsid w:val="002E6A6D"/>
    <w:rsid w:val="002E6CEC"/>
    <w:rsid w:val="002E6F04"/>
    <w:rsid w:val="002E7002"/>
    <w:rsid w:val="002E747C"/>
    <w:rsid w:val="002E7569"/>
    <w:rsid w:val="002E764D"/>
    <w:rsid w:val="002F00B2"/>
    <w:rsid w:val="002F0D81"/>
    <w:rsid w:val="002F0E72"/>
    <w:rsid w:val="002F10AA"/>
    <w:rsid w:val="002F14C5"/>
    <w:rsid w:val="002F1619"/>
    <w:rsid w:val="002F1CA5"/>
    <w:rsid w:val="002F1DC4"/>
    <w:rsid w:val="002F3045"/>
    <w:rsid w:val="002F36C0"/>
    <w:rsid w:val="002F372C"/>
    <w:rsid w:val="002F3A0C"/>
    <w:rsid w:val="002F3CAB"/>
    <w:rsid w:val="002F405E"/>
    <w:rsid w:val="002F40ED"/>
    <w:rsid w:val="002F46DE"/>
    <w:rsid w:val="002F595C"/>
    <w:rsid w:val="002F5B89"/>
    <w:rsid w:val="002F5D57"/>
    <w:rsid w:val="002F6103"/>
    <w:rsid w:val="002F6619"/>
    <w:rsid w:val="002F6A16"/>
    <w:rsid w:val="002F6B85"/>
    <w:rsid w:val="002F6E7E"/>
    <w:rsid w:val="002F7A43"/>
    <w:rsid w:val="002F7E97"/>
    <w:rsid w:val="00300168"/>
    <w:rsid w:val="00300BC1"/>
    <w:rsid w:val="00300D80"/>
    <w:rsid w:val="0030299D"/>
    <w:rsid w:val="003032C1"/>
    <w:rsid w:val="003040A9"/>
    <w:rsid w:val="00304310"/>
    <w:rsid w:val="0030449D"/>
    <w:rsid w:val="00304AEF"/>
    <w:rsid w:val="00304C07"/>
    <w:rsid w:val="00305141"/>
    <w:rsid w:val="00305BA2"/>
    <w:rsid w:val="00305E66"/>
    <w:rsid w:val="00306040"/>
    <w:rsid w:val="00306092"/>
    <w:rsid w:val="003065AD"/>
    <w:rsid w:val="003067BF"/>
    <w:rsid w:val="00306AB5"/>
    <w:rsid w:val="00306B09"/>
    <w:rsid w:val="00306E65"/>
    <w:rsid w:val="00306EC5"/>
    <w:rsid w:val="0030723F"/>
    <w:rsid w:val="00307254"/>
    <w:rsid w:val="003073FC"/>
    <w:rsid w:val="00307607"/>
    <w:rsid w:val="003105A8"/>
    <w:rsid w:val="003106E4"/>
    <w:rsid w:val="003109D4"/>
    <w:rsid w:val="00310B41"/>
    <w:rsid w:val="00310F73"/>
    <w:rsid w:val="003111C3"/>
    <w:rsid w:val="00311E96"/>
    <w:rsid w:val="003127E1"/>
    <w:rsid w:val="00312B70"/>
    <w:rsid w:val="00312CE1"/>
    <w:rsid w:val="00312E47"/>
    <w:rsid w:val="00312FF8"/>
    <w:rsid w:val="003130BB"/>
    <w:rsid w:val="003138A3"/>
    <w:rsid w:val="0031398E"/>
    <w:rsid w:val="00313D0D"/>
    <w:rsid w:val="003154C9"/>
    <w:rsid w:val="00315688"/>
    <w:rsid w:val="00315E4A"/>
    <w:rsid w:val="00315ED4"/>
    <w:rsid w:val="00315ED8"/>
    <w:rsid w:val="00315F9B"/>
    <w:rsid w:val="00316623"/>
    <w:rsid w:val="00316CB9"/>
    <w:rsid w:val="003173D4"/>
    <w:rsid w:val="003176FA"/>
    <w:rsid w:val="00317D75"/>
    <w:rsid w:val="00317FAC"/>
    <w:rsid w:val="00320C94"/>
    <w:rsid w:val="00321116"/>
    <w:rsid w:val="0032114F"/>
    <w:rsid w:val="003219EC"/>
    <w:rsid w:val="0032304C"/>
    <w:rsid w:val="00323944"/>
    <w:rsid w:val="003244C7"/>
    <w:rsid w:val="00324525"/>
    <w:rsid w:val="00324A38"/>
    <w:rsid w:val="00324DF4"/>
    <w:rsid w:val="00325548"/>
    <w:rsid w:val="00325B94"/>
    <w:rsid w:val="00326066"/>
    <w:rsid w:val="00326CDB"/>
    <w:rsid w:val="00326D3F"/>
    <w:rsid w:val="00326E72"/>
    <w:rsid w:val="00327097"/>
    <w:rsid w:val="003273C7"/>
    <w:rsid w:val="00327A28"/>
    <w:rsid w:val="00330101"/>
    <w:rsid w:val="00330488"/>
    <w:rsid w:val="00330694"/>
    <w:rsid w:val="0033185A"/>
    <w:rsid w:val="00331968"/>
    <w:rsid w:val="00332FA7"/>
    <w:rsid w:val="00333DCE"/>
    <w:rsid w:val="00333F3F"/>
    <w:rsid w:val="003340C4"/>
    <w:rsid w:val="003343A2"/>
    <w:rsid w:val="00334415"/>
    <w:rsid w:val="00334483"/>
    <w:rsid w:val="00334E82"/>
    <w:rsid w:val="00334F2B"/>
    <w:rsid w:val="00335574"/>
    <w:rsid w:val="003362BC"/>
    <w:rsid w:val="00336A64"/>
    <w:rsid w:val="00336DA9"/>
    <w:rsid w:val="003377DE"/>
    <w:rsid w:val="0034142C"/>
    <w:rsid w:val="00341669"/>
    <w:rsid w:val="003425F7"/>
    <w:rsid w:val="00342EA1"/>
    <w:rsid w:val="00342F81"/>
    <w:rsid w:val="003432B1"/>
    <w:rsid w:val="003436A3"/>
    <w:rsid w:val="00343B49"/>
    <w:rsid w:val="0034411F"/>
    <w:rsid w:val="0034479D"/>
    <w:rsid w:val="00344F99"/>
    <w:rsid w:val="00345102"/>
    <w:rsid w:val="00345D27"/>
    <w:rsid w:val="00345E44"/>
    <w:rsid w:val="003466A5"/>
    <w:rsid w:val="00346E0B"/>
    <w:rsid w:val="003503A0"/>
    <w:rsid w:val="003504B0"/>
    <w:rsid w:val="0035087C"/>
    <w:rsid w:val="0035112D"/>
    <w:rsid w:val="00351309"/>
    <w:rsid w:val="00351327"/>
    <w:rsid w:val="003519E1"/>
    <w:rsid w:val="00351D6E"/>
    <w:rsid w:val="00351D9E"/>
    <w:rsid w:val="00351E2F"/>
    <w:rsid w:val="00352CD2"/>
    <w:rsid w:val="00352CD6"/>
    <w:rsid w:val="00353945"/>
    <w:rsid w:val="003539D6"/>
    <w:rsid w:val="00353AAA"/>
    <w:rsid w:val="00353BD1"/>
    <w:rsid w:val="00354381"/>
    <w:rsid w:val="00354E0B"/>
    <w:rsid w:val="00355481"/>
    <w:rsid w:val="00355483"/>
    <w:rsid w:val="003561E9"/>
    <w:rsid w:val="003575A2"/>
    <w:rsid w:val="003576FB"/>
    <w:rsid w:val="003577C1"/>
    <w:rsid w:val="0036046C"/>
    <w:rsid w:val="00361AA0"/>
    <w:rsid w:val="00361B07"/>
    <w:rsid w:val="00362D3D"/>
    <w:rsid w:val="003630BA"/>
    <w:rsid w:val="003639BC"/>
    <w:rsid w:val="00363C0D"/>
    <w:rsid w:val="00363E69"/>
    <w:rsid w:val="003643AF"/>
    <w:rsid w:val="003644DA"/>
    <w:rsid w:val="00364EE9"/>
    <w:rsid w:val="00365DF7"/>
    <w:rsid w:val="00365F4B"/>
    <w:rsid w:val="00366DB6"/>
    <w:rsid w:val="003670EE"/>
    <w:rsid w:val="00367436"/>
    <w:rsid w:val="00367891"/>
    <w:rsid w:val="00370403"/>
    <w:rsid w:val="00370A13"/>
    <w:rsid w:val="00370B91"/>
    <w:rsid w:val="00370FBB"/>
    <w:rsid w:val="0037108A"/>
    <w:rsid w:val="0037132A"/>
    <w:rsid w:val="00371653"/>
    <w:rsid w:val="00371BBF"/>
    <w:rsid w:val="00372385"/>
    <w:rsid w:val="00372741"/>
    <w:rsid w:val="0037381A"/>
    <w:rsid w:val="00373CCA"/>
    <w:rsid w:val="003744F1"/>
    <w:rsid w:val="003753FB"/>
    <w:rsid w:val="003759DD"/>
    <w:rsid w:val="003774A3"/>
    <w:rsid w:val="003778BD"/>
    <w:rsid w:val="00377A26"/>
    <w:rsid w:val="00377C89"/>
    <w:rsid w:val="00380B52"/>
    <w:rsid w:val="00380DE4"/>
    <w:rsid w:val="00380F98"/>
    <w:rsid w:val="00381261"/>
    <w:rsid w:val="003812BE"/>
    <w:rsid w:val="003816C8"/>
    <w:rsid w:val="00381C41"/>
    <w:rsid w:val="0038217A"/>
    <w:rsid w:val="00382732"/>
    <w:rsid w:val="0038282A"/>
    <w:rsid w:val="00382CE8"/>
    <w:rsid w:val="00382ED9"/>
    <w:rsid w:val="00383BF6"/>
    <w:rsid w:val="0038498D"/>
    <w:rsid w:val="00384D72"/>
    <w:rsid w:val="00386786"/>
    <w:rsid w:val="00386A28"/>
    <w:rsid w:val="00386ADC"/>
    <w:rsid w:val="00387CB3"/>
    <w:rsid w:val="0039049D"/>
    <w:rsid w:val="003907A6"/>
    <w:rsid w:val="00390C17"/>
    <w:rsid w:val="00391541"/>
    <w:rsid w:val="00391A81"/>
    <w:rsid w:val="0039247E"/>
    <w:rsid w:val="003924D3"/>
    <w:rsid w:val="0039277C"/>
    <w:rsid w:val="0039294E"/>
    <w:rsid w:val="00392BBD"/>
    <w:rsid w:val="00392BD5"/>
    <w:rsid w:val="00393334"/>
    <w:rsid w:val="00393E3C"/>
    <w:rsid w:val="00394899"/>
    <w:rsid w:val="00394999"/>
    <w:rsid w:val="003949ED"/>
    <w:rsid w:val="0039550E"/>
    <w:rsid w:val="00396256"/>
    <w:rsid w:val="0039656B"/>
    <w:rsid w:val="00396C9B"/>
    <w:rsid w:val="00397743"/>
    <w:rsid w:val="003A16F6"/>
    <w:rsid w:val="003A17D5"/>
    <w:rsid w:val="003A1A7D"/>
    <w:rsid w:val="003A1E36"/>
    <w:rsid w:val="003A2309"/>
    <w:rsid w:val="003A23D7"/>
    <w:rsid w:val="003A2A77"/>
    <w:rsid w:val="003A306B"/>
    <w:rsid w:val="003A35A9"/>
    <w:rsid w:val="003A39CB"/>
    <w:rsid w:val="003A3A59"/>
    <w:rsid w:val="003A3D7C"/>
    <w:rsid w:val="003A50FA"/>
    <w:rsid w:val="003A51C9"/>
    <w:rsid w:val="003A5565"/>
    <w:rsid w:val="003A5DE0"/>
    <w:rsid w:val="003A5F51"/>
    <w:rsid w:val="003A61B4"/>
    <w:rsid w:val="003A61F5"/>
    <w:rsid w:val="003A6793"/>
    <w:rsid w:val="003A6B06"/>
    <w:rsid w:val="003A6E7A"/>
    <w:rsid w:val="003A6ECC"/>
    <w:rsid w:val="003A7AAE"/>
    <w:rsid w:val="003A7F24"/>
    <w:rsid w:val="003B023E"/>
    <w:rsid w:val="003B0289"/>
    <w:rsid w:val="003B081F"/>
    <w:rsid w:val="003B115C"/>
    <w:rsid w:val="003B1BE1"/>
    <w:rsid w:val="003B2A0B"/>
    <w:rsid w:val="003B2DAC"/>
    <w:rsid w:val="003B2F81"/>
    <w:rsid w:val="003B32CD"/>
    <w:rsid w:val="003B39F3"/>
    <w:rsid w:val="003B3D3B"/>
    <w:rsid w:val="003B5CF9"/>
    <w:rsid w:val="003B5E6B"/>
    <w:rsid w:val="003B6F52"/>
    <w:rsid w:val="003B74D5"/>
    <w:rsid w:val="003B78B8"/>
    <w:rsid w:val="003B7C80"/>
    <w:rsid w:val="003B7D44"/>
    <w:rsid w:val="003B7E81"/>
    <w:rsid w:val="003C027F"/>
    <w:rsid w:val="003C0903"/>
    <w:rsid w:val="003C0E9F"/>
    <w:rsid w:val="003C0FA2"/>
    <w:rsid w:val="003C0FB4"/>
    <w:rsid w:val="003C1BA5"/>
    <w:rsid w:val="003C1C9F"/>
    <w:rsid w:val="003C22F1"/>
    <w:rsid w:val="003C2DEE"/>
    <w:rsid w:val="003C2FE4"/>
    <w:rsid w:val="003C30CC"/>
    <w:rsid w:val="003C33C2"/>
    <w:rsid w:val="003C3825"/>
    <w:rsid w:val="003C3982"/>
    <w:rsid w:val="003C4075"/>
    <w:rsid w:val="003C40BB"/>
    <w:rsid w:val="003C4D2A"/>
    <w:rsid w:val="003C52F3"/>
    <w:rsid w:val="003C57C3"/>
    <w:rsid w:val="003C6E6C"/>
    <w:rsid w:val="003C798E"/>
    <w:rsid w:val="003D0155"/>
    <w:rsid w:val="003D0920"/>
    <w:rsid w:val="003D0C95"/>
    <w:rsid w:val="003D1767"/>
    <w:rsid w:val="003D1BE9"/>
    <w:rsid w:val="003D2151"/>
    <w:rsid w:val="003D23E3"/>
    <w:rsid w:val="003D24B8"/>
    <w:rsid w:val="003D2A93"/>
    <w:rsid w:val="003D2DE9"/>
    <w:rsid w:val="003D308C"/>
    <w:rsid w:val="003D31C7"/>
    <w:rsid w:val="003D33B3"/>
    <w:rsid w:val="003D4989"/>
    <w:rsid w:val="003D51D7"/>
    <w:rsid w:val="003D5284"/>
    <w:rsid w:val="003D5289"/>
    <w:rsid w:val="003D5C68"/>
    <w:rsid w:val="003D5DED"/>
    <w:rsid w:val="003D5F54"/>
    <w:rsid w:val="003D5F76"/>
    <w:rsid w:val="003D65C9"/>
    <w:rsid w:val="003D6FE9"/>
    <w:rsid w:val="003D7690"/>
    <w:rsid w:val="003D7CE7"/>
    <w:rsid w:val="003E0679"/>
    <w:rsid w:val="003E06E6"/>
    <w:rsid w:val="003E0A0A"/>
    <w:rsid w:val="003E1B3B"/>
    <w:rsid w:val="003E1D5B"/>
    <w:rsid w:val="003E1D89"/>
    <w:rsid w:val="003E2A35"/>
    <w:rsid w:val="003E584F"/>
    <w:rsid w:val="003E5F12"/>
    <w:rsid w:val="003E6486"/>
    <w:rsid w:val="003E6C92"/>
    <w:rsid w:val="003E7414"/>
    <w:rsid w:val="003E769E"/>
    <w:rsid w:val="003F0197"/>
    <w:rsid w:val="003F042C"/>
    <w:rsid w:val="003F0922"/>
    <w:rsid w:val="003F0F27"/>
    <w:rsid w:val="003F129E"/>
    <w:rsid w:val="003F13F9"/>
    <w:rsid w:val="003F212E"/>
    <w:rsid w:val="003F24C7"/>
    <w:rsid w:val="003F2FD4"/>
    <w:rsid w:val="003F39AD"/>
    <w:rsid w:val="003F45B2"/>
    <w:rsid w:val="003F52E8"/>
    <w:rsid w:val="003F5AD5"/>
    <w:rsid w:val="003F6601"/>
    <w:rsid w:val="003F6CA5"/>
    <w:rsid w:val="003F6D96"/>
    <w:rsid w:val="003F7045"/>
    <w:rsid w:val="003F769C"/>
    <w:rsid w:val="003F79DD"/>
    <w:rsid w:val="00400111"/>
    <w:rsid w:val="00400C1D"/>
    <w:rsid w:val="0040173E"/>
    <w:rsid w:val="0040282B"/>
    <w:rsid w:val="0040296D"/>
    <w:rsid w:val="00404574"/>
    <w:rsid w:val="004048D5"/>
    <w:rsid w:val="00404D36"/>
    <w:rsid w:val="00405004"/>
    <w:rsid w:val="004067E3"/>
    <w:rsid w:val="00406A5D"/>
    <w:rsid w:val="00407B0E"/>
    <w:rsid w:val="004105E6"/>
    <w:rsid w:val="00410F50"/>
    <w:rsid w:val="004110B9"/>
    <w:rsid w:val="0041126B"/>
    <w:rsid w:val="00412A86"/>
    <w:rsid w:val="00412F74"/>
    <w:rsid w:val="004137C8"/>
    <w:rsid w:val="00414495"/>
    <w:rsid w:val="0041456B"/>
    <w:rsid w:val="0041465A"/>
    <w:rsid w:val="004150BB"/>
    <w:rsid w:val="00415196"/>
    <w:rsid w:val="00415845"/>
    <w:rsid w:val="00416CDB"/>
    <w:rsid w:val="00417639"/>
    <w:rsid w:val="004176CA"/>
    <w:rsid w:val="004178AB"/>
    <w:rsid w:val="00417C24"/>
    <w:rsid w:val="004206E0"/>
    <w:rsid w:val="004206FE"/>
    <w:rsid w:val="00420AA2"/>
    <w:rsid w:val="00422556"/>
    <w:rsid w:val="0042275B"/>
    <w:rsid w:val="00422E23"/>
    <w:rsid w:val="00423259"/>
    <w:rsid w:val="004244E3"/>
    <w:rsid w:val="00424B2F"/>
    <w:rsid w:val="004252A5"/>
    <w:rsid w:val="00425C37"/>
    <w:rsid w:val="00425D99"/>
    <w:rsid w:val="00425F04"/>
    <w:rsid w:val="004263AF"/>
    <w:rsid w:val="00426F85"/>
    <w:rsid w:val="00427C52"/>
    <w:rsid w:val="004300E8"/>
    <w:rsid w:val="004300F8"/>
    <w:rsid w:val="00430550"/>
    <w:rsid w:val="0043058F"/>
    <w:rsid w:val="00430803"/>
    <w:rsid w:val="00430FD5"/>
    <w:rsid w:val="00431115"/>
    <w:rsid w:val="0043164B"/>
    <w:rsid w:val="00431A63"/>
    <w:rsid w:val="00432307"/>
    <w:rsid w:val="0043240E"/>
    <w:rsid w:val="00433336"/>
    <w:rsid w:val="0043362D"/>
    <w:rsid w:val="004337C2"/>
    <w:rsid w:val="00433E37"/>
    <w:rsid w:val="00433F06"/>
    <w:rsid w:val="004344E7"/>
    <w:rsid w:val="00434761"/>
    <w:rsid w:val="00434FE6"/>
    <w:rsid w:val="00435127"/>
    <w:rsid w:val="004355D1"/>
    <w:rsid w:val="00435867"/>
    <w:rsid w:val="00435B9E"/>
    <w:rsid w:val="004360E8"/>
    <w:rsid w:val="00436E17"/>
    <w:rsid w:val="004372FD"/>
    <w:rsid w:val="00437F7A"/>
    <w:rsid w:val="004403E8"/>
    <w:rsid w:val="00441986"/>
    <w:rsid w:val="00441B01"/>
    <w:rsid w:val="00441D64"/>
    <w:rsid w:val="00442A5B"/>
    <w:rsid w:val="00443418"/>
    <w:rsid w:val="004434C8"/>
    <w:rsid w:val="00443A60"/>
    <w:rsid w:val="00444036"/>
    <w:rsid w:val="00444126"/>
    <w:rsid w:val="0044421C"/>
    <w:rsid w:val="00444242"/>
    <w:rsid w:val="004443DE"/>
    <w:rsid w:val="00445271"/>
    <w:rsid w:val="004458C3"/>
    <w:rsid w:val="00445983"/>
    <w:rsid w:val="00445CCD"/>
    <w:rsid w:val="004465A8"/>
    <w:rsid w:val="00446B32"/>
    <w:rsid w:val="00446CBC"/>
    <w:rsid w:val="00446DE8"/>
    <w:rsid w:val="004477C7"/>
    <w:rsid w:val="00447DC6"/>
    <w:rsid w:val="004501AA"/>
    <w:rsid w:val="004502B1"/>
    <w:rsid w:val="00450832"/>
    <w:rsid w:val="004509D1"/>
    <w:rsid w:val="00451165"/>
    <w:rsid w:val="0045141E"/>
    <w:rsid w:val="004517ED"/>
    <w:rsid w:val="00452127"/>
    <w:rsid w:val="00453072"/>
    <w:rsid w:val="00453583"/>
    <w:rsid w:val="00453648"/>
    <w:rsid w:val="00453E71"/>
    <w:rsid w:val="004543BC"/>
    <w:rsid w:val="004546BF"/>
    <w:rsid w:val="00454789"/>
    <w:rsid w:val="00454B1E"/>
    <w:rsid w:val="004554E1"/>
    <w:rsid w:val="00457060"/>
    <w:rsid w:val="004571C0"/>
    <w:rsid w:val="0045742D"/>
    <w:rsid w:val="00457A10"/>
    <w:rsid w:val="00457E45"/>
    <w:rsid w:val="004605C3"/>
    <w:rsid w:val="00460DEE"/>
    <w:rsid w:val="0046106F"/>
    <w:rsid w:val="00461438"/>
    <w:rsid w:val="00462BF2"/>
    <w:rsid w:val="004639BC"/>
    <w:rsid w:val="00464173"/>
    <w:rsid w:val="00464B1A"/>
    <w:rsid w:val="00464E6B"/>
    <w:rsid w:val="0046510D"/>
    <w:rsid w:val="004651BA"/>
    <w:rsid w:val="00465A34"/>
    <w:rsid w:val="0046634D"/>
    <w:rsid w:val="0046648D"/>
    <w:rsid w:val="00466E52"/>
    <w:rsid w:val="00466E76"/>
    <w:rsid w:val="00466F74"/>
    <w:rsid w:val="004670C3"/>
    <w:rsid w:val="004675BF"/>
    <w:rsid w:val="0046791D"/>
    <w:rsid w:val="00467A6F"/>
    <w:rsid w:val="00467B63"/>
    <w:rsid w:val="00467BCD"/>
    <w:rsid w:val="00467C88"/>
    <w:rsid w:val="00467FB0"/>
    <w:rsid w:val="004708B0"/>
    <w:rsid w:val="00471059"/>
    <w:rsid w:val="0047136A"/>
    <w:rsid w:val="0047155C"/>
    <w:rsid w:val="004715D0"/>
    <w:rsid w:val="00471610"/>
    <w:rsid w:val="004717C1"/>
    <w:rsid w:val="004723C5"/>
    <w:rsid w:val="00474327"/>
    <w:rsid w:val="00474440"/>
    <w:rsid w:val="0047452E"/>
    <w:rsid w:val="0047500F"/>
    <w:rsid w:val="00475284"/>
    <w:rsid w:val="004756E9"/>
    <w:rsid w:val="00475A11"/>
    <w:rsid w:val="00475B3B"/>
    <w:rsid w:val="00476B66"/>
    <w:rsid w:val="00477243"/>
    <w:rsid w:val="00477D2D"/>
    <w:rsid w:val="00480735"/>
    <w:rsid w:val="004808E1"/>
    <w:rsid w:val="00480909"/>
    <w:rsid w:val="00480AF4"/>
    <w:rsid w:val="00481519"/>
    <w:rsid w:val="00481715"/>
    <w:rsid w:val="0048242B"/>
    <w:rsid w:val="00482C16"/>
    <w:rsid w:val="00482DFC"/>
    <w:rsid w:val="00483442"/>
    <w:rsid w:val="004837CD"/>
    <w:rsid w:val="0048385E"/>
    <w:rsid w:val="00483FA0"/>
    <w:rsid w:val="00483FB6"/>
    <w:rsid w:val="0048422B"/>
    <w:rsid w:val="00484505"/>
    <w:rsid w:val="00484F77"/>
    <w:rsid w:val="004851ED"/>
    <w:rsid w:val="0048577F"/>
    <w:rsid w:val="004859FC"/>
    <w:rsid w:val="00485A5A"/>
    <w:rsid w:val="00485C4C"/>
    <w:rsid w:val="00486828"/>
    <w:rsid w:val="00486A7A"/>
    <w:rsid w:val="004871F8"/>
    <w:rsid w:val="00487449"/>
    <w:rsid w:val="004875E4"/>
    <w:rsid w:val="00490455"/>
    <w:rsid w:val="00490879"/>
    <w:rsid w:val="00490BE4"/>
    <w:rsid w:val="00491116"/>
    <w:rsid w:val="004919D9"/>
    <w:rsid w:val="00491BAB"/>
    <w:rsid w:val="00493E00"/>
    <w:rsid w:val="00494BF1"/>
    <w:rsid w:val="00494ECA"/>
    <w:rsid w:val="00496011"/>
    <w:rsid w:val="00496AE5"/>
    <w:rsid w:val="004974C6"/>
    <w:rsid w:val="004979E1"/>
    <w:rsid w:val="004A0640"/>
    <w:rsid w:val="004A151B"/>
    <w:rsid w:val="004A1CD6"/>
    <w:rsid w:val="004A2200"/>
    <w:rsid w:val="004A226F"/>
    <w:rsid w:val="004A2460"/>
    <w:rsid w:val="004A3169"/>
    <w:rsid w:val="004A31E0"/>
    <w:rsid w:val="004A3B01"/>
    <w:rsid w:val="004A3B04"/>
    <w:rsid w:val="004A45D8"/>
    <w:rsid w:val="004A5311"/>
    <w:rsid w:val="004A5D05"/>
    <w:rsid w:val="004A62F1"/>
    <w:rsid w:val="004A66DB"/>
    <w:rsid w:val="004A695F"/>
    <w:rsid w:val="004A6DDD"/>
    <w:rsid w:val="004A6E9B"/>
    <w:rsid w:val="004A6EAE"/>
    <w:rsid w:val="004A71E6"/>
    <w:rsid w:val="004B04B1"/>
    <w:rsid w:val="004B0A36"/>
    <w:rsid w:val="004B14CF"/>
    <w:rsid w:val="004B1DAD"/>
    <w:rsid w:val="004B1E75"/>
    <w:rsid w:val="004B2103"/>
    <w:rsid w:val="004B27F6"/>
    <w:rsid w:val="004B2A00"/>
    <w:rsid w:val="004B2DAD"/>
    <w:rsid w:val="004B34B0"/>
    <w:rsid w:val="004B35A1"/>
    <w:rsid w:val="004B3A4E"/>
    <w:rsid w:val="004B4D1B"/>
    <w:rsid w:val="004B4DEF"/>
    <w:rsid w:val="004B57A3"/>
    <w:rsid w:val="004B64E9"/>
    <w:rsid w:val="004B6718"/>
    <w:rsid w:val="004C0C60"/>
    <w:rsid w:val="004C11F7"/>
    <w:rsid w:val="004C182F"/>
    <w:rsid w:val="004C1B56"/>
    <w:rsid w:val="004C224A"/>
    <w:rsid w:val="004C2466"/>
    <w:rsid w:val="004C29B1"/>
    <w:rsid w:val="004C386C"/>
    <w:rsid w:val="004C3BB6"/>
    <w:rsid w:val="004C3C02"/>
    <w:rsid w:val="004C44D1"/>
    <w:rsid w:val="004C45CD"/>
    <w:rsid w:val="004C4BE3"/>
    <w:rsid w:val="004C5D65"/>
    <w:rsid w:val="004C5F90"/>
    <w:rsid w:val="004C66D7"/>
    <w:rsid w:val="004C7DE4"/>
    <w:rsid w:val="004D00BA"/>
    <w:rsid w:val="004D0912"/>
    <w:rsid w:val="004D15E1"/>
    <w:rsid w:val="004D26A5"/>
    <w:rsid w:val="004D28AA"/>
    <w:rsid w:val="004D2AF2"/>
    <w:rsid w:val="004D3350"/>
    <w:rsid w:val="004D3438"/>
    <w:rsid w:val="004D4D58"/>
    <w:rsid w:val="004D521A"/>
    <w:rsid w:val="004D5F33"/>
    <w:rsid w:val="004D6693"/>
    <w:rsid w:val="004D675E"/>
    <w:rsid w:val="004D68BF"/>
    <w:rsid w:val="004E13AD"/>
    <w:rsid w:val="004E1B4D"/>
    <w:rsid w:val="004E1E77"/>
    <w:rsid w:val="004E1FB6"/>
    <w:rsid w:val="004E224C"/>
    <w:rsid w:val="004E2FF6"/>
    <w:rsid w:val="004E38B3"/>
    <w:rsid w:val="004E44BE"/>
    <w:rsid w:val="004E484F"/>
    <w:rsid w:val="004E53DE"/>
    <w:rsid w:val="004E5438"/>
    <w:rsid w:val="004E546B"/>
    <w:rsid w:val="004E54A0"/>
    <w:rsid w:val="004E5AFC"/>
    <w:rsid w:val="004E5EE8"/>
    <w:rsid w:val="004E615A"/>
    <w:rsid w:val="004E6330"/>
    <w:rsid w:val="004E6541"/>
    <w:rsid w:val="004E669F"/>
    <w:rsid w:val="004E670B"/>
    <w:rsid w:val="004E676D"/>
    <w:rsid w:val="004E6B90"/>
    <w:rsid w:val="004E6D6C"/>
    <w:rsid w:val="004E7E68"/>
    <w:rsid w:val="004F00BB"/>
    <w:rsid w:val="004F00BE"/>
    <w:rsid w:val="004F063A"/>
    <w:rsid w:val="004F0991"/>
    <w:rsid w:val="004F181D"/>
    <w:rsid w:val="004F276E"/>
    <w:rsid w:val="004F343E"/>
    <w:rsid w:val="004F3E71"/>
    <w:rsid w:val="004F4CC4"/>
    <w:rsid w:val="004F51F2"/>
    <w:rsid w:val="004F533C"/>
    <w:rsid w:val="004F5BD8"/>
    <w:rsid w:val="004F72D8"/>
    <w:rsid w:val="004F73EA"/>
    <w:rsid w:val="00500390"/>
    <w:rsid w:val="005015D6"/>
    <w:rsid w:val="00501F4E"/>
    <w:rsid w:val="0050266B"/>
    <w:rsid w:val="00502BE9"/>
    <w:rsid w:val="005038E5"/>
    <w:rsid w:val="00503A29"/>
    <w:rsid w:val="00503B90"/>
    <w:rsid w:val="00503CA8"/>
    <w:rsid w:val="00504323"/>
    <w:rsid w:val="005055EF"/>
    <w:rsid w:val="0050570D"/>
    <w:rsid w:val="00505A86"/>
    <w:rsid w:val="00507494"/>
    <w:rsid w:val="0050788A"/>
    <w:rsid w:val="00507C1D"/>
    <w:rsid w:val="00507E24"/>
    <w:rsid w:val="0051049A"/>
    <w:rsid w:val="005106ED"/>
    <w:rsid w:val="00510CCC"/>
    <w:rsid w:val="0051153F"/>
    <w:rsid w:val="0051194D"/>
    <w:rsid w:val="00512565"/>
    <w:rsid w:val="005126EA"/>
    <w:rsid w:val="00512ABF"/>
    <w:rsid w:val="005134E6"/>
    <w:rsid w:val="0051378E"/>
    <w:rsid w:val="0051483B"/>
    <w:rsid w:val="0051523C"/>
    <w:rsid w:val="00515D9B"/>
    <w:rsid w:val="0051642C"/>
    <w:rsid w:val="00516A8A"/>
    <w:rsid w:val="00516C28"/>
    <w:rsid w:val="005178B6"/>
    <w:rsid w:val="00517C7A"/>
    <w:rsid w:val="00520B0D"/>
    <w:rsid w:val="00520DD1"/>
    <w:rsid w:val="00520DF1"/>
    <w:rsid w:val="00521077"/>
    <w:rsid w:val="00521AD4"/>
    <w:rsid w:val="005226A9"/>
    <w:rsid w:val="00522780"/>
    <w:rsid w:val="005230D3"/>
    <w:rsid w:val="00523147"/>
    <w:rsid w:val="005231DC"/>
    <w:rsid w:val="0052339B"/>
    <w:rsid w:val="005234AF"/>
    <w:rsid w:val="005241DE"/>
    <w:rsid w:val="00524215"/>
    <w:rsid w:val="00524A19"/>
    <w:rsid w:val="00524B29"/>
    <w:rsid w:val="005250A6"/>
    <w:rsid w:val="00525100"/>
    <w:rsid w:val="00525E96"/>
    <w:rsid w:val="00526D97"/>
    <w:rsid w:val="00526EDE"/>
    <w:rsid w:val="0052743C"/>
    <w:rsid w:val="005278CA"/>
    <w:rsid w:val="005278F3"/>
    <w:rsid w:val="00527D19"/>
    <w:rsid w:val="005300BE"/>
    <w:rsid w:val="00530343"/>
    <w:rsid w:val="00530AAA"/>
    <w:rsid w:val="005323D0"/>
    <w:rsid w:val="00533068"/>
    <w:rsid w:val="005330D8"/>
    <w:rsid w:val="005331EE"/>
    <w:rsid w:val="005334C9"/>
    <w:rsid w:val="00533CF1"/>
    <w:rsid w:val="005340E2"/>
    <w:rsid w:val="00534257"/>
    <w:rsid w:val="00534311"/>
    <w:rsid w:val="005345F0"/>
    <w:rsid w:val="00534F57"/>
    <w:rsid w:val="00535BFD"/>
    <w:rsid w:val="00536D21"/>
    <w:rsid w:val="005378DE"/>
    <w:rsid w:val="00537B76"/>
    <w:rsid w:val="00540142"/>
    <w:rsid w:val="005401C1"/>
    <w:rsid w:val="00540281"/>
    <w:rsid w:val="005408B4"/>
    <w:rsid w:val="00540DBA"/>
    <w:rsid w:val="00540E24"/>
    <w:rsid w:val="00541464"/>
    <w:rsid w:val="005414D7"/>
    <w:rsid w:val="005426FD"/>
    <w:rsid w:val="00542738"/>
    <w:rsid w:val="0054360E"/>
    <w:rsid w:val="00544F91"/>
    <w:rsid w:val="005451CC"/>
    <w:rsid w:val="00545338"/>
    <w:rsid w:val="005462DB"/>
    <w:rsid w:val="00546327"/>
    <w:rsid w:val="0054641D"/>
    <w:rsid w:val="00546609"/>
    <w:rsid w:val="005471A0"/>
    <w:rsid w:val="00547F6F"/>
    <w:rsid w:val="0055033D"/>
    <w:rsid w:val="005505EC"/>
    <w:rsid w:val="00550FEB"/>
    <w:rsid w:val="00551141"/>
    <w:rsid w:val="005516FC"/>
    <w:rsid w:val="00551936"/>
    <w:rsid w:val="00551E2C"/>
    <w:rsid w:val="0055216B"/>
    <w:rsid w:val="00552546"/>
    <w:rsid w:val="0055289D"/>
    <w:rsid w:val="00552AF6"/>
    <w:rsid w:val="00552DCE"/>
    <w:rsid w:val="00552E2F"/>
    <w:rsid w:val="00553512"/>
    <w:rsid w:val="00553AB1"/>
    <w:rsid w:val="00554ACA"/>
    <w:rsid w:val="00554D4A"/>
    <w:rsid w:val="00555698"/>
    <w:rsid w:val="00555B1F"/>
    <w:rsid w:val="00555C9C"/>
    <w:rsid w:val="00556852"/>
    <w:rsid w:val="00557218"/>
    <w:rsid w:val="00557506"/>
    <w:rsid w:val="00557DDF"/>
    <w:rsid w:val="00560EEA"/>
    <w:rsid w:val="00561966"/>
    <w:rsid w:val="00561A0A"/>
    <w:rsid w:val="00561A49"/>
    <w:rsid w:val="00561D40"/>
    <w:rsid w:val="005620D6"/>
    <w:rsid w:val="00562128"/>
    <w:rsid w:val="0056212E"/>
    <w:rsid w:val="0056258B"/>
    <w:rsid w:val="0056295D"/>
    <w:rsid w:val="0056376C"/>
    <w:rsid w:val="00564145"/>
    <w:rsid w:val="005641AD"/>
    <w:rsid w:val="0056452E"/>
    <w:rsid w:val="005650B6"/>
    <w:rsid w:val="005653E4"/>
    <w:rsid w:val="00565552"/>
    <w:rsid w:val="005657E2"/>
    <w:rsid w:val="00565957"/>
    <w:rsid w:val="005664BB"/>
    <w:rsid w:val="00566E18"/>
    <w:rsid w:val="005678FE"/>
    <w:rsid w:val="005702D5"/>
    <w:rsid w:val="00570778"/>
    <w:rsid w:val="00571151"/>
    <w:rsid w:val="00571171"/>
    <w:rsid w:val="00571BA3"/>
    <w:rsid w:val="0057234E"/>
    <w:rsid w:val="005729BF"/>
    <w:rsid w:val="00572D1D"/>
    <w:rsid w:val="00573A12"/>
    <w:rsid w:val="00573BA4"/>
    <w:rsid w:val="0057412F"/>
    <w:rsid w:val="00574771"/>
    <w:rsid w:val="00574884"/>
    <w:rsid w:val="00574909"/>
    <w:rsid w:val="00574947"/>
    <w:rsid w:val="00574AF3"/>
    <w:rsid w:val="0057598D"/>
    <w:rsid w:val="00576D8A"/>
    <w:rsid w:val="00576F3E"/>
    <w:rsid w:val="0057727E"/>
    <w:rsid w:val="0057728B"/>
    <w:rsid w:val="005772D6"/>
    <w:rsid w:val="00577AA5"/>
    <w:rsid w:val="00577AD2"/>
    <w:rsid w:val="005804B4"/>
    <w:rsid w:val="00581C2E"/>
    <w:rsid w:val="005821C9"/>
    <w:rsid w:val="00582F5F"/>
    <w:rsid w:val="00583CC8"/>
    <w:rsid w:val="0058446C"/>
    <w:rsid w:val="00584502"/>
    <w:rsid w:val="005853E4"/>
    <w:rsid w:val="005858B6"/>
    <w:rsid w:val="00585D53"/>
    <w:rsid w:val="00585F18"/>
    <w:rsid w:val="00586895"/>
    <w:rsid w:val="005869DC"/>
    <w:rsid w:val="00587201"/>
    <w:rsid w:val="00587483"/>
    <w:rsid w:val="00590581"/>
    <w:rsid w:val="00590719"/>
    <w:rsid w:val="00591019"/>
    <w:rsid w:val="005911D9"/>
    <w:rsid w:val="00591838"/>
    <w:rsid w:val="00592112"/>
    <w:rsid w:val="00592893"/>
    <w:rsid w:val="00592E39"/>
    <w:rsid w:val="00592EE2"/>
    <w:rsid w:val="00593C18"/>
    <w:rsid w:val="00593D27"/>
    <w:rsid w:val="00593DCE"/>
    <w:rsid w:val="00593DF3"/>
    <w:rsid w:val="00593E52"/>
    <w:rsid w:val="005943AF"/>
    <w:rsid w:val="0059453F"/>
    <w:rsid w:val="005945C7"/>
    <w:rsid w:val="00594A12"/>
    <w:rsid w:val="0059509F"/>
    <w:rsid w:val="00596AA4"/>
    <w:rsid w:val="00596BEF"/>
    <w:rsid w:val="00596BFB"/>
    <w:rsid w:val="00596D89"/>
    <w:rsid w:val="00596DF7"/>
    <w:rsid w:val="0059794A"/>
    <w:rsid w:val="00597C5D"/>
    <w:rsid w:val="005A027E"/>
    <w:rsid w:val="005A0778"/>
    <w:rsid w:val="005A0815"/>
    <w:rsid w:val="005A09B1"/>
    <w:rsid w:val="005A0C9F"/>
    <w:rsid w:val="005A1599"/>
    <w:rsid w:val="005A2300"/>
    <w:rsid w:val="005A25BD"/>
    <w:rsid w:val="005A31D2"/>
    <w:rsid w:val="005A33BA"/>
    <w:rsid w:val="005A34BD"/>
    <w:rsid w:val="005A3ECE"/>
    <w:rsid w:val="005A5480"/>
    <w:rsid w:val="005A554E"/>
    <w:rsid w:val="005A5A98"/>
    <w:rsid w:val="005A5B38"/>
    <w:rsid w:val="005A6AA2"/>
    <w:rsid w:val="005A702D"/>
    <w:rsid w:val="005A7327"/>
    <w:rsid w:val="005A79AA"/>
    <w:rsid w:val="005B04A5"/>
    <w:rsid w:val="005B0E2D"/>
    <w:rsid w:val="005B1408"/>
    <w:rsid w:val="005B1852"/>
    <w:rsid w:val="005B1CE1"/>
    <w:rsid w:val="005B2814"/>
    <w:rsid w:val="005B29E5"/>
    <w:rsid w:val="005B362A"/>
    <w:rsid w:val="005B532D"/>
    <w:rsid w:val="005B5969"/>
    <w:rsid w:val="005B62F5"/>
    <w:rsid w:val="005B63A4"/>
    <w:rsid w:val="005B6757"/>
    <w:rsid w:val="005B6C66"/>
    <w:rsid w:val="005B7224"/>
    <w:rsid w:val="005B72D9"/>
    <w:rsid w:val="005B7556"/>
    <w:rsid w:val="005C0B37"/>
    <w:rsid w:val="005C1E01"/>
    <w:rsid w:val="005C2649"/>
    <w:rsid w:val="005C2D74"/>
    <w:rsid w:val="005C329B"/>
    <w:rsid w:val="005C3559"/>
    <w:rsid w:val="005C4266"/>
    <w:rsid w:val="005C4C11"/>
    <w:rsid w:val="005C4E9F"/>
    <w:rsid w:val="005C5017"/>
    <w:rsid w:val="005C5113"/>
    <w:rsid w:val="005C537E"/>
    <w:rsid w:val="005C54B9"/>
    <w:rsid w:val="005C6698"/>
    <w:rsid w:val="005C6DEB"/>
    <w:rsid w:val="005C6E5E"/>
    <w:rsid w:val="005C6FB4"/>
    <w:rsid w:val="005C72A5"/>
    <w:rsid w:val="005C7477"/>
    <w:rsid w:val="005C7E49"/>
    <w:rsid w:val="005D03CE"/>
    <w:rsid w:val="005D0632"/>
    <w:rsid w:val="005D069A"/>
    <w:rsid w:val="005D08D1"/>
    <w:rsid w:val="005D0964"/>
    <w:rsid w:val="005D1AAB"/>
    <w:rsid w:val="005D1FD1"/>
    <w:rsid w:val="005D201F"/>
    <w:rsid w:val="005D2E71"/>
    <w:rsid w:val="005D38C6"/>
    <w:rsid w:val="005D38F1"/>
    <w:rsid w:val="005D393B"/>
    <w:rsid w:val="005D394E"/>
    <w:rsid w:val="005D43F7"/>
    <w:rsid w:val="005D4677"/>
    <w:rsid w:val="005D4FA6"/>
    <w:rsid w:val="005D51B3"/>
    <w:rsid w:val="005D649F"/>
    <w:rsid w:val="005D66E9"/>
    <w:rsid w:val="005D683B"/>
    <w:rsid w:val="005D6F8B"/>
    <w:rsid w:val="005D769E"/>
    <w:rsid w:val="005D78E6"/>
    <w:rsid w:val="005E0201"/>
    <w:rsid w:val="005E0455"/>
    <w:rsid w:val="005E0B85"/>
    <w:rsid w:val="005E0ED3"/>
    <w:rsid w:val="005E126F"/>
    <w:rsid w:val="005E14F2"/>
    <w:rsid w:val="005E237A"/>
    <w:rsid w:val="005E2841"/>
    <w:rsid w:val="005E28EA"/>
    <w:rsid w:val="005E2D70"/>
    <w:rsid w:val="005E322C"/>
    <w:rsid w:val="005E3853"/>
    <w:rsid w:val="005E45F3"/>
    <w:rsid w:val="005E4A3A"/>
    <w:rsid w:val="005E51BB"/>
    <w:rsid w:val="005E5B9B"/>
    <w:rsid w:val="005E6E57"/>
    <w:rsid w:val="005E7C7C"/>
    <w:rsid w:val="005E7D26"/>
    <w:rsid w:val="005E7FB4"/>
    <w:rsid w:val="005F19AA"/>
    <w:rsid w:val="005F2EB5"/>
    <w:rsid w:val="005F2F2E"/>
    <w:rsid w:val="005F302F"/>
    <w:rsid w:val="005F3434"/>
    <w:rsid w:val="005F3F7A"/>
    <w:rsid w:val="005F40BB"/>
    <w:rsid w:val="005F40C0"/>
    <w:rsid w:val="005F4ABB"/>
    <w:rsid w:val="005F5609"/>
    <w:rsid w:val="005F573B"/>
    <w:rsid w:val="005F5D21"/>
    <w:rsid w:val="005F65A6"/>
    <w:rsid w:val="005F7022"/>
    <w:rsid w:val="005F76D5"/>
    <w:rsid w:val="005F7909"/>
    <w:rsid w:val="005F7B6A"/>
    <w:rsid w:val="006004EA"/>
    <w:rsid w:val="006005F5"/>
    <w:rsid w:val="00600C4F"/>
    <w:rsid w:val="00600CB5"/>
    <w:rsid w:val="00601AE2"/>
    <w:rsid w:val="00601E79"/>
    <w:rsid w:val="00601ED4"/>
    <w:rsid w:val="00602008"/>
    <w:rsid w:val="006022FF"/>
    <w:rsid w:val="00602F28"/>
    <w:rsid w:val="006031FE"/>
    <w:rsid w:val="006038CA"/>
    <w:rsid w:val="00603F68"/>
    <w:rsid w:val="006043F4"/>
    <w:rsid w:val="00604604"/>
    <w:rsid w:val="006047B8"/>
    <w:rsid w:val="00604A89"/>
    <w:rsid w:val="00604FF0"/>
    <w:rsid w:val="00606C24"/>
    <w:rsid w:val="006070D9"/>
    <w:rsid w:val="00611689"/>
    <w:rsid w:val="00611ECD"/>
    <w:rsid w:val="00611F15"/>
    <w:rsid w:val="00612B24"/>
    <w:rsid w:val="00612B52"/>
    <w:rsid w:val="00612F03"/>
    <w:rsid w:val="00613084"/>
    <w:rsid w:val="0061354A"/>
    <w:rsid w:val="00615618"/>
    <w:rsid w:val="00615E3D"/>
    <w:rsid w:val="006178EF"/>
    <w:rsid w:val="00617CD5"/>
    <w:rsid w:val="00617D06"/>
    <w:rsid w:val="00617E9C"/>
    <w:rsid w:val="00617FA7"/>
    <w:rsid w:val="00620130"/>
    <w:rsid w:val="00620281"/>
    <w:rsid w:val="0062071E"/>
    <w:rsid w:val="006212DE"/>
    <w:rsid w:val="00622D27"/>
    <w:rsid w:val="0062325C"/>
    <w:rsid w:val="00623EFE"/>
    <w:rsid w:val="006247AF"/>
    <w:rsid w:val="00624991"/>
    <w:rsid w:val="00625030"/>
    <w:rsid w:val="00625131"/>
    <w:rsid w:val="006257AD"/>
    <w:rsid w:val="00625B03"/>
    <w:rsid w:val="00625ECA"/>
    <w:rsid w:val="00626B8D"/>
    <w:rsid w:val="00626FBB"/>
    <w:rsid w:val="006273CD"/>
    <w:rsid w:val="006277AA"/>
    <w:rsid w:val="006279D3"/>
    <w:rsid w:val="006305DF"/>
    <w:rsid w:val="00630814"/>
    <w:rsid w:val="00630A94"/>
    <w:rsid w:val="00630DC1"/>
    <w:rsid w:val="00631099"/>
    <w:rsid w:val="00632421"/>
    <w:rsid w:val="00632660"/>
    <w:rsid w:val="0063338D"/>
    <w:rsid w:val="006333B8"/>
    <w:rsid w:val="00633725"/>
    <w:rsid w:val="00633CF8"/>
    <w:rsid w:val="00633F57"/>
    <w:rsid w:val="00634096"/>
    <w:rsid w:val="00634880"/>
    <w:rsid w:val="00634B4B"/>
    <w:rsid w:val="00635FE0"/>
    <w:rsid w:val="006361AC"/>
    <w:rsid w:val="0063632C"/>
    <w:rsid w:val="00636F25"/>
    <w:rsid w:val="00637724"/>
    <w:rsid w:val="00637BB4"/>
    <w:rsid w:val="00637C61"/>
    <w:rsid w:val="006405CF"/>
    <w:rsid w:val="00640678"/>
    <w:rsid w:val="006415DF"/>
    <w:rsid w:val="006418C9"/>
    <w:rsid w:val="00641D3A"/>
    <w:rsid w:val="006420F1"/>
    <w:rsid w:val="0064257B"/>
    <w:rsid w:val="00642939"/>
    <w:rsid w:val="00642D49"/>
    <w:rsid w:val="006430F9"/>
    <w:rsid w:val="00643282"/>
    <w:rsid w:val="0064360F"/>
    <w:rsid w:val="00643C6F"/>
    <w:rsid w:val="00643F50"/>
    <w:rsid w:val="00643FE2"/>
    <w:rsid w:val="006443C9"/>
    <w:rsid w:val="00644A35"/>
    <w:rsid w:val="006454D2"/>
    <w:rsid w:val="006461F6"/>
    <w:rsid w:val="0064660F"/>
    <w:rsid w:val="00646BAE"/>
    <w:rsid w:val="00646F47"/>
    <w:rsid w:val="00650291"/>
    <w:rsid w:val="006507E0"/>
    <w:rsid w:val="0065127C"/>
    <w:rsid w:val="00651C4C"/>
    <w:rsid w:val="00652240"/>
    <w:rsid w:val="006527FA"/>
    <w:rsid w:val="0065361D"/>
    <w:rsid w:val="00653D56"/>
    <w:rsid w:val="00654657"/>
    <w:rsid w:val="00654F37"/>
    <w:rsid w:val="006553FD"/>
    <w:rsid w:val="0065594D"/>
    <w:rsid w:val="00655F9B"/>
    <w:rsid w:val="006560FF"/>
    <w:rsid w:val="00656399"/>
    <w:rsid w:val="00656622"/>
    <w:rsid w:val="00656AD9"/>
    <w:rsid w:val="0065759E"/>
    <w:rsid w:val="0066035A"/>
    <w:rsid w:val="0066037C"/>
    <w:rsid w:val="00660927"/>
    <w:rsid w:val="00661461"/>
    <w:rsid w:val="006614B6"/>
    <w:rsid w:val="006616A2"/>
    <w:rsid w:val="0066265C"/>
    <w:rsid w:val="00662C45"/>
    <w:rsid w:val="00662C4B"/>
    <w:rsid w:val="00663026"/>
    <w:rsid w:val="006639BA"/>
    <w:rsid w:val="00664361"/>
    <w:rsid w:val="00664B90"/>
    <w:rsid w:val="006651F0"/>
    <w:rsid w:val="00665372"/>
    <w:rsid w:val="00665F5D"/>
    <w:rsid w:val="0066625A"/>
    <w:rsid w:val="006662F0"/>
    <w:rsid w:val="006666D4"/>
    <w:rsid w:val="00666ACF"/>
    <w:rsid w:val="00666C33"/>
    <w:rsid w:val="006670BE"/>
    <w:rsid w:val="006710F6"/>
    <w:rsid w:val="006717C9"/>
    <w:rsid w:val="00672294"/>
    <w:rsid w:val="006722F0"/>
    <w:rsid w:val="00672A02"/>
    <w:rsid w:val="00672AEF"/>
    <w:rsid w:val="00672C0C"/>
    <w:rsid w:val="00672CA4"/>
    <w:rsid w:val="00673872"/>
    <w:rsid w:val="006738D0"/>
    <w:rsid w:val="00673C03"/>
    <w:rsid w:val="00674542"/>
    <w:rsid w:val="00674589"/>
    <w:rsid w:val="006746CE"/>
    <w:rsid w:val="00674927"/>
    <w:rsid w:val="00674C60"/>
    <w:rsid w:val="00674ED1"/>
    <w:rsid w:val="00674FC7"/>
    <w:rsid w:val="0067585B"/>
    <w:rsid w:val="006760C7"/>
    <w:rsid w:val="00676B0E"/>
    <w:rsid w:val="00677C47"/>
    <w:rsid w:val="006800BA"/>
    <w:rsid w:val="0068018B"/>
    <w:rsid w:val="0068029B"/>
    <w:rsid w:val="0068118C"/>
    <w:rsid w:val="00681464"/>
    <w:rsid w:val="00682186"/>
    <w:rsid w:val="0068270B"/>
    <w:rsid w:val="00682F05"/>
    <w:rsid w:val="00683964"/>
    <w:rsid w:val="006839E6"/>
    <w:rsid w:val="00683CC3"/>
    <w:rsid w:val="00683DE5"/>
    <w:rsid w:val="006843C0"/>
    <w:rsid w:val="00684690"/>
    <w:rsid w:val="00684D76"/>
    <w:rsid w:val="00685C0B"/>
    <w:rsid w:val="00686568"/>
    <w:rsid w:val="00686F70"/>
    <w:rsid w:val="00687440"/>
    <w:rsid w:val="00687748"/>
    <w:rsid w:val="00687C2E"/>
    <w:rsid w:val="00687D84"/>
    <w:rsid w:val="00690685"/>
    <w:rsid w:val="00690A46"/>
    <w:rsid w:val="006910C5"/>
    <w:rsid w:val="006912B4"/>
    <w:rsid w:val="006912FA"/>
    <w:rsid w:val="006917A6"/>
    <w:rsid w:val="00691A20"/>
    <w:rsid w:val="00691E2C"/>
    <w:rsid w:val="00693117"/>
    <w:rsid w:val="006932AD"/>
    <w:rsid w:val="006935C3"/>
    <w:rsid w:val="006937D4"/>
    <w:rsid w:val="006938F5"/>
    <w:rsid w:val="00693CFD"/>
    <w:rsid w:val="00693DB1"/>
    <w:rsid w:val="0069412D"/>
    <w:rsid w:val="00694D27"/>
    <w:rsid w:val="00695C28"/>
    <w:rsid w:val="00696DFD"/>
    <w:rsid w:val="0069709B"/>
    <w:rsid w:val="0069783F"/>
    <w:rsid w:val="00697A08"/>
    <w:rsid w:val="006A082B"/>
    <w:rsid w:val="006A1370"/>
    <w:rsid w:val="006A1BC3"/>
    <w:rsid w:val="006A2471"/>
    <w:rsid w:val="006A2527"/>
    <w:rsid w:val="006A25A4"/>
    <w:rsid w:val="006A27FA"/>
    <w:rsid w:val="006A3980"/>
    <w:rsid w:val="006A3ABB"/>
    <w:rsid w:val="006A3D51"/>
    <w:rsid w:val="006A4609"/>
    <w:rsid w:val="006A480A"/>
    <w:rsid w:val="006A4AE5"/>
    <w:rsid w:val="006A5812"/>
    <w:rsid w:val="006A59D0"/>
    <w:rsid w:val="006A59D9"/>
    <w:rsid w:val="006A5F10"/>
    <w:rsid w:val="006A602B"/>
    <w:rsid w:val="006A60AA"/>
    <w:rsid w:val="006A649C"/>
    <w:rsid w:val="006A68BA"/>
    <w:rsid w:val="006A7DC1"/>
    <w:rsid w:val="006B09F9"/>
    <w:rsid w:val="006B0F21"/>
    <w:rsid w:val="006B1B3E"/>
    <w:rsid w:val="006B1C65"/>
    <w:rsid w:val="006B2AA4"/>
    <w:rsid w:val="006B2C54"/>
    <w:rsid w:val="006B35D3"/>
    <w:rsid w:val="006B38A3"/>
    <w:rsid w:val="006B3966"/>
    <w:rsid w:val="006B432C"/>
    <w:rsid w:val="006B4442"/>
    <w:rsid w:val="006B49AB"/>
    <w:rsid w:val="006B53E9"/>
    <w:rsid w:val="006B53F6"/>
    <w:rsid w:val="006B5478"/>
    <w:rsid w:val="006B590B"/>
    <w:rsid w:val="006B68F9"/>
    <w:rsid w:val="006B6DCD"/>
    <w:rsid w:val="006B7383"/>
    <w:rsid w:val="006B78B8"/>
    <w:rsid w:val="006B7932"/>
    <w:rsid w:val="006C0C60"/>
    <w:rsid w:val="006C0D01"/>
    <w:rsid w:val="006C0D3E"/>
    <w:rsid w:val="006C3FB9"/>
    <w:rsid w:val="006C4A28"/>
    <w:rsid w:val="006C50D3"/>
    <w:rsid w:val="006C5214"/>
    <w:rsid w:val="006C537F"/>
    <w:rsid w:val="006C5898"/>
    <w:rsid w:val="006C59F9"/>
    <w:rsid w:val="006C6667"/>
    <w:rsid w:val="006C6C22"/>
    <w:rsid w:val="006C70AB"/>
    <w:rsid w:val="006C71F9"/>
    <w:rsid w:val="006C7367"/>
    <w:rsid w:val="006D01DD"/>
    <w:rsid w:val="006D05B6"/>
    <w:rsid w:val="006D0AC3"/>
    <w:rsid w:val="006D0BCF"/>
    <w:rsid w:val="006D0E6B"/>
    <w:rsid w:val="006D15CF"/>
    <w:rsid w:val="006D174B"/>
    <w:rsid w:val="006D189C"/>
    <w:rsid w:val="006D25F0"/>
    <w:rsid w:val="006D2B9D"/>
    <w:rsid w:val="006D3807"/>
    <w:rsid w:val="006D467A"/>
    <w:rsid w:val="006D4B95"/>
    <w:rsid w:val="006D538D"/>
    <w:rsid w:val="006D5982"/>
    <w:rsid w:val="006D6026"/>
    <w:rsid w:val="006D6F4B"/>
    <w:rsid w:val="006D7B40"/>
    <w:rsid w:val="006D7EC6"/>
    <w:rsid w:val="006E0467"/>
    <w:rsid w:val="006E0FE0"/>
    <w:rsid w:val="006E18A4"/>
    <w:rsid w:val="006E19A5"/>
    <w:rsid w:val="006E203C"/>
    <w:rsid w:val="006E33CA"/>
    <w:rsid w:val="006E3746"/>
    <w:rsid w:val="006E3B6B"/>
    <w:rsid w:val="006E46B8"/>
    <w:rsid w:val="006E498C"/>
    <w:rsid w:val="006E5A51"/>
    <w:rsid w:val="006E5E1E"/>
    <w:rsid w:val="006E7880"/>
    <w:rsid w:val="006E7B05"/>
    <w:rsid w:val="006F0221"/>
    <w:rsid w:val="006F02E5"/>
    <w:rsid w:val="006F069B"/>
    <w:rsid w:val="006F1457"/>
    <w:rsid w:val="006F1466"/>
    <w:rsid w:val="006F19A6"/>
    <w:rsid w:val="006F1A3B"/>
    <w:rsid w:val="006F2050"/>
    <w:rsid w:val="006F20EE"/>
    <w:rsid w:val="006F268A"/>
    <w:rsid w:val="006F2AE3"/>
    <w:rsid w:val="006F3129"/>
    <w:rsid w:val="006F33FB"/>
    <w:rsid w:val="006F364B"/>
    <w:rsid w:val="006F3E2F"/>
    <w:rsid w:val="006F4A23"/>
    <w:rsid w:val="006F4D3E"/>
    <w:rsid w:val="006F5060"/>
    <w:rsid w:val="006F54AB"/>
    <w:rsid w:val="006F5505"/>
    <w:rsid w:val="006F571F"/>
    <w:rsid w:val="006F5DBE"/>
    <w:rsid w:val="006F5E97"/>
    <w:rsid w:val="006F5FEB"/>
    <w:rsid w:val="006F63C5"/>
    <w:rsid w:val="006F6B3C"/>
    <w:rsid w:val="006F6D3F"/>
    <w:rsid w:val="00700009"/>
    <w:rsid w:val="00701474"/>
    <w:rsid w:val="007017B8"/>
    <w:rsid w:val="00702AAE"/>
    <w:rsid w:val="00703AA1"/>
    <w:rsid w:val="00703CF5"/>
    <w:rsid w:val="007040F9"/>
    <w:rsid w:val="007041DD"/>
    <w:rsid w:val="0070446E"/>
    <w:rsid w:val="0070498A"/>
    <w:rsid w:val="00704DB6"/>
    <w:rsid w:val="0070510C"/>
    <w:rsid w:val="007058D6"/>
    <w:rsid w:val="0070633A"/>
    <w:rsid w:val="007064AF"/>
    <w:rsid w:val="00706E76"/>
    <w:rsid w:val="007070E1"/>
    <w:rsid w:val="00707C09"/>
    <w:rsid w:val="00707DCA"/>
    <w:rsid w:val="007100FE"/>
    <w:rsid w:val="0071099F"/>
    <w:rsid w:val="007111EF"/>
    <w:rsid w:val="00711466"/>
    <w:rsid w:val="007114B5"/>
    <w:rsid w:val="0071232B"/>
    <w:rsid w:val="007128AB"/>
    <w:rsid w:val="00713D31"/>
    <w:rsid w:val="007144DE"/>
    <w:rsid w:val="00714B15"/>
    <w:rsid w:val="00714CEE"/>
    <w:rsid w:val="007156EC"/>
    <w:rsid w:val="0071604F"/>
    <w:rsid w:val="007160ED"/>
    <w:rsid w:val="00716401"/>
    <w:rsid w:val="0071666B"/>
    <w:rsid w:val="0071684A"/>
    <w:rsid w:val="007169F0"/>
    <w:rsid w:val="00717B63"/>
    <w:rsid w:val="00717E93"/>
    <w:rsid w:val="0072027C"/>
    <w:rsid w:val="00721427"/>
    <w:rsid w:val="007214C5"/>
    <w:rsid w:val="00721633"/>
    <w:rsid w:val="00721C24"/>
    <w:rsid w:val="00721D16"/>
    <w:rsid w:val="00722BBF"/>
    <w:rsid w:val="007235DC"/>
    <w:rsid w:val="00723D81"/>
    <w:rsid w:val="007242F7"/>
    <w:rsid w:val="0072478D"/>
    <w:rsid w:val="00724B41"/>
    <w:rsid w:val="00724FC0"/>
    <w:rsid w:val="00725445"/>
    <w:rsid w:val="00725E9E"/>
    <w:rsid w:val="007264C5"/>
    <w:rsid w:val="007279CC"/>
    <w:rsid w:val="00732484"/>
    <w:rsid w:val="00733986"/>
    <w:rsid w:val="007343F1"/>
    <w:rsid w:val="00734ECE"/>
    <w:rsid w:val="007350BC"/>
    <w:rsid w:val="00735110"/>
    <w:rsid w:val="00735B22"/>
    <w:rsid w:val="007363D4"/>
    <w:rsid w:val="00736438"/>
    <w:rsid w:val="007366C0"/>
    <w:rsid w:val="00736880"/>
    <w:rsid w:val="0073758E"/>
    <w:rsid w:val="00737BB4"/>
    <w:rsid w:val="0074006E"/>
    <w:rsid w:val="007402F6"/>
    <w:rsid w:val="007413A8"/>
    <w:rsid w:val="0074140F"/>
    <w:rsid w:val="007416A6"/>
    <w:rsid w:val="00741788"/>
    <w:rsid w:val="00742749"/>
    <w:rsid w:val="0074276B"/>
    <w:rsid w:val="00742CFF"/>
    <w:rsid w:val="00743E66"/>
    <w:rsid w:val="0074403F"/>
    <w:rsid w:val="007447AC"/>
    <w:rsid w:val="00744A94"/>
    <w:rsid w:val="00745009"/>
    <w:rsid w:val="0074500E"/>
    <w:rsid w:val="007450CA"/>
    <w:rsid w:val="00745302"/>
    <w:rsid w:val="0074547F"/>
    <w:rsid w:val="007458CD"/>
    <w:rsid w:val="00745B67"/>
    <w:rsid w:val="00745D4C"/>
    <w:rsid w:val="007460B8"/>
    <w:rsid w:val="00746AE1"/>
    <w:rsid w:val="00746CDD"/>
    <w:rsid w:val="007503B8"/>
    <w:rsid w:val="007504AD"/>
    <w:rsid w:val="00750E67"/>
    <w:rsid w:val="00751343"/>
    <w:rsid w:val="00751772"/>
    <w:rsid w:val="0075291D"/>
    <w:rsid w:val="00752B99"/>
    <w:rsid w:val="00752CBD"/>
    <w:rsid w:val="00752CE1"/>
    <w:rsid w:val="00752CFF"/>
    <w:rsid w:val="007537A5"/>
    <w:rsid w:val="007547D6"/>
    <w:rsid w:val="00754AA1"/>
    <w:rsid w:val="00754D86"/>
    <w:rsid w:val="00754E8A"/>
    <w:rsid w:val="00755129"/>
    <w:rsid w:val="00756369"/>
    <w:rsid w:val="00756901"/>
    <w:rsid w:val="00756C79"/>
    <w:rsid w:val="00756E84"/>
    <w:rsid w:val="00757787"/>
    <w:rsid w:val="00757ABA"/>
    <w:rsid w:val="00757F75"/>
    <w:rsid w:val="007603EB"/>
    <w:rsid w:val="00760928"/>
    <w:rsid w:val="00760C29"/>
    <w:rsid w:val="00761035"/>
    <w:rsid w:val="007614E5"/>
    <w:rsid w:val="007618BB"/>
    <w:rsid w:val="00761ABE"/>
    <w:rsid w:val="007626CD"/>
    <w:rsid w:val="00762871"/>
    <w:rsid w:val="007629E4"/>
    <w:rsid w:val="00762A2C"/>
    <w:rsid w:val="00762F35"/>
    <w:rsid w:val="00763151"/>
    <w:rsid w:val="007636C6"/>
    <w:rsid w:val="00764557"/>
    <w:rsid w:val="00764661"/>
    <w:rsid w:val="00765440"/>
    <w:rsid w:val="00765D63"/>
    <w:rsid w:val="007663D3"/>
    <w:rsid w:val="00766FCB"/>
    <w:rsid w:val="007703A5"/>
    <w:rsid w:val="007703DB"/>
    <w:rsid w:val="00771307"/>
    <w:rsid w:val="00771EF3"/>
    <w:rsid w:val="00772071"/>
    <w:rsid w:val="007721F5"/>
    <w:rsid w:val="007726C8"/>
    <w:rsid w:val="007728E8"/>
    <w:rsid w:val="00773466"/>
    <w:rsid w:val="0077395B"/>
    <w:rsid w:val="00773C3F"/>
    <w:rsid w:val="00773E68"/>
    <w:rsid w:val="0077464F"/>
    <w:rsid w:val="00775267"/>
    <w:rsid w:val="0077606D"/>
    <w:rsid w:val="0077622C"/>
    <w:rsid w:val="00776787"/>
    <w:rsid w:val="00776D83"/>
    <w:rsid w:val="00776FAB"/>
    <w:rsid w:val="00777263"/>
    <w:rsid w:val="00777690"/>
    <w:rsid w:val="007778D4"/>
    <w:rsid w:val="00777FBD"/>
    <w:rsid w:val="007801D5"/>
    <w:rsid w:val="0078072B"/>
    <w:rsid w:val="00780CE6"/>
    <w:rsid w:val="0078175C"/>
    <w:rsid w:val="00781B7C"/>
    <w:rsid w:val="00781F8A"/>
    <w:rsid w:val="00782342"/>
    <w:rsid w:val="00783752"/>
    <w:rsid w:val="00783A48"/>
    <w:rsid w:val="00783E8E"/>
    <w:rsid w:val="00784B6F"/>
    <w:rsid w:val="00784F1F"/>
    <w:rsid w:val="00785619"/>
    <w:rsid w:val="007856B5"/>
    <w:rsid w:val="00785CD0"/>
    <w:rsid w:val="00786B08"/>
    <w:rsid w:val="0078724B"/>
    <w:rsid w:val="0079098F"/>
    <w:rsid w:val="00791866"/>
    <w:rsid w:val="0079187D"/>
    <w:rsid w:val="007918FC"/>
    <w:rsid w:val="00791E8A"/>
    <w:rsid w:val="00792223"/>
    <w:rsid w:val="00792887"/>
    <w:rsid w:val="00793896"/>
    <w:rsid w:val="00793D81"/>
    <w:rsid w:val="0079432D"/>
    <w:rsid w:val="00794D80"/>
    <w:rsid w:val="00795287"/>
    <w:rsid w:val="007958D4"/>
    <w:rsid w:val="00796CBD"/>
    <w:rsid w:val="0079713D"/>
    <w:rsid w:val="00797169"/>
    <w:rsid w:val="00797929"/>
    <w:rsid w:val="00797FCF"/>
    <w:rsid w:val="007A0551"/>
    <w:rsid w:val="007A0628"/>
    <w:rsid w:val="007A0E8E"/>
    <w:rsid w:val="007A1C9F"/>
    <w:rsid w:val="007A213F"/>
    <w:rsid w:val="007A26AC"/>
    <w:rsid w:val="007A4AB5"/>
    <w:rsid w:val="007A4E8C"/>
    <w:rsid w:val="007A56F8"/>
    <w:rsid w:val="007A59B4"/>
    <w:rsid w:val="007A5A64"/>
    <w:rsid w:val="007A7596"/>
    <w:rsid w:val="007B053A"/>
    <w:rsid w:val="007B059C"/>
    <w:rsid w:val="007B0B03"/>
    <w:rsid w:val="007B1B8C"/>
    <w:rsid w:val="007B1D79"/>
    <w:rsid w:val="007B22C9"/>
    <w:rsid w:val="007B24C4"/>
    <w:rsid w:val="007B286B"/>
    <w:rsid w:val="007B2B4E"/>
    <w:rsid w:val="007B3212"/>
    <w:rsid w:val="007B32E8"/>
    <w:rsid w:val="007B3739"/>
    <w:rsid w:val="007B3A22"/>
    <w:rsid w:val="007B432E"/>
    <w:rsid w:val="007B4517"/>
    <w:rsid w:val="007B4921"/>
    <w:rsid w:val="007B4E82"/>
    <w:rsid w:val="007B59AE"/>
    <w:rsid w:val="007B5CA0"/>
    <w:rsid w:val="007B5E15"/>
    <w:rsid w:val="007B61DF"/>
    <w:rsid w:val="007B63F4"/>
    <w:rsid w:val="007B6848"/>
    <w:rsid w:val="007B6EB9"/>
    <w:rsid w:val="007B7469"/>
    <w:rsid w:val="007B7546"/>
    <w:rsid w:val="007B766B"/>
    <w:rsid w:val="007B78ED"/>
    <w:rsid w:val="007B7EE5"/>
    <w:rsid w:val="007C0082"/>
    <w:rsid w:val="007C0410"/>
    <w:rsid w:val="007C0A21"/>
    <w:rsid w:val="007C0CE9"/>
    <w:rsid w:val="007C0ED4"/>
    <w:rsid w:val="007C1030"/>
    <w:rsid w:val="007C126B"/>
    <w:rsid w:val="007C15C2"/>
    <w:rsid w:val="007C17BF"/>
    <w:rsid w:val="007C1992"/>
    <w:rsid w:val="007C2207"/>
    <w:rsid w:val="007C27B6"/>
    <w:rsid w:val="007C2D12"/>
    <w:rsid w:val="007C34AB"/>
    <w:rsid w:val="007C3D82"/>
    <w:rsid w:val="007C4733"/>
    <w:rsid w:val="007C4CB6"/>
    <w:rsid w:val="007C51C0"/>
    <w:rsid w:val="007C53A6"/>
    <w:rsid w:val="007C5500"/>
    <w:rsid w:val="007C5537"/>
    <w:rsid w:val="007C5B92"/>
    <w:rsid w:val="007C5D26"/>
    <w:rsid w:val="007C5EBB"/>
    <w:rsid w:val="007C6752"/>
    <w:rsid w:val="007C6970"/>
    <w:rsid w:val="007C6A70"/>
    <w:rsid w:val="007C7D0B"/>
    <w:rsid w:val="007D0331"/>
    <w:rsid w:val="007D045B"/>
    <w:rsid w:val="007D062E"/>
    <w:rsid w:val="007D085A"/>
    <w:rsid w:val="007D08A8"/>
    <w:rsid w:val="007D0968"/>
    <w:rsid w:val="007D0D44"/>
    <w:rsid w:val="007D0F56"/>
    <w:rsid w:val="007D1CBB"/>
    <w:rsid w:val="007D1DCE"/>
    <w:rsid w:val="007D22BB"/>
    <w:rsid w:val="007D23EC"/>
    <w:rsid w:val="007D3696"/>
    <w:rsid w:val="007D3907"/>
    <w:rsid w:val="007D3926"/>
    <w:rsid w:val="007D395B"/>
    <w:rsid w:val="007D4858"/>
    <w:rsid w:val="007D508B"/>
    <w:rsid w:val="007D5168"/>
    <w:rsid w:val="007D59C4"/>
    <w:rsid w:val="007D5ACF"/>
    <w:rsid w:val="007D5EBC"/>
    <w:rsid w:val="007D6067"/>
    <w:rsid w:val="007D65FE"/>
    <w:rsid w:val="007D6E16"/>
    <w:rsid w:val="007D735A"/>
    <w:rsid w:val="007D7490"/>
    <w:rsid w:val="007D7E4D"/>
    <w:rsid w:val="007E0B10"/>
    <w:rsid w:val="007E0CE6"/>
    <w:rsid w:val="007E127C"/>
    <w:rsid w:val="007E128E"/>
    <w:rsid w:val="007E1B77"/>
    <w:rsid w:val="007E2122"/>
    <w:rsid w:val="007E236C"/>
    <w:rsid w:val="007E2B4F"/>
    <w:rsid w:val="007E2DF1"/>
    <w:rsid w:val="007E32DB"/>
    <w:rsid w:val="007E3574"/>
    <w:rsid w:val="007E3C55"/>
    <w:rsid w:val="007E3FC0"/>
    <w:rsid w:val="007E4181"/>
    <w:rsid w:val="007E4B66"/>
    <w:rsid w:val="007E4BBE"/>
    <w:rsid w:val="007E52F2"/>
    <w:rsid w:val="007E5E43"/>
    <w:rsid w:val="007E69D6"/>
    <w:rsid w:val="007E6BD1"/>
    <w:rsid w:val="007E772B"/>
    <w:rsid w:val="007E7F64"/>
    <w:rsid w:val="007F01B5"/>
    <w:rsid w:val="007F034B"/>
    <w:rsid w:val="007F0883"/>
    <w:rsid w:val="007F0AF1"/>
    <w:rsid w:val="007F0B10"/>
    <w:rsid w:val="007F0C4F"/>
    <w:rsid w:val="007F11F4"/>
    <w:rsid w:val="007F12B4"/>
    <w:rsid w:val="007F1DB4"/>
    <w:rsid w:val="007F2E80"/>
    <w:rsid w:val="007F365F"/>
    <w:rsid w:val="007F37E6"/>
    <w:rsid w:val="007F3D27"/>
    <w:rsid w:val="007F3DE2"/>
    <w:rsid w:val="007F4E8D"/>
    <w:rsid w:val="007F500D"/>
    <w:rsid w:val="007F6148"/>
    <w:rsid w:val="007F681D"/>
    <w:rsid w:val="007F6DBA"/>
    <w:rsid w:val="007F781C"/>
    <w:rsid w:val="00801FCC"/>
    <w:rsid w:val="00802587"/>
    <w:rsid w:val="0080369E"/>
    <w:rsid w:val="00803E74"/>
    <w:rsid w:val="0080423C"/>
    <w:rsid w:val="008047B0"/>
    <w:rsid w:val="00804FBD"/>
    <w:rsid w:val="00805A67"/>
    <w:rsid w:val="0080671C"/>
    <w:rsid w:val="008068D0"/>
    <w:rsid w:val="0080697A"/>
    <w:rsid w:val="00806E10"/>
    <w:rsid w:val="00807461"/>
    <w:rsid w:val="00807D18"/>
    <w:rsid w:val="00807D1A"/>
    <w:rsid w:val="0081034B"/>
    <w:rsid w:val="00810B1C"/>
    <w:rsid w:val="00810F9D"/>
    <w:rsid w:val="00810FC6"/>
    <w:rsid w:val="00811027"/>
    <w:rsid w:val="00811042"/>
    <w:rsid w:val="008110D1"/>
    <w:rsid w:val="008111B5"/>
    <w:rsid w:val="00811325"/>
    <w:rsid w:val="00811446"/>
    <w:rsid w:val="008116BB"/>
    <w:rsid w:val="00811746"/>
    <w:rsid w:val="00811B97"/>
    <w:rsid w:val="00812079"/>
    <w:rsid w:val="008124CF"/>
    <w:rsid w:val="00814014"/>
    <w:rsid w:val="00814C18"/>
    <w:rsid w:val="00815A67"/>
    <w:rsid w:val="00815C89"/>
    <w:rsid w:val="00815C94"/>
    <w:rsid w:val="00815DB3"/>
    <w:rsid w:val="00816CA4"/>
    <w:rsid w:val="00816FB9"/>
    <w:rsid w:val="00817930"/>
    <w:rsid w:val="00817E9C"/>
    <w:rsid w:val="008202BB"/>
    <w:rsid w:val="008205D8"/>
    <w:rsid w:val="00820AC4"/>
    <w:rsid w:val="00820C54"/>
    <w:rsid w:val="00820D84"/>
    <w:rsid w:val="008213BE"/>
    <w:rsid w:val="008215D5"/>
    <w:rsid w:val="00821783"/>
    <w:rsid w:val="0082283B"/>
    <w:rsid w:val="00822E44"/>
    <w:rsid w:val="00823DDA"/>
    <w:rsid w:val="008246BB"/>
    <w:rsid w:val="008252B2"/>
    <w:rsid w:val="0082598E"/>
    <w:rsid w:val="0082692A"/>
    <w:rsid w:val="00826FB9"/>
    <w:rsid w:val="008276A3"/>
    <w:rsid w:val="00830154"/>
    <w:rsid w:val="00830AB0"/>
    <w:rsid w:val="00831186"/>
    <w:rsid w:val="0083139F"/>
    <w:rsid w:val="00831581"/>
    <w:rsid w:val="00831A5C"/>
    <w:rsid w:val="00833D57"/>
    <w:rsid w:val="00834088"/>
    <w:rsid w:val="008344CE"/>
    <w:rsid w:val="00834635"/>
    <w:rsid w:val="00834BAD"/>
    <w:rsid w:val="008351D5"/>
    <w:rsid w:val="008352C0"/>
    <w:rsid w:val="0083587B"/>
    <w:rsid w:val="008360FC"/>
    <w:rsid w:val="00836267"/>
    <w:rsid w:val="008363A5"/>
    <w:rsid w:val="008365F6"/>
    <w:rsid w:val="00836A13"/>
    <w:rsid w:val="008378AC"/>
    <w:rsid w:val="00837988"/>
    <w:rsid w:val="00837DFC"/>
    <w:rsid w:val="0084183C"/>
    <w:rsid w:val="00841AC6"/>
    <w:rsid w:val="00841B5B"/>
    <w:rsid w:val="008421BC"/>
    <w:rsid w:val="008428AA"/>
    <w:rsid w:val="00843178"/>
    <w:rsid w:val="00843634"/>
    <w:rsid w:val="008437F6"/>
    <w:rsid w:val="00843ACB"/>
    <w:rsid w:val="0084417F"/>
    <w:rsid w:val="0084419D"/>
    <w:rsid w:val="00844656"/>
    <w:rsid w:val="008449CF"/>
    <w:rsid w:val="008453EC"/>
    <w:rsid w:val="00845503"/>
    <w:rsid w:val="00845532"/>
    <w:rsid w:val="0084560E"/>
    <w:rsid w:val="00845748"/>
    <w:rsid w:val="00845833"/>
    <w:rsid w:val="00845E52"/>
    <w:rsid w:val="00845EEB"/>
    <w:rsid w:val="00846712"/>
    <w:rsid w:val="00846757"/>
    <w:rsid w:val="00846C68"/>
    <w:rsid w:val="00847B48"/>
    <w:rsid w:val="00847B6E"/>
    <w:rsid w:val="008508CC"/>
    <w:rsid w:val="00850EB6"/>
    <w:rsid w:val="008517B5"/>
    <w:rsid w:val="00851A8D"/>
    <w:rsid w:val="00851B13"/>
    <w:rsid w:val="00852547"/>
    <w:rsid w:val="008537E7"/>
    <w:rsid w:val="0085423E"/>
    <w:rsid w:val="00854556"/>
    <w:rsid w:val="00854590"/>
    <w:rsid w:val="0085483B"/>
    <w:rsid w:val="0085529A"/>
    <w:rsid w:val="0085544A"/>
    <w:rsid w:val="008554BC"/>
    <w:rsid w:val="00855A2A"/>
    <w:rsid w:val="00855E0D"/>
    <w:rsid w:val="0085683E"/>
    <w:rsid w:val="00856AAA"/>
    <w:rsid w:val="0085718E"/>
    <w:rsid w:val="00857526"/>
    <w:rsid w:val="00860AE8"/>
    <w:rsid w:val="0086199E"/>
    <w:rsid w:val="00861B87"/>
    <w:rsid w:val="00861ECD"/>
    <w:rsid w:val="00862178"/>
    <w:rsid w:val="00862E4D"/>
    <w:rsid w:val="00862F2A"/>
    <w:rsid w:val="00862F77"/>
    <w:rsid w:val="00863F58"/>
    <w:rsid w:val="008641E1"/>
    <w:rsid w:val="008644BB"/>
    <w:rsid w:val="00864997"/>
    <w:rsid w:val="00864ABE"/>
    <w:rsid w:val="008655C7"/>
    <w:rsid w:val="00865DCE"/>
    <w:rsid w:val="008665EC"/>
    <w:rsid w:val="0086672C"/>
    <w:rsid w:val="0086748D"/>
    <w:rsid w:val="008675A9"/>
    <w:rsid w:val="008704FD"/>
    <w:rsid w:val="008708EA"/>
    <w:rsid w:val="00870CEB"/>
    <w:rsid w:val="00870FF3"/>
    <w:rsid w:val="00871E6D"/>
    <w:rsid w:val="0087223B"/>
    <w:rsid w:val="00872994"/>
    <w:rsid w:val="00872F1D"/>
    <w:rsid w:val="00873837"/>
    <w:rsid w:val="00873E7B"/>
    <w:rsid w:val="008744BF"/>
    <w:rsid w:val="00874727"/>
    <w:rsid w:val="008747D9"/>
    <w:rsid w:val="00874C30"/>
    <w:rsid w:val="00874C5E"/>
    <w:rsid w:val="00875047"/>
    <w:rsid w:val="0087517C"/>
    <w:rsid w:val="0087562F"/>
    <w:rsid w:val="0087588E"/>
    <w:rsid w:val="00875EDE"/>
    <w:rsid w:val="00876568"/>
    <w:rsid w:val="0087719D"/>
    <w:rsid w:val="00877262"/>
    <w:rsid w:val="00877ADB"/>
    <w:rsid w:val="00877D1A"/>
    <w:rsid w:val="00880832"/>
    <w:rsid w:val="00880E9D"/>
    <w:rsid w:val="008813DE"/>
    <w:rsid w:val="008817C3"/>
    <w:rsid w:val="0088185A"/>
    <w:rsid w:val="00882B60"/>
    <w:rsid w:val="00882FF5"/>
    <w:rsid w:val="008836DD"/>
    <w:rsid w:val="008836FD"/>
    <w:rsid w:val="00883786"/>
    <w:rsid w:val="008845A1"/>
    <w:rsid w:val="0088474B"/>
    <w:rsid w:val="008847FE"/>
    <w:rsid w:val="00884A3C"/>
    <w:rsid w:val="00884D45"/>
    <w:rsid w:val="0088531A"/>
    <w:rsid w:val="00885436"/>
    <w:rsid w:val="00885BA3"/>
    <w:rsid w:val="00885C40"/>
    <w:rsid w:val="0088684C"/>
    <w:rsid w:val="00886B7A"/>
    <w:rsid w:val="0088710A"/>
    <w:rsid w:val="00887275"/>
    <w:rsid w:val="00887411"/>
    <w:rsid w:val="008903EC"/>
    <w:rsid w:val="0089054B"/>
    <w:rsid w:val="0089096B"/>
    <w:rsid w:val="0089111F"/>
    <w:rsid w:val="00891265"/>
    <w:rsid w:val="008913E8"/>
    <w:rsid w:val="00891A35"/>
    <w:rsid w:val="00891AF9"/>
    <w:rsid w:val="00891BDD"/>
    <w:rsid w:val="00891EE0"/>
    <w:rsid w:val="0089216C"/>
    <w:rsid w:val="00892466"/>
    <w:rsid w:val="00893354"/>
    <w:rsid w:val="00893FC3"/>
    <w:rsid w:val="008940E0"/>
    <w:rsid w:val="00894646"/>
    <w:rsid w:val="008947D8"/>
    <w:rsid w:val="00894965"/>
    <w:rsid w:val="00894AB5"/>
    <w:rsid w:val="008963CA"/>
    <w:rsid w:val="00896A0D"/>
    <w:rsid w:val="0089722C"/>
    <w:rsid w:val="008972C5"/>
    <w:rsid w:val="008A091F"/>
    <w:rsid w:val="008A0F0E"/>
    <w:rsid w:val="008A0FF4"/>
    <w:rsid w:val="008A1D85"/>
    <w:rsid w:val="008A28CD"/>
    <w:rsid w:val="008A296C"/>
    <w:rsid w:val="008A29B5"/>
    <w:rsid w:val="008A2AA0"/>
    <w:rsid w:val="008A3100"/>
    <w:rsid w:val="008A33D0"/>
    <w:rsid w:val="008A3586"/>
    <w:rsid w:val="008A36EB"/>
    <w:rsid w:val="008A370B"/>
    <w:rsid w:val="008A3B8D"/>
    <w:rsid w:val="008A3BA3"/>
    <w:rsid w:val="008A3E4E"/>
    <w:rsid w:val="008A4CA5"/>
    <w:rsid w:val="008A564F"/>
    <w:rsid w:val="008A65CF"/>
    <w:rsid w:val="008A7398"/>
    <w:rsid w:val="008A74D9"/>
    <w:rsid w:val="008A7D89"/>
    <w:rsid w:val="008B03D9"/>
    <w:rsid w:val="008B05F5"/>
    <w:rsid w:val="008B0652"/>
    <w:rsid w:val="008B0CA9"/>
    <w:rsid w:val="008B1D0A"/>
    <w:rsid w:val="008B1DBF"/>
    <w:rsid w:val="008B24E9"/>
    <w:rsid w:val="008B260D"/>
    <w:rsid w:val="008B2A80"/>
    <w:rsid w:val="008B2CCB"/>
    <w:rsid w:val="008B3A4C"/>
    <w:rsid w:val="008B476F"/>
    <w:rsid w:val="008B5CFA"/>
    <w:rsid w:val="008B6AC4"/>
    <w:rsid w:val="008B6ADA"/>
    <w:rsid w:val="008B6E28"/>
    <w:rsid w:val="008B78B0"/>
    <w:rsid w:val="008B798F"/>
    <w:rsid w:val="008B7A87"/>
    <w:rsid w:val="008B7C21"/>
    <w:rsid w:val="008C0330"/>
    <w:rsid w:val="008C0F15"/>
    <w:rsid w:val="008C11F8"/>
    <w:rsid w:val="008C1E49"/>
    <w:rsid w:val="008C2169"/>
    <w:rsid w:val="008C23D8"/>
    <w:rsid w:val="008C28CB"/>
    <w:rsid w:val="008C2E48"/>
    <w:rsid w:val="008C2EEA"/>
    <w:rsid w:val="008C31A0"/>
    <w:rsid w:val="008C3522"/>
    <w:rsid w:val="008C460D"/>
    <w:rsid w:val="008C4A2C"/>
    <w:rsid w:val="008C4D2C"/>
    <w:rsid w:val="008C5545"/>
    <w:rsid w:val="008C5B6F"/>
    <w:rsid w:val="008C6084"/>
    <w:rsid w:val="008C6C36"/>
    <w:rsid w:val="008C7271"/>
    <w:rsid w:val="008D052C"/>
    <w:rsid w:val="008D05C2"/>
    <w:rsid w:val="008D0AB5"/>
    <w:rsid w:val="008D0F90"/>
    <w:rsid w:val="008D1025"/>
    <w:rsid w:val="008D1E44"/>
    <w:rsid w:val="008D20BB"/>
    <w:rsid w:val="008D231D"/>
    <w:rsid w:val="008D2D04"/>
    <w:rsid w:val="008D3364"/>
    <w:rsid w:val="008D3910"/>
    <w:rsid w:val="008D3AC1"/>
    <w:rsid w:val="008D441D"/>
    <w:rsid w:val="008D4508"/>
    <w:rsid w:val="008D45FA"/>
    <w:rsid w:val="008D4DC1"/>
    <w:rsid w:val="008D4F67"/>
    <w:rsid w:val="008D4FBE"/>
    <w:rsid w:val="008D5622"/>
    <w:rsid w:val="008D5790"/>
    <w:rsid w:val="008D57B1"/>
    <w:rsid w:val="008D5C68"/>
    <w:rsid w:val="008D60B6"/>
    <w:rsid w:val="008D62FC"/>
    <w:rsid w:val="008D783B"/>
    <w:rsid w:val="008D7851"/>
    <w:rsid w:val="008D7924"/>
    <w:rsid w:val="008D7AB2"/>
    <w:rsid w:val="008E04B7"/>
    <w:rsid w:val="008E0BCA"/>
    <w:rsid w:val="008E1135"/>
    <w:rsid w:val="008E19E5"/>
    <w:rsid w:val="008E31F9"/>
    <w:rsid w:val="008E39EB"/>
    <w:rsid w:val="008E49A1"/>
    <w:rsid w:val="008E4E21"/>
    <w:rsid w:val="008E5016"/>
    <w:rsid w:val="008E50BA"/>
    <w:rsid w:val="008E5EBA"/>
    <w:rsid w:val="008F1372"/>
    <w:rsid w:val="008F18E5"/>
    <w:rsid w:val="008F251A"/>
    <w:rsid w:val="008F264C"/>
    <w:rsid w:val="008F2805"/>
    <w:rsid w:val="008F2BA1"/>
    <w:rsid w:val="008F2C49"/>
    <w:rsid w:val="008F31C1"/>
    <w:rsid w:val="008F5842"/>
    <w:rsid w:val="008F65A1"/>
    <w:rsid w:val="008F66BD"/>
    <w:rsid w:val="008F6B9E"/>
    <w:rsid w:val="008F71DF"/>
    <w:rsid w:val="008F77B3"/>
    <w:rsid w:val="008F7DE4"/>
    <w:rsid w:val="009007A2"/>
    <w:rsid w:val="009017D1"/>
    <w:rsid w:val="00901A82"/>
    <w:rsid w:val="009024E1"/>
    <w:rsid w:val="00903C3B"/>
    <w:rsid w:val="00904324"/>
    <w:rsid w:val="0090523D"/>
    <w:rsid w:val="009053EC"/>
    <w:rsid w:val="00905574"/>
    <w:rsid w:val="0090609E"/>
    <w:rsid w:val="00906FAA"/>
    <w:rsid w:val="00907C44"/>
    <w:rsid w:val="00907FCF"/>
    <w:rsid w:val="00910D9B"/>
    <w:rsid w:val="00911610"/>
    <w:rsid w:val="00911688"/>
    <w:rsid w:val="00911D6E"/>
    <w:rsid w:val="00912BA0"/>
    <w:rsid w:val="0091304A"/>
    <w:rsid w:val="009145B2"/>
    <w:rsid w:val="0091490B"/>
    <w:rsid w:val="00914E85"/>
    <w:rsid w:val="0091519C"/>
    <w:rsid w:val="009157EF"/>
    <w:rsid w:val="00916448"/>
    <w:rsid w:val="009166B1"/>
    <w:rsid w:val="00916D27"/>
    <w:rsid w:val="00916EA9"/>
    <w:rsid w:val="0091727D"/>
    <w:rsid w:val="00917414"/>
    <w:rsid w:val="00920A49"/>
    <w:rsid w:val="009225FE"/>
    <w:rsid w:val="009228BB"/>
    <w:rsid w:val="00923255"/>
    <w:rsid w:val="00924137"/>
    <w:rsid w:val="009242B9"/>
    <w:rsid w:val="00924907"/>
    <w:rsid w:val="00924DF7"/>
    <w:rsid w:val="00924FDE"/>
    <w:rsid w:val="009253EB"/>
    <w:rsid w:val="00925C45"/>
    <w:rsid w:val="00925E54"/>
    <w:rsid w:val="0092607F"/>
    <w:rsid w:val="00927B36"/>
    <w:rsid w:val="009301BA"/>
    <w:rsid w:val="0093063A"/>
    <w:rsid w:val="0093065C"/>
    <w:rsid w:val="009310D7"/>
    <w:rsid w:val="00931ADA"/>
    <w:rsid w:val="009321E8"/>
    <w:rsid w:val="00932243"/>
    <w:rsid w:val="00932841"/>
    <w:rsid w:val="00932ABF"/>
    <w:rsid w:val="00932C40"/>
    <w:rsid w:val="009349C0"/>
    <w:rsid w:val="009354E0"/>
    <w:rsid w:val="00935B1B"/>
    <w:rsid w:val="00936C6C"/>
    <w:rsid w:val="009375EE"/>
    <w:rsid w:val="00940506"/>
    <w:rsid w:val="00940AC3"/>
    <w:rsid w:val="00940F4A"/>
    <w:rsid w:val="009410F8"/>
    <w:rsid w:val="0094171B"/>
    <w:rsid w:val="00942898"/>
    <w:rsid w:val="00942907"/>
    <w:rsid w:val="0094295B"/>
    <w:rsid w:val="00942B59"/>
    <w:rsid w:val="00942D63"/>
    <w:rsid w:val="009436E2"/>
    <w:rsid w:val="00943789"/>
    <w:rsid w:val="00943A51"/>
    <w:rsid w:val="009443BF"/>
    <w:rsid w:val="00944644"/>
    <w:rsid w:val="00944C74"/>
    <w:rsid w:val="00944EA5"/>
    <w:rsid w:val="009459A9"/>
    <w:rsid w:val="00945A07"/>
    <w:rsid w:val="00945A91"/>
    <w:rsid w:val="00946311"/>
    <w:rsid w:val="0094635A"/>
    <w:rsid w:val="009469FC"/>
    <w:rsid w:val="00946ABC"/>
    <w:rsid w:val="00946B08"/>
    <w:rsid w:val="0094707E"/>
    <w:rsid w:val="009478C4"/>
    <w:rsid w:val="00947B6E"/>
    <w:rsid w:val="00947B9E"/>
    <w:rsid w:val="00950189"/>
    <w:rsid w:val="009504E4"/>
    <w:rsid w:val="00951361"/>
    <w:rsid w:val="00951A0B"/>
    <w:rsid w:val="00951F9B"/>
    <w:rsid w:val="0095221D"/>
    <w:rsid w:val="00952AE2"/>
    <w:rsid w:val="00952E50"/>
    <w:rsid w:val="00954021"/>
    <w:rsid w:val="00954589"/>
    <w:rsid w:val="00954741"/>
    <w:rsid w:val="0095496D"/>
    <w:rsid w:val="00954FFD"/>
    <w:rsid w:val="009553BC"/>
    <w:rsid w:val="00955B79"/>
    <w:rsid w:val="00955DA1"/>
    <w:rsid w:val="00955DB9"/>
    <w:rsid w:val="00956AAF"/>
    <w:rsid w:val="00960145"/>
    <w:rsid w:val="00960207"/>
    <w:rsid w:val="009604B7"/>
    <w:rsid w:val="00960CCB"/>
    <w:rsid w:val="009610DD"/>
    <w:rsid w:val="0096110B"/>
    <w:rsid w:val="00961932"/>
    <w:rsid w:val="00961C0B"/>
    <w:rsid w:val="00962608"/>
    <w:rsid w:val="00962772"/>
    <w:rsid w:val="00962781"/>
    <w:rsid w:val="00962C02"/>
    <w:rsid w:val="00962DB7"/>
    <w:rsid w:val="00964333"/>
    <w:rsid w:val="009644B3"/>
    <w:rsid w:val="00964B79"/>
    <w:rsid w:val="00965F26"/>
    <w:rsid w:val="00966902"/>
    <w:rsid w:val="00966C63"/>
    <w:rsid w:val="00967577"/>
    <w:rsid w:val="00967E64"/>
    <w:rsid w:val="009701D5"/>
    <w:rsid w:val="009703DB"/>
    <w:rsid w:val="009706AE"/>
    <w:rsid w:val="00971246"/>
    <w:rsid w:val="00971D0B"/>
    <w:rsid w:val="0097201F"/>
    <w:rsid w:val="00972209"/>
    <w:rsid w:val="00973322"/>
    <w:rsid w:val="009734EB"/>
    <w:rsid w:val="00973726"/>
    <w:rsid w:val="009744F3"/>
    <w:rsid w:val="0097536D"/>
    <w:rsid w:val="00975462"/>
    <w:rsid w:val="00975982"/>
    <w:rsid w:val="00975D55"/>
    <w:rsid w:val="0097677F"/>
    <w:rsid w:val="00977F63"/>
    <w:rsid w:val="00980544"/>
    <w:rsid w:val="009809BE"/>
    <w:rsid w:val="00980A07"/>
    <w:rsid w:val="009810A5"/>
    <w:rsid w:val="0098113A"/>
    <w:rsid w:val="0098186B"/>
    <w:rsid w:val="0098196A"/>
    <w:rsid w:val="00982007"/>
    <w:rsid w:val="009820CB"/>
    <w:rsid w:val="00985555"/>
    <w:rsid w:val="0098662E"/>
    <w:rsid w:val="00986659"/>
    <w:rsid w:val="00986898"/>
    <w:rsid w:val="00986B6B"/>
    <w:rsid w:val="00986CD5"/>
    <w:rsid w:val="009874B5"/>
    <w:rsid w:val="0098759D"/>
    <w:rsid w:val="00987E86"/>
    <w:rsid w:val="00991023"/>
    <w:rsid w:val="0099151B"/>
    <w:rsid w:val="0099248F"/>
    <w:rsid w:val="0099286D"/>
    <w:rsid w:val="009932EF"/>
    <w:rsid w:val="00993D81"/>
    <w:rsid w:val="00994DE3"/>
    <w:rsid w:val="00995C27"/>
    <w:rsid w:val="00995F76"/>
    <w:rsid w:val="00995FE2"/>
    <w:rsid w:val="0099726C"/>
    <w:rsid w:val="00997996"/>
    <w:rsid w:val="00997F23"/>
    <w:rsid w:val="009A02D2"/>
    <w:rsid w:val="009A0568"/>
    <w:rsid w:val="009A0A5E"/>
    <w:rsid w:val="009A0A70"/>
    <w:rsid w:val="009A0D23"/>
    <w:rsid w:val="009A0DF1"/>
    <w:rsid w:val="009A0F55"/>
    <w:rsid w:val="009A24A2"/>
    <w:rsid w:val="009A2512"/>
    <w:rsid w:val="009A2DAA"/>
    <w:rsid w:val="009A2E8B"/>
    <w:rsid w:val="009A3F7F"/>
    <w:rsid w:val="009A5638"/>
    <w:rsid w:val="009A5E87"/>
    <w:rsid w:val="009A647E"/>
    <w:rsid w:val="009A69B6"/>
    <w:rsid w:val="009A6E2E"/>
    <w:rsid w:val="009A6E5D"/>
    <w:rsid w:val="009A7BF5"/>
    <w:rsid w:val="009B0549"/>
    <w:rsid w:val="009B05C6"/>
    <w:rsid w:val="009B2757"/>
    <w:rsid w:val="009B2E08"/>
    <w:rsid w:val="009B337D"/>
    <w:rsid w:val="009B3D72"/>
    <w:rsid w:val="009B44DB"/>
    <w:rsid w:val="009B5305"/>
    <w:rsid w:val="009B560F"/>
    <w:rsid w:val="009B5AA8"/>
    <w:rsid w:val="009B6287"/>
    <w:rsid w:val="009B6A1A"/>
    <w:rsid w:val="009B746A"/>
    <w:rsid w:val="009B7E23"/>
    <w:rsid w:val="009C1A83"/>
    <w:rsid w:val="009C1EAF"/>
    <w:rsid w:val="009C2A33"/>
    <w:rsid w:val="009C2E6A"/>
    <w:rsid w:val="009C3CB8"/>
    <w:rsid w:val="009C3D88"/>
    <w:rsid w:val="009C3E11"/>
    <w:rsid w:val="009C4CFF"/>
    <w:rsid w:val="009C4D71"/>
    <w:rsid w:val="009C4FED"/>
    <w:rsid w:val="009C50A1"/>
    <w:rsid w:val="009C562C"/>
    <w:rsid w:val="009C56F1"/>
    <w:rsid w:val="009C5CFD"/>
    <w:rsid w:val="009C6806"/>
    <w:rsid w:val="009C6FE1"/>
    <w:rsid w:val="009C72A2"/>
    <w:rsid w:val="009C7317"/>
    <w:rsid w:val="009C7640"/>
    <w:rsid w:val="009C79F4"/>
    <w:rsid w:val="009D0033"/>
    <w:rsid w:val="009D00E3"/>
    <w:rsid w:val="009D0148"/>
    <w:rsid w:val="009D032B"/>
    <w:rsid w:val="009D0D40"/>
    <w:rsid w:val="009D0F92"/>
    <w:rsid w:val="009D16C4"/>
    <w:rsid w:val="009D1B84"/>
    <w:rsid w:val="009D28CA"/>
    <w:rsid w:val="009D3233"/>
    <w:rsid w:val="009D335A"/>
    <w:rsid w:val="009D3A94"/>
    <w:rsid w:val="009D3E29"/>
    <w:rsid w:val="009D46FA"/>
    <w:rsid w:val="009D4E8A"/>
    <w:rsid w:val="009D5A8B"/>
    <w:rsid w:val="009D5B12"/>
    <w:rsid w:val="009D5BCA"/>
    <w:rsid w:val="009D610A"/>
    <w:rsid w:val="009D6276"/>
    <w:rsid w:val="009D62CB"/>
    <w:rsid w:val="009D6683"/>
    <w:rsid w:val="009D6CCD"/>
    <w:rsid w:val="009D7066"/>
    <w:rsid w:val="009D7DBD"/>
    <w:rsid w:val="009E04A9"/>
    <w:rsid w:val="009E0BEF"/>
    <w:rsid w:val="009E1047"/>
    <w:rsid w:val="009E12FB"/>
    <w:rsid w:val="009E184D"/>
    <w:rsid w:val="009E1F98"/>
    <w:rsid w:val="009E231D"/>
    <w:rsid w:val="009E25C9"/>
    <w:rsid w:val="009E3618"/>
    <w:rsid w:val="009E39D2"/>
    <w:rsid w:val="009E3FBF"/>
    <w:rsid w:val="009E4F59"/>
    <w:rsid w:val="009E51CC"/>
    <w:rsid w:val="009E535B"/>
    <w:rsid w:val="009E5487"/>
    <w:rsid w:val="009E56FA"/>
    <w:rsid w:val="009E5726"/>
    <w:rsid w:val="009E574F"/>
    <w:rsid w:val="009E5818"/>
    <w:rsid w:val="009E65E8"/>
    <w:rsid w:val="009E7251"/>
    <w:rsid w:val="009E734E"/>
    <w:rsid w:val="009E7A74"/>
    <w:rsid w:val="009F009E"/>
    <w:rsid w:val="009F041C"/>
    <w:rsid w:val="009F0823"/>
    <w:rsid w:val="009F121D"/>
    <w:rsid w:val="009F15C4"/>
    <w:rsid w:val="009F1F64"/>
    <w:rsid w:val="009F2248"/>
    <w:rsid w:val="009F240A"/>
    <w:rsid w:val="009F2454"/>
    <w:rsid w:val="009F2966"/>
    <w:rsid w:val="009F2BD2"/>
    <w:rsid w:val="009F2D18"/>
    <w:rsid w:val="009F3846"/>
    <w:rsid w:val="009F3AC1"/>
    <w:rsid w:val="009F4A0C"/>
    <w:rsid w:val="009F4BD8"/>
    <w:rsid w:val="009F6258"/>
    <w:rsid w:val="009F675C"/>
    <w:rsid w:val="009F6867"/>
    <w:rsid w:val="009F6878"/>
    <w:rsid w:val="009F7AD1"/>
    <w:rsid w:val="00A000AE"/>
    <w:rsid w:val="00A0079F"/>
    <w:rsid w:val="00A0115B"/>
    <w:rsid w:val="00A012FB"/>
    <w:rsid w:val="00A01850"/>
    <w:rsid w:val="00A0189B"/>
    <w:rsid w:val="00A026F6"/>
    <w:rsid w:val="00A0317E"/>
    <w:rsid w:val="00A03F79"/>
    <w:rsid w:val="00A0454D"/>
    <w:rsid w:val="00A04E50"/>
    <w:rsid w:val="00A0504D"/>
    <w:rsid w:val="00A062E2"/>
    <w:rsid w:val="00A06ACF"/>
    <w:rsid w:val="00A07704"/>
    <w:rsid w:val="00A07A82"/>
    <w:rsid w:val="00A07C23"/>
    <w:rsid w:val="00A07C92"/>
    <w:rsid w:val="00A07D57"/>
    <w:rsid w:val="00A07D79"/>
    <w:rsid w:val="00A10053"/>
    <w:rsid w:val="00A10416"/>
    <w:rsid w:val="00A1082C"/>
    <w:rsid w:val="00A1100B"/>
    <w:rsid w:val="00A1117F"/>
    <w:rsid w:val="00A11298"/>
    <w:rsid w:val="00A11865"/>
    <w:rsid w:val="00A118EB"/>
    <w:rsid w:val="00A12105"/>
    <w:rsid w:val="00A1261C"/>
    <w:rsid w:val="00A126FD"/>
    <w:rsid w:val="00A12729"/>
    <w:rsid w:val="00A1272F"/>
    <w:rsid w:val="00A12D34"/>
    <w:rsid w:val="00A13284"/>
    <w:rsid w:val="00A133E2"/>
    <w:rsid w:val="00A13BA1"/>
    <w:rsid w:val="00A1450A"/>
    <w:rsid w:val="00A147E3"/>
    <w:rsid w:val="00A14CE2"/>
    <w:rsid w:val="00A1572C"/>
    <w:rsid w:val="00A15815"/>
    <w:rsid w:val="00A160D3"/>
    <w:rsid w:val="00A1684D"/>
    <w:rsid w:val="00A179DC"/>
    <w:rsid w:val="00A17A5E"/>
    <w:rsid w:val="00A200E6"/>
    <w:rsid w:val="00A20203"/>
    <w:rsid w:val="00A2037A"/>
    <w:rsid w:val="00A2072B"/>
    <w:rsid w:val="00A20CE3"/>
    <w:rsid w:val="00A20D50"/>
    <w:rsid w:val="00A20DAB"/>
    <w:rsid w:val="00A21B42"/>
    <w:rsid w:val="00A21CD9"/>
    <w:rsid w:val="00A2237E"/>
    <w:rsid w:val="00A226B5"/>
    <w:rsid w:val="00A232D4"/>
    <w:rsid w:val="00A23655"/>
    <w:rsid w:val="00A237C8"/>
    <w:rsid w:val="00A246C9"/>
    <w:rsid w:val="00A24945"/>
    <w:rsid w:val="00A2519D"/>
    <w:rsid w:val="00A25B9E"/>
    <w:rsid w:val="00A25C6D"/>
    <w:rsid w:val="00A268E0"/>
    <w:rsid w:val="00A2698B"/>
    <w:rsid w:val="00A26E1A"/>
    <w:rsid w:val="00A277BF"/>
    <w:rsid w:val="00A27F1A"/>
    <w:rsid w:val="00A30391"/>
    <w:rsid w:val="00A31BE0"/>
    <w:rsid w:val="00A31C5C"/>
    <w:rsid w:val="00A31F66"/>
    <w:rsid w:val="00A3205E"/>
    <w:rsid w:val="00A32573"/>
    <w:rsid w:val="00A3364E"/>
    <w:rsid w:val="00A339D4"/>
    <w:rsid w:val="00A34DBE"/>
    <w:rsid w:val="00A35C9B"/>
    <w:rsid w:val="00A35EF7"/>
    <w:rsid w:val="00A3603B"/>
    <w:rsid w:val="00A36396"/>
    <w:rsid w:val="00A3642F"/>
    <w:rsid w:val="00A3668E"/>
    <w:rsid w:val="00A369B1"/>
    <w:rsid w:val="00A37050"/>
    <w:rsid w:val="00A378F3"/>
    <w:rsid w:val="00A379E2"/>
    <w:rsid w:val="00A37BA5"/>
    <w:rsid w:val="00A404B0"/>
    <w:rsid w:val="00A40F83"/>
    <w:rsid w:val="00A4215C"/>
    <w:rsid w:val="00A43507"/>
    <w:rsid w:val="00A4401C"/>
    <w:rsid w:val="00A4461A"/>
    <w:rsid w:val="00A446D5"/>
    <w:rsid w:val="00A44B66"/>
    <w:rsid w:val="00A45591"/>
    <w:rsid w:val="00A455E5"/>
    <w:rsid w:val="00A45B58"/>
    <w:rsid w:val="00A45C2E"/>
    <w:rsid w:val="00A4627E"/>
    <w:rsid w:val="00A4651D"/>
    <w:rsid w:val="00A4664E"/>
    <w:rsid w:val="00A46655"/>
    <w:rsid w:val="00A46A7F"/>
    <w:rsid w:val="00A470C0"/>
    <w:rsid w:val="00A475EB"/>
    <w:rsid w:val="00A477B0"/>
    <w:rsid w:val="00A479F4"/>
    <w:rsid w:val="00A5059C"/>
    <w:rsid w:val="00A50804"/>
    <w:rsid w:val="00A51425"/>
    <w:rsid w:val="00A51685"/>
    <w:rsid w:val="00A520B1"/>
    <w:rsid w:val="00A52544"/>
    <w:rsid w:val="00A52A87"/>
    <w:rsid w:val="00A5391B"/>
    <w:rsid w:val="00A548EA"/>
    <w:rsid w:val="00A55FB5"/>
    <w:rsid w:val="00A56264"/>
    <w:rsid w:val="00A5626C"/>
    <w:rsid w:val="00A566BA"/>
    <w:rsid w:val="00A56760"/>
    <w:rsid w:val="00A5680D"/>
    <w:rsid w:val="00A570D0"/>
    <w:rsid w:val="00A572C3"/>
    <w:rsid w:val="00A57F68"/>
    <w:rsid w:val="00A600C1"/>
    <w:rsid w:val="00A60170"/>
    <w:rsid w:val="00A6056B"/>
    <w:rsid w:val="00A60F0A"/>
    <w:rsid w:val="00A619DF"/>
    <w:rsid w:val="00A62955"/>
    <w:rsid w:val="00A62ED4"/>
    <w:rsid w:val="00A638B3"/>
    <w:rsid w:val="00A64076"/>
    <w:rsid w:val="00A650E5"/>
    <w:rsid w:val="00A65393"/>
    <w:rsid w:val="00A6579F"/>
    <w:rsid w:val="00A65F37"/>
    <w:rsid w:val="00A668FF"/>
    <w:rsid w:val="00A67767"/>
    <w:rsid w:val="00A67873"/>
    <w:rsid w:val="00A67A3E"/>
    <w:rsid w:val="00A700C1"/>
    <w:rsid w:val="00A71083"/>
    <w:rsid w:val="00A7239A"/>
    <w:rsid w:val="00A72D77"/>
    <w:rsid w:val="00A72D97"/>
    <w:rsid w:val="00A7348A"/>
    <w:rsid w:val="00A738B6"/>
    <w:rsid w:val="00A73EFD"/>
    <w:rsid w:val="00A744CD"/>
    <w:rsid w:val="00A7550C"/>
    <w:rsid w:val="00A75740"/>
    <w:rsid w:val="00A75EF6"/>
    <w:rsid w:val="00A766BD"/>
    <w:rsid w:val="00A76CA7"/>
    <w:rsid w:val="00A77A23"/>
    <w:rsid w:val="00A77E5C"/>
    <w:rsid w:val="00A80C49"/>
    <w:rsid w:val="00A81BDE"/>
    <w:rsid w:val="00A81EA6"/>
    <w:rsid w:val="00A81F8C"/>
    <w:rsid w:val="00A82070"/>
    <w:rsid w:val="00A82591"/>
    <w:rsid w:val="00A82AC4"/>
    <w:rsid w:val="00A8366E"/>
    <w:rsid w:val="00A83794"/>
    <w:rsid w:val="00A83D0B"/>
    <w:rsid w:val="00A83E54"/>
    <w:rsid w:val="00A843B2"/>
    <w:rsid w:val="00A84420"/>
    <w:rsid w:val="00A85075"/>
    <w:rsid w:val="00A852E7"/>
    <w:rsid w:val="00A85BA0"/>
    <w:rsid w:val="00A85FAB"/>
    <w:rsid w:val="00A86586"/>
    <w:rsid w:val="00A8716D"/>
    <w:rsid w:val="00A87E74"/>
    <w:rsid w:val="00A9086E"/>
    <w:rsid w:val="00A9098D"/>
    <w:rsid w:val="00A910F5"/>
    <w:rsid w:val="00A912F2"/>
    <w:rsid w:val="00A912F3"/>
    <w:rsid w:val="00A9132A"/>
    <w:rsid w:val="00A9198B"/>
    <w:rsid w:val="00A91D7B"/>
    <w:rsid w:val="00A9201A"/>
    <w:rsid w:val="00A92314"/>
    <w:rsid w:val="00A924CF"/>
    <w:rsid w:val="00A93B84"/>
    <w:rsid w:val="00A94A76"/>
    <w:rsid w:val="00A94C9C"/>
    <w:rsid w:val="00A950A4"/>
    <w:rsid w:val="00A96401"/>
    <w:rsid w:val="00A9645F"/>
    <w:rsid w:val="00A969E3"/>
    <w:rsid w:val="00A97480"/>
    <w:rsid w:val="00AA05E2"/>
    <w:rsid w:val="00AA08A1"/>
    <w:rsid w:val="00AA0EE5"/>
    <w:rsid w:val="00AA10E3"/>
    <w:rsid w:val="00AA1609"/>
    <w:rsid w:val="00AA1CA4"/>
    <w:rsid w:val="00AA1CAE"/>
    <w:rsid w:val="00AA24AE"/>
    <w:rsid w:val="00AA2D94"/>
    <w:rsid w:val="00AA318D"/>
    <w:rsid w:val="00AA34C0"/>
    <w:rsid w:val="00AA37DC"/>
    <w:rsid w:val="00AA3B76"/>
    <w:rsid w:val="00AA5282"/>
    <w:rsid w:val="00AA6F3C"/>
    <w:rsid w:val="00AA7430"/>
    <w:rsid w:val="00AA75D1"/>
    <w:rsid w:val="00AA7E01"/>
    <w:rsid w:val="00AB0544"/>
    <w:rsid w:val="00AB07D2"/>
    <w:rsid w:val="00AB07DF"/>
    <w:rsid w:val="00AB090A"/>
    <w:rsid w:val="00AB0A3F"/>
    <w:rsid w:val="00AB0BCC"/>
    <w:rsid w:val="00AB1774"/>
    <w:rsid w:val="00AB2569"/>
    <w:rsid w:val="00AB27F9"/>
    <w:rsid w:val="00AB2F7D"/>
    <w:rsid w:val="00AB3A28"/>
    <w:rsid w:val="00AB3EA9"/>
    <w:rsid w:val="00AB40FA"/>
    <w:rsid w:val="00AB42DB"/>
    <w:rsid w:val="00AB46F5"/>
    <w:rsid w:val="00AB4777"/>
    <w:rsid w:val="00AB53BB"/>
    <w:rsid w:val="00AB5AF3"/>
    <w:rsid w:val="00AB5FB9"/>
    <w:rsid w:val="00AB66D2"/>
    <w:rsid w:val="00AB6791"/>
    <w:rsid w:val="00AB67E8"/>
    <w:rsid w:val="00AB72D1"/>
    <w:rsid w:val="00AB76E2"/>
    <w:rsid w:val="00AB7702"/>
    <w:rsid w:val="00AB7C29"/>
    <w:rsid w:val="00AC025E"/>
    <w:rsid w:val="00AC0827"/>
    <w:rsid w:val="00AC09BD"/>
    <w:rsid w:val="00AC1EB9"/>
    <w:rsid w:val="00AC26AF"/>
    <w:rsid w:val="00AC33A9"/>
    <w:rsid w:val="00AC3962"/>
    <w:rsid w:val="00AC3A01"/>
    <w:rsid w:val="00AC3B5D"/>
    <w:rsid w:val="00AC3C24"/>
    <w:rsid w:val="00AC4489"/>
    <w:rsid w:val="00AC44E8"/>
    <w:rsid w:val="00AC45DF"/>
    <w:rsid w:val="00AC5A5C"/>
    <w:rsid w:val="00AC5F18"/>
    <w:rsid w:val="00AC67ED"/>
    <w:rsid w:val="00AC6D42"/>
    <w:rsid w:val="00AC7627"/>
    <w:rsid w:val="00AC791B"/>
    <w:rsid w:val="00AC7C06"/>
    <w:rsid w:val="00AD0E7E"/>
    <w:rsid w:val="00AD1481"/>
    <w:rsid w:val="00AD1CCF"/>
    <w:rsid w:val="00AD27EE"/>
    <w:rsid w:val="00AD298A"/>
    <w:rsid w:val="00AD4C88"/>
    <w:rsid w:val="00AD55A9"/>
    <w:rsid w:val="00AD5652"/>
    <w:rsid w:val="00AD583A"/>
    <w:rsid w:val="00AD5CF9"/>
    <w:rsid w:val="00AD7127"/>
    <w:rsid w:val="00AD72B2"/>
    <w:rsid w:val="00AD7416"/>
    <w:rsid w:val="00AD7812"/>
    <w:rsid w:val="00AD7BFB"/>
    <w:rsid w:val="00AE151B"/>
    <w:rsid w:val="00AE2100"/>
    <w:rsid w:val="00AE24AE"/>
    <w:rsid w:val="00AE3BD9"/>
    <w:rsid w:val="00AE404B"/>
    <w:rsid w:val="00AE410B"/>
    <w:rsid w:val="00AE4556"/>
    <w:rsid w:val="00AE4901"/>
    <w:rsid w:val="00AE540A"/>
    <w:rsid w:val="00AE5582"/>
    <w:rsid w:val="00AE55A0"/>
    <w:rsid w:val="00AE574B"/>
    <w:rsid w:val="00AE5C06"/>
    <w:rsid w:val="00AE60B6"/>
    <w:rsid w:val="00AE774E"/>
    <w:rsid w:val="00AE7D1F"/>
    <w:rsid w:val="00AF0CE9"/>
    <w:rsid w:val="00AF2138"/>
    <w:rsid w:val="00AF2635"/>
    <w:rsid w:val="00AF31F8"/>
    <w:rsid w:val="00AF4057"/>
    <w:rsid w:val="00AF4133"/>
    <w:rsid w:val="00AF4F51"/>
    <w:rsid w:val="00AF4F9F"/>
    <w:rsid w:val="00AF50A3"/>
    <w:rsid w:val="00AF61AC"/>
    <w:rsid w:val="00AF62BA"/>
    <w:rsid w:val="00AF6995"/>
    <w:rsid w:val="00AF6C6D"/>
    <w:rsid w:val="00AF6E9C"/>
    <w:rsid w:val="00AF6FBC"/>
    <w:rsid w:val="00AF6FF0"/>
    <w:rsid w:val="00AF7941"/>
    <w:rsid w:val="00AF7BC2"/>
    <w:rsid w:val="00AF7CDA"/>
    <w:rsid w:val="00B00072"/>
    <w:rsid w:val="00B01031"/>
    <w:rsid w:val="00B01280"/>
    <w:rsid w:val="00B012CF"/>
    <w:rsid w:val="00B023BA"/>
    <w:rsid w:val="00B02E89"/>
    <w:rsid w:val="00B03135"/>
    <w:rsid w:val="00B03291"/>
    <w:rsid w:val="00B03502"/>
    <w:rsid w:val="00B03732"/>
    <w:rsid w:val="00B04802"/>
    <w:rsid w:val="00B059D2"/>
    <w:rsid w:val="00B05DB1"/>
    <w:rsid w:val="00B064C2"/>
    <w:rsid w:val="00B0699E"/>
    <w:rsid w:val="00B06B43"/>
    <w:rsid w:val="00B06D24"/>
    <w:rsid w:val="00B06E0C"/>
    <w:rsid w:val="00B071ED"/>
    <w:rsid w:val="00B076B2"/>
    <w:rsid w:val="00B07E92"/>
    <w:rsid w:val="00B10DC6"/>
    <w:rsid w:val="00B10F8B"/>
    <w:rsid w:val="00B1105C"/>
    <w:rsid w:val="00B111A5"/>
    <w:rsid w:val="00B11C6E"/>
    <w:rsid w:val="00B12307"/>
    <w:rsid w:val="00B13608"/>
    <w:rsid w:val="00B13711"/>
    <w:rsid w:val="00B13DF4"/>
    <w:rsid w:val="00B13F97"/>
    <w:rsid w:val="00B143AE"/>
    <w:rsid w:val="00B143D4"/>
    <w:rsid w:val="00B146C1"/>
    <w:rsid w:val="00B15130"/>
    <w:rsid w:val="00B15248"/>
    <w:rsid w:val="00B159C4"/>
    <w:rsid w:val="00B16219"/>
    <w:rsid w:val="00B16D29"/>
    <w:rsid w:val="00B170ED"/>
    <w:rsid w:val="00B17206"/>
    <w:rsid w:val="00B172F4"/>
    <w:rsid w:val="00B175F0"/>
    <w:rsid w:val="00B179B5"/>
    <w:rsid w:val="00B20097"/>
    <w:rsid w:val="00B20734"/>
    <w:rsid w:val="00B2134F"/>
    <w:rsid w:val="00B21A27"/>
    <w:rsid w:val="00B22A57"/>
    <w:rsid w:val="00B22C44"/>
    <w:rsid w:val="00B22EB8"/>
    <w:rsid w:val="00B231E9"/>
    <w:rsid w:val="00B23B2B"/>
    <w:rsid w:val="00B2478E"/>
    <w:rsid w:val="00B2582E"/>
    <w:rsid w:val="00B25960"/>
    <w:rsid w:val="00B273A5"/>
    <w:rsid w:val="00B27BD7"/>
    <w:rsid w:val="00B30AC5"/>
    <w:rsid w:val="00B314DB"/>
    <w:rsid w:val="00B317F1"/>
    <w:rsid w:val="00B3202A"/>
    <w:rsid w:val="00B32322"/>
    <w:rsid w:val="00B32D81"/>
    <w:rsid w:val="00B33859"/>
    <w:rsid w:val="00B33872"/>
    <w:rsid w:val="00B3399C"/>
    <w:rsid w:val="00B3433B"/>
    <w:rsid w:val="00B34436"/>
    <w:rsid w:val="00B3468E"/>
    <w:rsid w:val="00B349A9"/>
    <w:rsid w:val="00B35250"/>
    <w:rsid w:val="00B354E2"/>
    <w:rsid w:val="00B35569"/>
    <w:rsid w:val="00B357C6"/>
    <w:rsid w:val="00B35DB3"/>
    <w:rsid w:val="00B35F5C"/>
    <w:rsid w:val="00B36F64"/>
    <w:rsid w:val="00B37191"/>
    <w:rsid w:val="00B37307"/>
    <w:rsid w:val="00B37799"/>
    <w:rsid w:val="00B409C2"/>
    <w:rsid w:val="00B41239"/>
    <w:rsid w:val="00B41999"/>
    <w:rsid w:val="00B41EDA"/>
    <w:rsid w:val="00B420F3"/>
    <w:rsid w:val="00B421C6"/>
    <w:rsid w:val="00B423D2"/>
    <w:rsid w:val="00B424CE"/>
    <w:rsid w:val="00B424F0"/>
    <w:rsid w:val="00B42543"/>
    <w:rsid w:val="00B42B7E"/>
    <w:rsid w:val="00B42D3D"/>
    <w:rsid w:val="00B4303E"/>
    <w:rsid w:val="00B434F3"/>
    <w:rsid w:val="00B4384B"/>
    <w:rsid w:val="00B445B2"/>
    <w:rsid w:val="00B4462C"/>
    <w:rsid w:val="00B44C14"/>
    <w:rsid w:val="00B44D0E"/>
    <w:rsid w:val="00B456A0"/>
    <w:rsid w:val="00B45B65"/>
    <w:rsid w:val="00B46FDB"/>
    <w:rsid w:val="00B4700B"/>
    <w:rsid w:val="00B470DE"/>
    <w:rsid w:val="00B471E8"/>
    <w:rsid w:val="00B4787C"/>
    <w:rsid w:val="00B47FB4"/>
    <w:rsid w:val="00B50109"/>
    <w:rsid w:val="00B507F3"/>
    <w:rsid w:val="00B50929"/>
    <w:rsid w:val="00B50AEA"/>
    <w:rsid w:val="00B50FD4"/>
    <w:rsid w:val="00B5163F"/>
    <w:rsid w:val="00B51F5D"/>
    <w:rsid w:val="00B51F91"/>
    <w:rsid w:val="00B52182"/>
    <w:rsid w:val="00B523BE"/>
    <w:rsid w:val="00B525EE"/>
    <w:rsid w:val="00B53429"/>
    <w:rsid w:val="00B535F0"/>
    <w:rsid w:val="00B557C2"/>
    <w:rsid w:val="00B55D2B"/>
    <w:rsid w:val="00B569FC"/>
    <w:rsid w:val="00B56B73"/>
    <w:rsid w:val="00B56E7F"/>
    <w:rsid w:val="00B57AC1"/>
    <w:rsid w:val="00B60448"/>
    <w:rsid w:val="00B6142A"/>
    <w:rsid w:val="00B619D2"/>
    <w:rsid w:val="00B61D2D"/>
    <w:rsid w:val="00B62102"/>
    <w:rsid w:val="00B62161"/>
    <w:rsid w:val="00B62C8A"/>
    <w:rsid w:val="00B636FC"/>
    <w:rsid w:val="00B646EB"/>
    <w:rsid w:val="00B64D63"/>
    <w:rsid w:val="00B64E5C"/>
    <w:rsid w:val="00B64FB5"/>
    <w:rsid w:val="00B6504C"/>
    <w:rsid w:val="00B65428"/>
    <w:rsid w:val="00B65CF9"/>
    <w:rsid w:val="00B6641F"/>
    <w:rsid w:val="00B66CB6"/>
    <w:rsid w:val="00B66FC8"/>
    <w:rsid w:val="00B67594"/>
    <w:rsid w:val="00B678A3"/>
    <w:rsid w:val="00B701AE"/>
    <w:rsid w:val="00B70B3A"/>
    <w:rsid w:val="00B70B4C"/>
    <w:rsid w:val="00B71C50"/>
    <w:rsid w:val="00B74443"/>
    <w:rsid w:val="00B754C7"/>
    <w:rsid w:val="00B75F85"/>
    <w:rsid w:val="00B762F6"/>
    <w:rsid w:val="00B764C5"/>
    <w:rsid w:val="00B7665D"/>
    <w:rsid w:val="00B767F6"/>
    <w:rsid w:val="00B7682C"/>
    <w:rsid w:val="00B768E2"/>
    <w:rsid w:val="00B76E44"/>
    <w:rsid w:val="00B77828"/>
    <w:rsid w:val="00B810F0"/>
    <w:rsid w:val="00B813DF"/>
    <w:rsid w:val="00B8198F"/>
    <w:rsid w:val="00B82629"/>
    <w:rsid w:val="00B829A5"/>
    <w:rsid w:val="00B83104"/>
    <w:rsid w:val="00B839D7"/>
    <w:rsid w:val="00B83C7E"/>
    <w:rsid w:val="00B85880"/>
    <w:rsid w:val="00B85A84"/>
    <w:rsid w:val="00B86C8D"/>
    <w:rsid w:val="00B86F19"/>
    <w:rsid w:val="00B900C6"/>
    <w:rsid w:val="00B90227"/>
    <w:rsid w:val="00B9072B"/>
    <w:rsid w:val="00B90775"/>
    <w:rsid w:val="00B907DE"/>
    <w:rsid w:val="00B90E1D"/>
    <w:rsid w:val="00B90F15"/>
    <w:rsid w:val="00B916F0"/>
    <w:rsid w:val="00B92343"/>
    <w:rsid w:val="00B926A9"/>
    <w:rsid w:val="00B93193"/>
    <w:rsid w:val="00B9356A"/>
    <w:rsid w:val="00B9381D"/>
    <w:rsid w:val="00B94B3C"/>
    <w:rsid w:val="00B94F61"/>
    <w:rsid w:val="00B950C8"/>
    <w:rsid w:val="00B95224"/>
    <w:rsid w:val="00B95E7D"/>
    <w:rsid w:val="00B96A77"/>
    <w:rsid w:val="00B96D62"/>
    <w:rsid w:val="00B973A3"/>
    <w:rsid w:val="00B9783E"/>
    <w:rsid w:val="00B97B5B"/>
    <w:rsid w:val="00B97EFC"/>
    <w:rsid w:val="00BA052F"/>
    <w:rsid w:val="00BA0A61"/>
    <w:rsid w:val="00BA0C0C"/>
    <w:rsid w:val="00BA0F61"/>
    <w:rsid w:val="00BA15F0"/>
    <w:rsid w:val="00BA16D1"/>
    <w:rsid w:val="00BA17C1"/>
    <w:rsid w:val="00BA20CD"/>
    <w:rsid w:val="00BA2326"/>
    <w:rsid w:val="00BA2513"/>
    <w:rsid w:val="00BA256A"/>
    <w:rsid w:val="00BA28B5"/>
    <w:rsid w:val="00BA3200"/>
    <w:rsid w:val="00BA3286"/>
    <w:rsid w:val="00BA338D"/>
    <w:rsid w:val="00BA343E"/>
    <w:rsid w:val="00BA34AD"/>
    <w:rsid w:val="00BA36AF"/>
    <w:rsid w:val="00BA42DF"/>
    <w:rsid w:val="00BA44D0"/>
    <w:rsid w:val="00BA4814"/>
    <w:rsid w:val="00BA544A"/>
    <w:rsid w:val="00BA5534"/>
    <w:rsid w:val="00BA615D"/>
    <w:rsid w:val="00BA6434"/>
    <w:rsid w:val="00BA67D3"/>
    <w:rsid w:val="00BA6F0F"/>
    <w:rsid w:val="00BA7198"/>
    <w:rsid w:val="00BA7ECE"/>
    <w:rsid w:val="00BA7EF2"/>
    <w:rsid w:val="00BB044B"/>
    <w:rsid w:val="00BB08DA"/>
    <w:rsid w:val="00BB08DB"/>
    <w:rsid w:val="00BB10FF"/>
    <w:rsid w:val="00BB15E7"/>
    <w:rsid w:val="00BB2E8B"/>
    <w:rsid w:val="00BB4935"/>
    <w:rsid w:val="00BB5015"/>
    <w:rsid w:val="00BB616C"/>
    <w:rsid w:val="00BB71CB"/>
    <w:rsid w:val="00BC07BD"/>
    <w:rsid w:val="00BC0813"/>
    <w:rsid w:val="00BC1132"/>
    <w:rsid w:val="00BC15A4"/>
    <w:rsid w:val="00BC15CD"/>
    <w:rsid w:val="00BC1915"/>
    <w:rsid w:val="00BC2DA5"/>
    <w:rsid w:val="00BC2F40"/>
    <w:rsid w:val="00BC32FB"/>
    <w:rsid w:val="00BC34CB"/>
    <w:rsid w:val="00BC3885"/>
    <w:rsid w:val="00BC43B2"/>
    <w:rsid w:val="00BC43BB"/>
    <w:rsid w:val="00BC475D"/>
    <w:rsid w:val="00BC4E2A"/>
    <w:rsid w:val="00BC595D"/>
    <w:rsid w:val="00BC5A57"/>
    <w:rsid w:val="00BC6970"/>
    <w:rsid w:val="00BC7088"/>
    <w:rsid w:val="00BC75D0"/>
    <w:rsid w:val="00BC7725"/>
    <w:rsid w:val="00BD059B"/>
    <w:rsid w:val="00BD06DC"/>
    <w:rsid w:val="00BD0884"/>
    <w:rsid w:val="00BD0CCD"/>
    <w:rsid w:val="00BD0D8C"/>
    <w:rsid w:val="00BD1C20"/>
    <w:rsid w:val="00BD1D15"/>
    <w:rsid w:val="00BD3291"/>
    <w:rsid w:val="00BD3493"/>
    <w:rsid w:val="00BD37AF"/>
    <w:rsid w:val="00BD4383"/>
    <w:rsid w:val="00BD4560"/>
    <w:rsid w:val="00BD45B7"/>
    <w:rsid w:val="00BD4C2C"/>
    <w:rsid w:val="00BD5270"/>
    <w:rsid w:val="00BD5AE7"/>
    <w:rsid w:val="00BD61FF"/>
    <w:rsid w:val="00BD68AE"/>
    <w:rsid w:val="00BD6DA8"/>
    <w:rsid w:val="00BD6ED3"/>
    <w:rsid w:val="00BD71E4"/>
    <w:rsid w:val="00BD733D"/>
    <w:rsid w:val="00BD79CE"/>
    <w:rsid w:val="00BE00AE"/>
    <w:rsid w:val="00BE0788"/>
    <w:rsid w:val="00BE0790"/>
    <w:rsid w:val="00BE0A8B"/>
    <w:rsid w:val="00BE0CDA"/>
    <w:rsid w:val="00BE0D05"/>
    <w:rsid w:val="00BE1289"/>
    <w:rsid w:val="00BE196F"/>
    <w:rsid w:val="00BE1B23"/>
    <w:rsid w:val="00BE277D"/>
    <w:rsid w:val="00BE2AD5"/>
    <w:rsid w:val="00BE2B77"/>
    <w:rsid w:val="00BE2B96"/>
    <w:rsid w:val="00BE32C5"/>
    <w:rsid w:val="00BE484B"/>
    <w:rsid w:val="00BE4F95"/>
    <w:rsid w:val="00BE5204"/>
    <w:rsid w:val="00BE5806"/>
    <w:rsid w:val="00BE6610"/>
    <w:rsid w:val="00BE6721"/>
    <w:rsid w:val="00BE6BAE"/>
    <w:rsid w:val="00BE70D7"/>
    <w:rsid w:val="00BE7853"/>
    <w:rsid w:val="00BE794B"/>
    <w:rsid w:val="00BE7C69"/>
    <w:rsid w:val="00BF0128"/>
    <w:rsid w:val="00BF0329"/>
    <w:rsid w:val="00BF04DC"/>
    <w:rsid w:val="00BF0552"/>
    <w:rsid w:val="00BF09B5"/>
    <w:rsid w:val="00BF14E1"/>
    <w:rsid w:val="00BF184C"/>
    <w:rsid w:val="00BF21B1"/>
    <w:rsid w:val="00BF28EE"/>
    <w:rsid w:val="00BF3152"/>
    <w:rsid w:val="00BF3C38"/>
    <w:rsid w:val="00BF3DC9"/>
    <w:rsid w:val="00BF4383"/>
    <w:rsid w:val="00BF4FAD"/>
    <w:rsid w:val="00BF533A"/>
    <w:rsid w:val="00BF679E"/>
    <w:rsid w:val="00BF6B94"/>
    <w:rsid w:val="00BF6F60"/>
    <w:rsid w:val="00BF74B7"/>
    <w:rsid w:val="00BF7519"/>
    <w:rsid w:val="00BF788B"/>
    <w:rsid w:val="00BF7974"/>
    <w:rsid w:val="00C001AF"/>
    <w:rsid w:val="00C00D2C"/>
    <w:rsid w:val="00C01375"/>
    <w:rsid w:val="00C01A83"/>
    <w:rsid w:val="00C01B45"/>
    <w:rsid w:val="00C0264C"/>
    <w:rsid w:val="00C02811"/>
    <w:rsid w:val="00C02DE8"/>
    <w:rsid w:val="00C03F1E"/>
    <w:rsid w:val="00C0453C"/>
    <w:rsid w:val="00C046B2"/>
    <w:rsid w:val="00C05143"/>
    <w:rsid w:val="00C05D30"/>
    <w:rsid w:val="00C05DDA"/>
    <w:rsid w:val="00C0684E"/>
    <w:rsid w:val="00C06C2F"/>
    <w:rsid w:val="00C07233"/>
    <w:rsid w:val="00C072C2"/>
    <w:rsid w:val="00C07396"/>
    <w:rsid w:val="00C0739C"/>
    <w:rsid w:val="00C0751D"/>
    <w:rsid w:val="00C07753"/>
    <w:rsid w:val="00C1092C"/>
    <w:rsid w:val="00C10BB2"/>
    <w:rsid w:val="00C10C8D"/>
    <w:rsid w:val="00C11129"/>
    <w:rsid w:val="00C11424"/>
    <w:rsid w:val="00C1154B"/>
    <w:rsid w:val="00C12424"/>
    <w:rsid w:val="00C12512"/>
    <w:rsid w:val="00C13040"/>
    <w:rsid w:val="00C1357F"/>
    <w:rsid w:val="00C1375A"/>
    <w:rsid w:val="00C13A13"/>
    <w:rsid w:val="00C13A93"/>
    <w:rsid w:val="00C1412D"/>
    <w:rsid w:val="00C144B6"/>
    <w:rsid w:val="00C14590"/>
    <w:rsid w:val="00C146EC"/>
    <w:rsid w:val="00C14C70"/>
    <w:rsid w:val="00C1502B"/>
    <w:rsid w:val="00C156FC"/>
    <w:rsid w:val="00C15D8F"/>
    <w:rsid w:val="00C15FFE"/>
    <w:rsid w:val="00C16274"/>
    <w:rsid w:val="00C17FE1"/>
    <w:rsid w:val="00C20142"/>
    <w:rsid w:val="00C204AE"/>
    <w:rsid w:val="00C20EC6"/>
    <w:rsid w:val="00C21712"/>
    <w:rsid w:val="00C21AA5"/>
    <w:rsid w:val="00C22B22"/>
    <w:rsid w:val="00C2361C"/>
    <w:rsid w:val="00C2508D"/>
    <w:rsid w:val="00C25620"/>
    <w:rsid w:val="00C2677F"/>
    <w:rsid w:val="00C269A7"/>
    <w:rsid w:val="00C26A93"/>
    <w:rsid w:val="00C27101"/>
    <w:rsid w:val="00C27CC5"/>
    <w:rsid w:val="00C303D8"/>
    <w:rsid w:val="00C3060E"/>
    <w:rsid w:val="00C31973"/>
    <w:rsid w:val="00C31A4B"/>
    <w:rsid w:val="00C3241B"/>
    <w:rsid w:val="00C3289B"/>
    <w:rsid w:val="00C33C0C"/>
    <w:rsid w:val="00C3575D"/>
    <w:rsid w:val="00C35C42"/>
    <w:rsid w:val="00C366AD"/>
    <w:rsid w:val="00C368FD"/>
    <w:rsid w:val="00C36956"/>
    <w:rsid w:val="00C370DB"/>
    <w:rsid w:val="00C37815"/>
    <w:rsid w:val="00C3791C"/>
    <w:rsid w:val="00C4009E"/>
    <w:rsid w:val="00C40500"/>
    <w:rsid w:val="00C40714"/>
    <w:rsid w:val="00C40776"/>
    <w:rsid w:val="00C41D1D"/>
    <w:rsid w:val="00C41E6C"/>
    <w:rsid w:val="00C422BF"/>
    <w:rsid w:val="00C423D8"/>
    <w:rsid w:val="00C426B7"/>
    <w:rsid w:val="00C42B37"/>
    <w:rsid w:val="00C42DE5"/>
    <w:rsid w:val="00C430C8"/>
    <w:rsid w:val="00C4337B"/>
    <w:rsid w:val="00C435D9"/>
    <w:rsid w:val="00C4379E"/>
    <w:rsid w:val="00C43841"/>
    <w:rsid w:val="00C4468E"/>
    <w:rsid w:val="00C4473A"/>
    <w:rsid w:val="00C4548A"/>
    <w:rsid w:val="00C462C4"/>
    <w:rsid w:val="00C463FB"/>
    <w:rsid w:val="00C464A2"/>
    <w:rsid w:val="00C466A2"/>
    <w:rsid w:val="00C4673C"/>
    <w:rsid w:val="00C47803"/>
    <w:rsid w:val="00C4782E"/>
    <w:rsid w:val="00C47845"/>
    <w:rsid w:val="00C47FA3"/>
    <w:rsid w:val="00C50833"/>
    <w:rsid w:val="00C5131F"/>
    <w:rsid w:val="00C51575"/>
    <w:rsid w:val="00C51BDA"/>
    <w:rsid w:val="00C51F59"/>
    <w:rsid w:val="00C52A1B"/>
    <w:rsid w:val="00C52E4F"/>
    <w:rsid w:val="00C52FC7"/>
    <w:rsid w:val="00C53848"/>
    <w:rsid w:val="00C538B9"/>
    <w:rsid w:val="00C53C51"/>
    <w:rsid w:val="00C53FBB"/>
    <w:rsid w:val="00C54DC4"/>
    <w:rsid w:val="00C54EB8"/>
    <w:rsid w:val="00C551F6"/>
    <w:rsid w:val="00C558A9"/>
    <w:rsid w:val="00C565CA"/>
    <w:rsid w:val="00C56691"/>
    <w:rsid w:val="00C57CFA"/>
    <w:rsid w:val="00C57F5B"/>
    <w:rsid w:val="00C60383"/>
    <w:rsid w:val="00C613D0"/>
    <w:rsid w:val="00C61433"/>
    <w:rsid w:val="00C61CBB"/>
    <w:rsid w:val="00C620C3"/>
    <w:rsid w:val="00C626C0"/>
    <w:rsid w:val="00C6274B"/>
    <w:rsid w:val="00C63A5C"/>
    <w:rsid w:val="00C679F3"/>
    <w:rsid w:val="00C67A77"/>
    <w:rsid w:val="00C70709"/>
    <w:rsid w:val="00C708E8"/>
    <w:rsid w:val="00C70D58"/>
    <w:rsid w:val="00C7140B"/>
    <w:rsid w:val="00C71B3B"/>
    <w:rsid w:val="00C72670"/>
    <w:rsid w:val="00C7267D"/>
    <w:rsid w:val="00C7269E"/>
    <w:rsid w:val="00C7289B"/>
    <w:rsid w:val="00C72908"/>
    <w:rsid w:val="00C738B7"/>
    <w:rsid w:val="00C739B3"/>
    <w:rsid w:val="00C73AEB"/>
    <w:rsid w:val="00C73E10"/>
    <w:rsid w:val="00C746AA"/>
    <w:rsid w:val="00C749E0"/>
    <w:rsid w:val="00C74FE2"/>
    <w:rsid w:val="00C75125"/>
    <w:rsid w:val="00C75B79"/>
    <w:rsid w:val="00C75C62"/>
    <w:rsid w:val="00C7652A"/>
    <w:rsid w:val="00C768EF"/>
    <w:rsid w:val="00C76959"/>
    <w:rsid w:val="00C770A6"/>
    <w:rsid w:val="00C77468"/>
    <w:rsid w:val="00C774B0"/>
    <w:rsid w:val="00C77CAD"/>
    <w:rsid w:val="00C807F1"/>
    <w:rsid w:val="00C80E04"/>
    <w:rsid w:val="00C80F6E"/>
    <w:rsid w:val="00C81536"/>
    <w:rsid w:val="00C817D6"/>
    <w:rsid w:val="00C81821"/>
    <w:rsid w:val="00C826C7"/>
    <w:rsid w:val="00C834E0"/>
    <w:rsid w:val="00C8389A"/>
    <w:rsid w:val="00C83CC7"/>
    <w:rsid w:val="00C8456F"/>
    <w:rsid w:val="00C848C5"/>
    <w:rsid w:val="00C84930"/>
    <w:rsid w:val="00C852DA"/>
    <w:rsid w:val="00C85454"/>
    <w:rsid w:val="00C85B56"/>
    <w:rsid w:val="00C85CDE"/>
    <w:rsid w:val="00C85D09"/>
    <w:rsid w:val="00C86086"/>
    <w:rsid w:val="00C86820"/>
    <w:rsid w:val="00C86972"/>
    <w:rsid w:val="00C86F29"/>
    <w:rsid w:val="00C8776E"/>
    <w:rsid w:val="00C87AE1"/>
    <w:rsid w:val="00C87CF2"/>
    <w:rsid w:val="00C9002D"/>
    <w:rsid w:val="00C903EA"/>
    <w:rsid w:val="00C90E85"/>
    <w:rsid w:val="00C91730"/>
    <w:rsid w:val="00C91752"/>
    <w:rsid w:val="00C9208D"/>
    <w:rsid w:val="00C926CE"/>
    <w:rsid w:val="00C92EA7"/>
    <w:rsid w:val="00C938D6"/>
    <w:rsid w:val="00C939B7"/>
    <w:rsid w:val="00C93E32"/>
    <w:rsid w:val="00C93ED0"/>
    <w:rsid w:val="00C941AD"/>
    <w:rsid w:val="00C943DC"/>
    <w:rsid w:val="00C9478E"/>
    <w:rsid w:val="00C94A8F"/>
    <w:rsid w:val="00C94D55"/>
    <w:rsid w:val="00C9518C"/>
    <w:rsid w:val="00C95534"/>
    <w:rsid w:val="00C95608"/>
    <w:rsid w:val="00C960E5"/>
    <w:rsid w:val="00C96270"/>
    <w:rsid w:val="00C96493"/>
    <w:rsid w:val="00C96571"/>
    <w:rsid w:val="00C96B3A"/>
    <w:rsid w:val="00C96EFC"/>
    <w:rsid w:val="00C97218"/>
    <w:rsid w:val="00C975C2"/>
    <w:rsid w:val="00C976AD"/>
    <w:rsid w:val="00C9788A"/>
    <w:rsid w:val="00C97BA6"/>
    <w:rsid w:val="00CA074F"/>
    <w:rsid w:val="00CA0E74"/>
    <w:rsid w:val="00CA0E99"/>
    <w:rsid w:val="00CA1020"/>
    <w:rsid w:val="00CA22EA"/>
    <w:rsid w:val="00CA2A26"/>
    <w:rsid w:val="00CA2AAD"/>
    <w:rsid w:val="00CA364D"/>
    <w:rsid w:val="00CA378E"/>
    <w:rsid w:val="00CA3A19"/>
    <w:rsid w:val="00CA4344"/>
    <w:rsid w:val="00CA4558"/>
    <w:rsid w:val="00CA4793"/>
    <w:rsid w:val="00CA4A42"/>
    <w:rsid w:val="00CA4F1F"/>
    <w:rsid w:val="00CA4F7F"/>
    <w:rsid w:val="00CA5265"/>
    <w:rsid w:val="00CA5381"/>
    <w:rsid w:val="00CA567B"/>
    <w:rsid w:val="00CA5C22"/>
    <w:rsid w:val="00CA5EB4"/>
    <w:rsid w:val="00CA5F5E"/>
    <w:rsid w:val="00CA63CB"/>
    <w:rsid w:val="00CA71AE"/>
    <w:rsid w:val="00CA759A"/>
    <w:rsid w:val="00CA7F28"/>
    <w:rsid w:val="00CB0F71"/>
    <w:rsid w:val="00CB1234"/>
    <w:rsid w:val="00CB1848"/>
    <w:rsid w:val="00CB1B9D"/>
    <w:rsid w:val="00CB21F3"/>
    <w:rsid w:val="00CB22EA"/>
    <w:rsid w:val="00CB2939"/>
    <w:rsid w:val="00CB2C64"/>
    <w:rsid w:val="00CB2E36"/>
    <w:rsid w:val="00CB3610"/>
    <w:rsid w:val="00CB3F1B"/>
    <w:rsid w:val="00CB3FBB"/>
    <w:rsid w:val="00CB437F"/>
    <w:rsid w:val="00CB4B81"/>
    <w:rsid w:val="00CB545B"/>
    <w:rsid w:val="00CB55EE"/>
    <w:rsid w:val="00CB5777"/>
    <w:rsid w:val="00CB6109"/>
    <w:rsid w:val="00CB629C"/>
    <w:rsid w:val="00CB62F3"/>
    <w:rsid w:val="00CB66E0"/>
    <w:rsid w:val="00CB6812"/>
    <w:rsid w:val="00CB6AA9"/>
    <w:rsid w:val="00CB7392"/>
    <w:rsid w:val="00CC0272"/>
    <w:rsid w:val="00CC065E"/>
    <w:rsid w:val="00CC0869"/>
    <w:rsid w:val="00CC0FBE"/>
    <w:rsid w:val="00CC1336"/>
    <w:rsid w:val="00CC1708"/>
    <w:rsid w:val="00CC1877"/>
    <w:rsid w:val="00CC1BCA"/>
    <w:rsid w:val="00CC1CB8"/>
    <w:rsid w:val="00CC1E1A"/>
    <w:rsid w:val="00CC21C7"/>
    <w:rsid w:val="00CC2819"/>
    <w:rsid w:val="00CC30D7"/>
    <w:rsid w:val="00CC3360"/>
    <w:rsid w:val="00CC3C21"/>
    <w:rsid w:val="00CC3D9E"/>
    <w:rsid w:val="00CC408F"/>
    <w:rsid w:val="00CC4D27"/>
    <w:rsid w:val="00CC535A"/>
    <w:rsid w:val="00CC5603"/>
    <w:rsid w:val="00CC5CC1"/>
    <w:rsid w:val="00CC6188"/>
    <w:rsid w:val="00CC630A"/>
    <w:rsid w:val="00CC6616"/>
    <w:rsid w:val="00CC663F"/>
    <w:rsid w:val="00CC6827"/>
    <w:rsid w:val="00CC6B7E"/>
    <w:rsid w:val="00CC7342"/>
    <w:rsid w:val="00CC7DD0"/>
    <w:rsid w:val="00CD05BB"/>
    <w:rsid w:val="00CD065D"/>
    <w:rsid w:val="00CD0800"/>
    <w:rsid w:val="00CD1491"/>
    <w:rsid w:val="00CD18A9"/>
    <w:rsid w:val="00CD3336"/>
    <w:rsid w:val="00CD378A"/>
    <w:rsid w:val="00CD3A6C"/>
    <w:rsid w:val="00CD40DA"/>
    <w:rsid w:val="00CD423B"/>
    <w:rsid w:val="00CD52B2"/>
    <w:rsid w:val="00CD585E"/>
    <w:rsid w:val="00CD5999"/>
    <w:rsid w:val="00CD5B7B"/>
    <w:rsid w:val="00CD5E17"/>
    <w:rsid w:val="00CD672E"/>
    <w:rsid w:val="00CD6975"/>
    <w:rsid w:val="00CD7311"/>
    <w:rsid w:val="00CE0017"/>
    <w:rsid w:val="00CE0202"/>
    <w:rsid w:val="00CE0D12"/>
    <w:rsid w:val="00CE0F01"/>
    <w:rsid w:val="00CE1028"/>
    <w:rsid w:val="00CE102D"/>
    <w:rsid w:val="00CE22BD"/>
    <w:rsid w:val="00CE2C46"/>
    <w:rsid w:val="00CE3327"/>
    <w:rsid w:val="00CE3E21"/>
    <w:rsid w:val="00CE3FDE"/>
    <w:rsid w:val="00CE476D"/>
    <w:rsid w:val="00CE4BE2"/>
    <w:rsid w:val="00CE516F"/>
    <w:rsid w:val="00CE55A6"/>
    <w:rsid w:val="00CE572F"/>
    <w:rsid w:val="00CE5FFD"/>
    <w:rsid w:val="00CE67BB"/>
    <w:rsid w:val="00CE6835"/>
    <w:rsid w:val="00CE6CDA"/>
    <w:rsid w:val="00CF0F73"/>
    <w:rsid w:val="00CF13E4"/>
    <w:rsid w:val="00CF1D9D"/>
    <w:rsid w:val="00CF3B34"/>
    <w:rsid w:val="00CF3B71"/>
    <w:rsid w:val="00CF3C2E"/>
    <w:rsid w:val="00CF42E8"/>
    <w:rsid w:val="00CF5677"/>
    <w:rsid w:val="00CF623D"/>
    <w:rsid w:val="00CF7067"/>
    <w:rsid w:val="00CF767B"/>
    <w:rsid w:val="00D00D39"/>
    <w:rsid w:val="00D015E0"/>
    <w:rsid w:val="00D024A4"/>
    <w:rsid w:val="00D02576"/>
    <w:rsid w:val="00D02A16"/>
    <w:rsid w:val="00D03255"/>
    <w:rsid w:val="00D039D1"/>
    <w:rsid w:val="00D03CB8"/>
    <w:rsid w:val="00D03F94"/>
    <w:rsid w:val="00D041DE"/>
    <w:rsid w:val="00D043EA"/>
    <w:rsid w:val="00D0500A"/>
    <w:rsid w:val="00D05381"/>
    <w:rsid w:val="00D063EF"/>
    <w:rsid w:val="00D06692"/>
    <w:rsid w:val="00D06730"/>
    <w:rsid w:val="00D0675F"/>
    <w:rsid w:val="00D06FC1"/>
    <w:rsid w:val="00D07697"/>
    <w:rsid w:val="00D078A7"/>
    <w:rsid w:val="00D10169"/>
    <w:rsid w:val="00D10C3A"/>
    <w:rsid w:val="00D11D18"/>
    <w:rsid w:val="00D11DF3"/>
    <w:rsid w:val="00D12407"/>
    <w:rsid w:val="00D13E97"/>
    <w:rsid w:val="00D14960"/>
    <w:rsid w:val="00D14B6E"/>
    <w:rsid w:val="00D14C54"/>
    <w:rsid w:val="00D14E99"/>
    <w:rsid w:val="00D150DA"/>
    <w:rsid w:val="00D15AF7"/>
    <w:rsid w:val="00D16486"/>
    <w:rsid w:val="00D16589"/>
    <w:rsid w:val="00D16687"/>
    <w:rsid w:val="00D168A8"/>
    <w:rsid w:val="00D16D7D"/>
    <w:rsid w:val="00D16E39"/>
    <w:rsid w:val="00D170EE"/>
    <w:rsid w:val="00D17E19"/>
    <w:rsid w:val="00D20626"/>
    <w:rsid w:val="00D208F5"/>
    <w:rsid w:val="00D20AAC"/>
    <w:rsid w:val="00D20F1D"/>
    <w:rsid w:val="00D20F47"/>
    <w:rsid w:val="00D2148B"/>
    <w:rsid w:val="00D21974"/>
    <w:rsid w:val="00D2281F"/>
    <w:rsid w:val="00D22DE8"/>
    <w:rsid w:val="00D22E41"/>
    <w:rsid w:val="00D23111"/>
    <w:rsid w:val="00D23420"/>
    <w:rsid w:val="00D24032"/>
    <w:rsid w:val="00D247C1"/>
    <w:rsid w:val="00D25924"/>
    <w:rsid w:val="00D2624E"/>
    <w:rsid w:val="00D2637D"/>
    <w:rsid w:val="00D26C32"/>
    <w:rsid w:val="00D272B5"/>
    <w:rsid w:val="00D274E2"/>
    <w:rsid w:val="00D2788B"/>
    <w:rsid w:val="00D27A1B"/>
    <w:rsid w:val="00D27D5C"/>
    <w:rsid w:val="00D3138A"/>
    <w:rsid w:val="00D31527"/>
    <w:rsid w:val="00D31A5A"/>
    <w:rsid w:val="00D32269"/>
    <w:rsid w:val="00D3235C"/>
    <w:rsid w:val="00D324EB"/>
    <w:rsid w:val="00D32719"/>
    <w:rsid w:val="00D32F29"/>
    <w:rsid w:val="00D3322A"/>
    <w:rsid w:val="00D3335B"/>
    <w:rsid w:val="00D333EB"/>
    <w:rsid w:val="00D3373D"/>
    <w:rsid w:val="00D33C65"/>
    <w:rsid w:val="00D342B6"/>
    <w:rsid w:val="00D3449F"/>
    <w:rsid w:val="00D3472A"/>
    <w:rsid w:val="00D34BB3"/>
    <w:rsid w:val="00D34CD6"/>
    <w:rsid w:val="00D356A5"/>
    <w:rsid w:val="00D357A9"/>
    <w:rsid w:val="00D372A6"/>
    <w:rsid w:val="00D3751F"/>
    <w:rsid w:val="00D40426"/>
    <w:rsid w:val="00D40971"/>
    <w:rsid w:val="00D41157"/>
    <w:rsid w:val="00D4175F"/>
    <w:rsid w:val="00D420EA"/>
    <w:rsid w:val="00D42E44"/>
    <w:rsid w:val="00D42F50"/>
    <w:rsid w:val="00D436FA"/>
    <w:rsid w:val="00D4391A"/>
    <w:rsid w:val="00D43A04"/>
    <w:rsid w:val="00D446F1"/>
    <w:rsid w:val="00D4508F"/>
    <w:rsid w:val="00D45DDE"/>
    <w:rsid w:val="00D4621F"/>
    <w:rsid w:val="00D46B7C"/>
    <w:rsid w:val="00D46D26"/>
    <w:rsid w:val="00D46EA8"/>
    <w:rsid w:val="00D47E48"/>
    <w:rsid w:val="00D47F4B"/>
    <w:rsid w:val="00D50939"/>
    <w:rsid w:val="00D514BE"/>
    <w:rsid w:val="00D522D5"/>
    <w:rsid w:val="00D52922"/>
    <w:rsid w:val="00D52EBE"/>
    <w:rsid w:val="00D530FA"/>
    <w:rsid w:val="00D5353C"/>
    <w:rsid w:val="00D54E45"/>
    <w:rsid w:val="00D5586C"/>
    <w:rsid w:val="00D56274"/>
    <w:rsid w:val="00D564BE"/>
    <w:rsid w:val="00D56E6A"/>
    <w:rsid w:val="00D578B3"/>
    <w:rsid w:val="00D60B1D"/>
    <w:rsid w:val="00D611DA"/>
    <w:rsid w:val="00D61497"/>
    <w:rsid w:val="00D616A3"/>
    <w:rsid w:val="00D61FDD"/>
    <w:rsid w:val="00D62566"/>
    <w:rsid w:val="00D6276F"/>
    <w:rsid w:val="00D62BCF"/>
    <w:rsid w:val="00D62CB9"/>
    <w:rsid w:val="00D634E7"/>
    <w:rsid w:val="00D63889"/>
    <w:rsid w:val="00D63BD7"/>
    <w:rsid w:val="00D63E5D"/>
    <w:rsid w:val="00D64133"/>
    <w:rsid w:val="00D642A6"/>
    <w:rsid w:val="00D65645"/>
    <w:rsid w:val="00D65788"/>
    <w:rsid w:val="00D65ADF"/>
    <w:rsid w:val="00D65C94"/>
    <w:rsid w:val="00D66225"/>
    <w:rsid w:val="00D6649A"/>
    <w:rsid w:val="00D6678A"/>
    <w:rsid w:val="00D668B0"/>
    <w:rsid w:val="00D668E6"/>
    <w:rsid w:val="00D66AB5"/>
    <w:rsid w:val="00D66E3F"/>
    <w:rsid w:val="00D6700B"/>
    <w:rsid w:val="00D67CF9"/>
    <w:rsid w:val="00D67E94"/>
    <w:rsid w:val="00D702C6"/>
    <w:rsid w:val="00D7083A"/>
    <w:rsid w:val="00D709FC"/>
    <w:rsid w:val="00D7145D"/>
    <w:rsid w:val="00D715C6"/>
    <w:rsid w:val="00D71A52"/>
    <w:rsid w:val="00D71D94"/>
    <w:rsid w:val="00D72E85"/>
    <w:rsid w:val="00D7301B"/>
    <w:rsid w:val="00D73041"/>
    <w:rsid w:val="00D739D6"/>
    <w:rsid w:val="00D73ECF"/>
    <w:rsid w:val="00D741E2"/>
    <w:rsid w:val="00D74375"/>
    <w:rsid w:val="00D7445C"/>
    <w:rsid w:val="00D762B8"/>
    <w:rsid w:val="00D76632"/>
    <w:rsid w:val="00D776AD"/>
    <w:rsid w:val="00D77C72"/>
    <w:rsid w:val="00D80021"/>
    <w:rsid w:val="00D806AD"/>
    <w:rsid w:val="00D80ACF"/>
    <w:rsid w:val="00D81126"/>
    <w:rsid w:val="00D81DE8"/>
    <w:rsid w:val="00D822BF"/>
    <w:rsid w:val="00D8295B"/>
    <w:rsid w:val="00D82D11"/>
    <w:rsid w:val="00D82F71"/>
    <w:rsid w:val="00D830A7"/>
    <w:rsid w:val="00D834B1"/>
    <w:rsid w:val="00D83AB7"/>
    <w:rsid w:val="00D83CC1"/>
    <w:rsid w:val="00D8409C"/>
    <w:rsid w:val="00D85165"/>
    <w:rsid w:val="00D852A2"/>
    <w:rsid w:val="00D8534E"/>
    <w:rsid w:val="00D859A9"/>
    <w:rsid w:val="00D85E07"/>
    <w:rsid w:val="00D87046"/>
    <w:rsid w:val="00D87088"/>
    <w:rsid w:val="00D87DCB"/>
    <w:rsid w:val="00D901FD"/>
    <w:rsid w:val="00D907A2"/>
    <w:rsid w:val="00D90E8E"/>
    <w:rsid w:val="00D9105F"/>
    <w:rsid w:val="00D91582"/>
    <w:rsid w:val="00D91C64"/>
    <w:rsid w:val="00D91D62"/>
    <w:rsid w:val="00D91F94"/>
    <w:rsid w:val="00D91FD9"/>
    <w:rsid w:val="00D93296"/>
    <w:rsid w:val="00D933C2"/>
    <w:rsid w:val="00D93510"/>
    <w:rsid w:val="00D9366D"/>
    <w:rsid w:val="00D936AE"/>
    <w:rsid w:val="00D939C0"/>
    <w:rsid w:val="00D93C64"/>
    <w:rsid w:val="00D9423B"/>
    <w:rsid w:val="00D944D6"/>
    <w:rsid w:val="00D9509D"/>
    <w:rsid w:val="00D95741"/>
    <w:rsid w:val="00D9589F"/>
    <w:rsid w:val="00D95C20"/>
    <w:rsid w:val="00D96F5A"/>
    <w:rsid w:val="00D9704C"/>
    <w:rsid w:val="00D97AC1"/>
    <w:rsid w:val="00DA0235"/>
    <w:rsid w:val="00DA0C74"/>
    <w:rsid w:val="00DA16AF"/>
    <w:rsid w:val="00DA17A8"/>
    <w:rsid w:val="00DA197B"/>
    <w:rsid w:val="00DA35E2"/>
    <w:rsid w:val="00DA3686"/>
    <w:rsid w:val="00DA3B39"/>
    <w:rsid w:val="00DA3B4C"/>
    <w:rsid w:val="00DA3EA4"/>
    <w:rsid w:val="00DA4ADD"/>
    <w:rsid w:val="00DA5367"/>
    <w:rsid w:val="00DA6313"/>
    <w:rsid w:val="00DA68E6"/>
    <w:rsid w:val="00DA6B6A"/>
    <w:rsid w:val="00DA70E1"/>
    <w:rsid w:val="00DA7362"/>
    <w:rsid w:val="00DA75EF"/>
    <w:rsid w:val="00DB0116"/>
    <w:rsid w:val="00DB0375"/>
    <w:rsid w:val="00DB0C9C"/>
    <w:rsid w:val="00DB1DA9"/>
    <w:rsid w:val="00DB1F54"/>
    <w:rsid w:val="00DB27B6"/>
    <w:rsid w:val="00DB2B07"/>
    <w:rsid w:val="00DB2E2C"/>
    <w:rsid w:val="00DB3116"/>
    <w:rsid w:val="00DB3424"/>
    <w:rsid w:val="00DB35B1"/>
    <w:rsid w:val="00DB3634"/>
    <w:rsid w:val="00DB3D41"/>
    <w:rsid w:val="00DB4AB9"/>
    <w:rsid w:val="00DB53A7"/>
    <w:rsid w:val="00DB5689"/>
    <w:rsid w:val="00DB59BA"/>
    <w:rsid w:val="00DB6041"/>
    <w:rsid w:val="00DB6098"/>
    <w:rsid w:val="00DB63CE"/>
    <w:rsid w:val="00DB65D1"/>
    <w:rsid w:val="00DB7611"/>
    <w:rsid w:val="00DB7E07"/>
    <w:rsid w:val="00DC009D"/>
    <w:rsid w:val="00DC0252"/>
    <w:rsid w:val="00DC1853"/>
    <w:rsid w:val="00DC20D2"/>
    <w:rsid w:val="00DC2478"/>
    <w:rsid w:val="00DC2764"/>
    <w:rsid w:val="00DC2776"/>
    <w:rsid w:val="00DC27AE"/>
    <w:rsid w:val="00DC2A76"/>
    <w:rsid w:val="00DC308B"/>
    <w:rsid w:val="00DC31C3"/>
    <w:rsid w:val="00DC386C"/>
    <w:rsid w:val="00DC3D6A"/>
    <w:rsid w:val="00DC3D89"/>
    <w:rsid w:val="00DC3EE7"/>
    <w:rsid w:val="00DC512E"/>
    <w:rsid w:val="00DC51FE"/>
    <w:rsid w:val="00DC537D"/>
    <w:rsid w:val="00DC668C"/>
    <w:rsid w:val="00DC6AE8"/>
    <w:rsid w:val="00DC706F"/>
    <w:rsid w:val="00DC737B"/>
    <w:rsid w:val="00DC7466"/>
    <w:rsid w:val="00DC7707"/>
    <w:rsid w:val="00DC7D25"/>
    <w:rsid w:val="00DC7DF8"/>
    <w:rsid w:val="00DD02C0"/>
    <w:rsid w:val="00DD2021"/>
    <w:rsid w:val="00DD21CE"/>
    <w:rsid w:val="00DD2CB4"/>
    <w:rsid w:val="00DD2F4A"/>
    <w:rsid w:val="00DD2F57"/>
    <w:rsid w:val="00DD3233"/>
    <w:rsid w:val="00DD34D5"/>
    <w:rsid w:val="00DD37E7"/>
    <w:rsid w:val="00DD494E"/>
    <w:rsid w:val="00DD4952"/>
    <w:rsid w:val="00DD4E43"/>
    <w:rsid w:val="00DD4EFF"/>
    <w:rsid w:val="00DD5BDF"/>
    <w:rsid w:val="00DD5D79"/>
    <w:rsid w:val="00DD5F7B"/>
    <w:rsid w:val="00DD62A8"/>
    <w:rsid w:val="00DD631B"/>
    <w:rsid w:val="00DD69DC"/>
    <w:rsid w:val="00DD6DC9"/>
    <w:rsid w:val="00DD70D0"/>
    <w:rsid w:val="00DD724A"/>
    <w:rsid w:val="00DD748A"/>
    <w:rsid w:val="00DD767E"/>
    <w:rsid w:val="00DD7BD5"/>
    <w:rsid w:val="00DE0CFE"/>
    <w:rsid w:val="00DE0EF9"/>
    <w:rsid w:val="00DE10E7"/>
    <w:rsid w:val="00DE196D"/>
    <w:rsid w:val="00DE243A"/>
    <w:rsid w:val="00DE26B8"/>
    <w:rsid w:val="00DE28F1"/>
    <w:rsid w:val="00DE375D"/>
    <w:rsid w:val="00DE3D46"/>
    <w:rsid w:val="00DE41EC"/>
    <w:rsid w:val="00DE4A99"/>
    <w:rsid w:val="00DE4C14"/>
    <w:rsid w:val="00DE4E3D"/>
    <w:rsid w:val="00DE4EDF"/>
    <w:rsid w:val="00DE504C"/>
    <w:rsid w:val="00DE51EA"/>
    <w:rsid w:val="00DE58CB"/>
    <w:rsid w:val="00DE6677"/>
    <w:rsid w:val="00DE7D17"/>
    <w:rsid w:val="00DE7D72"/>
    <w:rsid w:val="00DF0CC6"/>
    <w:rsid w:val="00DF1C5D"/>
    <w:rsid w:val="00DF2378"/>
    <w:rsid w:val="00DF276F"/>
    <w:rsid w:val="00DF2B3F"/>
    <w:rsid w:val="00DF2DDA"/>
    <w:rsid w:val="00DF4A84"/>
    <w:rsid w:val="00DF5526"/>
    <w:rsid w:val="00DF55C3"/>
    <w:rsid w:val="00DF5A61"/>
    <w:rsid w:val="00DF5E04"/>
    <w:rsid w:val="00DF5E13"/>
    <w:rsid w:val="00DF5FCF"/>
    <w:rsid w:val="00DF6742"/>
    <w:rsid w:val="00DF6C0D"/>
    <w:rsid w:val="00DF70D8"/>
    <w:rsid w:val="00DF735F"/>
    <w:rsid w:val="00E00230"/>
    <w:rsid w:val="00E009BC"/>
    <w:rsid w:val="00E00EB0"/>
    <w:rsid w:val="00E011EF"/>
    <w:rsid w:val="00E01451"/>
    <w:rsid w:val="00E01D0C"/>
    <w:rsid w:val="00E01DED"/>
    <w:rsid w:val="00E01FB1"/>
    <w:rsid w:val="00E0260B"/>
    <w:rsid w:val="00E026FA"/>
    <w:rsid w:val="00E02863"/>
    <w:rsid w:val="00E02AE2"/>
    <w:rsid w:val="00E02BBE"/>
    <w:rsid w:val="00E039F6"/>
    <w:rsid w:val="00E03AC0"/>
    <w:rsid w:val="00E055CE"/>
    <w:rsid w:val="00E0578C"/>
    <w:rsid w:val="00E05DD4"/>
    <w:rsid w:val="00E05E90"/>
    <w:rsid w:val="00E073F2"/>
    <w:rsid w:val="00E104FF"/>
    <w:rsid w:val="00E1078C"/>
    <w:rsid w:val="00E107CB"/>
    <w:rsid w:val="00E10BC8"/>
    <w:rsid w:val="00E11F34"/>
    <w:rsid w:val="00E129DA"/>
    <w:rsid w:val="00E12DEC"/>
    <w:rsid w:val="00E12F92"/>
    <w:rsid w:val="00E13546"/>
    <w:rsid w:val="00E13CC9"/>
    <w:rsid w:val="00E13E1D"/>
    <w:rsid w:val="00E148C9"/>
    <w:rsid w:val="00E15538"/>
    <w:rsid w:val="00E158F8"/>
    <w:rsid w:val="00E15AF7"/>
    <w:rsid w:val="00E168FB"/>
    <w:rsid w:val="00E16AD7"/>
    <w:rsid w:val="00E16C10"/>
    <w:rsid w:val="00E16E4C"/>
    <w:rsid w:val="00E172EE"/>
    <w:rsid w:val="00E20309"/>
    <w:rsid w:val="00E2087B"/>
    <w:rsid w:val="00E211E9"/>
    <w:rsid w:val="00E2176D"/>
    <w:rsid w:val="00E23A1B"/>
    <w:rsid w:val="00E23AE3"/>
    <w:rsid w:val="00E240AE"/>
    <w:rsid w:val="00E24189"/>
    <w:rsid w:val="00E245D7"/>
    <w:rsid w:val="00E24AE6"/>
    <w:rsid w:val="00E24B00"/>
    <w:rsid w:val="00E24DC5"/>
    <w:rsid w:val="00E25EB5"/>
    <w:rsid w:val="00E25FCE"/>
    <w:rsid w:val="00E26611"/>
    <w:rsid w:val="00E26F0E"/>
    <w:rsid w:val="00E27003"/>
    <w:rsid w:val="00E2740A"/>
    <w:rsid w:val="00E27452"/>
    <w:rsid w:val="00E27569"/>
    <w:rsid w:val="00E30060"/>
    <w:rsid w:val="00E30813"/>
    <w:rsid w:val="00E311F3"/>
    <w:rsid w:val="00E31F9F"/>
    <w:rsid w:val="00E326E1"/>
    <w:rsid w:val="00E327BE"/>
    <w:rsid w:val="00E33483"/>
    <w:rsid w:val="00E339A9"/>
    <w:rsid w:val="00E33B3D"/>
    <w:rsid w:val="00E33CE3"/>
    <w:rsid w:val="00E33FC0"/>
    <w:rsid w:val="00E34B26"/>
    <w:rsid w:val="00E3596E"/>
    <w:rsid w:val="00E35FCE"/>
    <w:rsid w:val="00E3601E"/>
    <w:rsid w:val="00E36830"/>
    <w:rsid w:val="00E374A6"/>
    <w:rsid w:val="00E375A3"/>
    <w:rsid w:val="00E377F0"/>
    <w:rsid w:val="00E37DF9"/>
    <w:rsid w:val="00E37E3A"/>
    <w:rsid w:val="00E37E7A"/>
    <w:rsid w:val="00E40C7E"/>
    <w:rsid w:val="00E41282"/>
    <w:rsid w:val="00E41477"/>
    <w:rsid w:val="00E41661"/>
    <w:rsid w:val="00E41734"/>
    <w:rsid w:val="00E420DC"/>
    <w:rsid w:val="00E4241B"/>
    <w:rsid w:val="00E4290A"/>
    <w:rsid w:val="00E42A68"/>
    <w:rsid w:val="00E42F4D"/>
    <w:rsid w:val="00E4312E"/>
    <w:rsid w:val="00E439B2"/>
    <w:rsid w:val="00E44779"/>
    <w:rsid w:val="00E4478F"/>
    <w:rsid w:val="00E44E00"/>
    <w:rsid w:val="00E44E93"/>
    <w:rsid w:val="00E44FC2"/>
    <w:rsid w:val="00E45C20"/>
    <w:rsid w:val="00E471C8"/>
    <w:rsid w:val="00E47787"/>
    <w:rsid w:val="00E4791D"/>
    <w:rsid w:val="00E503C5"/>
    <w:rsid w:val="00E505C5"/>
    <w:rsid w:val="00E50DE4"/>
    <w:rsid w:val="00E50E45"/>
    <w:rsid w:val="00E50E9D"/>
    <w:rsid w:val="00E512F8"/>
    <w:rsid w:val="00E516C8"/>
    <w:rsid w:val="00E51B3D"/>
    <w:rsid w:val="00E51BE8"/>
    <w:rsid w:val="00E51FCD"/>
    <w:rsid w:val="00E52014"/>
    <w:rsid w:val="00E522AD"/>
    <w:rsid w:val="00E52777"/>
    <w:rsid w:val="00E52FC7"/>
    <w:rsid w:val="00E53033"/>
    <w:rsid w:val="00E5305F"/>
    <w:rsid w:val="00E5309C"/>
    <w:rsid w:val="00E531FF"/>
    <w:rsid w:val="00E540F3"/>
    <w:rsid w:val="00E548C2"/>
    <w:rsid w:val="00E54CDA"/>
    <w:rsid w:val="00E54D66"/>
    <w:rsid w:val="00E558E0"/>
    <w:rsid w:val="00E5672D"/>
    <w:rsid w:val="00E574FB"/>
    <w:rsid w:val="00E5797C"/>
    <w:rsid w:val="00E57D3E"/>
    <w:rsid w:val="00E57F08"/>
    <w:rsid w:val="00E60040"/>
    <w:rsid w:val="00E6050E"/>
    <w:rsid w:val="00E60B40"/>
    <w:rsid w:val="00E60C65"/>
    <w:rsid w:val="00E60DC0"/>
    <w:rsid w:val="00E6104E"/>
    <w:rsid w:val="00E612F9"/>
    <w:rsid w:val="00E615CF"/>
    <w:rsid w:val="00E6160C"/>
    <w:rsid w:val="00E61F25"/>
    <w:rsid w:val="00E6339C"/>
    <w:rsid w:val="00E63733"/>
    <w:rsid w:val="00E63B39"/>
    <w:rsid w:val="00E64468"/>
    <w:rsid w:val="00E64CF5"/>
    <w:rsid w:val="00E64EB6"/>
    <w:rsid w:val="00E64F0C"/>
    <w:rsid w:val="00E655FC"/>
    <w:rsid w:val="00E658D8"/>
    <w:rsid w:val="00E6605F"/>
    <w:rsid w:val="00E66BFF"/>
    <w:rsid w:val="00E678F5"/>
    <w:rsid w:val="00E67C0F"/>
    <w:rsid w:val="00E705C4"/>
    <w:rsid w:val="00E706DD"/>
    <w:rsid w:val="00E7114B"/>
    <w:rsid w:val="00E717DA"/>
    <w:rsid w:val="00E71A64"/>
    <w:rsid w:val="00E71B66"/>
    <w:rsid w:val="00E72256"/>
    <w:rsid w:val="00E72537"/>
    <w:rsid w:val="00E7254C"/>
    <w:rsid w:val="00E73171"/>
    <w:rsid w:val="00E734E7"/>
    <w:rsid w:val="00E73A37"/>
    <w:rsid w:val="00E73A6B"/>
    <w:rsid w:val="00E7426C"/>
    <w:rsid w:val="00E7503E"/>
    <w:rsid w:val="00E751E7"/>
    <w:rsid w:val="00E762B9"/>
    <w:rsid w:val="00E76A7C"/>
    <w:rsid w:val="00E76D1A"/>
    <w:rsid w:val="00E76DD6"/>
    <w:rsid w:val="00E76ECC"/>
    <w:rsid w:val="00E77525"/>
    <w:rsid w:val="00E777E9"/>
    <w:rsid w:val="00E77A06"/>
    <w:rsid w:val="00E77B5E"/>
    <w:rsid w:val="00E77F41"/>
    <w:rsid w:val="00E805E2"/>
    <w:rsid w:val="00E80D27"/>
    <w:rsid w:val="00E81158"/>
    <w:rsid w:val="00E814FE"/>
    <w:rsid w:val="00E816F4"/>
    <w:rsid w:val="00E81743"/>
    <w:rsid w:val="00E8190E"/>
    <w:rsid w:val="00E81A92"/>
    <w:rsid w:val="00E81B37"/>
    <w:rsid w:val="00E81CD4"/>
    <w:rsid w:val="00E820A7"/>
    <w:rsid w:val="00E825CE"/>
    <w:rsid w:val="00E82D7D"/>
    <w:rsid w:val="00E8467A"/>
    <w:rsid w:val="00E8579E"/>
    <w:rsid w:val="00E864B7"/>
    <w:rsid w:val="00E86BAF"/>
    <w:rsid w:val="00E877F2"/>
    <w:rsid w:val="00E87A88"/>
    <w:rsid w:val="00E87ED3"/>
    <w:rsid w:val="00E9001C"/>
    <w:rsid w:val="00E905C0"/>
    <w:rsid w:val="00E90607"/>
    <w:rsid w:val="00E907F7"/>
    <w:rsid w:val="00E908D9"/>
    <w:rsid w:val="00E91E90"/>
    <w:rsid w:val="00E91F15"/>
    <w:rsid w:val="00E92F11"/>
    <w:rsid w:val="00E93095"/>
    <w:rsid w:val="00E93D62"/>
    <w:rsid w:val="00E94CAC"/>
    <w:rsid w:val="00E94F16"/>
    <w:rsid w:val="00E95030"/>
    <w:rsid w:val="00E95B29"/>
    <w:rsid w:val="00E95E46"/>
    <w:rsid w:val="00E9620D"/>
    <w:rsid w:val="00E96B61"/>
    <w:rsid w:val="00E96CAA"/>
    <w:rsid w:val="00E974A3"/>
    <w:rsid w:val="00E974C1"/>
    <w:rsid w:val="00E978C6"/>
    <w:rsid w:val="00E97906"/>
    <w:rsid w:val="00E97FDA"/>
    <w:rsid w:val="00EA03F1"/>
    <w:rsid w:val="00EA1240"/>
    <w:rsid w:val="00EA184A"/>
    <w:rsid w:val="00EA1886"/>
    <w:rsid w:val="00EA19F6"/>
    <w:rsid w:val="00EA324E"/>
    <w:rsid w:val="00EA3356"/>
    <w:rsid w:val="00EA35C8"/>
    <w:rsid w:val="00EA3A2C"/>
    <w:rsid w:val="00EA3A5B"/>
    <w:rsid w:val="00EA3A9F"/>
    <w:rsid w:val="00EA4070"/>
    <w:rsid w:val="00EA5401"/>
    <w:rsid w:val="00EA5599"/>
    <w:rsid w:val="00EA57C3"/>
    <w:rsid w:val="00EA5CDE"/>
    <w:rsid w:val="00EA611B"/>
    <w:rsid w:val="00EA651E"/>
    <w:rsid w:val="00EA6B13"/>
    <w:rsid w:val="00EA6D91"/>
    <w:rsid w:val="00EA712B"/>
    <w:rsid w:val="00EA796A"/>
    <w:rsid w:val="00EA7E05"/>
    <w:rsid w:val="00EA7FB6"/>
    <w:rsid w:val="00EB05CB"/>
    <w:rsid w:val="00EB066D"/>
    <w:rsid w:val="00EB1010"/>
    <w:rsid w:val="00EB142D"/>
    <w:rsid w:val="00EB1BBA"/>
    <w:rsid w:val="00EB1F70"/>
    <w:rsid w:val="00EB3161"/>
    <w:rsid w:val="00EB3200"/>
    <w:rsid w:val="00EB3B2C"/>
    <w:rsid w:val="00EB3C9F"/>
    <w:rsid w:val="00EB3CE2"/>
    <w:rsid w:val="00EB3D92"/>
    <w:rsid w:val="00EB437E"/>
    <w:rsid w:val="00EB44D5"/>
    <w:rsid w:val="00EB4B15"/>
    <w:rsid w:val="00EB4CB6"/>
    <w:rsid w:val="00EB4D6C"/>
    <w:rsid w:val="00EB522B"/>
    <w:rsid w:val="00EB53BB"/>
    <w:rsid w:val="00EB53C0"/>
    <w:rsid w:val="00EB594B"/>
    <w:rsid w:val="00EB5C1F"/>
    <w:rsid w:val="00EB6831"/>
    <w:rsid w:val="00EB6BCE"/>
    <w:rsid w:val="00EB6C1F"/>
    <w:rsid w:val="00EB7E89"/>
    <w:rsid w:val="00EC000C"/>
    <w:rsid w:val="00EC064F"/>
    <w:rsid w:val="00EC1869"/>
    <w:rsid w:val="00EC218F"/>
    <w:rsid w:val="00EC30BE"/>
    <w:rsid w:val="00EC3545"/>
    <w:rsid w:val="00EC4DB4"/>
    <w:rsid w:val="00EC509D"/>
    <w:rsid w:val="00EC56B8"/>
    <w:rsid w:val="00EC5A68"/>
    <w:rsid w:val="00EC5D53"/>
    <w:rsid w:val="00EC608F"/>
    <w:rsid w:val="00EC6275"/>
    <w:rsid w:val="00EC70EA"/>
    <w:rsid w:val="00EC73E1"/>
    <w:rsid w:val="00ED156E"/>
    <w:rsid w:val="00ED1EBB"/>
    <w:rsid w:val="00ED355C"/>
    <w:rsid w:val="00ED3A0C"/>
    <w:rsid w:val="00ED3DB0"/>
    <w:rsid w:val="00ED4053"/>
    <w:rsid w:val="00ED4589"/>
    <w:rsid w:val="00ED4946"/>
    <w:rsid w:val="00ED4ADF"/>
    <w:rsid w:val="00ED5675"/>
    <w:rsid w:val="00ED5D6C"/>
    <w:rsid w:val="00ED67A2"/>
    <w:rsid w:val="00ED6989"/>
    <w:rsid w:val="00ED72E9"/>
    <w:rsid w:val="00ED7327"/>
    <w:rsid w:val="00ED7330"/>
    <w:rsid w:val="00ED79E3"/>
    <w:rsid w:val="00EE0274"/>
    <w:rsid w:val="00EE1298"/>
    <w:rsid w:val="00EE1A88"/>
    <w:rsid w:val="00EE1C39"/>
    <w:rsid w:val="00EE1D1D"/>
    <w:rsid w:val="00EE2565"/>
    <w:rsid w:val="00EE25E2"/>
    <w:rsid w:val="00EE2EB9"/>
    <w:rsid w:val="00EE30F2"/>
    <w:rsid w:val="00EE345C"/>
    <w:rsid w:val="00EE3866"/>
    <w:rsid w:val="00EE4582"/>
    <w:rsid w:val="00EE4BB6"/>
    <w:rsid w:val="00EE4F45"/>
    <w:rsid w:val="00EE54F6"/>
    <w:rsid w:val="00EE55D6"/>
    <w:rsid w:val="00EE5D25"/>
    <w:rsid w:val="00EE5E19"/>
    <w:rsid w:val="00EE62A3"/>
    <w:rsid w:val="00EE71CF"/>
    <w:rsid w:val="00EE7793"/>
    <w:rsid w:val="00EE79C2"/>
    <w:rsid w:val="00EE7E00"/>
    <w:rsid w:val="00EF0090"/>
    <w:rsid w:val="00EF03CD"/>
    <w:rsid w:val="00EF0F3F"/>
    <w:rsid w:val="00EF2C8D"/>
    <w:rsid w:val="00EF34F8"/>
    <w:rsid w:val="00EF3A50"/>
    <w:rsid w:val="00EF3A84"/>
    <w:rsid w:val="00EF4A5B"/>
    <w:rsid w:val="00EF4C88"/>
    <w:rsid w:val="00EF5498"/>
    <w:rsid w:val="00EF6BD1"/>
    <w:rsid w:val="00EF6DD2"/>
    <w:rsid w:val="00EF6F45"/>
    <w:rsid w:val="00EF7016"/>
    <w:rsid w:val="00EF72DD"/>
    <w:rsid w:val="00EF7589"/>
    <w:rsid w:val="00EF7E55"/>
    <w:rsid w:val="00F00B25"/>
    <w:rsid w:val="00F01032"/>
    <w:rsid w:val="00F0156C"/>
    <w:rsid w:val="00F01D9B"/>
    <w:rsid w:val="00F020E9"/>
    <w:rsid w:val="00F0217E"/>
    <w:rsid w:val="00F02203"/>
    <w:rsid w:val="00F0257A"/>
    <w:rsid w:val="00F02B27"/>
    <w:rsid w:val="00F0528C"/>
    <w:rsid w:val="00F0544F"/>
    <w:rsid w:val="00F05626"/>
    <w:rsid w:val="00F05743"/>
    <w:rsid w:val="00F057F1"/>
    <w:rsid w:val="00F05B56"/>
    <w:rsid w:val="00F05D8C"/>
    <w:rsid w:val="00F05ED8"/>
    <w:rsid w:val="00F0643E"/>
    <w:rsid w:val="00F065A7"/>
    <w:rsid w:val="00F06A0B"/>
    <w:rsid w:val="00F06A10"/>
    <w:rsid w:val="00F106ED"/>
    <w:rsid w:val="00F10B39"/>
    <w:rsid w:val="00F112C6"/>
    <w:rsid w:val="00F11993"/>
    <w:rsid w:val="00F11F37"/>
    <w:rsid w:val="00F11F85"/>
    <w:rsid w:val="00F12044"/>
    <w:rsid w:val="00F12BB3"/>
    <w:rsid w:val="00F12BEE"/>
    <w:rsid w:val="00F13343"/>
    <w:rsid w:val="00F142E6"/>
    <w:rsid w:val="00F14821"/>
    <w:rsid w:val="00F1485C"/>
    <w:rsid w:val="00F14F5E"/>
    <w:rsid w:val="00F15435"/>
    <w:rsid w:val="00F155B7"/>
    <w:rsid w:val="00F15600"/>
    <w:rsid w:val="00F159F6"/>
    <w:rsid w:val="00F15BEF"/>
    <w:rsid w:val="00F15C17"/>
    <w:rsid w:val="00F15CAD"/>
    <w:rsid w:val="00F15FF5"/>
    <w:rsid w:val="00F16A68"/>
    <w:rsid w:val="00F16C0F"/>
    <w:rsid w:val="00F17494"/>
    <w:rsid w:val="00F1787D"/>
    <w:rsid w:val="00F17B95"/>
    <w:rsid w:val="00F21941"/>
    <w:rsid w:val="00F21EB9"/>
    <w:rsid w:val="00F22776"/>
    <w:rsid w:val="00F2301E"/>
    <w:rsid w:val="00F230BF"/>
    <w:rsid w:val="00F23216"/>
    <w:rsid w:val="00F23DB9"/>
    <w:rsid w:val="00F24444"/>
    <w:rsid w:val="00F24543"/>
    <w:rsid w:val="00F249C2"/>
    <w:rsid w:val="00F253F2"/>
    <w:rsid w:val="00F25429"/>
    <w:rsid w:val="00F25536"/>
    <w:rsid w:val="00F25640"/>
    <w:rsid w:val="00F25A46"/>
    <w:rsid w:val="00F25B12"/>
    <w:rsid w:val="00F25EE7"/>
    <w:rsid w:val="00F267ED"/>
    <w:rsid w:val="00F26F7A"/>
    <w:rsid w:val="00F273DC"/>
    <w:rsid w:val="00F278B7"/>
    <w:rsid w:val="00F301ED"/>
    <w:rsid w:val="00F3081A"/>
    <w:rsid w:val="00F3081F"/>
    <w:rsid w:val="00F3088D"/>
    <w:rsid w:val="00F3089E"/>
    <w:rsid w:val="00F308C3"/>
    <w:rsid w:val="00F30B40"/>
    <w:rsid w:val="00F30C62"/>
    <w:rsid w:val="00F30D4F"/>
    <w:rsid w:val="00F31964"/>
    <w:rsid w:val="00F32071"/>
    <w:rsid w:val="00F32283"/>
    <w:rsid w:val="00F3232F"/>
    <w:rsid w:val="00F32388"/>
    <w:rsid w:val="00F33E70"/>
    <w:rsid w:val="00F3426C"/>
    <w:rsid w:val="00F35537"/>
    <w:rsid w:val="00F35D58"/>
    <w:rsid w:val="00F36609"/>
    <w:rsid w:val="00F36909"/>
    <w:rsid w:val="00F37973"/>
    <w:rsid w:val="00F37AAD"/>
    <w:rsid w:val="00F37EDA"/>
    <w:rsid w:val="00F407C0"/>
    <w:rsid w:val="00F415B9"/>
    <w:rsid w:val="00F41BAE"/>
    <w:rsid w:val="00F42027"/>
    <w:rsid w:val="00F421FB"/>
    <w:rsid w:val="00F42B18"/>
    <w:rsid w:val="00F42B9B"/>
    <w:rsid w:val="00F42D26"/>
    <w:rsid w:val="00F430C5"/>
    <w:rsid w:val="00F43475"/>
    <w:rsid w:val="00F444D2"/>
    <w:rsid w:val="00F45188"/>
    <w:rsid w:val="00F4547D"/>
    <w:rsid w:val="00F46442"/>
    <w:rsid w:val="00F464DA"/>
    <w:rsid w:val="00F4653A"/>
    <w:rsid w:val="00F46916"/>
    <w:rsid w:val="00F46B3A"/>
    <w:rsid w:val="00F479B6"/>
    <w:rsid w:val="00F5041A"/>
    <w:rsid w:val="00F5063B"/>
    <w:rsid w:val="00F509FB"/>
    <w:rsid w:val="00F50A73"/>
    <w:rsid w:val="00F51093"/>
    <w:rsid w:val="00F518B4"/>
    <w:rsid w:val="00F51A9F"/>
    <w:rsid w:val="00F521B1"/>
    <w:rsid w:val="00F52574"/>
    <w:rsid w:val="00F52AE9"/>
    <w:rsid w:val="00F52D0A"/>
    <w:rsid w:val="00F52FD0"/>
    <w:rsid w:val="00F5338C"/>
    <w:rsid w:val="00F53591"/>
    <w:rsid w:val="00F54837"/>
    <w:rsid w:val="00F54B4E"/>
    <w:rsid w:val="00F55284"/>
    <w:rsid w:val="00F556BD"/>
    <w:rsid w:val="00F55F1A"/>
    <w:rsid w:val="00F56E01"/>
    <w:rsid w:val="00F57834"/>
    <w:rsid w:val="00F604E6"/>
    <w:rsid w:val="00F606DD"/>
    <w:rsid w:val="00F6159B"/>
    <w:rsid w:val="00F622DF"/>
    <w:rsid w:val="00F62B83"/>
    <w:rsid w:val="00F62FA4"/>
    <w:rsid w:val="00F62FD0"/>
    <w:rsid w:val="00F63257"/>
    <w:rsid w:val="00F63514"/>
    <w:rsid w:val="00F636E1"/>
    <w:rsid w:val="00F64333"/>
    <w:rsid w:val="00F64F0D"/>
    <w:rsid w:val="00F658FB"/>
    <w:rsid w:val="00F65F81"/>
    <w:rsid w:val="00F6631A"/>
    <w:rsid w:val="00F66E89"/>
    <w:rsid w:val="00F67475"/>
    <w:rsid w:val="00F677A2"/>
    <w:rsid w:val="00F67A67"/>
    <w:rsid w:val="00F67CD9"/>
    <w:rsid w:val="00F705E4"/>
    <w:rsid w:val="00F7095A"/>
    <w:rsid w:val="00F71532"/>
    <w:rsid w:val="00F72172"/>
    <w:rsid w:val="00F72736"/>
    <w:rsid w:val="00F73691"/>
    <w:rsid w:val="00F73AD6"/>
    <w:rsid w:val="00F741D4"/>
    <w:rsid w:val="00F748A1"/>
    <w:rsid w:val="00F753D1"/>
    <w:rsid w:val="00F753FC"/>
    <w:rsid w:val="00F7546A"/>
    <w:rsid w:val="00F75614"/>
    <w:rsid w:val="00F75660"/>
    <w:rsid w:val="00F75D85"/>
    <w:rsid w:val="00F76278"/>
    <w:rsid w:val="00F76474"/>
    <w:rsid w:val="00F767A8"/>
    <w:rsid w:val="00F76929"/>
    <w:rsid w:val="00F77381"/>
    <w:rsid w:val="00F80A43"/>
    <w:rsid w:val="00F80C83"/>
    <w:rsid w:val="00F82069"/>
    <w:rsid w:val="00F82491"/>
    <w:rsid w:val="00F82584"/>
    <w:rsid w:val="00F82989"/>
    <w:rsid w:val="00F82B74"/>
    <w:rsid w:val="00F82F03"/>
    <w:rsid w:val="00F8357F"/>
    <w:rsid w:val="00F8627E"/>
    <w:rsid w:val="00F8681D"/>
    <w:rsid w:val="00F8686B"/>
    <w:rsid w:val="00F86A29"/>
    <w:rsid w:val="00F873ED"/>
    <w:rsid w:val="00F906BE"/>
    <w:rsid w:val="00F90898"/>
    <w:rsid w:val="00F90D9E"/>
    <w:rsid w:val="00F910E0"/>
    <w:rsid w:val="00F912A0"/>
    <w:rsid w:val="00F91C5F"/>
    <w:rsid w:val="00F92121"/>
    <w:rsid w:val="00F9298F"/>
    <w:rsid w:val="00F92B47"/>
    <w:rsid w:val="00F94234"/>
    <w:rsid w:val="00F94940"/>
    <w:rsid w:val="00F94D1F"/>
    <w:rsid w:val="00F951F5"/>
    <w:rsid w:val="00F955D6"/>
    <w:rsid w:val="00F95EC7"/>
    <w:rsid w:val="00F95FB9"/>
    <w:rsid w:val="00F95FD5"/>
    <w:rsid w:val="00F964E2"/>
    <w:rsid w:val="00F96FA7"/>
    <w:rsid w:val="00F97CA9"/>
    <w:rsid w:val="00FA01CD"/>
    <w:rsid w:val="00FA021E"/>
    <w:rsid w:val="00FA0237"/>
    <w:rsid w:val="00FA088E"/>
    <w:rsid w:val="00FA141F"/>
    <w:rsid w:val="00FA20E7"/>
    <w:rsid w:val="00FA2291"/>
    <w:rsid w:val="00FA232D"/>
    <w:rsid w:val="00FA293D"/>
    <w:rsid w:val="00FA2AFB"/>
    <w:rsid w:val="00FA2E85"/>
    <w:rsid w:val="00FA37D9"/>
    <w:rsid w:val="00FA381D"/>
    <w:rsid w:val="00FA3FCD"/>
    <w:rsid w:val="00FA437D"/>
    <w:rsid w:val="00FA47BF"/>
    <w:rsid w:val="00FA4B87"/>
    <w:rsid w:val="00FA548B"/>
    <w:rsid w:val="00FA5AA3"/>
    <w:rsid w:val="00FA5D2E"/>
    <w:rsid w:val="00FA6D75"/>
    <w:rsid w:val="00FA7473"/>
    <w:rsid w:val="00FB05D2"/>
    <w:rsid w:val="00FB0E11"/>
    <w:rsid w:val="00FB1E94"/>
    <w:rsid w:val="00FB27BE"/>
    <w:rsid w:val="00FB30D2"/>
    <w:rsid w:val="00FB3133"/>
    <w:rsid w:val="00FB34A9"/>
    <w:rsid w:val="00FB3E2F"/>
    <w:rsid w:val="00FB4853"/>
    <w:rsid w:val="00FB50FE"/>
    <w:rsid w:val="00FB5A94"/>
    <w:rsid w:val="00FB6455"/>
    <w:rsid w:val="00FB6B82"/>
    <w:rsid w:val="00FB6F46"/>
    <w:rsid w:val="00FB7842"/>
    <w:rsid w:val="00FC03D7"/>
    <w:rsid w:val="00FC07DF"/>
    <w:rsid w:val="00FC0864"/>
    <w:rsid w:val="00FC0C67"/>
    <w:rsid w:val="00FC0EB6"/>
    <w:rsid w:val="00FC157D"/>
    <w:rsid w:val="00FC182E"/>
    <w:rsid w:val="00FC2226"/>
    <w:rsid w:val="00FC2543"/>
    <w:rsid w:val="00FC2A42"/>
    <w:rsid w:val="00FC3F8F"/>
    <w:rsid w:val="00FC401E"/>
    <w:rsid w:val="00FC489B"/>
    <w:rsid w:val="00FC4ABE"/>
    <w:rsid w:val="00FC5303"/>
    <w:rsid w:val="00FC5DBB"/>
    <w:rsid w:val="00FC6718"/>
    <w:rsid w:val="00FC7C8A"/>
    <w:rsid w:val="00FD0399"/>
    <w:rsid w:val="00FD062C"/>
    <w:rsid w:val="00FD0667"/>
    <w:rsid w:val="00FD1942"/>
    <w:rsid w:val="00FD1BA7"/>
    <w:rsid w:val="00FD1C7F"/>
    <w:rsid w:val="00FD27E8"/>
    <w:rsid w:val="00FD2929"/>
    <w:rsid w:val="00FD298A"/>
    <w:rsid w:val="00FD2BA2"/>
    <w:rsid w:val="00FD2E0F"/>
    <w:rsid w:val="00FD3922"/>
    <w:rsid w:val="00FD4227"/>
    <w:rsid w:val="00FD4DCC"/>
    <w:rsid w:val="00FD4E1D"/>
    <w:rsid w:val="00FD5316"/>
    <w:rsid w:val="00FD580A"/>
    <w:rsid w:val="00FD6ACA"/>
    <w:rsid w:val="00FD6D44"/>
    <w:rsid w:val="00FD6E70"/>
    <w:rsid w:val="00FD7162"/>
    <w:rsid w:val="00FD7CC8"/>
    <w:rsid w:val="00FE0318"/>
    <w:rsid w:val="00FE03CF"/>
    <w:rsid w:val="00FE0A67"/>
    <w:rsid w:val="00FE110C"/>
    <w:rsid w:val="00FE12E7"/>
    <w:rsid w:val="00FE1CAB"/>
    <w:rsid w:val="00FE3430"/>
    <w:rsid w:val="00FE3AD8"/>
    <w:rsid w:val="00FE53CE"/>
    <w:rsid w:val="00FE54FC"/>
    <w:rsid w:val="00FE5F24"/>
    <w:rsid w:val="00FE67E7"/>
    <w:rsid w:val="00FE67FC"/>
    <w:rsid w:val="00FE6F1E"/>
    <w:rsid w:val="00FE75D4"/>
    <w:rsid w:val="00FE7A38"/>
    <w:rsid w:val="00FE7C07"/>
    <w:rsid w:val="00FF1091"/>
    <w:rsid w:val="00FF10EA"/>
    <w:rsid w:val="00FF111C"/>
    <w:rsid w:val="00FF1693"/>
    <w:rsid w:val="00FF34EB"/>
    <w:rsid w:val="00FF47C6"/>
    <w:rsid w:val="00FF4DBA"/>
    <w:rsid w:val="00FF5779"/>
    <w:rsid w:val="00FF5DD3"/>
    <w:rsid w:val="00FF5DDC"/>
    <w:rsid w:val="00FF66A6"/>
    <w:rsid w:val="00FF66C8"/>
    <w:rsid w:val="00FF6745"/>
    <w:rsid w:val="00FF6790"/>
    <w:rsid w:val="00FF6AFD"/>
    <w:rsid w:val="00FF754C"/>
    <w:rsid w:val="00FF77C7"/>
    <w:rsid w:val="00FF7B67"/>
    <w:rsid w:val="00FF7C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FEA53"/>
  <w15:docId w15:val="{BD9072DA-5F84-0848-B051-BFDE7DC65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4E1"/>
  </w:style>
  <w:style w:type="paragraph" w:styleId="Heading1">
    <w:name w:val="heading 1"/>
    <w:basedOn w:val="Normal"/>
    <w:next w:val="Normal"/>
    <w:link w:val="Heading1Char"/>
    <w:autoRedefine/>
    <w:uiPriority w:val="9"/>
    <w:qFormat/>
    <w:rsid w:val="005A25BD"/>
    <w:pPr>
      <w:keepNext/>
      <w:keepLines/>
      <w:spacing w:before="240" w:after="0" w:line="360" w:lineRule="auto"/>
      <w:outlineLvl w:val="0"/>
    </w:pPr>
    <w:rPr>
      <w:rFonts w:ascii="Times New Roman" w:eastAsiaTheme="majorEastAsia" w:hAnsi="Times New Roman" w:cstheme="majorBidi"/>
      <w:b/>
      <w:sz w:val="24"/>
      <w:szCs w:val="32"/>
      <w:lang w:val="tr-TR"/>
    </w:rPr>
  </w:style>
  <w:style w:type="paragraph" w:styleId="Heading2">
    <w:name w:val="heading 2"/>
    <w:basedOn w:val="Normal"/>
    <w:next w:val="Normal"/>
    <w:link w:val="Heading2Char"/>
    <w:uiPriority w:val="9"/>
    <w:semiHidden/>
    <w:unhideWhenUsed/>
    <w:qFormat/>
    <w:rsid w:val="009F29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B123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8D1E4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5BD"/>
    <w:rPr>
      <w:rFonts w:ascii="Times New Roman" w:eastAsiaTheme="majorEastAsia" w:hAnsi="Times New Roman" w:cstheme="majorBidi"/>
      <w:b/>
      <w:sz w:val="24"/>
      <w:szCs w:val="32"/>
      <w:lang w:val="tr-TR"/>
    </w:rPr>
  </w:style>
  <w:style w:type="character" w:customStyle="1" w:styleId="Heading4Char">
    <w:name w:val="Heading 4 Char"/>
    <w:basedOn w:val="DefaultParagraphFont"/>
    <w:link w:val="Heading4"/>
    <w:uiPriority w:val="9"/>
    <w:rsid w:val="008D1E44"/>
    <w:rPr>
      <w:rFonts w:ascii="Times New Roman" w:eastAsia="Times New Roman" w:hAnsi="Times New Roman" w:cs="Times New Roman"/>
      <w:b/>
      <w:bCs/>
      <w:sz w:val="24"/>
      <w:szCs w:val="24"/>
    </w:rPr>
  </w:style>
  <w:style w:type="character" w:styleId="Strong">
    <w:name w:val="Strong"/>
    <w:basedOn w:val="DefaultParagraphFont"/>
    <w:uiPriority w:val="22"/>
    <w:qFormat/>
    <w:rsid w:val="008D1E44"/>
    <w:rPr>
      <w:b/>
      <w:bCs/>
    </w:rPr>
  </w:style>
  <w:style w:type="table" w:styleId="TableGrid">
    <w:name w:val="Table Grid"/>
    <w:basedOn w:val="TableNormal"/>
    <w:uiPriority w:val="39"/>
    <w:qFormat/>
    <w:rsid w:val="000200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0014"/>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qFormat/>
    <w:rsid w:val="0002001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20014"/>
    <w:rPr>
      <w:i/>
      <w:iCs/>
    </w:rPr>
  </w:style>
  <w:style w:type="paragraph" w:styleId="ListParagraph">
    <w:name w:val="List Paragraph"/>
    <w:basedOn w:val="Normal"/>
    <w:uiPriority w:val="1"/>
    <w:qFormat/>
    <w:rsid w:val="00D87046"/>
    <w:pPr>
      <w:ind w:left="720"/>
      <w:contextualSpacing/>
    </w:pPr>
    <w:rPr>
      <w:kern w:val="2"/>
      <w14:ligatures w14:val="standardContextual"/>
    </w:rPr>
  </w:style>
  <w:style w:type="paragraph" w:styleId="BalloonText">
    <w:name w:val="Balloon Text"/>
    <w:basedOn w:val="Normal"/>
    <w:link w:val="BalloonTextChar1"/>
    <w:uiPriority w:val="99"/>
    <w:semiHidden/>
    <w:unhideWhenUsed/>
    <w:qFormat/>
    <w:rsid w:val="00D87046"/>
    <w:pPr>
      <w:spacing w:after="0" w:line="240" w:lineRule="auto"/>
    </w:pPr>
    <w:rPr>
      <w:rFonts w:ascii="Segoe UI" w:hAnsi="Segoe UI" w:cs="Segoe UI"/>
      <w:kern w:val="2"/>
      <w:sz w:val="18"/>
      <w:szCs w:val="18"/>
      <w14:ligatures w14:val="standardContextual"/>
    </w:rPr>
  </w:style>
  <w:style w:type="character" w:customStyle="1" w:styleId="BalloonTextChar">
    <w:name w:val="Balloon Text Char"/>
    <w:basedOn w:val="DefaultParagraphFont"/>
    <w:link w:val="BalloonText1"/>
    <w:uiPriority w:val="99"/>
    <w:semiHidden/>
    <w:qFormat/>
    <w:rsid w:val="00D87046"/>
    <w:rPr>
      <w:rFonts w:ascii="Segoe UI" w:hAnsi="Segoe UI" w:cs="Segoe UI"/>
      <w:sz w:val="18"/>
      <w:szCs w:val="18"/>
    </w:rPr>
  </w:style>
  <w:style w:type="character" w:styleId="CommentReference">
    <w:name w:val="annotation reference"/>
    <w:basedOn w:val="DefaultParagraphFont"/>
    <w:uiPriority w:val="99"/>
    <w:semiHidden/>
    <w:unhideWhenUsed/>
    <w:qFormat/>
    <w:rsid w:val="00D87046"/>
    <w:rPr>
      <w:sz w:val="16"/>
      <w:szCs w:val="16"/>
    </w:rPr>
  </w:style>
  <w:style w:type="paragraph" w:styleId="CommentText">
    <w:name w:val="annotation text"/>
    <w:basedOn w:val="Normal"/>
    <w:link w:val="CommentTextChar"/>
    <w:uiPriority w:val="99"/>
    <w:semiHidden/>
    <w:unhideWhenUsed/>
    <w:qFormat/>
    <w:rsid w:val="00D87046"/>
    <w:pPr>
      <w:spacing w:line="240" w:lineRule="auto"/>
    </w:pPr>
    <w:rPr>
      <w:kern w:val="2"/>
      <w:sz w:val="20"/>
      <w:szCs w:val="20"/>
    </w:rPr>
  </w:style>
  <w:style w:type="character" w:customStyle="1" w:styleId="CommentTextChar">
    <w:name w:val="Comment Text Char"/>
    <w:basedOn w:val="DefaultParagraphFont"/>
    <w:link w:val="CommentText"/>
    <w:uiPriority w:val="99"/>
    <w:semiHidden/>
    <w:qFormat/>
    <w:rsid w:val="00D87046"/>
    <w:rPr>
      <w:kern w:val="2"/>
      <w:sz w:val="20"/>
      <w:szCs w:val="20"/>
    </w:rPr>
  </w:style>
  <w:style w:type="paragraph" w:styleId="CommentSubject">
    <w:name w:val="annotation subject"/>
    <w:basedOn w:val="CommentText"/>
    <w:next w:val="CommentText"/>
    <w:link w:val="CommentSubjectChar"/>
    <w:uiPriority w:val="99"/>
    <w:semiHidden/>
    <w:unhideWhenUsed/>
    <w:qFormat/>
    <w:rsid w:val="00D87046"/>
    <w:rPr>
      <w:b/>
      <w:bCs/>
    </w:rPr>
  </w:style>
  <w:style w:type="character" w:customStyle="1" w:styleId="CommentSubjectChar">
    <w:name w:val="Comment Subject Char"/>
    <w:basedOn w:val="CommentTextChar"/>
    <w:link w:val="CommentSubject"/>
    <w:uiPriority w:val="99"/>
    <w:semiHidden/>
    <w:qFormat/>
    <w:rsid w:val="00D87046"/>
    <w:rPr>
      <w:b/>
      <w:bCs/>
      <w:kern w:val="2"/>
      <w:sz w:val="20"/>
      <w:szCs w:val="20"/>
    </w:rPr>
  </w:style>
  <w:style w:type="paragraph" w:styleId="Footer">
    <w:name w:val="footer"/>
    <w:basedOn w:val="Normal"/>
    <w:link w:val="FooterChar"/>
    <w:uiPriority w:val="99"/>
    <w:unhideWhenUsed/>
    <w:qFormat/>
    <w:rsid w:val="00D87046"/>
    <w:pPr>
      <w:tabs>
        <w:tab w:val="center" w:pos="4680"/>
        <w:tab w:val="right" w:pos="9360"/>
      </w:tabs>
      <w:spacing w:after="0" w:line="240" w:lineRule="auto"/>
    </w:pPr>
    <w:rPr>
      <w:kern w:val="2"/>
      <w14:ligatures w14:val="standardContextual"/>
    </w:rPr>
  </w:style>
  <w:style w:type="character" w:customStyle="1" w:styleId="FooterChar">
    <w:name w:val="Footer Char"/>
    <w:basedOn w:val="DefaultParagraphFont"/>
    <w:link w:val="Footer"/>
    <w:uiPriority w:val="99"/>
    <w:qFormat/>
    <w:rsid w:val="00D87046"/>
    <w:rPr>
      <w:kern w:val="2"/>
      <w14:ligatures w14:val="standardContextual"/>
    </w:rPr>
  </w:style>
  <w:style w:type="paragraph" w:styleId="Header">
    <w:name w:val="header"/>
    <w:basedOn w:val="Normal"/>
    <w:link w:val="HeaderChar"/>
    <w:uiPriority w:val="99"/>
    <w:unhideWhenUsed/>
    <w:qFormat/>
    <w:rsid w:val="00D87046"/>
    <w:pPr>
      <w:tabs>
        <w:tab w:val="center" w:pos="4680"/>
        <w:tab w:val="right" w:pos="9360"/>
      </w:tabs>
      <w:spacing w:after="0" w:line="240" w:lineRule="auto"/>
    </w:pPr>
    <w:rPr>
      <w:kern w:val="2"/>
      <w14:ligatures w14:val="standardContextual"/>
    </w:rPr>
  </w:style>
  <w:style w:type="character" w:customStyle="1" w:styleId="HeaderChar">
    <w:name w:val="Header Char"/>
    <w:basedOn w:val="DefaultParagraphFont"/>
    <w:link w:val="Header"/>
    <w:uiPriority w:val="99"/>
    <w:qFormat/>
    <w:rsid w:val="00D87046"/>
    <w:rPr>
      <w:kern w:val="2"/>
      <w14:ligatures w14:val="standardContextual"/>
    </w:rPr>
  </w:style>
  <w:style w:type="character" w:styleId="PageNumber">
    <w:name w:val="page number"/>
    <w:basedOn w:val="DefaultParagraphFont"/>
    <w:uiPriority w:val="99"/>
    <w:semiHidden/>
    <w:unhideWhenUsed/>
    <w:qFormat/>
    <w:rsid w:val="00D87046"/>
  </w:style>
  <w:style w:type="paragraph" w:customStyle="1" w:styleId="BalloonText1">
    <w:name w:val="Balloon Text1"/>
    <w:basedOn w:val="Normal"/>
    <w:next w:val="BalloonText"/>
    <w:link w:val="BalloonTextChar"/>
    <w:uiPriority w:val="99"/>
    <w:semiHidden/>
    <w:unhideWhenUsed/>
    <w:qFormat/>
    <w:rsid w:val="00D87046"/>
    <w:pPr>
      <w:spacing w:after="0" w:line="240" w:lineRule="auto"/>
    </w:pPr>
    <w:rPr>
      <w:rFonts w:ascii="Segoe UI" w:hAnsi="Segoe UI" w:cs="Segoe UI"/>
      <w:sz w:val="18"/>
      <w:szCs w:val="18"/>
    </w:rPr>
  </w:style>
  <w:style w:type="table" w:customStyle="1" w:styleId="TableGrid1">
    <w:name w:val="Table Grid1"/>
    <w:basedOn w:val="TableNormal"/>
    <w:uiPriority w:val="59"/>
    <w:qFormat/>
    <w:rsid w:val="00D87046"/>
    <w:pPr>
      <w:spacing w:after="0" w:line="240" w:lineRule="auto"/>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loonTextChar1">
    <w:name w:val="Balloon Text Char1"/>
    <w:basedOn w:val="DefaultParagraphFont"/>
    <w:link w:val="BalloonText"/>
    <w:uiPriority w:val="99"/>
    <w:semiHidden/>
    <w:qFormat/>
    <w:rsid w:val="00D87046"/>
    <w:rPr>
      <w:rFonts w:ascii="Segoe UI" w:hAnsi="Segoe UI" w:cs="Segoe UI"/>
      <w:kern w:val="2"/>
      <w:sz w:val="18"/>
      <w:szCs w:val="18"/>
      <w14:ligatures w14:val="standardContextual"/>
    </w:rPr>
  </w:style>
  <w:style w:type="table" w:customStyle="1" w:styleId="LightShading1">
    <w:name w:val="Light Shading1"/>
    <w:basedOn w:val="TableNormal"/>
    <w:uiPriority w:val="60"/>
    <w:qFormat/>
    <w:rsid w:val="00D87046"/>
    <w:pPr>
      <w:spacing w:after="0" w:line="240" w:lineRule="auto"/>
    </w:pPr>
    <w:rPr>
      <w:color w:val="000000" w:themeColor="text1" w:themeShade="BF"/>
      <w:sz w:val="20"/>
      <w:szCs w:val="20"/>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msonormal0">
    <w:name w:val="msonormal"/>
    <w:basedOn w:val="Normal"/>
    <w:uiPriority w:val="99"/>
    <w:rsid w:val="00D8704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
    <w:name w:val="Table Grid2"/>
    <w:basedOn w:val="TableNormal"/>
    <w:uiPriority w:val="59"/>
    <w:qFormat/>
    <w:rsid w:val="00D87046"/>
    <w:pPr>
      <w:spacing w:after="0" w:line="240" w:lineRule="auto"/>
    </w:pPr>
    <w:rPr>
      <w:rFonts w:ascii="Calibri" w:eastAsia="Calibri" w:hAnsi="Calibri" w:cs="Calibri"/>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qFormat/>
    <w:rsid w:val="00D8704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qFormat/>
    <w:rsid w:val="00D87046"/>
    <w:pPr>
      <w:spacing w:after="0" w:line="240" w:lineRule="auto"/>
    </w:pPr>
    <w:rPr>
      <w:rFonts w:ascii="Calibri" w:eastAsia="Calibri" w:hAnsi="Calibri" w:cs="Times New Roman"/>
      <w:color w:val="000000" w:themeColor="text1" w:themeShade="BF"/>
      <w:sz w:val="20"/>
      <w:szCs w:val="20"/>
    </w:rPr>
    <w:tblPr>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763151"/>
    <w:rPr>
      <w:color w:val="0563C1" w:themeColor="hyperlink"/>
      <w:u w:val="single"/>
    </w:rPr>
  </w:style>
  <w:style w:type="character" w:styleId="LineNumber">
    <w:name w:val="line number"/>
    <w:basedOn w:val="DefaultParagraphFont"/>
    <w:uiPriority w:val="99"/>
    <w:semiHidden/>
    <w:unhideWhenUsed/>
    <w:rsid w:val="00D72E85"/>
  </w:style>
  <w:style w:type="character" w:customStyle="1" w:styleId="UnresolvedMention1">
    <w:name w:val="Unresolved Mention1"/>
    <w:basedOn w:val="DefaultParagraphFont"/>
    <w:uiPriority w:val="99"/>
    <w:semiHidden/>
    <w:unhideWhenUsed/>
    <w:rsid w:val="00D03255"/>
    <w:rPr>
      <w:color w:val="605E5C"/>
      <w:shd w:val="clear" w:color="auto" w:fill="E1DFDD"/>
    </w:rPr>
  </w:style>
  <w:style w:type="character" w:customStyle="1" w:styleId="Heading3Char">
    <w:name w:val="Heading 3 Char"/>
    <w:basedOn w:val="DefaultParagraphFont"/>
    <w:link w:val="Heading3"/>
    <w:uiPriority w:val="9"/>
    <w:semiHidden/>
    <w:rsid w:val="00CB1234"/>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9F2966"/>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3C3982"/>
    <w:rPr>
      <w:color w:val="954F72" w:themeColor="followedHyperlink"/>
      <w:u w:val="single"/>
    </w:rPr>
  </w:style>
  <w:style w:type="character" w:styleId="PlaceholderText">
    <w:name w:val="Placeholder Text"/>
    <w:basedOn w:val="DefaultParagraphFont"/>
    <w:uiPriority w:val="99"/>
    <w:semiHidden/>
    <w:rsid w:val="001F19CF"/>
    <w:rPr>
      <w:color w:val="808080"/>
    </w:rPr>
  </w:style>
  <w:style w:type="paragraph" w:styleId="Revision">
    <w:name w:val="Revision"/>
    <w:hidden/>
    <w:uiPriority w:val="99"/>
    <w:semiHidden/>
    <w:rsid w:val="00A12729"/>
    <w:pPr>
      <w:spacing w:after="0" w:line="240" w:lineRule="auto"/>
    </w:pPr>
  </w:style>
  <w:style w:type="character" w:customStyle="1" w:styleId="UnresolvedMention2">
    <w:name w:val="Unresolved Mention2"/>
    <w:basedOn w:val="DefaultParagraphFont"/>
    <w:uiPriority w:val="99"/>
    <w:semiHidden/>
    <w:unhideWhenUsed/>
    <w:rsid w:val="00D73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8352">
      <w:bodyDiv w:val="1"/>
      <w:marLeft w:val="0"/>
      <w:marRight w:val="0"/>
      <w:marTop w:val="0"/>
      <w:marBottom w:val="0"/>
      <w:divBdr>
        <w:top w:val="none" w:sz="0" w:space="0" w:color="auto"/>
        <w:left w:val="none" w:sz="0" w:space="0" w:color="auto"/>
        <w:bottom w:val="none" w:sz="0" w:space="0" w:color="auto"/>
        <w:right w:val="none" w:sz="0" w:space="0" w:color="auto"/>
      </w:divBdr>
      <w:divsChild>
        <w:div w:id="2075657173">
          <w:marLeft w:val="0"/>
          <w:marRight w:val="0"/>
          <w:marTop w:val="0"/>
          <w:marBottom w:val="0"/>
          <w:divBdr>
            <w:top w:val="none" w:sz="0" w:space="0" w:color="auto"/>
            <w:left w:val="none" w:sz="0" w:space="0" w:color="auto"/>
            <w:bottom w:val="none" w:sz="0" w:space="0" w:color="auto"/>
            <w:right w:val="none" w:sz="0" w:space="0" w:color="auto"/>
          </w:divBdr>
          <w:divsChild>
            <w:div w:id="904030532">
              <w:marLeft w:val="0"/>
              <w:marRight w:val="0"/>
              <w:marTop w:val="0"/>
              <w:marBottom w:val="0"/>
              <w:divBdr>
                <w:top w:val="none" w:sz="0" w:space="0" w:color="auto"/>
                <w:left w:val="none" w:sz="0" w:space="0" w:color="auto"/>
                <w:bottom w:val="none" w:sz="0" w:space="0" w:color="auto"/>
                <w:right w:val="none" w:sz="0" w:space="0" w:color="auto"/>
              </w:divBdr>
              <w:divsChild>
                <w:div w:id="1311518071">
                  <w:marLeft w:val="0"/>
                  <w:marRight w:val="0"/>
                  <w:marTop w:val="0"/>
                  <w:marBottom w:val="0"/>
                  <w:divBdr>
                    <w:top w:val="none" w:sz="0" w:space="0" w:color="auto"/>
                    <w:left w:val="none" w:sz="0" w:space="0" w:color="auto"/>
                    <w:bottom w:val="none" w:sz="0" w:space="0" w:color="auto"/>
                    <w:right w:val="none" w:sz="0" w:space="0" w:color="auto"/>
                  </w:divBdr>
                  <w:divsChild>
                    <w:div w:id="3343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66218">
      <w:bodyDiv w:val="1"/>
      <w:marLeft w:val="0"/>
      <w:marRight w:val="0"/>
      <w:marTop w:val="0"/>
      <w:marBottom w:val="0"/>
      <w:divBdr>
        <w:top w:val="none" w:sz="0" w:space="0" w:color="auto"/>
        <w:left w:val="none" w:sz="0" w:space="0" w:color="auto"/>
        <w:bottom w:val="none" w:sz="0" w:space="0" w:color="auto"/>
        <w:right w:val="none" w:sz="0" w:space="0" w:color="auto"/>
      </w:divBdr>
    </w:div>
    <w:div w:id="161819149">
      <w:bodyDiv w:val="1"/>
      <w:marLeft w:val="0"/>
      <w:marRight w:val="0"/>
      <w:marTop w:val="0"/>
      <w:marBottom w:val="0"/>
      <w:divBdr>
        <w:top w:val="none" w:sz="0" w:space="0" w:color="auto"/>
        <w:left w:val="none" w:sz="0" w:space="0" w:color="auto"/>
        <w:bottom w:val="none" w:sz="0" w:space="0" w:color="auto"/>
        <w:right w:val="none" w:sz="0" w:space="0" w:color="auto"/>
      </w:divBdr>
    </w:div>
    <w:div w:id="295448602">
      <w:bodyDiv w:val="1"/>
      <w:marLeft w:val="0"/>
      <w:marRight w:val="0"/>
      <w:marTop w:val="0"/>
      <w:marBottom w:val="0"/>
      <w:divBdr>
        <w:top w:val="none" w:sz="0" w:space="0" w:color="auto"/>
        <w:left w:val="none" w:sz="0" w:space="0" w:color="auto"/>
        <w:bottom w:val="none" w:sz="0" w:space="0" w:color="auto"/>
        <w:right w:val="none" w:sz="0" w:space="0" w:color="auto"/>
      </w:divBdr>
    </w:div>
    <w:div w:id="449514870">
      <w:bodyDiv w:val="1"/>
      <w:marLeft w:val="0"/>
      <w:marRight w:val="0"/>
      <w:marTop w:val="0"/>
      <w:marBottom w:val="0"/>
      <w:divBdr>
        <w:top w:val="none" w:sz="0" w:space="0" w:color="auto"/>
        <w:left w:val="none" w:sz="0" w:space="0" w:color="auto"/>
        <w:bottom w:val="none" w:sz="0" w:space="0" w:color="auto"/>
        <w:right w:val="none" w:sz="0" w:space="0" w:color="auto"/>
      </w:divBdr>
    </w:div>
    <w:div w:id="697317304">
      <w:bodyDiv w:val="1"/>
      <w:marLeft w:val="0"/>
      <w:marRight w:val="0"/>
      <w:marTop w:val="0"/>
      <w:marBottom w:val="0"/>
      <w:divBdr>
        <w:top w:val="none" w:sz="0" w:space="0" w:color="auto"/>
        <w:left w:val="none" w:sz="0" w:space="0" w:color="auto"/>
        <w:bottom w:val="none" w:sz="0" w:space="0" w:color="auto"/>
        <w:right w:val="none" w:sz="0" w:space="0" w:color="auto"/>
      </w:divBdr>
    </w:div>
    <w:div w:id="800074592">
      <w:bodyDiv w:val="1"/>
      <w:marLeft w:val="0"/>
      <w:marRight w:val="0"/>
      <w:marTop w:val="0"/>
      <w:marBottom w:val="0"/>
      <w:divBdr>
        <w:top w:val="none" w:sz="0" w:space="0" w:color="auto"/>
        <w:left w:val="none" w:sz="0" w:space="0" w:color="auto"/>
        <w:bottom w:val="none" w:sz="0" w:space="0" w:color="auto"/>
        <w:right w:val="none" w:sz="0" w:space="0" w:color="auto"/>
      </w:divBdr>
    </w:div>
    <w:div w:id="980042112">
      <w:bodyDiv w:val="1"/>
      <w:marLeft w:val="0"/>
      <w:marRight w:val="0"/>
      <w:marTop w:val="0"/>
      <w:marBottom w:val="0"/>
      <w:divBdr>
        <w:top w:val="none" w:sz="0" w:space="0" w:color="auto"/>
        <w:left w:val="none" w:sz="0" w:space="0" w:color="auto"/>
        <w:bottom w:val="none" w:sz="0" w:space="0" w:color="auto"/>
        <w:right w:val="none" w:sz="0" w:space="0" w:color="auto"/>
      </w:divBdr>
    </w:div>
    <w:div w:id="1062943435">
      <w:bodyDiv w:val="1"/>
      <w:marLeft w:val="0"/>
      <w:marRight w:val="0"/>
      <w:marTop w:val="0"/>
      <w:marBottom w:val="0"/>
      <w:divBdr>
        <w:top w:val="none" w:sz="0" w:space="0" w:color="auto"/>
        <w:left w:val="none" w:sz="0" w:space="0" w:color="auto"/>
        <w:bottom w:val="none" w:sz="0" w:space="0" w:color="auto"/>
        <w:right w:val="none" w:sz="0" w:space="0" w:color="auto"/>
      </w:divBdr>
    </w:div>
    <w:div w:id="1285309955">
      <w:bodyDiv w:val="1"/>
      <w:marLeft w:val="0"/>
      <w:marRight w:val="0"/>
      <w:marTop w:val="0"/>
      <w:marBottom w:val="0"/>
      <w:divBdr>
        <w:top w:val="none" w:sz="0" w:space="0" w:color="auto"/>
        <w:left w:val="none" w:sz="0" w:space="0" w:color="auto"/>
        <w:bottom w:val="none" w:sz="0" w:space="0" w:color="auto"/>
        <w:right w:val="none" w:sz="0" w:space="0" w:color="auto"/>
      </w:divBdr>
    </w:div>
    <w:div w:id="1307667431">
      <w:bodyDiv w:val="1"/>
      <w:marLeft w:val="0"/>
      <w:marRight w:val="0"/>
      <w:marTop w:val="0"/>
      <w:marBottom w:val="0"/>
      <w:divBdr>
        <w:top w:val="none" w:sz="0" w:space="0" w:color="auto"/>
        <w:left w:val="none" w:sz="0" w:space="0" w:color="auto"/>
        <w:bottom w:val="none" w:sz="0" w:space="0" w:color="auto"/>
        <w:right w:val="none" w:sz="0" w:space="0" w:color="auto"/>
      </w:divBdr>
    </w:div>
    <w:div w:id="1633443536">
      <w:bodyDiv w:val="1"/>
      <w:marLeft w:val="0"/>
      <w:marRight w:val="0"/>
      <w:marTop w:val="0"/>
      <w:marBottom w:val="0"/>
      <w:divBdr>
        <w:top w:val="none" w:sz="0" w:space="0" w:color="auto"/>
        <w:left w:val="none" w:sz="0" w:space="0" w:color="auto"/>
        <w:bottom w:val="none" w:sz="0" w:space="0" w:color="auto"/>
        <w:right w:val="none" w:sz="0" w:space="0" w:color="auto"/>
      </w:divBdr>
    </w:div>
    <w:div w:id="1780758265">
      <w:bodyDiv w:val="1"/>
      <w:marLeft w:val="0"/>
      <w:marRight w:val="0"/>
      <w:marTop w:val="0"/>
      <w:marBottom w:val="0"/>
      <w:divBdr>
        <w:top w:val="none" w:sz="0" w:space="0" w:color="auto"/>
        <w:left w:val="none" w:sz="0" w:space="0" w:color="auto"/>
        <w:bottom w:val="none" w:sz="0" w:space="0" w:color="auto"/>
        <w:right w:val="none" w:sz="0" w:space="0" w:color="auto"/>
      </w:divBdr>
    </w:div>
    <w:div w:id="202566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chart" Target="charts/chart4.xml"/><Relationship Id="rId42" Type="http://schemas.openxmlformats.org/officeDocument/2006/relationships/hyperlink" Target="https://www.davidpublisher.com/Public/uploads/Contribute/5535cb13ab1cb.pdf" TargetMode="External"/><Relationship Id="rId47" Type="http://schemas.openxmlformats.org/officeDocument/2006/relationships/hyperlink" Target="https://doi.org/10.1016/j.scitotenv.2012.03.035" TargetMode="External"/><Relationship Id="rId63" Type="http://schemas.openxmlformats.org/officeDocument/2006/relationships/hyperlink" Target="https://doi.org/10.1155/2018/1402674" TargetMode="External"/><Relationship Id="rId68" Type="http://schemas.openxmlformats.org/officeDocument/2006/relationships/hyperlink" Target="https://doi.org/10.1016/j.scitotenv.2023.168769" TargetMode="External"/><Relationship Id="rId84" Type="http://schemas.openxmlformats.org/officeDocument/2006/relationships/hyperlink" Target="https://doi.org/10.1007/s13201-019-0946-4" TargetMode="External"/><Relationship Id="rId89" Type="http://schemas.openxmlformats.org/officeDocument/2006/relationships/hyperlink" Target="https://doi.org/10.1201/9781003070184-6" TargetMode="External"/><Relationship Id="rId16" Type="http://schemas.openxmlformats.org/officeDocument/2006/relationships/image" Target="media/image4.emf"/><Relationship Id="rId32" Type="http://schemas.openxmlformats.org/officeDocument/2006/relationships/chart" Target="charts/chart11.xml"/><Relationship Id="rId37" Type="http://schemas.openxmlformats.org/officeDocument/2006/relationships/hyperlink" Target="https://doi.org/10.9734/jgeesi/2024/v28i3753" TargetMode="External"/><Relationship Id="rId53" Type="http://schemas.openxmlformats.org/officeDocument/2006/relationships/hyperlink" Target="https://doi.org/10.2112/JCOASTRES-D-20-00137.1" TargetMode="External"/><Relationship Id="rId58" Type="http://schemas.openxmlformats.org/officeDocument/2006/relationships/hyperlink" Target="https://doi.org/10.1142/9789811207136_0001" TargetMode="External"/><Relationship Id="rId74" Type="http://schemas.openxmlformats.org/officeDocument/2006/relationships/hyperlink" Target="https://doi.org/10.1007/978-94-024-1222-2_3" TargetMode="External"/><Relationship Id="rId79" Type="http://schemas.openxmlformats.org/officeDocument/2006/relationships/hyperlink" Target="https://doi.org/10.4236/oalib.1107583" TargetMode="External"/><Relationship Id="rId102" Type="http://schemas.openxmlformats.org/officeDocument/2006/relationships/header" Target="header3.xml"/><Relationship Id="rId5" Type="http://schemas.openxmlformats.org/officeDocument/2006/relationships/webSettings" Target="webSettings.xml"/><Relationship Id="rId90" Type="http://schemas.openxmlformats.org/officeDocument/2006/relationships/hyperlink" Target="https://doi.org/10.1080/10643389.2012.672056" TargetMode="External"/><Relationship Id="rId95" Type="http://schemas.openxmlformats.org/officeDocument/2006/relationships/hyperlink" Target="https://directives.nrcs.usda.gov/sites/default/files2/1719841599/Soil%20Quality%20-%20General%20190-01%2C%20Guidelines%20for%20Soil%20Quality%20Assessment%20in%20Conservation%20Planning.pdf" TargetMode="External"/><Relationship Id="rId22" Type="http://schemas.openxmlformats.org/officeDocument/2006/relationships/image" Target="media/image9.emf"/><Relationship Id="rId27" Type="http://schemas.openxmlformats.org/officeDocument/2006/relationships/chart" Target="charts/chart7.xml"/><Relationship Id="rId43" Type="http://schemas.openxmlformats.org/officeDocument/2006/relationships/hyperlink" Target="https://doi.org/10.2139/ssrn.3505105" TargetMode="External"/><Relationship Id="rId48" Type="http://schemas.openxmlformats.org/officeDocument/2006/relationships/hyperlink" Target="https://doi.org/10.1007/s11356-019-06967-1" TargetMode="External"/><Relationship Id="rId64" Type="http://schemas.openxmlformats.org/officeDocument/2006/relationships/hyperlink" Target="https://doi.org/10.1007/s10661-024-13312-8" TargetMode="External"/><Relationship Id="rId69" Type="http://schemas.openxmlformats.org/officeDocument/2006/relationships/hyperlink" Target="https://doi.org/10.1038/s43017-020-0080-8" TargetMode="External"/><Relationship Id="rId80" Type="http://schemas.openxmlformats.org/officeDocument/2006/relationships/hyperlink" Target="https://abjournals.org/ajensr/1/1/human-health-risk-assessment-of-some-heavy-metals-in-a-rural-spring-southeastern-nigeria" TargetMode="External"/><Relationship Id="rId85" Type="http://schemas.openxmlformats.org/officeDocument/2006/relationships/hyperlink" Target="https://doi.org/10.1016/j.scitotenv.2018.12.425" TargetMode="External"/><Relationship Id="rId17" Type="http://schemas.openxmlformats.org/officeDocument/2006/relationships/chart" Target="charts/chart2.xml"/><Relationship Id="rId25" Type="http://schemas.openxmlformats.org/officeDocument/2006/relationships/chart" Target="charts/chart6.xml"/><Relationship Id="rId33" Type="http://schemas.openxmlformats.org/officeDocument/2006/relationships/hyperlink" Target="https://doi.org/10.1007/s10661-025-14584-4" TargetMode="External"/><Relationship Id="rId38" Type="http://schemas.openxmlformats.org/officeDocument/2006/relationships/hyperlink" Target="https://doi.org/10.56557/jogee/2024/v20i18562" TargetMode="External"/><Relationship Id="rId46" Type="http://schemas.openxmlformats.org/officeDocument/2006/relationships/hyperlink" Target="https://doi.org/10.5696/2156-9614-8.19.180905" TargetMode="External"/><Relationship Id="rId59" Type="http://schemas.openxmlformats.org/officeDocument/2006/relationships/hyperlink" Target="https://doi.org/10.4314/jasem.v18i1.8" TargetMode="External"/><Relationship Id="rId67" Type="http://schemas.openxmlformats.org/officeDocument/2006/relationships/hyperlink" Target="https://doi.org/10.1007/s10653-023-01518-7" TargetMode="External"/><Relationship Id="rId103" Type="http://schemas.openxmlformats.org/officeDocument/2006/relationships/footer" Target="footer3.xml"/><Relationship Id="rId20" Type="http://schemas.openxmlformats.org/officeDocument/2006/relationships/image" Target="media/image8.emf"/><Relationship Id="rId41" Type="http://schemas.openxmlformats.org/officeDocument/2006/relationships/hyperlink" Target="https://doi.org/10.1007/s10661-024-13218-5" TargetMode="External"/><Relationship Id="rId54" Type="http://schemas.openxmlformats.org/officeDocument/2006/relationships/hyperlink" Target="https://doi.org/10.3390/ijerph110707286" TargetMode="External"/><Relationship Id="rId62" Type="http://schemas.openxmlformats.org/officeDocument/2006/relationships/hyperlink" Target="https://doi.org/10.17352/ojabc.000019" TargetMode="External"/><Relationship Id="rId70" Type="http://schemas.openxmlformats.org/officeDocument/2006/relationships/hyperlink" Target="https://doi.org/10.1016/j.ecolind.2023.110863" TargetMode="External"/><Relationship Id="rId75" Type="http://schemas.openxmlformats.org/officeDocument/2006/relationships/hyperlink" Target="https://rsust.academia.edu/IsaacNgulube" TargetMode="External"/><Relationship Id="rId83" Type="http://schemas.openxmlformats.org/officeDocument/2006/relationships/hyperlink" Target="https://doi.org/10.1007/s10661-024-13316-4" TargetMode="External"/><Relationship Id="rId88" Type="http://schemas.openxmlformats.org/officeDocument/2006/relationships/hyperlink" Target="https://doi.org/10.9734/IJPSS/2018/41589" TargetMode="External"/><Relationship Id="rId91" Type="http://schemas.openxmlformats.org/officeDocument/2006/relationships/hyperlink" Target="https://doi.org/10.1130/0016-7606%281961%2972%5B175%3ADOTEIS%5D2.0.CO%3B2" TargetMode="External"/><Relationship Id="rId96" Type="http://schemas.openxmlformats.org/officeDocument/2006/relationships/hyperlink" Target="https://www.epa.gov/sites/default/files/2015-06/documents/epa-3050b.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chart" Target="charts/chart5.xml"/><Relationship Id="rId28" Type="http://schemas.openxmlformats.org/officeDocument/2006/relationships/image" Target="media/image12.emf"/><Relationship Id="rId36" Type="http://schemas.openxmlformats.org/officeDocument/2006/relationships/hyperlink" Target="https://doi.org/10.1016/j.pce.2024.103726" TargetMode="External"/><Relationship Id="rId49" Type="http://schemas.openxmlformats.org/officeDocument/2006/relationships/hyperlink" Target="https://doi.org/10.1007/978-3-319-14526-6_19" TargetMode="External"/><Relationship Id="rId57" Type="http://schemas.openxmlformats.org/officeDocument/2006/relationships/hyperlink" Target="https://doi.org/10.3390/w12020431" TargetMode="External"/><Relationship Id="rId31" Type="http://schemas.openxmlformats.org/officeDocument/2006/relationships/chart" Target="charts/chart10.xml"/><Relationship Id="rId44" Type="http://schemas.openxmlformats.org/officeDocument/2006/relationships/hyperlink" Target="https://doi.org/10.1016/j.jece.2022.107141" TargetMode="External"/><Relationship Id="rId52" Type="http://schemas.openxmlformats.org/officeDocument/2006/relationships/hyperlink" Target="https://doi.org/10.1016/j.gexplo.2018.03.006" TargetMode="External"/><Relationship Id="rId60" Type="http://schemas.openxmlformats.org/officeDocument/2006/relationships/hyperlink" Target="https://www.iaea.org/publications/7113/soil-sampling-for-environmental-contaminants" TargetMode="External"/><Relationship Id="rId65" Type="http://schemas.openxmlformats.org/officeDocument/2006/relationships/hyperlink" Target="https://doi.org/10.1016/j.scitotenv.2017.06.030" TargetMode="External"/><Relationship Id="rId73" Type="http://schemas.openxmlformats.org/officeDocument/2006/relationships/hyperlink" Target="https://doi.org/10.1007/s10661-024-13361-z" TargetMode="External"/><Relationship Id="rId78" Type="http://schemas.openxmlformats.org/officeDocument/2006/relationships/hyperlink" Target="https://doi.org/10.4236/gep.2025.134007" TargetMode="External"/><Relationship Id="rId81" Type="http://schemas.openxmlformats.org/officeDocument/2006/relationships/hyperlink" Target="https://doi.org/10.4103/0300-1652.108887" TargetMode="External"/><Relationship Id="rId86" Type="http://schemas.openxmlformats.org/officeDocument/2006/relationships/hyperlink" Target="https://doi.org/10.1016/j.chemosphere.2021.132369" TargetMode="External"/><Relationship Id="rId94" Type="http://schemas.openxmlformats.org/officeDocument/2006/relationships/hyperlink" Target="https://directives.nrcs.usda.gov/sites/default/files2/1719602876/Soil%20Quality%20-%20Urban%20190-03%2C%20Heavy%20Metal%20Soil%20Contamination.pdf" TargetMode="External"/><Relationship Id="rId99" Type="http://schemas.openxmlformats.org/officeDocument/2006/relationships/header" Target="header2.xml"/><Relationship Id="rId101" Type="http://schemas.openxmlformats.org/officeDocument/2006/relationships/footer" Target="footer2.xml"/><Relationship Id="rId4"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emf"/><Relationship Id="rId39" Type="http://schemas.openxmlformats.org/officeDocument/2006/relationships/hyperlink" Target="https://doi.org/10.30871/jagi.v7i2.5693" TargetMode="External"/><Relationship Id="rId34" Type="http://schemas.openxmlformats.org/officeDocument/2006/relationships/hyperlink" Target="https://doi.org/10.1007/s44274-024-00094-6" TargetMode="External"/><Relationship Id="rId50" Type="http://schemas.openxmlformats.org/officeDocument/2006/relationships/hyperlink" Target="https://doi.org/10.1016/0009-2541%2891%2990004-B" TargetMode="External"/><Relationship Id="rId55" Type="http://schemas.openxmlformats.org/officeDocument/2006/relationships/hyperlink" Target="https://doi.org/10.1016/0043-1354%2880%2990143-8" TargetMode="External"/><Relationship Id="rId76" Type="http://schemas.openxmlformats.org/officeDocument/2006/relationships/hyperlink" Target="https://doi.org/10.1038/s41598-022-15677-7" TargetMode="External"/><Relationship Id="rId97" Type="http://schemas.openxmlformats.org/officeDocument/2006/relationships/hyperlink" Target="https://19january2021snapshot.epa.gov/risk/regional-screening-levels-rsls-whats-new_.html"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007/978-981-10-7284-0_5" TargetMode="External"/><Relationship Id="rId92" Type="http://schemas.openxmlformats.org/officeDocument/2006/relationships/hyperlink" Target="https://doi.org/10.9734/ajopacs/2026/v14i3333" TargetMode="External"/><Relationship Id="rId2" Type="http://schemas.openxmlformats.org/officeDocument/2006/relationships/numbering" Target="numbering.xml"/><Relationship Id="rId29" Type="http://schemas.openxmlformats.org/officeDocument/2006/relationships/chart" Target="charts/chart8.xml"/><Relationship Id="rId24" Type="http://schemas.openxmlformats.org/officeDocument/2006/relationships/image" Target="media/image10.emf"/><Relationship Id="rId40" Type="http://schemas.openxmlformats.org/officeDocument/2006/relationships/hyperlink" Target="https://doi.org/10.1002/wer.70220" TargetMode="External"/><Relationship Id="rId45" Type="http://schemas.openxmlformats.org/officeDocument/2006/relationships/hyperlink" Target="https://doi.org/10.1016/j.sciaf.2019.e00197" TargetMode="External"/><Relationship Id="rId66" Type="http://schemas.openxmlformats.org/officeDocument/2006/relationships/hyperlink" Target="https://doi.org/10.1080/21553769.2014.933716" TargetMode="External"/><Relationship Id="rId87" Type="http://schemas.openxmlformats.org/officeDocument/2006/relationships/hyperlink" Target="https://doi.org/10.1016/j.heliyon.2023.e16692" TargetMode="External"/><Relationship Id="rId61" Type="http://schemas.openxmlformats.org/officeDocument/2006/relationships/hyperlink" Target="https://doi.org/10.1007/s12517-021-08543-9" TargetMode="External"/><Relationship Id="rId82" Type="http://schemas.openxmlformats.org/officeDocument/2006/relationships/hyperlink" Target="https://doi.org/10.56557/ajocr/2025/v10i29302" TargetMode="External"/><Relationship Id="rId19" Type="http://schemas.openxmlformats.org/officeDocument/2006/relationships/chart" Target="charts/chart3.xml"/><Relationship Id="rId14" Type="http://schemas.openxmlformats.org/officeDocument/2006/relationships/image" Target="media/image3.png"/><Relationship Id="rId30" Type="http://schemas.openxmlformats.org/officeDocument/2006/relationships/chart" Target="charts/chart9.xml"/><Relationship Id="rId35" Type="http://schemas.openxmlformats.org/officeDocument/2006/relationships/hyperlink" Target="https://doi.org/10.9734/bpi/geserh/v2/3212" TargetMode="External"/><Relationship Id="rId56" Type="http://schemas.openxmlformats.org/officeDocument/2006/relationships/hyperlink" Target="https://doi.org/10.1016/B978-0-443-18773-5.00035-1" TargetMode="External"/><Relationship Id="rId77" Type="http://schemas.openxmlformats.org/officeDocument/2006/relationships/hyperlink" Target="https://doi.org/10.30564/jees.v7i8.11042" TargetMode="External"/><Relationship Id="rId100" Type="http://schemas.openxmlformats.org/officeDocument/2006/relationships/footer" Target="footer1.xml"/><Relationship Id="rId105"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doi.org/10.3133/wsp1540C" TargetMode="External"/><Relationship Id="rId72" Type="http://schemas.openxmlformats.org/officeDocument/2006/relationships/hyperlink" Target="https://doi.org/10.3389/fenvs.2024.1381409" TargetMode="External"/><Relationship Id="rId93" Type="http://schemas.openxmlformats.org/officeDocument/2006/relationships/hyperlink" Target="https://doi.org/10.1016/B978-0-12-819001-2.00021-8" TargetMode="External"/><Relationship Id="rId98" Type="http://schemas.openxmlformats.org/officeDocument/2006/relationships/header" Target="head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C:/Users/CHIKWADO/Desktop/WOLE%20AJAYI%20PHD/BONNY%20PROJECT%20EXCEL.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C:/Users/CHIKWADO/Desktop/WOLE%20AJAYI%20PHD/BONNY%20PROJECT%20EXCEL.xlsx" TargetMode="External"/><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Sheet2!$E$5</c:f>
              <c:strCache>
                <c:ptCount val="1"/>
                <c:pt idx="0">
                  <c:v>1st Cr</c:v>
                </c:pt>
              </c:strCache>
            </c:strRef>
          </c:tx>
          <c:spPr>
            <a:solidFill>
              <a:srgbClr val="A23C33"/>
            </a:solidFill>
            <a:ln>
              <a:noFill/>
            </a:ln>
            <a:effectLst/>
            <a:sp3d/>
          </c:spPr>
          <c:invertIfNegative val="0"/>
          <c:cat>
            <c:multiLvlStrRef>
              <c:f>Sheet2!$C$6:$D$18</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Sheet2!$E$6:$E$18</c:f>
              <c:numCache>
                <c:formatCode>General</c:formatCode>
                <c:ptCount val="13"/>
                <c:pt idx="0">
                  <c:v>4.51</c:v>
                </c:pt>
                <c:pt idx="1">
                  <c:v>4.8600000000000003</c:v>
                </c:pt>
                <c:pt idx="2">
                  <c:v>1.94</c:v>
                </c:pt>
                <c:pt idx="3">
                  <c:v>5.72</c:v>
                </c:pt>
                <c:pt idx="4">
                  <c:v>5.01</c:v>
                </c:pt>
                <c:pt idx="5">
                  <c:v>4.74</c:v>
                </c:pt>
                <c:pt idx="6">
                  <c:v>1.24</c:v>
                </c:pt>
                <c:pt idx="7">
                  <c:v>2.61</c:v>
                </c:pt>
                <c:pt idx="8">
                  <c:v>5.98</c:v>
                </c:pt>
                <c:pt idx="9">
                  <c:v>3.73</c:v>
                </c:pt>
                <c:pt idx="10">
                  <c:v>2.0499999999999998</c:v>
                </c:pt>
                <c:pt idx="11">
                  <c:v>0.56000000000000005</c:v>
                </c:pt>
                <c:pt idx="12">
                  <c:v>0.48</c:v>
                </c:pt>
              </c:numCache>
            </c:numRef>
          </c:val>
          <c:extLst>
            <c:ext xmlns:c16="http://schemas.microsoft.com/office/drawing/2014/chart" uri="{C3380CC4-5D6E-409C-BE32-E72D297353CC}">
              <c16:uniqueId val="{00000000-A462-4B8A-9DAB-971428322D13}"/>
            </c:ext>
          </c:extLst>
        </c:ser>
        <c:ser>
          <c:idx val="1"/>
          <c:order val="1"/>
          <c:tx>
            <c:strRef>
              <c:f>Sheet2!$F$5</c:f>
              <c:strCache>
                <c:ptCount val="1"/>
                <c:pt idx="0">
                  <c:v>2nd Cr</c:v>
                </c:pt>
              </c:strCache>
            </c:strRef>
          </c:tx>
          <c:spPr>
            <a:solidFill>
              <a:srgbClr val="7030A0"/>
            </a:solidFill>
            <a:ln>
              <a:noFill/>
            </a:ln>
            <a:effectLst/>
            <a:sp3d/>
          </c:spPr>
          <c:invertIfNegative val="0"/>
          <c:cat>
            <c:multiLvlStrRef>
              <c:f>Sheet2!$C$6:$D$18</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Sheet2!$F$6:$F$18</c:f>
              <c:numCache>
                <c:formatCode>General</c:formatCode>
                <c:ptCount val="13"/>
                <c:pt idx="0">
                  <c:v>1.22</c:v>
                </c:pt>
                <c:pt idx="1">
                  <c:v>0.87</c:v>
                </c:pt>
                <c:pt idx="2">
                  <c:v>2.35</c:v>
                </c:pt>
                <c:pt idx="3">
                  <c:v>2.12</c:v>
                </c:pt>
                <c:pt idx="4">
                  <c:v>0.61</c:v>
                </c:pt>
                <c:pt idx="5">
                  <c:v>1.04</c:v>
                </c:pt>
                <c:pt idx="6">
                  <c:v>1.23</c:v>
                </c:pt>
                <c:pt idx="7">
                  <c:v>2.41</c:v>
                </c:pt>
                <c:pt idx="8">
                  <c:v>0.98</c:v>
                </c:pt>
                <c:pt idx="9">
                  <c:v>2.12</c:v>
                </c:pt>
                <c:pt idx="10">
                  <c:v>1.02</c:v>
                </c:pt>
                <c:pt idx="11">
                  <c:v>0.49</c:v>
                </c:pt>
                <c:pt idx="12">
                  <c:v>0.61</c:v>
                </c:pt>
              </c:numCache>
            </c:numRef>
          </c:val>
          <c:extLst>
            <c:ext xmlns:c16="http://schemas.microsoft.com/office/drawing/2014/chart" uri="{C3380CC4-5D6E-409C-BE32-E72D297353CC}">
              <c16:uniqueId val="{00000001-A462-4B8A-9DAB-971428322D13}"/>
            </c:ext>
          </c:extLst>
        </c:ser>
        <c:dLbls>
          <c:showLegendKey val="0"/>
          <c:showVal val="0"/>
          <c:showCatName val="0"/>
          <c:showSerName val="0"/>
          <c:showPercent val="0"/>
          <c:showBubbleSize val="0"/>
        </c:dLbls>
        <c:gapWidth val="150"/>
        <c:shape val="box"/>
        <c:axId val="465287144"/>
        <c:axId val="465287928"/>
        <c:axId val="0"/>
      </c:bar3DChart>
      <c:catAx>
        <c:axId val="4652871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dirty="0">
                    <a:solidFill>
                      <a:sysClr val="windowText" lastClr="000000"/>
                    </a:solidFill>
                    <a:latin typeface="Garamond (Body)"/>
                  </a:rPr>
                  <a:t>Location</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465287928"/>
        <c:crosses val="autoZero"/>
        <c:auto val="1"/>
        <c:lblAlgn val="ctr"/>
        <c:lblOffset val="100"/>
        <c:noMultiLvlLbl val="0"/>
      </c:catAx>
      <c:valAx>
        <c:axId val="465287928"/>
        <c:scaling>
          <c:orientation val="minMax"/>
        </c:scaling>
        <c:delete val="0"/>
        <c:axPos val="l"/>
        <c:majorGridlines>
          <c:spPr>
            <a:ln w="12700"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sz="1000" b="1" i="0" u="none" strike="noStrike" kern="1200" baseline="0" dirty="0">
                    <a:solidFill>
                      <a:sysClr val="windowText" lastClr="000000"/>
                    </a:solidFill>
                    <a:latin typeface="+mn-lt"/>
                    <a:cs typeface="+mn-cs"/>
                  </a:rPr>
                  <a:t>Chromium (mg/kg)</a:t>
                </a:r>
              </a:p>
            </c:rich>
          </c:tx>
          <c:layout>
            <c:manualLayout>
              <c:xMode val="edge"/>
              <c:yMode val="edge"/>
              <c:x val="3.8003280839895015E-2"/>
              <c:y val="0.1565040828229804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46528714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9050"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pH!$C$172</c:f>
              <c:strCache>
                <c:ptCount val="1"/>
                <c:pt idx="0">
                  <c:v>1st Cd</c:v>
                </c:pt>
              </c:strCache>
            </c:strRef>
          </c:tx>
          <c:spPr>
            <a:solidFill>
              <a:schemeClr val="accent4"/>
            </a:solidFill>
            <a:ln>
              <a:noFill/>
            </a:ln>
            <a:effectLst/>
          </c:spPr>
          <c:invertIfNegative val="0"/>
          <c:cat>
            <c:multiLvlStrRef>
              <c:f>pH!$A$173:$B$185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pH!$C$173:$C$185</c:f>
              <c:numCache>
                <c:formatCode>General</c:formatCode>
                <c:ptCount val="13"/>
                <c:pt idx="0">
                  <c:v>0.58000000000000007</c:v>
                </c:pt>
                <c:pt idx="1">
                  <c:v>1.1299999999999983</c:v>
                </c:pt>
                <c:pt idx="2">
                  <c:v>0.39000000000000046</c:v>
                </c:pt>
                <c:pt idx="3">
                  <c:v>1.42</c:v>
                </c:pt>
                <c:pt idx="4">
                  <c:v>0.69000000000000061</c:v>
                </c:pt>
                <c:pt idx="5">
                  <c:v>1.02</c:v>
                </c:pt>
                <c:pt idx="6">
                  <c:v>0.89</c:v>
                </c:pt>
                <c:pt idx="7">
                  <c:v>0.38000000000000045</c:v>
                </c:pt>
                <c:pt idx="8">
                  <c:v>1.06</c:v>
                </c:pt>
                <c:pt idx="9">
                  <c:v>0.47000000000000008</c:v>
                </c:pt>
                <c:pt idx="10">
                  <c:v>0.75000000000000089</c:v>
                </c:pt>
                <c:pt idx="11">
                  <c:v>0.19</c:v>
                </c:pt>
                <c:pt idx="12">
                  <c:v>0.23</c:v>
                </c:pt>
              </c:numCache>
            </c:numRef>
          </c:val>
          <c:extLst>
            <c:ext xmlns:c16="http://schemas.microsoft.com/office/drawing/2014/chart" uri="{C3380CC4-5D6E-409C-BE32-E72D297353CC}">
              <c16:uniqueId val="{00000000-E43C-4106-9D86-F19C74C292F9}"/>
            </c:ext>
          </c:extLst>
        </c:ser>
        <c:ser>
          <c:idx val="1"/>
          <c:order val="1"/>
          <c:tx>
            <c:strRef>
              <c:f>pH!$D$172</c:f>
              <c:strCache>
                <c:ptCount val="1"/>
                <c:pt idx="0">
                  <c:v>2nd Cd</c:v>
                </c:pt>
              </c:strCache>
            </c:strRef>
          </c:tx>
          <c:spPr>
            <a:solidFill>
              <a:srgbClr val="7030A0"/>
            </a:solidFill>
            <a:ln>
              <a:noFill/>
            </a:ln>
            <a:effectLst/>
          </c:spPr>
          <c:invertIfNegative val="0"/>
          <c:cat>
            <c:multiLvlStrRef>
              <c:f>pH!$A$173:$B$185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pH!$D$173:$D$185</c:f>
              <c:numCache>
                <c:formatCode>General</c:formatCode>
                <c:ptCount val="13"/>
                <c:pt idx="0">
                  <c:v>0.31000000000000039</c:v>
                </c:pt>
                <c:pt idx="1">
                  <c:v>1.06</c:v>
                </c:pt>
                <c:pt idx="2">
                  <c:v>0.31000000000000039</c:v>
                </c:pt>
                <c:pt idx="3">
                  <c:v>0.92</c:v>
                </c:pt>
                <c:pt idx="4">
                  <c:v>0.32000000000000045</c:v>
                </c:pt>
                <c:pt idx="5">
                  <c:v>0.42000000000000032</c:v>
                </c:pt>
                <c:pt idx="6">
                  <c:v>0.39000000000000046</c:v>
                </c:pt>
                <c:pt idx="7">
                  <c:v>0.68</c:v>
                </c:pt>
                <c:pt idx="8">
                  <c:v>0.26</c:v>
                </c:pt>
                <c:pt idx="9">
                  <c:v>0.37000000000000038</c:v>
                </c:pt>
                <c:pt idx="10">
                  <c:v>0.28000000000000008</c:v>
                </c:pt>
                <c:pt idx="11">
                  <c:v>0.25</c:v>
                </c:pt>
                <c:pt idx="12">
                  <c:v>0.23</c:v>
                </c:pt>
              </c:numCache>
            </c:numRef>
          </c:val>
          <c:extLst>
            <c:ext xmlns:c16="http://schemas.microsoft.com/office/drawing/2014/chart" uri="{C3380CC4-5D6E-409C-BE32-E72D297353CC}">
              <c16:uniqueId val="{00000001-E43C-4106-9D86-F19C74C292F9}"/>
            </c:ext>
          </c:extLst>
        </c:ser>
        <c:dLbls>
          <c:showLegendKey val="0"/>
          <c:showVal val="0"/>
          <c:showCatName val="0"/>
          <c:showSerName val="0"/>
          <c:showPercent val="0"/>
          <c:showBubbleSize val="0"/>
        </c:dLbls>
        <c:gapWidth val="150"/>
        <c:axId val="465288712"/>
        <c:axId val="465297728"/>
      </c:barChart>
      <c:catAx>
        <c:axId val="46528871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65297728"/>
        <c:crosses val="autoZero"/>
        <c:auto val="1"/>
        <c:lblAlgn val="ctr"/>
        <c:lblOffset val="100"/>
        <c:noMultiLvlLbl val="0"/>
      </c:catAx>
      <c:valAx>
        <c:axId val="465297728"/>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Cadmium</a:t>
                </a:r>
                <a:r>
                  <a:rPr lang="en-US" baseline="0"/>
                  <a:t> (mg/kg)</a:t>
                </a:r>
                <a:endParaRPr lang="en-US"/>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65288712"/>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951381193279427"/>
          <c:y val="3.5087719298245612E-2"/>
          <c:w val="0.74292077969734427"/>
          <c:h val="0.62799097481235899"/>
        </c:manualLayout>
      </c:layout>
      <c:bar3DChart>
        <c:barDir val="col"/>
        <c:grouping val="clustered"/>
        <c:varyColors val="0"/>
        <c:ser>
          <c:idx val="0"/>
          <c:order val="0"/>
          <c:tx>
            <c:strRef>
              <c:f>pH!$C$196</c:f>
              <c:strCache>
                <c:ptCount val="1"/>
                <c:pt idx="0">
                  <c:v>1st Cu</c:v>
                </c:pt>
              </c:strCache>
            </c:strRef>
          </c:tx>
          <c:spPr>
            <a:solidFill>
              <a:schemeClr val="accent4"/>
            </a:solidFill>
            <a:ln>
              <a:noFill/>
            </a:ln>
            <a:effectLst/>
            <a:sp3d/>
          </c:spPr>
          <c:invertIfNegative val="0"/>
          <c:cat>
            <c:multiLvlStrRef>
              <c:f>pH!$A$197:$B$209</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pH!$C$197:$C$209</c:f>
              <c:numCache>
                <c:formatCode>General</c:formatCode>
                <c:ptCount val="13"/>
                <c:pt idx="0">
                  <c:v>3.8499999999999988</c:v>
                </c:pt>
                <c:pt idx="1">
                  <c:v>3.17</c:v>
                </c:pt>
                <c:pt idx="2">
                  <c:v>2.14</c:v>
                </c:pt>
                <c:pt idx="3">
                  <c:v>0.69000000000000061</c:v>
                </c:pt>
                <c:pt idx="4">
                  <c:v>2.3199999999999967</c:v>
                </c:pt>
                <c:pt idx="5">
                  <c:v>1.76</c:v>
                </c:pt>
                <c:pt idx="6">
                  <c:v>1.1399999999999983</c:v>
                </c:pt>
                <c:pt idx="7">
                  <c:v>0.92</c:v>
                </c:pt>
                <c:pt idx="8">
                  <c:v>3.12</c:v>
                </c:pt>
                <c:pt idx="9">
                  <c:v>2.23</c:v>
                </c:pt>
                <c:pt idx="10">
                  <c:v>3.19</c:v>
                </c:pt>
                <c:pt idx="11">
                  <c:v>1.58</c:v>
                </c:pt>
                <c:pt idx="12">
                  <c:v>1.6500000000000001</c:v>
                </c:pt>
              </c:numCache>
            </c:numRef>
          </c:val>
          <c:extLst>
            <c:ext xmlns:c16="http://schemas.microsoft.com/office/drawing/2014/chart" uri="{C3380CC4-5D6E-409C-BE32-E72D297353CC}">
              <c16:uniqueId val="{00000000-0B30-4FEA-B271-BF694FE4BA3D}"/>
            </c:ext>
          </c:extLst>
        </c:ser>
        <c:ser>
          <c:idx val="1"/>
          <c:order val="1"/>
          <c:tx>
            <c:strRef>
              <c:f>pH!$D$196</c:f>
              <c:strCache>
                <c:ptCount val="1"/>
                <c:pt idx="0">
                  <c:v>2nd Cu</c:v>
                </c:pt>
              </c:strCache>
            </c:strRef>
          </c:tx>
          <c:spPr>
            <a:solidFill>
              <a:srgbClr val="7030A0"/>
            </a:solidFill>
            <a:ln>
              <a:noFill/>
            </a:ln>
            <a:effectLst/>
            <a:sp3d/>
          </c:spPr>
          <c:invertIfNegative val="0"/>
          <c:cat>
            <c:multiLvlStrRef>
              <c:f>pH!$A$197:$B$209</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pH!$D$197:$D$209</c:f>
              <c:numCache>
                <c:formatCode>General</c:formatCode>
                <c:ptCount val="13"/>
                <c:pt idx="0">
                  <c:v>2.23</c:v>
                </c:pt>
                <c:pt idx="1">
                  <c:v>2.12</c:v>
                </c:pt>
                <c:pt idx="2">
                  <c:v>0.99</c:v>
                </c:pt>
                <c:pt idx="3">
                  <c:v>1.61</c:v>
                </c:pt>
                <c:pt idx="4">
                  <c:v>1.78</c:v>
                </c:pt>
                <c:pt idx="5">
                  <c:v>2.66</c:v>
                </c:pt>
                <c:pt idx="6">
                  <c:v>1.9600000000000015</c:v>
                </c:pt>
                <c:pt idx="7">
                  <c:v>2.12</c:v>
                </c:pt>
                <c:pt idx="8">
                  <c:v>1.32</c:v>
                </c:pt>
                <c:pt idx="9">
                  <c:v>0.87000000000000077</c:v>
                </c:pt>
                <c:pt idx="10">
                  <c:v>2.19</c:v>
                </c:pt>
                <c:pt idx="11">
                  <c:v>1.6500000000000001</c:v>
                </c:pt>
                <c:pt idx="12">
                  <c:v>2.02</c:v>
                </c:pt>
              </c:numCache>
            </c:numRef>
          </c:val>
          <c:extLst>
            <c:ext xmlns:c16="http://schemas.microsoft.com/office/drawing/2014/chart" uri="{C3380CC4-5D6E-409C-BE32-E72D297353CC}">
              <c16:uniqueId val="{00000001-0B30-4FEA-B271-BF694FE4BA3D}"/>
            </c:ext>
          </c:extLst>
        </c:ser>
        <c:dLbls>
          <c:showLegendKey val="0"/>
          <c:showVal val="0"/>
          <c:showCatName val="0"/>
          <c:showSerName val="0"/>
          <c:showPercent val="0"/>
          <c:showBubbleSize val="0"/>
        </c:dLbls>
        <c:gapWidth val="150"/>
        <c:shape val="box"/>
        <c:axId val="400509600"/>
        <c:axId val="400503720"/>
        <c:axId val="0"/>
      </c:bar3DChart>
      <c:catAx>
        <c:axId val="40050960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dirty="0"/>
                  <a:t>Location</a:t>
                </a:r>
              </a:p>
            </c:rich>
          </c:tx>
          <c:layout>
            <c:manualLayout>
              <c:xMode val="edge"/>
              <c:yMode val="edge"/>
              <c:x val="0.42228494334104366"/>
              <c:y val="0.88845881106966884"/>
            </c:manualLayout>
          </c:layout>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en-US"/>
          </a:p>
        </c:txPr>
        <c:crossAx val="400503720"/>
        <c:crosses val="autoZero"/>
        <c:auto val="1"/>
        <c:lblAlgn val="ctr"/>
        <c:lblOffset val="100"/>
        <c:noMultiLvlLbl val="0"/>
      </c:catAx>
      <c:valAx>
        <c:axId val="400503720"/>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dirty="0"/>
                  <a:t>Copper</a:t>
                </a:r>
                <a:r>
                  <a:rPr lang="en-US" baseline="0" dirty="0"/>
                  <a:t> (mg/kg)</a:t>
                </a:r>
                <a:endParaRPr lang="en-US" dirty="0"/>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005096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pH!$C$213</c:f>
              <c:strCache>
                <c:ptCount val="1"/>
                <c:pt idx="0">
                  <c:v>1st Ni</c:v>
                </c:pt>
              </c:strCache>
            </c:strRef>
          </c:tx>
          <c:spPr>
            <a:solidFill>
              <a:schemeClr val="accent4"/>
            </a:solidFill>
            <a:ln>
              <a:noFill/>
            </a:ln>
            <a:effectLst/>
            <a:sp3d/>
          </c:spPr>
          <c:invertIfNegative val="0"/>
          <c:cat>
            <c:multiLvlStrRef>
              <c:f>pH!$A$214:$B$226</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pH!$C$214:$C$226</c:f>
              <c:numCache>
                <c:formatCode>General</c:formatCode>
                <c:ptCount val="13"/>
                <c:pt idx="0">
                  <c:v>2.0499999999999998</c:v>
                </c:pt>
                <c:pt idx="1">
                  <c:v>0.83000000000000063</c:v>
                </c:pt>
                <c:pt idx="2">
                  <c:v>1.03</c:v>
                </c:pt>
                <c:pt idx="3">
                  <c:v>0.97000000000000064</c:v>
                </c:pt>
                <c:pt idx="4">
                  <c:v>0.74000000000000077</c:v>
                </c:pt>
                <c:pt idx="5">
                  <c:v>1.06</c:v>
                </c:pt>
                <c:pt idx="6">
                  <c:v>1.1499999999999984</c:v>
                </c:pt>
                <c:pt idx="7">
                  <c:v>0.95000000000000062</c:v>
                </c:pt>
                <c:pt idx="8">
                  <c:v>0.7600000000000009</c:v>
                </c:pt>
                <c:pt idx="9">
                  <c:v>1.1800000000000015</c:v>
                </c:pt>
                <c:pt idx="10">
                  <c:v>0.79</c:v>
                </c:pt>
                <c:pt idx="11">
                  <c:v>0.39000000000000046</c:v>
                </c:pt>
                <c:pt idx="12">
                  <c:v>0.41000000000000031</c:v>
                </c:pt>
              </c:numCache>
            </c:numRef>
          </c:val>
          <c:extLst>
            <c:ext xmlns:c16="http://schemas.microsoft.com/office/drawing/2014/chart" uri="{C3380CC4-5D6E-409C-BE32-E72D297353CC}">
              <c16:uniqueId val="{00000000-13DA-465F-A48B-CF6BAEE03887}"/>
            </c:ext>
          </c:extLst>
        </c:ser>
        <c:ser>
          <c:idx val="1"/>
          <c:order val="1"/>
          <c:tx>
            <c:strRef>
              <c:f>pH!$D$213</c:f>
              <c:strCache>
                <c:ptCount val="1"/>
                <c:pt idx="0">
                  <c:v>2nd Ni</c:v>
                </c:pt>
              </c:strCache>
            </c:strRef>
          </c:tx>
          <c:spPr>
            <a:solidFill>
              <a:srgbClr val="7030A0"/>
            </a:solidFill>
            <a:ln>
              <a:noFill/>
            </a:ln>
            <a:effectLst/>
            <a:sp3d/>
          </c:spPr>
          <c:invertIfNegative val="0"/>
          <c:cat>
            <c:multiLvlStrRef>
              <c:f>pH!$A$214:$B$226</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pH!$D$214:$D$226</c:f>
              <c:numCache>
                <c:formatCode>General</c:formatCode>
                <c:ptCount val="13"/>
                <c:pt idx="0">
                  <c:v>0.55000000000000004</c:v>
                </c:pt>
                <c:pt idx="1">
                  <c:v>1.01</c:v>
                </c:pt>
                <c:pt idx="2">
                  <c:v>0.62000000000000077</c:v>
                </c:pt>
                <c:pt idx="3">
                  <c:v>0.42000000000000032</c:v>
                </c:pt>
                <c:pt idx="4">
                  <c:v>0.51</c:v>
                </c:pt>
                <c:pt idx="5">
                  <c:v>0.71000000000000063</c:v>
                </c:pt>
                <c:pt idx="6">
                  <c:v>0.36000000000000032</c:v>
                </c:pt>
                <c:pt idx="7">
                  <c:v>0.62000000000000077</c:v>
                </c:pt>
                <c:pt idx="8">
                  <c:v>0.49000000000000032</c:v>
                </c:pt>
                <c:pt idx="9">
                  <c:v>0.8</c:v>
                </c:pt>
                <c:pt idx="10">
                  <c:v>0.56999999999999995</c:v>
                </c:pt>
                <c:pt idx="11">
                  <c:v>0.45</c:v>
                </c:pt>
                <c:pt idx="12">
                  <c:v>0.39000000000000046</c:v>
                </c:pt>
              </c:numCache>
            </c:numRef>
          </c:val>
          <c:extLst>
            <c:ext xmlns:c16="http://schemas.microsoft.com/office/drawing/2014/chart" uri="{C3380CC4-5D6E-409C-BE32-E72D297353CC}">
              <c16:uniqueId val="{00000001-13DA-465F-A48B-CF6BAEE03887}"/>
            </c:ext>
          </c:extLst>
        </c:ser>
        <c:dLbls>
          <c:showLegendKey val="0"/>
          <c:showVal val="0"/>
          <c:showCatName val="0"/>
          <c:showSerName val="0"/>
          <c:showPercent val="0"/>
          <c:showBubbleSize val="0"/>
        </c:dLbls>
        <c:gapWidth val="150"/>
        <c:shape val="box"/>
        <c:axId val="400507248"/>
        <c:axId val="400506464"/>
        <c:axId val="0"/>
      </c:bar3DChart>
      <c:catAx>
        <c:axId val="40050724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400506464"/>
        <c:crosses val="autoZero"/>
        <c:auto val="1"/>
        <c:lblAlgn val="ctr"/>
        <c:lblOffset val="100"/>
        <c:noMultiLvlLbl val="0"/>
      </c:catAx>
      <c:valAx>
        <c:axId val="400506464"/>
        <c:scaling>
          <c:orientation val="minMax"/>
          <c:max val="2"/>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Nickel</a:t>
                </a:r>
                <a:r>
                  <a:rPr lang="en-US" baseline="0"/>
                  <a:t> (mg/kg)</a:t>
                </a:r>
                <a:endParaRPr lang="en-US"/>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005072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pH!$C$232</c:f>
              <c:strCache>
                <c:ptCount val="1"/>
                <c:pt idx="0">
                  <c:v>1st Pb</c:v>
                </c:pt>
              </c:strCache>
            </c:strRef>
          </c:tx>
          <c:spPr>
            <a:solidFill>
              <a:schemeClr val="accent4"/>
            </a:solidFill>
            <a:ln>
              <a:noFill/>
            </a:ln>
            <a:effectLst/>
            <a:sp3d/>
          </c:spPr>
          <c:invertIfNegative val="0"/>
          <c:cat>
            <c:multiLvlStrRef>
              <c:f>pH!$A$233:$B$245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pH!$C$233:$C$245</c:f>
              <c:numCache>
                <c:formatCode>General</c:formatCode>
                <c:ptCount val="13"/>
                <c:pt idx="0">
                  <c:v>1.75</c:v>
                </c:pt>
                <c:pt idx="1">
                  <c:v>1.04</c:v>
                </c:pt>
                <c:pt idx="2">
                  <c:v>0.6900000000000005</c:v>
                </c:pt>
                <c:pt idx="3">
                  <c:v>0.79</c:v>
                </c:pt>
                <c:pt idx="4">
                  <c:v>2.2799999999999998</c:v>
                </c:pt>
                <c:pt idx="5">
                  <c:v>0.82000000000000051</c:v>
                </c:pt>
                <c:pt idx="6">
                  <c:v>1.59</c:v>
                </c:pt>
                <c:pt idx="7">
                  <c:v>0.64000000000000068</c:v>
                </c:pt>
                <c:pt idx="8">
                  <c:v>3.79</c:v>
                </c:pt>
                <c:pt idx="9">
                  <c:v>0.61000000000000054</c:v>
                </c:pt>
                <c:pt idx="10">
                  <c:v>0.59</c:v>
                </c:pt>
                <c:pt idx="11">
                  <c:v>0.48000000000000026</c:v>
                </c:pt>
                <c:pt idx="12">
                  <c:v>0.46</c:v>
                </c:pt>
              </c:numCache>
            </c:numRef>
          </c:val>
          <c:extLst>
            <c:ext xmlns:c16="http://schemas.microsoft.com/office/drawing/2014/chart" uri="{C3380CC4-5D6E-409C-BE32-E72D297353CC}">
              <c16:uniqueId val="{00000000-C1D7-4782-B017-2A214171CD13}"/>
            </c:ext>
          </c:extLst>
        </c:ser>
        <c:ser>
          <c:idx val="1"/>
          <c:order val="1"/>
          <c:tx>
            <c:strRef>
              <c:f>pH!$D$232</c:f>
              <c:strCache>
                <c:ptCount val="1"/>
                <c:pt idx="0">
                  <c:v>2nd Pb</c:v>
                </c:pt>
              </c:strCache>
            </c:strRef>
          </c:tx>
          <c:spPr>
            <a:solidFill>
              <a:srgbClr val="7030A0"/>
            </a:solidFill>
            <a:ln>
              <a:noFill/>
            </a:ln>
            <a:effectLst/>
            <a:sp3d/>
          </c:spPr>
          <c:invertIfNegative val="0"/>
          <c:cat>
            <c:multiLvlStrRef>
              <c:f>pH!$A$233:$B$245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pH!$D$233:$D$245</c:f>
              <c:numCache>
                <c:formatCode>General</c:formatCode>
                <c:ptCount val="13"/>
                <c:pt idx="0">
                  <c:v>0.62000000000000055</c:v>
                </c:pt>
                <c:pt idx="1">
                  <c:v>0.5</c:v>
                </c:pt>
                <c:pt idx="2">
                  <c:v>0.53</c:v>
                </c:pt>
                <c:pt idx="3">
                  <c:v>0.52</c:v>
                </c:pt>
                <c:pt idx="4">
                  <c:v>0.61000000000000054</c:v>
                </c:pt>
                <c:pt idx="5">
                  <c:v>0.48000000000000026</c:v>
                </c:pt>
                <c:pt idx="6">
                  <c:v>0.59</c:v>
                </c:pt>
                <c:pt idx="7">
                  <c:v>0.63000000000000056</c:v>
                </c:pt>
                <c:pt idx="8">
                  <c:v>0.59</c:v>
                </c:pt>
                <c:pt idx="9">
                  <c:v>0.5</c:v>
                </c:pt>
                <c:pt idx="10">
                  <c:v>0.59</c:v>
                </c:pt>
                <c:pt idx="11">
                  <c:v>0.49000000000000027</c:v>
                </c:pt>
                <c:pt idx="12">
                  <c:v>0.51</c:v>
                </c:pt>
              </c:numCache>
            </c:numRef>
          </c:val>
          <c:extLst>
            <c:ext xmlns:c16="http://schemas.microsoft.com/office/drawing/2014/chart" uri="{C3380CC4-5D6E-409C-BE32-E72D297353CC}">
              <c16:uniqueId val="{00000001-C1D7-4782-B017-2A214171CD13}"/>
            </c:ext>
          </c:extLst>
        </c:ser>
        <c:dLbls>
          <c:showLegendKey val="0"/>
          <c:showVal val="0"/>
          <c:showCatName val="0"/>
          <c:showSerName val="0"/>
          <c:showPercent val="0"/>
          <c:showBubbleSize val="0"/>
        </c:dLbls>
        <c:gapWidth val="150"/>
        <c:shape val="box"/>
        <c:axId val="400509208"/>
        <c:axId val="400508424"/>
        <c:axId val="0"/>
      </c:bar3DChart>
      <c:catAx>
        <c:axId val="40050920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400508424"/>
        <c:crosses val="autoZero"/>
        <c:auto val="1"/>
        <c:lblAlgn val="ctr"/>
        <c:lblOffset val="100"/>
        <c:noMultiLvlLbl val="0"/>
      </c:catAx>
      <c:valAx>
        <c:axId val="400508424"/>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Lead</a:t>
                </a:r>
                <a:r>
                  <a:rPr lang="en-US" b="1" baseline="0">
                    <a:solidFill>
                      <a:sysClr val="windowText" lastClr="000000"/>
                    </a:solidFill>
                  </a:rPr>
                  <a:t> (mg/kg)</a:t>
                </a:r>
                <a:endParaRPr lang="en-US" b="1">
                  <a:solidFill>
                    <a:sysClr val="windowText" lastClr="000000"/>
                  </a:solidFill>
                </a:endParaRPr>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005092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pH!$C$250</c:f>
              <c:strCache>
                <c:ptCount val="1"/>
                <c:pt idx="0">
                  <c:v>1st Zn</c:v>
                </c:pt>
              </c:strCache>
            </c:strRef>
          </c:tx>
          <c:spPr>
            <a:solidFill>
              <a:schemeClr val="accent4"/>
            </a:solidFill>
            <a:ln>
              <a:noFill/>
            </a:ln>
            <a:effectLst/>
            <a:sp3d/>
          </c:spPr>
          <c:invertIfNegative val="0"/>
          <c:cat>
            <c:multiLvlStrRef>
              <c:f>pH!$A$251:$B$263</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pH!$C$251:$C$263</c:f>
              <c:numCache>
                <c:formatCode>General</c:formatCode>
                <c:ptCount val="13"/>
                <c:pt idx="0">
                  <c:v>6.8599999999999985</c:v>
                </c:pt>
                <c:pt idx="1">
                  <c:v>7.2</c:v>
                </c:pt>
                <c:pt idx="2">
                  <c:v>6.08</c:v>
                </c:pt>
                <c:pt idx="3">
                  <c:v>5.8599999999999985</c:v>
                </c:pt>
                <c:pt idx="4">
                  <c:v>4.01</c:v>
                </c:pt>
                <c:pt idx="5">
                  <c:v>4.99</c:v>
                </c:pt>
                <c:pt idx="6">
                  <c:v>5.07</c:v>
                </c:pt>
                <c:pt idx="7">
                  <c:v>8.8600000000000048</c:v>
                </c:pt>
                <c:pt idx="8">
                  <c:v>7.95</c:v>
                </c:pt>
                <c:pt idx="9">
                  <c:v>3.32</c:v>
                </c:pt>
                <c:pt idx="10">
                  <c:v>5.81</c:v>
                </c:pt>
                <c:pt idx="11">
                  <c:v>3.4299999999999997</c:v>
                </c:pt>
                <c:pt idx="12">
                  <c:v>3.7600000000000002</c:v>
                </c:pt>
              </c:numCache>
            </c:numRef>
          </c:val>
          <c:extLst>
            <c:ext xmlns:c16="http://schemas.microsoft.com/office/drawing/2014/chart" uri="{C3380CC4-5D6E-409C-BE32-E72D297353CC}">
              <c16:uniqueId val="{00000000-FC51-4E7D-8046-630F2FF9B61F}"/>
            </c:ext>
          </c:extLst>
        </c:ser>
        <c:ser>
          <c:idx val="1"/>
          <c:order val="1"/>
          <c:tx>
            <c:strRef>
              <c:f>pH!$D$250</c:f>
              <c:strCache>
                <c:ptCount val="1"/>
                <c:pt idx="0">
                  <c:v>2nd Zn</c:v>
                </c:pt>
              </c:strCache>
            </c:strRef>
          </c:tx>
          <c:spPr>
            <a:solidFill>
              <a:srgbClr val="7030A0"/>
            </a:solidFill>
            <a:ln>
              <a:noFill/>
            </a:ln>
            <a:effectLst/>
            <a:sp3d/>
          </c:spPr>
          <c:invertIfNegative val="0"/>
          <c:cat>
            <c:multiLvlStrRef>
              <c:f>pH!$A$251:$B$263</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pH!$D$251:$D$263</c:f>
              <c:numCache>
                <c:formatCode>General</c:formatCode>
                <c:ptCount val="13"/>
                <c:pt idx="0">
                  <c:v>3.9299999999999997</c:v>
                </c:pt>
                <c:pt idx="1">
                  <c:v>4.41</c:v>
                </c:pt>
                <c:pt idx="2">
                  <c:v>3.54</c:v>
                </c:pt>
                <c:pt idx="3">
                  <c:v>5.1099999999999985</c:v>
                </c:pt>
                <c:pt idx="4">
                  <c:v>3.22</c:v>
                </c:pt>
                <c:pt idx="5">
                  <c:v>2.9299999999999997</c:v>
                </c:pt>
                <c:pt idx="6">
                  <c:v>4.1599999999999975</c:v>
                </c:pt>
                <c:pt idx="7">
                  <c:v>3.69</c:v>
                </c:pt>
                <c:pt idx="8">
                  <c:v>4.26</c:v>
                </c:pt>
                <c:pt idx="9">
                  <c:v>3.05</c:v>
                </c:pt>
                <c:pt idx="10">
                  <c:v>4.74</c:v>
                </c:pt>
                <c:pt idx="11">
                  <c:v>2.9099999999999997</c:v>
                </c:pt>
                <c:pt idx="12">
                  <c:v>3.17</c:v>
                </c:pt>
              </c:numCache>
            </c:numRef>
          </c:val>
          <c:extLst>
            <c:ext xmlns:c16="http://schemas.microsoft.com/office/drawing/2014/chart" uri="{C3380CC4-5D6E-409C-BE32-E72D297353CC}">
              <c16:uniqueId val="{00000001-FC51-4E7D-8046-630F2FF9B61F}"/>
            </c:ext>
          </c:extLst>
        </c:ser>
        <c:dLbls>
          <c:showLegendKey val="0"/>
          <c:showVal val="0"/>
          <c:showCatName val="0"/>
          <c:showSerName val="0"/>
          <c:showPercent val="0"/>
          <c:showBubbleSize val="0"/>
        </c:dLbls>
        <c:gapWidth val="150"/>
        <c:shape val="box"/>
        <c:axId val="400506072"/>
        <c:axId val="400504112"/>
        <c:axId val="0"/>
      </c:bar3DChart>
      <c:catAx>
        <c:axId val="40050607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layout>
            <c:manualLayout>
              <c:xMode val="edge"/>
              <c:yMode val="edge"/>
              <c:x val="0.41468444839032453"/>
              <c:y val="0.90811215671211853"/>
            </c:manualLayout>
          </c:layout>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400504112"/>
        <c:crosses val="autoZero"/>
        <c:auto val="1"/>
        <c:lblAlgn val="ctr"/>
        <c:lblOffset val="100"/>
        <c:noMultiLvlLbl val="0"/>
      </c:catAx>
      <c:valAx>
        <c:axId val="400504112"/>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Zinc (mg/kg)</a:t>
                </a:r>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005060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pH!$C$271</c:f>
              <c:strCache>
                <c:ptCount val="1"/>
                <c:pt idx="0">
                  <c:v>1st Fe</c:v>
                </c:pt>
              </c:strCache>
            </c:strRef>
          </c:tx>
          <c:spPr>
            <a:solidFill>
              <a:schemeClr val="accent4"/>
            </a:solidFill>
            <a:ln>
              <a:noFill/>
            </a:ln>
            <a:effectLst/>
          </c:spPr>
          <c:invertIfNegative val="0"/>
          <c:cat>
            <c:multiLvlStrRef>
              <c:f>pH!$A$272:$B$284</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pH!$C$272:$C$284</c:f>
              <c:numCache>
                <c:formatCode>General</c:formatCode>
                <c:ptCount val="13"/>
                <c:pt idx="0">
                  <c:v>6.9300000000000024</c:v>
                </c:pt>
                <c:pt idx="1">
                  <c:v>7.18</c:v>
                </c:pt>
                <c:pt idx="2">
                  <c:v>8.52</c:v>
                </c:pt>
                <c:pt idx="3">
                  <c:v>8.629999999999999</c:v>
                </c:pt>
                <c:pt idx="4">
                  <c:v>6.24</c:v>
                </c:pt>
                <c:pt idx="5">
                  <c:v>9.2299999999999986</c:v>
                </c:pt>
                <c:pt idx="6">
                  <c:v>4.21</c:v>
                </c:pt>
                <c:pt idx="7">
                  <c:v>9.65</c:v>
                </c:pt>
                <c:pt idx="8">
                  <c:v>8.2800000000000011</c:v>
                </c:pt>
                <c:pt idx="9">
                  <c:v>3.25</c:v>
                </c:pt>
                <c:pt idx="10">
                  <c:v>9.31</c:v>
                </c:pt>
                <c:pt idx="11">
                  <c:v>4.2699999999999996</c:v>
                </c:pt>
                <c:pt idx="12">
                  <c:v>3.2800000000000002</c:v>
                </c:pt>
              </c:numCache>
            </c:numRef>
          </c:val>
          <c:extLst>
            <c:ext xmlns:c16="http://schemas.microsoft.com/office/drawing/2014/chart" uri="{C3380CC4-5D6E-409C-BE32-E72D297353CC}">
              <c16:uniqueId val="{00000000-3320-4947-85EE-5A8B4FA0117F}"/>
            </c:ext>
          </c:extLst>
        </c:ser>
        <c:ser>
          <c:idx val="1"/>
          <c:order val="1"/>
          <c:tx>
            <c:strRef>
              <c:f>pH!$D$271</c:f>
              <c:strCache>
                <c:ptCount val="1"/>
                <c:pt idx="0">
                  <c:v>2nd Fe</c:v>
                </c:pt>
              </c:strCache>
            </c:strRef>
          </c:tx>
          <c:spPr>
            <a:solidFill>
              <a:srgbClr val="7030A0"/>
            </a:solidFill>
            <a:ln>
              <a:noFill/>
            </a:ln>
            <a:effectLst/>
          </c:spPr>
          <c:invertIfNegative val="0"/>
          <c:cat>
            <c:multiLvlStrRef>
              <c:f>pH!$A$272:$B$284</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pH!$D$272:$D$284</c:f>
              <c:numCache>
                <c:formatCode>General</c:formatCode>
                <c:ptCount val="13"/>
                <c:pt idx="0">
                  <c:v>6.4</c:v>
                </c:pt>
                <c:pt idx="1">
                  <c:v>5.48</c:v>
                </c:pt>
                <c:pt idx="2">
                  <c:v>6.02</c:v>
                </c:pt>
                <c:pt idx="3">
                  <c:v>5.41</c:v>
                </c:pt>
                <c:pt idx="4">
                  <c:v>3.3699999999999997</c:v>
                </c:pt>
                <c:pt idx="5">
                  <c:v>5.0999999999999996</c:v>
                </c:pt>
                <c:pt idx="6">
                  <c:v>4.53</c:v>
                </c:pt>
                <c:pt idx="7">
                  <c:v>3.69</c:v>
                </c:pt>
                <c:pt idx="8">
                  <c:v>4.67</c:v>
                </c:pt>
                <c:pt idx="9">
                  <c:v>4.4700000000000024</c:v>
                </c:pt>
                <c:pt idx="10">
                  <c:v>5.25</c:v>
                </c:pt>
                <c:pt idx="11">
                  <c:v>4.1599999999999975</c:v>
                </c:pt>
                <c:pt idx="12">
                  <c:v>3.6</c:v>
                </c:pt>
              </c:numCache>
            </c:numRef>
          </c:val>
          <c:extLst>
            <c:ext xmlns:c16="http://schemas.microsoft.com/office/drawing/2014/chart" uri="{C3380CC4-5D6E-409C-BE32-E72D297353CC}">
              <c16:uniqueId val="{00000001-3320-4947-85EE-5A8B4FA0117F}"/>
            </c:ext>
          </c:extLst>
        </c:ser>
        <c:dLbls>
          <c:showLegendKey val="0"/>
          <c:showVal val="0"/>
          <c:showCatName val="0"/>
          <c:showSerName val="0"/>
          <c:showPercent val="0"/>
          <c:showBubbleSize val="0"/>
        </c:dLbls>
        <c:gapWidth val="150"/>
        <c:axId val="466589104"/>
        <c:axId val="466589496"/>
      </c:barChart>
      <c:catAx>
        <c:axId val="46658910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layout>
            <c:manualLayout>
              <c:xMode val="edge"/>
              <c:yMode val="edge"/>
              <c:x val="0.42798284360796363"/>
              <c:y val="0.87627365356622999"/>
            </c:manualLayout>
          </c:layout>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66589496"/>
        <c:crosses val="autoZero"/>
        <c:auto val="1"/>
        <c:lblAlgn val="ctr"/>
        <c:lblOffset val="100"/>
        <c:noMultiLvlLbl val="0"/>
      </c:catAx>
      <c:valAx>
        <c:axId val="466589496"/>
        <c:scaling>
          <c:orientation val="minMax"/>
          <c:max val="10"/>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Iron (mg/kg)</a:t>
                </a:r>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66589104"/>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 Igeo 1st'!$S$34</c:f>
              <c:strCache>
                <c:ptCount val="1"/>
                <c:pt idx="0">
                  <c:v>Cr</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1st'!$S$35:$S$47</c:f>
              <c:numCache>
                <c:formatCode>General</c:formatCode>
                <c:ptCount val="13"/>
                <c:pt idx="0">
                  <c:v>-4.9039999999999999</c:v>
                </c:pt>
                <c:pt idx="1">
                  <c:v>-4.7960000000000003</c:v>
                </c:pt>
                <c:pt idx="2">
                  <c:v>-6.1209999999999978</c:v>
                </c:pt>
                <c:pt idx="3">
                  <c:v>-4.5609999999999973</c:v>
                </c:pt>
                <c:pt idx="4">
                  <c:v>-4.7519999999999998</c:v>
                </c:pt>
                <c:pt idx="5">
                  <c:v>-4.8319999999999999</c:v>
                </c:pt>
                <c:pt idx="6">
                  <c:v>-6.766</c:v>
                </c:pt>
                <c:pt idx="7">
                  <c:v>-5.692999999999997</c:v>
                </c:pt>
                <c:pt idx="8">
                  <c:v>-4.4969999999999999</c:v>
                </c:pt>
                <c:pt idx="9">
                  <c:v>-5.1779999999999973</c:v>
                </c:pt>
                <c:pt idx="10">
                  <c:v>-6.0410000000000004</c:v>
                </c:pt>
                <c:pt idx="11">
                  <c:v>-7.9130000000000003</c:v>
                </c:pt>
                <c:pt idx="12">
                  <c:v>-8.136000000000001</c:v>
                </c:pt>
              </c:numCache>
            </c:numRef>
          </c:val>
          <c:extLst>
            <c:ext xmlns:c16="http://schemas.microsoft.com/office/drawing/2014/chart" uri="{C3380CC4-5D6E-409C-BE32-E72D297353CC}">
              <c16:uniqueId val="{00000000-715E-F149-8F46-DD53385FB007}"/>
            </c:ext>
          </c:extLst>
        </c:ser>
        <c:ser>
          <c:idx val="1"/>
          <c:order val="1"/>
          <c:tx>
            <c:strRef>
              <c:f>' Igeo 1st'!$T$34</c:f>
              <c:strCache>
                <c:ptCount val="1"/>
                <c:pt idx="0">
                  <c:v>Cd</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1st'!$T$35:$T$47</c:f>
              <c:numCache>
                <c:formatCode>General</c:formatCode>
                <c:ptCount val="13"/>
                <c:pt idx="0">
                  <c:v>0.36600000000000021</c:v>
                </c:pt>
                <c:pt idx="1">
                  <c:v>1.3280000000000001</c:v>
                </c:pt>
                <c:pt idx="2">
                  <c:v>-0.20600000000000004</c:v>
                </c:pt>
                <c:pt idx="3">
                  <c:v>1.6579999999999993</c:v>
                </c:pt>
                <c:pt idx="4">
                  <c:v>0.61700000000000033</c:v>
                </c:pt>
                <c:pt idx="5">
                  <c:v>1.181</c:v>
                </c:pt>
                <c:pt idx="6">
                  <c:v>0.98399999999999999</c:v>
                </c:pt>
                <c:pt idx="7">
                  <c:v>-0.24400000000000008</c:v>
                </c:pt>
                <c:pt idx="8">
                  <c:v>1.2369999999999994</c:v>
                </c:pt>
                <c:pt idx="9">
                  <c:v>6.3E-2</c:v>
                </c:pt>
                <c:pt idx="10">
                  <c:v>0.73700000000000032</c:v>
                </c:pt>
                <c:pt idx="11">
                  <c:v>-1.244</c:v>
                </c:pt>
                <c:pt idx="12">
                  <c:v>-0.9680000000000003</c:v>
                </c:pt>
              </c:numCache>
            </c:numRef>
          </c:val>
          <c:extLst>
            <c:ext xmlns:c16="http://schemas.microsoft.com/office/drawing/2014/chart" uri="{C3380CC4-5D6E-409C-BE32-E72D297353CC}">
              <c16:uniqueId val="{00000001-715E-F149-8F46-DD53385FB007}"/>
            </c:ext>
          </c:extLst>
        </c:ser>
        <c:ser>
          <c:idx val="2"/>
          <c:order val="2"/>
          <c:tx>
            <c:strRef>
              <c:f>' Igeo 1st'!$U$34</c:f>
              <c:strCache>
                <c:ptCount val="1"/>
                <c:pt idx="0">
                  <c:v>Cu</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1st'!$U$35:$U$47</c:f>
              <c:numCache>
                <c:formatCode>General</c:formatCode>
                <c:ptCount val="13"/>
                <c:pt idx="0">
                  <c:v>-4.0659999999999972</c:v>
                </c:pt>
                <c:pt idx="1">
                  <c:v>-6.9409999999999998</c:v>
                </c:pt>
                <c:pt idx="2">
                  <c:v>-4.9139999999999997</c:v>
                </c:pt>
                <c:pt idx="3">
                  <c:v>-6.5469999999999997</c:v>
                </c:pt>
                <c:pt idx="4">
                  <c:v>-4.7969999999999997</c:v>
                </c:pt>
                <c:pt idx="5">
                  <c:v>-5.1959999999999971</c:v>
                </c:pt>
                <c:pt idx="6">
                  <c:v>-5.8219999999999974</c:v>
                </c:pt>
                <c:pt idx="7">
                  <c:v>-6.1319999999999997</c:v>
                </c:pt>
                <c:pt idx="8">
                  <c:v>-4.3689999999999971</c:v>
                </c:pt>
                <c:pt idx="9">
                  <c:v>-4.8539999999999974</c:v>
                </c:pt>
                <c:pt idx="10">
                  <c:v>-4.3380000000000001</c:v>
                </c:pt>
                <c:pt idx="11">
                  <c:v>-5.351</c:v>
                </c:pt>
                <c:pt idx="12">
                  <c:v>-5.2889999999999997</c:v>
                </c:pt>
              </c:numCache>
            </c:numRef>
          </c:val>
          <c:extLst>
            <c:ext xmlns:c16="http://schemas.microsoft.com/office/drawing/2014/chart" uri="{C3380CC4-5D6E-409C-BE32-E72D297353CC}">
              <c16:uniqueId val="{00000002-715E-F149-8F46-DD53385FB007}"/>
            </c:ext>
          </c:extLst>
        </c:ser>
        <c:ser>
          <c:idx val="3"/>
          <c:order val="3"/>
          <c:tx>
            <c:strRef>
              <c:f>' Igeo 1st'!$V$34</c:f>
              <c:strCache>
                <c:ptCount val="1"/>
                <c:pt idx="0">
                  <c:v>Ni</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1st'!$V$35:$V$47</c:f>
              <c:numCache>
                <c:formatCode>General</c:formatCode>
                <c:ptCount val="13"/>
                <c:pt idx="0">
                  <c:v>-5.6369999999999996</c:v>
                </c:pt>
                <c:pt idx="1">
                  <c:v>-6.9409999999999998</c:v>
                </c:pt>
                <c:pt idx="2">
                  <c:v>-6.63</c:v>
                </c:pt>
                <c:pt idx="3">
                  <c:v>-6.7160000000000002</c:v>
                </c:pt>
                <c:pt idx="4">
                  <c:v>-7.1069999999999975</c:v>
                </c:pt>
                <c:pt idx="5">
                  <c:v>-6.5880000000000001</c:v>
                </c:pt>
                <c:pt idx="6">
                  <c:v>-6.4710000000000027</c:v>
                </c:pt>
                <c:pt idx="7">
                  <c:v>-6.7460000000000004</c:v>
                </c:pt>
                <c:pt idx="8">
                  <c:v>-7.067999999999997</c:v>
                </c:pt>
                <c:pt idx="9">
                  <c:v>-6.4340000000000002</c:v>
                </c:pt>
                <c:pt idx="10">
                  <c:v>-7.0129999999999972</c:v>
                </c:pt>
                <c:pt idx="11">
                  <c:v>-8.0309999999999988</c:v>
                </c:pt>
                <c:pt idx="12">
                  <c:v>-7.9589999999999996</c:v>
                </c:pt>
              </c:numCache>
            </c:numRef>
          </c:val>
          <c:extLst>
            <c:ext xmlns:c16="http://schemas.microsoft.com/office/drawing/2014/chart" uri="{C3380CC4-5D6E-409C-BE32-E72D297353CC}">
              <c16:uniqueId val="{00000003-715E-F149-8F46-DD53385FB007}"/>
            </c:ext>
          </c:extLst>
        </c:ser>
        <c:ser>
          <c:idx val="4"/>
          <c:order val="4"/>
          <c:tx>
            <c:strRef>
              <c:f>' Igeo 1st'!$W$34</c:f>
              <c:strCache>
                <c:ptCount val="1"/>
                <c:pt idx="0">
                  <c:v>Pb</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1st'!$W$35:$W$47</c:f>
              <c:numCache>
                <c:formatCode>General</c:formatCode>
                <c:ptCount val="13"/>
                <c:pt idx="0">
                  <c:v>-4.0999999999999996</c:v>
                </c:pt>
                <c:pt idx="1">
                  <c:v>-4.8499999999999996</c:v>
                </c:pt>
                <c:pt idx="2">
                  <c:v>-5.4420000000000002</c:v>
                </c:pt>
                <c:pt idx="3">
                  <c:v>-5.2469999999999999</c:v>
                </c:pt>
                <c:pt idx="4">
                  <c:v>-3.718</c:v>
                </c:pt>
                <c:pt idx="5">
                  <c:v>-5.192999999999997</c:v>
                </c:pt>
                <c:pt idx="6">
                  <c:v>-4.2380000000000004</c:v>
                </c:pt>
                <c:pt idx="7">
                  <c:v>-5.5510000000000002</c:v>
                </c:pt>
                <c:pt idx="8">
                  <c:v>-2.9849999999999999</c:v>
                </c:pt>
                <c:pt idx="9">
                  <c:v>-5.6199999999999974</c:v>
                </c:pt>
                <c:pt idx="10">
                  <c:v>-5.6679999999999966</c:v>
                </c:pt>
                <c:pt idx="11">
                  <c:v>-5.9660000000000002</c:v>
                </c:pt>
                <c:pt idx="12">
                  <c:v>-6.0269999999999975</c:v>
                </c:pt>
              </c:numCache>
            </c:numRef>
          </c:val>
          <c:extLst>
            <c:ext xmlns:c16="http://schemas.microsoft.com/office/drawing/2014/chart" uri="{C3380CC4-5D6E-409C-BE32-E72D297353CC}">
              <c16:uniqueId val="{00000004-715E-F149-8F46-DD53385FB007}"/>
            </c:ext>
          </c:extLst>
        </c:ser>
        <c:ser>
          <c:idx val="5"/>
          <c:order val="5"/>
          <c:tx>
            <c:strRef>
              <c:f>' Igeo 1st'!$X$34</c:f>
              <c:strCache>
                <c:ptCount val="1"/>
                <c:pt idx="0">
                  <c:v>Zn</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1st'!$X$35:$X$47</c:f>
              <c:numCache>
                <c:formatCode>General</c:formatCode>
                <c:ptCount val="13"/>
                <c:pt idx="0">
                  <c:v>-4.3769999999999998</c:v>
                </c:pt>
                <c:pt idx="1">
                  <c:v>-4.3069999999999995</c:v>
                </c:pt>
                <c:pt idx="2">
                  <c:v>-4.5510000000000002</c:v>
                </c:pt>
                <c:pt idx="3">
                  <c:v>-4.6039999999999974</c:v>
                </c:pt>
                <c:pt idx="4">
                  <c:v>-5.1509999999999971</c:v>
                </c:pt>
                <c:pt idx="5">
                  <c:v>-4.8360000000000003</c:v>
                </c:pt>
                <c:pt idx="6">
                  <c:v>-4.8129999999999971</c:v>
                </c:pt>
                <c:pt idx="7">
                  <c:v>-4.008</c:v>
                </c:pt>
                <c:pt idx="8">
                  <c:v>-4.163999999999997</c:v>
                </c:pt>
                <c:pt idx="9">
                  <c:v>-5.4239999999999995</c:v>
                </c:pt>
                <c:pt idx="10">
                  <c:v>-4.615999999999997</c:v>
                </c:pt>
                <c:pt idx="11">
                  <c:v>-5.3769999999999998</c:v>
                </c:pt>
                <c:pt idx="12">
                  <c:v>-5.2439999999999998</c:v>
                </c:pt>
              </c:numCache>
            </c:numRef>
          </c:val>
          <c:extLst>
            <c:ext xmlns:c16="http://schemas.microsoft.com/office/drawing/2014/chart" uri="{C3380CC4-5D6E-409C-BE32-E72D297353CC}">
              <c16:uniqueId val="{00000005-715E-F149-8F46-DD53385FB007}"/>
            </c:ext>
          </c:extLst>
        </c:ser>
        <c:ser>
          <c:idx val="6"/>
          <c:order val="6"/>
          <c:tx>
            <c:strRef>
              <c:f>' Igeo 1st'!$Y$34</c:f>
              <c:strCache>
                <c:ptCount val="1"/>
                <c:pt idx="0">
                  <c:v>Fe</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1st'!$Y$35:$Y$47</c:f>
              <c:numCache>
                <c:formatCode>General</c:formatCode>
                <c:ptCount val="13"/>
                <c:pt idx="0">
                  <c:v>-13.303000000000004</c:v>
                </c:pt>
                <c:pt idx="1">
                  <c:v>-13.252000000000002</c:v>
                </c:pt>
                <c:pt idx="2">
                  <c:v>-13.005000000000004</c:v>
                </c:pt>
                <c:pt idx="3">
                  <c:v>-12.987</c:v>
                </c:pt>
                <c:pt idx="4">
                  <c:v>-13.455000000000005</c:v>
                </c:pt>
                <c:pt idx="5">
                  <c:v>-12.89</c:v>
                </c:pt>
                <c:pt idx="6">
                  <c:v>-14.022</c:v>
                </c:pt>
                <c:pt idx="7">
                  <c:v>-12.826000000000002</c:v>
                </c:pt>
                <c:pt idx="8">
                  <c:v>-13.047000000000001</c:v>
                </c:pt>
                <c:pt idx="9">
                  <c:v>-14.396000000000004</c:v>
                </c:pt>
                <c:pt idx="10">
                  <c:v>-12.877000000000002</c:v>
                </c:pt>
                <c:pt idx="11">
                  <c:v>-14.002000000000002</c:v>
                </c:pt>
                <c:pt idx="12">
                  <c:v>-14.382000000000005</c:v>
                </c:pt>
              </c:numCache>
            </c:numRef>
          </c:val>
          <c:extLst>
            <c:ext xmlns:c16="http://schemas.microsoft.com/office/drawing/2014/chart" uri="{C3380CC4-5D6E-409C-BE32-E72D297353CC}">
              <c16:uniqueId val="{00000006-715E-F149-8F46-DD53385FB007}"/>
            </c:ext>
          </c:extLst>
        </c:ser>
        <c:dLbls>
          <c:showLegendKey val="0"/>
          <c:showVal val="0"/>
          <c:showCatName val="0"/>
          <c:showSerName val="0"/>
          <c:showPercent val="0"/>
          <c:showBubbleSize val="0"/>
        </c:dLbls>
        <c:gapWidth val="150"/>
        <c:axId val="466591064"/>
        <c:axId val="20724760"/>
      </c:barChart>
      <c:catAx>
        <c:axId val="466591064"/>
        <c:scaling>
          <c:orientation val="minMax"/>
        </c:scaling>
        <c:delete val="0"/>
        <c:axPos val="b"/>
        <c:title>
          <c:tx>
            <c:rich>
              <a:bodyPr/>
              <a:lstStyle/>
              <a:p>
                <a:pPr>
                  <a:defRPr/>
                </a:pPr>
                <a:r>
                  <a:rPr lang="en-US" baseline="0">
                    <a:latin typeface="Times New Roman" panose="02020603050405020304" pitchFamily="18" charset="0"/>
                    <a:cs typeface="Times New Roman" panose="02020603050405020304" pitchFamily="18" charset="0"/>
                  </a:rPr>
                  <a:t>Location</a:t>
                </a:r>
                <a:endParaRPr lang="en-US">
                  <a:latin typeface="Times New Roman" panose="02020603050405020304" pitchFamily="18" charset="0"/>
                  <a:cs typeface="Times New Roman" panose="02020603050405020304" pitchFamily="18" charset="0"/>
                </a:endParaRPr>
              </a:p>
            </c:rich>
          </c:tx>
          <c:layout>
            <c:manualLayout>
              <c:xMode val="edge"/>
              <c:yMode val="edge"/>
              <c:x val="0.42373746550911906"/>
              <c:y val="0.89695980412160803"/>
            </c:manualLayout>
          </c:layout>
          <c:overlay val="0"/>
        </c:title>
        <c:numFmt formatCode="General" sourceLinked="0"/>
        <c:majorTickMark val="out"/>
        <c:minorTickMark val="none"/>
        <c:tickLblPos val="nextTo"/>
        <c:txPr>
          <a:bodyPr/>
          <a:lstStyle/>
          <a:p>
            <a:pPr>
              <a:defRPr sz="1200" b="1"/>
            </a:pPr>
            <a:endParaRPr lang="en-US"/>
          </a:p>
        </c:txPr>
        <c:crossAx val="20724760"/>
        <c:crosses val="autoZero"/>
        <c:auto val="1"/>
        <c:lblAlgn val="ctr"/>
        <c:lblOffset val="100"/>
        <c:noMultiLvlLbl val="0"/>
      </c:catAx>
      <c:valAx>
        <c:axId val="20724760"/>
        <c:scaling>
          <c:orientation val="minMax"/>
          <c:max val="2"/>
        </c:scaling>
        <c:delete val="0"/>
        <c:axPos val="l"/>
        <c:majorGridlines/>
        <c:title>
          <c:tx>
            <c:rich>
              <a:bodyPr rot="-5400000" vert="horz"/>
              <a:lstStyle/>
              <a:p>
                <a:pPr>
                  <a:defRPr/>
                </a:pPr>
                <a:r>
                  <a:rPr lang="en-US" sz="1000">
                    <a:latin typeface="Times New Roman" panose="02020603050405020304" pitchFamily="18" charset="0"/>
                    <a:cs typeface="Times New Roman" panose="02020603050405020304" pitchFamily="18" charset="0"/>
                  </a:rPr>
                  <a:t>Geoaccumulation index values</a:t>
                </a:r>
              </a:p>
            </c:rich>
          </c:tx>
          <c:overlay val="0"/>
        </c:title>
        <c:numFmt formatCode="General" sourceLinked="1"/>
        <c:majorTickMark val="out"/>
        <c:minorTickMark val="none"/>
        <c:tickLblPos val="nextTo"/>
        <c:txPr>
          <a:bodyPr/>
          <a:lstStyle/>
          <a:p>
            <a:pPr>
              <a:defRPr b="1"/>
            </a:pPr>
            <a:endParaRPr lang="en-US"/>
          </a:p>
        </c:txPr>
        <c:crossAx val="466591064"/>
        <c:crosses val="autoZero"/>
        <c:crossBetween val="between"/>
      </c:valAx>
    </c:plotArea>
    <c:legend>
      <c:legendPos val="r"/>
      <c:overlay val="0"/>
      <c:txPr>
        <a:bodyPr/>
        <a:lstStyle/>
        <a:p>
          <a:pPr>
            <a:defRPr b="1"/>
          </a:pPr>
          <a:endParaRPr lang="en-US"/>
        </a:p>
      </c:txPr>
    </c:legend>
    <c:plotVisOnly val="1"/>
    <c:dispBlanksAs val="gap"/>
    <c:showDLblsOverMax val="0"/>
  </c:chart>
  <c:spPr>
    <a:ln w="19050">
      <a:solidFill>
        <a:sysClr val="windowText" lastClr="000000"/>
      </a:solid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'Eleme igeo'!$B$2</c:f>
              <c:strCache>
                <c:ptCount val="1"/>
                <c:pt idx="0">
                  <c:v>Cr</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igeo'!$B$3:$B$15</c:f>
              <c:numCache>
                <c:formatCode>General</c:formatCode>
                <c:ptCount val="13"/>
                <c:pt idx="0">
                  <c:v>-6.79</c:v>
                </c:pt>
                <c:pt idx="1">
                  <c:v>-7.2779999999999996</c:v>
                </c:pt>
                <c:pt idx="2">
                  <c:v>-5.8439999999999985</c:v>
                </c:pt>
                <c:pt idx="3">
                  <c:v>-5.9930000000000003</c:v>
                </c:pt>
                <c:pt idx="4">
                  <c:v>-7.79</c:v>
                </c:pt>
                <c:pt idx="5">
                  <c:v>-7.02</c:v>
                </c:pt>
                <c:pt idx="6">
                  <c:v>-6.7779999999999996</c:v>
                </c:pt>
                <c:pt idx="7">
                  <c:v>-5.8079999999999945</c:v>
                </c:pt>
                <c:pt idx="8">
                  <c:v>-7.1059999999999945</c:v>
                </c:pt>
                <c:pt idx="9">
                  <c:v>-5.9930000000000003</c:v>
                </c:pt>
                <c:pt idx="10">
                  <c:v>-7.048</c:v>
                </c:pt>
                <c:pt idx="11">
                  <c:v>-8.1060000000000034</c:v>
                </c:pt>
                <c:pt idx="12">
                  <c:v>-7.79</c:v>
                </c:pt>
              </c:numCache>
            </c:numRef>
          </c:val>
          <c:extLst>
            <c:ext xmlns:c16="http://schemas.microsoft.com/office/drawing/2014/chart" uri="{C3380CC4-5D6E-409C-BE32-E72D297353CC}">
              <c16:uniqueId val="{00000000-828C-7742-A7BB-D086E1AC03D9}"/>
            </c:ext>
          </c:extLst>
        </c:ser>
        <c:ser>
          <c:idx val="1"/>
          <c:order val="1"/>
          <c:tx>
            <c:strRef>
              <c:f>'Eleme igeo'!$C$2</c:f>
              <c:strCache>
                <c:ptCount val="1"/>
                <c:pt idx="0">
                  <c:v>Cd</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igeo'!$C$3:$C$15</c:f>
              <c:numCache>
                <c:formatCode>General</c:formatCode>
                <c:ptCount val="13"/>
                <c:pt idx="0">
                  <c:v>-0.53800000000000003</c:v>
                </c:pt>
                <c:pt idx="1">
                  <c:v>1.236</c:v>
                </c:pt>
                <c:pt idx="2">
                  <c:v>-0.53800000000000003</c:v>
                </c:pt>
                <c:pt idx="3">
                  <c:v>1.032</c:v>
                </c:pt>
                <c:pt idx="4">
                  <c:v>-0.49200000000000038</c:v>
                </c:pt>
                <c:pt idx="5">
                  <c:v>-0.1</c:v>
                </c:pt>
                <c:pt idx="6">
                  <c:v>-0.20600000000000004</c:v>
                </c:pt>
                <c:pt idx="7">
                  <c:v>0.59599999999999997</c:v>
                </c:pt>
                <c:pt idx="8">
                  <c:v>-0.79100000000000004</c:v>
                </c:pt>
                <c:pt idx="9">
                  <c:v>-0.28200000000000008</c:v>
                </c:pt>
                <c:pt idx="10">
                  <c:v>-0.68500000000000005</c:v>
                </c:pt>
                <c:pt idx="11">
                  <c:v>-0.84800000000000064</c:v>
                </c:pt>
                <c:pt idx="12">
                  <c:v>-0.96800000000000064</c:v>
                </c:pt>
              </c:numCache>
            </c:numRef>
          </c:val>
          <c:extLst>
            <c:ext xmlns:c16="http://schemas.microsoft.com/office/drawing/2014/chart" uri="{C3380CC4-5D6E-409C-BE32-E72D297353CC}">
              <c16:uniqueId val="{00000001-828C-7742-A7BB-D086E1AC03D9}"/>
            </c:ext>
          </c:extLst>
        </c:ser>
        <c:ser>
          <c:idx val="2"/>
          <c:order val="2"/>
          <c:tx>
            <c:strRef>
              <c:f>'Eleme igeo'!$D$2</c:f>
              <c:strCache>
                <c:ptCount val="1"/>
                <c:pt idx="0">
                  <c:v>Cu</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igeo'!$D$3:$D$15</c:f>
              <c:numCache>
                <c:formatCode>General</c:formatCode>
                <c:ptCount val="13"/>
                <c:pt idx="0">
                  <c:v>-4.8539999999999965</c:v>
                </c:pt>
                <c:pt idx="1">
                  <c:v>-4.9269999999999996</c:v>
                </c:pt>
                <c:pt idx="2">
                  <c:v>-6.0259999999999945</c:v>
                </c:pt>
                <c:pt idx="3">
                  <c:v>-5.3239999999999945</c:v>
                </c:pt>
                <c:pt idx="4">
                  <c:v>-5.1790000000000003</c:v>
                </c:pt>
                <c:pt idx="5">
                  <c:v>-4.5999999999999996</c:v>
                </c:pt>
                <c:pt idx="6">
                  <c:v>-5.04</c:v>
                </c:pt>
                <c:pt idx="7">
                  <c:v>-4.9269999999999996</c:v>
                </c:pt>
                <c:pt idx="8">
                  <c:v>-5.6109999999999856</c:v>
                </c:pt>
                <c:pt idx="9">
                  <c:v>-6.2119999999999997</c:v>
                </c:pt>
                <c:pt idx="10">
                  <c:v>-4.88</c:v>
                </c:pt>
                <c:pt idx="11">
                  <c:v>-5.2889999999999997</c:v>
                </c:pt>
                <c:pt idx="12">
                  <c:v>-4.9969999999999999</c:v>
                </c:pt>
              </c:numCache>
            </c:numRef>
          </c:val>
          <c:extLst>
            <c:ext xmlns:c16="http://schemas.microsoft.com/office/drawing/2014/chart" uri="{C3380CC4-5D6E-409C-BE32-E72D297353CC}">
              <c16:uniqueId val="{00000002-828C-7742-A7BB-D086E1AC03D9}"/>
            </c:ext>
          </c:extLst>
        </c:ser>
        <c:ser>
          <c:idx val="3"/>
          <c:order val="3"/>
          <c:tx>
            <c:strRef>
              <c:f>'Eleme igeo'!$E$2</c:f>
              <c:strCache>
                <c:ptCount val="1"/>
                <c:pt idx="0">
                  <c:v>Ni</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igeo'!$E$3:$E$15</c:f>
              <c:numCache>
                <c:formatCode>General</c:formatCode>
                <c:ptCount val="13"/>
                <c:pt idx="0">
                  <c:v>-7.5350000000000001</c:v>
                </c:pt>
                <c:pt idx="1">
                  <c:v>-6.6579999999999755</c:v>
                </c:pt>
                <c:pt idx="2">
                  <c:v>-7.3619999999999965</c:v>
                </c:pt>
                <c:pt idx="3">
                  <c:v>-7.9239999999999995</c:v>
                </c:pt>
                <c:pt idx="4">
                  <c:v>-7.6439999999999975</c:v>
                </c:pt>
                <c:pt idx="5">
                  <c:v>-7.1669999999999945</c:v>
                </c:pt>
                <c:pt idx="6">
                  <c:v>-8.145999999999999</c:v>
                </c:pt>
                <c:pt idx="7">
                  <c:v>-7.3619999999999965</c:v>
                </c:pt>
                <c:pt idx="8">
                  <c:v>-7.702</c:v>
                </c:pt>
                <c:pt idx="9">
                  <c:v>-6.9939999999999998</c:v>
                </c:pt>
                <c:pt idx="10">
                  <c:v>-7.484</c:v>
                </c:pt>
                <c:pt idx="11">
                  <c:v>-7.8239999999999945</c:v>
                </c:pt>
                <c:pt idx="12">
                  <c:v>-8.0309999999999988</c:v>
                </c:pt>
              </c:numCache>
            </c:numRef>
          </c:val>
          <c:extLst>
            <c:ext xmlns:c16="http://schemas.microsoft.com/office/drawing/2014/chart" uri="{C3380CC4-5D6E-409C-BE32-E72D297353CC}">
              <c16:uniqueId val="{00000003-828C-7742-A7BB-D086E1AC03D9}"/>
            </c:ext>
          </c:extLst>
        </c:ser>
        <c:ser>
          <c:idx val="4"/>
          <c:order val="4"/>
          <c:tx>
            <c:strRef>
              <c:f>'Eleme igeo'!$F$2</c:f>
              <c:strCache>
                <c:ptCount val="1"/>
                <c:pt idx="0">
                  <c:v>Pb</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igeo'!$F$3:$F$15</c:f>
              <c:numCache>
                <c:formatCode>General</c:formatCode>
                <c:ptCount val="13"/>
                <c:pt idx="0">
                  <c:v>-5.5969999999999995</c:v>
                </c:pt>
                <c:pt idx="1">
                  <c:v>-5.907</c:v>
                </c:pt>
                <c:pt idx="2">
                  <c:v>-5.8229999999999755</c:v>
                </c:pt>
                <c:pt idx="3">
                  <c:v>-5.85</c:v>
                </c:pt>
                <c:pt idx="4">
                  <c:v>-5.6199999999999966</c:v>
                </c:pt>
                <c:pt idx="5">
                  <c:v>-5.9660000000000002</c:v>
                </c:pt>
                <c:pt idx="6">
                  <c:v>-5.66799999999997</c:v>
                </c:pt>
                <c:pt idx="7">
                  <c:v>-5.5730000000000004</c:v>
                </c:pt>
                <c:pt idx="8">
                  <c:v>-5.66799999999997</c:v>
                </c:pt>
                <c:pt idx="9">
                  <c:v>-5.907</c:v>
                </c:pt>
                <c:pt idx="10">
                  <c:v>-5.66799999999997</c:v>
                </c:pt>
                <c:pt idx="11">
                  <c:v>-5.9359999999999999</c:v>
                </c:pt>
                <c:pt idx="12">
                  <c:v>-5.8780000000000001</c:v>
                </c:pt>
              </c:numCache>
            </c:numRef>
          </c:val>
          <c:extLst>
            <c:ext xmlns:c16="http://schemas.microsoft.com/office/drawing/2014/chart" uri="{C3380CC4-5D6E-409C-BE32-E72D297353CC}">
              <c16:uniqueId val="{00000004-828C-7742-A7BB-D086E1AC03D9}"/>
            </c:ext>
          </c:extLst>
        </c:ser>
        <c:ser>
          <c:idx val="5"/>
          <c:order val="5"/>
          <c:tx>
            <c:strRef>
              <c:f>'Eleme igeo'!$G$2</c:f>
              <c:strCache>
                <c:ptCount val="1"/>
                <c:pt idx="0">
                  <c:v>Zn</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igeo'!$G$3:$G$15</c:f>
              <c:numCache>
                <c:formatCode>General</c:formatCode>
                <c:ptCount val="13"/>
                <c:pt idx="0">
                  <c:v>-5.18</c:v>
                </c:pt>
                <c:pt idx="1">
                  <c:v>-5.0139999999999985</c:v>
                </c:pt>
                <c:pt idx="2">
                  <c:v>-5.3310000000000004</c:v>
                </c:pt>
                <c:pt idx="3">
                  <c:v>-4.8010000000000002</c:v>
                </c:pt>
                <c:pt idx="4">
                  <c:v>-5.468</c:v>
                </c:pt>
                <c:pt idx="5">
                  <c:v>-5.6039999999999965</c:v>
                </c:pt>
                <c:pt idx="6">
                  <c:v>-5.0979999999999945</c:v>
                </c:pt>
                <c:pt idx="7">
                  <c:v>-5.2709999999999999</c:v>
                </c:pt>
                <c:pt idx="8">
                  <c:v>-5.0639999999999965</c:v>
                </c:pt>
                <c:pt idx="9">
                  <c:v>-5.5460000000000003</c:v>
                </c:pt>
                <c:pt idx="10">
                  <c:v>-4.91</c:v>
                </c:pt>
                <c:pt idx="11">
                  <c:v>-5.6139999999999946</c:v>
                </c:pt>
                <c:pt idx="12">
                  <c:v>-5.49</c:v>
                </c:pt>
              </c:numCache>
            </c:numRef>
          </c:val>
          <c:extLst>
            <c:ext xmlns:c16="http://schemas.microsoft.com/office/drawing/2014/chart" uri="{C3380CC4-5D6E-409C-BE32-E72D297353CC}">
              <c16:uniqueId val="{00000005-828C-7742-A7BB-D086E1AC03D9}"/>
            </c:ext>
          </c:extLst>
        </c:ser>
        <c:ser>
          <c:idx val="6"/>
          <c:order val="6"/>
          <c:tx>
            <c:strRef>
              <c:f>'Eleme igeo'!$H$2</c:f>
              <c:strCache>
                <c:ptCount val="1"/>
                <c:pt idx="0">
                  <c:v>Fe</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igeo'!$H$3:$H$15</c:f>
              <c:numCache>
                <c:formatCode>General</c:formatCode>
                <c:ptCount val="13"/>
                <c:pt idx="0">
                  <c:v>-13.418000000000001</c:v>
                </c:pt>
                <c:pt idx="1">
                  <c:v>-13.641999999999999</c:v>
                </c:pt>
                <c:pt idx="2">
                  <c:v>-13.506</c:v>
                </c:pt>
                <c:pt idx="3">
                  <c:v>-13.661</c:v>
                </c:pt>
                <c:pt idx="4">
                  <c:v>-14.343</c:v>
                </c:pt>
                <c:pt idx="5">
                  <c:v>-13.745999999999999</c:v>
                </c:pt>
                <c:pt idx="6">
                  <c:v>-13.917</c:v>
                </c:pt>
                <c:pt idx="7">
                  <c:v>-14.213000000000001</c:v>
                </c:pt>
                <c:pt idx="8">
                  <c:v>-13.873000000000006</c:v>
                </c:pt>
                <c:pt idx="9">
                  <c:v>-13.936</c:v>
                </c:pt>
                <c:pt idx="10">
                  <c:v>-13.704000000000001</c:v>
                </c:pt>
                <c:pt idx="11">
                  <c:v>-14.04</c:v>
                </c:pt>
                <c:pt idx="12">
                  <c:v>-14.247999999999999</c:v>
                </c:pt>
              </c:numCache>
            </c:numRef>
          </c:val>
          <c:extLst>
            <c:ext xmlns:c16="http://schemas.microsoft.com/office/drawing/2014/chart" uri="{C3380CC4-5D6E-409C-BE32-E72D297353CC}">
              <c16:uniqueId val="{00000006-828C-7742-A7BB-D086E1AC03D9}"/>
            </c:ext>
          </c:extLst>
        </c:ser>
        <c:dLbls>
          <c:showLegendKey val="0"/>
          <c:showVal val="0"/>
          <c:showCatName val="0"/>
          <c:showSerName val="0"/>
          <c:showPercent val="0"/>
          <c:showBubbleSize val="0"/>
        </c:dLbls>
        <c:gapWidth val="150"/>
        <c:axId val="20725152"/>
        <c:axId val="20725936"/>
      </c:barChart>
      <c:catAx>
        <c:axId val="20725152"/>
        <c:scaling>
          <c:orientation val="minMax"/>
        </c:scaling>
        <c:delete val="0"/>
        <c:axPos val="b"/>
        <c:title>
          <c:tx>
            <c:rich>
              <a:bodyPr/>
              <a:lstStyle/>
              <a:p>
                <a:pPr>
                  <a:defRPr/>
                </a:pPr>
                <a:r>
                  <a:rPr lang="en-US" sz="1000">
                    <a:latin typeface="Times New Roman" panose="02020603050405020304" pitchFamily="18" charset="0"/>
                    <a:cs typeface="Times New Roman" panose="02020603050405020304" pitchFamily="18" charset="0"/>
                  </a:rPr>
                  <a:t>Location</a:t>
                </a:r>
              </a:p>
            </c:rich>
          </c:tx>
          <c:layout>
            <c:manualLayout>
              <c:xMode val="edge"/>
              <c:yMode val="edge"/>
              <c:x val="0.41890621845346254"/>
              <c:y val="0.9011317133745379"/>
            </c:manualLayout>
          </c:layout>
          <c:overlay val="0"/>
        </c:title>
        <c:numFmt formatCode="General" sourceLinked="0"/>
        <c:majorTickMark val="out"/>
        <c:minorTickMark val="none"/>
        <c:tickLblPos val="nextTo"/>
        <c:txPr>
          <a:bodyPr/>
          <a:lstStyle/>
          <a:p>
            <a:pPr>
              <a:defRPr sz="1200" b="1"/>
            </a:pPr>
            <a:endParaRPr lang="en-US"/>
          </a:p>
        </c:txPr>
        <c:crossAx val="20725936"/>
        <c:crosses val="autoZero"/>
        <c:auto val="1"/>
        <c:lblAlgn val="ctr"/>
        <c:lblOffset val="100"/>
        <c:noMultiLvlLbl val="0"/>
      </c:catAx>
      <c:valAx>
        <c:axId val="20725936"/>
        <c:scaling>
          <c:orientation val="minMax"/>
          <c:max val="2"/>
        </c:scaling>
        <c:delete val="0"/>
        <c:axPos val="l"/>
        <c:majorGridlines/>
        <c:title>
          <c:tx>
            <c:rich>
              <a:bodyPr rot="-5400000" vert="horz"/>
              <a:lstStyle/>
              <a:p>
                <a:pPr>
                  <a:defRPr/>
                </a:pPr>
                <a:r>
                  <a:rPr lang="en-US" sz="1000">
                    <a:latin typeface="Times New Roman" panose="02020603050405020304" pitchFamily="18" charset="0"/>
                    <a:cs typeface="Times New Roman" panose="02020603050405020304" pitchFamily="18" charset="0"/>
                  </a:rPr>
                  <a:t>Geo-accumulation index values</a:t>
                </a:r>
              </a:p>
            </c:rich>
          </c:tx>
          <c:layout>
            <c:manualLayout>
              <c:xMode val="edge"/>
              <c:yMode val="edge"/>
              <c:x val="2.3504273504273504E-2"/>
              <c:y val="0.21726549885848309"/>
            </c:manualLayout>
          </c:layout>
          <c:overlay val="0"/>
        </c:title>
        <c:numFmt formatCode="General" sourceLinked="1"/>
        <c:majorTickMark val="out"/>
        <c:minorTickMark val="none"/>
        <c:tickLblPos val="nextTo"/>
        <c:txPr>
          <a:bodyPr/>
          <a:lstStyle/>
          <a:p>
            <a:pPr>
              <a:defRPr b="1"/>
            </a:pPr>
            <a:endParaRPr lang="en-US"/>
          </a:p>
        </c:txPr>
        <c:crossAx val="20725152"/>
        <c:crosses val="autoZero"/>
        <c:crossBetween val="between"/>
      </c:valAx>
    </c:plotArea>
    <c:legend>
      <c:legendPos val="r"/>
      <c:overlay val="0"/>
      <c:txPr>
        <a:bodyPr/>
        <a:lstStyle/>
        <a:p>
          <a:pPr>
            <a:defRPr b="1"/>
          </a:pPr>
          <a:endParaRPr lang="en-US"/>
        </a:p>
      </c:txPr>
    </c:legend>
    <c:plotVisOnly val="1"/>
    <c:dispBlanksAs val="gap"/>
    <c:showDLblsOverMax val="0"/>
  </c:chart>
  <c:spPr>
    <a:ln w="19050">
      <a:solidFill>
        <a:sysClr val="windowText" lastClr="000000"/>
      </a:solid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'Igeo Eleme'!$C$56</c:f>
              <c:strCache>
                <c:ptCount val="1"/>
                <c:pt idx="0">
                  <c:v>Cr</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Eleme'!$C$57:$C$69</c:f>
              <c:numCache>
                <c:formatCode>General</c:formatCode>
                <c:ptCount val="13"/>
                <c:pt idx="0">
                  <c:v>0.05</c:v>
                </c:pt>
                <c:pt idx="1">
                  <c:v>5.3999999999999999E-2</c:v>
                </c:pt>
                <c:pt idx="2">
                  <c:v>2.1999999999999999E-2</c:v>
                </c:pt>
                <c:pt idx="3">
                  <c:v>6.4000000000000098E-2</c:v>
                </c:pt>
                <c:pt idx="4">
                  <c:v>5.6000000000000001E-2</c:v>
                </c:pt>
                <c:pt idx="5">
                  <c:v>5.2999999999999999E-2</c:v>
                </c:pt>
                <c:pt idx="6">
                  <c:v>1.4E-2</c:v>
                </c:pt>
                <c:pt idx="7">
                  <c:v>2.9000000000000001E-2</c:v>
                </c:pt>
                <c:pt idx="8">
                  <c:v>6.7000000000000004E-2</c:v>
                </c:pt>
                <c:pt idx="9">
                  <c:v>4.1000000000000002E-2</c:v>
                </c:pt>
                <c:pt idx="10">
                  <c:v>2.3E-2</c:v>
                </c:pt>
                <c:pt idx="11">
                  <c:v>6.0000000000000097E-3</c:v>
                </c:pt>
                <c:pt idx="12">
                  <c:v>5.0000000000000096E-3</c:v>
                </c:pt>
              </c:numCache>
            </c:numRef>
          </c:val>
          <c:extLst>
            <c:ext xmlns:c16="http://schemas.microsoft.com/office/drawing/2014/chart" uri="{C3380CC4-5D6E-409C-BE32-E72D297353CC}">
              <c16:uniqueId val="{00000000-7666-3A48-85D9-B5720F67318D}"/>
            </c:ext>
          </c:extLst>
        </c:ser>
        <c:ser>
          <c:idx val="1"/>
          <c:order val="1"/>
          <c:tx>
            <c:strRef>
              <c:f>'Igeo Eleme'!$D$56</c:f>
              <c:strCache>
                <c:ptCount val="1"/>
                <c:pt idx="0">
                  <c:v>Cd</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Eleme'!$D$57:$D$69</c:f>
              <c:numCache>
                <c:formatCode>General</c:formatCode>
                <c:ptCount val="13"/>
                <c:pt idx="0">
                  <c:v>1.9330000000000001</c:v>
                </c:pt>
                <c:pt idx="1">
                  <c:v>3.7669999999999999</c:v>
                </c:pt>
                <c:pt idx="2">
                  <c:v>1.3</c:v>
                </c:pt>
                <c:pt idx="3">
                  <c:v>4.7329999999999997</c:v>
                </c:pt>
                <c:pt idx="4">
                  <c:v>2.2999999999999998</c:v>
                </c:pt>
                <c:pt idx="5">
                  <c:v>3.4</c:v>
                </c:pt>
                <c:pt idx="6">
                  <c:v>2.9670000000000001</c:v>
                </c:pt>
                <c:pt idx="7">
                  <c:v>1.2669999999999999</c:v>
                </c:pt>
                <c:pt idx="8">
                  <c:v>3.5329999999999999</c:v>
                </c:pt>
                <c:pt idx="9">
                  <c:v>1.5669999999999999</c:v>
                </c:pt>
                <c:pt idx="10">
                  <c:v>2.5</c:v>
                </c:pt>
                <c:pt idx="11">
                  <c:v>0.63300000000000201</c:v>
                </c:pt>
                <c:pt idx="12">
                  <c:v>0.76700000000000201</c:v>
                </c:pt>
              </c:numCache>
            </c:numRef>
          </c:val>
          <c:extLst>
            <c:ext xmlns:c16="http://schemas.microsoft.com/office/drawing/2014/chart" uri="{C3380CC4-5D6E-409C-BE32-E72D297353CC}">
              <c16:uniqueId val="{00000001-7666-3A48-85D9-B5720F67318D}"/>
            </c:ext>
          </c:extLst>
        </c:ser>
        <c:ser>
          <c:idx val="2"/>
          <c:order val="2"/>
          <c:tx>
            <c:strRef>
              <c:f>'Igeo Eleme'!$E$56</c:f>
              <c:strCache>
                <c:ptCount val="1"/>
                <c:pt idx="0">
                  <c:v>Cu</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Eleme'!$E$57:$E$69</c:f>
              <c:numCache>
                <c:formatCode>General</c:formatCode>
                <c:ptCount val="13"/>
                <c:pt idx="0">
                  <c:v>0.09</c:v>
                </c:pt>
                <c:pt idx="1">
                  <c:v>7.3999999999999996E-2</c:v>
                </c:pt>
                <c:pt idx="2">
                  <c:v>0.05</c:v>
                </c:pt>
                <c:pt idx="3">
                  <c:v>1.6E-2</c:v>
                </c:pt>
                <c:pt idx="4">
                  <c:v>5.3999999999999999E-2</c:v>
                </c:pt>
                <c:pt idx="5">
                  <c:v>4.1000000000000002E-2</c:v>
                </c:pt>
                <c:pt idx="6">
                  <c:v>2.70000000000001E-2</c:v>
                </c:pt>
                <c:pt idx="7">
                  <c:v>2.1000000000000001E-2</c:v>
                </c:pt>
                <c:pt idx="8">
                  <c:v>7.2999999999999995E-2</c:v>
                </c:pt>
                <c:pt idx="9">
                  <c:v>5.1999999999999998E-2</c:v>
                </c:pt>
                <c:pt idx="10">
                  <c:v>7.3999999999999996E-2</c:v>
                </c:pt>
                <c:pt idx="11">
                  <c:v>3.6999999999999998E-2</c:v>
                </c:pt>
                <c:pt idx="12">
                  <c:v>3.7999999999999999E-2</c:v>
                </c:pt>
              </c:numCache>
            </c:numRef>
          </c:val>
          <c:extLst>
            <c:ext xmlns:c16="http://schemas.microsoft.com/office/drawing/2014/chart" uri="{C3380CC4-5D6E-409C-BE32-E72D297353CC}">
              <c16:uniqueId val="{00000002-7666-3A48-85D9-B5720F67318D}"/>
            </c:ext>
          </c:extLst>
        </c:ser>
        <c:ser>
          <c:idx val="3"/>
          <c:order val="3"/>
          <c:tx>
            <c:strRef>
              <c:f>'Igeo Eleme'!$F$56</c:f>
              <c:strCache>
                <c:ptCount val="1"/>
                <c:pt idx="0">
                  <c:v>Ni</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Eleme'!$F$57:$F$69</c:f>
              <c:numCache>
                <c:formatCode>General</c:formatCode>
                <c:ptCount val="13"/>
                <c:pt idx="0">
                  <c:v>0.03</c:v>
                </c:pt>
                <c:pt idx="1">
                  <c:v>1.2E-2</c:v>
                </c:pt>
                <c:pt idx="2">
                  <c:v>1.4999999999999999E-2</c:v>
                </c:pt>
                <c:pt idx="3">
                  <c:v>1.4E-2</c:v>
                </c:pt>
                <c:pt idx="4">
                  <c:v>1.0999999999999999E-2</c:v>
                </c:pt>
                <c:pt idx="5">
                  <c:v>1.6E-2</c:v>
                </c:pt>
                <c:pt idx="6">
                  <c:v>1.7000000000000001E-2</c:v>
                </c:pt>
                <c:pt idx="7">
                  <c:v>1.4E-2</c:v>
                </c:pt>
                <c:pt idx="8">
                  <c:v>1.0999999999999999E-2</c:v>
                </c:pt>
                <c:pt idx="9">
                  <c:v>1.7000000000000001E-2</c:v>
                </c:pt>
                <c:pt idx="10">
                  <c:v>1.2E-2</c:v>
                </c:pt>
                <c:pt idx="11">
                  <c:v>6.0000000000000097E-3</c:v>
                </c:pt>
                <c:pt idx="12">
                  <c:v>6.0000000000000097E-3</c:v>
                </c:pt>
              </c:numCache>
            </c:numRef>
          </c:val>
          <c:extLst>
            <c:ext xmlns:c16="http://schemas.microsoft.com/office/drawing/2014/chart" uri="{C3380CC4-5D6E-409C-BE32-E72D297353CC}">
              <c16:uniqueId val="{00000003-7666-3A48-85D9-B5720F67318D}"/>
            </c:ext>
          </c:extLst>
        </c:ser>
        <c:ser>
          <c:idx val="4"/>
          <c:order val="4"/>
          <c:tx>
            <c:strRef>
              <c:f>'Igeo Eleme'!$G$56</c:f>
              <c:strCache>
                <c:ptCount val="1"/>
                <c:pt idx="0">
                  <c:v>Pb</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Eleme'!$G$57:$G$69</c:f>
              <c:numCache>
                <c:formatCode>General</c:formatCode>
                <c:ptCount val="13"/>
                <c:pt idx="0">
                  <c:v>8.8000000000000106E-2</c:v>
                </c:pt>
                <c:pt idx="1">
                  <c:v>5.1999999999999998E-2</c:v>
                </c:pt>
                <c:pt idx="2">
                  <c:v>3.5000000000000003E-2</c:v>
                </c:pt>
                <c:pt idx="3">
                  <c:v>0.04</c:v>
                </c:pt>
                <c:pt idx="4">
                  <c:v>0.114</c:v>
                </c:pt>
                <c:pt idx="5">
                  <c:v>4.1000000000000002E-2</c:v>
                </c:pt>
                <c:pt idx="6">
                  <c:v>0.08</c:v>
                </c:pt>
                <c:pt idx="7">
                  <c:v>3.2000000000000001E-2</c:v>
                </c:pt>
                <c:pt idx="8">
                  <c:v>0.19</c:v>
                </c:pt>
                <c:pt idx="9">
                  <c:v>3.10000000000001E-2</c:v>
                </c:pt>
                <c:pt idx="10">
                  <c:v>0.03</c:v>
                </c:pt>
                <c:pt idx="11">
                  <c:v>2.4E-2</c:v>
                </c:pt>
                <c:pt idx="12">
                  <c:v>2.3E-2</c:v>
                </c:pt>
              </c:numCache>
            </c:numRef>
          </c:val>
          <c:extLst>
            <c:ext xmlns:c16="http://schemas.microsoft.com/office/drawing/2014/chart" uri="{C3380CC4-5D6E-409C-BE32-E72D297353CC}">
              <c16:uniqueId val="{00000004-7666-3A48-85D9-B5720F67318D}"/>
            </c:ext>
          </c:extLst>
        </c:ser>
        <c:ser>
          <c:idx val="5"/>
          <c:order val="5"/>
          <c:tx>
            <c:strRef>
              <c:f>'Igeo Eleme'!$H$56</c:f>
              <c:strCache>
                <c:ptCount val="1"/>
                <c:pt idx="0">
                  <c:v>Zn</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Eleme'!$H$57:$H$69</c:f>
              <c:numCache>
                <c:formatCode>General</c:formatCode>
                <c:ptCount val="13"/>
                <c:pt idx="0">
                  <c:v>7.1999999999999995E-2</c:v>
                </c:pt>
                <c:pt idx="1">
                  <c:v>7.5999999999999998E-2</c:v>
                </c:pt>
                <c:pt idx="2">
                  <c:v>6.4000000000000098E-2</c:v>
                </c:pt>
                <c:pt idx="3">
                  <c:v>6.2E-2</c:v>
                </c:pt>
                <c:pt idx="4">
                  <c:v>4.2000000000000003E-2</c:v>
                </c:pt>
                <c:pt idx="5">
                  <c:v>5.2999999999999999E-2</c:v>
                </c:pt>
                <c:pt idx="6">
                  <c:v>5.2999999999999999E-2</c:v>
                </c:pt>
                <c:pt idx="7">
                  <c:v>9.3000000000000194E-2</c:v>
                </c:pt>
                <c:pt idx="8">
                  <c:v>8.4000000000000005E-2</c:v>
                </c:pt>
                <c:pt idx="9">
                  <c:v>3.5000000000000003E-2</c:v>
                </c:pt>
                <c:pt idx="10">
                  <c:v>6.0999999999999999E-2</c:v>
                </c:pt>
                <c:pt idx="11">
                  <c:v>3.5999999999999997E-2</c:v>
                </c:pt>
                <c:pt idx="12">
                  <c:v>0.04</c:v>
                </c:pt>
              </c:numCache>
            </c:numRef>
          </c:val>
          <c:extLst>
            <c:ext xmlns:c16="http://schemas.microsoft.com/office/drawing/2014/chart" uri="{C3380CC4-5D6E-409C-BE32-E72D297353CC}">
              <c16:uniqueId val="{00000005-7666-3A48-85D9-B5720F67318D}"/>
            </c:ext>
          </c:extLst>
        </c:ser>
        <c:dLbls>
          <c:showLegendKey val="0"/>
          <c:showVal val="0"/>
          <c:showCatName val="0"/>
          <c:showSerName val="0"/>
          <c:showPercent val="0"/>
          <c:showBubbleSize val="0"/>
        </c:dLbls>
        <c:gapWidth val="150"/>
        <c:axId val="475495560"/>
        <c:axId val="475493992"/>
      </c:barChart>
      <c:catAx>
        <c:axId val="475495560"/>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Location</a:t>
                </a:r>
              </a:p>
            </c:rich>
          </c:tx>
          <c:overlay val="0"/>
        </c:title>
        <c:numFmt formatCode="General" sourceLinked="0"/>
        <c:majorTickMark val="out"/>
        <c:minorTickMark val="none"/>
        <c:tickLblPos val="nextTo"/>
        <c:spPr>
          <a:ln w="25400"/>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75493992"/>
        <c:crosses val="autoZero"/>
        <c:auto val="1"/>
        <c:lblAlgn val="ctr"/>
        <c:lblOffset val="100"/>
        <c:noMultiLvlLbl val="0"/>
      </c:catAx>
      <c:valAx>
        <c:axId val="475493992"/>
        <c:scaling>
          <c:orientation val="minMax"/>
          <c:min val="0.01"/>
        </c:scaling>
        <c:delete val="0"/>
        <c:axPos val="l"/>
        <c:majorGridlines/>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Contamination</a:t>
                </a:r>
                <a:r>
                  <a:rPr lang="en-US" baseline="0"/>
                  <a:t> factor</a:t>
                </a:r>
                <a:endParaRPr lang="en-US"/>
              </a:p>
            </c:rich>
          </c:tx>
          <c:overlay val="0"/>
        </c:title>
        <c:numFmt formatCode="#,##0.0" sourceLinked="0"/>
        <c:majorTickMark val="out"/>
        <c:minorTickMark val="none"/>
        <c:tickLblPos val="nextTo"/>
        <c:spPr>
          <a:ln w="25400">
            <a:solidFill>
              <a:sysClr val="windowText" lastClr="000000">
                <a:lumMod val="50000"/>
                <a:lumOff val="50000"/>
              </a:sysClr>
            </a:solidFill>
          </a:ln>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75495560"/>
        <c:crosses val="autoZero"/>
        <c:crossBetween val="between"/>
      </c:valAx>
      <c:spPr>
        <a:solidFill>
          <a:schemeClr val="bg1"/>
        </a:solidFill>
        <a:ln>
          <a:noFill/>
        </a:ln>
        <a:effectLst/>
      </c:spPr>
    </c:plotArea>
    <c:legend>
      <c:legendPos val="r"/>
      <c:overlay val="0"/>
      <c:txPr>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legend>
    <c:plotVisOnly val="1"/>
    <c:dispBlanksAs val="gap"/>
    <c:showDLblsOverMax val="0"/>
  </c:chart>
  <c:spPr>
    <a:ln w="19050">
      <a:solidFill>
        <a:sysClr val="windowText" lastClr="000000"/>
      </a:solidFill>
    </a:ln>
  </c:spPr>
  <c:txPr>
    <a:bodyPr/>
    <a:lstStyle/>
    <a:p>
      <a:pPr>
        <a:defRPr lang="en-US"/>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'Igeo Eleme'!$B$80</c:f>
              <c:strCache>
                <c:ptCount val="1"/>
                <c:pt idx="0">
                  <c:v>Cr</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Eleme'!$B$81:$B$93</c:f>
              <c:numCache>
                <c:formatCode>General</c:formatCode>
                <c:ptCount val="13"/>
                <c:pt idx="0">
                  <c:v>1.4E-2</c:v>
                </c:pt>
                <c:pt idx="1">
                  <c:v>0.01</c:v>
                </c:pt>
                <c:pt idx="2">
                  <c:v>2.5999999999999999E-2</c:v>
                </c:pt>
                <c:pt idx="3">
                  <c:v>2.4E-2</c:v>
                </c:pt>
                <c:pt idx="4">
                  <c:v>7.0000000000000097E-3</c:v>
                </c:pt>
                <c:pt idx="5">
                  <c:v>1.0999999999999999E-2</c:v>
                </c:pt>
                <c:pt idx="6">
                  <c:v>1.4E-2</c:v>
                </c:pt>
                <c:pt idx="7">
                  <c:v>2.70000000000001E-2</c:v>
                </c:pt>
                <c:pt idx="8">
                  <c:v>1.0999999999999999E-2</c:v>
                </c:pt>
                <c:pt idx="9">
                  <c:v>2.4E-2</c:v>
                </c:pt>
                <c:pt idx="10">
                  <c:v>1.0999999999999999E-2</c:v>
                </c:pt>
                <c:pt idx="11">
                  <c:v>5.0000000000000096E-3</c:v>
                </c:pt>
                <c:pt idx="12">
                  <c:v>7.0000000000000097E-3</c:v>
                </c:pt>
              </c:numCache>
            </c:numRef>
          </c:val>
          <c:extLst>
            <c:ext xmlns:c16="http://schemas.microsoft.com/office/drawing/2014/chart" uri="{C3380CC4-5D6E-409C-BE32-E72D297353CC}">
              <c16:uniqueId val="{00000000-DBCE-487A-A38D-BD32B1977E33}"/>
            </c:ext>
          </c:extLst>
        </c:ser>
        <c:ser>
          <c:idx val="1"/>
          <c:order val="1"/>
          <c:tx>
            <c:strRef>
              <c:f>'Igeo Eleme'!$C$80</c:f>
              <c:strCache>
                <c:ptCount val="1"/>
                <c:pt idx="0">
                  <c:v>Cd</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Eleme'!$C$81:$C$93</c:f>
              <c:numCache>
                <c:formatCode>General</c:formatCode>
                <c:ptCount val="13"/>
                <c:pt idx="0">
                  <c:v>1.0329999999999999</c:v>
                </c:pt>
                <c:pt idx="1">
                  <c:v>3.35299999999999</c:v>
                </c:pt>
                <c:pt idx="2">
                  <c:v>1.0329999999999999</c:v>
                </c:pt>
                <c:pt idx="3">
                  <c:v>3.0670000000000002</c:v>
                </c:pt>
                <c:pt idx="4">
                  <c:v>1.0669999999999999</c:v>
                </c:pt>
                <c:pt idx="5">
                  <c:v>1.4</c:v>
                </c:pt>
                <c:pt idx="6">
                  <c:v>1.3</c:v>
                </c:pt>
                <c:pt idx="7">
                  <c:v>2.2669999999999999</c:v>
                </c:pt>
                <c:pt idx="8">
                  <c:v>0.86700000000000099</c:v>
                </c:pt>
                <c:pt idx="9">
                  <c:v>1.2330000000000001</c:v>
                </c:pt>
                <c:pt idx="10">
                  <c:v>0.93300000000000005</c:v>
                </c:pt>
                <c:pt idx="11">
                  <c:v>0.83300000000000096</c:v>
                </c:pt>
                <c:pt idx="12">
                  <c:v>0.76700000000000201</c:v>
                </c:pt>
              </c:numCache>
            </c:numRef>
          </c:val>
          <c:extLst>
            <c:ext xmlns:c16="http://schemas.microsoft.com/office/drawing/2014/chart" uri="{C3380CC4-5D6E-409C-BE32-E72D297353CC}">
              <c16:uniqueId val="{00000001-DBCE-487A-A38D-BD32B1977E33}"/>
            </c:ext>
          </c:extLst>
        </c:ser>
        <c:ser>
          <c:idx val="2"/>
          <c:order val="2"/>
          <c:tx>
            <c:strRef>
              <c:f>'Igeo Eleme'!$D$80</c:f>
              <c:strCache>
                <c:ptCount val="1"/>
                <c:pt idx="0">
                  <c:v>Cu</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Eleme'!$D$81:$D$93</c:f>
              <c:numCache>
                <c:formatCode>General</c:formatCode>
                <c:ptCount val="13"/>
                <c:pt idx="0">
                  <c:v>5.1999999999999998E-2</c:v>
                </c:pt>
                <c:pt idx="1">
                  <c:v>4.9000000000000099E-2</c:v>
                </c:pt>
                <c:pt idx="2">
                  <c:v>2.3E-2</c:v>
                </c:pt>
                <c:pt idx="3">
                  <c:v>3.6999999999999998E-2</c:v>
                </c:pt>
                <c:pt idx="4">
                  <c:v>4.1000000000000002E-2</c:v>
                </c:pt>
                <c:pt idx="5">
                  <c:v>6.2E-2</c:v>
                </c:pt>
                <c:pt idx="6">
                  <c:v>4.5999999999999999E-2</c:v>
                </c:pt>
                <c:pt idx="7">
                  <c:v>4.9000000000000099E-2</c:v>
                </c:pt>
                <c:pt idx="8">
                  <c:v>3.10000000000001E-2</c:v>
                </c:pt>
                <c:pt idx="9">
                  <c:v>0.02</c:v>
                </c:pt>
                <c:pt idx="10">
                  <c:v>5.0999999999999997E-2</c:v>
                </c:pt>
                <c:pt idx="11">
                  <c:v>3.7999999999999999E-2</c:v>
                </c:pt>
                <c:pt idx="12">
                  <c:v>4.7E-2</c:v>
                </c:pt>
              </c:numCache>
            </c:numRef>
          </c:val>
          <c:extLst>
            <c:ext xmlns:c16="http://schemas.microsoft.com/office/drawing/2014/chart" uri="{C3380CC4-5D6E-409C-BE32-E72D297353CC}">
              <c16:uniqueId val="{00000002-DBCE-487A-A38D-BD32B1977E33}"/>
            </c:ext>
          </c:extLst>
        </c:ser>
        <c:ser>
          <c:idx val="3"/>
          <c:order val="3"/>
          <c:tx>
            <c:strRef>
              <c:f>'Igeo Eleme'!$E$80</c:f>
              <c:strCache>
                <c:ptCount val="1"/>
                <c:pt idx="0">
                  <c:v>Ni</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Eleme'!$E$81:$E$93</c:f>
              <c:numCache>
                <c:formatCode>General</c:formatCode>
                <c:ptCount val="13"/>
                <c:pt idx="0">
                  <c:v>8.0000000000000192E-3</c:v>
                </c:pt>
                <c:pt idx="1">
                  <c:v>1.4999999999999999E-2</c:v>
                </c:pt>
                <c:pt idx="2">
                  <c:v>8.9999999999999993E-3</c:v>
                </c:pt>
                <c:pt idx="3">
                  <c:v>6.0000000000000097E-3</c:v>
                </c:pt>
                <c:pt idx="4">
                  <c:v>8.0000000000000192E-3</c:v>
                </c:pt>
                <c:pt idx="5">
                  <c:v>0.01</c:v>
                </c:pt>
                <c:pt idx="6">
                  <c:v>5.0000000000000096E-3</c:v>
                </c:pt>
                <c:pt idx="7">
                  <c:v>8.9999999999999993E-3</c:v>
                </c:pt>
                <c:pt idx="8">
                  <c:v>7.0000000000000097E-3</c:v>
                </c:pt>
                <c:pt idx="9">
                  <c:v>1.2E-2</c:v>
                </c:pt>
                <c:pt idx="10">
                  <c:v>8.0000000000000192E-3</c:v>
                </c:pt>
                <c:pt idx="11">
                  <c:v>7.0000000000000097E-3</c:v>
                </c:pt>
                <c:pt idx="12">
                  <c:v>6.0000000000000097E-3</c:v>
                </c:pt>
              </c:numCache>
            </c:numRef>
          </c:val>
          <c:extLst>
            <c:ext xmlns:c16="http://schemas.microsoft.com/office/drawing/2014/chart" uri="{C3380CC4-5D6E-409C-BE32-E72D297353CC}">
              <c16:uniqueId val="{00000003-DBCE-487A-A38D-BD32B1977E33}"/>
            </c:ext>
          </c:extLst>
        </c:ser>
        <c:ser>
          <c:idx val="4"/>
          <c:order val="4"/>
          <c:tx>
            <c:strRef>
              <c:f>'Igeo Eleme'!$F$80</c:f>
              <c:strCache>
                <c:ptCount val="1"/>
                <c:pt idx="0">
                  <c:v>Pb</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Eleme'!$F$81:$F$93</c:f>
              <c:numCache>
                <c:formatCode>General</c:formatCode>
                <c:ptCount val="13"/>
                <c:pt idx="0">
                  <c:v>3.10000000000001E-2</c:v>
                </c:pt>
                <c:pt idx="1">
                  <c:v>2.5000000000000001E-2</c:v>
                </c:pt>
                <c:pt idx="2">
                  <c:v>2.70000000000001E-2</c:v>
                </c:pt>
                <c:pt idx="3">
                  <c:v>2.5999999999999999E-2</c:v>
                </c:pt>
                <c:pt idx="4">
                  <c:v>3.10000000000001E-2</c:v>
                </c:pt>
                <c:pt idx="5">
                  <c:v>2.4E-2</c:v>
                </c:pt>
                <c:pt idx="6">
                  <c:v>0.03</c:v>
                </c:pt>
                <c:pt idx="7">
                  <c:v>3.2000000000000001E-2</c:v>
                </c:pt>
                <c:pt idx="8">
                  <c:v>0.03</c:v>
                </c:pt>
                <c:pt idx="9">
                  <c:v>2.5000000000000001E-2</c:v>
                </c:pt>
                <c:pt idx="10">
                  <c:v>0.03</c:v>
                </c:pt>
                <c:pt idx="11">
                  <c:v>2.5000000000000001E-2</c:v>
                </c:pt>
                <c:pt idx="12">
                  <c:v>2.5999999999999999E-2</c:v>
                </c:pt>
              </c:numCache>
            </c:numRef>
          </c:val>
          <c:extLst>
            <c:ext xmlns:c16="http://schemas.microsoft.com/office/drawing/2014/chart" uri="{C3380CC4-5D6E-409C-BE32-E72D297353CC}">
              <c16:uniqueId val="{00000004-DBCE-487A-A38D-BD32B1977E33}"/>
            </c:ext>
          </c:extLst>
        </c:ser>
        <c:ser>
          <c:idx val="5"/>
          <c:order val="5"/>
          <c:tx>
            <c:strRef>
              <c:f>'Igeo Eleme'!$G$80</c:f>
              <c:strCache>
                <c:ptCount val="1"/>
                <c:pt idx="0">
                  <c:v>Zn</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Eleme'!$G$81:$G$93</c:f>
              <c:numCache>
                <c:formatCode>General</c:formatCode>
                <c:ptCount val="13"/>
                <c:pt idx="0">
                  <c:v>4.1000000000000002E-2</c:v>
                </c:pt>
                <c:pt idx="1">
                  <c:v>4.5999999999999999E-2</c:v>
                </c:pt>
                <c:pt idx="2">
                  <c:v>3.6999999999999998E-2</c:v>
                </c:pt>
                <c:pt idx="3">
                  <c:v>5.3999999999999999E-2</c:v>
                </c:pt>
                <c:pt idx="4">
                  <c:v>3.4000000000000002E-2</c:v>
                </c:pt>
                <c:pt idx="5">
                  <c:v>3.10000000000001E-2</c:v>
                </c:pt>
                <c:pt idx="6">
                  <c:v>4.3999999999999997E-2</c:v>
                </c:pt>
                <c:pt idx="7">
                  <c:v>3.9E-2</c:v>
                </c:pt>
                <c:pt idx="8">
                  <c:v>4.4999999999999998E-2</c:v>
                </c:pt>
                <c:pt idx="9">
                  <c:v>3.2000000000000001E-2</c:v>
                </c:pt>
                <c:pt idx="10">
                  <c:v>0.05</c:v>
                </c:pt>
                <c:pt idx="11">
                  <c:v>3.10000000000001E-2</c:v>
                </c:pt>
                <c:pt idx="12">
                  <c:v>3.3000000000000002E-2</c:v>
                </c:pt>
              </c:numCache>
            </c:numRef>
          </c:val>
          <c:extLst>
            <c:ext xmlns:c16="http://schemas.microsoft.com/office/drawing/2014/chart" uri="{C3380CC4-5D6E-409C-BE32-E72D297353CC}">
              <c16:uniqueId val="{00000005-DBCE-487A-A38D-BD32B1977E33}"/>
            </c:ext>
          </c:extLst>
        </c:ser>
        <c:dLbls>
          <c:showLegendKey val="0"/>
          <c:showVal val="0"/>
          <c:showCatName val="0"/>
          <c:showSerName val="0"/>
          <c:showPercent val="0"/>
          <c:showBubbleSize val="0"/>
        </c:dLbls>
        <c:gapWidth val="150"/>
        <c:axId val="475494776"/>
        <c:axId val="475492816"/>
      </c:barChart>
      <c:catAx>
        <c:axId val="475494776"/>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Location</a:t>
                </a:r>
              </a:p>
            </c:rich>
          </c:tx>
          <c:layout>
            <c:manualLayout>
              <c:xMode val="edge"/>
              <c:yMode val="edge"/>
              <c:x val="0.451378061213424"/>
              <c:y val="0.87991037705652697"/>
            </c:manualLayout>
          </c:layout>
          <c:overlay val="0"/>
        </c:title>
        <c:numFmt formatCode="General" sourceLinked="0"/>
        <c:majorTickMark val="out"/>
        <c:minorTickMark val="none"/>
        <c:tickLblPos val="nextTo"/>
        <c:spPr>
          <a:ln w="25400">
            <a:solidFill>
              <a:sysClr val="windowText" lastClr="000000">
                <a:lumMod val="50000"/>
                <a:lumOff val="50000"/>
              </a:sysClr>
            </a:solidFill>
          </a:ln>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75492816"/>
        <c:crosses val="autoZero"/>
        <c:auto val="1"/>
        <c:lblAlgn val="ctr"/>
        <c:lblOffset val="100"/>
        <c:noMultiLvlLbl val="0"/>
      </c:catAx>
      <c:valAx>
        <c:axId val="475492816"/>
        <c:scaling>
          <c:orientation val="minMax"/>
          <c:max val="3.4"/>
        </c:scaling>
        <c:delete val="0"/>
        <c:axPos val="l"/>
        <c:majorGridlines/>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Contamination factor</a:t>
                </a:r>
              </a:p>
            </c:rich>
          </c:tx>
          <c:overlay val="0"/>
        </c:title>
        <c:numFmt formatCode="#,##0.0" sourceLinked="0"/>
        <c:majorTickMark val="out"/>
        <c:minorTickMark val="none"/>
        <c:tickLblPos val="nextTo"/>
        <c:spPr>
          <a:ln w="25400">
            <a:solidFill>
              <a:sysClr val="windowText" lastClr="000000">
                <a:lumMod val="50000"/>
                <a:lumOff val="50000"/>
              </a:sysClr>
            </a:solidFill>
          </a:ln>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75494776"/>
        <c:crosses val="autoZero"/>
        <c:crossBetween val="between"/>
        <c:majorUnit val="0.2"/>
      </c:valAx>
      <c:spPr>
        <a:solidFill>
          <a:schemeClr val="bg1"/>
        </a:solidFill>
        <a:ln>
          <a:noFill/>
        </a:ln>
        <a:effectLst/>
      </c:spPr>
    </c:plotArea>
    <c:legend>
      <c:legendPos val="r"/>
      <c:overlay val="0"/>
      <c:txPr>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legend>
    <c:plotVisOnly val="1"/>
    <c:dispBlanksAs val="gap"/>
    <c:showDLblsOverMax val="0"/>
  </c:chart>
  <c:spPr>
    <a:ln w="19050">
      <a:solidFill>
        <a:sysClr val="windowText" lastClr="000000"/>
      </a:solidFill>
    </a:ln>
  </c:spPr>
  <c:txPr>
    <a:bodyPr/>
    <a:lstStyle/>
    <a:p>
      <a:pPr>
        <a:defRPr lang="en-US"/>
      </a:pPr>
      <a:endParaRPr lang="en-US"/>
    </a:p>
  </c:txPr>
  <c:externalData r:id="rId2">
    <c:autoUpdate val="0"/>
  </c:externalData>
</c:chartSpace>
</file>

<file path=word/theme/_rels/themeOverride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4.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5.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6.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7.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3.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4.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5.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6.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7.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8.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101C4-C8CC-4136-88FD-749813261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27</Pages>
  <Words>12757</Words>
  <Characters>72715</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SDI CPU 1117</cp:lastModifiedBy>
  <cp:revision>83</cp:revision>
  <cp:lastPrinted>2024-11-15T21:09:00Z</cp:lastPrinted>
  <dcterms:created xsi:type="dcterms:W3CDTF">2026-02-16T11:57:00Z</dcterms:created>
  <dcterms:modified xsi:type="dcterms:W3CDTF">2026-10-09T08:53:00Z</dcterms:modified>
</cp:coreProperties>
</file>