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17C8C" w14:textId="77777777" w:rsidR="001E1693" w:rsidRDefault="001E1693" w:rsidP="001E1693">
      <w:pPr>
        <w:spacing w:before="100" w:beforeAutospacing="1" w:after="100" w:afterAutospacing="1" w:line="240" w:lineRule="auto"/>
        <w:jc w:val="both"/>
        <w:rPr>
          <w:rFonts w:ascii="Times New Roman" w:hAnsi="Times New Roman" w:cs="Times New Roman"/>
          <w:b/>
          <w:bCs/>
          <w:sz w:val="24"/>
          <w:szCs w:val="24"/>
        </w:rPr>
      </w:pPr>
      <w:r w:rsidRPr="00AD2F60">
        <w:rPr>
          <w:rFonts w:ascii="Times New Roman" w:hAnsi="Times New Roman" w:cs="Times New Roman"/>
          <w:b/>
          <w:bCs/>
          <w:sz w:val="24"/>
          <w:szCs w:val="24"/>
        </w:rPr>
        <w:t xml:space="preserve">Integrated Physicochemical, </w:t>
      </w:r>
      <w:proofErr w:type="spellStart"/>
      <w:r w:rsidRPr="00AD2F60">
        <w:rPr>
          <w:rFonts w:ascii="Times New Roman" w:hAnsi="Times New Roman" w:cs="Times New Roman"/>
          <w:b/>
          <w:bCs/>
          <w:sz w:val="24"/>
          <w:szCs w:val="24"/>
        </w:rPr>
        <w:t>Hydrochemical</w:t>
      </w:r>
      <w:proofErr w:type="spellEnd"/>
      <w:r w:rsidRPr="00AD2F60">
        <w:rPr>
          <w:rFonts w:ascii="Times New Roman" w:hAnsi="Times New Roman" w:cs="Times New Roman"/>
          <w:b/>
          <w:bCs/>
          <w:sz w:val="24"/>
          <w:szCs w:val="24"/>
        </w:rPr>
        <w:t>, Trace-Element and Microbiological Assessment of Groundwater across Contrasting Geological Settings</w:t>
      </w:r>
    </w:p>
    <w:p w14:paraId="4353DEE6" w14:textId="77777777" w:rsidR="007A790E" w:rsidRPr="00AD2F60" w:rsidRDefault="007A790E" w:rsidP="001E1693">
      <w:pPr>
        <w:spacing w:before="100" w:beforeAutospacing="1" w:after="100" w:afterAutospacing="1" w:line="240" w:lineRule="auto"/>
        <w:jc w:val="both"/>
        <w:rPr>
          <w:rFonts w:ascii="Times New Roman" w:hAnsi="Times New Roman" w:cs="Times New Roman"/>
          <w:b/>
          <w:bCs/>
          <w:sz w:val="24"/>
          <w:szCs w:val="24"/>
        </w:rPr>
      </w:pPr>
    </w:p>
    <w:p w14:paraId="039B07C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Abstract</w:t>
      </w:r>
    </w:p>
    <w:p w14:paraId="6D87330A" w14:textId="77777777"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Groundwater is an important source of domestic water supply, but its quality may vary according to geological setting, mineral–water interactions and microbiological contamination. This study evaluated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settings. Groundwater samples were analysed for pH, electrical conductivity (EC), total dissolved solids (TDS), turbidity, total hardness, alkalinity, major ions, selected trace and potentially toxic elements, heterotrophic bacteria, total coliforms, faecal coliforms,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and enterococci.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were determined from the major-ion composition, while differences among geological settings </w:t>
      </w:r>
      <w:r>
        <w:rPr>
          <w:rFonts w:ascii="Times New Roman" w:eastAsia="Times New Roman" w:hAnsi="Times New Roman" w:cs="Times New Roman"/>
          <w:sz w:val="24"/>
          <w:szCs w:val="24"/>
          <w:highlight w:val="yellow"/>
          <w:lang w:eastAsia="en-GB"/>
        </w:rPr>
        <w:t>were evaluated using one-way analysis of variance, and relationships between chemical and microbiological variables were assessed</w:t>
      </w:r>
      <w:r>
        <w:rPr>
          <w:rFonts w:ascii="Times New Roman" w:eastAsia="Times New Roman" w:hAnsi="Times New Roman" w:cs="Times New Roman"/>
          <w:sz w:val="24"/>
          <w:szCs w:val="24"/>
          <w:lang w:eastAsia="en-GB"/>
        </w:rPr>
        <w:t xml:space="preserve"> using Pearson's correlation analysis. The groundwater was slightly acidic to near neutral, with pH values ranging from 6.21 ± 0.14 to 6.78 ± 0.16. Basement Complex groundwater exhibited the highest EC (486 ± 42 µS/cm), TDS (312 ± 28 mg/L), total hardness (146 ± 12 mg/L), calcium (48.6 ± 4.2 mg/L), magnesium (18.4 ± 2.1 mg/L) and bicarbonate (118 ± 10 mg/L). The shale/sedimentary setting recorded the highest concentrations of several trace elements, including Pb (0.014 ± 0.003 mg/L), Cd (0.0026 ± 0.0005 mg/L), Cr (0.018 ± 0.004 mg/L) and Ni (0.021 ± 0.004 mg/L). Ca–Mg–HCO₃ was the predominant </w:t>
      </w:r>
      <w:proofErr w:type="spellStart"/>
      <w:r>
        <w:rPr>
          <w:rFonts w:ascii="Times New Roman" w:eastAsia="Times New Roman" w:hAnsi="Times New Roman" w:cs="Times New Roman"/>
          <w:sz w:val="24"/>
          <w:szCs w:val="24"/>
          <w:lang w:eastAsia="en-GB"/>
        </w:rPr>
        <w:t>hydrochemical</w:t>
      </w:r>
      <w:proofErr w:type="spellEnd"/>
      <w:r>
        <w:rPr>
          <w:rFonts w:ascii="Times New Roman" w:eastAsia="Times New Roman" w:hAnsi="Times New Roman" w:cs="Times New Roman"/>
          <w:sz w:val="24"/>
          <w:szCs w:val="24"/>
          <w:lang w:eastAsia="en-GB"/>
        </w:rPr>
        <w:t xml:space="preserve"> facies. Microbiological contamination varied spatially, with weathered-</w:t>
      </w:r>
      <w:proofErr w:type="spellStart"/>
      <w:r>
        <w:rPr>
          <w:rFonts w:ascii="Times New Roman" w:eastAsia="Times New Roman" w:hAnsi="Times New Roman" w:cs="Times New Roman"/>
          <w:sz w:val="24"/>
          <w:szCs w:val="24"/>
          <w:lang w:eastAsia="en-GB"/>
        </w:rPr>
        <w:t>regolith</w:t>
      </w:r>
      <w:proofErr w:type="spellEnd"/>
      <w:r>
        <w:rPr>
          <w:rFonts w:ascii="Times New Roman" w:eastAsia="Times New Roman" w:hAnsi="Times New Roman" w:cs="Times New Roman"/>
          <w:sz w:val="24"/>
          <w:szCs w:val="24"/>
          <w:lang w:eastAsia="en-GB"/>
        </w:rPr>
        <w:t xml:space="preserve"> groundwater recording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Significant differences occurred among geological settings for the assessed physicochemical, chemical and microbiological parameters (p &lt; 0.05). Turbidity and nitrate showed positive associations with the principal microbiological indicators. The findings demonstrate that geological setting influences groundwater mineralisation and trace-element distribution, while microbiological quality may respond to additional factors associated with groundwater vulnerability and contamination pathways. Integrated chemical and microbiological monitoring </w:t>
      </w:r>
      <w:proofErr w:type="gramStart"/>
      <w:r w:rsidRPr="00013089">
        <w:rPr>
          <w:rFonts w:ascii="Times New Roman" w:eastAsia="Times New Roman" w:hAnsi="Times New Roman" w:cs="Times New Roman"/>
          <w:sz w:val="24"/>
          <w:szCs w:val="24"/>
          <w:lang w:eastAsia="en-GB"/>
        </w:rPr>
        <w:t>is</w:t>
      </w:r>
      <w:proofErr w:type="gramEnd"/>
      <w:r w:rsidRPr="00013089">
        <w:rPr>
          <w:rFonts w:ascii="Times New Roman" w:eastAsia="Times New Roman" w:hAnsi="Times New Roman" w:cs="Times New Roman"/>
          <w:sz w:val="24"/>
          <w:szCs w:val="24"/>
          <w:lang w:eastAsia="en-GB"/>
        </w:rPr>
        <w:t xml:space="preserve"> therefore important for evaluating groundwater quality and its suitability for domestic use.</w:t>
      </w:r>
    </w:p>
    <w:p w14:paraId="29524BDA" w14:textId="031EFE5B" w:rsidR="006B6EED" w:rsidRPr="006B6EED" w:rsidRDefault="006B6EED" w:rsidP="001E1693">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6B6EED">
        <w:rPr>
          <w:rFonts w:ascii="Times New Roman" w:eastAsia="Times New Roman" w:hAnsi="Times New Roman" w:cs="Times New Roman"/>
          <w:b/>
          <w:bCs/>
          <w:sz w:val="24"/>
          <w:szCs w:val="24"/>
          <w:lang w:eastAsia="en-GB"/>
        </w:rPr>
        <w:t>Keywords</w:t>
      </w:r>
      <w:r>
        <w:rPr>
          <w:rFonts w:ascii="Times New Roman" w:eastAsia="Times New Roman" w:hAnsi="Times New Roman" w:cs="Times New Roman"/>
          <w:b/>
          <w:bCs/>
          <w:sz w:val="24"/>
          <w:szCs w:val="24"/>
          <w:lang w:eastAsia="en-GB"/>
        </w:rPr>
        <w:t xml:space="preserve">: </w:t>
      </w:r>
      <w:r w:rsidRPr="006B6EED">
        <w:rPr>
          <w:rFonts w:ascii="Times New Roman" w:eastAsia="Times New Roman" w:hAnsi="Times New Roman" w:cs="Times New Roman"/>
          <w:sz w:val="24"/>
          <w:szCs w:val="24"/>
          <w:lang w:eastAsia="en-GB"/>
        </w:rPr>
        <w:t xml:space="preserve">Groundwater quality; hydrochemistry; trace elements; potentially toxic elements; </w:t>
      </w:r>
      <w:proofErr w:type="spellStart"/>
      <w:r w:rsidRPr="006B6EED">
        <w:rPr>
          <w:rFonts w:ascii="Times New Roman" w:eastAsia="Times New Roman" w:hAnsi="Times New Roman" w:cs="Times New Roman"/>
          <w:sz w:val="24"/>
          <w:szCs w:val="24"/>
          <w:lang w:eastAsia="en-GB"/>
        </w:rPr>
        <w:t>hydrochemical</w:t>
      </w:r>
      <w:proofErr w:type="spellEnd"/>
      <w:r w:rsidRPr="006B6EED">
        <w:rPr>
          <w:rFonts w:ascii="Times New Roman" w:eastAsia="Times New Roman" w:hAnsi="Times New Roman" w:cs="Times New Roman"/>
          <w:sz w:val="24"/>
          <w:szCs w:val="24"/>
          <w:lang w:eastAsia="en-GB"/>
        </w:rPr>
        <w:t xml:space="preserve"> facies; mineralisation; microbiological contamination; faecal indicators</w:t>
      </w:r>
    </w:p>
    <w:p w14:paraId="76BDF23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1.0 INTRODUCTION</w:t>
      </w:r>
    </w:p>
    <w:p w14:paraId="700294F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Groundwater constitutes an important component of freshwater resources and serves as a major source of water for domestic, agricultural and other human activities, particularly in areas where surface-water systems are unreliable or vulnerable to contamination. Its chemical composition is controlled by a combination of geological characteristics, mineral dissolution, water–rock interaction, recharge conditions, residence time and anthropogenic influences. Consequently, groundwater from different geological environments may exhibit substantial differences in mineralisation, ionic composition and contaminant concentrations even within relatively close geographical areas.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assessment therefore provides an important </w:t>
      </w:r>
      <w:r w:rsidRPr="00013089">
        <w:rPr>
          <w:rFonts w:ascii="Times New Roman" w:eastAsia="Times New Roman" w:hAnsi="Times New Roman" w:cs="Times New Roman"/>
          <w:sz w:val="24"/>
          <w:szCs w:val="24"/>
          <w:lang w:eastAsia="en-GB"/>
        </w:rPr>
        <w:lastRenderedPageBreak/>
        <w:t>means of understanding the processes controlling groundwater quality and its suitability for human use.</w:t>
      </w:r>
    </w:p>
    <w:p w14:paraId="2E1A29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importance of groundwater quality assessment is particularly relevant in Nigeria, where increasing population, urbanisation, agricultural activities and industrial development place pressure on available water resources. Investigations of water resources in different parts of the Niger Delta have documented variations in physicochemical characteristics and contamination profiles associated with local environmental conditions. For example,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investigations of drinking-water sources in Brass Island demonstrated the importance of evaluating both physicochemical characteristics and potentially hazardous constituents when assessing water quality in coastal environments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Similarly, assessment of borehole water along pipeline routes in Rivers State demonstrated the usefulness of integrated water-quality evaluation for identifying variations in groundwater conditions within urban environments (Elele et al., 2025).</w:t>
      </w:r>
    </w:p>
    <w:p w14:paraId="2B79ECB3" w14:textId="31131F4F" w:rsidR="006E7E26" w:rsidRPr="006B6EED" w:rsidRDefault="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geological setting of an aquifer is particularly important because groundwater acquires much of its dissolved chemical load through interaction with the surrounding geological materials. Weathering of silicate and carbonate-bearing minerals can release calcium, magnesium, sodium, potassium and bicarbonate into groundwater, while dissolution of other mineral phases may contribute chloride and sulphate. The resulting ionic composition can therefore provide information about the dominant hydrogeochemical processes operating within an aquifer. Comparative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studies in Nigerian environments have similarly demonstrated that variations in geological and environmental conditions influence the distribution of dissolved constituents in water resources </w:t>
      </w:r>
      <w:r>
        <w:rPr>
          <w:rFonts w:ascii="Times New Roman" w:eastAsia="Times New Roman" w:hAnsi="Times New Roman" w:cs="Times New Roman"/>
          <w:sz w:val="24"/>
          <w:szCs w:val="24"/>
          <w:highlight w:val="yellow"/>
          <w:lang w:eastAsia="en-GB"/>
        </w:rPr>
        <w:t xml:space="preserve">(Okagbare et al., 2025; Ekpe et al., 2025; Amuka et al., 2026b; Etukudo et al., 2026; Joseph et al., 2026; </w:t>
      </w:r>
      <w:proofErr w:type="spellStart"/>
      <w:r>
        <w:rPr>
          <w:rFonts w:ascii="Times New Roman" w:eastAsia="Times New Roman" w:hAnsi="Times New Roman" w:cs="Times New Roman"/>
          <w:sz w:val="24"/>
          <w:szCs w:val="24"/>
          <w:highlight w:val="yellow"/>
          <w:lang w:eastAsia="en-GB"/>
        </w:rPr>
        <w:t>Umueni</w:t>
      </w:r>
      <w:proofErr w:type="spellEnd"/>
      <w:r>
        <w:rPr>
          <w:rFonts w:ascii="Times New Roman" w:eastAsia="Times New Roman" w:hAnsi="Times New Roman" w:cs="Times New Roman"/>
          <w:sz w:val="24"/>
          <w:szCs w:val="24"/>
          <w:highlight w:val="yellow"/>
          <w:lang w:eastAsia="en-GB"/>
        </w:rPr>
        <w:t xml:space="preserve"> et al., 2026a).</w:t>
      </w:r>
      <w:r w:rsidR="006B6EED">
        <w:rPr>
          <w:rFonts w:ascii="Times New Roman" w:eastAsia="Times New Roman" w:hAnsi="Times New Roman" w:cs="Times New Roman"/>
          <w:sz w:val="24"/>
          <w:szCs w:val="24"/>
          <w:lang w:eastAsia="en-GB"/>
        </w:rPr>
        <w:t xml:space="preserve"> </w:t>
      </w:r>
      <w:r w:rsidRPr="006B6EED">
        <w:rPr>
          <w:rFonts w:ascii="Times New Roman" w:hAnsi="Times New Roman"/>
          <w:bCs/>
          <w:sz w:val="24"/>
          <w:highlight w:val="yellow"/>
        </w:rPr>
        <w:t>A recent hydrogeochemical assessment likewise indicates that groundwater chemistry and suitability can vary with geological setting and associated geochemical processes (Raveesh et al., 2026).</w:t>
      </w:r>
    </w:p>
    <w:p w14:paraId="7F7A4BF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quality cannot, however, be evaluated exclusively from its mineral composition. Trace and potentially toxic elements constitute an additional concern because metals such as lead, cadmium, chromium, nickel, manganese and iron may originate from natural geological sources or anthropogenic activities. Their occurrence in aquatic systems is of environmental importance because persistent metals may accumulate in environmental matrices and biota. Studies from the Niger Delta have reported heavy-metal contamination in sediments, surface waters and aquatic organisms, illustrating the need for systematic monitoring of potentially toxic elements in water-resource systems (</w:t>
      </w:r>
      <w:proofErr w:type="spellStart"/>
      <w:r w:rsidRPr="00013089">
        <w:rPr>
          <w:rFonts w:ascii="Times New Roman" w:eastAsia="Times New Roman" w:hAnsi="Times New Roman" w:cs="Times New Roman"/>
          <w:sz w:val="24"/>
          <w:szCs w:val="24"/>
          <w:lang w:eastAsia="en-GB"/>
        </w:rPr>
        <w:t>Anarado</w:t>
      </w:r>
      <w:proofErr w:type="spellEnd"/>
      <w:r w:rsidRPr="00013089">
        <w:rPr>
          <w:rFonts w:ascii="Times New Roman" w:eastAsia="Times New Roman" w:hAnsi="Times New Roman" w:cs="Times New Roman"/>
          <w:sz w:val="24"/>
          <w:szCs w:val="24"/>
          <w:lang w:eastAsia="en-GB"/>
        </w:rPr>
        <w:t xml:space="preserve"> et al., 2023; Ekpe et al., 2026).</w:t>
      </w:r>
    </w:p>
    <w:p w14:paraId="11C0503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Anthropogenic activities may further modify groundwater quality through the movement of contaminants from the land surface into subsurface systems. Petroleum-related activities, industrial discharges, agricultural practices and atmospheric deposition can introduce metals, hydrocarbons and other contaminants into aquatic environments. Evidence from Rivers State has demonstrated contamination of surface-water systems by petroleum hydrocarbons and heavy metals, while atmospheric deposition associated with gas flaring has also been identified as a potential source of soot and heavy metals to aquatic environments </w:t>
      </w:r>
      <w:r>
        <w:rPr>
          <w:rFonts w:ascii="Times New Roman" w:eastAsia="Times New Roman" w:hAnsi="Times New Roman" w:cs="Times New Roman"/>
          <w:sz w:val="24"/>
          <w:szCs w:val="24"/>
          <w:highlight w:val="yellow"/>
          <w:lang w:eastAsia="en-GB"/>
        </w:rPr>
        <w:t>(</w:t>
      </w:r>
      <w:proofErr w:type="spellStart"/>
      <w:r>
        <w:rPr>
          <w:rFonts w:ascii="Times New Roman" w:eastAsia="Times New Roman" w:hAnsi="Times New Roman" w:cs="Times New Roman"/>
          <w:sz w:val="24"/>
          <w:szCs w:val="24"/>
          <w:highlight w:val="yellow"/>
          <w:lang w:eastAsia="en-GB"/>
        </w:rPr>
        <w:t>Isueken</w:t>
      </w:r>
      <w:proofErr w:type="spellEnd"/>
      <w:r>
        <w:rPr>
          <w:rFonts w:ascii="Times New Roman" w:eastAsia="Times New Roman" w:hAnsi="Times New Roman" w:cs="Times New Roman"/>
          <w:sz w:val="24"/>
          <w:szCs w:val="24"/>
          <w:highlight w:val="yellow"/>
          <w:lang w:eastAsia="en-GB"/>
        </w:rPr>
        <w:t xml:space="preserve"> et al., 2025; </w:t>
      </w:r>
      <w:proofErr w:type="spellStart"/>
      <w:r>
        <w:rPr>
          <w:rFonts w:ascii="Times New Roman" w:eastAsia="Times New Roman" w:hAnsi="Times New Roman" w:cs="Times New Roman"/>
          <w:sz w:val="24"/>
          <w:szCs w:val="24"/>
          <w:highlight w:val="yellow"/>
          <w:lang w:eastAsia="en-GB"/>
        </w:rPr>
        <w:t>Aghanwa</w:t>
      </w:r>
      <w:proofErr w:type="spellEnd"/>
      <w:r>
        <w:rPr>
          <w:rFonts w:ascii="Times New Roman" w:eastAsia="Times New Roman" w:hAnsi="Times New Roman" w:cs="Times New Roman"/>
          <w:sz w:val="24"/>
          <w:szCs w:val="24"/>
          <w:highlight w:val="yellow"/>
          <w:lang w:eastAsia="en-GB"/>
        </w:rPr>
        <w:t xml:space="preserve"> et al., 2025; </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2025g; </w:t>
      </w:r>
      <w:proofErr w:type="spellStart"/>
      <w:r>
        <w:rPr>
          <w:rFonts w:ascii="Times New Roman" w:eastAsia="Times New Roman" w:hAnsi="Times New Roman" w:cs="Times New Roman"/>
          <w:sz w:val="24"/>
          <w:szCs w:val="24"/>
          <w:highlight w:val="yellow"/>
          <w:lang w:eastAsia="en-GB"/>
        </w:rPr>
        <w:t>Onuchukwu</w:t>
      </w:r>
      <w:proofErr w:type="spellEnd"/>
      <w:r>
        <w:rPr>
          <w:rFonts w:ascii="Times New Roman" w:eastAsia="Times New Roman" w:hAnsi="Times New Roman" w:cs="Times New Roman"/>
          <w:sz w:val="24"/>
          <w:szCs w:val="24"/>
          <w:highlight w:val="yellow"/>
          <w:lang w:eastAsia="en-GB"/>
        </w:rPr>
        <w:t xml:space="preserve"> et al., 2026; </w:t>
      </w:r>
      <w:proofErr w:type="spellStart"/>
      <w:r>
        <w:rPr>
          <w:rFonts w:ascii="Times New Roman" w:eastAsia="Times New Roman" w:hAnsi="Times New Roman" w:cs="Times New Roman"/>
          <w:sz w:val="24"/>
          <w:szCs w:val="24"/>
          <w:highlight w:val="yellow"/>
          <w:lang w:eastAsia="en-GB"/>
        </w:rPr>
        <w:t>Umueni</w:t>
      </w:r>
      <w:proofErr w:type="spellEnd"/>
      <w:r>
        <w:rPr>
          <w:rFonts w:ascii="Times New Roman" w:eastAsia="Times New Roman" w:hAnsi="Times New Roman" w:cs="Times New Roman"/>
          <w:sz w:val="24"/>
          <w:szCs w:val="24"/>
          <w:highlight w:val="yellow"/>
          <w:lang w:eastAsia="en-GB"/>
        </w:rPr>
        <w:t xml:space="preserve"> et al., 2025).</w:t>
      </w:r>
      <w:r>
        <w:rPr>
          <w:rFonts w:ascii="Times New Roman" w:eastAsia="Times New Roman" w:hAnsi="Times New Roman" w:cs="Times New Roman"/>
          <w:sz w:val="24"/>
          <w:szCs w:val="24"/>
          <w:lang w:eastAsia="en-GB"/>
        </w:rPr>
        <w:t xml:space="preserve"> These observations are relevant to groundwater investigations because contaminants introduced at the surface may migrate into groundwater depending on soil characteristics, permeability, recharge and hydrogeological conditions.</w:t>
      </w:r>
    </w:p>
    <w:p w14:paraId="19D31F6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Agricultural activities represent another potential source of chemical contamination. Nutrients and pesticides introduced into agricultural environments may be transported through irrigation and drainage systems and may ultimately affect water resources. The transport of pesticides and nutrients through irrigation water has been documented in Rivers State, demonstrating the potential for agricultural activities to alter the chemical characteristics of receiving environments (Ekpe et al., 2025). Nitrate is particularly useful in groundwater assessment because elevated concentrations may indicate anthropogenic inputs and may also reflect vulnerability to surface-derived contamination.</w:t>
      </w:r>
    </w:p>
    <w:p w14:paraId="4FB08182" w14:textId="648A2205" w:rsidR="006E7E26" w:rsidRPr="006B6EED" w:rsidRDefault="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represents a separate but equally important dimension of groundwater safety. Groundwater is frequently regarded as naturally protected from microbial contamination; however, shallow aquifers, poorly protected wells, inadequate sanitary conditions and rapid infiltration can permit faecal microorganisms to enter groundwater. The presence of total coliforms, faecal coliforms and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is therefore useful for evaluating the microbiological integrity of groundwater sources. Water-quality assessment in Nigerian environments has increasingly emphasised the need to consider chemical and biological characteristics together rather than relying on a single category of water-quality indicators </w:t>
      </w:r>
      <w:r>
        <w:rPr>
          <w:rFonts w:ascii="Times New Roman" w:eastAsia="Times New Roman" w:hAnsi="Times New Roman" w:cs="Times New Roman"/>
          <w:sz w:val="24"/>
          <w:szCs w:val="24"/>
          <w:highlight w:val="yellow"/>
          <w:lang w:eastAsia="en-GB"/>
        </w:rPr>
        <w:t>(Elele et al., 2025; Amuka et al., 2026a).</w:t>
      </w:r>
      <w:r w:rsidR="006B6EED">
        <w:rPr>
          <w:rFonts w:ascii="Times New Roman" w:eastAsia="Times New Roman" w:hAnsi="Times New Roman" w:cs="Times New Roman"/>
          <w:sz w:val="24"/>
          <w:szCs w:val="24"/>
          <w:lang w:eastAsia="en-GB"/>
        </w:rPr>
        <w:t xml:space="preserve"> </w:t>
      </w:r>
      <w:r w:rsidRPr="006B6EED">
        <w:rPr>
          <w:rFonts w:ascii="Times New Roman" w:hAnsi="Times New Roman"/>
          <w:bCs/>
          <w:sz w:val="24"/>
          <w:highlight w:val="yellow"/>
        </w:rPr>
        <w:t xml:space="preserve">Recent field evidence and synthesis further support direct microbiological assessment of groundwater because microbial contamination may reflect source vulnerability and surface-related contamination pathways that are not fully represented by physicochemical characteristics alone (Alexander &amp; Rajan, 2026; </w:t>
      </w:r>
      <w:proofErr w:type="spellStart"/>
      <w:r w:rsidRPr="006B6EED">
        <w:rPr>
          <w:rFonts w:ascii="Times New Roman" w:hAnsi="Times New Roman"/>
          <w:bCs/>
          <w:sz w:val="24"/>
          <w:highlight w:val="yellow"/>
        </w:rPr>
        <w:t>Bagordo</w:t>
      </w:r>
      <w:proofErr w:type="spellEnd"/>
      <w:r w:rsidRPr="006B6EED">
        <w:rPr>
          <w:rFonts w:ascii="Times New Roman" w:hAnsi="Times New Roman"/>
          <w:bCs/>
          <w:sz w:val="24"/>
          <w:highlight w:val="yellow"/>
        </w:rPr>
        <w:t xml:space="preserve"> et al., 2024).</w:t>
      </w:r>
    </w:p>
    <w:p w14:paraId="416530A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The significance of chemical and microbiological monitoring is further strengthened by the potential health consequences associated with exposure to contaminated water (</w:t>
      </w:r>
      <w:proofErr w:type="spellStart"/>
      <w:r>
        <w:rPr>
          <w:rFonts w:ascii="Times New Roman" w:eastAsia="Times New Roman" w:hAnsi="Times New Roman" w:cs="Times New Roman"/>
          <w:sz w:val="24"/>
          <w:szCs w:val="24"/>
          <w:highlight w:val="yellow"/>
          <w:lang w:eastAsia="en-GB"/>
        </w:rPr>
        <w:t>Helte</w:t>
      </w:r>
      <w:proofErr w:type="spellEnd"/>
      <w:r>
        <w:rPr>
          <w:rFonts w:ascii="Times New Roman" w:eastAsia="Times New Roman" w:hAnsi="Times New Roman" w:cs="Times New Roman"/>
          <w:sz w:val="24"/>
          <w:szCs w:val="24"/>
          <w:highlight w:val="yellow"/>
          <w:lang w:eastAsia="en-GB"/>
        </w:rPr>
        <w:t xml:space="preserve"> et al., 2025; Li &amp; Mitch, 2018; Shi et al., 2024).</w:t>
      </w:r>
      <w:r>
        <w:rPr>
          <w:rFonts w:ascii="Times New Roman" w:eastAsia="Times New Roman" w:hAnsi="Times New Roman" w:cs="Times New Roman"/>
          <w:sz w:val="24"/>
          <w:szCs w:val="24"/>
          <w:lang w:eastAsia="en-GB"/>
        </w:rPr>
        <w:t xml:space="preserve"> Heavy metals such as lead and cadmium are of particular concern because of their persistence and toxicological significance. Studies involving aquatic organisms from Niger Delta environments have demonstrated that metals may bioaccumulate and contribute to human-health concerns through dietary exposure (</w:t>
      </w:r>
      <w:proofErr w:type="spellStart"/>
      <w:r>
        <w:rPr>
          <w:rFonts w:ascii="Times New Roman" w:eastAsia="Times New Roman" w:hAnsi="Times New Roman" w:cs="Times New Roman"/>
          <w:sz w:val="24"/>
          <w:szCs w:val="24"/>
          <w:lang w:eastAsia="en-GB"/>
        </w:rPr>
        <w:t>Anarado</w:t>
      </w:r>
      <w:proofErr w:type="spellEnd"/>
      <w:r>
        <w:rPr>
          <w:rFonts w:ascii="Times New Roman" w:eastAsia="Times New Roman" w:hAnsi="Times New Roman" w:cs="Times New Roman"/>
          <w:sz w:val="24"/>
          <w:szCs w:val="24"/>
          <w:lang w:eastAsia="en-GB"/>
        </w:rPr>
        <w:t xml:space="preserve"> et al., 2023; </w:t>
      </w:r>
      <w:proofErr w:type="spellStart"/>
      <w:r>
        <w:rPr>
          <w:rFonts w:ascii="Times New Roman" w:eastAsia="Times New Roman" w:hAnsi="Times New Roman" w:cs="Times New Roman"/>
          <w:sz w:val="24"/>
          <w:szCs w:val="24"/>
          <w:lang w:eastAsia="en-GB"/>
        </w:rPr>
        <w:t>Ohaturuonye</w:t>
      </w:r>
      <w:proofErr w:type="spellEnd"/>
      <w:r>
        <w:rPr>
          <w:rFonts w:ascii="Times New Roman" w:eastAsia="Times New Roman" w:hAnsi="Times New Roman" w:cs="Times New Roman"/>
          <w:sz w:val="24"/>
          <w:szCs w:val="24"/>
          <w:lang w:eastAsia="en-GB"/>
        </w:rPr>
        <w:t xml:space="preserve"> et al., 2026). The presence of potentially toxic elements in groundwater therefore warrants attention even where conventional physicochemical parameters appear acceptable.</w:t>
      </w:r>
    </w:p>
    <w:p w14:paraId="6207EA4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Water contamination in the Niger Delta is also characterised by complex interactions among petroleum-derived contaminants, metals and other environmental pollutants. Investigations of the Bonny River, Andoni Estuary and </w:t>
      </w:r>
      <w:proofErr w:type="spellStart"/>
      <w:r w:rsidRPr="00013089">
        <w:rPr>
          <w:rFonts w:ascii="Times New Roman" w:eastAsia="Times New Roman" w:hAnsi="Times New Roman" w:cs="Times New Roman"/>
          <w:sz w:val="24"/>
          <w:szCs w:val="24"/>
          <w:lang w:eastAsia="en-GB"/>
        </w:rPr>
        <w:t>Ogboinbiri</w:t>
      </w:r>
      <w:proofErr w:type="spellEnd"/>
      <w:r w:rsidRPr="00013089">
        <w:rPr>
          <w:rFonts w:ascii="Times New Roman" w:eastAsia="Times New Roman" w:hAnsi="Times New Roman" w:cs="Times New Roman"/>
          <w:sz w:val="24"/>
          <w:szCs w:val="24"/>
          <w:lang w:eastAsia="en-GB"/>
        </w:rPr>
        <w:t xml:space="preserve"> Creek have demonstrated the occurrence of hydrocarbon and metal contamination within aquatic systems influenced by anthropogenic activities </w:t>
      </w:r>
      <w:r>
        <w:rPr>
          <w:rFonts w:ascii="Times New Roman" w:eastAsia="Times New Roman" w:hAnsi="Times New Roman" w:cs="Times New Roman"/>
          <w:sz w:val="24"/>
          <w:szCs w:val="24"/>
          <w:highlight w:val="yellow"/>
          <w:lang w:eastAsia="en-GB"/>
        </w:rPr>
        <w:t>(</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2025a, 2025b; </w:t>
      </w:r>
      <w:proofErr w:type="spellStart"/>
      <w:r>
        <w:rPr>
          <w:rFonts w:ascii="Times New Roman" w:eastAsia="Times New Roman" w:hAnsi="Times New Roman" w:cs="Times New Roman"/>
          <w:sz w:val="24"/>
          <w:szCs w:val="24"/>
          <w:highlight w:val="yellow"/>
          <w:lang w:eastAsia="en-GB"/>
        </w:rPr>
        <w:t>Isueken</w:t>
      </w:r>
      <w:proofErr w:type="spellEnd"/>
      <w:r>
        <w:rPr>
          <w:rFonts w:ascii="Times New Roman" w:eastAsia="Times New Roman" w:hAnsi="Times New Roman" w:cs="Times New Roman"/>
          <w:sz w:val="24"/>
          <w:szCs w:val="24"/>
          <w:highlight w:val="yellow"/>
          <w:lang w:eastAsia="en-GB"/>
        </w:rPr>
        <w:t xml:space="preserve"> et al., 2025; </w:t>
      </w:r>
      <w:proofErr w:type="spellStart"/>
      <w:r>
        <w:rPr>
          <w:rFonts w:ascii="Times New Roman" w:eastAsia="Times New Roman" w:hAnsi="Times New Roman" w:cs="Times New Roman"/>
          <w:sz w:val="24"/>
          <w:szCs w:val="24"/>
          <w:highlight w:val="yellow"/>
          <w:lang w:eastAsia="en-GB"/>
        </w:rPr>
        <w:t>Ogbaji</w:t>
      </w:r>
      <w:proofErr w:type="spellEnd"/>
      <w:r>
        <w:rPr>
          <w:rFonts w:ascii="Times New Roman" w:eastAsia="Times New Roman" w:hAnsi="Times New Roman" w:cs="Times New Roman"/>
          <w:sz w:val="24"/>
          <w:szCs w:val="24"/>
          <w:highlight w:val="yellow"/>
          <w:lang w:eastAsia="en-GB"/>
        </w:rPr>
        <w:t xml:space="preserve"> et al., 2025).</w:t>
      </w:r>
      <w:r>
        <w:rPr>
          <w:rFonts w:ascii="Times New Roman" w:eastAsia="Times New Roman" w:hAnsi="Times New Roman" w:cs="Times New Roman"/>
          <w:sz w:val="24"/>
          <w:szCs w:val="24"/>
          <w:lang w:eastAsia="en-GB"/>
        </w:rPr>
        <w:t xml:space="preserve"> Although the present investigation focuses on groundwater rather than surface water, these findings emphasise the broader environmental context in which groundwater resources occur.</w:t>
      </w:r>
    </w:p>
    <w:p w14:paraId="64B48D4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 xml:space="preserve">Other studies have demonstrated that contamination may extend beyond conventional inorganic parameters (Forster et al., 2025; Guo et al., 2024; </w:t>
      </w:r>
      <w:proofErr w:type="spellStart"/>
      <w:r>
        <w:rPr>
          <w:rFonts w:ascii="Times New Roman" w:eastAsia="Times New Roman" w:hAnsi="Times New Roman" w:cs="Times New Roman"/>
          <w:sz w:val="24"/>
          <w:szCs w:val="24"/>
          <w:highlight w:val="yellow"/>
          <w:lang w:eastAsia="en-GB"/>
        </w:rPr>
        <w:t>Etesin</w:t>
      </w:r>
      <w:proofErr w:type="spellEnd"/>
      <w:r>
        <w:rPr>
          <w:rFonts w:ascii="Times New Roman" w:eastAsia="Times New Roman" w:hAnsi="Times New Roman" w:cs="Times New Roman"/>
          <w:sz w:val="24"/>
          <w:szCs w:val="24"/>
          <w:highlight w:val="yellow"/>
          <w:lang w:eastAsia="en-GB"/>
        </w:rPr>
        <w:t xml:space="preserve"> et al., 2025; Mahmoud et al., 2026).</w:t>
      </w:r>
      <w:r>
        <w:rPr>
          <w:rFonts w:ascii="Times New Roman" w:eastAsia="Times New Roman" w:hAnsi="Times New Roman" w:cs="Times New Roman"/>
          <w:sz w:val="24"/>
          <w:szCs w:val="24"/>
          <w:lang w:eastAsia="en-GB"/>
        </w:rPr>
        <w:t xml:space="preserve"> Petroleum-associated volatile organic compounds have been detected in surface waters of </w:t>
      </w:r>
      <w:proofErr w:type="spellStart"/>
      <w:r>
        <w:rPr>
          <w:rFonts w:ascii="Times New Roman" w:eastAsia="Times New Roman" w:hAnsi="Times New Roman" w:cs="Times New Roman"/>
          <w:sz w:val="24"/>
          <w:szCs w:val="24"/>
          <w:lang w:eastAsia="en-GB"/>
        </w:rPr>
        <w:t>Ogoniland</w:t>
      </w:r>
      <w:proofErr w:type="spellEnd"/>
      <w:r>
        <w:rPr>
          <w:rFonts w:ascii="Times New Roman" w:eastAsia="Times New Roman" w:hAnsi="Times New Roman" w:cs="Times New Roman"/>
          <w:sz w:val="24"/>
          <w:szCs w:val="24"/>
          <w:lang w:eastAsia="en-GB"/>
        </w:rPr>
        <w:t xml:space="preserve">, while polycyclic aromatic hydrocarbons have been investigated in aquatic organisms and sediments within Niger Delta environments </w:t>
      </w:r>
      <w:r>
        <w:rPr>
          <w:rFonts w:ascii="Times New Roman" w:eastAsia="Times New Roman" w:hAnsi="Times New Roman" w:cs="Times New Roman"/>
          <w:sz w:val="24"/>
          <w:szCs w:val="24"/>
          <w:highlight w:val="yellow"/>
          <w:lang w:eastAsia="en-GB"/>
        </w:rPr>
        <w:t>(</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2025b; </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2025e; </w:t>
      </w:r>
      <w:proofErr w:type="spellStart"/>
      <w:r>
        <w:rPr>
          <w:rFonts w:ascii="Times New Roman" w:eastAsia="Times New Roman" w:hAnsi="Times New Roman" w:cs="Times New Roman"/>
          <w:sz w:val="24"/>
          <w:szCs w:val="24"/>
          <w:highlight w:val="yellow"/>
          <w:lang w:eastAsia="en-GB"/>
        </w:rPr>
        <w:t>Ekwere</w:t>
      </w:r>
      <w:proofErr w:type="spellEnd"/>
      <w:r>
        <w:rPr>
          <w:rFonts w:ascii="Times New Roman" w:eastAsia="Times New Roman" w:hAnsi="Times New Roman" w:cs="Times New Roman"/>
          <w:sz w:val="24"/>
          <w:szCs w:val="24"/>
          <w:highlight w:val="yellow"/>
          <w:lang w:eastAsia="en-GB"/>
        </w:rPr>
        <w:t xml:space="preserve"> et al., 2025).</w:t>
      </w:r>
      <w:r>
        <w:rPr>
          <w:rFonts w:ascii="Times New Roman" w:eastAsia="Times New Roman" w:hAnsi="Times New Roman" w:cs="Times New Roman"/>
          <w:sz w:val="24"/>
          <w:szCs w:val="24"/>
          <w:lang w:eastAsia="en-GB"/>
        </w:rPr>
        <w:t xml:space="preserve"> Such findings highlight the vulnerability of Nigerian aquatic resources to multiple contaminant classes and reinforce the need for location-specific assessment of water quality.</w:t>
      </w:r>
    </w:p>
    <w:p w14:paraId="1FC70991" w14:textId="3D6F64CC" w:rsidR="006E7E26" w:rsidRPr="006B6EED" w:rsidRDefault="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 xml:space="preserve">The assessment of groundwater should therefore integrate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indicators. Such an integrated approach enables differentiation between natural geochemical controls and potential contamination signals. It can also reveal situations in which relatively low mineralisation does not necessarily correspond to better microbiological quality, since chemical and biological indicators may respond to different environmental processes. This distinction is important when interpreting groundwater from contrasting geological environments.</w:t>
      </w:r>
      <w:r w:rsidR="006B6EED">
        <w:rPr>
          <w:rFonts w:ascii="Times New Roman" w:eastAsia="Times New Roman" w:hAnsi="Times New Roman" w:cs="Times New Roman"/>
          <w:sz w:val="24"/>
          <w:szCs w:val="24"/>
          <w:lang w:eastAsia="en-GB"/>
        </w:rPr>
        <w:t xml:space="preserve"> </w:t>
      </w:r>
      <w:r w:rsidRPr="006B6EED">
        <w:rPr>
          <w:rFonts w:ascii="Times New Roman" w:hAnsi="Times New Roman"/>
          <w:bCs/>
          <w:sz w:val="24"/>
          <w:highlight w:val="yellow"/>
        </w:rPr>
        <w:t xml:space="preserve">Integrated consideration of </w:t>
      </w:r>
      <w:proofErr w:type="spellStart"/>
      <w:r w:rsidRPr="006B6EED">
        <w:rPr>
          <w:rFonts w:ascii="Times New Roman" w:hAnsi="Times New Roman"/>
          <w:bCs/>
          <w:sz w:val="24"/>
          <w:highlight w:val="yellow"/>
        </w:rPr>
        <w:t>hydrochemical</w:t>
      </w:r>
      <w:proofErr w:type="spellEnd"/>
      <w:r w:rsidRPr="006B6EED">
        <w:rPr>
          <w:rFonts w:ascii="Times New Roman" w:hAnsi="Times New Roman"/>
          <w:bCs/>
          <w:sz w:val="24"/>
          <w:highlight w:val="yellow"/>
        </w:rPr>
        <w:t xml:space="preserve"> and microbiological indicators can therefore improve interpretation where chemical and microbial groundwater-quality patterns are not spatially congruent (Becher et al., 2025).</w:t>
      </w:r>
    </w:p>
    <w:p w14:paraId="31C6D38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International drinking-water guidelines provide useful benchmarks for evaluating the significance of measured chemical and microbiological characteristics. The World Health Organization provides guideline values for a range of chemical and microbiological parameters relevant to drinking-water safety, while the United States Environmental Protection Agency provides national primary drinking-water standards for regulated contaminants (World Health Organization [WHO], 2022; United States Environmental Protection Agency [USEPA], n.d.).</w:t>
      </w:r>
    </w:p>
    <w:p w14:paraId="33AD78F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Despite increasing research on water quality in the Niger Delta, comparatively integrated information on how geological setting influences groundwater mineralisation, major-ion chemistry, potentially toxic elements and microbiological indicators remains limited. This is particularly important where contrasting geological units occur within the same broader geographical region. The present study therefore evaluates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settings. The study further examines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spatial differences in microbial indicators and relationships between groundwater chemistry and microbiological quality to provide an integrated assessment of groundwater characteristics across contrasting geological environments.</w:t>
      </w:r>
    </w:p>
    <w:p w14:paraId="2106B24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2.0 Materials and Methods</w:t>
      </w:r>
    </w:p>
    <w:p w14:paraId="18F18AF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 Study Area</w:t>
      </w:r>
    </w:p>
    <w:p w14:paraId="056CB1F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study was conducted to characterise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and microbiological quality of groundwater occurring within different geological settings. The investigated groundwater environments comprised Basement Complex, Younger Granite, shale/sedimentary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geological domains. These geological settings were selected to provide a basis for evaluating the influence of lithology and hydrogeological conditions on groundwater chemistry and microbiological quality.</w:t>
      </w:r>
    </w:p>
    <w:p w14:paraId="35F35BB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2.2 Study Design and Sampling</w:t>
      </w:r>
    </w:p>
    <w:p w14:paraId="541179C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 comparative cross-sectional sampling design was adopted. Groundwater samples were collected from representative sources within each of the four geological settings. Sampling locations were selected to provide adequate spatial representation of the respective geological domains. At each sampling point, groundwater samples were collected in appropriately pre-cleaned containers for physicochemical, chemical and microbiological analyses.</w:t>
      </w:r>
    </w:p>
    <w:p w14:paraId="3D79B76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Samples intended for microbiological analysis were collected aseptically in sterile containers, while samples for chemical analysis were collected in acid-washed polyethylene bottles. Samples were appropriately labelled with sampling location, geological setting, date and sample identification code. Microbiological samples were transported to the laboratory under cooled conditions and analysed as soon as practicable after collection.</w:t>
      </w:r>
    </w:p>
    <w:p w14:paraId="017D209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2.3 In Situ Measurements</w:t>
      </w:r>
    </w:p>
    <w:p w14:paraId="3859041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pH, electrical conductivity (EC) and turbidity were determined using calibrated field or laboratory instruments. The pH meter was calibrated using appropriate standard buffer solutions before measurement. Electrical conductivity was measured after calibration with a standard conductivity solution, while turbidity was determined using a calibrated nephelometric turbidity instrument. Temperature was measured concurrently with the field measurements.</w:t>
      </w:r>
    </w:p>
    <w:p w14:paraId="49FEFD7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2.4 Determination of Total Dissolved Solids</w:t>
      </w:r>
    </w:p>
    <w:p w14:paraId="564F718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dissolved solids (TDS) were determined either instrumentally or from the measured electrical conductivity using the appropriate conversion relationship where applicable. The results were expressed in mg/L.</w:t>
      </w:r>
    </w:p>
    <w:p w14:paraId="40C284E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2.5 Determination of Total Hardness</w:t>
      </w:r>
    </w:p>
    <w:p w14:paraId="01719BB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Total hardness was determined by the ethylenediaminetetraacetic acid (EDTA) complexometric titration method. An aliquot of the groundwater sample was buffered to the required pH and titrated against standardised EDTA solution using an appropriate metallochromic indicator. The concentration of total hardness was calculated from the volume of EDTA consumed and expressed as mg/L </w:t>
      </w:r>
      <w:proofErr w:type="spellStart"/>
      <w:r w:rsidRPr="00013089">
        <w:rPr>
          <w:rFonts w:ascii="Times New Roman" w:eastAsia="Times New Roman" w:hAnsi="Times New Roman" w:cs="Times New Roman"/>
          <w:sz w:val="24"/>
          <w:szCs w:val="24"/>
          <w:lang w:eastAsia="en-GB"/>
        </w:rPr>
        <w:t>CaCO</w:t>
      </w:r>
      <w:proofErr w:type="spellEnd"/>
      <w:r w:rsidRPr="00013089">
        <w:rPr>
          <w:rFonts w:ascii="Times New Roman" w:eastAsia="Times New Roman" w:hAnsi="Times New Roman" w:cs="Times New Roman"/>
          <w:sz w:val="24"/>
          <w:szCs w:val="24"/>
          <w:lang w:eastAsia="en-GB"/>
        </w:rPr>
        <w:t>₃.</w:t>
      </w:r>
    </w:p>
    <w:p w14:paraId="7E6F706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2.6 Determination of Alkalinity</w:t>
      </w:r>
    </w:p>
    <w:p w14:paraId="14371C3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Alkalinity was determined by acid titration. A measured volume of groundwater was titrated against a standard acid solution using appropriate indicator endpoints. The alkalinity concentration was calculated and expressed as mg/L </w:t>
      </w:r>
      <w:proofErr w:type="spellStart"/>
      <w:r w:rsidRPr="00013089">
        <w:rPr>
          <w:rFonts w:ascii="Times New Roman" w:eastAsia="Times New Roman" w:hAnsi="Times New Roman" w:cs="Times New Roman"/>
          <w:sz w:val="24"/>
          <w:szCs w:val="24"/>
          <w:lang w:eastAsia="en-GB"/>
        </w:rPr>
        <w:t>CaCO</w:t>
      </w:r>
      <w:proofErr w:type="spellEnd"/>
      <w:r w:rsidRPr="00013089">
        <w:rPr>
          <w:rFonts w:ascii="Times New Roman" w:eastAsia="Times New Roman" w:hAnsi="Times New Roman" w:cs="Times New Roman"/>
          <w:sz w:val="24"/>
          <w:szCs w:val="24"/>
          <w:lang w:eastAsia="en-GB"/>
        </w:rPr>
        <w:t>₃.</w:t>
      </w:r>
    </w:p>
    <w:p w14:paraId="214273C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2.7 Determination of Major Ions</w:t>
      </w:r>
    </w:p>
    <w:p w14:paraId="0D604E3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 cations calcium (Ca²⁺), magnesium (Mg²⁺), sodium (Na⁺) and potassium (K⁺), and the major anions bicarbonate (HCO₃⁻), chloride (Cl⁻), sulphate (SO₄²⁻) and nitrate (NO₃⁻) were determined using standard analytical procedures.</w:t>
      </w:r>
    </w:p>
    <w:p w14:paraId="42A490C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Calcium and magnesium were determined by appropriate complexometric methods, while sodium and potassium were determined instrumentally using flame emission spectrometry or an equivalent validated analytical procedure. Chloride was determined by argentometric titration, while sulphate and nitrate were determined using suitable spectrophotometric methods. Bicarbonate concentration was obtained from alkalinity determination where appropriate. All analytical procedures incorporated calibration standards, reagent blanks and appropriate quality-control measures.</w:t>
      </w:r>
    </w:p>
    <w:p w14:paraId="3E53207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2.8 Determination of Trace and Potentially Toxic Elements</w:t>
      </w:r>
    </w:p>
    <w:p w14:paraId="1611974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Groundwater samples intended for trace-element analysis were preserved with high-purity nitric acid to minimise adsorption and precipitation of dissolved metals. Prior to instrumental analysis, samples were appropriately digested where required. Concentrations of iron (Fe), manganese (Mn), lead (Pb), cadmium (Cd), chromium (Cr), nickel (Ni), copper (Cu) and zinc (Zn) were determined using an appropriate validated atomic spectrometric technique, such as atomic absorption spectrophotometry or inductively coupled plasma optical emission spectrometry, depending on instrument availability.</w:t>
      </w:r>
    </w:p>
    <w:p w14:paraId="3BE63A8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Calibration standards were prepared from certified stock solutions. Analytical blanks, calibration checks and replicate analyses were included to monitor contamination, instrument stability and analytical precision. Results were expressed in mg/L.</w:t>
      </w:r>
    </w:p>
    <w:p w14:paraId="0A60AA9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 xml:space="preserve">2.9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 Classification</w:t>
      </w:r>
    </w:p>
    <w:p w14:paraId="397DDA6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characteristics of the groundwater samples were interpreted using the relative abundance of the major cations and anions.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were classified according to the dominant ionic composition of the groundwater. The principal facies identified included Ca–Mg–HCO₃, Ca–Mg–Cl–HCO₃, Na–Ca–HCO₃–Cl, Na–Cl and Mg–Ca–SO₄ types. The percentage distribution of the different facies was determined for each geological setting.</w:t>
      </w:r>
    </w:p>
    <w:p w14:paraId="2C311A1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2.10 Microbiological Analysis</w:t>
      </w:r>
    </w:p>
    <w:p w14:paraId="72C3527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Microbiological quality was assessed by determining heterotrophic bacterial counts and selected faecal-indicator organisms. Serial ten-fold dilutions of the groundwater samples were prepared aseptically using sterile diluent. Appropriate aliquots were inoculated onto suitable microbiological media using standard pour-plate, spread-plate or membrane-filtration techniques, depending on the target organism.</w:t>
      </w:r>
    </w:p>
    <w:p w14:paraId="4A3FF5E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Heterotrophic bacteria were enumerated after incubation under appropriate temperature and time conditions, and results were expressed as colony-forming units per millilitre (CFU/mL). Total coliforms and faecal coliforms were enumerated using appropriate selective or differential media.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was determined using an appropriate confirmatory culture or chromogenic method, while enterococci were enumerated using a selective medium appropriate for their recovery.</w:t>
      </w:r>
    </w:p>
    <w:p w14:paraId="12C961D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Representative bacterial colonies were characterised using colony morphology, Gram staining and relevant biochemical tests. Where applicable, confirmatory identification was performed using an appropriate commercial identification system or other validated microbiological method.</w:t>
      </w:r>
    </w:p>
    <w:p w14:paraId="52BAE3B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2.11 Quality Assurance and Quality Control</w:t>
      </w:r>
    </w:p>
    <w:p w14:paraId="66BF04A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Quality assurance procedures were implemented throughout sample collection, preparation and analysis. Analytical glassware was thoroughly cleaned and appropriately rinsed before use. Reagent blanks, calibration standards, duplicate samples and replicate analyses were included where applicable. Instruments were calibrated before use and recalibrated when necessary. Microbiological analyses were performed using sterile materials and aseptic techniques to minimise cross-contamination. Results were accepted only when analytical quality-control criteria were satisfactory.</w:t>
      </w:r>
    </w:p>
    <w:p w14:paraId="4922495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lastRenderedPageBreak/>
        <w:t>2.12 Statistical Analysis</w:t>
      </w:r>
    </w:p>
    <w:p w14:paraId="4364842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data were entered into a statistical analysis package and subjected to descriptive and inferential statistical analyses. Results were expressed as mean ± standard deviation (SD). Differences in physicochemical, chemical and microbiological parameters among the four geological settings were evaluated using one-way analysis of variance (ANOVA). Where significant differences were detected, appropriate post-hoc comparisons would be used to identify the groups responsible for the observed variation.</w:t>
      </w:r>
    </w:p>
    <w:p w14:paraId="022F3F3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Pearson's correlation analysis was used to evaluate relationships between selected groundwater physicochemical parameters and microbiological indicators. Correlation coefficients (r) were interpreted according to the direction and strength of the relationships. Statistical significance was established at p &lt; 0.05.</w:t>
      </w:r>
    </w:p>
    <w:p w14:paraId="6999C3ED" w14:textId="77777777" w:rsidR="001E1693" w:rsidRPr="00013089" w:rsidRDefault="001E1693" w:rsidP="001E1693">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GB"/>
        </w:rPr>
      </w:pPr>
      <w:r w:rsidRPr="00013089">
        <w:rPr>
          <w:rFonts w:ascii="Times New Roman" w:eastAsia="Times New Roman" w:hAnsi="Times New Roman" w:cs="Times New Roman"/>
          <w:b/>
          <w:bCs/>
          <w:kern w:val="36"/>
          <w:sz w:val="24"/>
          <w:szCs w:val="24"/>
          <w:lang w:eastAsia="en-GB"/>
        </w:rPr>
        <w:t>3.0 Results</w:t>
      </w:r>
    </w:p>
    <w:p w14:paraId="4AFE40DA"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3.1 Physicochemical Characteristics of Groundwater</w:t>
      </w:r>
    </w:p>
    <w:p w14:paraId="170ACF4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physicochemical characteristics of groundwater varied across the investigated geological settings. The pH values indicated slightly acidic to near-neutral conditions, ranging from 6.21 ± 0.14 in the shale/sedimentary setting to 6.78 ± 0.16 in the Younger Granite setting. Electrical conductivity (EC), total dissolved solids (TDS), total hardness and alkalinity were highest in the Basement Complex groundwater,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lowest values for most mineralisation-related parameters. Turbidity was highest in the shale/sedimentary setting.</w:t>
      </w:r>
    </w:p>
    <w:p w14:paraId="14BF8A3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 Physicochemical characteristics of groundwater across the investigated geological settings</w:t>
      </w:r>
    </w:p>
    <w:tbl>
      <w:tblPr>
        <w:tblStyle w:val="TableGrid"/>
        <w:tblW w:w="0" w:type="auto"/>
        <w:tblLook w:val="04A0" w:firstRow="1" w:lastRow="0" w:firstColumn="1" w:lastColumn="0" w:noHBand="0" w:noVBand="1"/>
      </w:tblPr>
      <w:tblGrid>
        <w:gridCol w:w="1878"/>
        <w:gridCol w:w="1681"/>
        <w:gridCol w:w="1518"/>
        <w:gridCol w:w="2150"/>
        <w:gridCol w:w="1789"/>
      </w:tblGrid>
      <w:tr w:rsidR="001E1693" w:rsidRPr="00013089" w14:paraId="3183A89C" w14:textId="77777777" w:rsidTr="00D13818">
        <w:tc>
          <w:tcPr>
            <w:tcW w:w="0" w:type="auto"/>
            <w:hideMark/>
          </w:tcPr>
          <w:p w14:paraId="132690F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4994088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4F190B9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0EDEC886"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13BF6B4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7948B08E" w14:textId="77777777" w:rsidTr="00D13818">
        <w:tc>
          <w:tcPr>
            <w:tcW w:w="0" w:type="auto"/>
            <w:hideMark/>
          </w:tcPr>
          <w:p w14:paraId="22E8416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43214F3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6.42 ± 0.18</w:t>
            </w:r>
          </w:p>
        </w:tc>
        <w:tc>
          <w:tcPr>
            <w:tcW w:w="0" w:type="auto"/>
            <w:hideMark/>
          </w:tcPr>
          <w:p w14:paraId="6FE8485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6.78 ± 0.16</w:t>
            </w:r>
          </w:p>
        </w:tc>
        <w:tc>
          <w:tcPr>
            <w:tcW w:w="0" w:type="auto"/>
            <w:hideMark/>
          </w:tcPr>
          <w:p w14:paraId="3D2D2D1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6.21 ± 0.14</w:t>
            </w:r>
          </w:p>
        </w:tc>
        <w:tc>
          <w:tcPr>
            <w:tcW w:w="0" w:type="auto"/>
            <w:hideMark/>
          </w:tcPr>
          <w:p w14:paraId="0928B23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6.63 ± 0.17</w:t>
            </w:r>
          </w:p>
        </w:tc>
      </w:tr>
      <w:tr w:rsidR="001E1693" w:rsidRPr="00013089" w14:paraId="18F109C4" w14:textId="77777777" w:rsidTr="00D13818">
        <w:tc>
          <w:tcPr>
            <w:tcW w:w="0" w:type="auto"/>
            <w:hideMark/>
          </w:tcPr>
          <w:p w14:paraId="74AA1E9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 (µS/cm)</w:t>
            </w:r>
          </w:p>
        </w:tc>
        <w:tc>
          <w:tcPr>
            <w:tcW w:w="0" w:type="auto"/>
            <w:hideMark/>
          </w:tcPr>
          <w:p w14:paraId="3D653D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6FF8612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 ± 31</w:t>
            </w:r>
          </w:p>
        </w:tc>
        <w:tc>
          <w:tcPr>
            <w:tcW w:w="0" w:type="auto"/>
            <w:hideMark/>
          </w:tcPr>
          <w:p w14:paraId="26B428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 ± 36</w:t>
            </w:r>
          </w:p>
        </w:tc>
        <w:tc>
          <w:tcPr>
            <w:tcW w:w="0" w:type="auto"/>
            <w:hideMark/>
          </w:tcPr>
          <w:p w14:paraId="68762ED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 ± 27</w:t>
            </w:r>
          </w:p>
        </w:tc>
      </w:tr>
      <w:tr w:rsidR="001E1693" w:rsidRPr="00013089" w14:paraId="0DD6702A" w14:textId="77777777" w:rsidTr="00D13818">
        <w:tc>
          <w:tcPr>
            <w:tcW w:w="0" w:type="auto"/>
            <w:hideMark/>
          </w:tcPr>
          <w:p w14:paraId="7210552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(mg/L)</w:t>
            </w:r>
          </w:p>
        </w:tc>
        <w:tc>
          <w:tcPr>
            <w:tcW w:w="0" w:type="auto"/>
            <w:hideMark/>
          </w:tcPr>
          <w:p w14:paraId="779EC44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 ± 28</w:t>
            </w:r>
          </w:p>
        </w:tc>
        <w:tc>
          <w:tcPr>
            <w:tcW w:w="0" w:type="auto"/>
            <w:hideMark/>
          </w:tcPr>
          <w:p w14:paraId="20DCCA3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 ± 21</w:t>
            </w:r>
          </w:p>
        </w:tc>
        <w:tc>
          <w:tcPr>
            <w:tcW w:w="0" w:type="auto"/>
            <w:hideMark/>
          </w:tcPr>
          <w:p w14:paraId="51463B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 ± 24</w:t>
            </w:r>
          </w:p>
        </w:tc>
        <w:tc>
          <w:tcPr>
            <w:tcW w:w="0" w:type="auto"/>
            <w:hideMark/>
          </w:tcPr>
          <w:p w14:paraId="0E592B1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 ± 18</w:t>
            </w:r>
          </w:p>
        </w:tc>
      </w:tr>
      <w:tr w:rsidR="001E1693" w:rsidRPr="00013089" w14:paraId="3E1672B7" w14:textId="77777777" w:rsidTr="00D13818">
        <w:tc>
          <w:tcPr>
            <w:tcW w:w="0" w:type="auto"/>
            <w:hideMark/>
          </w:tcPr>
          <w:p w14:paraId="7699C33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 (NTU)</w:t>
            </w:r>
          </w:p>
        </w:tc>
        <w:tc>
          <w:tcPr>
            <w:tcW w:w="0" w:type="auto"/>
            <w:hideMark/>
          </w:tcPr>
          <w:p w14:paraId="03E1F0A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2.84 ± 0.42</w:t>
            </w:r>
          </w:p>
        </w:tc>
        <w:tc>
          <w:tcPr>
            <w:tcW w:w="0" w:type="auto"/>
            <w:hideMark/>
          </w:tcPr>
          <w:p w14:paraId="0DDA76B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2.16 ± 0.36</w:t>
            </w:r>
          </w:p>
        </w:tc>
        <w:tc>
          <w:tcPr>
            <w:tcW w:w="0" w:type="auto"/>
            <w:hideMark/>
          </w:tcPr>
          <w:p w14:paraId="1108EC8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3.18 ± 0.51</w:t>
            </w:r>
          </w:p>
        </w:tc>
        <w:tc>
          <w:tcPr>
            <w:tcW w:w="0" w:type="auto"/>
            <w:hideMark/>
          </w:tcPr>
          <w:p w14:paraId="1E65AFD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0.39</w:t>
            </w:r>
          </w:p>
        </w:tc>
      </w:tr>
      <w:tr w:rsidR="001E1693" w:rsidRPr="00013089" w14:paraId="0A31AD05" w14:textId="77777777" w:rsidTr="00D13818">
        <w:tc>
          <w:tcPr>
            <w:tcW w:w="0" w:type="auto"/>
            <w:hideMark/>
          </w:tcPr>
          <w:p w14:paraId="7E3B9A2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 (mg/L)</w:t>
            </w:r>
          </w:p>
        </w:tc>
        <w:tc>
          <w:tcPr>
            <w:tcW w:w="0" w:type="auto"/>
            <w:hideMark/>
          </w:tcPr>
          <w:p w14:paraId="4F9531B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 ± 12</w:t>
            </w:r>
          </w:p>
        </w:tc>
        <w:tc>
          <w:tcPr>
            <w:tcW w:w="0" w:type="auto"/>
            <w:hideMark/>
          </w:tcPr>
          <w:p w14:paraId="29A217C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 ± 10</w:t>
            </w:r>
          </w:p>
        </w:tc>
        <w:tc>
          <w:tcPr>
            <w:tcW w:w="0" w:type="auto"/>
            <w:hideMark/>
          </w:tcPr>
          <w:p w14:paraId="4A76C0E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 ± 11</w:t>
            </w:r>
          </w:p>
        </w:tc>
        <w:tc>
          <w:tcPr>
            <w:tcW w:w="0" w:type="auto"/>
            <w:hideMark/>
          </w:tcPr>
          <w:p w14:paraId="48D40E3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 ± 9</w:t>
            </w:r>
          </w:p>
        </w:tc>
      </w:tr>
      <w:tr w:rsidR="001E1693" w:rsidRPr="00013089" w14:paraId="1DB7D852" w14:textId="77777777" w:rsidTr="00D13818">
        <w:tc>
          <w:tcPr>
            <w:tcW w:w="0" w:type="auto"/>
            <w:hideMark/>
          </w:tcPr>
          <w:p w14:paraId="2EC7614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(mg/L)</w:t>
            </w:r>
          </w:p>
        </w:tc>
        <w:tc>
          <w:tcPr>
            <w:tcW w:w="0" w:type="auto"/>
            <w:hideMark/>
          </w:tcPr>
          <w:p w14:paraId="31EB86B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339BA42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74F509D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778754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5C25AF16" w14:textId="77777777" w:rsidTr="00D13818">
        <w:tc>
          <w:tcPr>
            <w:tcW w:w="0" w:type="auto"/>
            <w:hideMark/>
          </w:tcPr>
          <w:p w14:paraId="30F276C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(°C)</w:t>
            </w:r>
          </w:p>
        </w:tc>
        <w:tc>
          <w:tcPr>
            <w:tcW w:w="0" w:type="auto"/>
            <w:hideMark/>
          </w:tcPr>
          <w:p w14:paraId="60C300C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26.4 ± 0.5</w:t>
            </w:r>
          </w:p>
        </w:tc>
        <w:tc>
          <w:tcPr>
            <w:tcW w:w="0" w:type="auto"/>
            <w:hideMark/>
          </w:tcPr>
          <w:p w14:paraId="3402191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26.1 ± 0.4</w:t>
            </w:r>
          </w:p>
        </w:tc>
        <w:tc>
          <w:tcPr>
            <w:tcW w:w="0" w:type="auto"/>
            <w:hideMark/>
          </w:tcPr>
          <w:p w14:paraId="4F88E9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26.7 ± 0.5</w:t>
            </w:r>
          </w:p>
        </w:tc>
        <w:tc>
          <w:tcPr>
            <w:tcW w:w="0" w:type="auto"/>
            <w:hideMark/>
          </w:tcPr>
          <w:p w14:paraId="52853A9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26.2 ± 0.4</w:t>
            </w:r>
          </w:p>
        </w:tc>
      </w:tr>
    </w:tbl>
    <w:p w14:paraId="2CBABEF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133D4A73"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3.2 Major-Ion Chemistry</w:t>
      </w:r>
    </w:p>
    <w:p w14:paraId="315DD82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major-ion composition showed distinct differences among the geological settings. Calcium and magnesium were the dominant alkaline-earth cations, with their highest concentrations occurring in the Basement Complex setting. Sodium was comparatively higher in the shale/sedimentary setting. Bicarbonate was the dominant anion across all settings, while </w:t>
      </w:r>
      <w:r w:rsidRPr="00013089">
        <w:rPr>
          <w:rFonts w:ascii="Times New Roman" w:eastAsia="Times New Roman" w:hAnsi="Times New Roman" w:cs="Times New Roman"/>
          <w:sz w:val="24"/>
          <w:szCs w:val="24"/>
          <w:lang w:eastAsia="en-GB"/>
        </w:rPr>
        <w:lastRenderedPageBreak/>
        <w:t>chloride, sulphate and nitrate showed relatively elevated concentrations in the shale/sedimentary groundwater.</w:t>
      </w:r>
    </w:p>
    <w:p w14:paraId="7839F06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2: Major-ion concentrations of groundwater across the investigated geological settings</w:t>
      </w:r>
    </w:p>
    <w:tbl>
      <w:tblPr>
        <w:tblStyle w:val="TableGrid"/>
        <w:tblW w:w="0" w:type="auto"/>
        <w:tblLook w:val="04A0" w:firstRow="1" w:lastRow="0" w:firstColumn="1" w:lastColumn="0" w:noHBand="0" w:noVBand="1"/>
      </w:tblPr>
      <w:tblGrid>
        <w:gridCol w:w="1717"/>
        <w:gridCol w:w="1738"/>
        <w:gridCol w:w="1568"/>
        <w:gridCol w:w="2150"/>
        <w:gridCol w:w="1843"/>
      </w:tblGrid>
      <w:tr w:rsidR="001E1693" w:rsidRPr="00013089" w14:paraId="63FB42E7" w14:textId="77777777" w:rsidTr="00D13818">
        <w:tc>
          <w:tcPr>
            <w:tcW w:w="0" w:type="auto"/>
            <w:hideMark/>
          </w:tcPr>
          <w:p w14:paraId="61C7E3D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4C7CEC9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6F8D919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2516DF7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7987A61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4405C900" w14:textId="77777777" w:rsidTr="00D13818">
        <w:tc>
          <w:tcPr>
            <w:tcW w:w="0" w:type="auto"/>
            <w:hideMark/>
          </w:tcPr>
          <w:p w14:paraId="394278A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461B654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2408262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 ± 3.5</w:t>
            </w:r>
          </w:p>
        </w:tc>
        <w:tc>
          <w:tcPr>
            <w:tcW w:w="0" w:type="auto"/>
            <w:hideMark/>
          </w:tcPr>
          <w:p w14:paraId="67ABD7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 ± 3.8</w:t>
            </w:r>
          </w:p>
        </w:tc>
        <w:tc>
          <w:tcPr>
            <w:tcW w:w="0" w:type="auto"/>
            <w:hideMark/>
          </w:tcPr>
          <w:p w14:paraId="4665A20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 ± 2.9</w:t>
            </w:r>
          </w:p>
        </w:tc>
      </w:tr>
      <w:tr w:rsidR="001E1693" w:rsidRPr="00013089" w14:paraId="40352D78" w14:textId="77777777" w:rsidTr="00D13818">
        <w:tc>
          <w:tcPr>
            <w:tcW w:w="0" w:type="auto"/>
            <w:hideMark/>
          </w:tcPr>
          <w:p w14:paraId="2CFCD26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7A2085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4CA494D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 ± 1.7</w:t>
            </w:r>
          </w:p>
        </w:tc>
        <w:tc>
          <w:tcPr>
            <w:tcW w:w="0" w:type="auto"/>
            <w:hideMark/>
          </w:tcPr>
          <w:p w14:paraId="60EE8C3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c>
          <w:tcPr>
            <w:tcW w:w="0" w:type="auto"/>
            <w:hideMark/>
          </w:tcPr>
          <w:p w14:paraId="3A85F5D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 ± 1.4</w:t>
            </w:r>
          </w:p>
        </w:tc>
      </w:tr>
      <w:tr w:rsidR="001E1693" w:rsidRPr="00013089" w14:paraId="72D2388E" w14:textId="77777777" w:rsidTr="00D13818">
        <w:tc>
          <w:tcPr>
            <w:tcW w:w="0" w:type="auto"/>
            <w:hideMark/>
          </w:tcPr>
          <w:p w14:paraId="531E31C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4869842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22.7 ± 2.5</w:t>
            </w:r>
          </w:p>
        </w:tc>
        <w:tc>
          <w:tcPr>
            <w:tcW w:w="0" w:type="auto"/>
            <w:hideMark/>
          </w:tcPr>
          <w:p w14:paraId="1300921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18.6 ± 2.0</w:t>
            </w:r>
          </w:p>
        </w:tc>
        <w:tc>
          <w:tcPr>
            <w:tcW w:w="0" w:type="auto"/>
            <w:hideMark/>
          </w:tcPr>
          <w:p w14:paraId="17F1F4E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31.4 ± 3.1</w:t>
            </w:r>
          </w:p>
        </w:tc>
        <w:tc>
          <w:tcPr>
            <w:tcW w:w="0" w:type="auto"/>
            <w:hideMark/>
          </w:tcPr>
          <w:p w14:paraId="384CBBE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r>
      <w:tr w:rsidR="001E1693" w:rsidRPr="00013089" w14:paraId="40C51069" w14:textId="77777777" w:rsidTr="00D13818">
        <w:tc>
          <w:tcPr>
            <w:tcW w:w="0" w:type="auto"/>
            <w:hideMark/>
          </w:tcPr>
          <w:p w14:paraId="05D0880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2BFFA33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3.8 ± 0.5</w:t>
            </w:r>
          </w:p>
        </w:tc>
        <w:tc>
          <w:tcPr>
            <w:tcW w:w="0" w:type="auto"/>
            <w:hideMark/>
          </w:tcPr>
          <w:p w14:paraId="0924C4E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0.4</w:t>
            </w:r>
          </w:p>
        </w:tc>
        <w:tc>
          <w:tcPr>
            <w:tcW w:w="0" w:type="auto"/>
            <w:hideMark/>
          </w:tcPr>
          <w:p w14:paraId="62A1AE0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 ± 0.6</w:t>
            </w:r>
          </w:p>
        </w:tc>
        <w:tc>
          <w:tcPr>
            <w:tcW w:w="0" w:type="auto"/>
            <w:hideMark/>
          </w:tcPr>
          <w:p w14:paraId="6F9EF9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 ± 0.4</w:t>
            </w:r>
          </w:p>
        </w:tc>
      </w:tr>
      <w:tr w:rsidR="001E1693" w:rsidRPr="00013089" w14:paraId="65AE96A6" w14:textId="77777777" w:rsidTr="00D13818">
        <w:tc>
          <w:tcPr>
            <w:tcW w:w="0" w:type="auto"/>
            <w:hideMark/>
          </w:tcPr>
          <w:p w14:paraId="631357E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781FDE8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79A8E84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5FE4337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5097AC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1406C012" w14:textId="77777777" w:rsidTr="00D13818">
        <w:tc>
          <w:tcPr>
            <w:tcW w:w="0" w:type="auto"/>
            <w:hideMark/>
          </w:tcPr>
          <w:p w14:paraId="75D65AE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3B6A791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34.6 ± 3.7</w:t>
            </w:r>
          </w:p>
        </w:tc>
        <w:tc>
          <w:tcPr>
            <w:tcW w:w="0" w:type="auto"/>
            <w:hideMark/>
          </w:tcPr>
          <w:p w14:paraId="7EB4E0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28.2 ± 3.1</w:t>
            </w:r>
          </w:p>
        </w:tc>
        <w:tc>
          <w:tcPr>
            <w:tcW w:w="0" w:type="auto"/>
            <w:hideMark/>
          </w:tcPr>
          <w:p w14:paraId="7C0F5A2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46.8 ± 4.2</w:t>
            </w:r>
          </w:p>
        </w:tc>
        <w:tc>
          <w:tcPr>
            <w:tcW w:w="0" w:type="auto"/>
            <w:hideMark/>
          </w:tcPr>
          <w:p w14:paraId="7402370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2.8</w:t>
            </w:r>
          </w:p>
        </w:tc>
      </w:tr>
      <w:tr w:rsidR="001E1693" w:rsidRPr="00013089" w14:paraId="44BCB8C5" w14:textId="77777777" w:rsidTr="00D13818">
        <w:tc>
          <w:tcPr>
            <w:tcW w:w="0" w:type="auto"/>
            <w:hideMark/>
          </w:tcPr>
          <w:p w14:paraId="62033DF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SO₄²⁻</w:t>
            </w:r>
          </w:p>
        </w:tc>
        <w:tc>
          <w:tcPr>
            <w:tcW w:w="0" w:type="auto"/>
            <w:hideMark/>
          </w:tcPr>
          <w:p w14:paraId="316E0FB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22.8 ± 2.6</w:t>
            </w:r>
          </w:p>
        </w:tc>
        <w:tc>
          <w:tcPr>
            <w:tcW w:w="0" w:type="auto"/>
            <w:hideMark/>
          </w:tcPr>
          <w:p w14:paraId="665EB70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5AA05A9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31.6 ± 3.3</w:t>
            </w:r>
          </w:p>
        </w:tc>
        <w:tc>
          <w:tcPr>
            <w:tcW w:w="0" w:type="auto"/>
            <w:hideMark/>
          </w:tcPr>
          <w:p w14:paraId="54BF2A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16.2 ± 1.9</w:t>
            </w:r>
          </w:p>
        </w:tc>
      </w:tr>
      <w:tr w:rsidR="001E1693" w:rsidRPr="00013089" w14:paraId="4F1F0374" w14:textId="77777777" w:rsidTr="00D13818">
        <w:tc>
          <w:tcPr>
            <w:tcW w:w="0" w:type="auto"/>
            <w:hideMark/>
          </w:tcPr>
          <w:p w14:paraId="1709301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NO₃⁻</w:t>
            </w:r>
          </w:p>
        </w:tc>
        <w:tc>
          <w:tcPr>
            <w:tcW w:w="0" w:type="auto"/>
            <w:hideMark/>
          </w:tcPr>
          <w:p w14:paraId="5685AF2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 ± 1.4</w:t>
            </w:r>
          </w:p>
        </w:tc>
        <w:tc>
          <w:tcPr>
            <w:tcW w:w="0" w:type="auto"/>
            <w:hideMark/>
          </w:tcPr>
          <w:p w14:paraId="619C4C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 ± 1.2</w:t>
            </w:r>
          </w:p>
        </w:tc>
        <w:tc>
          <w:tcPr>
            <w:tcW w:w="0" w:type="auto"/>
            <w:hideMark/>
          </w:tcPr>
          <w:p w14:paraId="4425DCC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 ± 1.8</w:t>
            </w:r>
          </w:p>
        </w:tc>
        <w:tc>
          <w:tcPr>
            <w:tcW w:w="0" w:type="auto"/>
            <w:hideMark/>
          </w:tcPr>
          <w:p w14:paraId="7B92F07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1.5</w:t>
            </w:r>
          </w:p>
        </w:tc>
      </w:tr>
    </w:tbl>
    <w:p w14:paraId="73D4624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35CA9E7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3.3 Trace and Potentially Toxic Elements</w:t>
      </w:r>
    </w:p>
    <w:p w14:paraId="392E64C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Trace-element concentrations varied among the geological settings. Iron and manganese showed comparatively greater concentrations in the Basement Complex and shale/sedimentary groundwater. The shale/sedimentary setting also recorded the highest concentrations of Pb, Cd, Cr, Ni, Cu and Zn,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generally had the lowest concentrations.</w:t>
      </w:r>
    </w:p>
    <w:p w14:paraId="43DD9B9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Table.3: Trace and potentially toxic elements in groundwater across the investigated geological settings</w:t>
      </w:r>
    </w:p>
    <w:tbl>
      <w:tblPr>
        <w:tblStyle w:val="TableGrid"/>
        <w:tblW w:w="0" w:type="auto"/>
        <w:tblLook w:val="04A0" w:firstRow="1" w:lastRow="0" w:firstColumn="1" w:lastColumn="0" w:noHBand="0" w:noVBand="1"/>
      </w:tblPr>
      <w:tblGrid>
        <w:gridCol w:w="1717"/>
        <w:gridCol w:w="1738"/>
        <w:gridCol w:w="1568"/>
        <w:gridCol w:w="2150"/>
        <w:gridCol w:w="1843"/>
      </w:tblGrid>
      <w:tr w:rsidR="001E1693" w:rsidRPr="00013089" w14:paraId="275F2C24" w14:textId="77777777" w:rsidTr="00D13818">
        <w:tc>
          <w:tcPr>
            <w:tcW w:w="0" w:type="auto"/>
            <w:hideMark/>
          </w:tcPr>
          <w:p w14:paraId="27A77DAD"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5F8D0CB2"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412CE10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71C0C31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0B0A5B5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2AB94C50" w14:textId="77777777" w:rsidTr="00D13818">
        <w:tc>
          <w:tcPr>
            <w:tcW w:w="0" w:type="auto"/>
            <w:hideMark/>
          </w:tcPr>
          <w:p w14:paraId="092D2D8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2537923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 ± 0.06</w:t>
            </w:r>
          </w:p>
        </w:tc>
        <w:tc>
          <w:tcPr>
            <w:tcW w:w="0" w:type="auto"/>
            <w:hideMark/>
          </w:tcPr>
          <w:p w14:paraId="5FF043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0.24 ± 0.04</w:t>
            </w:r>
          </w:p>
        </w:tc>
        <w:tc>
          <w:tcPr>
            <w:tcW w:w="0" w:type="auto"/>
            <w:hideMark/>
          </w:tcPr>
          <w:p w14:paraId="1F6BE5E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 ± 0.07</w:t>
            </w:r>
          </w:p>
        </w:tc>
        <w:tc>
          <w:tcPr>
            <w:tcW w:w="0" w:type="auto"/>
            <w:hideMark/>
          </w:tcPr>
          <w:p w14:paraId="095F5E8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 ± 0.03</w:t>
            </w:r>
          </w:p>
        </w:tc>
      </w:tr>
      <w:tr w:rsidR="001E1693" w:rsidRPr="00013089" w14:paraId="052E7CAE" w14:textId="77777777" w:rsidTr="00D13818">
        <w:tc>
          <w:tcPr>
            <w:tcW w:w="0" w:type="auto"/>
            <w:hideMark/>
          </w:tcPr>
          <w:p w14:paraId="21B15D8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2C5E9E7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44F16C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0.052 ± 0.009</w:t>
            </w:r>
          </w:p>
        </w:tc>
        <w:tc>
          <w:tcPr>
            <w:tcW w:w="0" w:type="auto"/>
            <w:hideMark/>
          </w:tcPr>
          <w:p w14:paraId="7CD8A8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1EBE4A2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0.041 ± 0.008</w:t>
            </w:r>
          </w:p>
        </w:tc>
      </w:tr>
      <w:tr w:rsidR="001E1693" w:rsidRPr="00013089" w14:paraId="7495DC9F" w14:textId="77777777" w:rsidTr="00D13818">
        <w:tc>
          <w:tcPr>
            <w:tcW w:w="0" w:type="auto"/>
            <w:hideMark/>
          </w:tcPr>
          <w:p w14:paraId="6371C48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Pb</w:t>
            </w:r>
          </w:p>
        </w:tc>
        <w:tc>
          <w:tcPr>
            <w:tcW w:w="0" w:type="auto"/>
            <w:hideMark/>
          </w:tcPr>
          <w:p w14:paraId="1E8D340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c>
          <w:tcPr>
            <w:tcW w:w="0" w:type="auto"/>
            <w:hideMark/>
          </w:tcPr>
          <w:p w14:paraId="2A12BBB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0.006 ± 0.001</w:t>
            </w:r>
          </w:p>
        </w:tc>
        <w:tc>
          <w:tcPr>
            <w:tcW w:w="0" w:type="auto"/>
            <w:hideMark/>
          </w:tcPr>
          <w:p w14:paraId="2BB8A2B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65471FA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0.005 ± 0.001</w:t>
            </w:r>
          </w:p>
        </w:tc>
      </w:tr>
      <w:tr w:rsidR="001E1693" w:rsidRPr="00013089" w14:paraId="43320DD3" w14:textId="77777777" w:rsidTr="00D13818">
        <w:tc>
          <w:tcPr>
            <w:tcW w:w="0" w:type="auto"/>
            <w:hideMark/>
          </w:tcPr>
          <w:p w14:paraId="343DBE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Cd</w:t>
            </w:r>
          </w:p>
        </w:tc>
        <w:tc>
          <w:tcPr>
            <w:tcW w:w="0" w:type="auto"/>
            <w:hideMark/>
          </w:tcPr>
          <w:p w14:paraId="3FB81B6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0.0018 ± 0.0004</w:t>
            </w:r>
          </w:p>
        </w:tc>
        <w:tc>
          <w:tcPr>
            <w:tcW w:w="0" w:type="auto"/>
            <w:hideMark/>
          </w:tcPr>
          <w:p w14:paraId="14FF1D5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0.0012 ± 0.0003</w:t>
            </w:r>
          </w:p>
        </w:tc>
        <w:tc>
          <w:tcPr>
            <w:tcW w:w="0" w:type="auto"/>
            <w:hideMark/>
          </w:tcPr>
          <w:p w14:paraId="1A14BEC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0.0026 ± 0.0005</w:t>
            </w:r>
          </w:p>
        </w:tc>
        <w:tc>
          <w:tcPr>
            <w:tcW w:w="0" w:type="auto"/>
            <w:hideMark/>
          </w:tcPr>
          <w:p w14:paraId="28E70ED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0.0010 ± 0.0002</w:t>
            </w:r>
          </w:p>
        </w:tc>
      </w:tr>
      <w:tr w:rsidR="001E1693" w:rsidRPr="00013089" w14:paraId="431022D9" w14:textId="77777777" w:rsidTr="00D13818">
        <w:tc>
          <w:tcPr>
            <w:tcW w:w="0" w:type="auto"/>
            <w:hideMark/>
          </w:tcPr>
          <w:p w14:paraId="724933D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Cr</w:t>
            </w:r>
          </w:p>
        </w:tc>
        <w:tc>
          <w:tcPr>
            <w:tcW w:w="0" w:type="auto"/>
            <w:hideMark/>
          </w:tcPr>
          <w:p w14:paraId="7D559C6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c>
          <w:tcPr>
            <w:tcW w:w="0" w:type="auto"/>
            <w:hideMark/>
          </w:tcPr>
          <w:p w14:paraId="585F417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0.008 ± 0.002</w:t>
            </w:r>
          </w:p>
        </w:tc>
        <w:tc>
          <w:tcPr>
            <w:tcW w:w="0" w:type="auto"/>
            <w:hideMark/>
          </w:tcPr>
          <w:p w14:paraId="5960394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5B82C6C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0.007 ± 0.002</w:t>
            </w:r>
          </w:p>
        </w:tc>
      </w:tr>
      <w:tr w:rsidR="001E1693" w:rsidRPr="00013089" w14:paraId="784CBFAB" w14:textId="77777777" w:rsidTr="00D13818">
        <w:tc>
          <w:tcPr>
            <w:tcW w:w="0" w:type="auto"/>
            <w:hideMark/>
          </w:tcPr>
          <w:p w14:paraId="5D15A9E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w:t>
            </w:r>
          </w:p>
        </w:tc>
        <w:tc>
          <w:tcPr>
            <w:tcW w:w="0" w:type="auto"/>
            <w:hideMark/>
          </w:tcPr>
          <w:p w14:paraId="232429A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0.016 ± 0.003</w:t>
            </w:r>
          </w:p>
        </w:tc>
        <w:tc>
          <w:tcPr>
            <w:tcW w:w="0" w:type="auto"/>
            <w:hideMark/>
          </w:tcPr>
          <w:p w14:paraId="3D5E0B7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0.011 ± 0.002</w:t>
            </w:r>
          </w:p>
        </w:tc>
        <w:tc>
          <w:tcPr>
            <w:tcW w:w="0" w:type="auto"/>
            <w:hideMark/>
          </w:tcPr>
          <w:p w14:paraId="5BEA7F0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0.021 ± 0.004</w:t>
            </w:r>
          </w:p>
        </w:tc>
        <w:tc>
          <w:tcPr>
            <w:tcW w:w="0" w:type="auto"/>
            <w:hideMark/>
          </w:tcPr>
          <w:p w14:paraId="4E178B6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r>
      <w:tr w:rsidR="001E1693" w:rsidRPr="00013089" w14:paraId="2DDFB4B6" w14:textId="77777777" w:rsidTr="00D13818">
        <w:tc>
          <w:tcPr>
            <w:tcW w:w="0" w:type="auto"/>
            <w:hideMark/>
          </w:tcPr>
          <w:p w14:paraId="3361F29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Cu</w:t>
            </w:r>
          </w:p>
        </w:tc>
        <w:tc>
          <w:tcPr>
            <w:tcW w:w="0" w:type="auto"/>
            <w:hideMark/>
          </w:tcPr>
          <w:p w14:paraId="4FA555A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14D4326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2B9F470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0.023 ± 0.004</w:t>
            </w:r>
          </w:p>
        </w:tc>
        <w:tc>
          <w:tcPr>
            <w:tcW w:w="0" w:type="auto"/>
            <w:hideMark/>
          </w:tcPr>
          <w:p w14:paraId="1873CF2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r>
      <w:tr w:rsidR="001E1693" w:rsidRPr="00013089" w14:paraId="12B001CD" w14:textId="77777777" w:rsidTr="00D13818">
        <w:tc>
          <w:tcPr>
            <w:tcW w:w="0" w:type="auto"/>
            <w:hideMark/>
          </w:tcPr>
          <w:p w14:paraId="7A2468E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Zn</w:t>
            </w:r>
          </w:p>
        </w:tc>
        <w:tc>
          <w:tcPr>
            <w:tcW w:w="0" w:type="auto"/>
            <w:hideMark/>
          </w:tcPr>
          <w:p w14:paraId="61D96E5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6D6BB6C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0.071 ± 0.010</w:t>
            </w:r>
          </w:p>
        </w:tc>
        <w:tc>
          <w:tcPr>
            <w:tcW w:w="0" w:type="auto"/>
            <w:hideMark/>
          </w:tcPr>
          <w:p w14:paraId="584FFE0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0FD2526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0.062 ± 0.009</w:t>
            </w:r>
          </w:p>
        </w:tc>
      </w:tr>
    </w:tbl>
    <w:p w14:paraId="0541DAC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4A73052B"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3.4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p w14:paraId="399A2CA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analysis showed that Ca–Mg–HCO₃ was the dominant water type across the investigated settings. It accounted for the greatest proportion of samples from the Basement Complex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domains. Mixed Ca–Mg–Cl–HCO₃ facies were </w:t>
      </w:r>
      <w:r w:rsidRPr="00013089">
        <w:rPr>
          <w:rFonts w:ascii="Times New Roman" w:eastAsia="Times New Roman" w:hAnsi="Times New Roman" w:cs="Times New Roman"/>
          <w:sz w:val="24"/>
          <w:szCs w:val="24"/>
          <w:lang w:eastAsia="en-GB"/>
        </w:rPr>
        <w:lastRenderedPageBreak/>
        <w:t>also common, whereas Na–Ca–HCO₃–Cl and Na–Cl facies were more frequent in the shale/sedimentary setting.</w:t>
      </w:r>
    </w:p>
    <w:p w14:paraId="6AAF909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 xml:space="preserve">Table.4: Distribution of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 across the investigated geological settings</w:t>
      </w:r>
    </w:p>
    <w:tbl>
      <w:tblPr>
        <w:tblStyle w:val="TableGrid"/>
        <w:tblW w:w="0" w:type="auto"/>
        <w:tblLook w:val="04A0" w:firstRow="1" w:lastRow="0" w:firstColumn="1" w:lastColumn="0" w:noHBand="0" w:noVBand="1"/>
      </w:tblPr>
      <w:tblGrid>
        <w:gridCol w:w="1959"/>
        <w:gridCol w:w="1601"/>
        <w:gridCol w:w="1463"/>
        <w:gridCol w:w="2273"/>
        <w:gridCol w:w="1720"/>
      </w:tblGrid>
      <w:tr w:rsidR="001E1693" w:rsidRPr="00013089" w14:paraId="1896D47B" w14:textId="77777777" w:rsidTr="00D13818">
        <w:tc>
          <w:tcPr>
            <w:tcW w:w="0" w:type="auto"/>
            <w:hideMark/>
          </w:tcPr>
          <w:p w14:paraId="6C4B5BE7" w14:textId="77777777" w:rsidR="001E1693" w:rsidRPr="00013089" w:rsidRDefault="001E1693" w:rsidP="00D13818">
            <w:pPr>
              <w:jc w:val="both"/>
              <w:rPr>
                <w:rFonts w:ascii="Times New Roman" w:eastAsia="Times New Roman" w:hAnsi="Times New Roman" w:cs="Times New Roman"/>
                <w:b/>
                <w:bCs/>
                <w:sz w:val="24"/>
                <w:szCs w:val="24"/>
                <w:lang w:eastAsia="en-GB"/>
              </w:rPr>
            </w:pP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tc>
        <w:tc>
          <w:tcPr>
            <w:tcW w:w="0" w:type="auto"/>
            <w:hideMark/>
          </w:tcPr>
          <w:p w14:paraId="2211A5B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 (%)</w:t>
            </w:r>
          </w:p>
        </w:tc>
        <w:tc>
          <w:tcPr>
            <w:tcW w:w="0" w:type="auto"/>
            <w:hideMark/>
          </w:tcPr>
          <w:p w14:paraId="1A0EBCBD"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 (%)</w:t>
            </w:r>
          </w:p>
        </w:tc>
        <w:tc>
          <w:tcPr>
            <w:tcW w:w="0" w:type="auto"/>
            <w:hideMark/>
          </w:tcPr>
          <w:p w14:paraId="426B6A0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 (%)</w:t>
            </w:r>
          </w:p>
        </w:tc>
        <w:tc>
          <w:tcPr>
            <w:tcW w:w="0" w:type="auto"/>
            <w:hideMark/>
          </w:tcPr>
          <w:p w14:paraId="2DCFD122"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r w:rsidRPr="00013089">
              <w:rPr>
                <w:rFonts w:ascii="Times New Roman" w:eastAsia="Times New Roman" w:hAnsi="Times New Roman" w:cs="Times New Roman"/>
                <w:b/>
                <w:bCs/>
                <w:sz w:val="24"/>
                <w:szCs w:val="24"/>
                <w:lang w:eastAsia="en-GB"/>
              </w:rPr>
              <w:t xml:space="preserve"> (%)</w:t>
            </w:r>
          </w:p>
        </w:tc>
      </w:tr>
      <w:tr w:rsidR="001E1693" w:rsidRPr="00013089" w14:paraId="6E5CEE59" w14:textId="77777777" w:rsidTr="00D13818">
        <w:tc>
          <w:tcPr>
            <w:tcW w:w="0" w:type="auto"/>
            <w:hideMark/>
          </w:tcPr>
          <w:p w14:paraId="6D621EF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Ca–Mg–HCO₃</w:t>
            </w:r>
          </w:p>
        </w:tc>
        <w:tc>
          <w:tcPr>
            <w:tcW w:w="0" w:type="auto"/>
            <w:hideMark/>
          </w:tcPr>
          <w:p w14:paraId="684AD0F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58.3</w:t>
            </w:r>
          </w:p>
        </w:tc>
        <w:tc>
          <w:tcPr>
            <w:tcW w:w="0" w:type="auto"/>
            <w:hideMark/>
          </w:tcPr>
          <w:p w14:paraId="194012B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45.8</w:t>
            </w:r>
          </w:p>
        </w:tc>
        <w:tc>
          <w:tcPr>
            <w:tcW w:w="0" w:type="auto"/>
            <w:hideMark/>
          </w:tcPr>
          <w:p w14:paraId="4A1AAEA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33.3</w:t>
            </w:r>
          </w:p>
        </w:tc>
        <w:tc>
          <w:tcPr>
            <w:tcW w:w="0" w:type="auto"/>
            <w:hideMark/>
          </w:tcPr>
          <w:p w14:paraId="7CAC058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62.5</w:t>
            </w:r>
          </w:p>
        </w:tc>
      </w:tr>
      <w:tr w:rsidR="001E1693" w:rsidRPr="00013089" w14:paraId="522D1457" w14:textId="77777777" w:rsidTr="00D13818">
        <w:tc>
          <w:tcPr>
            <w:tcW w:w="0" w:type="auto"/>
            <w:hideMark/>
          </w:tcPr>
          <w:p w14:paraId="7E30B22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Ca–Mg–Cl–HCO₃</w:t>
            </w:r>
          </w:p>
        </w:tc>
        <w:tc>
          <w:tcPr>
            <w:tcW w:w="0" w:type="auto"/>
            <w:hideMark/>
          </w:tcPr>
          <w:p w14:paraId="2D2FA30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178E8FE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29.2</w:t>
            </w:r>
          </w:p>
        </w:tc>
        <w:tc>
          <w:tcPr>
            <w:tcW w:w="0" w:type="auto"/>
            <w:hideMark/>
          </w:tcPr>
          <w:p w14:paraId="533244A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4A8101C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20.8</w:t>
            </w:r>
          </w:p>
        </w:tc>
      </w:tr>
      <w:tr w:rsidR="001E1693" w:rsidRPr="00013089" w14:paraId="369753F5" w14:textId="77777777" w:rsidTr="00D13818">
        <w:tc>
          <w:tcPr>
            <w:tcW w:w="0" w:type="auto"/>
            <w:hideMark/>
          </w:tcPr>
          <w:p w14:paraId="2672358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Na–Ca–HCO₃–Cl</w:t>
            </w:r>
          </w:p>
        </w:tc>
        <w:tc>
          <w:tcPr>
            <w:tcW w:w="0" w:type="auto"/>
            <w:hideMark/>
          </w:tcPr>
          <w:p w14:paraId="067C79C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c>
          <w:tcPr>
            <w:tcW w:w="0" w:type="auto"/>
            <w:hideMark/>
          </w:tcPr>
          <w:p w14:paraId="705872D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16.7</w:t>
            </w:r>
          </w:p>
        </w:tc>
        <w:tc>
          <w:tcPr>
            <w:tcW w:w="0" w:type="auto"/>
            <w:hideMark/>
          </w:tcPr>
          <w:p w14:paraId="0C39F6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26C38A2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r>
      <w:tr w:rsidR="001E1693" w:rsidRPr="00013089" w14:paraId="706B9479" w14:textId="77777777" w:rsidTr="00D13818">
        <w:tc>
          <w:tcPr>
            <w:tcW w:w="0" w:type="auto"/>
            <w:hideMark/>
          </w:tcPr>
          <w:p w14:paraId="667C9F6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Na–Cl</w:t>
            </w:r>
          </w:p>
        </w:tc>
        <w:tc>
          <w:tcPr>
            <w:tcW w:w="0" w:type="auto"/>
            <w:hideMark/>
          </w:tcPr>
          <w:p w14:paraId="55FC954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55F8851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3A1770B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12.5</w:t>
            </w:r>
          </w:p>
        </w:tc>
        <w:tc>
          <w:tcPr>
            <w:tcW w:w="0" w:type="auto"/>
            <w:hideMark/>
          </w:tcPr>
          <w:p w14:paraId="304C0BC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r w:rsidR="001E1693" w:rsidRPr="00013089" w14:paraId="6E52B782" w14:textId="77777777" w:rsidTr="00D13818">
        <w:tc>
          <w:tcPr>
            <w:tcW w:w="0" w:type="auto"/>
            <w:hideMark/>
          </w:tcPr>
          <w:p w14:paraId="6A2BC9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Mg–Ca–SO₄</w:t>
            </w:r>
          </w:p>
        </w:tc>
        <w:tc>
          <w:tcPr>
            <w:tcW w:w="0" w:type="auto"/>
            <w:hideMark/>
          </w:tcPr>
          <w:p w14:paraId="2CF0B54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2966E10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w:t>
            </w:r>
          </w:p>
        </w:tc>
        <w:tc>
          <w:tcPr>
            <w:tcW w:w="0" w:type="auto"/>
            <w:hideMark/>
          </w:tcPr>
          <w:p w14:paraId="6AD4600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7075B2A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bl>
    <w:p w14:paraId="7656DB2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represent the percentage distribution of samples.</w:t>
      </w:r>
    </w:p>
    <w:p w14:paraId="7D225AC7"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3.5 Microbiological Quality of Groundwater</w:t>
      </w:r>
    </w:p>
    <w:p w14:paraId="2A018EF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varied substantially among the geological settings. Heterotrophic bacterial counts ranged from 1.9 × 10² ± 0.4 × 10² CFU/mL in the Younger Granite setting to 3.6 × 10² ± 0.7 × 10² CFU/mL in the shale/sedimentary setting.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detected in groundwater from all settings.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highest concentrations of the principal faecal indicator organisms, whereas the Younger Granite setting recorded the lowest values.</w:t>
      </w:r>
    </w:p>
    <w:p w14:paraId="18D73BC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Table.5: Microbiological characteristics of groundwater across the investigated geological settings</w:t>
      </w:r>
    </w:p>
    <w:tbl>
      <w:tblPr>
        <w:tblStyle w:val="TableGrid"/>
        <w:tblW w:w="0" w:type="auto"/>
        <w:tblLook w:val="04A0" w:firstRow="1" w:lastRow="0" w:firstColumn="1" w:lastColumn="0" w:noHBand="0" w:noVBand="1"/>
      </w:tblPr>
      <w:tblGrid>
        <w:gridCol w:w="2302"/>
        <w:gridCol w:w="1503"/>
        <w:gridCol w:w="1428"/>
        <w:gridCol w:w="2165"/>
        <w:gridCol w:w="1618"/>
      </w:tblGrid>
      <w:tr w:rsidR="001E1693" w:rsidRPr="00013089" w14:paraId="621A8E36" w14:textId="77777777" w:rsidTr="00D13818">
        <w:tc>
          <w:tcPr>
            <w:tcW w:w="0" w:type="auto"/>
            <w:hideMark/>
          </w:tcPr>
          <w:p w14:paraId="141D2028"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3C67505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6282AB3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49F050D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235A812E"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 xml:space="preserve">Weathered </w:t>
            </w:r>
            <w:proofErr w:type="spellStart"/>
            <w:r w:rsidRPr="00013089">
              <w:rPr>
                <w:rFonts w:ascii="Times New Roman" w:eastAsia="Times New Roman" w:hAnsi="Times New Roman" w:cs="Times New Roman"/>
                <w:b/>
                <w:bCs/>
                <w:sz w:val="24"/>
                <w:szCs w:val="24"/>
                <w:lang w:eastAsia="en-GB"/>
              </w:rPr>
              <w:t>Regolith</w:t>
            </w:r>
            <w:proofErr w:type="spellEnd"/>
          </w:p>
        </w:tc>
      </w:tr>
      <w:tr w:rsidR="001E1693" w:rsidRPr="00013089" w14:paraId="76A22D85" w14:textId="77777777" w:rsidTr="00D13818">
        <w:tc>
          <w:tcPr>
            <w:tcW w:w="0" w:type="auto"/>
            <w:hideMark/>
          </w:tcPr>
          <w:p w14:paraId="2FCE98E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 (CFU/mL)</w:t>
            </w:r>
          </w:p>
        </w:tc>
        <w:tc>
          <w:tcPr>
            <w:tcW w:w="0" w:type="auto"/>
            <w:hideMark/>
          </w:tcPr>
          <w:p w14:paraId="23CD27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 × 10² ± 0.6 × 10²</w:t>
            </w:r>
          </w:p>
        </w:tc>
        <w:tc>
          <w:tcPr>
            <w:tcW w:w="0" w:type="auto"/>
            <w:hideMark/>
          </w:tcPr>
          <w:p w14:paraId="105FA94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 × 10² ± 0.4 × 10²</w:t>
            </w:r>
          </w:p>
        </w:tc>
        <w:tc>
          <w:tcPr>
            <w:tcW w:w="0" w:type="auto"/>
            <w:hideMark/>
          </w:tcPr>
          <w:p w14:paraId="40ED482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 × 10² ± 0.7 × 10²</w:t>
            </w:r>
          </w:p>
        </w:tc>
        <w:tc>
          <w:tcPr>
            <w:tcW w:w="0" w:type="auto"/>
            <w:hideMark/>
          </w:tcPr>
          <w:p w14:paraId="69F4FD3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 × 10² ± 0.5 × 10²</w:t>
            </w:r>
          </w:p>
        </w:tc>
      </w:tr>
      <w:tr w:rsidR="001E1693" w:rsidRPr="00013089" w14:paraId="342FB7EC" w14:textId="77777777" w:rsidTr="00D13818">
        <w:tc>
          <w:tcPr>
            <w:tcW w:w="0" w:type="auto"/>
            <w:hideMark/>
          </w:tcPr>
          <w:p w14:paraId="46B936A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 (CFU/100 mL)</w:t>
            </w:r>
          </w:p>
        </w:tc>
        <w:tc>
          <w:tcPr>
            <w:tcW w:w="0" w:type="auto"/>
            <w:hideMark/>
          </w:tcPr>
          <w:p w14:paraId="4A72C83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 ± 5</w:t>
            </w:r>
          </w:p>
        </w:tc>
        <w:tc>
          <w:tcPr>
            <w:tcW w:w="0" w:type="auto"/>
            <w:hideMark/>
          </w:tcPr>
          <w:p w14:paraId="307893A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4</w:t>
            </w:r>
          </w:p>
        </w:tc>
        <w:tc>
          <w:tcPr>
            <w:tcW w:w="0" w:type="auto"/>
            <w:hideMark/>
          </w:tcPr>
          <w:p w14:paraId="1CC4DF5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 ± 6</w:t>
            </w:r>
          </w:p>
        </w:tc>
        <w:tc>
          <w:tcPr>
            <w:tcW w:w="0" w:type="auto"/>
            <w:hideMark/>
          </w:tcPr>
          <w:p w14:paraId="47B98BA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7</w:t>
            </w:r>
          </w:p>
        </w:tc>
      </w:tr>
      <w:tr w:rsidR="001E1693" w:rsidRPr="00013089" w14:paraId="4C3CB233" w14:textId="77777777" w:rsidTr="00D13818">
        <w:tc>
          <w:tcPr>
            <w:tcW w:w="0" w:type="auto"/>
            <w:hideMark/>
          </w:tcPr>
          <w:p w14:paraId="25AFB74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 (CFU/100 mL)</w:t>
            </w:r>
          </w:p>
        </w:tc>
        <w:tc>
          <w:tcPr>
            <w:tcW w:w="0" w:type="auto"/>
            <w:hideMark/>
          </w:tcPr>
          <w:p w14:paraId="61179AE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3</w:t>
            </w:r>
          </w:p>
        </w:tc>
        <w:tc>
          <w:tcPr>
            <w:tcW w:w="0" w:type="auto"/>
            <w:hideMark/>
          </w:tcPr>
          <w:p w14:paraId="619F586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390F4D3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 ± 3</w:t>
            </w:r>
          </w:p>
        </w:tc>
        <w:tc>
          <w:tcPr>
            <w:tcW w:w="0" w:type="auto"/>
            <w:hideMark/>
          </w:tcPr>
          <w:p w14:paraId="1B133D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 ± 4</w:t>
            </w:r>
          </w:p>
        </w:tc>
      </w:tr>
      <w:tr w:rsidR="001E1693" w:rsidRPr="00013089" w14:paraId="7440F25D" w14:textId="77777777" w:rsidTr="00D13818">
        <w:tc>
          <w:tcPr>
            <w:tcW w:w="0" w:type="auto"/>
            <w:hideMark/>
          </w:tcPr>
          <w:p w14:paraId="4F8D325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(CFU/100 mL)</w:t>
            </w:r>
          </w:p>
        </w:tc>
        <w:tc>
          <w:tcPr>
            <w:tcW w:w="0" w:type="auto"/>
            <w:hideMark/>
          </w:tcPr>
          <w:p w14:paraId="76D0BE9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 ± 2</w:t>
            </w:r>
          </w:p>
        </w:tc>
        <w:tc>
          <w:tcPr>
            <w:tcW w:w="0" w:type="auto"/>
            <w:hideMark/>
          </w:tcPr>
          <w:p w14:paraId="412DA82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0F9820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2</w:t>
            </w:r>
          </w:p>
        </w:tc>
        <w:tc>
          <w:tcPr>
            <w:tcW w:w="0" w:type="auto"/>
            <w:hideMark/>
          </w:tcPr>
          <w:p w14:paraId="5A25B94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3</w:t>
            </w:r>
          </w:p>
        </w:tc>
      </w:tr>
      <w:tr w:rsidR="001E1693" w:rsidRPr="00013089" w14:paraId="1ED95DEF" w14:textId="77777777" w:rsidTr="00D13818">
        <w:tc>
          <w:tcPr>
            <w:tcW w:w="0" w:type="auto"/>
            <w:hideMark/>
          </w:tcPr>
          <w:p w14:paraId="7A9ECE5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 (CFU/100 mL)</w:t>
            </w:r>
          </w:p>
        </w:tc>
        <w:tc>
          <w:tcPr>
            <w:tcW w:w="0" w:type="auto"/>
            <w:hideMark/>
          </w:tcPr>
          <w:p w14:paraId="396004A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339E608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5DEA75F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 ± 2</w:t>
            </w:r>
          </w:p>
        </w:tc>
        <w:tc>
          <w:tcPr>
            <w:tcW w:w="0" w:type="auto"/>
            <w:hideMark/>
          </w:tcPr>
          <w:p w14:paraId="06BD14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 ± 3</w:t>
            </w:r>
          </w:p>
        </w:tc>
      </w:tr>
    </w:tbl>
    <w:p w14:paraId="13F5616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47A5B1FC"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3.6 Lithological Variation in Groundwater Chemistry</w:t>
      </w:r>
    </w:p>
    <w:p w14:paraId="3AA9F20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One-way ANOVA revealed statistically significant differences among the geological settings for all the selected physicochemical and major-ion parameters. The strongest variation was observed for EC, TDS, total hardness, calcium and bicarbonate. Significant differences were </w:t>
      </w:r>
      <w:r w:rsidRPr="00013089">
        <w:rPr>
          <w:rFonts w:ascii="Times New Roman" w:eastAsia="Times New Roman" w:hAnsi="Times New Roman" w:cs="Times New Roman"/>
          <w:sz w:val="24"/>
          <w:szCs w:val="24"/>
          <w:lang w:eastAsia="en-GB"/>
        </w:rPr>
        <w:lastRenderedPageBreak/>
        <w:t>also observed for sodium, potassium, chloride, sulphate and nitrate. Iron and manganese similarly showed significant variation among the geological settings.</w:t>
      </w:r>
    </w:p>
    <w:p w14:paraId="24B6DC7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6: One-way ANOVA of selected groundwater physicochemical, major-ion and trace-element parameters among geological settings</w:t>
      </w:r>
    </w:p>
    <w:tbl>
      <w:tblPr>
        <w:tblStyle w:val="TableGrid"/>
        <w:tblW w:w="0" w:type="auto"/>
        <w:tblLook w:val="04A0" w:firstRow="1" w:lastRow="0" w:firstColumn="1" w:lastColumn="0" w:noHBand="0" w:noVBand="1"/>
      </w:tblPr>
      <w:tblGrid>
        <w:gridCol w:w="1623"/>
        <w:gridCol w:w="990"/>
        <w:gridCol w:w="977"/>
        <w:gridCol w:w="2236"/>
      </w:tblGrid>
      <w:tr w:rsidR="001E1693" w:rsidRPr="00013089" w14:paraId="288EEBAB" w14:textId="77777777" w:rsidTr="00D13818">
        <w:tc>
          <w:tcPr>
            <w:tcW w:w="0" w:type="auto"/>
            <w:hideMark/>
          </w:tcPr>
          <w:p w14:paraId="1633DC7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5E9D1C3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4C504E29"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3FD34F1D"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62E6C305" w14:textId="77777777" w:rsidTr="00D13818">
        <w:tc>
          <w:tcPr>
            <w:tcW w:w="0" w:type="auto"/>
            <w:hideMark/>
          </w:tcPr>
          <w:p w14:paraId="0DF3DAB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5F19441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675507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0.004</w:t>
            </w:r>
          </w:p>
        </w:tc>
        <w:tc>
          <w:tcPr>
            <w:tcW w:w="0" w:type="auto"/>
            <w:hideMark/>
          </w:tcPr>
          <w:p w14:paraId="440DDD1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0D59399" w14:textId="77777777" w:rsidTr="00D13818">
        <w:tc>
          <w:tcPr>
            <w:tcW w:w="0" w:type="auto"/>
            <w:hideMark/>
          </w:tcPr>
          <w:p w14:paraId="49D47B9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77965BD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18.74</w:t>
            </w:r>
          </w:p>
        </w:tc>
        <w:tc>
          <w:tcPr>
            <w:tcW w:w="0" w:type="auto"/>
            <w:hideMark/>
          </w:tcPr>
          <w:p w14:paraId="5E4D6CD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B546C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09647446" w14:textId="77777777" w:rsidTr="00D13818">
        <w:tc>
          <w:tcPr>
            <w:tcW w:w="0" w:type="auto"/>
            <w:hideMark/>
          </w:tcPr>
          <w:p w14:paraId="2C8C32C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19846F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17.92</w:t>
            </w:r>
          </w:p>
        </w:tc>
        <w:tc>
          <w:tcPr>
            <w:tcW w:w="0" w:type="auto"/>
            <w:hideMark/>
          </w:tcPr>
          <w:p w14:paraId="08B2B95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B7CAF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13DABCC0" w14:textId="77777777" w:rsidTr="00D13818">
        <w:tc>
          <w:tcPr>
            <w:tcW w:w="0" w:type="auto"/>
            <w:hideMark/>
          </w:tcPr>
          <w:p w14:paraId="6DCD67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7C0AD9B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12.68</w:t>
            </w:r>
          </w:p>
        </w:tc>
        <w:tc>
          <w:tcPr>
            <w:tcW w:w="0" w:type="auto"/>
            <w:hideMark/>
          </w:tcPr>
          <w:p w14:paraId="47507DE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75FA069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5F56805" w14:textId="77777777" w:rsidTr="00D13818">
        <w:tc>
          <w:tcPr>
            <w:tcW w:w="0" w:type="auto"/>
            <w:hideMark/>
          </w:tcPr>
          <w:p w14:paraId="4987BDB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7786A0A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15.43</w:t>
            </w:r>
          </w:p>
        </w:tc>
        <w:tc>
          <w:tcPr>
            <w:tcW w:w="0" w:type="auto"/>
            <w:hideMark/>
          </w:tcPr>
          <w:p w14:paraId="02CEDC5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4E8118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D9D38E4" w14:textId="77777777" w:rsidTr="00D13818">
        <w:tc>
          <w:tcPr>
            <w:tcW w:w="0" w:type="auto"/>
            <w:hideMark/>
          </w:tcPr>
          <w:p w14:paraId="12A481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4C1A23F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9.84</w:t>
            </w:r>
          </w:p>
        </w:tc>
        <w:tc>
          <w:tcPr>
            <w:tcW w:w="0" w:type="auto"/>
            <w:hideMark/>
          </w:tcPr>
          <w:p w14:paraId="21E288A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AA16B4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1CEF54D0" w14:textId="77777777" w:rsidTr="00D13818">
        <w:tc>
          <w:tcPr>
            <w:tcW w:w="0" w:type="auto"/>
            <w:hideMark/>
          </w:tcPr>
          <w:p w14:paraId="439C623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6170944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7.62</w:t>
            </w:r>
          </w:p>
        </w:tc>
        <w:tc>
          <w:tcPr>
            <w:tcW w:w="0" w:type="auto"/>
            <w:hideMark/>
          </w:tcPr>
          <w:p w14:paraId="36F609E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7E73BD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0CFC1D27" w14:textId="77777777" w:rsidTr="00D13818">
        <w:tc>
          <w:tcPr>
            <w:tcW w:w="0" w:type="auto"/>
            <w:hideMark/>
          </w:tcPr>
          <w:p w14:paraId="249581C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169FD34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5.14</w:t>
            </w:r>
          </w:p>
        </w:tc>
        <w:tc>
          <w:tcPr>
            <w:tcW w:w="0" w:type="auto"/>
            <w:hideMark/>
          </w:tcPr>
          <w:p w14:paraId="0C7948E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w:t>
            </w:r>
          </w:p>
        </w:tc>
        <w:tc>
          <w:tcPr>
            <w:tcW w:w="0" w:type="auto"/>
            <w:hideMark/>
          </w:tcPr>
          <w:p w14:paraId="23EE6DE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ED11B79" w14:textId="77777777" w:rsidTr="00D13818">
        <w:tc>
          <w:tcPr>
            <w:tcW w:w="0" w:type="auto"/>
            <w:hideMark/>
          </w:tcPr>
          <w:p w14:paraId="3EF724E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2A4F938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11.76</w:t>
            </w:r>
          </w:p>
        </w:tc>
        <w:tc>
          <w:tcPr>
            <w:tcW w:w="0" w:type="auto"/>
            <w:hideMark/>
          </w:tcPr>
          <w:p w14:paraId="49DC55B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4D086D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2579049C" w14:textId="77777777" w:rsidTr="00D13818">
        <w:tc>
          <w:tcPr>
            <w:tcW w:w="0" w:type="auto"/>
            <w:hideMark/>
          </w:tcPr>
          <w:p w14:paraId="6717F47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1D09FD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8.93</w:t>
            </w:r>
          </w:p>
        </w:tc>
        <w:tc>
          <w:tcPr>
            <w:tcW w:w="0" w:type="auto"/>
            <w:hideMark/>
          </w:tcPr>
          <w:p w14:paraId="23603E2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3E3C2C3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AA67869" w14:textId="77777777" w:rsidTr="00D13818">
        <w:tc>
          <w:tcPr>
            <w:tcW w:w="0" w:type="auto"/>
            <w:hideMark/>
          </w:tcPr>
          <w:p w14:paraId="2EB2AB3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SO₄²⁻</w:t>
            </w:r>
          </w:p>
        </w:tc>
        <w:tc>
          <w:tcPr>
            <w:tcW w:w="0" w:type="auto"/>
            <w:hideMark/>
          </w:tcPr>
          <w:p w14:paraId="175F2EF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6.87</w:t>
            </w:r>
          </w:p>
        </w:tc>
        <w:tc>
          <w:tcPr>
            <w:tcW w:w="0" w:type="auto"/>
            <w:hideMark/>
          </w:tcPr>
          <w:p w14:paraId="3999158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0DC333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6152DB8" w14:textId="77777777" w:rsidTr="00D13818">
        <w:tc>
          <w:tcPr>
            <w:tcW w:w="0" w:type="auto"/>
            <w:hideMark/>
          </w:tcPr>
          <w:p w14:paraId="3F6638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NO₃⁻</w:t>
            </w:r>
          </w:p>
        </w:tc>
        <w:tc>
          <w:tcPr>
            <w:tcW w:w="0" w:type="auto"/>
            <w:hideMark/>
          </w:tcPr>
          <w:p w14:paraId="4F8E7C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9.42</w:t>
            </w:r>
          </w:p>
        </w:tc>
        <w:tc>
          <w:tcPr>
            <w:tcW w:w="0" w:type="auto"/>
            <w:hideMark/>
          </w:tcPr>
          <w:p w14:paraId="2841328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683C8DB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CC8BF02" w14:textId="77777777" w:rsidTr="00D13818">
        <w:tc>
          <w:tcPr>
            <w:tcW w:w="0" w:type="auto"/>
            <w:hideMark/>
          </w:tcPr>
          <w:p w14:paraId="2587EB4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6A5A9B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10.58</w:t>
            </w:r>
          </w:p>
        </w:tc>
        <w:tc>
          <w:tcPr>
            <w:tcW w:w="0" w:type="auto"/>
            <w:hideMark/>
          </w:tcPr>
          <w:p w14:paraId="31087B4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D6D7FB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40F17F73" w14:textId="77777777" w:rsidTr="00D13818">
        <w:tc>
          <w:tcPr>
            <w:tcW w:w="0" w:type="auto"/>
            <w:hideMark/>
          </w:tcPr>
          <w:p w14:paraId="1C54866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71B596C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8.76</w:t>
            </w:r>
          </w:p>
        </w:tc>
        <w:tc>
          <w:tcPr>
            <w:tcW w:w="0" w:type="auto"/>
            <w:hideMark/>
          </w:tcPr>
          <w:p w14:paraId="5E663D5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34B0AF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0BB33C1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7614111E"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3.7 Spatial Variation in Microbiological Indicators</w:t>
      </w:r>
    </w:p>
    <w:p w14:paraId="7AE1ADE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microbiological indicators differed significantly among the geological settings.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highest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and lowest in the Younger Granite setting. Heterotrophic bacterial counts were highest in the shale/sedimentary setting.</w:t>
      </w:r>
    </w:p>
    <w:p w14:paraId="3ED9301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7: One-way ANOVA of microbiological indicators among geological settings</w:t>
      </w:r>
    </w:p>
    <w:tbl>
      <w:tblPr>
        <w:tblStyle w:val="TableGrid"/>
        <w:tblW w:w="0" w:type="auto"/>
        <w:tblLook w:val="04A0" w:firstRow="1" w:lastRow="0" w:firstColumn="1" w:lastColumn="0" w:noHBand="0" w:noVBand="1"/>
      </w:tblPr>
      <w:tblGrid>
        <w:gridCol w:w="2969"/>
        <w:gridCol w:w="990"/>
        <w:gridCol w:w="977"/>
        <w:gridCol w:w="2236"/>
      </w:tblGrid>
      <w:tr w:rsidR="001E1693" w:rsidRPr="00013089" w14:paraId="022D14C5" w14:textId="77777777" w:rsidTr="00D13818">
        <w:tc>
          <w:tcPr>
            <w:tcW w:w="0" w:type="auto"/>
            <w:hideMark/>
          </w:tcPr>
          <w:p w14:paraId="2D16AC9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59E8B6BC"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4FB730E0"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41DACE6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2B76C2A4" w14:textId="77777777" w:rsidTr="00D13818">
        <w:tc>
          <w:tcPr>
            <w:tcW w:w="0" w:type="auto"/>
            <w:hideMark/>
          </w:tcPr>
          <w:p w14:paraId="16828AC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w:t>
            </w:r>
          </w:p>
        </w:tc>
        <w:tc>
          <w:tcPr>
            <w:tcW w:w="0" w:type="auto"/>
            <w:hideMark/>
          </w:tcPr>
          <w:p w14:paraId="2911E90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7.84</w:t>
            </w:r>
          </w:p>
        </w:tc>
        <w:tc>
          <w:tcPr>
            <w:tcW w:w="0" w:type="auto"/>
            <w:hideMark/>
          </w:tcPr>
          <w:p w14:paraId="2F24A28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B7B123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6B87570" w14:textId="77777777" w:rsidTr="00D13818">
        <w:tc>
          <w:tcPr>
            <w:tcW w:w="0" w:type="auto"/>
            <w:hideMark/>
          </w:tcPr>
          <w:p w14:paraId="0615CE5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w:t>
            </w:r>
          </w:p>
        </w:tc>
        <w:tc>
          <w:tcPr>
            <w:tcW w:w="0" w:type="auto"/>
            <w:hideMark/>
          </w:tcPr>
          <w:p w14:paraId="0D98D0D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9.62</w:t>
            </w:r>
          </w:p>
        </w:tc>
        <w:tc>
          <w:tcPr>
            <w:tcW w:w="0" w:type="auto"/>
            <w:hideMark/>
          </w:tcPr>
          <w:p w14:paraId="3A91AD8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1BA64C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04F476EA" w14:textId="77777777" w:rsidTr="00D13818">
        <w:tc>
          <w:tcPr>
            <w:tcW w:w="0" w:type="auto"/>
            <w:hideMark/>
          </w:tcPr>
          <w:p w14:paraId="4D7E396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w:t>
            </w:r>
          </w:p>
        </w:tc>
        <w:tc>
          <w:tcPr>
            <w:tcW w:w="0" w:type="auto"/>
            <w:hideMark/>
          </w:tcPr>
          <w:p w14:paraId="7E6D34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8.47</w:t>
            </w:r>
          </w:p>
        </w:tc>
        <w:tc>
          <w:tcPr>
            <w:tcW w:w="0" w:type="auto"/>
            <w:hideMark/>
          </w:tcPr>
          <w:p w14:paraId="3E955D3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326DCE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4DF659C" w14:textId="77777777" w:rsidTr="00D13818">
        <w:tc>
          <w:tcPr>
            <w:tcW w:w="0" w:type="auto"/>
            <w:hideMark/>
          </w:tcPr>
          <w:p w14:paraId="318293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p>
        </w:tc>
        <w:tc>
          <w:tcPr>
            <w:tcW w:w="0" w:type="auto"/>
            <w:hideMark/>
          </w:tcPr>
          <w:p w14:paraId="7972B0C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7.93</w:t>
            </w:r>
          </w:p>
        </w:tc>
        <w:tc>
          <w:tcPr>
            <w:tcW w:w="0" w:type="auto"/>
            <w:hideMark/>
          </w:tcPr>
          <w:p w14:paraId="3FF589C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9B30BF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CCDB453" w14:textId="77777777" w:rsidTr="00D13818">
        <w:tc>
          <w:tcPr>
            <w:tcW w:w="0" w:type="auto"/>
            <w:hideMark/>
          </w:tcPr>
          <w:p w14:paraId="394A122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w:t>
            </w:r>
          </w:p>
        </w:tc>
        <w:tc>
          <w:tcPr>
            <w:tcW w:w="0" w:type="auto"/>
            <w:hideMark/>
          </w:tcPr>
          <w:p w14:paraId="69A80F9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6.58</w:t>
            </w:r>
          </w:p>
        </w:tc>
        <w:tc>
          <w:tcPr>
            <w:tcW w:w="0" w:type="auto"/>
            <w:hideMark/>
          </w:tcPr>
          <w:p w14:paraId="6F6B7D2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9AE3FA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7A8BC43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5EF4748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3.8 Relationship between Groundwater Chemistry and Microbiological Quality</w:t>
      </w:r>
    </w:p>
    <w:p w14:paraId="632788E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Pearson correlation analysis showed significant relationships between selected groundwater physicochemical parameters and microbiological indicators. Turbidity exhibited strong positive correlations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Nitrate also showed positive correlations with the microbial indicators. pH showed weak-to-moderate negative correlations with the microbiological parameters.</w:t>
      </w:r>
    </w:p>
    <w:p w14:paraId="7EBBFDA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lastRenderedPageBreak/>
        <w:t>Table 8: Pearson correlation coefficients between selected groundwater parameters and microbiological indicators</w:t>
      </w:r>
    </w:p>
    <w:tbl>
      <w:tblPr>
        <w:tblStyle w:val="TableGrid"/>
        <w:tblW w:w="0" w:type="auto"/>
        <w:tblLook w:val="04A0" w:firstRow="1" w:lastRow="0" w:firstColumn="1" w:lastColumn="0" w:noHBand="0" w:noVBand="1"/>
      </w:tblPr>
      <w:tblGrid>
        <w:gridCol w:w="2756"/>
        <w:gridCol w:w="1783"/>
        <w:gridCol w:w="1902"/>
        <w:gridCol w:w="996"/>
        <w:gridCol w:w="1429"/>
      </w:tblGrid>
      <w:tr w:rsidR="001E1693" w:rsidRPr="00013089" w14:paraId="65BBD756" w14:textId="77777777" w:rsidTr="00D13818">
        <w:tc>
          <w:tcPr>
            <w:tcW w:w="0" w:type="auto"/>
            <w:hideMark/>
          </w:tcPr>
          <w:p w14:paraId="0CFED38D"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Groundwater parameter</w:t>
            </w:r>
          </w:p>
        </w:tc>
        <w:tc>
          <w:tcPr>
            <w:tcW w:w="0" w:type="auto"/>
            <w:hideMark/>
          </w:tcPr>
          <w:p w14:paraId="270680A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coliforms</w:t>
            </w:r>
          </w:p>
        </w:tc>
        <w:tc>
          <w:tcPr>
            <w:tcW w:w="0" w:type="auto"/>
            <w:hideMark/>
          </w:tcPr>
          <w:p w14:paraId="3F820B2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Faecal coliforms</w:t>
            </w:r>
          </w:p>
        </w:tc>
        <w:tc>
          <w:tcPr>
            <w:tcW w:w="0" w:type="auto"/>
            <w:hideMark/>
          </w:tcPr>
          <w:p w14:paraId="7AF32033"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p>
        </w:tc>
        <w:tc>
          <w:tcPr>
            <w:tcW w:w="0" w:type="auto"/>
            <w:hideMark/>
          </w:tcPr>
          <w:p w14:paraId="5C272B7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Enterococci</w:t>
            </w:r>
          </w:p>
        </w:tc>
      </w:tr>
      <w:tr w:rsidR="001E1693" w:rsidRPr="00013089" w14:paraId="01B1B340" w14:textId="77777777" w:rsidTr="00D13818">
        <w:tc>
          <w:tcPr>
            <w:tcW w:w="0" w:type="auto"/>
            <w:hideMark/>
          </w:tcPr>
          <w:p w14:paraId="7240ED4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3FDBEAB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w:t>
            </w:r>
          </w:p>
        </w:tc>
        <w:tc>
          <w:tcPr>
            <w:tcW w:w="0" w:type="auto"/>
            <w:hideMark/>
          </w:tcPr>
          <w:p w14:paraId="72C7C57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74F0654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4569AA2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−0.31*</w:t>
            </w:r>
          </w:p>
        </w:tc>
      </w:tr>
      <w:tr w:rsidR="001E1693" w:rsidRPr="00013089" w14:paraId="1E60AD21" w14:textId="77777777" w:rsidTr="00D13818">
        <w:tc>
          <w:tcPr>
            <w:tcW w:w="0" w:type="auto"/>
            <w:hideMark/>
          </w:tcPr>
          <w:p w14:paraId="1936554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5471382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0.47**</w:t>
            </w:r>
          </w:p>
        </w:tc>
        <w:tc>
          <w:tcPr>
            <w:tcW w:w="0" w:type="auto"/>
            <w:hideMark/>
          </w:tcPr>
          <w:p w14:paraId="168491C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0.44**</w:t>
            </w:r>
          </w:p>
        </w:tc>
        <w:tc>
          <w:tcPr>
            <w:tcW w:w="0" w:type="auto"/>
            <w:hideMark/>
          </w:tcPr>
          <w:p w14:paraId="76D9560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0.41**</w:t>
            </w:r>
          </w:p>
        </w:tc>
        <w:tc>
          <w:tcPr>
            <w:tcW w:w="0" w:type="auto"/>
            <w:hideMark/>
          </w:tcPr>
          <w:p w14:paraId="0AC7645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0.39**</w:t>
            </w:r>
          </w:p>
        </w:tc>
      </w:tr>
      <w:tr w:rsidR="001E1693" w:rsidRPr="00013089" w14:paraId="4242C574" w14:textId="77777777" w:rsidTr="00D13818">
        <w:tc>
          <w:tcPr>
            <w:tcW w:w="0" w:type="auto"/>
            <w:hideMark/>
          </w:tcPr>
          <w:p w14:paraId="7DDE90D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w:t>
            </w:r>
          </w:p>
        </w:tc>
        <w:tc>
          <w:tcPr>
            <w:tcW w:w="0" w:type="auto"/>
            <w:hideMark/>
          </w:tcPr>
          <w:p w14:paraId="5E66AD3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0.72***</w:t>
            </w:r>
          </w:p>
        </w:tc>
        <w:tc>
          <w:tcPr>
            <w:tcW w:w="0" w:type="auto"/>
            <w:hideMark/>
          </w:tcPr>
          <w:p w14:paraId="24100A9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0.69***</w:t>
            </w:r>
          </w:p>
        </w:tc>
        <w:tc>
          <w:tcPr>
            <w:tcW w:w="0" w:type="auto"/>
            <w:hideMark/>
          </w:tcPr>
          <w:p w14:paraId="16734D7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0.68***</w:t>
            </w:r>
          </w:p>
        </w:tc>
        <w:tc>
          <w:tcPr>
            <w:tcW w:w="0" w:type="auto"/>
            <w:hideMark/>
          </w:tcPr>
          <w:p w14:paraId="606FF62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0.63***</w:t>
            </w:r>
          </w:p>
        </w:tc>
      </w:tr>
      <w:tr w:rsidR="001E1693" w:rsidRPr="00013089" w14:paraId="28C45EC2" w14:textId="77777777" w:rsidTr="00D13818">
        <w:tc>
          <w:tcPr>
            <w:tcW w:w="0" w:type="auto"/>
            <w:hideMark/>
          </w:tcPr>
          <w:p w14:paraId="169DCF1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3F1E073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7E0861E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22A01A2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0.32*</w:t>
            </w:r>
          </w:p>
        </w:tc>
        <w:tc>
          <w:tcPr>
            <w:tcW w:w="0" w:type="auto"/>
            <w:hideMark/>
          </w:tcPr>
          <w:p w14:paraId="731932F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0.29*</w:t>
            </w:r>
          </w:p>
        </w:tc>
      </w:tr>
      <w:tr w:rsidR="001E1693" w:rsidRPr="00013089" w14:paraId="5F3ECF53" w14:textId="77777777" w:rsidTr="00D13818">
        <w:tc>
          <w:tcPr>
            <w:tcW w:w="0" w:type="auto"/>
            <w:hideMark/>
          </w:tcPr>
          <w:p w14:paraId="1074013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Nitrate</w:t>
            </w:r>
          </w:p>
        </w:tc>
        <w:tc>
          <w:tcPr>
            <w:tcW w:w="0" w:type="auto"/>
            <w:hideMark/>
          </w:tcPr>
          <w:p w14:paraId="4D601C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0.61***</w:t>
            </w:r>
          </w:p>
        </w:tc>
        <w:tc>
          <w:tcPr>
            <w:tcW w:w="0" w:type="auto"/>
            <w:hideMark/>
          </w:tcPr>
          <w:p w14:paraId="7B356C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0.58***</w:t>
            </w:r>
          </w:p>
        </w:tc>
        <w:tc>
          <w:tcPr>
            <w:tcW w:w="0" w:type="auto"/>
            <w:hideMark/>
          </w:tcPr>
          <w:p w14:paraId="4B8C70F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0.56***</w:t>
            </w:r>
          </w:p>
        </w:tc>
        <w:tc>
          <w:tcPr>
            <w:tcW w:w="0" w:type="auto"/>
            <w:hideMark/>
          </w:tcPr>
          <w:p w14:paraId="65D609B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w:t>
            </w:r>
          </w:p>
        </w:tc>
      </w:tr>
      <w:tr w:rsidR="001E1693" w:rsidRPr="00013089" w14:paraId="0974FFB9" w14:textId="77777777" w:rsidTr="00D13818">
        <w:tc>
          <w:tcPr>
            <w:tcW w:w="0" w:type="auto"/>
            <w:hideMark/>
          </w:tcPr>
          <w:p w14:paraId="07A47EF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4CA6AA9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0.27</w:t>
            </w:r>
          </w:p>
        </w:tc>
        <w:tc>
          <w:tcPr>
            <w:tcW w:w="0" w:type="auto"/>
            <w:hideMark/>
          </w:tcPr>
          <w:p w14:paraId="30EAF77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0.25</w:t>
            </w:r>
          </w:p>
        </w:tc>
        <w:tc>
          <w:tcPr>
            <w:tcW w:w="0" w:type="auto"/>
            <w:hideMark/>
          </w:tcPr>
          <w:p w14:paraId="412441D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0.22</w:t>
            </w:r>
          </w:p>
        </w:tc>
        <w:tc>
          <w:tcPr>
            <w:tcW w:w="0" w:type="auto"/>
            <w:hideMark/>
          </w:tcPr>
          <w:p w14:paraId="26FE6BA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w:t>
            </w:r>
          </w:p>
        </w:tc>
      </w:tr>
      <w:tr w:rsidR="001E1693" w:rsidRPr="00013089" w14:paraId="12D4A050" w14:textId="77777777" w:rsidTr="00D13818">
        <w:tc>
          <w:tcPr>
            <w:tcW w:w="0" w:type="auto"/>
            <w:hideMark/>
          </w:tcPr>
          <w:p w14:paraId="6883211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0998603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0.18</w:t>
            </w:r>
          </w:p>
        </w:tc>
        <w:tc>
          <w:tcPr>
            <w:tcW w:w="0" w:type="auto"/>
            <w:hideMark/>
          </w:tcPr>
          <w:p w14:paraId="35B106E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0.16</w:t>
            </w:r>
          </w:p>
        </w:tc>
        <w:tc>
          <w:tcPr>
            <w:tcW w:w="0" w:type="auto"/>
            <w:hideMark/>
          </w:tcPr>
          <w:p w14:paraId="6362F10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0.14</w:t>
            </w:r>
          </w:p>
        </w:tc>
        <w:tc>
          <w:tcPr>
            <w:tcW w:w="0" w:type="auto"/>
            <w:hideMark/>
          </w:tcPr>
          <w:p w14:paraId="65C6B32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0.12</w:t>
            </w:r>
          </w:p>
        </w:tc>
      </w:tr>
    </w:tbl>
    <w:p w14:paraId="0216E42C" w14:textId="77777777" w:rsidR="001E1693" w:rsidRPr="00013089" w:rsidRDefault="001E1693" w:rsidP="001E169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 &lt; 0.05; ** p &lt; 0.01; *** p &lt; 0.001.</w:t>
      </w:r>
    </w:p>
    <w:p w14:paraId="433C2DEC"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3.9 Comparative Groundwater Mineralisation</w:t>
      </w:r>
    </w:p>
    <w:p w14:paraId="76BA8A9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comparative assessment showed that Basement Complex groundwater had the highest values for EC, TDS, total hardness, calcium, magnesium and bicarbonate. Younger Granite groundwater showed intermediate mineralisation, whereas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concentrations of the principal mineralisation indicators. The shale/sedimentary setting exhibited an intermediate-to-high mineralisation profile.</w:t>
      </w:r>
    </w:p>
    <w:p w14:paraId="6D634A6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Table.9: Comparative groundwater mineralisation across geological settings</w:t>
      </w:r>
    </w:p>
    <w:tbl>
      <w:tblPr>
        <w:tblStyle w:val="TableGrid"/>
        <w:tblW w:w="0" w:type="auto"/>
        <w:tblLook w:val="04A0" w:firstRow="1" w:lastRow="0" w:firstColumn="1" w:lastColumn="0" w:noHBand="0" w:noVBand="1"/>
      </w:tblPr>
      <w:tblGrid>
        <w:gridCol w:w="2060"/>
        <w:gridCol w:w="1128"/>
        <w:gridCol w:w="1065"/>
        <w:gridCol w:w="1508"/>
        <w:gridCol w:w="1057"/>
        <w:gridCol w:w="1072"/>
        <w:gridCol w:w="1126"/>
      </w:tblGrid>
      <w:tr w:rsidR="001E1693" w:rsidRPr="00013089" w14:paraId="157E2F61" w14:textId="77777777" w:rsidTr="00D13818">
        <w:tc>
          <w:tcPr>
            <w:tcW w:w="0" w:type="auto"/>
            <w:hideMark/>
          </w:tcPr>
          <w:p w14:paraId="152AF86A"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Geological setting</w:t>
            </w:r>
          </w:p>
        </w:tc>
        <w:tc>
          <w:tcPr>
            <w:tcW w:w="0" w:type="auto"/>
            <w:hideMark/>
          </w:tcPr>
          <w:p w14:paraId="2C88B2A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1339A63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25A9D8F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7FF4EE1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Ca²⁺ (mg/L)</w:t>
            </w:r>
          </w:p>
        </w:tc>
        <w:tc>
          <w:tcPr>
            <w:tcW w:w="0" w:type="auto"/>
            <w:hideMark/>
          </w:tcPr>
          <w:p w14:paraId="725EE64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Mg²⁺ (mg/L)</w:t>
            </w:r>
          </w:p>
        </w:tc>
        <w:tc>
          <w:tcPr>
            <w:tcW w:w="0" w:type="auto"/>
            <w:hideMark/>
          </w:tcPr>
          <w:p w14:paraId="3DB64B94"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HCO₃⁻ (mg/L)</w:t>
            </w:r>
          </w:p>
        </w:tc>
      </w:tr>
      <w:tr w:rsidR="001E1693" w:rsidRPr="00013089" w14:paraId="4E6CAE94" w14:textId="77777777" w:rsidTr="00D13818">
        <w:tc>
          <w:tcPr>
            <w:tcW w:w="0" w:type="auto"/>
            <w:hideMark/>
          </w:tcPr>
          <w:p w14:paraId="24EC621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1B7B317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602595C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1CEF83D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2BA221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05EC2D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w:t>
            </w:r>
          </w:p>
        </w:tc>
        <w:tc>
          <w:tcPr>
            <w:tcW w:w="0" w:type="auto"/>
            <w:hideMark/>
          </w:tcPr>
          <w:p w14:paraId="509A66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w:t>
            </w:r>
          </w:p>
        </w:tc>
      </w:tr>
      <w:tr w:rsidR="001E1693" w:rsidRPr="00013089" w14:paraId="46F9BC04" w14:textId="77777777" w:rsidTr="00D13818">
        <w:tc>
          <w:tcPr>
            <w:tcW w:w="0" w:type="auto"/>
            <w:hideMark/>
          </w:tcPr>
          <w:p w14:paraId="3A723AF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4B4D998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7B06E0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51DB908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6F44856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w:t>
            </w:r>
          </w:p>
        </w:tc>
        <w:tc>
          <w:tcPr>
            <w:tcW w:w="0" w:type="auto"/>
            <w:hideMark/>
          </w:tcPr>
          <w:p w14:paraId="32BE8BA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w:t>
            </w:r>
          </w:p>
        </w:tc>
        <w:tc>
          <w:tcPr>
            <w:tcW w:w="0" w:type="auto"/>
            <w:hideMark/>
          </w:tcPr>
          <w:p w14:paraId="530020D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w:t>
            </w:r>
          </w:p>
        </w:tc>
      </w:tr>
      <w:tr w:rsidR="001E1693" w:rsidRPr="00013089" w14:paraId="7096D399" w14:textId="77777777" w:rsidTr="00D13818">
        <w:tc>
          <w:tcPr>
            <w:tcW w:w="0" w:type="auto"/>
            <w:hideMark/>
          </w:tcPr>
          <w:p w14:paraId="75AEB75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4ABCBFA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4610455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79415A9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5B3C7AD0"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w:t>
            </w:r>
          </w:p>
        </w:tc>
        <w:tc>
          <w:tcPr>
            <w:tcW w:w="0" w:type="auto"/>
            <w:hideMark/>
          </w:tcPr>
          <w:p w14:paraId="3A406D6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w:t>
            </w:r>
          </w:p>
        </w:tc>
        <w:tc>
          <w:tcPr>
            <w:tcW w:w="0" w:type="auto"/>
            <w:hideMark/>
          </w:tcPr>
          <w:p w14:paraId="54B2F61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w:t>
            </w:r>
          </w:p>
        </w:tc>
      </w:tr>
      <w:tr w:rsidR="001E1693" w:rsidRPr="00013089" w14:paraId="62894FEF" w14:textId="77777777" w:rsidTr="00D13818">
        <w:tc>
          <w:tcPr>
            <w:tcW w:w="0" w:type="auto"/>
            <w:hideMark/>
          </w:tcPr>
          <w:p w14:paraId="6540843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Weathered </w:t>
            </w:r>
            <w:proofErr w:type="spellStart"/>
            <w:r w:rsidRPr="00013089">
              <w:rPr>
                <w:rFonts w:ascii="Times New Roman" w:eastAsia="Times New Roman" w:hAnsi="Times New Roman" w:cs="Times New Roman"/>
                <w:sz w:val="24"/>
                <w:szCs w:val="24"/>
                <w:lang w:eastAsia="en-GB"/>
              </w:rPr>
              <w:t>Regolith</w:t>
            </w:r>
            <w:proofErr w:type="spellEnd"/>
          </w:p>
        </w:tc>
        <w:tc>
          <w:tcPr>
            <w:tcW w:w="0" w:type="auto"/>
            <w:hideMark/>
          </w:tcPr>
          <w:p w14:paraId="771D716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3F95199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5603C2A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694F1964"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w:t>
            </w:r>
          </w:p>
        </w:tc>
        <w:tc>
          <w:tcPr>
            <w:tcW w:w="0" w:type="auto"/>
            <w:hideMark/>
          </w:tcPr>
          <w:p w14:paraId="1A8E0F49"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w:t>
            </w:r>
          </w:p>
        </w:tc>
        <w:tc>
          <w:tcPr>
            <w:tcW w:w="0" w:type="auto"/>
            <w:hideMark/>
          </w:tcPr>
          <w:p w14:paraId="56ED23F5"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w:t>
            </w:r>
          </w:p>
        </w:tc>
      </w:tr>
    </w:tbl>
    <w:p w14:paraId="48CC6D2C"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3.10 Integrated Chemical and Microbiological Assessment</w:t>
      </w:r>
    </w:p>
    <w:p w14:paraId="658519A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integrated assessment demonstrated that chemical and microbiological groundwater quality did not exhibit identical spatial patterns. Basement Complex groundwater showed the greatest degree of mineralisation but comparatively lower microbial indicator concentrations than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The Younger Granite setting exhibited relatively low mineralisation and the lowest microbial indicator concentrations. The shale/sedimentary setting showed elevated dissolved constituents together with increased microbial indicators,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recorded the lowest mineralisation but the highest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concentration.</w:t>
      </w:r>
    </w:p>
    <w:p w14:paraId="3E3638B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10: Integrated chemical and microbiological assessment of groundwater across geological settings</w:t>
      </w:r>
    </w:p>
    <w:tbl>
      <w:tblPr>
        <w:tblStyle w:val="TableGrid"/>
        <w:tblW w:w="0" w:type="auto"/>
        <w:tblLook w:val="04A0" w:firstRow="1" w:lastRow="0" w:firstColumn="1" w:lastColumn="0" w:noHBand="0" w:noVBand="1"/>
      </w:tblPr>
      <w:tblGrid>
        <w:gridCol w:w="1868"/>
        <w:gridCol w:w="950"/>
        <w:gridCol w:w="860"/>
        <w:gridCol w:w="1056"/>
        <w:gridCol w:w="1128"/>
        <w:gridCol w:w="1468"/>
        <w:gridCol w:w="1686"/>
      </w:tblGrid>
      <w:tr w:rsidR="001E1693" w:rsidRPr="00013089" w14:paraId="791975DF" w14:textId="77777777" w:rsidTr="00D13818">
        <w:tc>
          <w:tcPr>
            <w:tcW w:w="0" w:type="auto"/>
            <w:hideMark/>
          </w:tcPr>
          <w:p w14:paraId="412AB9E5"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lastRenderedPageBreak/>
              <w:t>Geological setting</w:t>
            </w:r>
          </w:p>
        </w:tc>
        <w:tc>
          <w:tcPr>
            <w:tcW w:w="0" w:type="auto"/>
            <w:hideMark/>
          </w:tcPr>
          <w:p w14:paraId="1F2A51D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35939D06"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7AFBADD1"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24482570"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r w:rsidRPr="00013089">
              <w:rPr>
                <w:rFonts w:ascii="Times New Roman" w:eastAsia="Times New Roman" w:hAnsi="Times New Roman" w:cs="Times New Roman"/>
                <w:b/>
                <w:bCs/>
                <w:sz w:val="24"/>
                <w:szCs w:val="24"/>
                <w:lang w:eastAsia="en-GB"/>
              </w:rPr>
              <w:t xml:space="preserve"> (CFU/100 mL)</w:t>
            </w:r>
          </w:p>
        </w:tc>
        <w:tc>
          <w:tcPr>
            <w:tcW w:w="0" w:type="auto"/>
            <w:hideMark/>
          </w:tcPr>
          <w:p w14:paraId="7ED0EC8F"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Chemical profile</w:t>
            </w:r>
          </w:p>
        </w:tc>
        <w:tc>
          <w:tcPr>
            <w:tcW w:w="0" w:type="auto"/>
            <w:hideMark/>
          </w:tcPr>
          <w:p w14:paraId="301036F7" w14:textId="77777777" w:rsidR="001E1693" w:rsidRPr="00013089" w:rsidRDefault="001E1693" w:rsidP="00D13818">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profile</w:t>
            </w:r>
          </w:p>
        </w:tc>
      </w:tr>
      <w:tr w:rsidR="001E1693" w:rsidRPr="00013089" w14:paraId="75ABF2EA" w14:textId="77777777" w:rsidTr="00D13818">
        <w:tc>
          <w:tcPr>
            <w:tcW w:w="0" w:type="auto"/>
            <w:hideMark/>
          </w:tcPr>
          <w:p w14:paraId="60CBEB8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0A17ECF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52EAA5C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0EE6D2A2"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482B56A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w:t>
            </w:r>
          </w:p>
        </w:tc>
        <w:tc>
          <w:tcPr>
            <w:tcW w:w="0" w:type="auto"/>
            <w:hideMark/>
          </w:tcPr>
          <w:p w14:paraId="41A95C8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highly mineralised</w:t>
            </w:r>
          </w:p>
        </w:tc>
        <w:tc>
          <w:tcPr>
            <w:tcW w:w="0" w:type="auto"/>
            <w:hideMark/>
          </w:tcPr>
          <w:p w14:paraId="194E8E0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Moderate microbial indicators</w:t>
            </w:r>
          </w:p>
        </w:tc>
      </w:tr>
      <w:tr w:rsidR="001E1693" w:rsidRPr="00013089" w14:paraId="3E80F079" w14:textId="77777777" w:rsidTr="00D13818">
        <w:tc>
          <w:tcPr>
            <w:tcW w:w="0" w:type="auto"/>
            <w:hideMark/>
          </w:tcPr>
          <w:p w14:paraId="609300AE"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028DEED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1A10DA4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1393327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1103A0B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w:t>
            </w:r>
          </w:p>
        </w:tc>
        <w:tc>
          <w:tcPr>
            <w:tcW w:w="0" w:type="auto"/>
            <w:hideMark/>
          </w:tcPr>
          <w:p w14:paraId="5339BA7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low mineralisation</w:t>
            </w:r>
          </w:p>
        </w:tc>
        <w:tc>
          <w:tcPr>
            <w:tcW w:w="0" w:type="auto"/>
            <w:hideMark/>
          </w:tcPr>
          <w:p w14:paraId="68B3383A"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microbial indicators</w:t>
            </w:r>
          </w:p>
        </w:tc>
      </w:tr>
      <w:tr w:rsidR="001E1693" w:rsidRPr="00013089" w14:paraId="610A102D" w14:textId="77777777" w:rsidTr="00D13818">
        <w:tc>
          <w:tcPr>
            <w:tcW w:w="0" w:type="auto"/>
            <w:hideMark/>
          </w:tcPr>
          <w:p w14:paraId="73961EE8"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612C9906"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06F76701"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5C375373"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5189448F"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w:t>
            </w:r>
          </w:p>
        </w:tc>
        <w:tc>
          <w:tcPr>
            <w:tcW w:w="0" w:type="auto"/>
            <w:hideMark/>
          </w:tcPr>
          <w:p w14:paraId="1A17FD5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dissolved constituents</w:t>
            </w:r>
          </w:p>
        </w:tc>
        <w:tc>
          <w:tcPr>
            <w:tcW w:w="0" w:type="auto"/>
            <w:hideMark/>
          </w:tcPr>
          <w:p w14:paraId="255FA35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microbial indicators</w:t>
            </w:r>
          </w:p>
        </w:tc>
      </w:tr>
      <w:tr w:rsidR="001E1693" w:rsidRPr="00013089" w14:paraId="117FFBB1" w14:textId="77777777" w:rsidTr="00D13818">
        <w:tc>
          <w:tcPr>
            <w:tcW w:w="0" w:type="auto"/>
            <w:hideMark/>
          </w:tcPr>
          <w:p w14:paraId="5A1B8AC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Weathered </w:t>
            </w:r>
            <w:proofErr w:type="spellStart"/>
            <w:r w:rsidRPr="00013089">
              <w:rPr>
                <w:rFonts w:ascii="Times New Roman" w:eastAsia="Times New Roman" w:hAnsi="Times New Roman" w:cs="Times New Roman"/>
                <w:sz w:val="24"/>
                <w:szCs w:val="24"/>
                <w:lang w:eastAsia="en-GB"/>
              </w:rPr>
              <w:t>Regolith</w:t>
            </w:r>
            <w:proofErr w:type="spellEnd"/>
          </w:p>
        </w:tc>
        <w:tc>
          <w:tcPr>
            <w:tcW w:w="0" w:type="auto"/>
            <w:hideMark/>
          </w:tcPr>
          <w:p w14:paraId="6DA8CF5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0027E40D"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1564824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4BE73A3C"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w:t>
            </w:r>
          </w:p>
        </w:tc>
        <w:tc>
          <w:tcPr>
            <w:tcW w:w="0" w:type="auto"/>
            <w:hideMark/>
          </w:tcPr>
          <w:p w14:paraId="00B1E07B"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mineralisation</w:t>
            </w:r>
          </w:p>
        </w:tc>
        <w:tc>
          <w:tcPr>
            <w:tcW w:w="0" w:type="auto"/>
            <w:hideMark/>
          </w:tcPr>
          <w:p w14:paraId="42FD7BB7" w14:textId="77777777" w:rsidR="001E1693" w:rsidRPr="00013089" w:rsidRDefault="001E1693" w:rsidP="00D13818">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Highest microbial indicators</w:t>
            </w:r>
          </w:p>
        </w:tc>
      </w:tr>
    </w:tbl>
    <w:p w14:paraId="75E77CE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Note:</w:t>
      </w:r>
      <w:r w:rsidRPr="00013089">
        <w:rPr>
          <w:rFonts w:ascii="Times New Roman" w:eastAsia="Times New Roman" w:hAnsi="Times New Roman" w:cs="Times New Roman"/>
          <w:sz w:val="24"/>
          <w:szCs w:val="24"/>
          <w:lang w:eastAsia="en-GB"/>
        </w:rPr>
        <w:t xml:space="preserve"> Values in Tables 1–</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3 and</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5 are presented as mean ± SD. Statistical significance was evaluated at p &lt; 0.05.</w:t>
      </w:r>
    </w:p>
    <w:p w14:paraId="4CB0A92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4.0 DISCUSSION</w:t>
      </w:r>
    </w:p>
    <w:p w14:paraId="305700C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4.1 Physicochemical Characteristics of Groundwater</w:t>
      </w:r>
    </w:p>
    <w:p w14:paraId="14C5E5E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physicochemical results demonstrated clear differences in groundwater characteristics among the four geological settings. The pH ranged from 6.21 ± 0.14 in the shale/sedimentary setting to 6.78 ± 0.16 in the Younger Granite setting, indicating slightly acidic to near-neutral groundwater conditions. The observed pH range is consistent with groundwater systems in which mineral dissolution, carbon dioxide interactions, weathering processes and local recharge conditions influence hydrogen-ion activity. The relatively lower pH observed in the shale/sedimentary environment may reflect differences in lithological composition and water–rock interaction. Comparable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variability has been documented in Nigerian groundwater investigations, where geological and environmental conditions contributed to differences in measured water-quality parameters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Elele et al., 2025).</w:t>
      </w:r>
    </w:p>
    <w:p w14:paraId="0711A25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Electrical conductivity and total dissolved solids showed a stronger geological differentiation than </w:t>
      </w:r>
      <w:proofErr w:type="spellStart"/>
      <w:r w:rsidRPr="00013089">
        <w:rPr>
          <w:rFonts w:ascii="Times New Roman" w:eastAsia="Times New Roman" w:hAnsi="Times New Roman" w:cs="Times New Roman"/>
          <w:sz w:val="24"/>
          <w:szCs w:val="24"/>
          <w:lang w:eastAsia="en-GB"/>
        </w:rPr>
        <w:t>pH.</w:t>
      </w:r>
      <w:proofErr w:type="spellEnd"/>
      <w:r w:rsidRPr="00013089">
        <w:rPr>
          <w:rFonts w:ascii="Times New Roman" w:eastAsia="Times New Roman" w:hAnsi="Times New Roman" w:cs="Times New Roman"/>
          <w:sz w:val="24"/>
          <w:szCs w:val="24"/>
          <w:lang w:eastAsia="en-GB"/>
        </w:rPr>
        <w:t xml:space="preserve"> Basement Complex groundwater recorded the highest EC (486 ± 42 µS/cm) and TDS (312 ± 28 mg/L),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had the lowest values of 298 ± 27 µS/cm and 194 ± 18 mg/L, respectively. Younger Granite groundwater recorded intermediate-to-high mineralisation, while shale/sedimentary groundwater also showed relatively elevated dissolved constituents. The significant ANOVA results for EC and TDS (p &lt; .001) indicate that these differences were not random within the study design. The higher conductivity and dissolved-solids concentrations in the Basement Complex setting suggest greater acquisition of dissolved ions through mineral weathering and water–rock interaction. Similar relationships between geological setting and groundwater chemistry have been reported in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assessments of Nigerian water sources (Okagbare et al., 2025;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w:t>
      </w:r>
    </w:p>
    <w:p w14:paraId="4A8CB74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Total hardness followed the same general pattern as EC and TDS, with the highest concentration in Basement Complex groundwater (146 ± 12 mg/L) and the lowest in </w:t>
      </w:r>
      <w:r w:rsidRPr="00013089">
        <w:rPr>
          <w:rFonts w:ascii="Times New Roman" w:eastAsia="Times New Roman" w:hAnsi="Times New Roman" w:cs="Times New Roman"/>
          <w:sz w:val="24"/>
          <w:szCs w:val="24"/>
          <w:lang w:eastAsia="en-GB"/>
        </w:rPr>
        <w:lastRenderedPageBreak/>
        <w:t>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(94 ± 9 mg/L). The corresponding calcium and magnesium concentrations also followed this pattern. This parallel behaviour indicates that calcium and magnesium contributed substantially to the observed mineralisation and hardness. Weathering and dissolution of calcium- and magnesium-bearing minerals provide plausible geochemical explanations for this pattern. The association is consistent with the dominance of Ca–Mg–HCO₃ facies observed in 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classification. Nigerian studies have similarly identified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signatures associated with mineral dissolution and geological controls on groundwater composition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Okagbare et al., 2025).</w:t>
      </w:r>
    </w:p>
    <w:p w14:paraId="135FB49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ranged from 82 ± 7 mg/L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to 118 ± 10 mg/L in the Basement Complex setting. The close correspondence between alkalinity and bicarbonate concentrations suggests that bicarbonate constituted an important component of the alkalinity of the groundwater. Higher bicarbonate concentrations in the more mineralised settings further support the contribution of water–rock interaction to groundwater chemistry. Such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patterns are consistent with groundwater systems in which dissolution and weathering reactions provide major contributions to dissolved inorganic constituents.</w:t>
      </w:r>
    </w:p>
    <w:p w14:paraId="59A025F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Turbidity remained relatively low across the geological settings, ranging from 2.16 ± 0.36 to 3.18 ± 0.51 NTU. Although the absolute differences were relatively small, the microbiological results showed that turbidity was strongly and positively associated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relationship is environmentally important because particulate matter can provide physical protection for microorganisms and may reflect pathways through which surface-derived material enters groundwater. The association also indicates that low apparent turbidity does not necessarily imply microbiological safety. Integrated water-quality studies in Nigerian environments similarly support the value of considering physical and biological indicators together </w:t>
      </w:r>
      <w:r>
        <w:rPr>
          <w:rFonts w:ascii="Times New Roman" w:eastAsia="Times New Roman" w:hAnsi="Times New Roman" w:cs="Times New Roman"/>
          <w:sz w:val="24"/>
          <w:szCs w:val="24"/>
          <w:highlight w:val="yellow"/>
          <w:lang w:eastAsia="en-GB"/>
        </w:rPr>
        <w:t>(Elele et al., 2025; Amuka et al., 2026a).</w:t>
      </w:r>
    </w:p>
    <w:p w14:paraId="6FDCC95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4.2 Major-Ion Chemistry and Mineralisation</w:t>
      </w:r>
    </w:p>
    <w:p w14:paraId="04252EA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major-ion composition further demonstrated the influence of geological setting on groundwater chemistry. Calcium was the predominant major cation, with concentrations ranging from 29.4 ± 2.9 mg/L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to 48.6 ± 4.2 mg/L in Basement Complex groundwater. Magnesium followed a similar distribution, ranging from 11.6 ± 1.4 to 18.4 ± 2.1 mg/L. The simultaneous elevation of calcium and magnesium in the more mineralised settings supports the interpretation that dissolution and weathering of mineral phases contributed significantly to groundwater composition.</w:t>
      </w:r>
    </w:p>
    <w:p w14:paraId="217B95E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Sodium and potassium exhibited comparatively lower concentrations than calcium and magnesium. Sodium ranged from 16.8 ± 1.9 mg/L in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 to 31.4 ± 3.1 mg/L in the shale/sedimentary environment, whereas potassium ranged from 2.7 ± 0.4 to 4.6 ± 0.6 mg/L. The relatively elevated sodium concentration in the shale/sedimentary setting suggests that its ionic composition was not controlled exclusively by the processes responsible for the Ca–Mg-rich groundwater in the other settings. Such differences may reflect variations in lithology, mineral assemblages and the extent of ion exchange or other geochemical processes.</w:t>
      </w:r>
    </w:p>
    <w:p w14:paraId="1D32CBE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Bicarbonate was the dominant major anion across all geological settings, ranging from 82 ± 7 mg/L in weathered </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to 118 ± 10 mg/L in the Basement Complex. Chloride and sulphate were present at lower concentrations, while nitrate showed a comparatively distinct pattern. </w:t>
      </w:r>
      <w:r w:rsidRPr="00013089">
        <w:rPr>
          <w:rFonts w:ascii="Times New Roman" w:eastAsia="Times New Roman" w:hAnsi="Times New Roman" w:cs="Times New Roman"/>
          <w:sz w:val="24"/>
          <w:szCs w:val="24"/>
          <w:lang w:eastAsia="en-GB"/>
        </w:rPr>
        <w:lastRenderedPageBreak/>
        <w:t>Nitrate was highest in the shale/sedimentary setting (12.6 ± 1.8 mg/L), compared with 7.8 ± 1.4, 6.4 ± 1.2 and 8.2 ± 1.5 mg/L in Basement Complex, Younger Granite and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settings, respectively. The significantly higher nitrate concentration in the shale/sedimentary environment may indicate greater exposure to surface-derived nutrient inputs or differences in groundwater vulnerability. Agricultural activities have been identified as potential pathways for the transport of nutrients into water systems in Rivers State, making nitrate an important parameter in interpreting groundwater quality </w:t>
      </w:r>
      <w:r>
        <w:rPr>
          <w:rFonts w:ascii="Times New Roman" w:eastAsia="Times New Roman" w:hAnsi="Times New Roman" w:cs="Times New Roman"/>
          <w:sz w:val="24"/>
          <w:szCs w:val="24"/>
          <w:highlight w:val="yellow"/>
          <w:lang w:eastAsia="en-GB"/>
        </w:rPr>
        <w:t>(Ekpe et al., 2025).</w:t>
      </w:r>
    </w:p>
    <w:p w14:paraId="40C663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mineralisation pattern established from EC, TDS, hardness, calcium, magnesium and bicarbonate was Basement Complex &gt; Younger Granite &gt; shale/sedimentary &gt; weathered </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This ordering demonstrates that mineralisation was not uniform across geological environments. The Basement Complex setting had the greatest overall dissolved-ion load, whereas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Such spatial differentiation supports the interpretation that lithological characteristics and water–rock interaction exerted an important influence on groundwater chemistry.</w:t>
      </w:r>
    </w:p>
    <w:p w14:paraId="15F03A8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4.3 Trace and Potentially Toxic Elements</w:t>
      </w:r>
    </w:p>
    <w:p w14:paraId="3C01C1E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concentrations of trace and potentially toxic elements also differed among the geological settings. Iron ranged from 0.19 ± 0.03 mg/L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to 0.51 ± 0.07 mg/L in the shale/sedimentary environment, while manganese ranged from 0.041 ± 0.008 to 0.096 ± 0.014 mg/L. The higher concentrations in shale/sedimentary groundwater suggest that lithological characteristics may have influenced the mobilisation of these elements. The significant ANOVA results for both iron and manganese further demonstrate measurable differences among geological settings.</w:t>
      </w:r>
    </w:p>
    <w:p w14:paraId="2A77AC1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Lead, cadmium, chromium and nickel showed their highest concentrations in shale/sedimentary groundwater. Lead was 0.014 ± 0.003 mg/L, cadmium 0.0026 ± 0.0005 mg/L, chromium 0.018 ± 0.004 mg/L and nickel 0.021 ± 0.004 mg/L in this setting. Although the study results alone cannot definitively distinguish geogenic from anthropogenic sources, the concurrent elevation of several trace elements suggests that both lithological composition and environmental inputs should be considered. Heavy-metal investigations in Niger Delta aquatic systems have similarly demonstrated spatial variability in potentially toxic elements and associated environmental risks </w:t>
      </w:r>
      <w:r>
        <w:rPr>
          <w:rFonts w:ascii="Times New Roman" w:eastAsia="Times New Roman" w:hAnsi="Times New Roman" w:cs="Times New Roman"/>
          <w:sz w:val="24"/>
          <w:szCs w:val="24"/>
          <w:highlight w:val="yellow"/>
          <w:lang w:eastAsia="en-GB"/>
        </w:rPr>
        <w:t>(Izuchukwu et al., 2026b; Ekpe et al., 2026).</w:t>
      </w:r>
    </w:p>
    <w:p w14:paraId="4C1259B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occurrence of trace metals in groundwater is particularly relevant because groundwater may represent a direct route of human exposure where it is consumed without adequate treatment. Studies of aquatic organisms in the Niger Delta have shown that metals such as lead, cadmium and nickel can accumulate in biological tissues, demonstrating the broader persistence and environmental significance of these contaminants </w:t>
      </w:r>
      <w:r>
        <w:rPr>
          <w:rFonts w:ascii="Times New Roman" w:eastAsia="Times New Roman" w:hAnsi="Times New Roman" w:cs="Times New Roman"/>
          <w:sz w:val="24"/>
          <w:szCs w:val="24"/>
          <w:highlight w:val="yellow"/>
          <w:lang w:eastAsia="en-GB"/>
        </w:rPr>
        <w:t>(</w:t>
      </w:r>
      <w:proofErr w:type="spellStart"/>
      <w:r>
        <w:rPr>
          <w:rFonts w:ascii="Times New Roman" w:eastAsia="Times New Roman" w:hAnsi="Times New Roman" w:cs="Times New Roman"/>
          <w:sz w:val="24"/>
          <w:szCs w:val="24"/>
          <w:highlight w:val="yellow"/>
          <w:lang w:eastAsia="en-GB"/>
        </w:rPr>
        <w:t>Anarado</w:t>
      </w:r>
      <w:proofErr w:type="spellEnd"/>
      <w:r>
        <w:rPr>
          <w:rFonts w:ascii="Times New Roman" w:eastAsia="Times New Roman" w:hAnsi="Times New Roman" w:cs="Times New Roman"/>
          <w:sz w:val="24"/>
          <w:szCs w:val="24"/>
          <w:highlight w:val="yellow"/>
          <w:lang w:eastAsia="en-GB"/>
        </w:rPr>
        <w:t xml:space="preserve"> et al., 2023; </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2025c).</w:t>
      </w:r>
      <w:r>
        <w:rPr>
          <w:rFonts w:ascii="Times New Roman" w:eastAsia="Times New Roman" w:hAnsi="Times New Roman" w:cs="Times New Roman"/>
          <w:sz w:val="24"/>
          <w:szCs w:val="24"/>
          <w:lang w:eastAsia="en-GB"/>
        </w:rPr>
        <w:t xml:space="preserve"> The present findings therefore support continued monitoring of potentially toxic elements even where their concentrations are relatively low.</w:t>
      </w:r>
    </w:p>
    <w:p w14:paraId="77083CA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Copper and zinc showed lower concentrations than several of the other trace elements, although both varied among geological settings. The highest copper and zinc concentrations occurred in the shale/sedimentary environment. Their simultaneous elevation with other metals reinforces the broader pattern of enhanced dissolved constituents in this setting. Environmental assessments of agricultural soils and aquatic systems in the Niger Delta have similarly identified spatial variation in metal concentrations associated with local environmental conditions </w:t>
      </w:r>
      <w:r>
        <w:rPr>
          <w:rFonts w:ascii="Times New Roman" w:eastAsia="Times New Roman" w:hAnsi="Times New Roman" w:cs="Times New Roman"/>
          <w:sz w:val="24"/>
          <w:szCs w:val="24"/>
          <w:highlight w:val="yellow"/>
          <w:lang w:eastAsia="en-GB"/>
        </w:rPr>
        <w:t xml:space="preserve">(Izuchukwu et al., 2026a, 2026b; </w:t>
      </w:r>
      <w:proofErr w:type="spellStart"/>
      <w:r>
        <w:rPr>
          <w:rFonts w:ascii="Times New Roman" w:eastAsia="Times New Roman" w:hAnsi="Times New Roman" w:cs="Times New Roman"/>
          <w:sz w:val="24"/>
          <w:szCs w:val="24"/>
          <w:highlight w:val="yellow"/>
          <w:lang w:eastAsia="en-GB"/>
        </w:rPr>
        <w:t>Ohaturuonye</w:t>
      </w:r>
      <w:proofErr w:type="spellEnd"/>
      <w:r>
        <w:rPr>
          <w:rFonts w:ascii="Times New Roman" w:eastAsia="Times New Roman" w:hAnsi="Times New Roman" w:cs="Times New Roman"/>
          <w:sz w:val="24"/>
          <w:szCs w:val="24"/>
          <w:highlight w:val="yellow"/>
          <w:lang w:eastAsia="en-GB"/>
        </w:rPr>
        <w:t xml:space="preserve"> et al., 2026).</w:t>
      </w:r>
    </w:p>
    <w:p w14:paraId="120CEDC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lastRenderedPageBreak/>
        <w:t xml:space="preserve">4.4 </w:t>
      </w:r>
      <w:proofErr w:type="spellStart"/>
      <w:r w:rsidRPr="00013089">
        <w:rPr>
          <w:rFonts w:ascii="Times New Roman" w:eastAsia="Times New Roman" w:hAnsi="Times New Roman" w:cs="Times New Roman"/>
          <w:b/>
          <w:bCs/>
          <w:sz w:val="24"/>
          <w:szCs w:val="24"/>
          <w:lang w:eastAsia="en-GB"/>
        </w:rPr>
        <w:t>Hydrochemical</w:t>
      </w:r>
      <w:proofErr w:type="spellEnd"/>
      <w:r w:rsidRPr="00013089">
        <w:rPr>
          <w:rFonts w:ascii="Times New Roman" w:eastAsia="Times New Roman" w:hAnsi="Times New Roman" w:cs="Times New Roman"/>
          <w:b/>
          <w:bCs/>
          <w:sz w:val="24"/>
          <w:szCs w:val="24"/>
          <w:lang w:eastAsia="en-GB"/>
        </w:rPr>
        <w:t xml:space="preserve"> Facies</w:t>
      </w:r>
    </w:p>
    <w:p w14:paraId="150B9E6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classification showed that Ca–Mg–HCO₃ was the dominant facies across all four geological settings, accounting for 58.3% of Basement Complex groundwater, 45.8% of Younger Granite groundwater, 33.3% of shale/sedimentary groundwater and 62.5% of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The predominance of this facies indicates that calcium, magnesium and bicarbonate constituted the principal ionic components of groundwater and supports the interpretation of mineral dissolution and water–rock interaction as major controls on groundwater chemistry.</w:t>
      </w:r>
    </w:p>
    <w:p w14:paraId="79C983F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relatively lower proportion of Ca–Mg–HCO₃ water in the shale/sedimentary setting was accompanied by greater representation of Na–Ca–HCO₃–Cl and Na–Cl facies. This suggests greater chemical diversification within the shale/sedimentary groundwater system. The occurrence of chloride-bearing facies may indicate contributions from additional mineral sources or environmental inputs, although the available data do not permit a definitive source apportionment.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investigations in Nigerian groundwater environments have similarly demonstrated that contrasting ionic facies can occur within areas subject to different geological and environmental controls (</w:t>
      </w:r>
      <w:proofErr w:type="spellStart"/>
      <w:r w:rsidRPr="00013089">
        <w:rPr>
          <w:rFonts w:ascii="Times New Roman" w:eastAsia="Times New Roman" w:hAnsi="Times New Roman" w:cs="Times New Roman"/>
          <w:sz w:val="24"/>
          <w:szCs w:val="24"/>
          <w:lang w:eastAsia="en-GB"/>
        </w:rPr>
        <w:t>Ekesiobi</w:t>
      </w:r>
      <w:proofErr w:type="spellEnd"/>
      <w:r w:rsidRPr="00013089">
        <w:rPr>
          <w:rFonts w:ascii="Times New Roman" w:eastAsia="Times New Roman" w:hAnsi="Times New Roman" w:cs="Times New Roman"/>
          <w:sz w:val="24"/>
          <w:szCs w:val="24"/>
          <w:lang w:eastAsia="en-GB"/>
        </w:rPr>
        <w:t xml:space="preserve"> et al., 2025; Okagbare et al., 2025).</w:t>
      </w:r>
    </w:p>
    <w:p w14:paraId="42D8F97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dominance of Ca–Mg–HCO₃ facies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despite its lowest mineralisation is particularly notable. It indicates that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describe the relative ionic composition rather than the absolute concentration of dissolved constituents. Therefore, a groundwater source can retain a characteristic Ca–Mg–HCO₃ signature while having relatively low EC and TDS.</w:t>
      </w:r>
    </w:p>
    <w:p w14:paraId="18E8315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4.5 Microbiological Quality of Groundwater</w:t>
      </w:r>
    </w:p>
    <w:p w14:paraId="1EBA876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microbiological results revealed a different spatial pattern from the chemical mineralisation data. Heterotrophic bacterial counts ranged from 1.9 × 10² ± 0.4 × 10² CFU/mL in Younger Granite groundwater to 3.6 × 10² ± 0.7 × 10² CFU/mL in shale/sedimentary groundwater. The shale/sedimentary setting therefore exhibited the highest heterotrophic bacterial count, consistent with its relatively elevated concentrations of several dissolved constituents and nitrate. However, heterotrophic bacterial abundance should not be interpreted as a direct measure of faecal contamination because heterotrophic organisms include a broad range of environmental bacteria.</w:t>
      </w:r>
    </w:p>
    <w:p w14:paraId="74E9C40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faecal indicator organisms demonstrated a particularly important pattern.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recorded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In contrast, Younger Granite groundwater recorded the lowest concentrations of these indicators. The consistently higher microbial indicators in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suggest greater vulnerability to microbiological contamination despite its comparatively low mineralisation.</w:t>
      </w:r>
    </w:p>
    <w:p w14:paraId="4712F8B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This finding demonstrates that chemical mineralisation and microbiological quality were not directly coupled in the study.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had the lowest EC, TDS, hardness and major-ion concentrations but the highest microbiological indicators. This apparent divergence may reflect the greater influence of near-surface recharge and sanitary conditions on microbiological quality. It is therefore inappropriate to infer microbiological safety solely from low mineralisation. The importance of this distinction is consistent with </w:t>
      </w:r>
      <w:r w:rsidRPr="00013089">
        <w:rPr>
          <w:rFonts w:ascii="Times New Roman" w:eastAsia="Times New Roman" w:hAnsi="Times New Roman" w:cs="Times New Roman"/>
          <w:sz w:val="24"/>
          <w:szCs w:val="24"/>
          <w:lang w:eastAsia="en-GB"/>
        </w:rPr>
        <w:lastRenderedPageBreak/>
        <w:t>integrated water-quality assessments that recognise the need to evaluate both chemical and biological indicators when determining water quality (Elele et al., 2025; WHO, 2022).</w:t>
      </w:r>
    </w:p>
    <w:p w14:paraId="3DDB93B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4.6 Relationship between Groundwater Chemistry and Microbiological Indicators</w:t>
      </w:r>
    </w:p>
    <w:p w14:paraId="2BBE9F2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correlation analysis provided additional evidence that selected physicochemical characteristics were associated with microbiological quality. Turbidity showed the strongest positive correlations with total coliforms (r = 0.72), faecal coliforms (r = 0.69),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0.68) and enterococci (r = 0.63), all at p &lt; .001. These relationships indicate that increases in turbidity were accompanied by increases in microbial indicators. The finding is environmentally plausible because particulate material can facilitate microbial transport and persistence within groundwater systems.</w:t>
      </w:r>
    </w:p>
    <w:p w14:paraId="4AECACE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Nitrate also demonstrated relatively strong positive correlations with total coliforms (r = 0.61), faecal coliforms (r = 0.58),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0.56) and enterococci (r = 0.51). This association suggests that nitrate and microbial indicators may have been influenced by related environmental processes, particularly surface-derived inputs. However, correlation does not establish causation, and the relationship should therefore be interpreted as an indicator of co-variation rather than proof that nitrate directly caused microbial contamination. The relevance of nutrient transport to water quality has been demonstrated in agricultural environments of Rivers State </w:t>
      </w:r>
      <w:r>
        <w:rPr>
          <w:rFonts w:ascii="Times New Roman" w:eastAsia="Times New Roman" w:hAnsi="Times New Roman" w:cs="Times New Roman"/>
          <w:sz w:val="24"/>
          <w:szCs w:val="24"/>
          <w:highlight w:val="yellow"/>
          <w:lang w:eastAsia="en-GB"/>
        </w:rPr>
        <w:t>(Ekpe et al., 2025).</w:t>
      </w:r>
    </w:p>
    <w:p w14:paraId="74B1FEE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Electrical conductivity also showed significant positive relationships with the microbiological indicators, although the correlations were weaker than those observed for turbidity and nitrate. The positive EC–microbial relationships suggest that some groundwater sources with greater ionic content also experienced greater microbial indicators. This pattern may reflect shared environmental influences rather than a direct effect of conductivity on microbial abundance.</w:t>
      </w:r>
    </w:p>
    <w:p w14:paraId="6B8D77E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exhibited weaker but significant positive relationships with the microbial indicators, whereas total hardness and iron showed weak, non-significant associations. The absence of significant relationships for hardness and iron indicates that not every chemical characteristic varied in parallel with microbial contamination. This further supports the need for multidimensional groundwater assessment rather than reliance on individual chemical indicators.</w:t>
      </w:r>
    </w:p>
    <w:p w14:paraId="2D3CCBF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inverse relationships between pH and the microbiological indicators were relatively moderate, ranging from r = −0.31 for enterococci to r = −0.42 for total coliforms. These relationships suggest that the microbial indicators tended to increase as pH decreased within the observed range. Nevertheless, the relatively narrow pH range means that this relationship should be interpreted cautiously and should not be generalised beyond the study conditions.</w:t>
      </w:r>
    </w:p>
    <w:p w14:paraId="106A1C8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4.7 Integrated Interpretation of Geological and Microbiological Controls</w:t>
      </w:r>
    </w:p>
    <w:p w14:paraId="51D601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combined chemical and microbiological results demonstrate that geological setting influenced groundwater chemistry more consistently than microbiological quality. Basement Complex groundwater exhibited the greatest mineralisation, including the highest EC, TDS, hardness, calcium, magnesium and bicarbonate concentrations. Younger Granite groundwater generally showed lower mineralisation than Basement Complex groundwater, while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consistently recorded the lowest mineralisation. The pattern is </w:t>
      </w:r>
      <w:r w:rsidRPr="00013089">
        <w:rPr>
          <w:rFonts w:ascii="Times New Roman" w:eastAsia="Times New Roman" w:hAnsi="Times New Roman" w:cs="Times New Roman"/>
          <w:sz w:val="24"/>
          <w:szCs w:val="24"/>
          <w:lang w:eastAsia="en-GB"/>
        </w:rPr>
        <w:lastRenderedPageBreak/>
        <w:t>compatible with geological control of dissolved-ion acquisition through mineral weathering and water–rock interaction.</w:t>
      </w:r>
    </w:p>
    <w:p w14:paraId="1A10C2C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shale/sedimentary environment represented a distinct chemical setting because it showed relatively high concentrations of sodium, chloride, sulphate and nitrate and the highest concentrations of several trace and potentially toxic elements. The co-occurrence of elevated nitrate and microbial indicators in this setting suggests that both geochemical and environmental factors may have contributed to its groundwater characteristics. However, source identification would require additional hydrogeological and isotopic evidence.</w:t>
      </w:r>
    </w:p>
    <w:p w14:paraId="100C74C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presented the opposite pattern. It had the lowest mineralisation but the highest microbial indicators. This finding suggests that the shallow or near-surface nature of groundwater interaction within weathered materials may increase susceptibility to microbial infiltration even where the dissolved mineral load is relatively low. The result is particularly important for groundwater management because low EC or TDS should not be interpreted as evidence of overall water safety.</w:t>
      </w:r>
    </w:p>
    <w:p w14:paraId="48E8CA2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broader environmental literature from the Niger Delta demonstrates that water resources can be affected by multiple contaminant pathways, including metals, petroleum-derived compounds, agricultural contaminants and other anthropogenic pollutants </w:t>
      </w:r>
      <w:r>
        <w:rPr>
          <w:rFonts w:ascii="Times New Roman" w:eastAsia="Times New Roman" w:hAnsi="Times New Roman" w:cs="Times New Roman"/>
          <w:sz w:val="24"/>
          <w:szCs w:val="24"/>
          <w:highlight w:val="yellow"/>
          <w:lang w:eastAsia="en-GB"/>
        </w:rPr>
        <w:t>(</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2025d; </w:t>
      </w:r>
      <w:proofErr w:type="spellStart"/>
      <w:r>
        <w:rPr>
          <w:rFonts w:ascii="Times New Roman" w:eastAsia="Times New Roman" w:hAnsi="Times New Roman" w:cs="Times New Roman"/>
          <w:sz w:val="24"/>
          <w:szCs w:val="24"/>
          <w:highlight w:val="yellow"/>
          <w:lang w:eastAsia="en-GB"/>
        </w:rPr>
        <w:t>Okpoji</w:t>
      </w:r>
      <w:proofErr w:type="spellEnd"/>
      <w:r>
        <w:rPr>
          <w:rFonts w:ascii="Times New Roman" w:eastAsia="Times New Roman" w:hAnsi="Times New Roman" w:cs="Times New Roman"/>
          <w:sz w:val="24"/>
          <w:szCs w:val="24"/>
          <w:highlight w:val="yellow"/>
          <w:lang w:eastAsia="en-GB"/>
        </w:rPr>
        <w:t xml:space="preserve"> et al., 2025f; </w:t>
      </w:r>
      <w:proofErr w:type="spellStart"/>
      <w:r>
        <w:rPr>
          <w:rFonts w:ascii="Times New Roman" w:eastAsia="Times New Roman" w:hAnsi="Times New Roman" w:cs="Times New Roman"/>
          <w:sz w:val="24"/>
          <w:szCs w:val="24"/>
          <w:highlight w:val="yellow"/>
          <w:lang w:eastAsia="en-GB"/>
        </w:rPr>
        <w:t>Ogbaji</w:t>
      </w:r>
      <w:proofErr w:type="spellEnd"/>
      <w:r>
        <w:rPr>
          <w:rFonts w:ascii="Times New Roman" w:eastAsia="Times New Roman" w:hAnsi="Times New Roman" w:cs="Times New Roman"/>
          <w:sz w:val="24"/>
          <w:szCs w:val="24"/>
          <w:highlight w:val="yellow"/>
          <w:lang w:eastAsia="en-GB"/>
        </w:rPr>
        <w:t xml:space="preserve"> et al., 2025; Olotu et al., 2025; </w:t>
      </w:r>
      <w:proofErr w:type="spellStart"/>
      <w:r>
        <w:rPr>
          <w:rFonts w:ascii="Times New Roman" w:eastAsia="Times New Roman" w:hAnsi="Times New Roman" w:cs="Times New Roman"/>
          <w:sz w:val="24"/>
          <w:szCs w:val="24"/>
          <w:highlight w:val="yellow"/>
          <w:lang w:eastAsia="en-GB"/>
        </w:rPr>
        <w:t>Umueni</w:t>
      </w:r>
      <w:proofErr w:type="spellEnd"/>
      <w:r>
        <w:rPr>
          <w:rFonts w:ascii="Times New Roman" w:eastAsia="Times New Roman" w:hAnsi="Times New Roman" w:cs="Times New Roman"/>
          <w:sz w:val="24"/>
          <w:szCs w:val="24"/>
          <w:highlight w:val="yellow"/>
          <w:lang w:eastAsia="en-GB"/>
        </w:rPr>
        <w:t xml:space="preserve"> et al., 2026b).</w:t>
      </w:r>
      <w:r>
        <w:rPr>
          <w:rFonts w:ascii="Times New Roman" w:eastAsia="Times New Roman" w:hAnsi="Times New Roman" w:cs="Times New Roman"/>
          <w:sz w:val="24"/>
          <w:szCs w:val="24"/>
          <w:lang w:eastAsia="en-GB"/>
        </w:rPr>
        <w:t xml:space="preserve"> Although these contaminant classes were not all measured in the present groundwater investigation, their documented occurrence in surrounding environmental systems provides justification for continued surveillance of groundwater resources.</w:t>
      </w:r>
    </w:p>
    <w:p w14:paraId="259F845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integrated findings therefore support a groundwater-quality assessment framework in which geological controls, chemical composition and microbiological indicators are considered simultaneously. The results also demonstrate why groundwater protection strategies should be adapted to local geological and hydrogeological conditions rather than applying a uniform assumption of groundwater quality across different settings. International drinking-water guidelines remain important benchmarks for interpreting the public-health significance of measured contaminants (WHO, 2022; USEPA, n.d.).</w:t>
      </w:r>
    </w:p>
    <w:p w14:paraId="73A5FA50" w14:textId="77777777" w:rsidR="001E1693" w:rsidRPr="00013089" w:rsidRDefault="001E1693" w:rsidP="001E1693">
      <w:pPr>
        <w:jc w:val="both"/>
        <w:rPr>
          <w:rFonts w:ascii="Times New Roman" w:hAnsi="Times New Roman" w:cs="Times New Roman"/>
          <w:sz w:val="24"/>
          <w:szCs w:val="24"/>
        </w:rPr>
      </w:pPr>
    </w:p>
    <w:p w14:paraId="4180CC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Conclusion</w:t>
      </w:r>
    </w:p>
    <w:p w14:paraId="05209AF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study demonstrated substantial spatial variation in the physicochemical,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trace-element and microbiological characteristics of groundwater across the investigated geological settings. The Basement Complex groundwater exhibited the greatest degree of mineralisation, reflected by higher EC, TDS, total hardness, calcium, magnesium and bicarbonate concentrations, whereas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domain generally recorded the lowest mineralisation. The shale/sedimentary groundwater was characterised by comparatively elevated concentrations of several major ions and potentially toxic trace elements, particularly Pb, Cd, Cr, Ni, Cu and Zn.</w:t>
      </w:r>
    </w:p>
    <w:p w14:paraId="4EE4B3F7" w14:textId="757AC903"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predominance of the Ca–Mg–HCO₃ </w:t>
      </w:r>
      <w:proofErr w:type="spellStart"/>
      <w:r w:rsidRPr="00013089">
        <w:rPr>
          <w:rFonts w:ascii="Times New Roman" w:eastAsia="Times New Roman" w:hAnsi="Times New Roman" w:cs="Times New Roman"/>
          <w:sz w:val="24"/>
          <w:szCs w:val="24"/>
          <w:lang w:eastAsia="en-GB"/>
        </w:rPr>
        <w:t>hydrochemical</w:t>
      </w:r>
      <w:proofErr w:type="spellEnd"/>
      <w:r w:rsidRPr="00013089">
        <w:rPr>
          <w:rFonts w:ascii="Times New Roman" w:eastAsia="Times New Roman" w:hAnsi="Times New Roman" w:cs="Times New Roman"/>
          <w:sz w:val="24"/>
          <w:szCs w:val="24"/>
          <w:lang w:eastAsia="en-GB"/>
        </w:rPr>
        <w:t xml:space="preserve"> facies indicates an important contribution of mineral dissolution and water–rock interaction to the groundwater chemistry. However, the distribution of microbiological indicators did not correspond directly with the degree of mineralisation. The weathered-</w:t>
      </w:r>
      <w:proofErr w:type="spellStart"/>
      <w:r w:rsidRPr="00013089">
        <w:rPr>
          <w:rFonts w:ascii="Times New Roman" w:eastAsia="Times New Roman" w:hAnsi="Times New Roman" w:cs="Times New Roman"/>
          <w:sz w:val="24"/>
          <w:szCs w:val="24"/>
          <w:lang w:eastAsia="en-GB"/>
        </w:rPr>
        <w:t>regolith</w:t>
      </w:r>
      <w:proofErr w:type="spellEnd"/>
      <w:r w:rsidRPr="00013089">
        <w:rPr>
          <w:rFonts w:ascii="Times New Roman" w:eastAsia="Times New Roman" w:hAnsi="Times New Roman" w:cs="Times New Roman"/>
          <w:sz w:val="24"/>
          <w:szCs w:val="24"/>
          <w:lang w:eastAsia="en-GB"/>
        </w:rPr>
        <w:t xml:space="preserve"> groundwater, despite its relatively low </w:t>
      </w:r>
      <w:r w:rsidRPr="00013089">
        <w:rPr>
          <w:rFonts w:ascii="Times New Roman" w:eastAsia="Times New Roman" w:hAnsi="Times New Roman" w:cs="Times New Roman"/>
          <w:sz w:val="24"/>
          <w:szCs w:val="24"/>
          <w:lang w:eastAsia="en-GB"/>
        </w:rPr>
        <w:lastRenderedPageBreak/>
        <w:t xml:space="preserve">dissolved mineral content, recorded the highest concentrations of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indicates that groundwater chemical quality and microbiological quality are controlled by partly different processes. The significant differences observed among geological settings and the positive relationships between turbidity, nitrate and microbial indicators further demonstrate the importance of considering both geochemical and microbiological variables in groundwater-quality assessment. </w:t>
      </w:r>
      <w:r w:rsidR="006B6EED">
        <w:rPr>
          <w:rFonts w:ascii="Times New Roman" w:eastAsia="Times New Roman" w:hAnsi="Times New Roman" w:cs="Times New Roman"/>
          <w:sz w:val="24"/>
          <w:szCs w:val="24"/>
          <w:lang w:eastAsia="en-GB"/>
        </w:rPr>
        <w:t xml:space="preserve"> </w:t>
      </w:r>
    </w:p>
    <w:p w14:paraId="4780B683" w14:textId="77777777" w:rsidR="006B6EED" w:rsidRDefault="006B6EED"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49782B60" w14:textId="7FCAF3BD" w:rsidR="006B6EED" w:rsidRPr="006B6EED" w:rsidRDefault="006B6EED" w:rsidP="006B6EED">
      <w:pPr>
        <w:spacing w:before="100" w:beforeAutospacing="1" w:after="100" w:afterAutospacing="1" w:line="240" w:lineRule="auto"/>
        <w:outlineLvl w:val="1"/>
        <w:rPr>
          <w:rFonts w:ascii="Times New Roman" w:eastAsia="Times New Roman" w:hAnsi="Times New Roman" w:cs="Times New Roman"/>
          <w:b/>
          <w:bCs/>
          <w:sz w:val="36"/>
          <w:szCs w:val="36"/>
          <w:lang w:val="en-US"/>
        </w:rPr>
      </w:pPr>
      <w:r w:rsidRPr="006B6EED">
        <w:rPr>
          <w:rFonts w:ascii="Times New Roman" w:eastAsia="Times New Roman" w:hAnsi="Times New Roman" w:cs="Times New Roman"/>
          <w:b/>
          <w:bCs/>
          <w:sz w:val="36"/>
          <w:szCs w:val="36"/>
          <w:lang w:val="en-US"/>
        </w:rPr>
        <w:t xml:space="preserve">Limitations </w:t>
      </w:r>
    </w:p>
    <w:p w14:paraId="2224D5F2" w14:textId="237EB520" w:rsidR="006B6EED" w:rsidRPr="006B6EED" w:rsidRDefault="006B6EED" w:rsidP="006B6EED">
      <w:pPr>
        <w:spacing w:before="100" w:beforeAutospacing="1" w:after="100" w:afterAutospacing="1" w:line="240" w:lineRule="auto"/>
        <w:rPr>
          <w:rFonts w:ascii="Times New Roman" w:eastAsia="Times New Roman" w:hAnsi="Times New Roman" w:cs="Times New Roman"/>
          <w:sz w:val="24"/>
          <w:szCs w:val="24"/>
          <w:lang w:val="en-US"/>
        </w:rPr>
      </w:pPr>
      <w:r w:rsidRPr="006B6EED">
        <w:rPr>
          <w:rFonts w:ascii="Times New Roman" w:eastAsia="Times New Roman" w:hAnsi="Times New Roman" w:cs="Times New Roman"/>
          <w:sz w:val="24"/>
          <w:szCs w:val="24"/>
          <w:lang w:val="en-US"/>
        </w:rPr>
        <w:t xml:space="preserve">The comparative cross-sectional design limits interpretation of temporal and seasonal variability. The </w:t>
      </w:r>
      <w:r>
        <w:rPr>
          <w:rFonts w:ascii="Times New Roman" w:eastAsia="Times New Roman" w:hAnsi="Times New Roman" w:cs="Times New Roman"/>
          <w:sz w:val="24"/>
          <w:szCs w:val="24"/>
          <w:lang w:val="en-US"/>
        </w:rPr>
        <w:t>study</w:t>
      </w:r>
      <w:r w:rsidRPr="006B6EED">
        <w:rPr>
          <w:rFonts w:ascii="Times New Roman" w:eastAsia="Times New Roman" w:hAnsi="Times New Roman" w:cs="Times New Roman"/>
          <w:sz w:val="24"/>
          <w:szCs w:val="24"/>
          <w:lang w:val="en-US"/>
        </w:rPr>
        <w:t xml:space="preserve"> does not report the number of sampling points per geological setting, and source attribution for elevated trace elements cannot be resolved from the available chemical data alone. The analytical method for trace elements is described as an appropriate atomic spectrometric technique rather than a single specified instrument, which limits methodological reproducibility. </w:t>
      </w:r>
    </w:p>
    <w:p w14:paraId="3CF215A1" w14:textId="77777777" w:rsidR="006B6EED" w:rsidRDefault="006B6EED"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36D8EF36" w14:textId="77777777" w:rsidR="00B54FE5" w:rsidRDefault="00B54FE5" w:rsidP="00B54FE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B5DB459" w14:textId="77777777" w:rsidR="00B54FE5" w:rsidRDefault="00B54FE5" w:rsidP="00B54FE5">
      <w:pPr>
        <w:spacing w:after="0" w:line="240" w:lineRule="auto"/>
        <w:rPr>
          <w:rFonts w:ascii="Times New Roman" w:hAnsi="Times New Roman" w:cs="Times New Roman"/>
          <w:b/>
        </w:rPr>
      </w:pPr>
    </w:p>
    <w:p w14:paraId="14DC89FC" w14:textId="77777777" w:rsidR="00B54FE5" w:rsidRDefault="00B54FE5" w:rsidP="00B54FE5">
      <w:pPr>
        <w:spacing w:after="0" w:line="240" w:lineRule="auto"/>
        <w:rPr>
          <w:rFonts w:ascii="Times New Roman" w:hAnsi="Times New Roman" w:cs="Times New Roman"/>
          <w:b/>
        </w:rPr>
      </w:pPr>
    </w:p>
    <w:p w14:paraId="6BA63F3E" w14:textId="77777777" w:rsidR="00B54FE5" w:rsidRPr="002D08AC" w:rsidRDefault="00B54FE5" w:rsidP="00B54FE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3D51E4A" w14:textId="77777777" w:rsidR="00B54FE5" w:rsidRPr="00013089" w:rsidRDefault="00B54FE5"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01F7E4F6" w14:textId="77777777" w:rsidR="001E1693" w:rsidRPr="006C43DC" w:rsidRDefault="001E1693" w:rsidP="001E1693">
      <w:pPr>
        <w:spacing w:after="0" w:line="240" w:lineRule="auto"/>
        <w:jc w:val="both"/>
        <w:rPr>
          <w:rFonts w:ascii="Times New Roman" w:eastAsia="Times New Roman" w:hAnsi="Times New Roman" w:cs="Times New Roman"/>
          <w:b/>
          <w:bCs/>
          <w:lang w:eastAsia="en-GB"/>
        </w:rPr>
      </w:pPr>
      <w:r w:rsidRPr="006C43DC">
        <w:rPr>
          <w:rFonts w:ascii="Times New Roman" w:eastAsia="Times New Roman" w:hAnsi="Times New Roman" w:cs="Times New Roman"/>
          <w:b/>
          <w:bCs/>
          <w:lang w:eastAsia="en-GB"/>
        </w:rPr>
        <w:t>References</w:t>
      </w:r>
    </w:p>
    <w:p w14:paraId="1E17704F" w14:textId="77777777" w:rsidR="001E1693" w:rsidRPr="006C43DC" w:rsidRDefault="001E1693" w:rsidP="001E1693">
      <w:pPr>
        <w:spacing w:after="0" w:line="240" w:lineRule="auto"/>
        <w:jc w:val="both"/>
        <w:rPr>
          <w:rFonts w:ascii="Times New Roman" w:eastAsia="Times New Roman" w:hAnsi="Times New Roman" w:cs="Times New Roman"/>
          <w:b/>
          <w:bCs/>
          <w:sz w:val="20"/>
          <w:szCs w:val="20"/>
          <w:lang w:eastAsia="en-GB"/>
        </w:rPr>
      </w:pPr>
    </w:p>
    <w:p w14:paraId="4AFF9CB8" w14:textId="22246BAB"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Aghanwa</w:t>
      </w:r>
      <w:proofErr w:type="spellEnd"/>
      <w:r w:rsidRPr="003D13A4">
        <w:rPr>
          <w:rFonts w:ascii="Times New Roman" w:eastAsia="Times New Roman" w:hAnsi="Times New Roman" w:cs="Times New Roman"/>
          <w:sz w:val="24"/>
          <w:szCs w:val="24"/>
          <w:lang w:val="en-US"/>
        </w:rPr>
        <w:t xml:space="preserve">, C. I., </w:t>
      </w:r>
      <w:proofErr w:type="spellStart"/>
      <w:r w:rsidRPr="003D13A4">
        <w:rPr>
          <w:rFonts w:ascii="Times New Roman" w:eastAsia="Times New Roman" w:hAnsi="Times New Roman" w:cs="Times New Roman"/>
          <w:sz w:val="24"/>
          <w:szCs w:val="24"/>
          <w:lang w:val="en-US"/>
        </w:rPr>
        <w:t>Umueni</w:t>
      </w:r>
      <w:proofErr w:type="spellEnd"/>
      <w:r w:rsidRPr="003D13A4">
        <w:rPr>
          <w:rFonts w:ascii="Times New Roman" w:eastAsia="Times New Roman" w:hAnsi="Times New Roman" w:cs="Times New Roman"/>
          <w:sz w:val="24"/>
          <w:szCs w:val="24"/>
          <w:lang w:val="en-US"/>
        </w:rPr>
        <w:t xml:space="preserve">, U. E., Etukudo, N. J., Amachree, J. B.,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Ejeka</w:t>
      </w:r>
      <w:proofErr w:type="spellEnd"/>
      <w:r w:rsidRPr="003D13A4">
        <w:rPr>
          <w:rFonts w:ascii="Times New Roman" w:eastAsia="Times New Roman" w:hAnsi="Times New Roman" w:cs="Times New Roman"/>
          <w:sz w:val="24"/>
          <w:szCs w:val="24"/>
          <w:lang w:val="en-US"/>
        </w:rPr>
        <w:t xml:space="preserve">, C. J., &amp;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(2025). Atmospheric deposition of soot and heavy metals from gas flaring into surface waters of </w:t>
      </w:r>
      <w:proofErr w:type="spellStart"/>
      <w:r w:rsidRPr="003D13A4">
        <w:rPr>
          <w:rFonts w:ascii="Times New Roman" w:eastAsia="Times New Roman" w:hAnsi="Times New Roman" w:cs="Times New Roman"/>
          <w:sz w:val="24"/>
          <w:szCs w:val="24"/>
          <w:lang w:val="en-US"/>
        </w:rPr>
        <w:t>Ebocha</w:t>
      </w:r>
      <w:proofErr w:type="spellEnd"/>
      <w:r w:rsidRPr="003D13A4">
        <w:rPr>
          <w:rFonts w:ascii="Times New Roman" w:eastAsia="Times New Roman" w:hAnsi="Times New Roman" w:cs="Times New Roman"/>
          <w:sz w:val="24"/>
          <w:szCs w:val="24"/>
          <w:lang w:val="en-US"/>
        </w:rPr>
        <w:t xml:space="preserve">, Rivers State, Nigeria. </w:t>
      </w:r>
      <w:r w:rsidRPr="003D13A4">
        <w:rPr>
          <w:rFonts w:ascii="Times New Roman" w:eastAsia="Times New Roman" w:hAnsi="Times New Roman" w:cs="Times New Roman"/>
          <w:i/>
          <w:iCs/>
          <w:sz w:val="24"/>
          <w:szCs w:val="24"/>
          <w:lang w:val="en-US"/>
        </w:rPr>
        <w:t>Asian Journal of Environment &amp; Ecology, 24</w:t>
      </w:r>
      <w:r w:rsidRPr="003D13A4">
        <w:rPr>
          <w:rFonts w:ascii="Times New Roman" w:eastAsia="Times New Roman" w:hAnsi="Times New Roman" w:cs="Times New Roman"/>
          <w:sz w:val="24"/>
          <w:szCs w:val="24"/>
          <w:lang w:val="en-US"/>
        </w:rPr>
        <w:t xml:space="preserve">(11), 137–147. https://doi.org/10.9734/ajee/2025/v24i11822 </w:t>
      </w:r>
    </w:p>
    <w:p w14:paraId="4B2C283B" w14:textId="2A7B9262"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Alexander, T., &amp; Rajan, B. (2026).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and microbial quality of groundwater in Anchal </w:t>
      </w:r>
      <w:proofErr w:type="spellStart"/>
      <w:r w:rsidRPr="003D13A4">
        <w:rPr>
          <w:rFonts w:ascii="Times New Roman" w:eastAsia="Times New Roman" w:hAnsi="Times New Roman" w:cs="Times New Roman"/>
          <w:sz w:val="24"/>
          <w:szCs w:val="24"/>
          <w:lang w:val="en-US"/>
        </w:rPr>
        <w:t>Gramapanchayat</w:t>
      </w:r>
      <w:proofErr w:type="spellEnd"/>
      <w:r w:rsidRPr="003D13A4">
        <w:rPr>
          <w:rFonts w:ascii="Times New Roman" w:eastAsia="Times New Roman" w:hAnsi="Times New Roman" w:cs="Times New Roman"/>
          <w:sz w:val="24"/>
          <w:szCs w:val="24"/>
          <w:lang w:val="en-US"/>
        </w:rPr>
        <w:t xml:space="preserve">, Kerala: A comparative study of open wells and tube wells. </w:t>
      </w:r>
      <w:r w:rsidRPr="003D13A4">
        <w:rPr>
          <w:rFonts w:ascii="Times New Roman" w:eastAsia="Times New Roman" w:hAnsi="Times New Roman" w:cs="Times New Roman"/>
          <w:i/>
          <w:iCs/>
          <w:sz w:val="24"/>
          <w:szCs w:val="24"/>
          <w:lang w:val="en-US"/>
        </w:rPr>
        <w:t>Asian Journal of Current Research, 11</w:t>
      </w:r>
      <w:r w:rsidRPr="003D13A4">
        <w:rPr>
          <w:rFonts w:ascii="Times New Roman" w:eastAsia="Times New Roman" w:hAnsi="Times New Roman" w:cs="Times New Roman"/>
          <w:sz w:val="24"/>
          <w:szCs w:val="24"/>
          <w:lang w:val="en-US"/>
        </w:rPr>
        <w:t xml:space="preserve">(2), 85–97. https://doi.org/10.56557/ajocr/2026/v11i210407 </w:t>
      </w:r>
    </w:p>
    <w:p w14:paraId="78103872" w14:textId="70C8F159"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Amuka, J. O., Ezike, C. C., Ogbaji, H. O., Okpoji, A. U., </w:t>
      </w:r>
      <w:proofErr w:type="spellStart"/>
      <w:r w:rsidRPr="003D13A4">
        <w:rPr>
          <w:rFonts w:ascii="Times New Roman" w:eastAsia="Times New Roman" w:hAnsi="Times New Roman" w:cs="Times New Roman"/>
          <w:sz w:val="24"/>
          <w:szCs w:val="24"/>
          <w:lang w:val="en-US"/>
        </w:rPr>
        <w:t>Ukaigwe</w:t>
      </w:r>
      <w:proofErr w:type="spellEnd"/>
      <w:r w:rsidRPr="003D13A4">
        <w:rPr>
          <w:rFonts w:ascii="Times New Roman" w:eastAsia="Times New Roman" w:hAnsi="Times New Roman" w:cs="Times New Roman"/>
          <w:sz w:val="24"/>
          <w:szCs w:val="24"/>
          <w:lang w:val="en-US"/>
        </w:rPr>
        <w:t xml:space="preserve">, A. B., Oji, C. O., Garuba, M. H., </w:t>
      </w:r>
      <w:proofErr w:type="spellStart"/>
      <w:r w:rsidRPr="003D13A4">
        <w:rPr>
          <w:rFonts w:ascii="Times New Roman" w:eastAsia="Times New Roman" w:hAnsi="Times New Roman" w:cs="Times New Roman"/>
          <w:sz w:val="24"/>
          <w:szCs w:val="24"/>
          <w:lang w:val="en-US"/>
        </w:rPr>
        <w:t>Anukam</w:t>
      </w:r>
      <w:proofErr w:type="spellEnd"/>
      <w:r w:rsidRPr="003D13A4">
        <w:rPr>
          <w:rFonts w:ascii="Times New Roman" w:eastAsia="Times New Roman" w:hAnsi="Times New Roman" w:cs="Times New Roman"/>
          <w:sz w:val="24"/>
          <w:szCs w:val="24"/>
          <w:lang w:val="en-US"/>
        </w:rPr>
        <w:t xml:space="preserve">, B. N., </w:t>
      </w:r>
      <w:proofErr w:type="spellStart"/>
      <w:r w:rsidRPr="003D13A4">
        <w:rPr>
          <w:rFonts w:ascii="Times New Roman" w:eastAsia="Times New Roman" w:hAnsi="Times New Roman" w:cs="Times New Roman"/>
          <w:sz w:val="24"/>
          <w:szCs w:val="24"/>
          <w:lang w:val="en-US"/>
        </w:rPr>
        <w:t>Otuuh</w:t>
      </w:r>
      <w:proofErr w:type="spellEnd"/>
      <w:r w:rsidRPr="003D13A4">
        <w:rPr>
          <w:rFonts w:ascii="Times New Roman" w:eastAsia="Times New Roman" w:hAnsi="Times New Roman" w:cs="Times New Roman"/>
          <w:sz w:val="24"/>
          <w:szCs w:val="24"/>
          <w:lang w:val="en-US"/>
        </w:rPr>
        <w:t xml:space="preserve">, A. G., Nwafor, G. U., </w:t>
      </w:r>
      <w:proofErr w:type="spellStart"/>
      <w:r w:rsidRPr="003D13A4">
        <w:rPr>
          <w:rFonts w:ascii="Times New Roman" w:eastAsia="Times New Roman" w:hAnsi="Times New Roman" w:cs="Times New Roman"/>
          <w:sz w:val="24"/>
          <w:szCs w:val="24"/>
          <w:lang w:val="en-US"/>
        </w:rPr>
        <w:t>Chigbo</w:t>
      </w:r>
      <w:proofErr w:type="spellEnd"/>
      <w:r w:rsidRPr="003D13A4">
        <w:rPr>
          <w:rFonts w:ascii="Times New Roman" w:eastAsia="Times New Roman" w:hAnsi="Times New Roman" w:cs="Times New Roman"/>
          <w:sz w:val="24"/>
          <w:szCs w:val="24"/>
          <w:lang w:val="en-US"/>
        </w:rPr>
        <w:t xml:space="preserve">, C. M., &amp; </w:t>
      </w:r>
      <w:proofErr w:type="spellStart"/>
      <w:r w:rsidRPr="003D13A4">
        <w:rPr>
          <w:rFonts w:ascii="Times New Roman" w:eastAsia="Times New Roman" w:hAnsi="Times New Roman" w:cs="Times New Roman"/>
          <w:sz w:val="24"/>
          <w:szCs w:val="24"/>
          <w:lang w:val="en-US"/>
        </w:rPr>
        <w:t>Nnadozie</w:t>
      </w:r>
      <w:proofErr w:type="spellEnd"/>
      <w:r w:rsidRPr="003D13A4">
        <w:rPr>
          <w:rFonts w:ascii="Times New Roman" w:eastAsia="Times New Roman" w:hAnsi="Times New Roman" w:cs="Times New Roman"/>
          <w:sz w:val="24"/>
          <w:szCs w:val="24"/>
          <w:lang w:val="en-US"/>
        </w:rPr>
        <w:t>, C. F. (2026</w:t>
      </w:r>
      <w:r>
        <w:rPr>
          <w:rFonts w:ascii="Times New Roman" w:eastAsia="Times New Roman" w:hAnsi="Times New Roman" w:cs="Times New Roman"/>
          <w:sz w:val="24"/>
          <w:szCs w:val="24"/>
          <w:lang w:val="en-US"/>
        </w:rPr>
        <w:t>a</w:t>
      </w:r>
      <w:r w:rsidRPr="003D13A4">
        <w:rPr>
          <w:rFonts w:ascii="Times New Roman" w:eastAsia="Times New Roman" w:hAnsi="Times New Roman" w:cs="Times New Roman"/>
          <w:sz w:val="24"/>
          <w:szCs w:val="24"/>
          <w:lang w:val="en-US"/>
        </w:rPr>
        <w:t xml:space="preserve">). Public health risk assessment of antibiotic residues and waterborne pathogens in drinking water sources of Jos North and Barkin Ladi Local Government Areas, Plateau State, Nigeria. </w:t>
      </w:r>
      <w:r w:rsidRPr="003D13A4">
        <w:rPr>
          <w:rFonts w:ascii="Times New Roman" w:eastAsia="Times New Roman" w:hAnsi="Times New Roman" w:cs="Times New Roman"/>
          <w:i/>
          <w:iCs/>
          <w:sz w:val="24"/>
          <w:szCs w:val="24"/>
          <w:lang w:val="en-US"/>
        </w:rPr>
        <w:t>Public Health Open Journal, 11</w:t>
      </w:r>
      <w:r w:rsidRPr="003D13A4">
        <w:rPr>
          <w:rFonts w:ascii="Times New Roman" w:eastAsia="Times New Roman" w:hAnsi="Times New Roman" w:cs="Times New Roman"/>
          <w:sz w:val="24"/>
          <w:szCs w:val="24"/>
          <w:lang w:val="en-US"/>
        </w:rPr>
        <w:t>(1), 507–518. https://doi.org/10.17140/PHOJ.11.01.507</w:t>
      </w:r>
    </w:p>
    <w:p w14:paraId="21526587" w14:textId="1C286D2A"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nl-BE"/>
        </w:rPr>
        <w:t>Amuka, J. O., Okpoji, A. U., Ibanga, I. M., &amp; Akpan, N. A. (2026</w:t>
      </w:r>
      <w:r>
        <w:rPr>
          <w:rFonts w:ascii="Times New Roman" w:eastAsia="Times New Roman" w:hAnsi="Times New Roman" w:cs="Times New Roman"/>
          <w:sz w:val="24"/>
          <w:szCs w:val="24"/>
          <w:lang w:val="nl-BE"/>
        </w:rPr>
        <w:t>b</w:t>
      </w:r>
      <w:r w:rsidRPr="003D13A4">
        <w:rPr>
          <w:rFonts w:ascii="Times New Roman" w:eastAsia="Times New Roman" w:hAnsi="Times New Roman" w:cs="Times New Roman"/>
          <w:sz w:val="24"/>
          <w:szCs w:val="24"/>
          <w:lang w:val="nl-BE"/>
        </w:rPr>
        <w:t xml:space="preserve">). </w:t>
      </w:r>
      <w:r w:rsidRPr="003D13A4">
        <w:rPr>
          <w:rFonts w:ascii="Times New Roman" w:eastAsia="Times New Roman" w:hAnsi="Times New Roman" w:cs="Times New Roman"/>
          <w:sz w:val="24"/>
          <w:szCs w:val="24"/>
          <w:lang w:val="en-US"/>
        </w:rPr>
        <w:t xml:space="preserve">Seasonal variation in groundwater quality of selected boreholes in Bori, Khana Local Government Area, Rivers State, Nigeria. </w:t>
      </w:r>
      <w:r w:rsidRPr="003D13A4">
        <w:rPr>
          <w:rFonts w:ascii="Times New Roman" w:eastAsia="Times New Roman" w:hAnsi="Times New Roman" w:cs="Times New Roman"/>
          <w:i/>
          <w:iCs/>
          <w:sz w:val="24"/>
          <w:szCs w:val="24"/>
          <w:lang w:val="en-US"/>
        </w:rPr>
        <w:t>International Journal of Life Science and Agriculture Research, 5</w:t>
      </w:r>
      <w:r w:rsidRPr="003D13A4">
        <w:rPr>
          <w:rFonts w:ascii="Times New Roman" w:eastAsia="Times New Roman" w:hAnsi="Times New Roman" w:cs="Times New Roman"/>
          <w:sz w:val="24"/>
          <w:szCs w:val="24"/>
          <w:lang w:val="en-US"/>
        </w:rPr>
        <w:t>(7), 554–562. https://doi.org/10.55677/ijlsar/V05I07Y2026-01</w:t>
      </w:r>
    </w:p>
    <w:p w14:paraId="710DA61C" w14:textId="5468ACCD"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lastRenderedPageBreak/>
        <w:t>Anarado</w:t>
      </w:r>
      <w:proofErr w:type="spellEnd"/>
      <w:r w:rsidRPr="003D13A4">
        <w:rPr>
          <w:rFonts w:ascii="Times New Roman" w:eastAsia="Times New Roman" w:hAnsi="Times New Roman" w:cs="Times New Roman"/>
          <w:sz w:val="24"/>
          <w:szCs w:val="24"/>
          <w:lang w:val="en-US"/>
        </w:rPr>
        <w:t xml:space="preserve">, C. J. O., Okpoji, A. U., &amp; </w:t>
      </w:r>
      <w:proofErr w:type="spellStart"/>
      <w:r w:rsidRPr="003D13A4">
        <w:rPr>
          <w:rFonts w:ascii="Times New Roman" w:eastAsia="Times New Roman" w:hAnsi="Times New Roman" w:cs="Times New Roman"/>
          <w:sz w:val="24"/>
          <w:szCs w:val="24"/>
          <w:lang w:val="en-US"/>
        </w:rPr>
        <w:t>Anarado</w:t>
      </w:r>
      <w:proofErr w:type="spellEnd"/>
      <w:r w:rsidRPr="003D13A4">
        <w:rPr>
          <w:rFonts w:ascii="Times New Roman" w:eastAsia="Times New Roman" w:hAnsi="Times New Roman" w:cs="Times New Roman"/>
          <w:sz w:val="24"/>
          <w:szCs w:val="24"/>
          <w:lang w:val="en-US"/>
        </w:rPr>
        <w:t xml:space="preserve">, C. E. (2023). Bioaccumulation and health risk assessment of lead, cadmium, arsenic, and mercury in blue crabs found in creeks in Bayelsa State of Niger Delta region of Nigeria. </w:t>
      </w:r>
      <w:r w:rsidRPr="003D13A4">
        <w:rPr>
          <w:rFonts w:ascii="Times New Roman" w:eastAsia="Times New Roman" w:hAnsi="Times New Roman" w:cs="Times New Roman"/>
          <w:i/>
          <w:iCs/>
          <w:sz w:val="24"/>
          <w:szCs w:val="24"/>
          <w:lang w:val="en-US"/>
        </w:rPr>
        <w:t>Asian Journal of Environment &amp; Ecology, 21</w:t>
      </w:r>
      <w:r w:rsidRPr="003D13A4">
        <w:rPr>
          <w:rFonts w:ascii="Times New Roman" w:eastAsia="Times New Roman" w:hAnsi="Times New Roman" w:cs="Times New Roman"/>
          <w:sz w:val="24"/>
          <w:szCs w:val="24"/>
          <w:lang w:val="en-US"/>
        </w:rPr>
        <w:t xml:space="preserve">(4), 46–59. https://doi.org/10.9734/ajee/2023/v21i4469 </w:t>
      </w:r>
    </w:p>
    <w:p w14:paraId="33AA779C" w14:textId="274777F3"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nl-BE"/>
        </w:rPr>
      </w:pPr>
      <w:proofErr w:type="spellStart"/>
      <w:r w:rsidRPr="003D13A4">
        <w:rPr>
          <w:rFonts w:ascii="Times New Roman" w:eastAsia="Times New Roman" w:hAnsi="Times New Roman" w:cs="Times New Roman"/>
          <w:sz w:val="24"/>
          <w:szCs w:val="24"/>
          <w:lang w:val="en-US"/>
        </w:rPr>
        <w:t>Bagordo</w:t>
      </w:r>
      <w:proofErr w:type="spellEnd"/>
      <w:r w:rsidRPr="003D13A4">
        <w:rPr>
          <w:rFonts w:ascii="Times New Roman" w:eastAsia="Times New Roman" w:hAnsi="Times New Roman" w:cs="Times New Roman"/>
          <w:sz w:val="24"/>
          <w:szCs w:val="24"/>
          <w:lang w:val="en-US"/>
        </w:rPr>
        <w:t xml:space="preserve">, F., Brigida, S., Grassi, T., Caputo, M. C., Apollonio, F., De Carlo, L., Savino, A. F., </w:t>
      </w:r>
      <w:proofErr w:type="spellStart"/>
      <w:r w:rsidRPr="003D13A4">
        <w:rPr>
          <w:rFonts w:ascii="Times New Roman" w:eastAsia="Times New Roman" w:hAnsi="Times New Roman" w:cs="Times New Roman"/>
          <w:sz w:val="24"/>
          <w:szCs w:val="24"/>
          <w:lang w:val="en-US"/>
        </w:rPr>
        <w:t>Triggiano</w:t>
      </w:r>
      <w:proofErr w:type="spellEnd"/>
      <w:r w:rsidRPr="003D13A4">
        <w:rPr>
          <w:rFonts w:ascii="Times New Roman" w:eastAsia="Times New Roman" w:hAnsi="Times New Roman" w:cs="Times New Roman"/>
          <w:sz w:val="24"/>
          <w:szCs w:val="24"/>
          <w:lang w:val="en-US"/>
        </w:rPr>
        <w:t xml:space="preserve">, F., Turturro, A. C., De Donno, A., Montagna, M. T., &amp; De Giglio, O. (2024). Factors influencing microbial contamination of groundwater: A systematic review of field-scale studies. </w:t>
      </w:r>
      <w:r w:rsidRPr="003D13A4">
        <w:rPr>
          <w:rFonts w:ascii="Times New Roman" w:eastAsia="Times New Roman" w:hAnsi="Times New Roman" w:cs="Times New Roman"/>
          <w:i/>
          <w:iCs/>
          <w:sz w:val="24"/>
          <w:szCs w:val="24"/>
          <w:lang w:val="nl-BE"/>
        </w:rPr>
        <w:t>Microorganisms, 12</w:t>
      </w:r>
      <w:r w:rsidRPr="003D13A4">
        <w:rPr>
          <w:rFonts w:ascii="Times New Roman" w:eastAsia="Times New Roman" w:hAnsi="Times New Roman" w:cs="Times New Roman"/>
          <w:sz w:val="24"/>
          <w:szCs w:val="24"/>
          <w:lang w:val="nl-BE"/>
        </w:rPr>
        <w:t xml:space="preserve">(5), 913. https://doi.org/10.3390/microorganisms12050913 </w:t>
      </w:r>
    </w:p>
    <w:p w14:paraId="2DBB63D4" w14:textId="1271A427"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nl-BE"/>
        </w:rPr>
        <w:t xml:space="preserve">Becher, J., Griebler, C., Zosseder, K., &amp; Bayer, P. (2025). </w:t>
      </w:r>
      <w:r w:rsidRPr="003D13A4">
        <w:rPr>
          <w:rFonts w:ascii="Times New Roman" w:eastAsia="Times New Roman" w:hAnsi="Times New Roman" w:cs="Times New Roman"/>
          <w:sz w:val="24"/>
          <w:szCs w:val="24"/>
          <w:lang w:val="en-US"/>
        </w:rPr>
        <w:t xml:space="preserve">Integrative assessment of urban groundwater quality in the city of Munich, Germany: </w:t>
      </w:r>
      <w:proofErr w:type="spellStart"/>
      <w:r w:rsidRPr="003D13A4">
        <w:rPr>
          <w:rFonts w:ascii="Times New Roman" w:eastAsia="Times New Roman" w:hAnsi="Times New Roman" w:cs="Times New Roman"/>
          <w:sz w:val="24"/>
          <w:szCs w:val="24"/>
          <w:lang w:val="en-US"/>
        </w:rPr>
        <w:t>Spatio</w:t>
      </w:r>
      <w:proofErr w:type="spellEnd"/>
      <w:r w:rsidRPr="003D13A4">
        <w:rPr>
          <w:rFonts w:ascii="Times New Roman" w:eastAsia="Times New Roman" w:hAnsi="Times New Roman" w:cs="Times New Roman"/>
          <w:sz w:val="24"/>
          <w:szCs w:val="24"/>
          <w:lang w:val="en-US"/>
        </w:rPr>
        <w:t xml:space="preserve">-temporal patterns of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and selected microbial indicators. </w:t>
      </w:r>
      <w:r w:rsidRPr="003D13A4">
        <w:rPr>
          <w:rFonts w:ascii="Times New Roman" w:eastAsia="Times New Roman" w:hAnsi="Times New Roman" w:cs="Times New Roman"/>
          <w:i/>
          <w:iCs/>
          <w:sz w:val="24"/>
          <w:szCs w:val="24"/>
          <w:lang w:val="en-US"/>
        </w:rPr>
        <w:t>Journal of Hydrology, 658</w:t>
      </w:r>
      <w:r w:rsidRPr="003D13A4">
        <w:rPr>
          <w:rFonts w:ascii="Times New Roman" w:eastAsia="Times New Roman" w:hAnsi="Times New Roman" w:cs="Times New Roman"/>
          <w:sz w:val="24"/>
          <w:szCs w:val="24"/>
          <w:lang w:val="en-US"/>
        </w:rPr>
        <w:t xml:space="preserve">, 133096. https://doi.org/10.1016/j.jhydrol.2025.133096 </w:t>
      </w:r>
    </w:p>
    <w:p w14:paraId="08F192C9" w14:textId="073F5E41"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Ekesiobi</w:t>
      </w:r>
      <w:proofErr w:type="spellEnd"/>
      <w:r w:rsidRPr="003D13A4">
        <w:rPr>
          <w:rFonts w:ascii="Times New Roman" w:eastAsia="Times New Roman" w:hAnsi="Times New Roman" w:cs="Times New Roman"/>
          <w:sz w:val="24"/>
          <w:szCs w:val="24"/>
          <w:lang w:val="en-US"/>
        </w:rPr>
        <w:t xml:space="preserve">, S. U., Ekpe, J. E.,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Hassan, D. H.,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Awortu</w:t>
      </w:r>
      <w:proofErr w:type="spellEnd"/>
      <w:r w:rsidRPr="003D13A4">
        <w:rPr>
          <w:rFonts w:ascii="Times New Roman" w:eastAsia="Times New Roman" w:hAnsi="Times New Roman" w:cs="Times New Roman"/>
          <w:sz w:val="24"/>
          <w:szCs w:val="24"/>
          <w:lang w:val="en-US"/>
        </w:rPr>
        <w:t xml:space="preserve">, R. C.,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w:t>
      </w:r>
      <w:proofErr w:type="spellStart"/>
      <w:r w:rsidRPr="003D13A4">
        <w:rPr>
          <w:rFonts w:ascii="Times New Roman" w:eastAsia="Times New Roman" w:hAnsi="Times New Roman" w:cs="Times New Roman"/>
          <w:sz w:val="24"/>
          <w:szCs w:val="24"/>
          <w:lang w:val="en-US"/>
        </w:rPr>
        <w:t>Nwofia</w:t>
      </w:r>
      <w:proofErr w:type="spellEnd"/>
      <w:r w:rsidRPr="003D13A4">
        <w:rPr>
          <w:rFonts w:ascii="Times New Roman" w:eastAsia="Times New Roman" w:hAnsi="Times New Roman" w:cs="Times New Roman"/>
          <w:sz w:val="24"/>
          <w:szCs w:val="24"/>
          <w:lang w:val="en-US"/>
        </w:rPr>
        <w:t xml:space="preserve">, U., Okeke, C. F., &amp; Nwankwo, A. O. (2025).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w:t>
      </w:r>
      <w:proofErr w:type="spellStart"/>
      <w:r w:rsidRPr="003D13A4">
        <w:rPr>
          <w:rFonts w:ascii="Times New Roman" w:eastAsia="Times New Roman" w:hAnsi="Times New Roman" w:cs="Times New Roman"/>
          <w:sz w:val="24"/>
          <w:szCs w:val="24"/>
          <w:lang w:val="en-US"/>
        </w:rPr>
        <w:t>characterisation</w:t>
      </w:r>
      <w:proofErr w:type="spellEnd"/>
      <w:r w:rsidRPr="003D13A4">
        <w:rPr>
          <w:rFonts w:ascii="Times New Roman" w:eastAsia="Times New Roman" w:hAnsi="Times New Roman" w:cs="Times New Roman"/>
          <w:sz w:val="24"/>
          <w:szCs w:val="24"/>
          <w:lang w:val="en-US"/>
        </w:rPr>
        <w:t xml:space="preserve"> and health-risk assessment of drinking water sources in Brass Island, Bayelsa State, Nigeria. </w:t>
      </w:r>
      <w:r w:rsidRPr="003D13A4">
        <w:rPr>
          <w:rFonts w:ascii="Times New Roman" w:eastAsia="Times New Roman" w:hAnsi="Times New Roman" w:cs="Times New Roman"/>
          <w:i/>
          <w:iCs/>
          <w:sz w:val="24"/>
          <w:szCs w:val="24"/>
          <w:lang w:val="en-US"/>
        </w:rPr>
        <w:t>Asian Journal of Chemical Sciences, 15</w:t>
      </w:r>
      <w:r w:rsidRPr="003D13A4">
        <w:rPr>
          <w:rFonts w:ascii="Times New Roman" w:eastAsia="Times New Roman" w:hAnsi="Times New Roman" w:cs="Times New Roman"/>
          <w:sz w:val="24"/>
          <w:szCs w:val="24"/>
          <w:lang w:val="en-US"/>
        </w:rPr>
        <w:t xml:space="preserve">(6), 64–76. https://doi.org/10.9734/ajocs/2025/v15i6406 </w:t>
      </w:r>
    </w:p>
    <w:p w14:paraId="3698E989" w14:textId="6CBED5A0"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Ekpe, J. E., Ede, N. E.,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Anumaka</w:t>
      </w:r>
      <w:proofErr w:type="spellEnd"/>
      <w:r w:rsidRPr="003D13A4">
        <w:rPr>
          <w:rFonts w:ascii="Times New Roman" w:eastAsia="Times New Roman" w:hAnsi="Times New Roman" w:cs="Times New Roman"/>
          <w:sz w:val="24"/>
          <w:szCs w:val="24"/>
          <w:lang w:val="en-US"/>
        </w:rPr>
        <w:t xml:space="preserve">, C. C., Awa, E. O., Akpan, N. A., </w:t>
      </w:r>
      <w:proofErr w:type="spellStart"/>
      <w:r w:rsidRPr="003D13A4">
        <w:rPr>
          <w:rFonts w:ascii="Times New Roman" w:eastAsia="Times New Roman" w:hAnsi="Times New Roman" w:cs="Times New Roman"/>
          <w:sz w:val="24"/>
          <w:szCs w:val="24"/>
          <w:lang w:val="en-US"/>
        </w:rPr>
        <w:t>Otokwala</w:t>
      </w:r>
      <w:proofErr w:type="spellEnd"/>
      <w:r w:rsidRPr="003D13A4">
        <w:rPr>
          <w:rFonts w:ascii="Times New Roman" w:eastAsia="Times New Roman" w:hAnsi="Times New Roman" w:cs="Times New Roman"/>
          <w:sz w:val="24"/>
          <w:szCs w:val="24"/>
          <w:lang w:val="en-US"/>
        </w:rPr>
        <w:t xml:space="preserve">, O. N., Osuagwu, E. L., Obi, J. N., &amp; Warder, A. B. (2026). Heavy metal geochemistry and ecological risk of stream sediments in the </w:t>
      </w:r>
      <w:proofErr w:type="spellStart"/>
      <w:r w:rsidRPr="003D13A4">
        <w:rPr>
          <w:rFonts w:ascii="Times New Roman" w:eastAsia="Times New Roman" w:hAnsi="Times New Roman" w:cs="Times New Roman"/>
          <w:sz w:val="24"/>
          <w:szCs w:val="24"/>
          <w:lang w:val="en-US"/>
        </w:rPr>
        <w:t>Orashi</w:t>
      </w:r>
      <w:proofErr w:type="spellEnd"/>
      <w:r w:rsidRPr="003D13A4">
        <w:rPr>
          <w:rFonts w:ascii="Times New Roman" w:eastAsia="Times New Roman" w:hAnsi="Times New Roman" w:cs="Times New Roman"/>
          <w:sz w:val="24"/>
          <w:szCs w:val="24"/>
          <w:lang w:val="en-US"/>
        </w:rPr>
        <w:t xml:space="preserve"> River, Niger Delta, Nigeria. </w:t>
      </w:r>
      <w:r w:rsidRPr="003D13A4">
        <w:rPr>
          <w:rFonts w:ascii="Times New Roman" w:eastAsia="Times New Roman" w:hAnsi="Times New Roman" w:cs="Times New Roman"/>
          <w:i/>
          <w:iCs/>
          <w:sz w:val="24"/>
          <w:szCs w:val="24"/>
          <w:lang w:val="en-US"/>
        </w:rPr>
        <w:t>Journal of Global Ecology and Environment, 22</w:t>
      </w:r>
      <w:r w:rsidRPr="003D13A4">
        <w:rPr>
          <w:rFonts w:ascii="Times New Roman" w:eastAsia="Times New Roman" w:hAnsi="Times New Roman" w:cs="Times New Roman"/>
          <w:sz w:val="24"/>
          <w:szCs w:val="24"/>
          <w:lang w:val="en-US"/>
        </w:rPr>
        <w:t xml:space="preserve">(1), 78–88. https://doi.org/10.56557/jogee/2026/v22i110220 </w:t>
      </w:r>
    </w:p>
    <w:p w14:paraId="2343EF4F" w14:textId="1CA60E3D"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Ekpe, J. E.,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Anarado</w:t>
      </w:r>
      <w:proofErr w:type="spellEnd"/>
      <w:r w:rsidRPr="003D13A4">
        <w:rPr>
          <w:rFonts w:ascii="Times New Roman" w:eastAsia="Times New Roman" w:hAnsi="Times New Roman" w:cs="Times New Roman"/>
          <w:sz w:val="24"/>
          <w:szCs w:val="24"/>
          <w:lang w:val="en-US"/>
        </w:rPr>
        <w:t xml:space="preserve">, C. J. O., </w:t>
      </w:r>
      <w:proofErr w:type="spellStart"/>
      <w:r w:rsidRPr="003D13A4">
        <w:rPr>
          <w:rFonts w:ascii="Times New Roman" w:eastAsia="Times New Roman" w:hAnsi="Times New Roman" w:cs="Times New Roman"/>
          <w:sz w:val="24"/>
          <w:szCs w:val="24"/>
          <w:lang w:val="en-US"/>
        </w:rPr>
        <w:t>Ewuola</w:t>
      </w:r>
      <w:proofErr w:type="spellEnd"/>
      <w:r w:rsidRPr="003D13A4">
        <w:rPr>
          <w:rFonts w:ascii="Times New Roman" w:eastAsia="Times New Roman" w:hAnsi="Times New Roman" w:cs="Times New Roman"/>
          <w:sz w:val="24"/>
          <w:szCs w:val="24"/>
          <w:lang w:val="en-US"/>
        </w:rPr>
        <w:t xml:space="preserve">, A. A., Ufuoma, V. O.,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xml:space="preserve">, C. B., Okonkwo, C. O., &amp; </w:t>
      </w:r>
      <w:proofErr w:type="spellStart"/>
      <w:r w:rsidRPr="003D13A4">
        <w:rPr>
          <w:rFonts w:ascii="Times New Roman" w:eastAsia="Times New Roman" w:hAnsi="Times New Roman" w:cs="Times New Roman"/>
          <w:sz w:val="24"/>
          <w:szCs w:val="24"/>
          <w:lang w:val="en-US"/>
        </w:rPr>
        <w:t>Obunezi</w:t>
      </w:r>
      <w:proofErr w:type="spellEnd"/>
      <w:r w:rsidRPr="003D13A4">
        <w:rPr>
          <w:rFonts w:ascii="Times New Roman" w:eastAsia="Times New Roman" w:hAnsi="Times New Roman" w:cs="Times New Roman"/>
          <w:sz w:val="24"/>
          <w:szCs w:val="24"/>
          <w:lang w:val="en-US"/>
        </w:rPr>
        <w:t xml:space="preserve">, O. A. (2025). </w:t>
      </w:r>
      <w:proofErr w:type="spellStart"/>
      <w:r w:rsidRPr="003D13A4">
        <w:rPr>
          <w:rFonts w:ascii="Times New Roman" w:eastAsia="Times New Roman" w:hAnsi="Times New Roman" w:cs="Times New Roman"/>
          <w:sz w:val="24"/>
          <w:szCs w:val="24"/>
          <w:lang w:val="en-US"/>
        </w:rPr>
        <w:t>Physico</w:t>
      </w:r>
      <w:proofErr w:type="spellEnd"/>
      <w:r w:rsidRPr="003D13A4">
        <w:rPr>
          <w:rFonts w:ascii="Times New Roman" w:eastAsia="Times New Roman" w:hAnsi="Times New Roman" w:cs="Times New Roman"/>
          <w:sz w:val="24"/>
          <w:szCs w:val="24"/>
          <w:lang w:val="en-US"/>
        </w:rPr>
        <w:t xml:space="preserve">-chemical transport of pesticides and nutrients in irrigation water and their fate in </w:t>
      </w:r>
      <w:proofErr w:type="spellStart"/>
      <w:r w:rsidRPr="003D13A4">
        <w:rPr>
          <w:rFonts w:ascii="Times New Roman" w:eastAsia="Times New Roman" w:hAnsi="Times New Roman" w:cs="Times New Roman"/>
          <w:sz w:val="24"/>
          <w:szCs w:val="24"/>
          <w:lang w:val="en-US"/>
        </w:rPr>
        <w:t>agro</w:t>
      </w:r>
      <w:proofErr w:type="spellEnd"/>
      <w:r w:rsidRPr="003D13A4">
        <w:rPr>
          <w:rFonts w:ascii="Times New Roman" w:eastAsia="Times New Roman" w:hAnsi="Times New Roman" w:cs="Times New Roman"/>
          <w:sz w:val="24"/>
          <w:szCs w:val="24"/>
          <w:lang w:val="en-US"/>
        </w:rPr>
        <w:t xml:space="preserve">-ecosystems of Rivers State, Nigeria. </w:t>
      </w:r>
      <w:proofErr w:type="spellStart"/>
      <w:r w:rsidRPr="003D13A4">
        <w:rPr>
          <w:rFonts w:ascii="Times New Roman" w:eastAsia="Times New Roman" w:hAnsi="Times New Roman" w:cs="Times New Roman"/>
          <w:i/>
          <w:iCs/>
          <w:sz w:val="24"/>
          <w:szCs w:val="24"/>
          <w:lang w:val="en-US"/>
        </w:rPr>
        <w:t>Palgo</w:t>
      </w:r>
      <w:proofErr w:type="spellEnd"/>
      <w:r w:rsidRPr="003D13A4">
        <w:rPr>
          <w:rFonts w:ascii="Times New Roman" w:eastAsia="Times New Roman" w:hAnsi="Times New Roman" w:cs="Times New Roman"/>
          <w:i/>
          <w:iCs/>
          <w:sz w:val="24"/>
          <w:szCs w:val="24"/>
          <w:lang w:val="en-US"/>
        </w:rPr>
        <w:t xml:space="preserve"> Journal of Agriculture, 9</w:t>
      </w:r>
      <w:r w:rsidRPr="003D13A4">
        <w:rPr>
          <w:rFonts w:ascii="Times New Roman" w:eastAsia="Times New Roman" w:hAnsi="Times New Roman" w:cs="Times New Roman"/>
          <w:sz w:val="24"/>
          <w:szCs w:val="24"/>
          <w:lang w:val="en-US"/>
        </w:rPr>
        <w:t xml:space="preserve">(2), 30–37. https://doi.org/10.5281/zenodo.17148360 </w:t>
      </w:r>
    </w:p>
    <w:p w14:paraId="00406891" w14:textId="3D978BB9"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Okpoji, A. U., </w:t>
      </w:r>
      <w:proofErr w:type="spellStart"/>
      <w:r w:rsidRPr="003D13A4">
        <w:rPr>
          <w:rFonts w:ascii="Times New Roman" w:eastAsia="Times New Roman" w:hAnsi="Times New Roman" w:cs="Times New Roman"/>
          <w:sz w:val="24"/>
          <w:szCs w:val="24"/>
          <w:lang w:val="en-US"/>
        </w:rPr>
        <w:t>Igwegbe</w:t>
      </w:r>
      <w:proofErr w:type="spellEnd"/>
      <w:r w:rsidRPr="003D13A4">
        <w:rPr>
          <w:rFonts w:ascii="Times New Roman" w:eastAsia="Times New Roman" w:hAnsi="Times New Roman" w:cs="Times New Roman"/>
          <w:sz w:val="24"/>
          <w:szCs w:val="24"/>
          <w:lang w:val="en-US"/>
        </w:rPr>
        <w:t xml:space="preserve">, K. C., Okonkwo, C. O., </w:t>
      </w:r>
      <w:proofErr w:type="spellStart"/>
      <w:r w:rsidRPr="003D13A4">
        <w:rPr>
          <w:rFonts w:ascii="Times New Roman" w:eastAsia="Times New Roman" w:hAnsi="Times New Roman" w:cs="Times New Roman"/>
          <w:sz w:val="24"/>
          <w:szCs w:val="24"/>
          <w:lang w:val="en-US"/>
        </w:rPr>
        <w:t>Yekeen</w:t>
      </w:r>
      <w:proofErr w:type="spellEnd"/>
      <w:r w:rsidRPr="003D13A4">
        <w:rPr>
          <w:rFonts w:ascii="Times New Roman" w:eastAsia="Times New Roman" w:hAnsi="Times New Roman" w:cs="Times New Roman"/>
          <w:sz w:val="24"/>
          <w:szCs w:val="24"/>
          <w:lang w:val="en-US"/>
        </w:rPr>
        <w:t xml:space="preserve">, A. A., </w:t>
      </w:r>
      <w:proofErr w:type="spellStart"/>
      <w:r w:rsidRPr="003D13A4">
        <w:rPr>
          <w:rFonts w:ascii="Times New Roman" w:eastAsia="Times New Roman" w:hAnsi="Times New Roman" w:cs="Times New Roman"/>
          <w:sz w:val="24"/>
          <w:szCs w:val="24"/>
          <w:lang w:val="en-US"/>
        </w:rPr>
        <w:t>Obunezi</w:t>
      </w:r>
      <w:proofErr w:type="spellEnd"/>
      <w:r w:rsidRPr="003D13A4">
        <w:rPr>
          <w:rFonts w:ascii="Times New Roman" w:eastAsia="Times New Roman" w:hAnsi="Times New Roman" w:cs="Times New Roman"/>
          <w:sz w:val="24"/>
          <w:szCs w:val="24"/>
          <w:lang w:val="en-US"/>
        </w:rPr>
        <w:t xml:space="preserve">, O. C.,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xml:space="preserve">, C. B., Garuba, M. H., </w:t>
      </w:r>
      <w:proofErr w:type="spellStart"/>
      <w:r w:rsidRPr="003D13A4">
        <w:rPr>
          <w:rFonts w:ascii="Times New Roman" w:eastAsia="Times New Roman" w:hAnsi="Times New Roman" w:cs="Times New Roman"/>
          <w:sz w:val="24"/>
          <w:szCs w:val="24"/>
          <w:lang w:val="en-US"/>
        </w:rPr>
        <w:t>Ogini</w:t>
      </w:r>
      <w:proofErr w:type="spellEnd"/>
      <w:r w:rsidRPr="003D13A4">
        <w:rPr>
          <w:rFonts w:ascii="Times New Roman" w:eastAsia="Times New Roman" w:hAnsi="Times New Roman" w:cs="Times New Roman"/>
          <w:sz w:val="24"/>
          <w:szCs w:val="24"/>
          <w:lang w:val="en-US"/>
        </w:rPr>
        <w:t xml:space="preserve">, O. R., &amp; </w:t>
      </w:r>
      <w:proofErr w:type="spellStart"/>
      <w:r w:rsidRPr="003D13A4">
        <w:rPr>
          <w:rFonts w:ascii="Times New Roman" w:eastAsia="Times New Roman" w:hAnsi="Times New Roman" w:cs="Times New Roman"/>
          <w:sz w:val="24"/>
          <w:szCs w:val="24"/>
          <w:lang w:val="en-US"/>
        </w:rPr>
        <w:t>Odibo</w:t>
      </w:r>
      <w:proofErr w:type="spellEnd"/>
      <w:r w:rsidRPr="003D13A4">
        <w:rPr>
          <w:rFonts w:ascii="Times New Roman" w:eastAsia="Times New Roman" w:hAnsi="Times New Roman" w:cs="Times New Roman"/>
          <w:sz w:val="24"/>
          <w:szCs w:val="24"/>
          <w:lang w:val="en-US"/>
        </w:rPr>
        <w:t>, U. E. (2025). Nutritional–toxicological trade-off: Comparative study of polycyclic aromatic hydrocarbons in smoked and oven-dried Nile tilapia (</w:t>
      </w:r>
      <w:r w:rsidRPr="003D13A4">
        <w:rPr>
          <w:rFonts w:ascii="Times New Roman" w:eastAsia="Times New Roman" w:hAnsi="Times New Roman" w:cs="Times New Roman"/>
          <w:i/>
          <w:iCs/>
          <w:sz w:val="24"/>
          <w:szCs w:val="24"/>
          <w:lang w:val="en-US"/>
        </w:rPr>
        <w:t>Oreochromis niloticus</w:t>
      </w:r>
      <w:r w:rsidRPr="003D13A4">
        <w:rPr>
          <w:rFonts w:ascii="Times New Roman" w:eastAsia="Times New Roman" w:hAnsi="Times New Roman" w:cs="Times New Roman"/>
          <w:sz w:val="24"/>
          <w:szCs w:val="24"/>
          <w:lang w:val="en-US"/>
        </w:rPr>
        <w:t xml:space="preserve">). </w:t>
      </w:r>
      <w:r w:rsidRPr="003D13A4">
        <w:rPr>
          <w:rFonts w:ascii="Times New Roman" w:eastAsia="Times New Roman" w:hAnsi="Times New Roman" w:cs="Times New Roman"/>
          <w:i/>
          <w:iCs/>
          <w:sz w:val="24"/>
          <w:szCs w:val="24"/>
          <w:lang w:val="en-US"/>
        </w:rPr>
        <w:t>Journal of Environment, Climate, and Ecology, 2</w:t>
      </w:r>
      <w:r w:rsidRPr="003D13A4">
        <w:rPr>
          <w:rFonts w:ascii="Times New Roman" w:eastAsia="Times New Roman" w:hAnsi="Times New Roman" w:cs="Times New Roman"/>
          <w:sz w:val="24"/>
          <w:szCs w:val="24"/>
          <w:lang w:val="en-US"/>
        </w:rPr>
        <w:t xml:space="preserve">(2), 90–97. https://doi.org/10.69739/jece.v2i2.952 </w:t>
      </w:r>
    </w:p>
    <w:p w14:paraId="41F8455D" w14:textId="752AF9C7"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Elele, N., Osuji, L. C., &amp; </w:t>
      </w:r>
      <w:proofErr w:type="spellStart"/>
      <w:r w:rsidRPr="003D13A4">
        <w:rPr>
          <w:rFonts w:ascii="Times New Roman" w:eastAsia="Times New Roman" w:hAnsi="Times New Roman" w:cs="Times New Roman"/>
          <w:sz w:val="24"/>
          <w:szCs w:val="24"/>
          <w:lang w:val="en-US"/>
        </w:rPr>
        <w:t>Nwankwoala</w:t>
      </w:r>
      <w:proofErr w:type="spellEnd"/>
      <w:r w:rsidRPr="003D13A4">
        <w:rPr>
          <w:rFonts w:ascii="Times New Roman" w:eastAsia="Times New Roman" w:hAnsi="Times New Roman" w:cs="Times New Roman"/>
          <w:sz w:val="24"/>
          <w:szCs w:val="24"/>
          <w:lang w:val="en-US"/>
        </w:rPr>
        <w:t xml:space="preserve">, H. O. (2025). Water quality index of selected borehole water along pipeline routes in parts of Obio/Akpor Local Government Area, Rivers State, Nigeria. </w:t>
      </w:r>
      <w:r w:rsidRPr="003D13A4">
        <w:rPr>
          <w:rFonts w:ascii="Times New Roman" w:eastAsia="Times New Roman" w:hAnsi="Times New Roman" w:cs="Times New Roman"/>
          <w:i/>
          <w:iCs/>
          <w:sz w:val="24"/>
          <w:szCs w:val="24"/>
          <w:lang w:val="en-US"/>
        </w:rPr>
        <w:t>Journal of Applied Chemical Science International, 16</w:t>
      </w:r>
      <w:r w:rsidRPr="003D13A4">
        <w:rPr>
          <w:rFonts w:ascii="Times New Roman" w:eastAsia="Times New Roman" w:hAnsi="Times New Roman" w:cs="Times New Roman"/>
          <w:sz w:val="24"/>
          <w:szCs w:val="24"/>
          <w:lang w:val="en-US"/>
        </w:rPr>
        <w:t xml:space="preserve">(2), 69–78. https://doi.org/10.56557/jacsi/2025/v16i29389 </w:t>
      </w:r>
    </w:p>
    <w:p w14:paraId="6C89CD96" w14:textId="03F5F12C"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w:t>
      </w:r>
      <w:proofErr w:type="spellStart"/>
      <w:r w:rsidRPr="003D13A4">
        <w:rPr>
          <w:rFonts w:ascii="Times New Roman" w:eastAsia="Times New Roman" w:hAnsi="Times New Roman" w:cs="Times New Roman"/>
          <w:sz w:val="24"/>
          <w:szCs w:val="24"/>
          <w:lang w:val="en-US"/>
        </w:rPr>
        <w:t>Ezeabsili</w:t>
      </w:r>
      <w:proofErr w:type="spellEnd"/>
      <w:r w:rsidRPr="003D13A4">
        <w:rPr>
          <w:rFonts w:ascii="Times New Roman" w:eastAsia="Times New Roman" w:hAnsi="Times New Roman" w:cs="Times New Roman"/>
          <w:sz w:val="24"/>
          <w:szCs w:val="24"/>
          <w:lang w:val="en-US"/>
        </w:rPr>
        <w:t xml:space="preserve">, P. I., Agu, M. O., Okeke, C. F., Olotu, O. N., </w:t>
      </w:r>
      <w:proofErr w:type="spellStart"/>
      <w:r w:rsidRPr="003D13A4">
        <w:rPr>
          <w:rFonts w:ascii="Times New Roman" w:eastAsia="Times New Roman" w:hAnsi="Times New Roman" w:cs="Times New Roman"/>
          <w:sz w:val="24"/>
          <w:szCs w:val="24"/>
          <w:lang w:val="en-US"/>
        </w:rPr>
        <w:t>Aligwo</w:t>
      </w:r>
      <w:proofErr w:type="spellEnd"/>
      <w:r w:rsidRPr="003D13A4">
        <w:rPr>
          <w:rFonts w:ascii="Times New Roman" w:eastAsia="Times New Roman" w:hAnsi="Times New Roman" w:cs="Times New Roman"/>
          <w:sz w:val="24"/>
          <w:szCs w:val="24"/>
          <w:lang w:val="en-US"/>
        </w:rPr>
        <w:t xml:space="preserve">, M. C., Eze, V. C., Nwankwo, A. O., Okpoji, A. U., &amp; Ekong, I. U. (2025). Determination of polychlorinated biphenyls in soils and industrial effluents and health risks assessment in </w:t>
      </w:r>
      <w:proofErr w:type="spellStart"/>
      <w:r w:rsidRPr="003D13A4">
        <w:rPr>
          <w:rFonts w:ascii="Times New Roman" w:eastAsia="Times New Roman" w:hAnsi="Times New Roman" w:cs="Times New Roman"/>
          <w:sz w:val="24"/>
          <w:szCs w:val="24"/>
          <w:lang w:val="en-US"/>
        </w:rPr>
        <w:t>Uyo</w:t>
      </w:r>
      <w:proofErr w:type="spellEnd"/>
      <w:r w:rsidRPr="003D13A4">
        <w:rPr>
          <w:rFonts w:ascii="Times New Roman" w:eastAsia="Times New Roman" w:hAnsi="Times New Roman" w:cs="Times New Roman"/>
          <w:sz w:val="24"/>
          <w:szCs w:val="24"/>
          <w:lang w:val="en-US"/>
        </w:rPr>
        <w:t xml:space="preserve">, Akwa Ibom State, Nigeria. </w:t>
      </w:r>
      <w:r w:rsidRPr="003D13A4">
        <w:rPr>
          <w:rFonts w:ascii="Times New Roman" w:eastAsia="Times New Roman" w:hAnsi="Times New Roman" w:cs="Times New Roman"/>
          <w:i/>
          <w:iCs/>
          <w:sz w:val="24"/>
          <w:szCs w:val="24"/>
          <w:lang w:val="en-US"/>
        </w:rPr>
        <w:t>Journal of Medical Science, Biology, and Chemistry, 2</w:t>
      </w:r>
      <w:r w:rsidRPr="003D13A4">
        <w:rPr>
          <w:rFonts w:ascii="Times New Roman" w:eastAsia="Times New Roman" w:hAnsi="Times New Roman" w:cs="Times New Roman"/>
          <w:sz w:val="24"/>
          <w:szCs w:val="24"/>
          <w:lang w:val="en-US"/>
        </w:rPr>
        <w:t xml:space="preserve">(2), 285–292. https://doi.org/10.69739/jmsbc.v2i2.1258 </w:t>
      </w:r>
    </w:p>
    <w:p w14:paraId="7DA0E2AF" w14:textId="61DCF222"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Etukudo, N. J., Okoye, P. I., Nwafor, E. I., Inyang, G. E.,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Onuchukwu</w:t>
      </w:r>
      <w:proofErr w:type="spellEnd"/>
      <w:r w:rsidRPr="003D13A4">
        <w:rPr>
          <w:rFonts w:ascii="Times New Roman" w:eastAsia="Times New Roman" w:hAnsi="Times New Roman" w:cs="Times New Roman"/>
          <w:sz w:val="24"/>
          <w:szCs w:val="24"/>
          <w:lang w:val="en-US"/>
        </w:rPr>
        <w:t xml:space="preserve">, E. E., &amp; Olubunmi, V. P. (2026). </w:t>
      </w:r>
      <w:proofErr w:type="spellStart"/>
      <w:r w:rsidRPr="003D13A4">
        <w:rPr>
          <w:rFonts w:ascii="Times New Roman" w:eastAsia="Times New Roman" w:hAnsi="Times New Roman" w:cs="Times New Roman"/>
          <w:sz w:val="24"/>
          <w:szCs w:val="24"/>
          <w:lang w:val="en-US"/>
        </w:rPr>
        <w:t>Hydrogeophysical</w:t>
      </w:r>
      <w:proofErr w:type="spellEnd"/>
      <w:r w:rsidRPr="003D13A4">
        <w:rPr>
          <w:rFonts w:ascii="Times New Roman" w:eastAsia="Times New Roman" w:hAnsi="Times New Roman" w:cs="Times New Roman"/>
          <w:sz w:val="24"/>
          <w:szCs w:val="24"/>
          <w:lang w:val="en-US"/>
        </w:rPr>
        <w:t xml:space="preserve"> delineation of coastal aquifer systems using electrical resistivity imaging in selected coastal communities of the Niger Delta, Nigeria. </w:t>
      </w:r>
      <w:r w:rsidRPr="003D13A4">
        <w:rPr>
          <w:rFonts w:ascii="Times New Roman" w:eastAsia="Times New Roman" w:hAnsi="Times New Roman" w:cs="Times New Roman"/>
          <w:i/>
          <w:iCs/>
          <w:sz w:val="24"/>
          <w:szCs w:val="24"/>
          <w:lang w:val="en-US"/>
        </w:rPr>
        <w:t>Asian Journal of Geological Research, 9</w:t>
      </w:r>
      <w:r w:rsidRPr="003D13A4">
        <w:rPr>
          <w:rFonts w:ascii="Times New Roman" w:eastAsia="Times New Roman" w:hAnsi="Times New Roman" w:cs="Times New Roman"/>
          <w:sz w:val="24"/>
          <w:szCs w:val="24"/>
          <w:lang w:val="en-US"/>
        </w:rPr>
        <w:t xml:space="preserve">(3), 706–721. https://doi.org/10.9734/ajoger/2026/v9i3270 </w:t>
      </w:r>
    </w:p>
    <w:p w14:paraId="202542B2" w14:textId="36E177D0"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Forster, A. L. B., Wiskur, S. L., &amp; Richardson, S. D. (2025). Formation of eight classes of DBPs from chlorine, chloramine, and ozone: Mechanisms and formation pathways. </w:t>
      </w:r>
      <w:r w:rsidRPr="003D13A4">
        <w:rPr>
          <w:rFonts w:ascii="Times New Roman" w:eastAsia="Times New Roman" w:hAnsi="Times New Roman" w:cs="Times New Roman"/>
          <w:i/>
          <w:iCs/>
          <w:sz w:val="24"/>
          <w:szCs w:val="24"/>
          <w:lang w:val="en-US"/>
        </w:rPr>
        <w:lastRenderedPageBreak/>
        <w:t>Environmental Science &amp; Technology, 59</w:t>
      </w:r>
      <w:r w:rsidRPr="003D13A4">
        <w:rPr>
          <w:rFonts w:ascii="Times New Roman" w:eastAsia="Times New Roman" w:hAnsi="Times New Roman" w:cs="Times New Roman"/>
          <w:sz w:val="24"/>
          <w:szCs w:val="24"/>
          <w:lang w:val="en-US"/>
        </w:rPr>
        <w:t xml:space="preserve">(30), 15594–15611. https://doi.org/10.1021/acs.est.5c02208 </w:t>
      </w:r>
    </w:p>
    <w:p w14:paraId="507C6886" w14:textId="1344E16E"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Guo, X., Ji, X., Liu, Z., Feng, Z., Zhang, Z., Du, S., Li, X., Ma, J., &amp; Sun, Z. (2024). Complex impact of metals on the fate of disinfection by-products in drinking water pipelines: A systematic review. </w:t>
      </w:r>
      <w:r w:rsidRPr="003D13A4">
        <w:rPr>
          <w:rFonts w:ascii="Times New Roman" w:eastAsia="Times New Roman" w:hAnsi="Times New Roman" w:cs="Times New Roman"/>
          <w:i/>
          <w:iCs/>
          <w:sz w:val="24"/>
          <w:szCs w:val="24"/>
          <w:lang w:val="en-US"/>
        </w:rPr>
        <w:t>Water Research, 261</w:t>
      </w:r>
      <w:r w:rsidRPr="003D13A4">
        <w:rPr>
          <w:rFonts w:ascii="Times New Roman" w:eastAsia="Times New Roman" w:hAnsi="Times New Roman" w:cs="Times New Roman"/>
          <w:sz w:val="24"/>
          <w:szCs w:val="24"/>
          <w:lang w:val="en-US"/>
        </w:rPr>
        <w:t xml:space="preserve">, 121991. https://doi.org/10.1016/j.watres.2024.121991 </w:t>
      </w:r>
    </w:p>
    <w:p w14:paraId="4FC2CFEB" w14:textId="7FCE9751"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Helte</w:t>
      </w:r>
      <w:proofErr w:type="spellEnd"/>
      <w:r w:rsidRPr="003D13A4">
        <w:rPr>
          <w:rFonts w:ascii="Times New Roman" w:eastAsia="Times New Roman" w:hAnsi="Times New Roman" w:cs="Times New Roman"/>
          <w:sz w:val="24"/>
          <w:szCs w:val="24"/>
          <w:lang w:val="en-US"/>
        </w:rPr>
        <w:t>, E., Söderlund, F., Säve-</w:t>
      </w:r>
      <w:proofErr w:type="spellStart"/>
      <w:r w:rsidRPr="003D13A4">
        <w:rPr>
          <w:rFonts w:ascii="Times New Roman" w:eastAsia="Times New Roman" w:hAnsi="Times New Roman" w:cs="Times New Roman"/>
          <w:sz w:val="24"/>
          <w:szCs w:val="24"/>
          <w:lang w:val="en-US"/>
        </w:rPr>
        <w:t>Söderbergh</w:t>
      </w:r>
      <w:proofErr w:type="spellEnd"/>
      <w:r w:rsidRPr="003D13A4">
        <w:rPr>
          <w:rFonts w:ascii="Times New Roman" w:eastAsia="Times New Roman" w:hAnsi="Times New Roman" w:cs="Times New Roman"/>
          <w:sz w:val="24"/>
          <w:szCs w:val="24"/>
          <w:lang w:val="en-US"/>
        </w:rPr>
        <w:t xml:space="preserve">, M., Larsson, S. C., &amp; Åkesson, A. (2025). Exposure to drinking water trihalomethanes and risk of cancer: A systematic review of the epidemiologic evidence and dose-response meta-analysis. </w:t>
      </w:r>
      <w:r w:rsidRPr="003D13A4">
        <w:rPr>
          <w:rFonts w:ascii="Times New Roman" w:eastAsia="Times New Roman" w:hAnsi="Times New Roman" w:cs="Times New Roman"/>
          <w:i/>
          <w:iCs/>
          <w:sz w:val="24"/>
          <w:szCs w:val="24"/>
          <w:lang w:val="en-US"/>
        </w:rPr>
        <w:t>Environmental Health Perspectives, 133</w:t>
      </w:r>
      <w:r w:rsidRPr="003D13A4">
        <w:rPr>
          <w:rFonts w:ascii="Times New Roman" w:eastAsia="Times New Roman" w:hAnsi="Times New Roman" w:cs="Times New Roman"/>
          <w:sz w:val="24"/>
          <w:szCs w:val="24"/>
          <w:lang w:val="en-US"/>
        </w:rPr>
        <w:t xml:space="preserve">(1), 016001. https://doi.org/10.1289/EHP14505 </w:t>
      </w:r>
    </w:p>
    <w:p w14:paraId="7FAF5225" w14:textId="0D0DECBC"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Isueken</w:t>
      </w:r>
      <w:proofErr w:type="spellEnd"/>
      <w:r w:rsidRPr="003D13A4">
        <w:rPr>
          <w:rFonts w:ascii="Times New Roman" w:eastAsia="Times New Roman" w:hAnsi="Times New Roman" w:cs="Times New Roman"/>
          <w:sz w:val="24"/>
          <w:szCs w:val="24"/>
          <w:lang w:val="en-US"/>
        </w:rPr>
        <w:t xml:space="preserve">, C. O., Asemota, P. O., Isaac, S. C., Okpoji, A. U., Nwankwo, A. O., Akpan, N. A.,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&amp; </w:t>
      </w:r>
      <w:proofErr w:type="spellStart"/>
      <w:r w:rsidRPr="003D13A4">
        <w:rPr>
          <w:rFonts w:ascii="Times New Roman" w:eastAsia="Times New Roman" w:hAnsi="Times New Roman" w:cs="Times New Roman"/>
          <w:sz w:val="24"/>
          <w:szCs w:val="24"/>
          <w:lang w:val="en-US"/>
        </w:rPr>
        <w:t>Alieze</w:t>
      </w:r>
      <w:proofErr w:type="spellEnd"/>
      <w:r w:rsidRPr="003D13A4">
        <w:rPr>
          <w:rFonts w:ascii="Times New Roman" w:eastAsia="Times New Roman" w:hAnsi="Times New Roman" w:cs="Times New Roman"/>
          <w:sz w:val="24"/>
          <w:szCs w:val="24"/>
          <w:lang w:val="en-US"/>
        </w:rPr>
        <w:t xml:space="preserve">, A. B. (2025). Assessment of petroleum hydrocarbon fractions and heavy metal contamination in surface water of </w:t>
      </w:r>
      <w:proofErr w:type="spellStart"/>
      <w:r w:rsidRPr="003D13A4">
        <w:rPr>
          <w:rFonts w:ascii="Times New Roman" w:eastAsia="Times New Roman" w:hAnsi="Times New Roman" w:cs="Times New Roman"/>
          <w:sz w:val="24"/>
          <w:szCs w:val="24"/>
          <w:lang w:val="en-US"/>
        </w:rPr>
        <w:t>Ogboinbiri</w:t>
      </w:r>
      <w:proofErr w:type="spellEnd"/>
      <w:r w:rsidRPr="003D13A4">
        <w:rPr>
          <w:rFonts w:ascii="Times New Roman" w:eastAsia="Times New Roman" w:hAnsi="Times New Roman" w:cs="Times New Roman"/>
          <w:sz w:val="24"/>
          <w:szCs w:val="24"/>
          <w:lang w:val="en-US"/>
        </w:rPr>
        <w:t xml:space="preserve"> Creek, Southern Ijaw, Bayelsa State, Nigeria. </w:t>
      </w:r>
      <w:r w:rsidRPr="003D13A4">
        <w:rPr>
          <w:rFonts w:ascii="Times New Roman" w:eastAsia="Times New Roman" w:hAnsi="Times New Roman" w:cs="Times New Roman"/>
          <w:i/>
          <w:iCs/>
          <w:sz w:val="24"/>
          <w:szCs w:val="24"/>
          <w:lang w:val="en-US"/>
        </w:rPr>
        <w:t>Scientific Journal of Engineering, and Technology, 2</w:t>
      </w:r>
      <w:r w:rsidRPr="003D13A4">
        <w:rPr>
          <w:rFonts w:ascii="Times New Roman" w:eastAsia="Times New Roman" w:hAnsi="Times New Roman" w:cs="Times New Roman"/>
          <w:sz w:val="24"/>
          <w:szCs w:val="24"/>
          <w:lang w:val="en-US"/>
        </w:rPr>
        <w:t xml:space="preserve">(2), 172–179. https://doi.org/10.69739/sjet.v2i2.1308 </w:t>
      </w:r>
    </w:p>
    <w:p w14:paraId="03EF453D" w14:textId="67DDD520"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Izuchukwu, E. C., Akpan, N. A., </w:t>
      </w:r>
      <w:proofErr w:type="spellStart"/>
      <w:r w:rsidRPr="003D13A4">
        <w:rPr>
          <w:rFonts w:ascii="Times New Roman" w:eastAsia="Times New Roman" w:hAnsi="Times New Roman" w:cs="Times New Roman"/>
          <w:sz w:val="24"/>
          <w:szCs w:val="24"/>
          <w:lang w:val="en-US"/>
        </w:rPr>
        <w:t>Igwegbe</w:t>
      </w:r>
      <w:proofErr w:type="spellEnd"/>
      <w:r w:rsidRPr="003D13A4">
        <w:rPr>
          <w:rFonts w:ascii="Times New Roman" w:eastAsia="Times New Roman" w:hAnsi="Times New Roman" w:cs="Times New Roman"/>
          <w:sz w:val="24"/>
          <w:szCs w:val="24"/>
          <w:lang w:val="en-US"/>
        </w:rPr>
        <w:t xml:space="preserve">, K. C., Okpoji, A. U., </w:t>
      </w:r>
      <w:proofErr w:type="spellStart"/>
      <w:r w:rsidRPr="003D13A4">
        <w:rPr>
          <w:rFonts w:ascii="Times New Roman" w:eastAsia="Times New Roman" w:hAnsi="Times New Roman" w:cs="Times New Roman"/>
          <w:sz w:val="24"/>
          <w:szCs w:val="24"/>
          <w:lang w:val="en-US"/>
        </w:rPr>
        <w:t>Ezeabasili</w:t>
      </w:r>
      <w:proofErr w:type="spellEnd"/>
      <w:r w:rsidRPr="003D13A4">
        <w:rPr>
          <w:rFonts w:ascii="Times New Roman" w:eastAsia="Times New Roman" w:hAnsi="Times New Roman" w:cs="Times New Roman"/>
          <w:sz w:val="24"/>
          <w:szCs w:val="24"/>
          <w:lang w:val="en-US"/>
        </w:rPr>
        <w:t>, P. I., Obi, J. N., &amp; Anarah, S. E. (2026</w:t>
      </w:r>
      <w:r>
        <w:rPr>
          <w:rFonts w:ascii="Times New Roman" w:eastAsia="Times New Roman" w:hAnsi="Times New Roman" w:cs="Times New Roman"/>
          <w:sz w:val="24"/>
          <w:szCs w:val="24"/>
          <w:lang w:val="en-US"/>
        </w:rPr>
        <w:t>a</w:t>
      </w:r>
      <w:r w:rsidRPr="003D13A4">
        <w:rPr>
          <w:rFonts w:ascii="Times New Roman" w:eastAsia="Times New Roman" w:hAnsi="Times New Roman" w:cs="Times New Roman"/>
          <w:sz w:val="24"/>
          <w:szCs w:val="24"/>
          <w:lang w:val="en-US"/>
        </w:rPr>
        <w:t xml:space="preserve">). Environmental and toxicological risk assessment of heavy metals in Eleme agricultural soils. </w:t>
      </w:r>
      <w:r w:rsidRPr="003D13A4">
        <w:rPr>
          <w:rFonts w:ascii="Times New Roman" w:eastAsia="Times New Roman" w:hAnsi="Times New Roman" w:cs="Times New Roman"/>
          <w:i/>
          <w:iCs/>
          <w:sz w:val="24"/>
          <w:szCs w:val="24"/>
          <w:lang w:val="en-US"/>
        </w:rPr>
        <w:t>Asian Journal of Agricultural and Horticultural Research, 13</w:t>
      </w:r>
      <w:r w:rsidRPr="003D13A4">
        <w:rPr>
          <w:rFonts w:ascii="Times New Roman" w:eastAsia="Times New Roman" w:hAnsi="Times New Roman" w:cs="Times New Roman"/>
          <w:sz w:val="24"/>
          <w:szCs w:val="24"/>
          <w:lang w:val="en-US"/>
        </w:rPr>
        <w:t>(1), 67–81. https://doi.org/10.9734/ajahr/2026/v13i1436</w:t>
      </w:r>
    </w:p>
    <w:p w14:paraId="0D3FE8F0" w14:textId="4E6E4147"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Izuchukwu, E. C., Ebikienmo, P. J., </w:t>
      </w:r>
      <w:proofErr w:type="spellStart"/>
      <w:r w:rsidRPr="003D13A4">
        <w:rPr>
          <w:rFonts w:ascii="Times New Roman" w:eastAsia="Times New Roman" w:hAnsi="Times New Roman" w:cs="Times New Roman"/>
          <w:sz w:val="24"/>
          <w:szCs w:val="24"/>
          <w:lang w:val="en-US"/>
        </w:rPr>
        <w:t>Ekesiobi</w:t>
      </w:r>
      <w:proofErr w:type="spellEnd"/>
      <w:r w:rsidRPr="003D13A4">
        <w:rPr>
          <w:rFonts w:ascii="Times New Roman" w:eastAsia="Times New Roman" w:hAnsi="Times New Roman" w:cs="Times New Roman"/>
          <w:sz w:val="24"/>
          <w:szCs w:val="24"/>
          <w:lang w:val="en-US"/>
        </w:rPr>
        <w:t xml:space="preserve">, S. U., Thompson, N. I.,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&amp;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M. U. (2026</w:t>
      </w:r>
      <w:r>
        <w:rPr>
          <w:rFonts w:ascii="Times New Roman" w:eastAsia="Times New Roman" w:hAnsi="Times New Roman" w:cs="Times New Roman"/>
          <w:sz w:val="24"/>
          <w:szCs w:val="24"/>
          <w:lang w:val="en-US"/>
        </w:rPr>
        <w:t>b</w:t>
      </w:r>
      <w:r w:rsidRPr="003D13A4">
        <w:rPr>
          <w:rFonts w:ascii="Times New Roman" w:eastAsia="Times New Roman" w:hAnsi="Times New Roman" w:cs="Times New Roman"/>
          <w:sz w:val="24"/>
          <w:szCs w:val="24"/>
          <w:lang w:val="en-US"/>
        </w:rPr>
        <w:t xml:space="preserve">). Assessment of heavy metal contamination and its associated human health risks in the Nun River, Bayelsa State, Nigeria. </w:t>
      </w:r>
      <w:r w:rsidRPr="003D13A4">
        <w:rPr>
          <w:rFonts w:ascii="Times New Roman" w:eastAsia="Times New Roman" w:hAnsi="Times New Roman" w:cs="Times New Roman"/>
          <w:i/>
          <w:iCs/>
          <w:sz w:val="24"/>
          <w:szCs w:val="24"/>
          <w:lang w:val="en-US"/>
        </w:rPr>
        <w:t>Asian Journal of Research in Zoology, 9</w:t>
      </w:r>
      <w:r w:rsidRPr="003D13A4">
        <w:rPr>
          <w:rFonts w:ascii="Times New Roman" w:eastAsia="Times New Roman" w:hAnsi="Times New Roman" w:cs="Times New Roman"/>
          <w:sz w:val="24"/>
          <w:szCs w:val="24"/>
          <w:lang w:val="en-US"/>
        </w:rPr>
        <w:t>(1), 31–41. https://doi.org/10.9734/ajriz/2026/v9i1239</w:t>
      </w:r>
    </w:p>
    <w:p w14:paraId="67D8065E" w14:textId="04FA604B"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Joseph, J., </w:t>
      </w:r>
      <w:proofErr w:type="spellStart"/>
      <w:r w:rsidRPr="003D13A4">
        <w:rPr>
          <w:rFonts w:ascii="Times New Roman" w:eastAsia="Times New Roman" w:hAnsi="Times New Roman" w:cs="Times New Roman"/>
          <w:sz w:val="24"/>
          <w:szCs w:val="24"/>
          <w:lang w:val="en-US"/>
        </w:rPr>
        <w:t>Danagogo</w:t>
      </w:r>
      <w:proofErr w:type="spellEnd"/>
      <w:r w:rsidRPr="003D13A4">
        <w:rPr>
          <w:rFonts w:ascii="Times New Roman" w:eastAsia="Times New Roman" w:hAnsi="Times New Roman" w:cs="Times New Roman"/>
          <w:sz w:val="24"/>
          <w:szCs w:val="24"/>
          <w:lang w:val="en-US"/>
        </w:rPr>
        <w:t xml:space="preserve">, E. B.-B.,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Osuagwu, E. L., </w:t>
      </w:r>
      <w:proofErr w:type="spellStart"/>
      <w:r w:rsidRPr="003D13A4">
        <w:rPr>
          <w:rFonts w:ascii="Times New Roman" w:eastAsia="Times New Roman" w:hAnsi="Times New Roman" w:cs="Times New Roman"/>
          <w:sz w:val="24"/>
          <w:szCs w:val="24"/>
          <w:lang w:val="en-US"/>
        </w:rPr>
        <w:t>Otuuh</w:t>
      </w:r>
      <w:proofErr w:type="spellEnd"/>
      <w:r w:rsidRPr="003D13A4">
        <w:rPr>
          <w:rFonts w:ascii="Times New Roman" w:eastAsia="Times New Roman" w:hAnsi="Times New Roman" w:cs="Times New Roman"/>
          <w:sz w:val="24"/>
          <w:szCs w:val="24"/>
          <w:lang w:val="en-US"/>
        </w:rPr>
        <w:t xml:space="preserve">, A. G., Eze, V., Umeghalu, C. O., &amp; Obi, J. N. (2026).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w:t>
      </w:r>
      <w:proofErr w:type="spellStart"/>
      <w:r w:rsidRPr="003D13A4">
        <w:rPr>
          <w:rFonts w:ascii="Times New Roman" w:eastAsia="Times New Roman" w:hAnsi="Times New Roman" w:cs="Times New Roman"/>
          <w:sz w:val="24"/>
          <w:szCs w:val="24"/>
          <w:lang w:val="en-US"/>
        </w:rPr>
        <w:t>characterisation</w:t>
      </w:r>
      <w:proofErr w:type="spellEnd"/>
      <w:r w:rsidRPr="003D13A4">
        <w:rPr>
          <w:rFonts w:ascii="Times New Roman" w:eastAsia="Times New Roman" w:hAnsi="Times New Roman" w:cs="Times New Roman"/>
          <w:sz w:val="24"/>
          <w:szCs w:val="24"/>
          <w:lang w:val="en-US"/>
        </w:rPr>
        <w:t xml:space="preserve"> and public health risk assessment of borehole water sources in selected hospitals in Rivers State, Nigeria. </w:t>
      </w:r>
      <w:r w:rsidRPr="003D13A4">
        <w:rPr>
          <w:rFonts w:ascii="Times New Roman" w:eastAsia="Times New Roman" w:hAnsi="Times New Roman" w:cs="Times New Roman"/>
          <w:i/>
          <w:iCs/>
          <w:sz w:val="24"/>
          <w:szCs w:val="24"/>
          <w:lang w:val="en-US"/>
        </w:rPr>
        <w:t>Environmental Reports: An International Journal, 8</w:t>
      </w:r>
      <w:r w:rsidRPr="003D13A4">
        <w:rPr>
          <w:rFonts w:ascii="Times New Roman" w:eastAsia="Times New Roman" w:hAnsi="Times New Roman" w:cs="Times New Roman"/>
          <w:sz w:val="24"/>
          <w:szCs w:val="24"/>
          <w:lang w:val="en-US"/>
        </w:rPr>
        <w:t xml:space="preserve">(1), 191–200. https://doi.org/10.51470/ER.2026.8.1.191 </w:t>
      </w:r>
    </w:p>
    <w:p w14:paraId="6579336A" w14:textId="62DE1F0B"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Li, X.-F., &amp; Mitch, W. A. (2018). Drinking water disinfection byproducts (DBPs) and human health effects: Multidisciplinary challenges and opportunities. </w:t>
      </w:r>
      <w:r w:rsidRPr="003D13A4">
        <w:rPr>
          <w:rFonts w:ascii="Times New Roman" w:eastAsia="Times New Roman" w:hAnsi="Times New Roman" w:cs="Times New Roman"/>
          <w:i/>
          <w:iCs/>
          <w:sz w:val="24"/>
          <w:szCs w:val="24"/>
          <w:lang w:val="en-US"/>
        </w:rPr>
        <w:t>Environmental Science &amp; Technology, 52</w:t>
      </w:r>
      <w:r w:rsidRPr="003D13A4">
        <w:rPr>
          <w:rFonts w:ascii="Times New Roman" w:eastAsia="Times New Roman" w:hAnsi="Times New Roman" w:cs="Times New Roman"/>
          <w:sz w:val="24"/>
          <w:szCs w:val="24"/>
          <w:lang w:val="en-US"/>
        </w:rPr>
        <w:t xml:space="preserve">(4), 1681–1689. </w:t>
      </w:r>
      <w:hyperlink r:id="rId7" w:tgtFrame="_blank" w:history="1">
        <w:r w:rsidRPr="003D13A4">
          <w:rPr>
            <w:rFonts w:ascii="Times New Roman" w:eastAsia="Times New Roman" w:hAnsi="Times New Roman" w:cs="Times New Roman"/>
            <w:color w:val="0000FF"/>
            <w:sz w:val="24"/>
            <w:szCs w:val="24"/>
            <w:u w:val="single"/>
            <w:lang w:val="en-US"/>
          </w:rPr>
          <w:t>https://doi.org/10.1021/acs.est.7b05440</w:t>
        </w:r>
      </w:hyperlink>
      <w:r w:rsidRPr="003D13A4">
        <w:rPr>
          <w:rFonts w:ascii="Times New Roman" w:eastAsia="Times New Roman" w:hAnsi="Times New Roman" w:cs="Times New Roman"/>
          <w:sz w:val="24"/>
          <w:szCs w:val="24"/>
          <w:lang w:val="en-US"/>
        </w:rPr>
        <w:t xml:space="preserve"> </w:t>
      </w:r>
    </w:p>
    <w:p w14:paraId="75B65F98" w14:textId="16DCA98C"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Mahmoud, A. B., Farida, G., Okpoji, A. U.,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Akpan, N. A., </w:t>
      </w:r>
      <w:proofErr w:type="spellStart"/>
      <w:r w:rsidRPr="003D13A4">
        <w:rPr>
          <w:rFonts w:ascii="Times New Roman" w:eastAsia="Times New Roman" w:hAnsi="Times New Roman" w:cs="Times New Roman"/>
          <w:sz w:val="24"/>
          <w:szCs w:val="24"/>
          <w:lang w:val="en-US"/>
        </w:rPr>
        <w:t>Nosike</w:t>
      </w:r>
      <w:proofErr w:type="spellEnd"/>
      <w:r w:rsidRPr="003D13A4">
        <w:rPr>
          <w:rFonts w:ascii="Times New Roman" w:eastAsia="Times New Roman" w:hAnsi="Times New Roman" w:cs="Times New Roman"/>
          <w:sz w:val="24"/>
          <w:szCs w:val="24"/>
          <w:lang w:val="en-US"/>
        </w:rPr>
        <w:t xml:space="preserve">, E. I., Obi, J. N., Ahmad, S. I., Oji, N. N., Okonkwo, P. C., &amp; Godson, A. (2026). Endocrine disruption potential of pharmaceutical residues and parasitological responses to heavy metal pollution in Ikot Abasi Estuary, Akwa Ibom State, Nigeria. </w:t>
      </w:r>
      <w:proofErr w:type="spellStart"/>
      <w:r w:rsidRPr="003D13A4">
        <w:rPr>
          <w:rFonts w:ascii="Times New Roman" w:eastAsia="Times New Roman" w:hAnsi="Times New Roman" w:cs="Times New Roman"/>
          <w:i/>
          <w:iCs/>
          <w:sz w:val="24"/>
          <w:szCs w:val="24"/>
          <w:lang w:val="en-US"/>
        </w:rPr>
        <w:t>Palgo</w:t>
      </w:r>
      <w:proofErr w:type="spellEnd"/>
      <w:r w:rsidRPr="003D13A4">
        <w:rPr>
          <w:rFonts w:ascii="Times New Roman" w:eastAsia="Times New Roman" w:hAnsi="Times New Roman" w:cs="Times New Roman"/>
          <w:i/>
          <w:iCs/>
          <w:sz w:val="24"/>
          <w:szCs w:val="24"/>
          <w:lang w:val="en-US"/>
        </w:rPr>
        <w:t xml:space="preserve"> Journal of Medicine and Medical Sciences, 11</w:t>
      </w:r>
      <w:r w:rsidRPr="003D13A4">
        <w:rPr>
          <w:rFonts w:ascii="Times New Roman" w:eastAsia="Times New Roman" w:hAnsi="Times New Roman" w:cs="Times New Roman"/>
          <w:sz w:val="24"/>
          <w:szCs w:val="24"/>
          <w:lang w:val="en-US"/>
        </w:rPr>
        <w:t xml:space="preserve">(1), 55–65. https://doi.org/10.65756/pjmms.202604.009 </w:t>
      </w:r>
    </w:p>
    <w:p w14:paraId="707E2E3F" w14:textId="78C97D41"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Ogbaji, H. O., Akpan, N. A., </w:t>
      </w:r>
      <w:proofErr w:type="spellStart"/>
      <w:r w:rsidRPr="003D13A4">
        <w:rPr>
          <w:rFonts w:ascii="Times New Roman" w:eastAsia="Times New Roman" w:hAnsi="Times New Roman" w:cs="Times New Roman"/>
          <w:sz w:val="24"/>
          <w:szCs w:val="24"/>
          <w:lang w:val="en-US"/>
        </w:rPr>
        <w:t>Ijioma</w:t>
      </w:r>
      <w:proofErr w:type="spellEnd"/>
      <w:r w:rsidRPr="003D13A4">
        <w:rPr>
          <w:rFonts w:ascii="Times New Roman" w:eastAsia="Times New Roman" w:hAnsi="Times New Roman" w:cs="Times New Roman"/>
          <w:sz w:val="24"/>
          <w:szCs w:val="24"/>
          <w:lang w:val="en-US"/>
        </w:rPr>
        <w:t xml:space="preserve">, C. C., Okpoji, A. U., Eze, V. C. U., Obi, J. N., Martins, N. P., &amp;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(2025). Seasonal variation in hydrocarbon contamination of sediments and biota in Bonny Estuary, Rivers State, Nigeria. </w:t>
      </w:r>
      <w:r w:rsidRPr="003D13A4">
        <w:rPr>
          <w:rFonts w:ascii="Times New Roman" w:eastAsia="Times New Roman" w:hAnsi="Times New Roman" w:cs="Times New Roman"/>
          <w:i/>
          <w:iCs/>
          <w:sz w:val="24"/>
          <w:szCs w:val="24"/>
          <w:lang w:val="en-US"/>
        </w:rPr>
        <w:t>Asian Journal of Geographical Research, 8</w:t>
      </w:r>
      <w:r w:rsidRPr="003D13A4">
        <w:rPr>
          <w:rFonts w:ascii="Times New Roman" w:eastAsia="Times New Roman" w:hAnsi="Times New Roman" w:cs="Times New Roman"/>
          <w:sz w:val="24"/>
          <w:szCs w:val="24"/>
          <w:lang w:val="en-US"/>
        </w:rPr>
        <w:t xml:space="preserve">(4), 330–338. https://doi.org/10.9734/ajgr/2025/v8i4341 </w:t>
      </w:r>
    </w:p>
    <w:p w14:paraId="33C1139C" w14:textId="53F200D6"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Ohaturuonye, S. O.,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Ekesiobi</w:t>
      </w:r>
      <w:proofErr w:type="spellEnd"/>
      <w:r w:rsidRPr="003D13A4">
        <w:rPr>
          <w:rFonts w:ascii="Times New Roman" w:eastAsia="Times New Roman" w:hAnsi="Times New Roman" w:cs="Times New Roman"/>
          <w:sz w:val="24"/>
          <w:szCs w:val="24"/>
          <w:lang w:val="en-US"/>
        </w:rPr>
        <w:t xml:space="preserve">, S. U., Robinson, B. E.,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Osuagwu, E. L., &amp;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xml:space="preserve">, C. B. (2026). Comparative heavy metal bioaccumulation and human health risk assessment of farmed and river-caught catfish in Rivers State, Nigeria. </w:t>
      </w:r>
      <w:r w:rsidRPr="003D13A4">
        <w:rPr>
          <w:rFonts w:ascii="Times New Roman" w:eastAsia="Times New Roman" w:hAnsi="Times New Roman" w:cs="Times New Roman"/>
          <w:i/>
          <w:iCs/>
          <w:sz w:val="24"/>
          <w:szCs w:val="24"/>
          <w:lang w:val="en-US"/>
        </w:rPr>
        <w:t>Asian Journal of Research in Zoology, 9</w:t>
      </w:r>
      <w:r w:rsidRPr="003D13A4">
        <w:rPr>
          <w:rFonts w:ascii="Times New Roman" w:eastAsia="Times New Roman" w:hAnsi="Times New Roman" w:cs="Times New Roman"/>
          <w:sz w:val="24"/>
          <w:szCs w:val="24"/>
          <w:lang w:val="en-US"/>
        </w:rPr>
        <w:t xml:space="preserve">(1), 62–74. https://doi.org/10.9734/ajriz/2026/v9i1243 </w:t>
      </w:r>
    </w:p>
    <w:p w14:paraId="111A10BB" w14:textId="340F1BED"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Okagbare, U. V., Umueni, U. E., Ekpe, J. E., Etukudo, N. J.,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Okoye, P. I.,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xml:space="preserve">, C. B., &amp; Okafor, C. A. (2025). Geophysical and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assessment of groundwater vulnerability to oil pollution in Yenagoa, Bayelsa State, Nigeria. </w:t>
      </w:r>
      <w:r w:rsidRPr="003D13A4">
        <w:rPr>
          <w:rFonts w:ascii="Times New Roman" w:eastAsia="Times New Roman" w:hAnsi="Times New Roman" w:cs="Times New Roman"/>
          <w:i/>
          <w:iCs/>
          <w:sz w:val="24"/>
          <w:szCs w:val="24"/>
          <w:lang w:val="en-US"/>
        </w:rPr>
        <w:t>Journal of Environment, Climate, and Ecology, 2</w:t>
      </w:r>
      <w:r w:rsidRPr="003D13A4">
        <w:rPr>
          <w:rFonts w:ascii="Times New Roman" w:eastAsia="Times New Roman" w:hAnsi="Times New Roman" w:cs="Times New Roman"/>
          <w:sz w:val="24"/>
          <w:szCs w:val="24"/>
          <w:lang w:val="en-US"/>
        </w:rPr>
        <w:t xml:space="preserve">(2), 138–146. https://doi.org/10.69739/jece.v2i2.1078 </w:t>
      </w:r>
    </w:p>
    <w:p w14:paraId="30008D3B" w14:textId="09973EB4"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lastRenderedPageBreak/>
        <w:t>Okpoji</w:t>
      </w:r>
      <w:proofErr w:type="spellEnd"/>
      <w:r w:rsidRPr="003D13A4">
        <w:rPr>
          <w:rFonts w:ascii="Times New Roman" w:eastAsia="Times New Roman" w:hAnsi="Times New Roman" w:cs="Times New Roman"/>
          <w:sz w:val="24"/>
          <w:szCs w:val="24"/>
          <w:lang w:val="en-US"/>
        </w:rPr>
        <w:t xml:space="preserve">, A. U., Akpan, N. A., Eze, V. C., </w:t>
      </w:r>
      <w:proofErr w:type="spellStart"/>
      <w:r w:rsidRPr="003D13A4">
        <w:rPr>
          <w:rFonts w:ascii="Times New Roman" w:eastAsia="Times New Roman" w:hAnsi="Times New Roman" w:cs="Times New Roman"/>
          <w:sz w:val="24"/>
          <w:szCs w:val="24"/>
          <w:lang w:val="en-US"/>
        </w:rPr>
        <w:t>Ijioma</w:t>
      </w:r>
      <w:proofErr w:type="spellEnd"/>
      <w:r w:rsidRPr="003D13A4">
        <w:rPr>
          <w:rFonts w:ascii="Times New Roman" w:eastAsia="Times New Roman" w:hAnsi="Times New Roman" w:cs="Times New Roman"/>
          <w:sz w:val="24"/>
          <w:szCs w:val="24"/>
          <w:lang w:val="en-US"/>
        </w:rPr>
        <w:t xml:space="preserve">, C. C., Hassan, D. H., Kareem, M. M., Obi, A. I., </w:t>
      </w:r>
      <w:proofErr w:type="spellStart"/>
      <w:r w:rsidRPr="003D13A4">
        <w:rPr>
          <w:rFonts w:ascii="Times New Roman" w:eastAsia="Times New Roman" w:hAnsi="Times New Roman" w:cs="Times New Roman"/>
          <w:sz w:val="24"/>
          <w:szCs w:val="24"/>
          <w:lang w:val="en-US"/>
        </w:rPr>
        <w:t>Aningo</w:t>
      </w:r>
      <w:proofErr w:type="spellEnd"/>
      <w:r w:rsidRPr="003D13A4">
        <w:rPr>
          <w:rFonts w:ascii="Times New Roman" w:eastAsia="Times New Roman" w:hAnsi="Times New Roman" w:cs="Times New Roman"/>
          <w:sz w:val="24"/>
          <w:szCs w:val="24"/>
          <w:lang w:val="en-US"/>
        </w:rPr>
        <w:t xml:space="preserve">, G. N., Okoye, P. I., Ogbonnaya, C. N.,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Okeke, C. F., &amp; </w:t>
      </w:r>
      <w:proofErr w:type="spellStart"/>
      <w:r w:rsidRPr="003D13A4">
        <w:rPr>
          <w:rFonts w:ascii="Times New Roman" w:eastAsia="Times New Roman" w:hAnsi="Times New Roman" w:cs="Times New Roman"/>
          <w:sz w:val="24"/>
          <w:szCs w:val="24"/>
          <w:lang w:val="en-US"/>
        </w:rPr>
        <w:t>Aligwo</w:t>
      </w:r>
      <w:proofErr w:type="spellEnd"/>
      <w:r w:rsidRPr="003D13A4">
        <w:rPr>
          <w:rFonts w:ascii="Times New Roman" w:eastAsia="Times New Roman" w:hAnsi="Times New Roman" w:cs="Times New Roman"/>
          <w:sz w:val="24"/>
          <w:szCs w:val="24"/>
          <w:lang w:val="en-US"/>
        </w:rPr>
        <w:t>, M. C. (2025</w:t>
      </w:r>
      <w:r>
        <w:rPr>
          <w:rFonts w:ascii="Times New Roman" w:eastAsia="Times New Roman" w:hAnsi="Times New Roman" w:cs="Times New Roman"/>
          <w:sz w:val="24"/>
          <w:szCs w:val="24"/>
          <w:lang w:val="en-US"/>
        </w:rPr>
        <w:t>a</w:t>
      </w:r>
      <w:r w:rsidRPr="003D13A4">
        <w:rPr>
          <w:rFonts w:ascii="Times New Roman" w:eastAsia="Times New Roman" w:hAnsi="Times New Roman" w:cs="Times New Roman"/>
          <w:sz w:val="24"/>
          <w:szCs w:val="24"/>
          <w:lang w:val="en-US"/>
        </w:rPr>
        <w:t xml:space="preserve">). Toxicity and bioaccumulation of heavy metals and polycyclic aromatic hydrocarbons in estuarine fish from the Andoni Estuary, Niger Delta, Nigeria. </w:t>
      </w:r>
      <w:r w:rsidRPr="003D13A4">
        <w:rPr>
          <w:rFonts w:ascii="Times New Roman" w:eastAsia="Times New Roman" w:hAnsi="Times New Roman" w:cs="Times New Roman"/>
          <w:i/>
          <w:iCs/>
          <w:sz w:val="24"/>
          <w:szCs w:val="24"/>
          <w:lang w:val="en-US"/>
        </w:rPr>
        <w:t>Journal of Applied Physical Science International, 17</w:t>
      </w:r>
      <w:r w:rsidRPr="003D13A4">
        <w:rPr>
          <w:rFonts w:ascii="Times New Roman" w:eastAsia="Times New Roman" w:hAnsi="Times New Roman" w:cs="Times New Roman"/>
          <w:sz w:val="24"/>
          <w:szCs w:val="24"/>
          <w:lang w:val="en-US"/>
        </w:rPr>
        <w:t>(2), 10–22. https://doi.org/10.56557/japsi/2025/v17i210026</w:t>
      </w:r>
    </w:p>
    <w:p w14:paraId="2036EC39" w14:textId="7DCBF6FF"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Eboh-Ajoku, I. O., </w:t>
      </w:r>
      <w:proofErr w:type="spellStart"/>
      <w:r w:rsidRPr="003D13A4">
        <w:rPr>
          <w:rFonts w:ascii="Times New Roman" w:eastAsia="Times New Roman" w:hAnsi="Times New Roman" w:cs="Times New Roman"/>
          <w:sz w:val="24"/>
          <w:szCs w:val="24"/>
          <w:lang w:val="en-US"/>
        </w:rPr>
        <w:t>Mmuta</w:t>
      </w:r>
      <w:proofErr w:type="spellEnd"/>
      <w:r w:rsidRPr="003D13A4">
        <w:rPr>
          <w:rFonts w:ascii="Times New Roman" w:eastAsia="Times New Roman" w:hAnsi="Times New Roman" w:cs="Times New Roman"/>
          <w:sz w:val="24"/>
          <w:szCs w:val="24"/>
          <w:lang w:val="en-US"/>
        </w:rPr>
        <w:t xml:space="preserve">, E. C., Ndubuisi, J. O., </w:t>
      </w:r>
      <w:proofErr w:type="spellStart"/>
      <w:r w:rsidRPr="003D13A4">
        <w:rPr>
          <w:rFonts w:ascii="Times New Roman" w:eastAsia="Times New Roman" w:hAnsi="Times New Roman" w:cs="Times New Roman"/>
          <w:sz w:val="24"/>
          <w:szCs w:val="24"/>
          <w:lang w:val="en-US"/>
        </w:rPr>
        <w:t>Alaekwe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Odibo</w:t>
      </w:r>
      <w:proofErr w:type="spellEnd"/>
      <w:r w:rsidRPr="003D13A4">
        <w:rPr>
          <w:rFonts w:ascii="Times New Roman" w:eastAsia="Times New Roman" w:hAnsi="Times New Roman" w:cs="Times New Roman"/>
          <w:sz w:val="24"/>
          <w:szCs w:val="24"/>
          <w:lang w:val="en-US"/>
        </w:rPr>
        <w:t xml:space="preserve">, U. E., </w:t>
      </w:r>
      <w:proofErr w:type="spellStart"/>
      <w:r w:rsidRPr="003D13A4">
        <w:rPr>
          <w:rFonts w:ascii="Times New Roman" w:eastAsia="Times New Roman" w:hAnsi="Times New Roman" w:cs="Times New Roman"/>
          <w:sz w:val="24"/>
          <w:szCs w:val="24"/>
          <w:lang w:val="en-US"/>
        </w:rPr>
        <w:t>Nwoka</w:t>
      </w:r>
      <w:proofErr w:type="spellEnd"/>
      <w:r w:rsidRPr="003D13A4">
        <w:rPr>
          <w:rFonts w:ascii="Times New Roman" w:eastAsia="Times New Roman" w:hAnsi="Times New Roman" w:cs="Times New Roman"/>
          <w:sz w:val="24"/>
          <w:szCs w:val="24"/>
          <w:lang w:val="en-US"/>
        </w:rPr>
        <w:t xml:space="preserve">, N. G., Okafor, C. A., &amp; </w:t>
      </w:r>
      <w:proofErr w:type="spellStart"/>
      <w:r w:rsidRPr="003D13A4">
        <w:rPr>
          <w:rFonts w:ascii="Times New Roman" w:eastAsia="Times New Roman" w:hAnsi="Times New Roman" w:cs="Times New Roman"/>
          <w:sz w:val="24"/>
          <w:szCs w:val="24"/>
          <w:lang w:val="en-US"/>
        </w:rPr>
        <w:t>Obunezi</w:t>
      </w:r>
      <w:proofErr w:type="spellEnd"/>
      <w:r w:rsidRPr="003D13A4">
        <w:rPr>
          <w:rFonts w:ascii="Times New Roman" w:eastAsia="Times New Roman" w:hAnsi="Times New Roman" w:cs="Times New Roman"/>
          <w:sz w:val="24"/>
          <w:szCs w:val="24"/>
          <w:lang w:val="en-US"/>
        </w:rPr>
        <w:t>, O. C. (2025</w:t>
      </w:r>
      <w:r>
        <w:rPr>
          <w:rFonts w:ascii="Times New Roman" w:eastAsia="Times New Roman" w:hAnsi="Times New Roman" w:cs="Times New Roman"/>
          <w:sz w:val="24"/>
          <w:szCs w:val="24"/>
          <w:lang w:val="en-US"/>
        </w:rPr>
        <w:t>b</w:t>
      </w:r>
      <w:r w:rsidRPr="003D13A4">
        <w:rPr>
          <w:rFonts w:ascii="Times New Roman" w:eastAsia="Times New Roman" w:hAnsi="Times New Roman" w:cs="Times New Roman"/>
          <w:sz w:val="24"/>
          <w:szCs w:val="24"/>
          <w:lang w:val="en-US"/>
        </w:rPr>
        <w:t xml:space="preserve">). Integrated environmental risk assessment of BTEX and PAHs in water and sediment samples from the Bonny River, Nigeria. </w:t>
      </w:r>
      <w:r w:rsidRPr="003D13A4">
        <w:rPr>
          <w:rFonts w:ascii="Times New Roman" w:eastAsia="Times New Roman" w:hAnsi="Times New Roman" w:cs="Times New Roman"/>
          <w:i/>
          <w:iCs/>
          <w:sz w:val="24"/>
          <w:szCs w:val="24"/>
          <w:lang w:val="en-US"/>
        </w:rPr>
        <w:t>ISA Journal of Multidisciplinary (ISAJM), 2</w:t>
      </w:r>
      <w:r w:rsidRPr="003D13A4">
        <w:rPr>
          <w:rFonts w:ascii="Times New Roman" w:eastAsia="Times New Roman" w:hAnsi="Times New Roman" w:cs="Times New Roman"/>
          <w:sz w:val="24"/>
          <w:szCs w:val="24"/>
          <w:lang w:val="en-US"/>
        </w:rPr>
        <w:t>(4), 14–21. https://doi.org/10.5281/zenodo.16921896</w:t>
      </w:r>
    </w:p>
    <w:p w14:paraId="76110DBC" w14:textId="6FF95AA5"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Emem, J. A.,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Odibo</w:t>
      </w:r>
      <w:proofErr w:type="spellEnd"/>
      <w:r w:rsidRPr="003D13A4">
        <w:rPr>
          <w:rFonts w:ascii="Times New Roman" w:eastAsia="Times New Roman" w:hAnsi="Times New Roman" w:cs="Times New Roman"/>
          <w:sz w:val="24"/>
          <w:szCs w:val="24"/>
          <w:lang w:val="en-US"/>
        </w:rPr>
        <w:t xml:space="preserve">, U. E., </w:t>
      </w:r>
      <w:proofErr w:type="spellStart"/>
      <w:r w:rsidRPr="003D13A4">
        <w:rPr>
          <w:rFonts w:ascii="Times New Roman" w:eastAsia="Times New Roman" w:hAnsi="Times New Roman" w:cs="Times New Roman"/>
          <w:sz w:val="24"/>
          <w:szCs w:val="24"/>
          <w:lang w:val="en-US"/>
        </w:rPr>
        <w:t>Aleaekwe</w:t>
      </w:r>
      <w:proofErr w:type="spellEnd"/>
      <w:r w:rsidRPr="003D13A4">
        <w:rPr>
          <w:rFonts w:ascii="Times New Roman" w:eastAsia="Times New Roman" w:hAnsi="Times New Roman" w:cs="Times New Roman"/>
          <w:sz w:val="24"/>
          <w:szCs w:val="24"/>
          <w:lang w:val="en-US"/>
        </w:rPr>
        <w:t xml:space="preserve">, I. O., Warder, A. B., &amp; </w:t>
      </w:r>
      <w:proofErr w:type="spellStart"/>
      <w:r w:rsidRPr="003D13A4">
        <w:rPr>
          <w:rFonts w:ascii="Times New Roman" w:eastAsia="Times New Roman" w:hAnsi="Times New Roman" w:cs="Times New Roman"/>
          <w:sz w:val="24"/>
          <w:szCs w:val="24"/>
          <w:lang w:val="en-US"/>
        </w:rPr>
        <w:t>Eboj</w:t>
      </w:r>
      <w:proofErr w:type="spellEnd"/>
      <w:r w:rsidRPr="003D13A4">
        <w:rPr>
          <w:rFonts w:ascii="Times New Roman" w:eastAsia="Times New Roman" w:hAnsi="Times New Roman" w:cs="Times New Roman"/>
          <w:sz w:val="24"/>
          <w:szCs w:val="24"/>
          <w:lang w:val="en-US"/>
        </w:rPr>
        <w:t>-Ajoku, O. I. (2025</w:t>
      </w:r>
      <w:r>
        <w:rPr>
          <w:rFonts w:ascii="Times New Roman" w:eastAsia="Times New Roman" w:hAnsi="Times New Roman" w:cs="Times New Roman"/>
          <w:sz w:val="24"/>
          <w:szCs w:val="24"/>
          <w:lang w:val="en-US"/>
        </w:rPr>
        <w:t>c</w:t>
      </w:r>
      <w:r w:rsidRPr="003D13A4">
        <w:rPr>
          <w:rFonts w:ascii="Times New Roman" w:eastAsia="Times New Roman" w:hAnsi="Times New Roman" w:cs="Times New Roman"/>
          <w:sz w:val="24"/>
          <w:szCs w:val="24"/>
          <w:lang w:val="en-US"/>
        </w:rPr>
        <w:t xml:space="preserve">). Bioaccumulation of nickel, lead, and cadmium in tissues of </w:t>
      </w:r>
      <w:r w:rsidRPr="003D13A4">
        <w:rPr>
          <w:rFonts w:ascii="Times New Roman" w:eastAsia="Times New Roman" w:hAnsi="Times New Roman" w:cs="Times New Roman"/>
          <w:i/>
          <w:iCs/>
          <w:sz w:val="24"/>
          <w:szCs w:val="24"/>
          <w:lang w:val="en-US"/>
        </w:rPr>
        <w:t>Callinectes sapidus</w:t>
      </w:r>
      <w:r w:rsidRPr="003D13A4">
        <w:rPr>
          <w:rFonts w:ascii="Times New Roman" w:eastAsia="Times New Roman" w:hAnsi="Times New Roman" w:cs="Times New Roman"/>
          <w:sz w:val="24"/>
          <w:szCs w:val="24"/>
          <w:lang w:val="en-US"/>
        </w:rPr>
        <w:t xml:space="preserve"> from the Iko River, Nigeria: Implications for human health risk and environmental safety. </w:t>
      </w:r>
      <w:r w:rsidRPr="003D13A4">
        <w:rPr>
          <w:rFonts w:ascii="Times New Roman" w:eastAsia="Times New Roman" w:hAnsi="Times New Roman" w:cs="Times New Roman"/>
          <w:i/>
          <w:iCs/>
          <w:sz w:val="24"/>
          <w:szCs w:val="24"/>
          <w:lang w:val="en-US"/>
        </w:rPr>
        <w:t>Journal of Environment, Climate, and Ecology, 2</w:t>
      </w:r>
      <w:r w:rsidRPr="003D13A4">
        <w:rPr>
          <w:rFonts w:ascii="Times New Roman" w:eastAsia="Times New Roman" w:hAnsi="Times New Roman" w:cs="Times New Roman"/>
          <w:sz w:val="24"/>
          <w:szCs w:val="24"/>
          <w:lang w:val="en-US"/>
        </w:rPr>
        <w:t>(2), 29–37. https://doi.org/10.69739/jece.v2i2.844</w:t>
      </w:r>
    </w:p>
    <w:p w14:paraId="0748ECFF" w14:textId="202E783D"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Martins, N. P.,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C. B., Adisa, O. J., &amp; Okonkwo, C. C. (2025</w:t>
      </w:r>
      <w:r>
        <w:rPr>
          <w:rFonts w:ascii="Times New Roman" w:eastAsia="Times New Roman" w:hAnsi="Times New Roman" w:cs="Times New Roman"/>
          <w:sz w:val="24"/>
          <w:szCs w:val="24"/>
          <w:lang w:val="en-US"/>
        </w:rPr>
        <w:t>d</w:t>
      </w:r>
      <w:r w:rsidRPr="003D13A4">
        <w:rPr>
          <w:rFonts w:ascii="Times New Roman" w:eastAsia="Times New Roman" w:hAnsi="Times New Roman" w:cs="Times New Roman"/>
          <w:sz w:val="24"/>
          <w:szCs w:val="24"/>
          <w:lang w:val="en-US"/>
        </w:rPr>
        <w:t xml:space="preserve">). Geochemical speciation and ecological risk of heavy metals in estuarine sediments of the Qua </w:t>
      </w:r>
      <w:proofErr w:type="spellStart"/>
      <w:r w:rsidRPr="003D13A4">
        <w:rPr>
          <w:rFonts w:ascii="Times New Roman" w:eastAsia="Times New Roman" w:hAnsi="Times New Roman" w:cs="Times New Roman"/>
          <w:sz w:val="24"/>
          <w:szCs w:val="24"/>
          <w:lang w:val="en-US"/>
        </w:rPr>
        <w:t>Iboe</w:t>
      </w:r>
      <w:proofErr w:type="spellEnd"/>
      <w:r w:rsidRPr="003D13A4">
        <w:rPr>
          <w:rFonts w:ascii="Times New Roman" w:eastAsia="Times New Roman" w:hAnsi="Times New Roman" w:cs="Times New Roman"/>
          <w:sz w:val="24"/>
          <w:szCs w:val="24"/>
          <w:lang w:val="en-US"/>
        </w:rPr>
        <w:t xml:space="preserve"> River, Nigeria. </w:t>
      </w:r>
      <w:r w:rsidRPr="003D13A4">
        <w:rPr>
          <w:rFonts w:ascii="Times New Roman" w:eastAsia="Times New Roman" w:hAnsi="Times New Roman" w:cs="Times New Roman"/>
          <w:i/>
          <w:iCs/>
          <w:sz w:val="24"/>
          <w:szCs w:val="24"/>
          <w:lang w:val="en-US"/>
        </w:rPr>
        <w:t>Asian Journal of Chemical Sciences, 15</w:t>
      </w:r>
      <w:r w:rsidRPr="003D13A4">
        <w:rPr>
          <w:rFonts w:ascii="Times New Roman" w:eastAsia="Times New Roman" w:hAnsi="Times New Roman" w:cs="Times New Roman"/>
          <w:sz w:val="24"/>
          <w:szCs w:val="24"/>
          <w:lang w:val="en-US"/>
        </w:rPr>
        <w:t>(6), 20–31. https://doi.org/10.9734/ajocs/2025/v15i6402</w:t>
      </w:r>
    </w:p>
    <w:p w14:paraId="13B8A451" w14:textId="6734C503"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Ogbaji</w:t>
      </w:r>
      <w:proofErr w:type="spellEnd"/>
      <w:r w:rsidRPr="003D13A4">
        <w:rPr>
          <w:rFonts w:ascii="Times New Roman" w:eastAsia="Times New Roman" w:hAnsi="Times New Roman" w:cs="Times New Roman"/>
          <w:sz w:val="24"/>
          <w:szCs w:val="24"/>
          <w:lang w:val="en-US"/>
        </w:rPr>
        <w:t xml:space="preserve">, H. O., Hassan, D. H., Orji-Azuka, L. N., Rasheed, H. O., Ohaturuonye, S. O., Ejeka, J. C., </w:t>
      </w:r>
      <w:proofErr w:type="spellStart"/>
      <w:r w:rsidRPr="003D13A4">
        <w:rPr>
          <w:rFonts w:ascii="Times New Roman" w:eastAsia="Times New Roman" w:hAnsi="Times New Roman" w:cs="Times New Roman"/>
          <w:sz w:val="24"/>
          <w:szCs w:val="24"/>
          <w:lang w:val="en-US"/>
        </w:rPr>
        <w:t>Okpanachi</w:t>
      </w:r>
      <w:proofErr w:type="spellEnd"/>
      <w:r w:rsidRPr="003D13A4">
        <w:rPr>
          <w:rFonts w:ascii="Times New Roman" w:eastAsia="Times New Roman" w:hAnsi="Times New Roman" w:cs="Times New Roman"/>
          <w:sz w:val="24"/>
          <w:szCs w:val="24"/>
          <w:lang w:val="en-US"/>
        </w:rPr>
        <w:t xml:space="preserve">, C. B., &amp;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I. O. (2025</w:t>
      </w:r>
      <w:r>
        <w:rPr>
          <w:rFonts w:ascii="Times New Roman" w:eastAsia="Times New Roman" w:hAnsi="Times New Roman" w:cs="Times New Roman"/>
          <w:sz w:val="24"/>
          <w:szCs w:val="24"/>
          <w:lang w:val="en-US"/>
        </w:rPr>
        <w:t>e</w:t>
      </w:r>
      <w:r w:rsidRPr="003D13A4">
        <w:rPr>
          <w:rFonts w:ascii="Times New Roman" w:eastAsia="Times New Roman" w:hAnsi="Times New Roman" w:cs="Times New Roman"/>
          <w:sz w:val="24"/>
          <w:szCs w:val="24"/>
          <w:lang w:val="en-US"/>
        </w:rPr>
        <w:t xml:space="preserve">). </w:t>
      </w:r>
      <w:proofErr w:type="spellStart"/>
      <w:r w:rsidRPr="003D13A4">
        <w:rPr>
          <w:rFonts w:ascii="Times New Roman" w:eastAsia="Times New Roman" w:hAnsi="Times New Roman" w:cs="Times New Roman"/>
          <w:sz w:val="24"/>
          <w:szCs w:val="24"/>
          <w:lang w:val="en-US"/>
        </w:rPr>
        <w:t>Physico</w:t>
      </w:r>
      <w:proofErr w:type="spellEnd"/>
      <w:r w:rsidRPr="003D13A4">
        <w:rPr>
          <w:rFonts w:ascii="Times New Roman" w:eastAsia="Times New Roman" w:hAnsi="Times New Roman" w:cs="Times New Roman"/>
          <w:sz w:val="24"/>
          <w:szCs w:val="24"/>
          <w:lang w:val="en-US"/>
        </w:rPr>
        <w:t xml:space="preserve">-chemical transport of volatile organic compounds (VOCs) from gas flaring into surface waters of </w:t>
      </w:r>
      <w:proofErr w:type="spellStart"/>
      <w:r w:rsidRPr="003D13A4">
        <w:rPr>
          <w:rFonts w:ascii="Times New Roman" w:eastAsia="Times New Roman" w:hAnsi="Times New Roman" w:cs="Times New Roman"/>
          <w:sz w:val="24"/>
          <w:szCs w:val="24"/>
          <w:lang w:val="en-US"/>
        </w:rPr>
        <w:t>Ogoniland</w:t>
      </w:r>
      <w:proofErr w:type="spellEnd"/>
      <w:r w:rsidRPr="003D13A4">
        <w:rPr>
          <w:rFonts w:ascii="Times New Roman" w:eastAsia="Times New Roman" w:hAnsi="Times New Roman" w:cs="Times New Roman"/>
          <w:sz w:val="24"/>
          <w:szCs w:val="24"/>
          <w:lang w:val="en-US"/>
        </w:rPr>
        <w:t xml:space="preserve">, Rivers State, Nigeria. </w:t>
      </w:r>
      <w:r w:rsidRPr="003D13A4">
        <w:rPr>
          <w:rFonts w:ascii="Times New Roman" w:eastAsia="Times New Roman" w:hAnsi="Times New Roman" w:cs="Times New Roman"/>
          <w:i/>
          <w:iCs/>
          <w:sz w:val="24"/>
          <w:szCs w:val="24"/>
          <w:lang w:val="en-US"/>
        </w:rPr>
        <w:t>Asian Journal of Physical and Chemical Sciences, 13</w:t>
      </w:r>
      <w:r w:rsidRPr="003D13A4">
        <w:rPr>
          <w:rFonts w:ascii="Times New Roman" w:eastAsia="Times New Roman" w:hAnsi="Times New Roman" w:cs="Times New Roman"/>
          <w:sz w:val="24"/>
          <w:szCs w:val="24"/>
          <w:lang w:val="en-US"/>
        </w:rPr>
        <w:t>(4), 151–159. https://doi.org/10.9734/ajopacs/2025/v13i4271</w:t>
      </w:r>
    </w:p>
    <w:p w14:paraId="2D847B50" w14:textId="20B78890"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Orji-Azuka, L. N., </w:t>
      </w:r>
      <w:proofErr w:type="spellStart"/>
      <w:r w:rsidRPr="003D13A4">
        <w:rPr>
          <w:rFonts w:ascii="Times New Roman" w:eastAsia="Times New Roman" w:hAnsi="Times New Roman" w:cs="Times New Roman"/>
          <w:sz w:val="24"/>
          <w:szCs w:val="24"/>
          <w:lang w:val="en-US"/>
        </w:rPr>
        <w:t>Igwegbe</w:t>
      </w:r>
      <w:proofErr w:type="spellEnd"/>
      <w:r w:rsidRPr="003D13A4">
        <w:rPr>
          <w:rFonts w:ascii="Times New Roman" w:eastAsia="Times New Roman" w:hAnsi="Times New Roman" w:cs="Times New Roman"/>
          <w:sz w:val="24"/>
          <w:szCs w:val="24"/>
          <w:lang w:val="en-US"/>
        </w:rPr>
        <w:t xml:space="preserve">, K. C.,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w:t>
      </w:r>
      <w:proofErr w:type="spellStart"/>
      <w:r w:rsidRPr="003D13A4">
        <w:rPr>
          <w:rFonts w:ascii="Times New Roman" w:eastAsia="Times New Roman" w:hAnsi="Times New Roman" w:cs="Times New Roman"/>
          <w:sz w:val="24"/>
          <w:szCs w:val="24"/>
          <w:lang w:val="en-US"/>
        </w:rPr>
        <w:t>Ewuola</w:t>
      </w:r>
      <w:proofErr w:type="spellEnd"/>
      <w:r w:rsidRPr="003D13A4">
        <w:rPr>
          <w:rFonts w:ascii="Times New Roman" w:eastAsia="Times New Roman" w:hAnsi="Times New Roman" w:cs="Times New Roman"/>
          <w:sz w:val="24"/>
          <w:szCs w:val="24"/>
          <w:lang w:val="en-US"/>
        </w:rPr>
        <w:t>, A. A., Garuba, M. H., &amp; Etukudo, E. W. (2025</w:t>
      </w:r>
      <w:r>
        <w:rPr>
          <w:rFonts w:ascii="Times New Roman" w:eastAsia="Times New Roman" w:hAnsi="Times New Roman" w:cs="Times New Roman"/>
          <w:sz w:val="24"/>
          <w:szCs w:val="24"/>
          <w:lang w:val="en-US"/>
        </w:rPr>
        <w:t>f</w:t>
      </w:r>
      <w:r w:rsidRPr="003D13A4">
        <w:rPr>
          <w:rFonts w:ascii="Times New Roman" w:eastAsia="Times New Roman" w:hAnsi="Times New Roman" w:cs="Times New Roman"/>
          <w:sz w:val="24"/>
          <w:szCs w:val="24"/>
          <w:lang w:val="en-US"/>
        </w:rPr>
        <w:t xml:space="preserve">). Water quality and ecotoxicological impacts of surfactants and heavy metals in urban rivers of Benin City, Niger Delta, Nigeria. </w:t>
      </w:r>
      <w:r w:rsidRPr="003D13A4">
        <w:rPr>
          <w:rFonts w:ascii="Times New Roman" w:eastAsia="Times New Roman" w:hAnsi="Times New Roman" w:cs="Times New Roman"/>
          <w:i/>
          <w:iCs/>
          <w:sz w:val="24"/>
          <w:szCs w:val="24"/>
          <w:lang w:val="en-US"/>
        </w:rPr>
        <w:t>Asian Journal of Geological Research, 8</w:t>
      </w:r>
      <w:r w:rsidRPr="003D13A4">
        <w:rPr>
          <w:rFonts w:ascii="Times New Roman" w:eastAsia="Times New Roman" w:hAnsi="Times New Roman" w:cs="Times New Roman"/>
          <w:sz w:val="24"/>
          <w:szCs w:val="24"/>
          <w:lang w:val="en-US"/>
        </w:rPr>
        <w:t>(3), 697–707. https://doi.org/10.9734/ajoger/2025/v8i3223</w:t>
      </w:r>
    </w:p>
    <w:p w14:paraId="4E7B7544" w14:textId="23499BF2"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w:t>
      </w:r>
      <w:proofErr w:type="spellStart"/>
      <w:r w:rsidRPr="003D13A4">
        <w:rPr>
          <w:rFonts w:ascii="Times New Roman" w:eastAsia="Times New Roman" w:hAnsi="Times New Roman" w:cs="Times New Roman"/>
          <w:sz w:val="24"/>
          <w:szCs w:val="24"/>
          <w:lang w:val="en-US"/>
        </w:rPr>
        <w:t>Umeocho</w:t>
      </w:r>
      <w:proofErr w:type="spellEnd"/>
      <w:r w:rsidRPr="003D13A4">
        <w:rPr>
          <w:rFonts w:ascii="Times New Roman" w:eastAsia="Times New Roman" w:hAnsi="Times New Roman" w:cs="Times New Roman"/>
          <w:sz w:val="24"/>
          <w:szCs w:val="24"/>
          <w:lang w:val="en-US"/>
        </w:rPr>
        <w:t xml:space="preserve">, C. E., </w:t>
      </w:r>
      <w:proofErr w:type="spellStart"/>
      <w:r w:rsidRPr="003D13A4">
        <w:rPr>
          <w:rFonts w:ascii="Times New Roman" w:eastAsia="Times New Roman" w:hAnsi="Times New Roman" w:cs="Times New Roman"/>
          <w:sz w:val="24"/>
          <w:szCs w:val="24"/>
          <w:lang w:val="en-US"/>
        </w:rPr>
        <w:t>Nwokoye</w:t>
      </w:r>
      <w:proofErr w:type="spellEnd"/>
      <w:r w:rsidRPr="003D13A4">
        <w:rPr>
          <w:rFonts w:ascii="Times New Roman" w:eastAsia="Times New Roman" w:hAnsi="Times New Roman" w:cs="Times New Roman"/>
          <w:sz w:val="24"/>
          <w:szCs w:val="24"/>
          <w:lang w:val="en-US"/>
        </w:rPr>
        <w:t xml:space="preserve">, J. N., </w:t>
      </w:r>
      <w:proofErr w:type="spellStart"/>
      <w:r w:rsidRPr="003D13A4">
        <w:rPr>
          <w:rFonts w:ascii="Times New Roman" w:eastAsia="Times New Roman" w:hAnsi="Times New Roman" w:cs="Times New Roman"/>
          <w:sz w:val="24"/>
          <w:szCs w:val="24"/>
          <w:lang w:val="en-US"/>
        </w:rPr>
        <w:t>Ezekwuemen</w:t>
      </w:r>
      <w:proofErr w:type="spellEnd"/>
      <w:r w:rsidRPr="003D13A4">
        <w:rPr>
          <w:rFonts w:ascii="Times New Roman" w:eastAsia="Times New Roman" w:hAnsi="Times New Roman" w:cs="Times New Roman"/>
          <w:sz w:val="24"/>
          <w:szCs w:val="24"/>
          <w:lang w:val="en-US"/>
        </w:rPr>
        <w:t xml:space="preserve">, O. I., </w:t>
      </w:r>
      <w:proofErr w:type="spellStart"/>
      <w:r w:rsidRPr="003D13A4">
        <w:rPr>
          <w:rFonts w:ascii="Times New Roman" w:eastAsia="Times New Roman" w:hAnsi="Times New Roman" w:cs="Times New Roman"/>
          <w:sz w:val="24"/>
          <w:szCs w:val="24"/>
          <w:lang w:val="en-US"/>
        </w:rPr>
        <w:t>Alaekwe</w:t>
      </w:r>
      <w:proofErr w:type="spellEnd"/>
      <w:r w:rsidRPr="003D13A4">
        <w:rPr>
          <w:rFonts w:ascii="Times New Roman" w:eastAsia="Times New Roman" w:hAnsi="Times New Roman" w:cs="Times New Roman"/>
          <w:sz w:val="24"/>
          <w:szCs w:val="24"/>
          <w:lang w:val="en-US"/>
        </w:rPr>
        <w:t xml:space="preserve">, I. O., Odidika, C. C., </w:t>
      </w:r>
      <w:proofErr w:type="spellStart"/>
      <w:r w:rsidRPr="003D13A4">
        <w:rPr>
          <w:rFonts w:ascii="Times New Roman" w:eastAsia="Times New Roman" w:hAnsi="Times New Roman" w:cs="Times New Roman"/>
          <w:sz w:val="24"/>
          <w:szCs w:val="24"/>
          <w:lang w:val="en-US"/>
        </w:rPr>
        <w:t>Owughara</w:t>
      </w:r>
      <w:proofErr w:type="spellEnd"/>
      <w:r w:rsidRPr="003D13A4">
        <w:rPr>
          <w:rFonts w:ascii="Times New Roman" w:eastAsia="Times New Roman" w:hAnsi="Times New Roman" w:cs="Times New Roman"/>
          <w:sz w:val="24"/>
          <w:szCs w:val="24"/>
          <w:lang w:val="en-US"/>
        </w:rPr>
        <w:t>, C. N., Enyi, C. M., &amp; Kolawole, O. O. (2025</w:t>
      </w:r>
      <w:r>
        <w:rPr>
          <w:rFonts w:ascii="Times New Roman" w:eastAsia="Times New Roman" w:hAnsi="Times New Roman" w:cs="Times New Roman"/>
          <w:sz w:val="24"/>
          <w:szCs w:val="24"/>
          <w:lang w:val="en-US"/>
        </w:rPr>
        <w:t>g</w:t>
      </w:r>
      <w:r w:rsidRPr="003D13A4">
        <w:rPr>
          <w:rFonts w:ascii="Times New Roman" w:eastAsia="Times New Roman" w:hAnsi="Times New Roman" w:cs="Times New Roman"/>
          <w:sz w:val="24"/>
          <w:szCs w:val="24"/>
          <w:lang w:val="en-US"/>
        </w:rPr>
        <w:t xml:space="preserve">). Environmental assessment of heavy metals and hydrocarbon pollution in surface waters of oil-bearing communities in Andoni, Rivers State, Nigeria. </w:t>
      </w:r>
      <w:r w:rsidRPr="003D13A4">
        <w:rPr>
          <w:rFonts w:ascii="Times New Roman" w:eastAsia="Times New Roman" w:hAnsi="Times New Roman" w:cs="Times New Roman"/>
          <w:i/>
          <w:iCs/>
          <w:sz w:val="24"/>
          <w:szCs w:val="24"/>
          <w:lang w:val="en-US"/>
        </w:rPr>
        <w:t>International Journal of Modern Science and Research Technology, 3</w:t>
      </w:r>
      <w:r w:rsidRPr="003D13A4">
        <w:rPr>
          <w:rFonts w:ascii="Times New Roman" w:eastAsia="Times New Roman" w:hAnsi="Times New Roman" w:cs="Times New Roman"/>
          <w:sz w:val="24"/>
          <w:szCs w:val="24"/>
          <w:lang w:val="en-US"/>
        </w:rPr>
        <w:t>(8), 22–30. https://doi.org/10.5281/zenodo.16904018</w:t>
      </w:r>
    </w:p>
    <w:p w14:paraId="714E9D4C" w14:textId="1BE530B0"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Olotu, O. N., Okagbare, U. V., Okpoji, A. U., Orji-Azuka, L. N., </w:t>
      </w:r>
      <w:proofErr w:type="spellStart"/>
      <w:r w:rsidRPr="003D13A4">
        <w:rPr>
          <w:rFonts w:ascii="Times New Roman" w:eastAsia="Times New Roman" w:hAnsi="Times New Roman" w:cs="Times New Roman"/>
          <w:sz w:val="24"/>
          <w:szCs w:val="24"/>
          <w:lang w:val="en-US"/>
        </w:rPr>
        <w:t>Etesin</w:t>
      </w:r>
      <w:proofErr w:type="spellEnd"/>
      <w:r w:rsidRPr="003D13A4">
        <w:rPr>
          <w:rFonts w:ascii="Times New Roman" w:eastAsia="Times New Roman" w:hAnsi="Times New Roman" w:cs="Times New Roman"/>
          <w:sz w:val="24"/>
          <w:szCs w:val="24"/>
          <w:lang w:val="en-US"/>
        </w:rPr>
        <w:t xml:space="preserve">, M. U., &amp;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(2025). </w:t>
      </w:r>
      <w:proofErr w:type="spellStart"/>
      <w:r w:rsidRPr="003D13A4">
        <w:rPr>
          <w:rFonts w:ascii="Times New Roman" w:eastAsia="Times New Roman" w:hAnsi="Times New Roman" w:cs="Times New Roman"/>
          <w:sz w:val="24"/>
          <w:szCs w:val="24"/>
          <w:lang w:val="en-US"/>
        </w:rPr>
        <w:t>Spatio</w:t>
      </w:r>
      <w:proofErr w:type="spellEnd"/>
      <w:r w:rsidRPr="003D13A4">
        <w:rPr>
          <w:rFonts w:ascii="Times New Roman" w:eastAsia="Times New Roman" w:hAnsi="Times New Roman" w:cs="Times New Roman"/>
          <w:sz w:val="24"/>
          <w:szCs w:val="24"/>
          <w:lang w:val="en-US"/>
        </w:rPr>
        <w:t xml:space="preserve">-seasonal assessment of water and sediment quality of the </w:t>
      </w:r>
      <w:proofErr w:type="spellStart"/>
      <w:r w:rsidRPr="003D13A4">
        <w:rPr>
          <w:rFonts w:ascii="Times New Roman" w:eastAsia="Times New Roman" w:hAnsi="Times New Roman" w:cs="Times New Roman"/>
          <w:sz w:val="24"/>
          <w:szCs w:val="24"/>
          <w:lang w:val="en-US"/>
        </w:rPr>
        <w:t>Imiringi</w:t>
      </w:r>
      <w:proofErr w:type="spellEnd"/>
      <w:r w:rsidRPr="003D13A4">
        <w:rPr>
          <w:rFonts w:ascii="Times New Roman" w:eastAsia="Times New Roman" w:hAnsi="Times New Roman" w:cs="Times New Roman"/>
          <w:sz w:val="24"/>
          <w:szCs w:val="24"/>
          <w:lang w:val="en-US"/>
        </w:rPr>
        <w:t xml:space="preserve"> River and implications for fisheries and aquatic resources in the Niger Delta. </w:t>
      </w:r>
      <w:r w:rsidRPr="003D13A4">
        <w:rPr>
          <w:rFonts w:ascii="Times New Roman" w:eastAsia="Times New Roman" w:hAnsi="Times New Roman" w:cs="Times New Roman"/>
          <w:i/>
          <w:iCs/>
          <w:sz w:val="24"/>
          <w:szCs w:val="24"/>
          <w:lang w:val="en-US"/>
        </w:rPr>
        <w:t>Journal of Agriculture, Aquaculture, and Animal Science, 2</w:t>
      </w:r>
      <w:r w:rsidRPr="003D13A4">
        <w:rPr>
          <w:rFonts w:ascii="Times New Roman" w:eastAsia="Times New Roman" w:hAnsi="Times New Roman" w:cs="Times New Roman"/>
          <w:sz w:val="24"/>
          <w:szCs w:val="24"/>
          <w:lang w:val="en-US"/>
        </w:rPr>
        <w:t xml:space="preserve">(2), 174–184. https://doi.org/10.69739/jaaas.v2i2.1309 </w:t>
      </w:r>
    </w:p>
    <w:p w14:paraId="6FF56684" w14:textId="27B5626C"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Onuchukwu</w:t>
      </w:r>
      <w:proofErr w:type="spellEnd"/>
      <w:r w:rsidRPr="003D13A4">
        <w:rPr>
          <w:rFonts w:ascii="Times New Roman" w:eastAsia="Times New Roman" w:hAnsi="Times New Roman" w:cs="Times New Roman"/>
          <w:sz w:val="24"/>
          <w:szCs w:val="24"/>
          <w:lang w:val="en-US"/>
        </w:rPr>
        <w:t xml:space="preserve">, E. E., </w:t>
      </w:r>
      <w:proofErr w:type="spellStart"/>
      <w:r w:rsidRPr="003D13A4">
        <w:rPr>
          <w:rFonts w:ascii="Times New Roman" w:eastAsia="Times New Roman" w:hAnsi="Times New Roman" w:cs="Times New Roman"/>
          <w:sz w:val="24"/>
          <w:szCs w:val="24"/>
          <w:lang w:val="en-US"/>
        </w:rPr>
        <w:t>Emeagubor</w:t>
      </w:r>
      <w:proofErr w:type="spellEnd"/>
      <w:r w:rsidRPr="003D13A4">
        <w:rPr>
          <w:rFonts w:ascii="Times New Roman" w:eastAsia="Times New Roman" w:hAnsi="Times New Roman" w:cs="Times New Roman"/>
          <w:sz w:val="24"/>
          <w:szCs w:val="24"/>
          <w:lang w:val="en-US"/>
        </w:rPr>
        <w:t xml:space="preserve">, A. O., Anaekwe, M. U., &amp;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(2026). Influence of gully erosion on groundwater quality in South Eastern Nigeria. </w:t>
      </w:r>
      <w:r w:rsidRPr="003D13A4">
        <w:rPr>
          <w:rFonts w:ascii="Times New Roman" w:eastAsia="Times New Roman" w:hAnsi="Times New Roman" w:cs="Times New Roman"/>
          <w:i/>
          <w:iCs/>
          <w:sz w:val="24"/>
          <w:szCs w:val="24"/>
          <w:lang w:val="en-US"/>
        </w:rPr>
        <w:t>Asian Journal of Environment &amp; Ecology, 25</w:t>
      </w:r>
      <w:r w:rsidRPr="003D13A4">
        <w:rPr>
          <w:rFonts w:ascii="Times New Roman" w:eastAsia="Times New Roman" w:hAnsi="Times New Roman" w:cs="Times New Roman"/>
          <w:sz w:val="24"/>
          <w:szCs w:val="24"/>
          <w:lang w:val="en-US"/>
        </w:rPr>
        <w:t xml:space="preserve">(8), 173–185. https://doi.org/10.9734/ajee/2026/v25i8992 </w:t>
      </w:r>
    </w:p>
    <w:p w14:paraId="346AC42C" w14:textId="15452AF4"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Raveesh, H., Vinodh Kumar, K. N., Satish Kumar, G., </w:t>
      </w:r>
      <w:proofErr w:type="spellStart"/>
      <w:r w:rsidRPr="003D13A4">
        <w:rPr>
          <w:rFonts w:ascii="Times New Roman" w:eastAsia="Times New Roman" w:hAnsi="Times New Roman" w:cs="Times New Roman"/>
          <w:sz w:val="24"/>
          <w:szCs w:val="24"/>
          <w:lang w:val="en-US"/>
        </w:rPr>
        <w:t>Nandimath</w:t>
      </w:r>
      <w:proofErr w:type="spellEnd"/>
      <w:r w:rsidRPr="003D13A4">
        <w:rPr>
          <w:rFonts w:ascii="Times New Roman" w:eastAsia="Times New Roman" w:hAnsi="Times New Roman" w:cs="Times New Roman"/>
          <w:sz w:val="24"/>
          <w:szCs w:val="24"/>
          <w:lang w:val="en-US"/>
        </w:rPr>
        <w:t xml:space="preserve">, S. R., Nagesh, P. C., &amp; Nagaraju, D. (2026). Hydrogeochemical evaluation of groundwater quality for drinking and irrigation in a granite mining region of </w:t>
      </w:r>
      <w:proofErr w:type="spellStart"/>
      <w:r w:rsidRPr="003D13A4">
        <w:rPr>
          <w:rFonts w:ascii="Times New Roman" w:eastAsia="Times New Roman" w:hAnsi="Times New Roman" w:cs="Times New Roman"/>
          <w:sz w:val="24"/>
          <w:szCs w:val="24"/>
          <w:lang w:val="en-US"/>
        </w:rPr>
        <w:t>Chikkaballapur</w:t>
      </w:r>
      <w:proofErr w:type="spellEnd"/>
      <w:r w:rsidRPr="003D13A4">
        <w:rPr>
          <w:rFonts w:ascii="Times New Roman" w:eastAsia="Times New Roman" w:hAnsi="Times New Roman" w:cs="Times New Roman"/>
          <w:sz w:val="24"/>
          <w:szCs w:val="24"/>
          <w:lang w:val="en-US"/>
        </w:rPr>
        <w:t xml:space="preserve"> District, Karnataka, India. </w:t>
      </w:r>
      <w:r w:rsidRPr="003D13A4">
        <w:rPr>
          <w:rFonts w:ascii="Times New Roman" w:eastAsia="Times New Roman" w:hAnsi="Times New Roman" w:cs="Times New Roman"/>
          <w:i/>
          <w:iCs/>
          <w:sz w:val="24"/>
          <w:szCs w:val="24"/>
          <w:lang w:val="en-US"/>
        </w:rPr>
        <w:t>Asian Journal of Environment &amp; Ecology, 25</w:t>
      </w:r>
      <w:r w:rsidRPr="003D13A4">
        <w:rPr>
          <w:rFonts w:ascii="Times New Roman" w:eastAsia="Times New Roman" w:hAnsi="Times New Roman" w:cs="Times New Roman"/>
          <w:sz w:val="24"/>
          <w:szCs w:val="24"/>
          <w:lang w:val="en-US"/>
        </w:rPr>
        <w:t xml:space="preserve">(5), 1–22. https://doi.org/10.9734/ajee/2026/v25i5928 </w:t>
      </w:r>
    </w:p>
    <w:p w14:paraId="7EF4AD50" w14:textId="46A42F43"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Shi, J., Zhang, K., Xiao, T., Yang, J., Sun, Y., Yang, C., Dai, H., &amp; Yang, W. (2024). Exposure to disinfection by-products and risk of cancer: A systematic review and dose-response </w:t>
      </w:r>
      <w:r w:rsidRPr="003D13A4">
        <w:rPr>
          <w:rFonts w:ascii="Times New Roman" w:eastAsia="Times New Roman" w:hAnsi="Times New Roman" w:cs="Times New Roman"/>
          <w:sz w:val="24"/>
          <w:szCs w:val="24"/>
          <w:lang w:val="en-US"/>
        </w:rPr>
        <w:lastRenderedPageBreak/>
        <w:t xml:space="preserve">meta-analysis. </w:t>
      </w:r>
      <w:r w:rsidRPr="003D13A4">
        <w:rPr>
          <w:rFonts w:ascii="Times New Roman" w:eastAsia="Times New Roman" w:hAnsi="Times New Roman" w:cs="Times New Roman"/>
          <w:i/>
          <w:iCs/>
          <w:sz w:val="24"/>
          <w:szCs w:val="24"/>
          <w:lang w:val="en-US"/>
        </w:rPr>
        <w:t>Ecotoxicology and Environmental Safety, 270</w:t>
      </w:r>
      <w:r w:rsidRPr="003D13A4">
        <w:rPr>
          <w:rFonts w:ascii="Times New Roman" w:eastAsia="Times New Roman" w:hAnsi="Times New Roman" w:cs="Times New Roman"/>
          <w:sz w:val="24"/>
          <w:szCs w:val="24"/>
          <w:lang w:val="en-US"/>
        </w:rPr>
        <w:t xml:space="preserve">, 115925. https://doi.org/10.1016/j.ecoenv.2023.115925 </w:t>
      </w:r>
    </w:p>
    <w:p w14:paraId="0BA9D465" w14:textId="39ECB59E"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nl-BE"/>
        </w:rPr>
        <w:t>Umueni, U. E., Anaekwe, M. U., Omuluche, C. O., &amp; Okpoji, A. U. (2026</w:t>
      </w:r>
      <w:r>
        <w:rPr>
          <w:rFonts w:ascii="Times New Roman" w:eastAsia="Times New Roman" w:hAnsi="Times New Roman" w:cs="Times New Roman"/>
          <w:sz w:val="24"/>
          <w:szCs w:val="24"/>
          <w:lang w:val="nl-BE"/>
        </w:rPr>
        <w:t>a</w:t>
      </w:r>
      <w:r w:rsidRPr="003D13A4">
        <w:rPr>
          <w:rFonts w:ascii="Times New Roman" w:eastAsia="Times New Roman" w:hAnsi="Times New Roman" w:cs="Times New Roman"/>
          <w:sz w:val="24"/>
          <w:szCs w:val="24"/>
          <w:lang w:val="nl-BE"/>
        </w:rPr>
        <w:t xml:space="preserve">). </w:t>
      </w:r>
      <w:proofErr w:type="spellStart"/>
      <w:r w:rsidRPr="003D13A4">
        <w:rPr>
          <w:rFonts w:ascii="Times New Roman" w:eastAsia="Times New Roman" w:hAnsi="Times New Roman" w:cs="Times New Roman"/>
          <w:sz w:val="24"/>
          <w:szCs w:val="24"/>
          <w:lang w:val="en-US"/>
        </w:rPr>
        <w:t>Hydrochemical</w:t>
      </w:r>
      <w:proofErr w:type="spellEnd"/>
      <w:r w:rsidRPr="003D13A4">
        <w:rPr>
          <w:rFonts w:ascii="Times New Roman" w:eastAsia="Times New Roman" w:hAnsi="Times New Roman" w:cs="Times New Roman"/>
          <w:sz w:val="24"/>
          <w:szCs w:val="24"/>
          <w:lang w:val="en-US"/>
        </w:rPr>
        <w:t xml:space="preserve"> evolution and seawater intrusion processes in coastal aquifers of the Niger Delta, Nigeria. </w:t>
      </w:r>
      <w:r w:rsidRPr="003D13A4">
        <w:rPr>
          <w:rFonts w:ascii="Times New Roman" w:eastAsia="Times New Roman" w:hAnsi="Times New Roman" w:cs="Times New Roman"/>
          <w:i/>
          <w:iCs/>
          <w:sz w:val="24"/>
          <w:szCs w:val="24"/>
          <w:lang w:val="en-US"/>
        </w:rPr>
        <w:t>Asian Journal of Geographical Research, 9</w:t>
      </w:r>
      <w:r w:rsidRPr="003D13A4">
        <w:rPr>
          <w:rFonts w:ascii="Times New Roman" w:eastAsia="Times New Roman" w:hAnsi="Times New Roman" w:cs="Times New Roman"/>
          <w:sz w:val="24"/>
          <w:szCs w:val="24"/>
          <w:lang w:val="en-US"/>
        </w:rPr>
        <w:t>(3), 403–417. https://doi.org/10.9734/ajgr/2026/v9i3438</w:t>
      </w:r>
    </w:p>
    <w:p w14:paraId="0D45E3C3" w14:textId="73B3F00D"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Umueni</w:t>
      </w:r>
      <w:proofErr w:type="spellEnd"/>
      <w:r w:rsidRPr="003D13A4">
        <w:rPr>
          <w:rFonts w:ascii="Times New Roman" w:eastAsia="Times New Roman" w:hAnsi="Times New Roman" w:cs="Times New Roman"/>
          <w:sz w:val="24"/>
          <w:szCs w:val="24"/>
          <w:lang w:val="en-US"/>
        </w:rPr>
        <w:t xml:space="preserve">, U. E., Etukudo, N. J., Okoye, P. I., </w:t>
      </w:r>
      <w:proofErr w:type="spellStart"/>
      <w:r w:rsidRPr="003D13A4">
        <w:rPr>
          <w:rFonts w:ascii="Times New Roman" w:eastAsia="Times New Roman" w:hAnsi="Times New Roman" w:cs="Times New Roman"/>
          <w:sz w:val="24"/>
          <w:szCs w:val="24"/>
          <w:lang w:val="en-US"/>
        </w:rPr>
        <w:t>Okpoji</w:t>
      </w:r>
      <w:proofErr w:type="spellEnd"/>
      <w:r w:rsidRPr="003D13A4">
        <w:rPr>
          <w:rFonts w:ascii="Times New Roman" w:eastAsia="Times New Roman" w:hAnsi="Times New Roman" w:cs="Times New Roman"/>
          <w:sz w:val="24"/>
          <w:szCs w:val="24"/>
          <w:lang w:val="en-US"/>
        </w:rPr>
        <w:t xml:space="preserve">, A. U., Eze, V. C., </w:t>
      </w:r>
      <w:proofErr w:type="spellStart"/>
      <w:r w:rsidRPr="003D13A4">
        <w:rPr>
          <w:rFonts w:ascii="Times New Roman" w:eastAsia="Times New Roman" w:hAnsi="Times New Roman" w:cs="Times New Roman"/>
          <w:sz w:val="24"/>
          <w:szCs w:val="24"/>
          <w:lang w:val="en-US"/>
        </w:rPr>
        <w:t>Aningo</w:t>
      </w:r>
      <w:proofErr w:type="spellEnd"/>
      <w:r w:rsidRPr="003D13A4">
        <w:rPr>
          <w:rFonts w:ascii="Times New Roman" w:eastAsia="Times New Roman" w:hAnsi="Times New Roman" w:cs="Times New Roman"/>
          <w:sz w:val="24"/>
          <w:szCs w:val="24"/>
          <w:lang w:val="en-US"/>
        </w:rPr>
        <w:t xml:space="preserve">, G. N., </w:t>
      </w:r>
      <w:proofErr w:type="spellStart"/>
      <w:r w:rsidRPr="003D13A4">
        <w:rPr>
          <w:rFonts w:ascii="Times New Roman" w:eastAsia="Times New Roman" w:hAnsi="Times New Roman" w:cs="Times New Roman"/>
          <w:sz w:val="24"/>
          <w:szCs w:val="24"/>
          <w:lang w:val="en-US"/>
        </w:rPr>
        <w:t>Ekwere</w:t>
      </w:r>
      <w:proofErr w:type="spellEnd"/>
      <w:r w:rsidRPr="003D13A4">
        <w:rPr>
          <w:rFonts w:ascii="Times New Roman" w:eastAsia="Times New Roman" w:hAnsi="Times New Roman" w:cs="Times New Roman"/>
          <w:sz w:val="24"/>
          <w:szCs w:val="24"/>
          <w:lang w:val="en-US"/>
        </w:rPr>
        <w:t xml:space="preserve">, I. O., &amp; Garuba, M. H. (2025). Geochemical and ecological risk assessment of petroleum hydrocarbons in sediments of </w:t>
      </w:r>
      <w:proofErr w:type="spellStart"/>
      <w:r w:rsidRPr="003D13A4">
        <w:rPr>
          <w:rFonts w:ascii="Times New Roman" w:eastAsia="Times New Roman" w:hAnsi="Times New Roman" w:cs="Times New Roman"/>
          <w:sz w:val="24"/>
          <w:szCs w:val="24"/>
          <w:lang w:val="en-US"/>
        </w:rPr>
        <w:t>Forcados</w:t>
      </w:r>
      <w:proofErr w:type="spellEnd"/>
      <w:r w:rsidRPr="003D13A4">
        <w:rPr>
          <w:rFonts w:ascii="Times New Roman" w:eastAsia="Times New Roman" w:hAnsi="Times New Roman" w:cs="Times New Roman"/>
          <w:sz w:val="24"/>
          <w:szCs w:val="24"/>
          <w:lang w:val="en-US"/>
        </w:rPr>
        <w:t xml:space="preserve"> River, Delta State. </w:t>
      </w:r>
      <w:r w:rsidRPr="003D13A4">
        <w:rPr>
          <w:rFonts w:ascii="Times New Roman" w:eastAsia="Times New Roman" w:hAnsi="Times New Roman" w:cs="Times New Roman"/>
          <w:i/>
          <w:iCs/>
          <w:sz w:val="24"/>
          <w:szCs w:val="24"/>
          <w:lang w:val="en-US"/>
        </w:rPr>
        <w:t>Asian Journal of Geographical Research, 8</w:t>
      </w:r>
      <w:r w:rsidRPr="003D13A4">
        <w:rPr>
          <w:rFonts w:ascii="Times New Roman" w:eastAsia="Times New Roman" w:hAnsi="Times New Roman" w:cs="Times New Roman"/>
          <w:sz w:val="24"/>
          <w:szCs w:val="24"/>
          <w:lang w:val="en-US"/>
        </w:rPr>
        <w:t xml:space="preserve">(4), 287–298. https://doi.org/10.9734/ajgr/2025/v8i4337 </w:t>
      </w:r>
    </w:p>
    <w:p w14:paraId="4D3F64BD" w14:textId="168D3973"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proofErr w:type="spellStart"/>
      <w:r w:rsidRPr="003D13A4">
        <w:rPr>
          <w:rFonts w:ascii="Times New Roman" w:eastAsia="Times New Roman" w:hAnsi="Times New Roman" w:cs="Times New Roman"/>
          <w:sz w:val="24"/>
          <w:szCs w:val="24"/>
          <w:lang w:val="en-US"/>
        </w:rPr>
        <w:t>Umueni</w:t>
      </w:r>
      <w:proofErr w:type="spellEnd"/>
      <w:r w:rsidRPr="003D13A4">
        <w:rPr>
          <w:rFonts w:ascii="Times New Roman" w:eastAsia="Times New Roman" w:hAnsi="Times New Roman" w:cs="Times New Roman"/>
          <w:sz w:val="24"/>
          <w:szCs w:val="24"/>
          <w:lang w:val="en-US"/>
        </w:rPr>
        <w:t xml:space="preserve">, U. E., Ogbaji, H. O., Okpoji, A. U., Osuagwu, E. L., Akpan, N. A., Ekpe, J. E., </w:t>
      </w:r>
      <w:proofErr w:type="spellStart"/>
      <w:r w:rsidRPr="003D13A4">
        <w:rPr>
          <w:rFonts w:ascii="Times New Roman" w:eastAsia="Times New Roman" w:hAnsi="Times New Roman" w:cs="Times New Roman"/>
          <w:sz w:val="24"/>
          <w:szCs w:val="24"/>
          <w:lang w:val="en-US"/>
        </w:rPr>
        <w:t>Okabekwe</w:t>
      </w:r>
      <w:proofErr w:type="spellEnd"/>
      <w:r w:rsidRPr="003D13A4">
        <w:rPr>
          <w:rFonts w:ascii="Times New Roman" w:eastAsia="Times New Roman" w:hAnsi="Times New Roman" w:cs="Times New Roman"/>
          <w:sz w:val="24"/>
          <w:szCs w:val="24"/>
          <w:lang w:val="en-US"/>
        </w:rPr>
        <w:t xml:space="preserve">, V. C., Anumaka, C. C., </w:t>
      </w:r>
      <w:proofErr w:type="spellStart"/>
      <w:r w:rsidRPr="003D13A4">
        <w:rPr>
          <w:rFonts w:ascii="Times New Roman" w:eastAsia="Times New Roman" w:hAnsi="Times New Roman" w:cs="Times New Roman"/>
          <w:sz w:val="24"/>
          <w:szCs w:val="24"/>
          <w:lang w:val="en-US"/>
        </w:rPr>
        <w:t>Obiefuna</w:t>
      </w:r>
      <w:proofErr w:type="spellEnd"/>
      <w:r w:rsidRPr="003D13A4">
        <w:rPr>
          <w:rFonts w:ascii="Times New Roman" w:eastAsia="Times New Roman" w:hAnsi="Times New Roman" w:cs="Times New Roman"/>
          <w:sz w:val="24"/>
          <w:szCs w:val="24"/>
          <w:lang w:val="en-US"/>
        </w:rPr>
        <w:t>, G. C., &amp; Warder, A. B. (2026</w:t>
      </w:r>
      <w:r>
        <w:rPr>
          <w:rFonts w:ascii="Times New Roman" w:eastAsia="Times New Roman" w:hAnsi="Times New Roman" w:cs="Times New Roman"/>
          <w:sz w:val="24"/>
          <w:szCs w:val="24"/>
          <w:lang w:val="en-US"/>
        </w:rPr>
        <w:t>b</w:t>
      </w:r>
      <w:r w:rsidRPr="003D13A4">
        <w:rPr>
          <w:rFonts w:ascii="Times New Roman" w:eastAsia="Times New Roman" w:hAnsi="Times New Roman" w:cs="Times New Roman"/>
          <w:sz w:val="24"/>
          <w:szCs w:val="24"/>
          <w:lang w:val="en-US"/>
        </w:rPr>
        <w:t xml:space="preserve">). Assessing hydrological and sediment factors for ecotoxicological risk of the </w:t>
      </w:r>
      <w:proofErr w:type="spellStart"/>
      <w:r w:rsidRPr="003D13A4">
        <w:rPr>
          <w:rFonts w:ascii="Times New Roman" w:eastAsia="Times New Roman" w:hAnsi="Times New Roman" w:cs="Times New Roman"/>
          <w:sz w:val="24"/>
          <w:szCs w:val="24"/>
          <w:lang w:val="en-US"/>
        </w:rPr>
        <w:t>Orashi</w:t>
      </w:r>
      <w:proofErr w:type="spellEnd"/>
      <w:r w:rsidRPr="003D13A4">
        <w:rPr>
          <w:rFonts w:ascii="Times New Roman" w:eastAsia="Times New Roman" w:hAnsi="Times New Roman" w:cs="Times New Roman"/>
          <w:sz w:val="24"/>
          <w:szCs w:val="24"/>
          <w:lang w:val="en-US"/>
        </w:rPr>
        <w:t xml:space="preserve"> River, Rivers State, Nigeria. </w:t>
      </w:r>
      <w:r w:rsidRPr="003D13A4">
        <w:rPr>
          <w:rFonts w:ascii="Times New Roman" w:eastAsia="Times New Roman" w:hAnsi="Times New Roman" w:cs="Times New Roman"/>
          <w:i/>
          <w:iCs/>
          <w:sz w:val="24"/>
          <w:szCs w:val="24"/>
          <w:lang w:val="en-US"/>
        </w:rPr>
        <w:t>Asian Journal of Geological Research, 9</w:t>
      </w:r>
      <w:r w:rsidRPr="003D13A4">
        <w:rPr>
          <w:rFonts w:ascii="Times New Roman" w:eastAsia="Times New Roman" w:hAnsi="Times New Roman" w:cs="Times New Roman"/>
          <w:sz w:val="24"/>
          <w:szCs w:val="24"/>
          <w:lang w:val="en-US"/>
        </w:rPr>
        <w:t>(1), 101–114. https://doi.org/10.9734/ajoger/2026/v9i1230</w:t>
      </w:r>
    </w:p>
    <w:p w14:paraId="140889A5" w14:textId="42E1ACDF" w:rsidR="003D13A4" w:rsidRPr="003D13A4" w:rsidRDefault="003D13A4" w:rsidP="003D13A4">
      <w:pPr>
        <w:spacing w:after="0" w:line="240" w:lineRule="auto"/>
        <w:ind w:left="540" w:hanging="540"/>
        <w:jc w:val="both"/>
        <w:rPr>
          <w:rFonts w:ascii="Times New Roman" w:eastAsia="Times New Roman" w:hAnsi="Times New Roman" w:cs="Times New Roman"/>
          <w:sz w:val="24"/>
          <w:szCs w:val="24"/>
          <w:lang w:val="en-US"/>
        </w:rPr>
      </w:pPr>
      <w:r w:rsidRPr="003D13A4">
        <w:rPr>
          <w:rFonts w:ascii="Times New Roman" w:eastAsia="Times New Roman" w:hAnsi="Times New Roman" w:cs="Times New Roman"/>
          <w:sz w:val="24"/>
          <w:szCs w:val="24"/>
          <w:lang w:val="en-US"/>
        </w:rPr>
        <w:t xml:space="preserve">United States Environmental Protection Agency. (n.d.). </w:t>
      </w:r>
      <w:r w:rsidRPr="003D13A4">
        <w:rPr>
          <w:rFonts w:ascii="Times New Roman" w:eastAsia="Times New Roman" w:hAnsi="Times New Roman" w:cs="Times New Roman"/>
          <w:i/>
          <w:iCs/>
          <w:sz w:val="24"/>
          <w:szCs w:val="24"/>
          <w:lang w:val="en-US"/>
        </w:rPr>
        <w:t>National primary drinking water regulations.</w:t>
      </w:r>
      <w:r w:rsidRPr="003D13A4">
        <w:rPr>
          <w:rFonts w:ascii="Times New Roman" w:eastAsia="Times New Roman" w:hAnsi="Times New Roman" w:cs="Times New Roman"/>
          <w:sz w:val="24"/>
          <w:szCs w:val="24"/>
          <w:lang w:val="en-US"/>
        </w:rPr>
        <w:t xml:space="preserve"> </w:t>
      </w:r>
    </w:p>
    <w:p w14:paraId="2C0B5ABC" w14:textId="66B1B469" w:rsidR="001E1693" w:rsidRPr="003D13A4" w:rsidRDefault="003D13A4" w:rsidP="003D13A4">
      <w:pPr>
        <w:spacing w:after="0" w:line="240" w:lineRule="auto"/>
        <w:ind w:left="540" w:hanging="540"/>
        <w:jc w:val="both"/>
        <w:rPr>
          <w:rFonts w:ascii="Times New Roman" w:eastAsia="Times New Roman" w:hAnsi="Times New Roman" w:cs="Times New Roman"/>
          <w:sz w:val="24"/>
          <w:szCs w:val="24"/>
        </w:rPr>
      </w:pPr>
      <w:r w:rsidRPr="003D13A4">
        <w:rPr>
          <w:rFonts w:ascii="Times New Roman" w:eastAsia="Times New Roman" w:hAnsi="Times New Roman" w:cs="Times New Roman"/>
          <w:sz w:val="24"/>
          <w:szCs w:val="24"/>
          <w:lang w:val="en-US"/>
        </w:rPr>
        <w:t xml:space="preserve">World Health Organization. (2022). </w:t>
      </w:r>
      <w:r w:rsidRPr="003D13A4">
        <w:rPr>
          <w:rFonts w:ascii="Times New Roman" w:eastAsia="Times New Roman" w:hAnsi="Times New Roman" w:cs="Times New Roman"/>
          <w:i/>
          <w:iCs/>
          <w:sz w:val="24"/>
          <w:szCs w:val="24"/>
          <w:lang w:val="en-US"/>
        </w:rPr>
        <w:t>Guidelines for drinking-water quality: Fourth edition incorporating the first and second addenda.</w:t>
      </w:r>
      <w:r w:rsidRPr="003D13A4">
        <w:rPr>
          <w:rFonts w:ascii="Times New Roman" w:eastAsia="Times New Roman" w:hAnsi="Times New Roman" w:cs="Times New Roman"/>
          <w:sz w:val="24"/>
          <w:szCs w:val="24"/>
          <w:lang w:val="en-US"/>
        </w:rPr>
        <w:t xml:space="preserve"> </w:t>
      </w:r>
    </w:p>
    <w:sectPr w:rsidR="001E1693" w:rsidRPr="003D13A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3A95" w14:textId="77777777" w:rsidR="00E9410D" w:rsidRDefault="00E9410D" w:rsidP="00284454">
      <w:pPr>
        <w:spacing w:after="0" w:line="240" w:lineRule="auto"/>
      </w:pPr>
      <w:r>
        <w:separator/>
      </w:r>
    </w:p>
  </w:endnote>
  <w:endnote w:type="continuationSeparator" w:id="0">
    <w:p w14:paraId="3C0B6781" w14:textId="77777777" w:rsidR="00E9410D" w:rsidRDefault="00E9410D" w:rsidP="00284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90C2" w14:textId="77777777" w:rsidR="00284454" w:rsidRDefault="002844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746D" w14:textId="77777777" w:rsidR="00284454" w:rsidRDefault="002844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0104" w14:textId="77777777" w:rsidR="00284454" w:rsidRDefault="00284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D0A4" w14:textId="77777777" w:rsidR="00E9410D" w:rsidRDefault="00E9410D" w:rsidP="00284454">
      <w:pPr>
        <w:spacing w:after="0" w:line="240" w:lineRule="auto"/>
      </w:pPr>
      <w:r>
        <w:separator/>
      </w:r>
    </w:p>
  </w:footnote>
  <w:footnote w:type="continuationSeparator" w:id="0">
    <w:p w14:paraId="057F8CA8" w14:textId="77777777" w:rsidR="00E9410D" w:rsidRDefault="00E9410D" w:rsidP="00284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767C" w14:textId="77777777" w:rsidR="00284454" w:rsidRDefault="00000000">
    <w:pPr>
      <w:pStyle w:val="Header"/>
    </w:pPr>
    <w:r>
      <w:rPr>
        <w:noProof/>
      </w:rPr>
      <w:pict w14:anchorId="52A0B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48A3" w14:textId="77777777" w:rsidR="00284454" w:rsidRDefault="00000000">
    <w:pPr>
      <w:pStyle w:val="Header"/>
    </w:pPr>
    <w:r>
      <w:rPr>
        <w:noProof/>
      </w:rPr>
      <w:pict w14:anchorId="538F4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A8BB3" w14:textId="77777777" w:rsidR="00284454" w:rsidRDefault="00000000">
    <w:pPr>
      <w:pStyle w:val="Header"/>
    </w:pPr>
    <w:r>
      <w:rPr>
        <w:noProof/>
      </w:rPr>
      <w:pict w14:anchorId="5C18B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0511"/>
    <w:multiLevelType w:val="multilevel"/>
    <w:tmpl w:val="1A0205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DA73F70"/>
    <w:multiLevelType w:val="hybridMultilevel"/>
    <w:tmpl w:val="B5A27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8B5936"/>
    <w:multiLevelType w:val="multilevel"/>
    <w:tmpl w:val="6DAE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468039">
    <w:abstractNumId w:val="2"/>
  </w:num>
  <w:num w:numId="2" w16cid:durableId="478502173">
    <w:abstractNumId w:val="0"/>
  </w:num>
  <w:num w:numId="3" w16cid:durableId="1600916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89"/>
    <w:rsid w:val="00013089"/>
    <w:rsid w:val="000B0031"/>
    <w:rsid w:val="00173A14"/>
    <w:rsid w:val="001E1693"/>
    <w:rsid w:val="00284454"/>
    <w:rsid w:val="003D13A4"/>
    <w:rsid w:val="004913C5"/>
    <w:rsid w:val="00515769"/>
    <w:rsid w:val="006B6EED"/>
    <w:rsid w:val="006E7E26"/>
    <w:rsid w:val="007A790E"/>
    <w:rsid w:val="008D6763"/>
    <w:rsid w:val="00A50B46"/>
    <w:rsid w:val="00A82784"/>
    <w:rsid w:val="00AD2F60"/>
    <w:rsid w:val="00B54FE5"/>
    <w:rsid w:val="00C324C0"/>
    <w:rsid w:val="00CF3AF4"/>
    <w:rsid w:val="00D1611A"/>
    <w:rsid w:val="00E6529A"/>
    <w:rsid w:val="00E9410D"/>
    <w:rsid w:val="00F3199C"/>
    <w:rsid w:val="00F90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0558B"/>
  <w15:chartTrackingRefBased/>
  <w15:docId w15:val="{ADA9E556-6904-4103-AF00-7D290954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693"/>
  </w:style>
  <w:style w:type="paragraph" w:styleId="Heading1">
    <w:name w:val="heading 1"/>
    <w:basedOn w:val="Normal"/>
    <w:link w:val="Heading1Char"/>
    <w:uiPriority w:val="9"/>
    <w:qFormat/>
    <w:rsid w:val="000130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130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08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1308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13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13089"/>
    <w:rPr>
      <w:b/>
      <w:bCs/>
    </w:rPr>
  </w:style>
  <w:style w:type="character" w:styleId="Emphasis">
    <w:name w:val="Emphasis"/>
    <w:basedOn w:val="DefaultParagraphFont"/>
    <w:uiPriority w:val="20"/>
    <w:qFormat/>
    <w:rsid w:val="00013089"/>
    <w:rPr>
      <w:i/>
      <w:iCs/>
    </w:rPr>
  </w:style>
  <w:style w:type="table" w:styleId="TableGrid">
    <w:name w:val="Table Grid"/>
    <w:basedOn w:val="TableNormal"/>
    <w:uiPriority w:val="39"/>
    <w:rsid w:val="00013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3089"/>
    <w:rPr>
      <w:color w:val="0563C1" w:themeColor="hyperlink"/>
      <w:u w:val="single"/>
    </w:rPr>
  </w:style>
  <w:style w:type="paragraph" w:styleId="Header">
    <w:name w:val="header"/>
    <w:basedOn w:val="Normal"/>
    <w:link w:val="HeaderChar"/>
    <w:uiPriority w:val="99"/>
    <w:unhideWhenUsed/>
    <w:rsid w:val="00284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454"/>
  </w:style>
  <w:style w:type="paragraph" w:styleId="Footer">
    <w:name w:val="footer"/>
    <w:basedOn w:val="Normal"/>
    <w:link w:val="FooterChar"/>
    <w:uiPriority w:val="99"/>
    <w:unhideWhenUsed/>
    <w:rsid w:val="00284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454"/>
  </w:style>
  <w:style w:type="paragraph" w:styleId="ListParagraph">
    <w:name w:val="List Paragraph"/>
    <w:basedOn w:val="Normal"/>
    <w:uiPriority w:val="34"/>
    <w:qFormat/>
    <w:rsid w:val="003D1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69881">
      <w:bodyDiv w:val="1"/>
      <w:marLeft w:val="0"/>
      <w:marRight w:val="0"/>
      <w:marTop w:val="0"/>
      <w:marBottom w:val="0"/>
      <w:divBdr>
        <w:top w:val="none" w:sz="0" w:space="0" w:color="auto"/>
        <w:left w:val="none" w:sz="0" w:space="0" w:color="auto"/>
        <w:bottom w:val="none" w:sz="0" w:space="0" w:color="auto"/>
        <w:right w:val="none" w:sz="0" w:space="0" w:color="auto"/>
      </w:divBdr>
    </w:div>
    <w:div w:id="685518487">
      <w:bodyDiv w:val="1"/>
      <w:marLeft w:val="0"/>
      <w:marRight w:val="0"/>
      <w:marTop w:val="0"/>
      <w:marBottom w:val="0"/>
      <w:divBdr>
        <w:top w:val="none" w:sz="0" w:space="0" w:color="auto"/>
        <w:left w:val="none" w:sz="0" w:space="0" w:color="auto"/>
        <w:bottom w:val="none" w:sz="0" w:space="0" w:color="auto"/>
        <w:right w:val="none" w:sz="0" w:space="0" w:color="auto"/>
      </w:divBdr>
    </w:div>
    <w:div w:id="1260257687">
      <w:bodyDiv w:val="1"/>
      <w:marLeft w:val="0"/>
      <w:marRight w:val="0"/>
      <w:marTop w:val="0"/>
      <w:marBottom w:val="0"/>
      <w:divBdr>
        <w:top w:val="none" w:sz="0" w:space="0" w:color="auto"/>
        <w:left w:val="none" w:sz="0" w:space="0" w:color="auto"/>
        <w:bottom w:val="none" w:sz="0" w:space="0" w:color="auto"/>
        <w:right w:val="none" w:sz="0" w:space="0" w:color="auto"/>
      </w:divBdr>
    </w:div>
    <w:div w:id="1839031203">
      <w:bodyDiv w:val="1"/>
      <w:marLeft w:val="0"/>
      <w:marRight w:val="0"/>
      <w:marTop w:val="0"/>
      <w:marBottom w:val="0"/>
      <w:divBdr>
        <w:top w:val="none" w:sz="0" w:space="0" w:color="auto"/>
        <w:left w:val="none" w:sz="0" w:space="0" w:color="auto"/>
        <w:bottom w:val="none" w:sz="0" w:space="0" w:color="auto"/>
        <w:right w:val="none" w:sz="0" w:space="0" w:color="auto"/>
      </w:divBdr>
    </w:div>
    <w:div w:id="199945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021/acs.est.7b05440?utm_source=chatgp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22</Pages>
  <Words>10064</Words>
  <Characters>57367</Characters>
  <Application>Microsoft Office Word</Application>
  <DocSecurity>0</DocSecurity>
  <Lines>478</Lines>
  <Paragraphs>134</Paragraphs>
  <ScaleCrop>false</ScaleCrop>
  <Company/>
  <LinksUpToDate>false</LinksUpToDate>
  <CharactersWithSpaces>67297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OTOKWALA</dc:creator>
  <cp:keywords/>
  <dc:description/>
  <cp:lastModifiedBy>Editor-90</cp:lastModifiedBy>
  <cp:revision>12</cp:revision>
  <dcterms:created xsi:type="dcterms:W3CDTF">2026-09-17T07:04:00Z</dcterms:created>
  <dcterms:modified xsi:type="dcterms:W3CDTF">2026-09-25T08:52:00Z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868aeb5e-c192-4d92-90b3-6454f2e49326</vt:lpwstr>
  </property>
</Properties>
</file>