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205FA9E" w14:textId="77777777" w:rsidR="00CD51E3" w:rsidRPr="00D858FB" w:rsidRDefault="00000000">
      <w:pPr>
        <w:spacing w:after="200"/>
        <w:jc w:val="center"/>
        <w:rPr>
          <w:sz w:val="24"/>
          <w:szCs w:val="24"/>
        </w:rPr>
      </w:pPr>
      <w:r w:rsidRPr="00D858FB">
        <w:rPr>
          <w:rFonts w:eastAsia="Times New Roman"/>
          <w:b/>
          <w:sz w:val="24"/>
          <w:szCs w:val="24"/>
        </w:rPr>
        <w:t>Cloudbursts and Floods in Nepal: Ecological Pathways, Evidence Gaps, and Consequences for Aquatic Fauna and Freshwater Ecosystems</w:t>
      </w:r>
    </w:p>
    <w:p w14:paraId="0A6C4A55" w14:textId="77777777" w:rsidR="00CD51E3" w:rsidRPr="00D858FB" w:rsidRDefault="00000000">
      <w:pPr>
        <w:pStyle w:val="Heading1"/>
        <w:rPr>
          <w:color w:val="auto"/>
          <w:szCs w:val="24"/>
        </w:rPr>
      </w:pPr>
      <w:r w:rsidRPr="00D858FB">
        <w:rPr>
          <w:rFonts w:ascii="Times New Roman" w:eastAsia="Times New Roman" w:hAnsi="Times New Roman"/>
          <w:color w:val="auto"/>
          <w:szCs w:val="24"/>
        </w:rPr>
        <w:t>Abstract</w:t>
      </w:r>
    </w:p>
    <w:p w14:paraId="776C4491" w14:textId="77777777" w:rsidR="00367694" w:rsidRPr="00D858FB" w:rsidRDefault="00EB351A">
      <w:pPr>
        <w:rPr>
          <w:i/>
          <w:iCs/>
          <w:sz w:val="24"/>
          <w:szCs w:val="24"/>
        </w:rPr>
      </w:pPr>
      <w:r>
        <w:rPr>
          <w:i/>
          <w:iCs/>
          <w:sz w:val="24"/>
          <w:szCs w:val="24"/>
        </w:rPr>
        <w:t xml:space="preserve">This review assesses how cloudburst-associated flash floods, monsoon floods, and sediment-laden cascading floods impact aquatic fauna and freshwater ecosystems in Nepal. A synthesis of original research was conducted to connect hydroclimatic and geomorphic data to field observations of benthic macroinvertebrates, macrophytes, fishes, crocodilians, and river dolphins. Periodic monsoon flooding does not automatically equate to ecological degradation. For example, Nepalese stream invertebrates are capable of exhibiting </w:t>
      </w:r>
      <w:r>
        <w:rPr>
          <w:i/>
          <w:iCs/>
          <w:sz w:val="24"/>
          <w:szCs w:val="24"/>
          <w:highlight w:val="yellow"/>
        </w:rPr>
        <w:t>population-level flexibility, and flood pulses</w:t>
      </w:r>
      <w:r>
        <w:rPr>
          <w:i/>
          <w:iCs/>
          <w:sz w:val="24"/>
          <w:szCs w:val="24"/>
        </w:rPr>
        <w:t xml:space="preserve"> are known to maintain channel-floodplain connectivity. However, the potential for degradation increases when rainfall, landslide sediment, and bank failure are combined with anthropogenic flooding. Buried fauna and flora experience both habitat </w:t>
      </w:r>
      <w:proofErr w:type="spellStart"/>
      <w:r>
        <w:rPr>
          <w:i/>
          <w:iCs/>
          <w:sz w:val="24"/>
          <w:szCs w:val="24"/>
          <w:highlight w:val="yellow"/>
        </w:rPr>
        <w:t>homogenisation</w:t>
      </w:r>
      <w:proofErr w:type="spellEnd"/>
      <w:r>
        <w:rPr>
          <w:i/>
          <w:iCs/>
          <w:sz w:val="24"/>
          <w:szCs w:val="24"/>
        </w:rPr>
        <w:t xml:space="preserve"> and disconnection during recovery. The strongest Nepal-specific evidence is for macroinvertebrate seasonality and habitat controls; direct indicators of the effects of cloudbursts on aquatic ecosystems are largely lacking. Post-flood surveys conducted in Koshi </w:t>
      </w:r>
      <w:proofErr w:type="spellStart"/>
      <w:r>
        <w:rPr>
          <w:i/>
          <w:iCs/>
          <w:sz w:val="24"/>
          <w:szCs w:val="24"/>
        </w:rPr>
        <w:t>Tappu</w:t>
      </w:r>
      <w:proofErr w:type="spellEnd"/>
      <w:r>
        <w:rPr>
          <w:i/>
          <w:iCs/>
          <w:sz w:val="24"/>
          <w:szCs w:val="24"/>
        </w:rPr>
        <w:t xml:space="preserve"> document the displacement and alteration of habitats of fauna, but do not support either mortality or biodiversity loss on a national scale. Fish and river dolphin studies have shown the importance of habitat depth, discharge, water quality, habitat connectivity, and dry season refuges on the fauna of aquatic ecosystems. The objective of this study is to assess how cloudburst-associated flash floods, monsoon floods, and sediment-laden cascading floods affect aquatic fauna and the ecological integrity of freshwater ecosystems in Nepal. </w:t>
      </w:r>
      <w:r>
        <w:rPr>
          <w:i/>
          <w:iCs/>
          <w:sz w:val="24"/>
          <w:szCs w:val="24"/>
          <w:highlight w:val="yellow"/>
        </w:rPr>
        <w:t>The State of Nepal should use hydrometeorology and sediment budgets to guide before-after-control-impact studies of the effects of hazard mitigation practices.</w:t>
      </w:r>
      <w:r>
        <w:rPr>
          <w:i/>
          <w:iCs/>
          <w:sz w:val="24"/>
          <w:szCs w:val="24"/>
        </w:rPr>
        <w:t xml:space="preserve"> The conservation goal should be to protect aquatic ecosystems from fragmentation caused by emergency flood protection systems.</w:t>
      </w:r>
    </w:p>
    <w:p w14:paraId="0F8F5688" w14:textId="77777777" w:rsidR="00CD51E3" w:rsidRPr="00D858FB" w:rsidRDefault="00000000">
      <w:pPr>
        <w:rPr>
          <w:sz w:val="24"/>
          <w:szCs w:val="24"/>
        </w:rPr>
      </w:pPr>
      <w:r w:rsidRPr="00D858FB">
        <w:rPr>
          <w:rFonts w:eastAsia="Times New Roman"/>
          <w:b/>
          <w:sz w:val="24"/>
          <w:szCs w:val="24"/>
        </w:rPr>
        <w:t xml:space="preserve">Keywords: </w:t>
      </w:r>
      <w:r w:rsidRPr="00D858FB">
        <w:rPr>
          <w:rFonts w:eastAsia="Times New Roman"/>
          <w:sz w:val="24"/>
          <w:szCs w:val="24"/>
        </w:rPr>
        <w:t>benthic macroinvertebrates; flash flood; freshwater biodiversity; Himalayan rivers; monsoon; river connectivity</w:t>
      </w:r>
    </w:p>
    <w:p w14:paraId="08F74998" w14:textId="77777777" w:rsidR="00CD51E3" w:rsidRPr="00D858FB" w:rsidRDefault="00477776">
      <w:pPr>
        <w:pStyle w:val="Heading1"/>
        <w:rPr>
          <w:color w:val="auto"/>
          <w:szCs w:val="24"/>
        </w:rPr>
      </w:pPr>
      <w:r w:rsidRPr="00D858FB">
        <w:rPr>
          <w:rFonts w:ascii="Times New Roman" w:eastAsia="Times New Roman" w:hAnsi="Times New Roman"/>
          <w:color w:val="auto"/>
          <w:szCs w:val="24"/>
        </w:rPr>
        <w:t>1.1 Introduction</w:t>
      </w:r>
    </w:p>
    <w:p w14:paraId="11CF09D0" w14:textId="77777777" w:rsidR="00A1021C" w:rsidRPr="00D858FB" w:rsidRDefault="00A1021C" w:rsidP="00A1021C">
      <w:pPr>
        <w:rPr>
          <w:rFonts w:eastAsia="Times New Roman"/>
          <w:sz w:val="24"/>
          <w:szCs w:val="24"/>
        </w:rPr>
      </w:pPr>
      <w:r>
        <w:rPr>
          <w:rFonts w:eastAsia="Times New Roman"/>
          <w:sz w:val="24"/>
          <w:szCs w:val="24"/>
          <w:highlight w:val="yellow"/>
        </w:rPr>
        <w:t>Nepal encompasses one of the steepest climatic and elevational gradients on Earth, across which rivers descend, together with</w:t>
      </w:r>
      <w:r>
        <w:rPr>
          <w:rFonts w:eastAsia="Times New Roman"/>
          <w:sz w:val="24"/>
          <w:szCs w:val="24"/>
        </w:rPr>
        <w:t xml:space="preserve"> summer monsoon rainfall, snow and ice melt, groundwater, landslides and high sediment yield. However, rainfall varies spatially because of the control of topography on moisture delivery and rain shadow formation, and the largest one-day precipitation totals do not necessarily occur at the same elevation as the largest annual totals (</w:t>
      </w:r>
      <w:proofErr w:type="spellStart"/>
      <w:r>
        <w:rPr>
          <w:rFonts w:eastAsia="Times New Roman"/>
          <w:sz w:val="24"/>
          <w:szCs w:val="24"/>
        </w:rPr>
        <w:t>Kansakar</w:t>
      </w:r>
      <w:proofErr w:type="spellEnd"/>
      <w:r>
        <w:rPr>
          <w:rFonts w:eastAsia="Times New Roman"/>
          <w:sz w:val="24"/>
          <w:szCs w:val="24"/>
        </w:rPr>
        <w:t xml:space="preserve"> et al., 2004; </w:t>
      </w:r>
      <w:proofErr w:type="spellStart"/>
      <w:r>
        <w:rPr>
          <w:rFonts w:eastAsia="Times New Roman"/>
          <w:sz w:val="24"/>
          <w:szCs w:val="24"/>
        </w:rPr>
        <w:t>Talchabhadel</w:t>
      </w:r>
      <w:proofErr w:type="spellEnd"/>
      <w:r>
        <w:rPr>
          <w:rFonts w:eastAsia="Times New Roman"/>
          <w:sz w:val="24"/>
          <w:szCs w:val="24"/>
        </w:rPr>
        <w:t xml:space="preserve"> et al., 2018). Most recorded precipitation extremes are observed during </w:t>
      </w:r>
      <w:r>
        <w:rPr>
          <w:rFonts w:eastAsia="Times New Roman"/>
          <w:sz w:val="24"/>
          <w:szCs w:val="24"/>
        </w:rPr>
        <w:lastRenderedPageBreak/>
        <w:t>summer months of the monsoon, but long-term trends vary among regions and stations rather than forming a uniform national signal (Bohlinger &amp; Sorteberg, 2018; Karki et al., 2017).</w:t>
      </w:r>
    </w:p>
    <w:p w14:paraId="4EB82FE0" w14:textId="77777777" w:rsidR="00884724" w:rsidRDefault="00000000">
      <w:r>
        <w:rPr>
          <w:b/>
          <w:highlight w:val="yellow"/>
        </w:rPr>
        <w:t xml:space="preserve">Recent basin-scale work in Nepal’s West </w:t>
      </w:r>
      <w:proofErr w:type="spellStart"/>
      <w:r>
        <w:rPr>
          <w:b/>
          <w:highlight w:val="yellow"/>
        </w:rPr>
        <w:t>Rapti</w:t>
      </w:r>
      <w:proofErr w:type="spellEnd"/>
      <w:r>
        <w:rPr>
          <w:b/>
          <w:highlight w:val="yellow"/>
        </w:rPr>
        <w:t xml:space="preserve"> River Basin indicates that sub-watershed morphology, land cover, and observed erosion-accretion patterns can influence flood susceptibility and river-course adjustment, reinforcing the need to interpret ecological exposure at the basin scale (Dube et al., 2025).</w:t>
      </w:r>
    </w:p>
    <w:p w14:paraId="0B1190E0" w14:textId="77777777" w:rsidR="00A1021C" w:rsidRPr="00D858FB" w:rsidRDefault="00A1021C" w:rsidP="00A1021C">
      <w:pPr>
        <w:rPr>
          <w:rFonts w:eastAsia="Times New Roman"/>
          <w:sz w:val="24"/>
          <w:szCs w:val="24"/>
        </w:rPr>
      </w:pPr>
      <w:r>
        <w:rPr>
          <w:rFonts w:eastAsia="Times New Roman"/>
          <w:sz w:val="24"/>
          <w:szCs w:val="24"/>
        </w:rPr>
        <w:t xml:space="preserve">A cloudburst is a </w:t>
      </w:r>
      <w:proofErr w:type="spellStart"/>
      <w:r>
        <w:rPr>
          <w:rFonts w:eastAsia="Times New Roman"/>
          <w:sz w:val="24"/>
          <w:szCs w:val="24"/>
          <w:highlight w:val="yellow"/>
        </w:rPr>
        <w:t>localised</w:t>
      </w:r>
      <w:proofErr w:type="spellEnd"/>
      <w:r>
        <w:rPr>
          <w:rFonts w:eastAsia="Times New Roman"/>
          <w:sz w:val="24"/>
          <w:szCs w:val="24"/>
          <w:highlight w:val="yellow"/>
        </w:rPr>
        <w:t xml:space="preserve"> occurrence</w:t>
      </w:r>
      <w:r>
        <w:rPr>
          <w:rFonts w:eastAsia="Times New Roman"/>
          <w:sz w:val="24"/>
          <w:szCs w:val="24"/>
        </w:rPr>
        <w:t xml:space="preserve"> of torrential precipitation; a flash flood occurs when heavy rain or a combination of factors, such as dam failure, landslide blockage and breach, glacial-lake release and a sequence of events, triggers a very rapid hydrological response. </w:t>
      </w:r>
      <w:r>
        <w:rPr>
          <w:rFonts w:eastAsia="Times New Roman"/>
          <w:sz w:val="24"/>
          <w:szCs w:val="24"/>
          <w:highlight w:val="yellow"/>
        </w:rPr>
        <w:t>This distinction is ecologically significant because biological damage does not depend on rainfall intensity alone.</w:t>
      </w:r>
      <w:r>
        <w:rPr>
          <w:rFonts w:eastAsia="Times New Roman"/>
          <w:sz w:val="24"/>
          <w:szCs w:val="24"/>
        </w:rPr>
        <w:t xml:space="preserve"> Organismal exposure is defined by the combination of peak discharge, rate of rise, duration, sediment concentration and </w:t>
      </w:r>
      <w:proofErr w:type="spellStart"/>
      <w:r>
        <w:rPr>
          <w:rFonts w:eastAsia="Times New Roman"/>
          <w:sz w:val="24"/>
          <w:szCs w:val="24"/>
        </w:rPr>
        <w:t>calibre</w:t>
      </w:r>
      <w:proofErr w:type="spellEnd"/>
      <w:r>
        <w:rPr>
          <w:rFonts w:eastAsia="Times New Roman"/>
          <w:sz w:val="24"/>
          <w:szCs w:val="24"/>
        </w:rPr>
        <w:t xml:space="preserve">, bed mobility, channel confinement, antecedent conditions, season, and access to refuges. The </w:t>
      </w:r>
      <w:proofErr w:type="spellStart"/>
      <w:r>
        <w:rPr>
          <w:rFonts w:eastAsia="Times New Roman"/>
          <w:sz w:val="24"/>
          <w:szCs w:val="24"/>
        </w:rPr>
        <w:t>Melamchi</w:t>
      </w:r>
      <w:proofErr w:type="spellEnd"/>
      <w:r>
        <w:rPr>
          <w:rFonts w:eastAsia="Times New Roman"/>
          <w:sz w:val="24"/>
          <w:szCs w:val="24"/>
        </w:rPr>
        <w:t xml:space="preserve"> disaster in 2021 </w:t>
      </w:r>
      <w:r>
        <w:rPr>
          <w:rFonts w:eastAsia="Times New Roman"/>
          <w:sz w:val="24"/>
          <w:szCs w:val="24"/>
          <w:highlight w:val="yellow"/>
        </w:rPr>
        <w:t>was a multi-monsoon-season sediment cascade involving rainfall, disturbed hillslopes, channel erosion, and sediment storage</w:t>
      </w:r>
      <w:r>
        <w:rPr>
          <w:rFonts w:eastAsia="Times New Roman"/>
          <w:sz w:val="24"/>
          <w:szCs w:val="24"/>
        </w:rPr>
        <w:t xml:space="preserve"> (Adhikari et al., 2023; Baniya et al., 2023; Chen et al., 2025).</w:t>
      </w:r>
    </w:p>
    <w:p w14:paraId="3BEF9573" w14:textId="77777777" w:rsidR="00A1021C" w:rsidRPr="00D858FB" w:rsidRDefault="0017763E" w:rsidP="00A1021C">
      <w:pPr>
        <w:rPr>
          <w:rFonts w:eastAsia="Times New Roman"/>
          <w:sz w:val="24"/>
          <w:szCs w:val="24"/>
        </w:rPr>
      </w:pPr>
      <w:r>
        <w:rPr>
          <w:rFonts w:eastAsia="Times New Roman"/>
          <w:sz w:val="24"/>
          <w:szCs w:val="24"/>
        </w:rPr>
        <w:t xml:space="preserve">Flooding also has a dual ecological role. High flows provide new or reconnected habitats, add organic matter and nutrients, induce movement and sustain floodplain wetlands </w:t>
      </w:r>
      <w:r>
        <w:rPr>
          <w:rFonts w:eastAsia="Times New Roman"/>
          <w:sz w:val="24"/>
          <w:szCs w:val="24"/>
          <w:highlight w:val="yellow"/>
        </w:rPr>
        <w:t>seasonally. However, rare or unusually sediment-rich floods may scour or bury benthos, displace fishes, strand large aquatic vertebrates, simplify channel units, and transport contaminants.</w:t>
      </w:r>
      <w:r>
        <w:rPr>
          <w:rFonts w:eastAsia="Times New Roman"/>
          <w:sz w:val="24"/>
          <w:szCs w:val="24"/>
        </w:rPr>
        <w:t xml:space="preserve"> Comparing a natural flood pulse with ecological impairment </w:t>
      </w:r>
      <w:r>
        <w:rPr>
          <w:rFonts w:eastAsia="Times New Roman"/>
          <w:sz w:val="24"/>
          <w:szCs w:val="24"/>
          <w:highlight w:val="yellow"/>
        </w:rPr>
        <w:t>requires comparison not only with the historical flow regime but also with recovery.</w:t>
      </w:r>
    </w:p>
    <w:p w14:paraId="71453FD4" w14:textId="77777777" w:rsidR="00884724" w:rsidRDefault="00000000">
      <w:r>
        <w:rPr>
          <w:b/>
          <w:highlight w:val="yellow"/>
        </w:rPr>
        <w:t>Evidence from other aquatic systems also indicates that climatic variability can interact with anthropogenic pressures to intensify habitat degradation, although such interactions require site-specific testing before being extrapolated to Nepal (Christopher et al., 2025).</w:t>
      </w:r>
    </w:p>
    <w:p w14:paraId="08AEAD2B" w14:textId="77777777" w:rsidR="00884724" w:rsidRDefault="00000000">
      <w:r>
        <w:rPr>
          <w:b/>
          <w:highlight w:val="yellow"/>
        </w:rPr>
        <w:t>In a highland floodplain, flood pulses altered phylogenetic and functional dimensions of benthic macroinvertebrate diversity even when changes in conventional taxonomic diversity were smaller, illustrating why multiple response metrics can strengthen assessments of flood disturbance (Hou et al., 2024).</w:t>
      </w:r>
    </w:p>
    <w:p w14:paraId="3035F58E" w14:textId="77777777" w:rsidR="00884724" w:rsidRDefault="00000000">
      <w:r>
        <w:rPr>
          <w:b/>
          <w:highlight w:val="yellow"/>
        </w:rPr>
        <w:t>Similarly, before-and-after sampling of a subtropical headwater fish community documented marked flood-related habitat restructuring and subsequent biological recovery, supporting repeated temporal sampling rather than reliance on a single post-event survey (Mohlala et al., 2024).</w:t>
      </w:r>
    </w:p>
    <w:p w14:paraId="211A2580" w14:textId="77777777" w:rsidR="00884724" w:rsidRDefault="00000000">
      <w:r>
        <w:rPr>
          <w:b/>
          <w:highlight w:val="yellow"/>
        </w:rPr>
        <w:t>Despite a growing physical literature on extreme floods and several biological baseline studies, direct event-linked evidence connecting cloudburst or sediment-cascade exposure to quantified responses of aquatic fauna in Nepal remains sparse. In particular, few studies combine pre-event biological baselines with event-scale hydrology, sediment measurements, and repeated post-flood sampling, limiting attribution of observed ecological change to the flood itself rather than seasonality or other pressures.</w:t>
      </w:r>
    </w:p>
    <w:p w14:paraId="031D5BF9" w14:textId="77777777" w:rsidR="00A1021C" w:rsidRPr="00D858FB" w:rsidRDefault="00A1021C" w:rsidP="00A1021C">
      <w:pPr>
        <w:rPr>
          <w:rFonts w:eastAsia="Times New Roman"/>
          <w:sz w:val="24"/>
          <w:szCs w:val="24"/>
        </w:rPr>
      </w:pPr>
      <w:r>
        <w:rPr>
          <w:rFonts w:eastAsia="Times New Roman"/>
          <w:sz w:val="24"/>
          <w:szCs w:val="24"/>
        </w:rPr>
        <w:t xml:space="preserve">The review aims to answer the following questions: (1) what are the physical and chemical pathways through which </w:t>
      </w:r>
      <w:r>
        <w:rPr>
          <w:rFonts w:eastAsia="Times New Roman"/>
          <w:sz w:val="24"/>
          <w:szCs w:val="24"/>
          <w:highlight w:val="yellow"/>
        </w:rPr>
        <w:t>cloudburst-associated</w:t>
      </w:r>
      <w:r>
        <w:rPr>
          <w:rFonts w:eastAsia="Times New Roman"/>
          <w:sz w:val="24"/>
          <w:szCs w:val="24"/>
        </w:rPr>
        <w:t xml:space="preserve"> and other floods impact aquatic fauna in </w:t>
      </w:r>
      <w:r>
        <w:rPr>
          <w:rFonts w:eastAsia="Times New Roman"/>
          <w:sz w:val="24"/>
          <w:szCs w:val="24"/>
          <w:highlight w:val="yellow"/>
        </w:rPr>
        <w:t>Nepal?</w:t>
      </w:r>
      <w:r>
        <w:rPr>
          <w:rFonts w:eastAsia="Times New Roman"/>
          <w:sz w:val="24"/>
          <w:szCs w:val="24"/>
        </w:rPr>
        <w:t xml:space="preserve"> </w:t>
      </w:r>
      <w:r>
        <w:rPr>
          <w:rFonts w:eastAsia="Times New Roman"/>
          <w:sz w:val="24"/>
          <w:szCs w:val="24"/>
          <w:highlight w:val="yellow"/>
        </w:rPr>
        <w:lastRenderedPageBreak/>
        <w:t>(2) what has been observed in Nepalese rivers and wetlands? and (3) what is warranted by the evidence in terms of monitoring and management?</w:t>
      </w:r>
      <w:r>
        <w:rPr>
          <w:rFonts w:eastAsia="Times New Roman"/>
          <w:sz w:val="24"/>
          <w:szCs w:val="24"/>
        </w:rPr>
        <w:t xml:space="preserve"> It is argued that some life stages and reaches may experience acute impacts that are quite strong, but no </w:t>
      </w:r>
      <w:proofErr w:type="spellStart"/>
      <w:r>
        <w:rPr>
          <w:rFonts w:eastAsia="Times New Roman"/>
          <w:sz w:val="24"/>
          <w:szCs w:val="24"/>
          <w:highlight w:val="yellow"/>
        </w:rPr>
        <w:t>generalised</w:t>
      </w:r>
      <w:proofErr w:type="spellEnd"/>
      <w:r>
        <w:rPr>
          <w:rFonts w:eastAsia="Times New Roman"/>
          <w:sz w:val="24"/>
          <w:szCs w:val="24"/>
        </w:rPr>
        <w:t xml:space="preserve"> faunal collapse is yet supported by direct measurements throughout Nepal. </w:t>
      </w:r>
      <w:r>
        <w:rPr>
          <w:rFonts w:eastAsia="Times New Roman"/>
          <w:sz w:val="24"/>
          <w:szCs w:val="24"/>
          <w:highlight w:val="yellow"/>
        </w:rPr>
        <w:t xml:space="preserve">Assessments of resistance, displacement, mortality, </w:t>
      </w:r>
      <w:proofErr w:type="spellStart"/>
      <w:r>
        <w:rPr>
          <w:rFonts w:eastAsia="Times New Roman"/>
          <w:sz w:val="24"/>
          <w:szCs w:val="24"/>
          <w:highlight w:val="yellow"/>
        </w:rPr>
        <w:t>recolonisation</w:t>
      </w:r>
      <w:proofErr w:type="spellEnd"/>
      <w:r>
        <w:rPr>
          <w:rFonts w:eastAsia="Times New Roman"/>
          <w:sz w:val="24"/>
          <w:szCs w:val="24"/>
          <w:highlight w:val="yellow"/>
        </w:rPr>
        <w:t>, and longer-term habitat change must be defensible.</w:t>
      </w:r>
    </w:p>
    <w:p w14:paraId="185E02FA" w14:textId="77777777" w:rsidR="00CD51E3" w:rsidRPr="00D858FB" w:rsidRDefault="00477776">
      <w:pPr>
        <w:pStyle w:val="Heading1"/>
        <w:rPr>
          <w:color w:val="auto"/>
          <w:szCs w:val="24"/>
        </w:rPr>
      </w:pPr>
      <w:r w:rsidRPr="00D858FB">
        <w:rPr>
          <w:rFonts w:ascii="Times New Roman" w:eastAsia="Times New Roman" w:hAnsi="Times New Roman"/>
          <w:color w:val="auto"/>
          <w:szCs w:val="24"/>
        </w:rPr>
        <w:t>2.1 Review scope and evidence approach</w:t>
      </w:r>
    </w:p>
    <w:p w14:paraId="69A4E80B" w14:textId="77777777" w:rsidR="00CD51E3" w:rsidRPr="00D858FB" w:rsidRDefault="00000000">
      <w:pPr>
        <w:rPr>
          <w:sz w:val="24"/>
          <w:szCs w:val="24"/>
        </w:rPr>
      </w:pPr>
      <w:r w:rsidRPr="00D858FB">
        <w:rPr>
          <w:rFonts w:eastAsia="Times New Roman"/>
          <w:sz w:val="24"/>
          <w:szCs w:val="24"/>
        </w:rPr>
        <w:t>This is a critical narrative review of original, published research articles. Targeted web-based scholarly searches were completed in September 2026 using combinations of Nepal, Himalaya, cloudburst, flash flood, monsoon flood, sediment, fish, macroinvertebrate, macrophyte, wetland, crocodile, and river dolphin. Reference lists and publisher records were then used to locate additional original field and experimental studies. To keep the evidence stable and fully published, the synthesis was limited to journal articles published through December 2025; preprints, theses, reports, book chapters, news items, and review papers were excluded from the evidentiary reference list.</w:t>
      </w:r>
      <w:r w:rsidR="00635B45" w:rsidRPr="00D858FB">
        <w:rPr>
          <w:rFonts w:eastAsia="Times New Roman"/>
          <w:sz w:val="24"/>
          <w:szCs w:val="24"/>
        </w:rPr>
        <w:t xml:space="preserve"> The publication cutoff was set at 31 December 2025 to define a fixed evidence window ending with the most recent complete calendar year before the search. Searches conducted in September 2026 retrospectively identified eligible articles published within this window, including those indexed after the cutoff. Articles published in 2026 were excluded to avoid including only part of that publication year. Consequently, the synthesis reflects evidence published through 2025 rather than all evidence available at the time of searching.</w:t>
      </w:r>
    </w:p>
    <w:p w14:paraId="7666D9D1" w14:textId="77777777" w:rsidR="00CD51E3" w:rsidRPr="00D858FB" w:rsidRDefault="00000000">
      <w:pPr>
        <w:rPr>
          <w:sz w:val="24"/>
          <w:szCs w:val="24"/>
        </w:rPr>
      </w:pPr>
      <w:r w:rsidRPr="00D858FB">
        <w:rPr>
          <w:rFonts w:eastAsia="Times New Roman"/>
          <w:sz w:val="24"/>
          <w:szCs w:val="24"/>
        </w:rPr>
        <w:t>Studies were retained when they provided at least one of the following: measurements of Nepalese precipitation, floods, sediment or channel change; observations of Nepalese freshwater biota in relation to season, flow, habitat or water quality; direct post-flood observations in Nepal; or empirical tests of flood mechanisms and recovery in other river systems. The latter studies were used only to explain mechanisms where Nepal-specific event data were missing, not to assign effect sizes to Nepal. Because search platforms, terminology, sampling seasons, and response variables differed, and because only a small subset used before-after designs, no meta-analysis was attempted. Table 1 identifies the inferential role and main limitation of the most relevant Nepal-specific studies.</w:t>
      </w:r>
    </w:p>
    <w:p w14:paraId="62BF0F60" w14:textId="77777777" w:rsidR="00CD51E3" w:rsidRPr="00D858FB" w:rsidRDefault="00477776">
      <w:pPr>
        <w:pStyle w:val="Heading1"/>
        <w:rPr>
          <w:color w:val="auto"/>
          <w:szCs w:val="24"/>
        </w:rPr>
      </w:pPr>
      <w:r w:rsidRPr="00D858FB">
        <w:rPr>
          <w:rFonts w:ascii="Times New Roman" w:eastAsia="Times New Roman" w:hAnsi="Times New Roman"/>
          <w:color w:val="auto"/>
          <w:szCs w:val="24"/>
        </w:rPr>
        <w:t>3.1 Hydroclimatic and geomorphic context</w:t>
      </w:r>
    </w:p>
    <w:p w14:paraId="56BDB7CE" w14:textId="77777777" w:rsidR="00171F30" w:rsidRPr="00D858FB" w:rsidRDefault="00171F30" w:rsidP="00171F30">
      <w:pPr>
        <w:rPr>
          <w:sz w:val="24"/>
          <w:szCs w:val="24"/>
        </w:rPr>
      </w:pPr>
      <w:r>
        <w:rPr>
          <w:sz w:val="24"/>
          <w:szCs w:val="24"/>
        </w:rPr>
        <w:t xml:space="preserve">Annual rainfall and timing of extremes are dominated by the monsoon, with significant spatial structure. The station data have shown that </w:t>
      </w:r>
      <w:r>
        <w:rPr>
          <w:sz w:val="24"/>
          <w:szCs w:val="24"/>
          <w:highlight w:val="yellow"/>
        </w:rPr>
        <w:t>there is a strong gradient</w:t>
      </w:r>
      <w:r>
        <w:rPr>
          <w:sz w:val="24"/>
          <w:szCs w:val="24"/>
        </w:rPr>
        <w:t xml:space="preserve"> in the Middle Hills, Himalayan front and trans-Himalayan rain shadow (</w:t>
      </w:r>
      <w:proofErr w:type="spellStart"/>
      <w:r>
        <w:rPr>
          <w:sz w:val="24"/>
          <w:szCs w:val="24"/>
        </w:rPr>
        <w:t>Kansakar</w:t>
      </w:r>
      <w:proofErr w:type="spellEnd"/>
      <w:r>
        <w:rPr>
          <w:sz w:val="24"/>
          <w:szCs w:val="24"/>
        </w:rPr>
        <w:t xml:space="preserve"> et al., 2004; </w:t>
      </w:r>
      <w:proofErr w:type="spellStart"/>
      <w:r>
        <w:rPr>
          <w:sz w:val="24"/>
          <w:szCs w:val="24"/>
        </w:rPr>
        <w:t>Talchabhadel</w:t>
      </w:r>
      <w:proofErr w:type="spellEnd"/>
      <w:r>
        <w:rPr>
          <w:sz w:val="24"/>
          <w:szCs w:val="24"/>
        </w:rPr>
        <w:t xml:space="preserve"> et al., 2018). Karki et al. (2017) reported increases in several precipitation-extreme indices at parts of the country, </w:t>
      </w:r>
      <w:r>
        <w:rPr>
          <w:sz w:val="24"/>
          <w:szCs w:val="24"/>
        </w:rPr>
        <w:lastRenderedPageBreak/>
        <w:t xml:space="preserve">while </w:t>
      </w:r>
      <w:r>
        <w:rPr>
          <w:sz w:val="24"/>
          <w:szCs w:val="24"/>
          <w:highlight w:val="yellow"/>
        </w:rPr>
        <w:t>Bohlinger and Sorteberg (2018)</w:t>
      </w:r>
      <w:r>
        <w:rPr>
          <w:sz w:val="24"/>
          <w:szCs w:val="24"/>
        </w:rPr>
        <w:t xml:space="preserve"> did not observe increases in precipitation amount or event counts in 98 stations on a national scale. </w:t>
      </w:r>
      <w:r>
        <w:rPr>
          <w:sz w:val="24"/>
          <w:szCs w:val="24"/>
          <w:highlight w:val="yellow"/>
        </w:rPr>
        <w:t>These results warn against attributing all recent floods in Nepal to a single national trend; exposure must instead be assessed at basin and event levels.</w:t>
      </w:r>
    </w:p>
    <w:p w14:paraId="4741432F" w14:textId="77777777" w:rsidR="00171F30" w:rsidRPr="00D858FB" w:rsidRDefault="00171F30" w:rsidP="00171F30">
      <w:pPr>
        <w:rPr>
          <w:sz w:val="24"/>
          <w:szCs w:val="24"/>
        </w:rPr>
      </w:pPr>
      <w:r>
        <w:rPr>
          <w:sz w:val="24"/>
          <w:szCs w:val="24"/>
        </w:rPr>
        <w:t xml:space="preserve">A common ecological risk in steep basins is a water-sediment cascade, not a clear-water flood. </w:t>
      </w:r>
      <w:r>
        <w:rPr>
          <w:sz w:val="24"/>
          <w:szCs w:val="24"/>
          <w:highlight w:val="yellow"/>
        </w:rPr>
        <w:t>Previous earthquakes and landslides</w:t>
      </w:r>
      <w:r>
        <w:rPr>
          <w:sz w:val="24"/>
          <w:szCs w:val="24"/>
        </w:rPr>
        <w:t xml:space="preserve"> have left deposits on the slopes of the </w:t>
      </w:r>
      <w:proofErr w:type="spellStart"/>
      <w:r>
        <w:rPr>
          <w:sz w:val="24"/>
          <w:szCs w:val="24"/>
        </w:rPr>
        <w:t>Melamchi</w:t>
      </w:r>
      <w:proofErr w:type="spellEnd"/>
      <w:r>
        <w:rPr>
          <w:sz w:val="24"/>
          <w:szCs w:val="24"/>
        </w:rPr>
        <w:t xml:space="preserve"> river basin; the erosion and deposition during the </w:t>
      </w:r>
      <w:proofErr w:type="spellStart"/>
      <w:r>
        <w:rPr>
          <w:sz w:val="24"/>
          <w:szCs w:val="24"/>
        </w:rPr>
        <w:t>Melamchi</w:t>
      </w:r>
      <w:proofErr w:type="spellEnd"/>
      <w:r>
        <w:rPr>
          <w:sz w:val="24"/>
          <w:szCs w:val="24"/>
        </w:rPr>
        <w:t xml:space="preserve"> flood in 2021 were documented through remote sensing and hydrological analyses and have been found to be extensive (Adhikari et al., 2023; Baniya et al., 2023; Chen et al., 2025). Baniya et al. (2024) also correlated the event with contribution from precipitation, temperature and regional runoff. </w:t>
      </w:r>
      <w:r>
        <w:rPr>
          <w:sz w:val="24"/>
          <w:szCs w:val="24"/>
          <w:highlight w:val="yellow"/>
        </w:rPr>
        <w:t>Channel disturbance that occurs after peak flow may persist beyond the flow event because of the reworking of stored sediment</w:t>
      </w:r>
      <w:r>
        <w:rPr>
          <w:sz w:val="24"/>
          <w:szCs w:val="24"/>
        </w:rPr>
        <w:t>, and biological exposure may continue for seasons following the triggering rainfall.</w:t>
      </w:r>
    </w:p>
    <w:p w14:paraId="2DBB4AC0" w14:textId="77777777" w:rsidR="00A05D44" w:rsidRPr="00D858FB" w:rsidRDefault="00171F30" w:rsidP="00171F30">
      <w:pPr>
        <w:rPr>
          <w:sz w:val="24"/>
          <w:szCs w:val="24"/>
        </w:rPr>
      </w:pPr>
      <w:r>
        <w:rPr>
          <w:sz w:val="24"/>
          <w:szCs w:val="24"/>
        </w:rPr>
        <w:t xml:space="preserve">Cascades can alter channel features, such as infilling pools, aggrading or migrating riffles, bank erosion, opening or closing side channels, and infiltration of fine sediment into coarse substrates. Ecological impacts are related to the presence or absence of a mosaic of hydraulic habitats in the post-flood landscape. A short pulse can become a </w:t>
      </w:r>
      <w:r>
        <w:rPr>
          <w:sz w:val="24"/>
          <w:szCs w:val="24"/>
          <w:highlight w:val="yellow"/>
        </w:rPr>
        <w:t>long-term constraint</w:t>
      </w:r>
      <w:r>
        <w:rPr>
          <w:sz w:val="24"/>
          <w:szCs w:val="24"/>
        </w:rPr>
        <w:t xml:space="preserve"> in recovery </w:t>
      </w:r>
      <w:r>
        <w:rPr>
          <w:sz w:val="24"/>
          <w:szCs w:val="24"/>
          <w:highlight w:val="yellow"/>
        </w:rPr>
        <w:t>because engineering separates tributaries, backwaters, floodplain ponds, vegetated margins, and hyporheic spaces from the river</w:t>
      </w:r>
      <w:r>
        <w:rPr>
          <w:sz w:val="24"/>
          <w:szCs w:val="24"/>
        </w:rPr>
        <w:t>.</w:t>
      </w:r>
    </w:p>
    <w:p w14:paraId="052F7814" w14:textId="77777777" w:rsidR="00CD51E3" w:rsidRPr="00D858FB" w:rsidRDefault="00477776">
      <w:pPr>
        <w:pStyle w:val="Heading1"/>
        <w:rPr>
          <w:color w:val="auto"/>
          <w:szCs w:val="24"/>
        </w:rPr>
      </w:pPr>
      <w:r w:rsidRPr="00D858FB">
        <w:rPr>
          <w:rFonts w:ascii="Times New Roman" w:eastAsia="Times New Roman" w:hAnsi="Times New Roman"/>
          <w:color w:val="auto"/>
          <w:szCs w:val="24"/>
        </w:rPr>
        <w:t>4.1 Mechanisms affecting aquatic fauna</w:t>
      </w:r>
    </w:p>
    <w:p w14:paraId="091E3FF5" w14:textId="77777777" w:rsidR="00CD51E3" w:rsidRPr="00D858FB" w:rsidRDefault="00477776">
      <w:pPr>
        <w:pStyle w:val="Heading2"/>
        <w:rPr>
          <w:color w:val="auto"/>
          <w:sz w:val="24"/>
          <w:szCs w:val="24"/>
        </w:rPr>
      </w:pPr>
      <w:r w:rsidRPr="00D858FB">
        <w:rPr>
          <w:rFonts w:ascii="Times New Roman" w:eastAsia="Times New Roman" w:hAnsi="Times New Roman"/>
          <w:color w:val="auto"/>
          <w:sz w:val="24"/>
          <w:szCs w:val="24"/>
        </w:rPr>
        <w:t>4.1.1 Hydraulic stress, drift, displacement, and stranding</w:t>
      </w:r>
    </w:p>
    <w:p w14:paraId="68883F51" w14:textId="77777777" w:rsidR="00CD51E3" w:rsidRPr="00D858FB" w:rsidRDefault="00000000">
      <w:pPr>
        <w:rPr>
          <w:sz w:val="24"/>
          <w:szCs w:val="24"/>
        </w:rPr>
      </w:pPr>
      <w:r>
        <w:rPr>
          <w:rFonts w:eastAsia="Times New Roman"/>
          <w:sz w:val="24"/>
          <w:szCs w:val="24"/>
        </w:rPr>
        <w:t xml:space="preserve">Rapidly rising discharge increases shear stress and near-bed velocity. Benthic animals may enter the drift actively or be dislodged; fishes may move into margins and tributaries, be transported downstream, or be isolated when waters recede. Natural and experimental disturbances have produced habitat-specific benthic responses, while experimental floods in a regulated </w:t>
      </w:r>
      <w:proofErr w:type="gramStart"/>
      <w:r>
        <w:rPr>
          <w:rFonts w:eastAsia="Times New Roman"/>
          <w:sz w:val="24"/>
          <w:szCs w:val="24"/>
        </w:rPr>
        <w:t>Alpine river</w:t>
      </w:r>
      <w:proofErr w:type="gramEnd"/>
      <w:r>
        <w:rPr>
          <w:rFonts w:eastAsia="Times New Roman"/>
          <w:sz w:val="24"/>
          <w:szCs w:val="24"/>
        </w:rPr>
        <w:t xml:space="preserve"> reduced benthic density by </w:t>
      </w:r>
      <w:r>
        <w:rPr>
          <w:rFonts w:eastAsia="Times New Roman"/>
          <w:sz w:val="24"/>
          <w:szCs w:val="24"/>
          <w:highlight w:val="yellow"/>
        </w:rPr>
        <w:t>14–92%</w:t>
      </w:r>
      <w:r>
        <w:rPr>
          <w:rFonts w:eastAsia="Times New Roman"/>
          <w:sz w:val="24"/>
          <w:szCs w:val="24"/>
        </w:rPr>
        <w:t xml:space="preserve"> </w:t>
      </w:r>
      <w:r>
        <w:rPr>
          <w:rFonts w:eastAsia="Times New Roman"/>
          <w:sz w:val="24"/>
          <w:szCs w:val="24"/>
          <w:highlight w:val="yellow"/>
        </w:rPr>
        <w:t>depending on flood magnitude and habitat, and transported</w:t>
      </w:r>
      <w:r>
        <w:rPr>
          <w:rFonts w:eastAsia="Times New Roman"/>
          <w:sz w:val="24"/>
          <w:szCs w:val="24"/>
        </w:rPr>
        <w:t xml:space="preserve"> tens to hundreds of millions of invertebrates (Matthaei et al., 1997; Robinson et al., 2004). Flow refugia within coarse margins and sheltered patches can reduce losses (Rempel et al., 1999).</w:t>
      </w:r>
    </w:p>
    <w:p w14:paraId="4DF1F1CC" w14:textId="77777777" w:rsidR="00CD51E3" w:rsidRPr="00D858FB" w:rsidRDefault="00000000">
      <w:pPr>
        <w:rPr>
          <w:sz w:val="24"/>
          <w:szCs w:val="24"/>
        </w:rPr>
      </w:pPr>
      <w:r>
        <w:rPr>
          <w:rFonts w:eastAsia="Times New Roman"/>
          <w:sz w:val="24"/>
          <w:szCs w:val="24"/>
        </w:rPr>
        <w:t xml:space="preserve">Fish responses are likewise heterogeneous. An extreme Mediterranean flash flood caused little change in overall richness or rank abundance but reduced small cyprinids (Pires et al., 2008). Sequential floods in a prairie stream reduced abundance by about half after the first event, with effects differing among pools and schooling taxa (Wesner, 2011). In tropical island streams, native fish assemblages recovered rapidly through recruitment and </w:t>
      </w:r>
      <w:proofErr w:type="spellStart"/>
      <w:r>
        <w:rPr>
          <w:rFonts w:eastAsia="Times New Roman"/>
          <w:sz w:val="24"/>
          <w:szCs w:val="24"/>
          <w:highlight w:val="yellow"/>
        </w:rPr>
        <w:t>recolonisation</w:t>
      </w:r>
      <w:proofErr w:type="spellEnd"/>
      <w:r>
        <w:rPr>
          <w:rFonts w:eastAsia="Times New Roman"/>
          <w:sz w:val="24"/>
          <w:szCs w:val="24"/>
        </w:rPr>
        <w:t xml:space="preserve"> (Smith &amp; Kwak, 2015). These studies show why a flood footprint cannot be equated automatically with population </w:t>
      </w:r>
      <w:r>
        <w:rPr>
          <w:rFonts w:eastAsia="Times New Roman"/>
          <w:sz w:val="24"/>
          <w:szCs w:val="24"/>
        </w:rPr>
        <w:lastRenderedPageBreak/>
        <w:t>mortality: displacement, local mortality, and rapid return may produce similar single-date observations.</w:t>
      </w:r>
    </w:p>
    <w:p w14:paraId="55D6041D" w14:textId="77777777" w:rsidR="00CD51E3" w:rsidRPr="00D858FB" w:rsidRDefault="00CA2762">
      <w:pPr>
        <w:pStyle w:val="Heading2"/>
        <w:rPr>
          <w:color w:val="auto"/>
          <w:sz w:val="24"/>
          <w:szCs w:val="24"/>
        </w:rPr>
      </w:pPr>
      <w:r w:rsidRPr="00D858FB">
        <w:rPr>
          <w:rFonts w:ascii="Times New Roman" w:eastAsia="Times New Roman" w:hAnsi="Times New Roman"/>
          <w:color w:val="auto"/>
          <w:sz w:val="24"/>
          <w:szCs w:val="24"/>
        </w:rPr>
        <w:t>4.1.2 Scour, burial, turbidity, and food-web disruption</w:t>
      </w:r>
    </w:p>
    <w:p w14:paraId="0E68A0AF" w14:textId="77777777" w:rsidR="00CD51E3" w:rsidRPr="00D858FB" w:rsidRDefault="00000000">
      <w:pPr>
        <w:rPr>
          <w:sz w:val="24"/>
          <w:szCs w:val="24"/>
        </w:rPr>
      </w:pPr>
      <w:r>
        <w:rPr>
          <w:rFonts w:eastAsia="Times New Roman"/>
          <w:sz w:val="24"/>
          <w:szCs w:val="24"/>
        </w:rPr>
        <w:t xml:space="preserve">Bed </w:t>
      </w:r>
      <w:proofErr w:type="spellStart"/>
      <w:r>
        <w:rPr>
          <w:rFonts w:eastAsia="Times New Roman"/>
          <w:sz w:val="24"/>
          <w:szCs w:val="24"/>
          <w:highlight w:val="yellow"/>
        </w:rPr>
        <w:t>mobilisation</w:t>
      </w:r>
      <w:proofErr w:type="spellEnd"/>
      <w:r>
        <w:rPr>
          <w:rFonts w:eastAsia="Times New Roman"/>
          <w:sz w:val="24"/>
          <w:szCs w:val="24"/>
        </w:rPr>
        <w:t xml:space="preserve"> can crush or export invertebrates, remove periphyton, and disturb eggs and larvae in gravel. Fine sediment deposited during the falling limb can fill interstices, reduce oxygen exchange, and cover feeding and spawning surfaces. Suspended-sediment releases in an Alpine stream changed fish and macroinvertebrate communities, providing an empirical analogue for the biological stress caused by sediment-rich natural floods (Crosa et al., 2010). Catastrophic flood and debris-flow effects on Appalachian stream macroinvertebrates persisted beyond the immediate event and varied with geomorphic damage (Snyder &amp; Johnson, 2006).</w:t>
      </w:r>
    </w:p>
    <w:p w14:paraId="5EE90C60" w14:textId="77777777" w:rsidR="00CD51E3" w:rsidRPr="00D858FB" w:rsidRDefault="00000000">
      <w:pPr>
        <w:rPr>
          <w:sz w:val="24"/>
          <w:szCs w:val="24"/>
        </w:rPr>
      </w:pPr>
      <w:r>
        <w:rPr>
          <w:rFonts w:eastAsia="Times New Roman"/>
          <w:sz w:val="24"/>
          <w:szCs w:val="24"/>
        </w:rPr>
        <w:t xml:space="preserve">Primary producers and detrital resources can be reset at the same time as consumers. In Sycamore Creek, a flash flood removed nearly all invertebrate standing crop and algae, but physical conditions returned within days and biota recovered within weeks (Fisher et al., 1982). A temperate lowland-river study likewise documented taxon-specific benthic responses to a summer flood (Chattopadhyay et al., 2021). Recovery can be fast when sources of colonists and </w:t>
      </w:r>
      <w:proofErr w:type="spellStart"/>
      <w:r>
        <w:rPr>
          <w:rFonts w:eastAsia="Times New Roman"/>
          <w:sz w:val="24"/>
          <w:szCs w:val="24"/>
          <w:highlight w:val="yellow"/>
        </w:rPr>
        <w:t>favourable</w:t>
      </w:r>
      <w:proofErr w:type="spellEnd"/>
      <w:r>
        <w:rPr>
          <w:rFonts w:eastAsia="Times New Roman"/>
          <w:sz w:val="24"/>
          <w:szCs w:val="24"/>
          <w:highlight w:val="yellow"/>
        </w:rPr>
        <w:t xml:space="preserve"> post-flood conditions</w:t>
      </w:r>
      <w:r>
        <w:rPr>
          <w:rFonts w:eastAsia="Times New Roman"/>
          <w:sz w:val="24"/>
          <w:szCs w:val="24"/>
        </w:rPr>
        <w:t xml:space="preserve"> remain. By contrast, repeated fine-sediment delivery, sewage, pesticides, or </w:t>
      </w:r>
      <w:proofErr w:type="spellStart"/>
      <w:r>
        <w:rPr>
          <w:rFonts w:eastAsia="Times New Roman"/>
          <w:sz w:val="24"/>
          <w:szCs w:val="24"/>
          <w:highlight w:val="yellow"/>
        </w:rPr>
        <w:t>channelisation</w:t>
      </w:r>
      <w:proofErr w:type="spellEnd"/>
      <w:r>
        <w:rPr>
          <w:rFonts w:eastAsia="Times New Roman"/>
          <w:sz w:val="24"/>
          <w:szCs w:val="24"/>
        </w:rPr>
        <w:t xml:space="preserve"> can prevent the system from following this trajectory. A Nepalese assessment should therefore measure both acute removal and the condition of the post-flood habitat template.</w:t>
      </w:r>
    </w:p>
    <w:p w14:paraId="2D8C9E8F" w14:textId="77777777" w:rsidR="00CD51E3" w:rsidRPr="00D858FB" w:rsidRDefault="00CA2762">
      <w:pPr>
        <w:pStyle w:val="Heading2"/>
        <w:rPr>
          <w:color w:val="auto"/>
          <w:sz w:val="24"/>
          <w:szCs w:val="24"/>
        </w:rPr>
      </w:pPr>
      <w:r w:rsidRPr="00D858FB">
        <w:rPr>
          <w:rFonts w:ascii="Times New Roman" w:eastAsia="Times New Roman" w:hAnsi="Times New Roman"/>
          <w:color w:val="auto"/>
          <w:sz w:val="24"/>
          <w:szCs w:val="24"/>
        </w:rPr>
        <w:t>4.1.3 Water-quality pulses and delayed stress</w:t>
      </w:r>
    </w:p>
    <w:p w14:paraId="06ABAC12" w14:textId="77777777" w:rsidR="00EE3C7D" w:rsidRPr="00D858FB" w:rsidRDefault="00EE3C7D">
      <w:pPr>
        <w:rPr>
          <w:sz w:val="24"/>
          <w:szCs w:val="24"/>
        </w:rPr>
      </w:pPr>
      <w:r>
        <w:rPr>
          <w:sz w:val="24"/>
          <w:szCs w:val="24"/>
        </w:rPr>
        <w:t xml:space="preserve">Floodwater contains material from hillslopes, settlements, farms, roads, waste sites and damaged infrastructure. </w:t>
      </w:r>
      <w:r>
        <w:rPr>
          <w:sz w:val="24"/>
          <w:szCs w:val="24"/>
          <w:highlight w:val="yellow"/>
        </w:rPr>
        <w:t>Flushes can increase levels of suspended solids, nutrients, pathogens, hydrocarbons, and pesticides, while temporarily diluting some solutes.</w:t>
      </w:r>
      <w:r>
        <w:rPr>
          <w:sz w:val="24"/>
          <w:szCs w:val="24"/>
        </w:rPr>
        <w:t xml:space="preserve"> As the organic matter deposits, </w:t>
      </w:r>
      <w:r>
        <w:rPr>
          <w:sz w:val="24"/>
          <w:szCs w:val="24"/>
          <w:highlight w:val="yellow"/>
        </w:rPr>
        <w:t>it can decompose, further increasing oxygen demand.</w:t>
      </w:r>
      <w:r>
        <w:rPr>
          <w:sz w:val="24"/>
          <w:szCs w:val="24"/>
        </w:rPr>
        <w:t xml:space="preserve"> The dissolved oxygen, conductivity and nutrients in the water are significantly correlated with </w:t>
      </w:r>
      <w:r>
        <w:rPr>
          <w:sz w:val="24"/>
          <w:szCs w:val="24"/>
          <w:highlight w:val="yellow"/>
        </w:rPr>
        <w:t>Nepalese fish assemblages (Edds, 1993; Pokharel et al., 2018; Limbu et al., 2020)</w:t>
      </w:r>
      <w:r>
        <w:rPr>
          <w:sz w:val="24"/>
          <w:szCs w:val="24"/>
        </w:rPr>
        <w:t>. Therefore, post-flood deterioration in water quality is a plausible stressor but needs event-specific sampling to confirm that it is the cause of mortality.</w:t>
      </w:r>
    </w:p>
    <w:p w14:paraId="02F4D308" w14:textId="77777777" w:rsidR="00CD51E3" w:rsidRPr="00D858FB" w:rsidRDefault="008527CE">
      <w:pPr>
        <w:pStyle w:val="Heading2"/>
        <w:rPr>
          <w:color w:val="auto"/>
          <w:sz w:val="24"/>
          <w:szCs w:val="24"/>
        </w:rPr>
      </w:pPr>
      <w:r w:rsidRPr="00D858FB">
        <w:rPr>
          <w:rFonts w:ascii="Times New Roman" w:eastAsia="Times New Roman" w:hAnsi="Times New Roman"/>
          <w:color w:val="auto"/>
          <w:sz w:val="24"/>
          <w:szCs w:val="24"/>
        </w:rPr>
        <w:t>4.1.4 Connectivity: ecological benefit and pathway of risk</w:t>
      </w:r>
    </w:p>
    <w:p w14:paraId="05509EFE" w14:textId="77777777" w:rsidR="00340B31" w:rsidRPr="00D858FB" w:rsidRDefault="00340B31">
      <w:pPr>
        <w:rPr>
          <w:sz w:val="24"/>
          <w:szCs w:val="24"/>
        </w:rPr>
      </w:pPr>
      <w:r>
        <w:rPr>
          <w:sz w:val="24"/>
          <w:szCs w:val="24"/>
          <w:highlight w:val="yellow"/>
        </w:rPr>
        <w:t>Seasonal inundation links main channels, tributaries, and floodplain wetlands, increases feeding habitat, and allows movement.</w:t>
      </w:r>
      <w:r>
        <w:rPr>
          <w:sz w:val="24"/>
          <w:szCs w:val="24"/>
        </w:rPr>
        <w:t xml:space="preserve"> Floods can therefore enhance habitat availability </w:t>
      </w:r>
      <w:r>
        <w:rPr>
          <w:sz w:val="24"/>
          <w:szCs w:val="24"/>
          <w:highlight w:val="yellow"/>
        </w:rPr>
        <w:t>while also affecting specific patches</w:t>
      </w:r>
      <w:r>
        <w:rPr>
          <w:sz w:val="24"/>
          <w:szCs w:val="24"/>
        </w:rPr>
        <w:t xml:space="preserve">. The composition of macrophytes was found to be related to hydrological alteration in Koshi </w:t>
      </w:r>
      <w:proofErr w:type="spellStart"/>
      <w:r>
        <w:rPr>
          <w:sz w:val="24"/>
          <w:szCs w:val="24"/>
        </w:rPr>
        <w:t>Tappu</w:t>
      </w:r>
      <w:proofErr w:type="spellEnd"/>
      <w:r>
        <w:rPr>
          <w:sz w:val="24"/>
          <w:szCs w:val="24"/>
        </w:rPr>
        <w:t xml:space="preserve"> wetlands, </w:t>
      </w:r>
      <w:r>
        <w:rPr>
          <w:sz w:val="24"/>
          <w:szCs w:val="24"/>
          <w:highlight w:val="yellow"/>
        </w:rPr>
        <w:t>indicating that floodplain community composition follows water-level regimes rather than simply the presence or absence of floodplain inundation</w:t>
      </w:r>
      <w:r>
        <w:rPr>
          <w:sz w:val="24"/>
          <w:szCs w:val="24"/>
        </w:rPr>
        <w:t xml:space="preserve"> (Regmi et al., 2021). Deep channels, confluences and uninterrupted flow are critical for Ganges River </w:t>
      </w:r>
      <w:r>
        <w:rPr>
          <w:sz w:val="24"/>
          <w:szCs w:val="24"/>
        </w:rPr>
        <w:lastRenderedPageBreak/>
        <w:t>dolphins, and irrigation withdrawal and fishing pressure are complementary, with a reduction in these critical habitat components during low water (Paudel et al., 2015; Khanal et al., 2016). Conservation is therefore not about flood control, but keeping safe and connected refuges during both high and low-flow conditions (Figure 1).</w:t>
      </w:r>
    </w:p>
    <w:p w14:paraId="00F03BE3" w14:textId="77777777" w:rsidR="00CD51E3" w:rsidRPr="00D858FB" w:rsidRDefault="008527CE">
      <w:pPr>
        <w:pStyle w:val="Heading1"/>
        <w:rPr>
          <w:color w:val="auto"/>
          <w:szCs w:val="24"/>
        </w:rPr>
      </w:pPr>
      <w:r>
        <w:rPr>
          <w:rFonts w:ascii="Times New Roman" w:eastAsia="Times New Roman" w:hAnsi="Times New Roman"/>
          <w:color w:val="auto"/>
          <w:szCs w:val="24"/>
          <w:highlight w:val="yellow"/>
        </w:rPr>
        <w:t>5.1 Evidence from Nepalese aquatic communities</w:t>
      </w:r>
    </w:p>
    <w:p w14:paraId="1B36341F" w14:textId="77777777" w:rsidR="00CD51E3" w:rsidRPr="00D858FB" w:rsidRDefault="00BD3F6E">
      <w:pPr>
        <w:pStyle w:val="Heading2"/>
        <w:rPr>
          <w:color w:val="auto"/>
          <w:sz w:val="24"/>
          <w:szCs w:val="24"/>
        </w:rPr>
      </w:pPr>
      <w:r w:rsidRPr="00D858FB">
        <w:rPr>
          <w:rFonts w:ascii="Times New Roman" w:eastAsia="Times New Roman" w:hAnsi="Times New Roman"/>
          <w:color w:val="auto"/>
          <w:sz w:val="24"/>
          <w:szCs w:val="24"/>
        </w:rPr>
        <w:t>5.1.1 Benthic macroinvertebrates</w:t>
      </w:r>
    </w:p>
    <w:p w14:paraId="097A4A7B" w14:textId="77777777" w:rsidR="002172A2" w:rsidRPr="00D858FB" w:rsidRDefault="002172A2" w:rsidP="002172A2">
      <w:pPr>
        <w:rPr>
          <w:sz w:val="24"/>
          <w:szCs w:val="24"/>
        </w:rPr>
      </w:pPr>
      <w:r>
        <w:rPr>
          <w:sz w:val="24"/>
          <w:szCs w:val="24"/>
        </w:rPr>
        <w:t xml:space="preserve">Brewin et al. (2000) is a direct Nepalese example of the effects of the monsoon floods. </w:t>
      </w:r>
      <w:r>
        <w:rPr>
          <w:sz w:val="24"/>
          <w:szCs w:val="24"/>
          <w:highlight w:val="yellow"/>
        </w:rPr>
        <w:t>Sixteen streams</w:t>
      </w:r>
      <w:r>
        <w:rPr>
          <w:sz w:val="24"/>
          <w:szCs w:val="24"/>
        </w:rPr>
        <w:t xml:space="preserve">, ranging from 600 to 3800 m elevation, were sampled </w:t>
      </w:r>
      <w:r>
        <w:rPr>
          <w:sz w:val="24"/>
          <w:szCs w:val="24"/>
          <w:highlight w:val="yellow"/>
        </w:rPr>
        <w:t>across seasons and land-use types</w:t>
      </w:r>
      <w:r>
        <w:rPr>
          <w:sz w:val="24"/>
          <w:szCs w:val="24"/>
        </w:rPr>
        <w:t xml:space="preserve">. In low-altitude agricultural areas, benthic density decreased by 77% from winter to pre-monsoon and by a further 14% during monsoon, whereas benthic richness decreased by 20% from winter to pre-monsoon and by 5% during monsoon. The decrease in benthic density was not statistically significant during the monsoon season, as the numbers were already low, but the absolute loss in density was high. The authors found no evidence that predictable monsoon floods acted as </w:t>
      </w:r>
      <w:r>
        <w:rPr>
          <w:sz w:val="24"/>
          <w:szCs w:val="24"/>
          <w:highlight w:val="yellow"/>
        </w:rPr>
        <w:t>a single major disturbance</w:t>
      </w:r>
      <w:r>
        <w:rPr>
          <w:sz w:val="24"/>
          <w:szCs w:val="24"/>
        </w:rPr>
        <w:t xml:space="preserve"> and interpreted the pattern as seasonal adjustment, </w:t>
      </w:r>
      <w:r>
        <w:rPr>
          <w:sz w:val="24"/>
          <w:szCs w:val="24"/>
          <w:highlight w:val="yellow"/>
        </w:rPr>
        <w:t xml:space="preserve">while </w:t>
      </w:r>
      <w:proofErr w:type="spellStart"/>
      <w:r>
        <w:rPr>
          <w:sz w:val="24"/>
          <w:szCs w:val="24"/>
          <w:highlight w:val="yellow"/>
        </w:rPr>
        <w:t>emphasising</w:t>
      </w:r>
      <w:proofErr w:type="spellEnd"/>
      <w:r>
        <w:rPr>
          <w:sz w:val="24"/>
          <w:szCs w:val="24"/>
        </w:rPr>
        <w:t xml:space="preserve"> that </w:t>
      </w:r>
      <w:r>
        <w:rPr>
          <w:sz w:val="24"/>
          <w:szCs w:val="24"/>
          <w:highlight w:val="yellow"/>
        </w:rPr>
        <w:t xml:space="preserve">land use </w:t>
      </w:r>
      <w:proofErr w:type="spellStart"/>
      <w:r>
        <w:rPr>
          <w:sz w:val="24"/>
          <w:szCs w:val="24"/>
          <w:highlight w:val="yellow"/>
        </w:rPr>
        <w:t>destabilised</w:t>
      </w:r>
      <w:proofErr w:type="spellEnd"/>
      <w:r>
        <w:rPr>
          <w:sz w:val="24"/>
          <w:szCs w:val="24"/>
          <w:highlight w:val="yellow"/>
        </w:rPr>
        <w:t xml:space="preserve"> communities</w:t>
      </w:r>
      <w:r>
        <w:rPr>
          <w:sz w:val="24"/>
          <w:szCs w:val="24"/>
        </w:rPr>
        <w:t>.</w:t>
      </w:r>
    </w:p>
    <w:p w14:paraId="33881821" w14:textId="77777777" w:rsidR="002172A2" w:rsidRPr="00D858FB" w:rsidRDefault="002172A2" w:rsidP="002172A2">
      <w:pPr>
        <w:rPr>
          <w:sz w:val="24"/>
          <w:szCs w:val="24"/>
        </w:rPr>
      </w:pPr>
      <w:r>
        <w:rPr>
          <w:sz w:val="24"/>
          <w:szCs w:val="24"/>
          <w:highlight w:val="yellow"/>
        </w:rPr>
        <w:t xml:space="preserve">This is not a </w:t>
      </w:r>
      <w:proofErr w:type="spellStart"/>
      <w:r>
        <w:rPr>
          <w:sz w:val="24"/>
          <w:szCs w:val="24"/>
          <w:highlight w:val="yellow"/>
        </w:rPr>
        <w:t>generalisation</w:t>
      </w:r>
      <w:proofErr w:type="spellEnd"/>
      <w:r>
        <w:rPr>
          <w:sz w:val="24"/>
          <w:szCs w:val="24"/>
          <w:highlight w:val="yellow"/>
        </w:rPr>
        <w:t xml:space="preserve"> to cloudburst-triggered debris floods.</w:t>
      </w:r>
      <w:r>
        <w:rPr>
          <w:sz w:val="24"/>
          <w:szCs w:val="24"/>
        </w:rPr>
        <w:t xml:space="preserve"> The study looked at seasonal monsoon dynamics, rather than an extreme event with event-scale sediment measurements. </w:t>
      </w:r>
      <w:r>
        <w:rPr>
          <w:sz w:val="24"/>
          <w:szCs w:val="24"/>
          <w:highlight w:val="yellow"/>
        </w:rPr>
        <w:t>It does provide a baseline, however, indicating that a low post-monsoon catch should not be interpreted as catastrophic damage unless pre-event seasonality and catchment condition are considered.</w:t>
      </w:r>
      <w:r>
        <w:rPr>
          <w:sz w:val="24"/>
          <w:szCs w:val="24"/>
        </w:rPr>
        <w:t xml:space="preserve"> Previous surveys indicated that altitude, land use, and habitat and water chemistry </w:t>
      </w:r>
      <w:r>
        <w:rPr>
          <w:sz w:val="24"/>
          <w:szCs w:val="24"/>
          <w:highlight w:val="yellow"/>
        </w:rPr>
        <w:t>structure Nepalese stream communities</w:t>
      </w:r>
      <w:r>
        <w:rPr>
          <w:sz w:val="24"/>
          <w:szCs w:val="24"/>
        </w:rPr>
        <w:t xml:space="preserve"> (Rundle et al., 1993; Suren, 1994). Seasonal variability and long-term change have also been observed </w:t>
      </w:r>
      <w:r>
        <w:rPr>
          <w:sz w:val="24"/>
          <w:szCs w:val="24"/>
          <w:highlight w:val="yellow"/>
        </w:rPr>
        <w:t xml:space="preserve">during recent resampling of streams in the Himalayas, which further </w:t>
      </w:r>
      <w:proofErr w:type="spellStart"/>
      <w:r>
        <w:rPr>
          <w:sz w:val="24"/>
          <w:szCs w:val="24"/>
          <w:highlight w:val="yellow"/>
        </w:rPr>
        <w:t>emphasises</w:t>
      </w:r>
      <w:proofErr w:type="spellEnd"/>
      <w:r>
        <w:rPr>
          <w:sz w:val="24"/>
          <w:szCs w:val="24"/>
        </w:rPr>
        <w:t xml:space="preserve"> the importance of multi-temporal reference sampling (Jacobsen et al., 2024).</w:t>
      </w:r>
    </w:p>
    <w:p w14:paraId="0712781B" w14:textId="77777777" w:rsidR="002172A2" w:rsidRPr="00D858FB" w:rsidRDefault="002172A2" w:rsidP="002172A2">
      <w:pPr>
        <w:rPr>
          <w:sz w:val="24"/>
          <w:szCs w:val="24"/>
        </w:rPr>
      </w:pPr>
      <w:r>
        <w:rPr>
          <w:sz w:val="24"/>
          <w:szCs w:val="24"/>
        </w:rPr>
        <w:t>The spatial baseline is extended with contemporary studies. Tributary and main-stem reaches of the Karnali basin had distinct macroinvertebrate assemblage patterns, related to stream order and environmental gradients (</w:t>
      </w:r>
      <w:proofErr w:type="spellStart"/>
      <w:r>
        <w:rPr>
          <w:sz w:val="24"/>
          <w:szCs w:val="24"/>
        </w:rPr>
        <w:t>Tachamo</w:t>
      </w:r>
      <w:proofErr w:type="spellEnd"/>
      <w:r>
        <w:rPr>
          <w:sz w:val="24"/>
          <w:szCs w:val="24"/>
        </w:rPr>
        <w:t xml:space="preserve"> Shah et al., 2020b). </w:t>
      </w:r>
      <w:r>
        <w:rPr>
          <w:sz w:val="24"/>
          <w:szCs w:val="24"/>
          <w:highlight w:val="yellow"/>
        </w:rPr>
        <w:t xml:space="preserve">Surveys of the </w:t>
      </w:r>
      <w:proofErr w:type="spellStart"/>
      <w:r>
        <w:rPr>
          <w:sz w:val="24"/>
          <w:szCs w:val="24"/>
          <w:highlight w:val="yellow"/>
        </w:rPr>
        <w:t>Bheri</w:t>
      </w:r>
      <w:proofErr w:type="spellEnd"/>
      <w:r>
        <w:rPr>
          <w:sz w:val="24"/>
          <w:szCs w:val="24"/>
          <w:highlight w:val="yellow"/>
        </w:rPr>
        <w:t xml:space="preserve"> and Babai Rivers recorded 56 families, with significant differences between basins and seasons</w:t>
      </w:r>
      <w:r>
        <w:rPr>
          <w:sz w:val="24"/>
          <w:szCs w:val="24"/>
        </w:rPr>
        <w:t xml:space="preserve"> (Khatri et al., 2022). The study of Kamala River also showed a difference in richness and community composition throughout the seasons (</w:t>
      </w:r>
      <w:proofErr w:type="spellStart"/>
      <w:r>
        <w:rPr>
          <w:sz w:val="24"/>
          <w:szCs w:val="24"/>
        </w:rPr>
        <w:t>Tachamo</w:t>
      </w:r>
      <w:proofErr w:type="spellEnd"/>
      <w:r>
        <w:rPr>
          <w:sz w:val="24"/>
          <w:szCs w:val="24"/>
        </w:rPr>
        <w:t xml:space="preserve"> Shah et al., 2024). These datasets can be used for </w:t>
      </w:r>
      <w:r>
        <w:rPr>
          <w:sz w:val="24"/>
          <w:szCs w:val="24"/>
          <w:highlight w:val="yellow"/>
        </w:rPr>
        <w:t>post-event comparison</w:t>
      </w:r>
      <w:r>
        <w:rPr>
          <w:sz w:val="24"/>
          <w:szCs w:val="24"/>
        </w:rPr>
        <w:t xml:space="preserve"> </w:t>
      </w:r>
      <w:r>
        <w:rPr>
          <w:sz w:val="24"/>
          <w:szCs w:val="24"/>
          <w:highlight w:val="yellow"/>
        </w:rPr>
        <w:t>but none can isolate a cloudburst effect</w:t>
      </w:r>
      <w:r>
        <w:rPr>
          <w:sz w:val="24"/>
          <w:szCs w:val="24"/>
        </w:rPr>
        <w:t>.</w:t>
      </w:r>
    </w:p>
    <w:p w14:paraId="6A9651ED" w14:textId="77777777" w:rsidR="002172A2" w:rsidRPr="00D858FB" w:rsidRDefault="002172A2" w:rsidP="002172A2">
      <w:pPr>
        <w:rPr>
          <w:sz w:val="24"/>
          <w:szCs w:val="24"/>
        </w:rPr>
      </w:pPr>
      <w:r>
        <w:rPr>
          <w:sz w:val="24"/>
          <w:szCs w:val="24"/>
        </w:rPr>
        <w:t xml:space="preserve">There is evidence from other rivers that recovery can take from a few weeks to 1 year or more </w:t>
      </w:r>
      <w:r>
        <w:rPr>
          <w:sz w:val="24"/>
          <w:szCs w:val="24"/>
          <w:highlight w:val="yellow"/>
        </w:rPr>
        <w:t>depending on disturbance severity and habitat condition</w:t>
      </w:r>
      <w:r>
        <w:rPr>
          <w:sz w:val="24"/>
          <w:szCs w:val="24"/>
        </w:rPr>
        <w:t xml:space="preserve">. </w:t>
      </w:r>
      <w:r>
        <w:rPr>
          <w:sz w:val="24"/>
          <w:szCs w:val="24"/>
          <w:highlight w:val="yellow"/>
        </w:rPr>
        <w:t>Recovery to pre-flood metric conditions occurred</w:t>
      </w:r>
      <w:r>
        <w:rPr>
          <w:sz w:val="24"/>
          <w:szCs w:val="24"/>
        </w:rPr>
        <w:t xml:space="preserve"> within approximately 1 year after extreme floods in a Catskill Mountain River (Smith et </w:t>
      </w:r>
      <w:r>
        <w:rPr>
          <w:sz w:val="24"/>
          <w:szCs w:val="24"/>
        </w:rPr>
        <w:lastRenderedPageBreak/>
        <w:t xml:space="preserve">al., 2019) and event- and site-specific responses were found for Vermont streams (Stamp et al., 2020). However, in a New Zealand gravel-bed river, flood and low-flow effects were different for different habitats and taxa (Suren &amp; Jowett, 2006). Therefore, abundance, richness, trait composition and habitat-specific density </w:t>
      </w:r>
      <w:r>
        <w:rPr>
          <w:sz w:val="24"/>
          <w:szCs w:val="24"/>
          <w:highlight w:val="yellow"/>
        </w:rPr>
        <w:t>should continue to be monitored</w:t>
      </w:r>
      <w:r>
        <w:rPr>
          <w:sz w:val="24"/>
          <w:szCs w:val="24"/>
        </w:rPr>
        <w:t xml:space="preserve"> in Nepal instead of a single biotic index.</w:t>
      </w:r>
    </w:p>
    <w:p w14:paraId="23D1D671" w14:textId="77777777" w:rsidR="00CD51E3" w:rsidRPr="00D858FB" w:rsidRDefault="00BD3F6E">
      <w:pPr>
        <w:pStyle w:val="Heading2"/>
        <w:rPr>
          <w:color w:val="auto"/>
          <w:sz w:val="24"/>
          <w:szCs w:val="24"/>
        </w:rPr>
      </w:pPr>
      <w:r w:rsidRPr="00D858FB">
        <w:rPr>
          <w:rFonts w:ascii="Times New Roman" w:eastAsia="Times New Roman" w:hAnsi="Times New Roman"/>
          <w:color w:val="auto"/>
          <w:sz w:val="24"/>
          <w:szCs w:val="24"/>
        </w:rPr>
        <w:t>5.1.2 Fishes</w:t>
      </w:r>
    </w:p>
    <w:p w14:paraId="441C670C" w14:textId="77777777" w:rsidR="00CD51E3" w:rsidRPr="00D858FB" w:rsidRDefault="00000000">
      <w:pPr>
        <w:rPr>
          <w:sz w:val="24"/>
          <w:szCs w:val="24"/>
        </w:rPr>
      </w:pPr>
      <w:r>
        <w:rPr>
          <w:rFonts w:eastAsia="Times New Roman"/>
          <w:sz w:val="24"/>
          <w:szCs w:val="24"/>
        </w:rPr>
        <w:t xml:space="preserve">Nepalese fish assemblages track geography, hydraulics and water quality. Across 81 Gandaki sites, Edds (1993) found geography, water quality and stream hydraulics to be principal correlates, with monsoon-associated variables exerting a secondary influence. In the Seti Gandaki basin, 30 species were recorded and assemblage structure covaried with conductivity, pH, dissolved oxygen, nutrients, depth, width and discharge (Pokharel et al., 2018). </w:t>
      </w:r>
      <w:r>
        <w:rPr>
          <w:rFonts w:eastAsia="Times New Roman"/>
          <w:sz w:val="24"/>
          <w:szCs w:val="24"/>
          <w:highlight w:val="yellow"/>
        </w:rPr>
        <w:t xml:space="preserve">Sampling in </w:t>
      </w:r>
      <w:proofErr w:type="spellStart"/>
      <w:r>
        <w:rPr>
          <w:rFonts w:eastAsia="Times New Roman"/>
          <w:sz w:val="24"/>
          <w:szCs w:val="24"/>
          <w:highlight w:val="yellow"/>
        </w:rPr>
        <w:t>Andhi</w:t>
      </w:r>
      <w:proofErr w:type="spellEnd"/>
      <w:r>
        <w:rPr>
          <w:rFonts w:eastAsia="Times New Roman"/>
          <w:sz w:val="24"/>
          <w:szCs w:val="24"/>
          <w:highlight w:val="yellow"/>
        </w:rPr>
        <w:t xml:space="preserve"> </w:t>
      </w:r>
      <w:proofErr w:type="spellStart"/>
      <w:r>
        <w:rPr>
          <w:rFonts w:eastAsia="Times New Roman"/>
          <w:sz w:val="24"/>
          <w:szCs w:val="24"/>
          <w:highlight w:val="yellow"/>
        </w:rPr>
        <w:t>Khola</w:t>
      </w:r>
      <w:proofErr w:type="spellEnd"/>
      <w:r>
        <w:rPr>
          <w:rFonts w:eastAsia="Times New Roman"/>
          <w:sz w:val="24"/>
          <w:szCs w:val="24"/>
          <w:highlight w:val="yellow"/>
        </w:rPr>
        <w:t xml:space="preserve"> recorded</w:t>
      </w:r>
      <w:r>
        <w:rPr>
          <w:rFonts w:eastAsia="Times New Roman"/>
          <w:sz w:val="24"/>
          <w:szCs w:val="24"/>
        </w:rPr>
        <w:t xml:space="preserve"> temporal variation and relationships with dissolved oxygen, carbon dioxide and hardness (Limbu et al., 2020).</w:t>
      </w:r>
    </w:p>
    <w:p w14:paraId="10AA0177" w14:textId="77777777" w:rsidR="00CD51E3" w:rsidRPr="00D858FB" w:rsidRDefault="00000000">
      <w:pPr>
        <w:rPr>
          <w:sz w:val="24"/>
          <w:szCs w:val="24"/>
        </w:rPr>
      </w:pPr>
      <w:r>
        <w:rPr>
          <w:rFonts w:eastAsia="Times New Roman"/>
          <w:sz w:val="24"/>
          <w:szCs w:val="24"/>
        </w:rPr>
        <w:t xml:space="preserve">These studies </w:t>
      </w:r>
      <w:proofErr w:type="spellStart"/>
      <w:r>
        <w:rPr>
          <w:rFonts w:eastAsia="Times New Roman"/>
          <w:sz w:val="24"/>
          <w:szCs w:val="24"/>
          <w:highlight w:val="yellow"/>
        </w:rPr>
        <w:t>characterise</w:t>
      </w:r>
      <w:proofErr w:type="spellEnd"/>
      <w:r>
        <w:rPr>
          <w:rFonts w:eastAsia="Times New Roman"/>
          <w:sz w:val="24"/>
          <w:szCs w:val="24"/>
          <w:highlight w:val="yellow"/>
        </w:rPr>
        <w:t xml:space="preserve"> vulnerability pathways</w:t>
      </w:r>
      <w:r>
        <w:rPr>
          <w:rFonts w:eastAsia="Times New Roman"/>
          <w:sz w:val="24"/>
          <w:szCs w:val="24"/>
        </w:rPr>
        <w:t xml:space="preserve"> but do not measure mortality triggered by a particular flood. High velocity and mobile sediment can eliminate small-bodied fishes and interrupt spawning substrates, whereas adults of rheophilic taxa may exploit velocity refuges. Pools, tributary mouths and low-velocity margins are particularly significant during peaks and for </w:t>
      </w:r>
      <w:proofErr w:type="spellStart"/>
      <w:r>
        <w:rPr>
          <w:rFonts w:eastAsia="Times New Roman"/>
          <w:sz w:val="24"/>
          <w:szCs w:val="24"/>
          <w:highlight w:val="yellow"/>
        </w:rPr>
        <w:t>recolonisation</w:t>
      </w:r>
      <w:proofErr w:type="spellEnd"/>
      <w:r>
        <w:rPr>
          <w:rFonts w:eastAsia="Times New Roman"/>
          <w:sz w:val="24"/>
          <w:szCs w:val="24"/>
        </w:rPr>
        <w:t xml:space="preserve">. Claims that a flood eliminated fish populations should therefore be supported by </w:t>
      </w:r>
      <w:proofErr w:type="spellStart"/>
      <w:r>
        <w:rPr>
          <w:rFonts w:eastAsia="Times New Roman"/>
          <w:sz w:val="24"/>
          <w:szCs w:val="24"/>
          <w:highlight w:val="yellow"/>
        </w:rPr>
        <w:t>standardised</w:t>
      </w:r>
      <w:proofErr w:type="spellEnd"/>
      <w:r>
        <w:rPr>
          <w:rFonts w:eastAsia="Times New Roman"/>
          <w:sz w:val="24"/>
          <w:szCs w:val="24"/>
        </w:rPr>
        <w:t xml:space="preserve"> pre- and post-event catch per unit effort, detection-corrected occupancy or environmental DNA, plus surveys of accessible refuge reaches.</w:t>
      </w:r>
    </w:p>
    <w:p w14:paraId="6506FE5B" w14:textId="77777777" w:rsidR="00CD51E3" w:rsidRPr="00D858FB" w:rsidRDefault="00000000">
      <w:pPr>
        <w:rPr>
          <w:sz w:val="24"/>
          <w:szCs w:val="24"/>
        </w:rPr>
      </w:pPr>
      <w:r>
        <w:rPr>
          <w:rFonts w:eastAsia="Times New Roman"/>
          <w:sz w:val="24"/>
          <w:szCs w:val="24"/>
        </w:rPr>
        <w:t xml:space="preserve">Floods may also provide benefits. Expanded inundation increases access to floodplain food resources and nursery habitat, and seasonal flow cues movement. The ecological question is whether an event falls within the regime to which taxa are adapted or crosses geomorphic and physiological thresholds. The contrasting outcomes reported by Pires et al. (2008), Wesner (2011), and </w:t>
      </w:r>
      <w:r>
        <w:rPr>
          <w:rFonts w:eastAsia="Times New Roman"/>
          <w:sz w:val="24"/>
          <w:szCs w:val="24"/>
          <w:highlight w:val="yellow"/>
        </w:rPr>
        <w:t>Smith and Kwak (2015)</w:t>
      </w:r>
      <w:r>
        <w:rPr>
          <w:rFonts w:eastAsia="Times New Roman"/>
          <w:sz w:val="24"/>
          <w:szCs w:val="24"/>
        </w:rPr>
        <w:t xml:space="preserve"> show that assemblage resistance depends on body size, </w:t>
      </w:r>
      <w:proofErr w:type="spellStart"/>
      <w:r>
        <w:rPr>
          <w:rFonts w:eastAsia="Times New Roman"/>
          <w:sz w:val="24"/>
          <w:szCs w:val="24"/>
          <w:highlight w:val="yellow"/>
        </w:rPr>
        <w:t>behaviour</w:t>
      </w:r>
      <w:proofErr w:type="spellEnd"/>
      <w:r>
        <w:rPr>
          <w:rFonts w:eastAsia="Times New Roman"/>
          <w:sz w:val="24"/>
          <w:szCs w:val="24"/>
        </w:rPr>
        <w:t>, network connectivity and the availability of undamaged source populations.</w:t>
      </w:r>
    </w:p>
    <w:p w14:paraId="5858D7E0" w14:textId="77777777" w:rsidR="00CD51E3" w:rsidRPr="00D858FB" w:rsidRDefault="00BD3F6E">
      <w:pPr>
        <w:pStyle w:val="Heading2"/>
        <w:rPr>
          <w:color w:val="auto"/>
          <w:sz w:val="24"/>
          <w:szCs w:val="24"/>
        </w:rPr>
      </w:pPr>
      <w:r w:rsidRPr="00D858FB">
        <w:rPr>
          <w:rFonts w:ascii="Times New Roman" w:eastAsia="Times New Roman" w:hAnsi="Times New Roman"/>
          <w:color w:val="auto"/>
          <w:sz w:val="24"/>
          <w:szCs w:val="24"/>
        </w:rPr>
        <w:t>5.1.3 Floodplain biota and large aquatic vertebrates</w:t>
      </w:r>
    </w:p>
    <w:p w14:paraId="635E9F03" w14:textId="77777777" w:rsidR="00F75F63" w:rsidRPr="00D858FB" w:rsidRDefault="00F75F63" w:rsidP="00F75F63">
      <w:pPr>
        <w:rPr>
          <w:sz w:val="24"/>
          <w:szCs w:val="24"/>
        </w:rPr>
      </w:pPr>
      <w:r>
        <w:rPr>
          <w:sz w:val="24"/>
          <w:szCs w:val="24"/>
        </w:rPr>
        <w:t xml:space="preserve">The Koshi embankment break in 2008 is the </w:t>
      </w:r>
      <w:r>
        <w:rPr>
          <w:sz w:val="24"/>
          <w:szCs w:val="24"/>
          <w:highlight w:val="yellow"/>
        </w:rPr>
        <w:t>best-documented</w:t>
      </w:r>
      <w:r>
        <w:rPr>
          <w:sz w:val="24"/>
          <w:szCs w:val="24"/>
        </w:rPr>
        <w:t xml:space="preserve"> post-flood event in Nepal that occurred in the presence of several faunal groups. </w:t>
      </w:r>
      <w:r>
        <w:rPr>
          <w:sz w:val="24"/>
          <w:szCs w:val="24"/>
          <w:highlight w:val="yellow"/>
        </w:rPr>
        <w:t xml:space="preserve">In 2009, surveys and counts of benthic macroinvertebrates, Ganges River dolphins, mugger crocodiles, wild water buffalo, swamp francolins, and vultures were carried out in Koshi </w:t>
      </w:r>
      <w:proofErr w:type="spellStart"/>
      <w:r>
        <w:rPr>
          <w:sz w:val="24"/>
          <w:szCs w:val="24"/>
          <w:highlight w:val="yellow"/>
        </w:rPr>
        <w:t>Tappu</w:t>
      </w:r>
      <w:proofErr w:type="spellEnd"/>
      <w:r>
        <w:rPr>
          <w:sz w:val="24"/>
          <w:szCs w:val="24"/>
          <w:highlight w:val="yellow"/>
        </w:rPr>
        <w:t xml:space="preserve"> Wildlife Reserve.</w:t>
      </w:r>
      <w:r>
        <w:rPr>
          <w:sz w:val="24"/>
          <w:szCs w:val="24"/>
        </w:rPr>
        <w:t xml:space="preserve"> </w:t>
      </w:r>
      <w:r>
        <w:rPr>
          <w:sz w:val="24"/>
          <w:szCs w:val="24"/>
          <w:highlight w:val="yellow"/>
        </w:rPr>
        <w:t>Habitat changes, wildlife displacement, and rescues of dolphins stranded by the altered river course were documented</w:t>
      </w:r>
      <w:r>
        <w:rPr>
          <w:sz w:val="24"/>
          <w:szCs w:val="24"/>
        </w:rPr>
        <w:t xml:space="preserve"> (</w:t>
      </w:r>
      <w:r>
        <w:rPr>
          <w:sz w:val="24"/>
          <w:szCs w:val="24"/>
          <w:highlight w:val="yellow"/>
        </w:rPr>
        <w:t>Khatri et al., 2010</w:t>
      </w:r>
      <w:r>
        <w:rPr>
          <w:sz w:val="24"/>
          <w:szCs w:val="24"/>
        </w:rPr>
        <w:t>). Another survey was also conducted at a later stage to assess the conditions of major fauna post-disaster (Limbu &amp; Subba, 2013).</w:t>
      </w:r>
    </w:p>
    <w:p w14:paraId="400732D9" w14:textId="77777777" w:rsidR="00B35226" w:rsidRPr="00D858FB" w:rsidRDefault="00F75F63" w:rsidP="00F75F63">
      <w:pPr>
        <w:rPr>
          <w:sz w:val="24"/>
          <w:szCs w:val="24"/>
        </w:rPr>
      </w:pPr>
      <w:r>
        <w:rPr>
          <w:sz w:val="24"/>
          <w:szCs w:val="24"/>
          <w:highlight w:val="yellow"/>
        </w:rPr>
        <w:lastRenderedPageBreak/>
        <w:t>These papers provide useful observations but are not replicated before-and-after impact studies; the historical data varied in methods and coverage.</w:t>
      </w:r>
      <w:r>
        <w:rPr>
          <w:sz w:val="24"/>
          <w:szCs w:val="24"/>
        </w:rPr>
        <w:t xml:space="preserve"> </w:t>
      </w:r>
      <w:r>
        <w:rPr>
          <w:sz w:val="24"/>
          <w:szCs w:val="24"/>
          <w:highlight w:val="yellow"/>
        </w:rPr>
        <w:t>They show that channel avulsions can result</w:t>
      </w:r>
      <w:r>
        <w:rPr>
          <w:sz w:val="24"/>
          <w:szCs w:val="24"/>
        </w:rPr>
        <w:t xml:space="preserve"> in the trapping or displacement of aquatic megafauna and the </w:t>
      </w:r>
      <w:proofErr w:type="spellStart"/>
      <w:r>
        <w:rPr>
          <w:sz w:val="24"/>
          <w:szCs w:val="24"/>
          <w:highlight w:val="yellow"/>
        </w:rPr>
        <w:t>reorganisation</w:t>
      </w:r>
      <w:proofErr w:type="spellEnd"/>
      <w:r>
        <w:rPr>
          <w:sz w:val="24"/>
          <w:szCs w:val="24"/>
        </w:rPr>
        <w:t xml:space="preserve"> of wetlands, but they do not provide a general mortality coefficient for Nepali floods. </w:t>
      </w:r>
      <w:r>
        <w:rPr>
          <w:sz w:val="24"/>
          <w:szCs w:val="24"/>
          <w:highlight w:val="yellow"/>
        </w:rPr>
        <w:t>Their clearest management implication is to survey cut-off channels promptly</w:t>
      </w:r>
      <w:r>
        <w:rPr>
          <w:sz w:val="24"/>
          <w:szCs w:val="24"/>
        </w:rPr>
        <w:t xml:space="preserve">, borrow pits, irrigation canals and isolated pools after events to look for stranded dolphins, crocodilians, turtles and </w:t>
      </w:r>
      <w:r>
        <w:rPr>
          <w:sz w:val="24"/>
          <w:szCs w:val="24"/>
          <w:highlight w:val="yellow"/>
        </w:rPr>
        <w:t>fishes and to monitor water quality before rescue or release.</w:t>
      </w:r>
    </w:p>
    <w:p w14:paraId="6F3672DD" w14:textId="77777777" w:rsidR="00CD51E3" w:rsidRPr="00D858FB" w:rsidRDefault="00000000">
      <w:pPr>
        <w:rPr>
          <w:sz w:val="24"/>
          <w:szCs w:val="24"/>
        </w:rPr>
      </w:pPr>
      <w:r>
        <w:rPr>
          <w:rFonts w:eastAsia="Times New Roman"/>
          <w:sz w:val="24"/>
          <w:szCs w:val="24"/>
        </w:rPr>
        <w:t xml:space="preserve">Longer-term dolphin research shows how flood-season access and dry-season contraction interact. Nepal-wide surveys located a very small population concentrated in the Karnali, </w:t>
      </w:r>
      <w:proofErr w:type="spellStart"/>
      <w:r>
        <w:rPr>
          <w:rFonts w:eastAsia="Times New Roman"/>
          <w:sz w:val="24"/>
          <w:szCs w:val="24"/>
        </w:rPr>
        <w:t>Sapta</w:t>
      </w:r>
      <w:proofErr w:type="spellEnd"/>
      <w:r>
        <w:rPr>
          <w:rFonts w:eastAsia="Times New Roman"/>
          <w:sz w:val="24"/>
          <w:szCs w:val="24"/>
        </w:rPr>
        <w:t xml:space="preserve"> Koshi and Narayani systems </w:t>
      </w:r>
      <w:r>
        <w:rPr>
          <w:rFonts w:eastAsia="Times New Roman"/>
          <w:sz w:val="24"/>
          <w:szCs w:val="24"/>
          <w:highlight w:val="yellow"/>
        </w:rPr>
        <w:t>and associated their occurrence with suitable depth and hydraulic habitat</w:t>
      </w:r>
      <w:r>
        <w:rPr>
          <w:rFonts w:eastAsia="Times New Roman"/>
          <w:sz w:val="24"/>
          <w:szCs w:val="24"/>
        </w:rPr>
        <w:t xml:space="preserve"> (Paudel et al., 2015). In the Karnali, irrigation demand compressed habitat and increased overlap with fishing activity (Khanal et al., 2016). </w:t>
      </w:r>
      <w:r>
        <w:rPr>
          <w:rFonts w:eastAsia="Times New Roman"/>
          <w:sz w:val="24"/>
          <w:szCs w:val="24"/>
          <w:highlight w:val="yellow"/>
        </w:rPr>
        <w:t>A flood can temporarily extend their range</w:t>
      </w:r>
      <w:r>
        <w:rPr>
          <w:rFonts w:eastAsia="Times New Roman"/>
          <w:sz w:val="24"/>
          <w:szCs w:val="24"/>
        </w:rPr>
        <w:t>, but avulsion, embankment repair, water withdrawal, and nets can turn movement into entrapment. Recovery planning must therefore span the full hydrograph.</w:t>
      </w:r>
    </w:p>
    <w:p w14:paraId="16E185CB" w14:textId="77777777" w:rsidR="00CD51E3" w:rsidRPr="00D858FB" w:rsidRDefault="00BD3F6E">
      <w:pPr>
        <w:pStyle w:val="Heading1"/>
        <w:rPr>
          <w:color w:val="auto"/>
          <w:szCs w:val="24"/>
        </w:rPr>
      </w:pPr>
      <w:r>
        <w:rPr>
          <w:rFonts w:ascii="Times New Roman" w:eastAsia="Times New Roman" w:hAnsi="Times New Roman"/>
          <w:color w:val="auto"/>
          <w:szCs w:val="24"/>
          <w:highlight w:val="yellow"/>
        </w:rPr>
        <w:t>6.1 Resistance, resilience, and the boundary between pulse and regime shift</w:t>
      </w:r>
    </w:p>
    <w:p w14:paraId="64D679D0" w14:textId="77777777" w:rsidR="00CD51E3" w:rsidRPr="00D858FB" w:rsidRDefault="00000000">
      <w:pPr>
        <w:rPr>
          <w:sz w:val="24"/>
          <w:szCs w:val="24"/>
        </w:rPr>
      </w:pPr>
      <w:r w:rsidRPr="00D858FB">
        <w:rPr>
          <w:rFonts w:eastAsia="Times New Roman"/>
          <w:sz w:val="24"/>
          <w:szCs w:val="24"/>
        </w:rPr>
        <w:t>Resistance is the degree to which abundance, composition or function changes during a flood; resilience is the rate and completeness of return. Both are scale-dependent. A reach may lose most benthic organisms while the basin retains colonists; a local fish assemblage may appear stable even though vulnerable cohorts are removed. Physical recovery may precede biological recovery, or habitat creation may permit rapid recruitment. Experimental and field studies demonstrate responses ranging from near-total short-term removal with recovery in weeks to compositional effects lasting a year or more (Fisher et al., 1982; Snyder &amp; Johnson, 2006; Smith et al., 2019).</w:t>
      </w:r>
    </w:p>
    <w:p w14:paraId="130BFBD4" w14:textId="77777777" w:rsidR="00CD51E3" w:rsidRPr="00D858FB" w:rsidRDefault="00000000">
      <w:pPr>
        <w:rPr>
          <w:sz w:val="24"/>
          <w:szCs w:val="24"/>
        </w:rPr>
      </w:pPr>
      <w:r>
        <w:rPr>
          <w:rFonts w:eastAsia="Times New Roman"/>
          <w:sz w:val="24"/>
          <w:szCs w:val="24"/>
        </w:rPr>
        <w:t xml:space="preserve">Predictability can promote resistance strategies. Nepalese aquatic insects can </w:t>
      </w:r>
      <w:proofErr w:type="spellStart"/>
      <w:r>
        <w:rPr>
          <w:rFonts w:eastAsia="Times New Roman"/>
          <w:sz w:val="24"/>
          <w:szCs w:val="24"/>
          <w:highlight w:val="yellow"/>
        </w:rPr>
        <w:t>harmonise</w:t>
      </w:r>
      <w:proofErr w:type="spellEnd"/>
      <w:r>
        <w:rPr>
          <w:rFonts w:eastAsia="Times New Roman"/>
          <w:sz w:val="24"/>
          <w:szCs w:val="24"/>
          <w:highlight w:val="yellow"/>
        </w:rPr>
        <w:t xml:space="preserve"> life histories with the monsoon</w:t>
      </w:r>
      <w:r>
        <w:rPr>
          <w:rFonts w:eastAsia="Times New Roman"/>
          <w:sz w:val="24"/>
          <w:szCs w:val="24"/>
        </w:rPr>
        <w:t xml:space="preserve">, use aerial stages, or </w:t>
      </w:r>
      <w:proofErr w:type="spellStart"/>
      <w:r>
        <w:rPr>
          <w:rFonts w:eastAsia="Times New Roman"/>
          <w:sz w:val="24"/>
          <w:szCs w:val="24"/>
          <w:highlight w:val="yellow"/>
        </w:rPr>
        <w:t>recolonise</w:t>
      </w:r>
      <w:proofErr w:type="spellEnd"/>
      <w:r>
        <w:rPr>
          <w:rFonts w:eastAsia="Times New Roman"/>
          <w:sz w:val="24"/>
          <w:szCs w:val="24"/>
          <w:highlight w:val="yellow"/>
        </w:rPr>
        <w:t xml:space="preserve"> quickly</w:t>
      </w:r>
      <w:r>
        <w:rPr>
          <w:rFonts w:eastAsia="Times New Roman"/>
          <w:sz w:val="24"/>
          <w:szCs w:val="24"/>
        </w:rPr>
        <w:t xml:space="preserve">; this is consistent with the seasonal adjustment reported by Brewin et al. (2000). Yet adaptation to a seasonal high-flow period does not guarantee tolerance of an unusually fast-rising debris flood, consecutive events, or floods coinciding with eggs and larvae. Magnitude, rate of rise and sediment </w:t>
      </w:r>
      <w:proofErr w:type="spellStart"/>
      <w:r>
        <w:rPr>
          <w:rFonts w:eastAsia="Times New Roman"/>
          <w:sz w:val="24"/>
          <w:szCs w:val="24"/>
        </w:rPr>
        <w:t>calibre</w:t>
      </w:r>
      <w:proofErr w:type="spellEnd"/>
      <w:r>
        <w:rPr>
          <w:rFonts w:eastAsia="Times New Roman"/>
          <w:sz w:val="24"/>
          <w:szCs w:val="24"/>
        </w:rPr>
        <w:t xml:space="preserve"> should therefore be reported alongside discharge recurrence intervals.</w:t>
      </w:r>
    </w:p>
    <w:p w14:paraId="4DC8B0A2" w14:textId="77777777" w:rsidR="00CD51E3" w:rsidRPr="00D858FB" w:rsidRDefault="00000000">
      <w:pPr>
        <w:rPr>
          <w:sz w:val="24"/>
          <w:szCs w:val="24"/>
        </w:rPr>
      </w:pPr>
      <w:r w:rsidRPr="00D858FB">
        <w:rPr>
          <w:rFonts w:eastAsia="Times New Roman"/>
          <w:sz w:val="24"/>
          <w:szCs w:val="24"/>
        </w:rPr>
        <w:t>A pulse becomes a regime shift when the post-event system loses the processes that enable recovery. Persistent channel incision or aggradation, hard-bank reconstruction, blocked tributaries, damaged wastewater systems, repeated sediment supply and invasive-species establishment can create a new habitat template. Water diversion already alters aquatic diversity in monsoon-dominated western Himalayan rivers (</w:t>
      </w:r>
      <w:proofErr w:type="spellStart"/>
      <w:r w:rsidRPr="00D858FB">
        <w:rPr>
          <w:rFonts w:eastAsia="Times New Roman"/>
          <w:sz w:val="24"/>
          <w:szCs w:val="24"/>
        </w:rPr>
        <w:t>Tachamo</w:t>
      </w:r>
      <w:proofErr w:type="spellEnd"/>
      <w:r w:rsidRPr="00D858FB">
        <w:rPr>
          <w:rFonts w:eastAsia="Times New Roman"/>
          <w:sz w:val="24"/>
          <w:szCs w:val="24"/>
        </w:rPr>
        <w:t xml:space="preserve"> Shah et al., 2020a). Flood reconstruction that further modifies environmental flows may compound rather than repair ecological damage.</w:t>
      </w:r>
    </w:p>
    <w:p w14:paraId="272D0EAB" w14:textId="77777777" w:rsidR="00CD51E3" w:rsidRPr="00D858FB" w:rsidRDefault="00444443">
      <w:pPr>
        <w:pStyle w:val="Heading1"/>
        <w:rPr>
          <w:color w:val="auto"/>
          <w:szCs w:val="24"/>
        </w:rPr>
      </w:pPr>
      <w:r w:rsidRPr="00D858FB">
        <w:rPr>
          <w:rFonts w:ascii="Times New Roman" w:eastAsia="Times New Roman" w:hAnsi="Times New Roman"/>
          <w:color w:val="auto"/>
          <w:szCs w:val="24"/>
        </w:rPr>
        <w:lastRenderedPageBreak/>
        <w:t>7</w:t>
      </w:r>
      <w:r w:rsidR="00BD3F6E" w:rsidRPr="00D858FB">
        <w:rPr>
          <w:rFonts w:ascii="Times New Roman" w:eastAsia="Times New Roman" w:hAnsi="Times New Roman"/>
          <w:color w:val="auto"/>
          <w:szCs w:val="24"/>
        </w:rPr>
        <w:t xml:space="preserve">.1 </w:t>
      </w:r>
      <w:r w:rsidRPr="00D858FB">
        <w:rPr>
          <w:rFonts w:ascii="Times New Roman" w:eastAsia="Times New Roman" w:hAnsi="Times New Roman"/>
          <w:color w:val="auto"/>
          <w:szCs w:val="24"/>
        </w:rPr>
        <w:t>Compounding pressures</w:t>
      </w:r>
    </w:p>
    <w:p w14:paraId="06988B78" w14:textId="77777777" w:rsidR="00CD51E3" w:rsidRPr="00D858FB" w:rsidRDefault="00000000">
      <w:pPr>
        <w:rPr>
          <w:sz w:val="24"/>
          <w:szCs w:val="24"/>
        </w:rPr>
      </w:pPr>
      <w:r w:rsidRPr="00D858FB">
        <w:rPr>
          <w:rFonts w:eastAsia="Times New Roman"/>
          <w:sz w:val="24"/>
          <w:szCs w:val="24"/>
        </w:rPr>
        <w:t xml:space="preserve">Catchment land use modifies runoff, sediment delivery and recovery. In Nepalese Himalayan streams, agricultural and </w:t>
      </w:r>
      <w:r w:rsidR="00066E71" w:rsidRPr="00D858FB">
        <w:rPr>
          <w:rFonts w:eastAsia="Times New Roman"/>
          <w:sz w:val="24"/>
          <w:szCs w:val="24"/>
        </w:rPr>
        <w:t>grassland</w:t>
      </w:r>
      <w:r w:rsidRPr="00D858FB">
        <w:rPr>
          <w:rFonts w:eastAsia="Times New Roman"/>
          <w:sz w:val="24"/>
          <w:szCs w:val="24"/>
        </w:rPr>
        <w:t xml:space="preserve"> catchments </w:t>
      </w:r>
      <w:r w:rsidR="00066E71" w:rsidRPr="00D858FB">
        <w:rPr>
          <w:rFonts w:eastAsia="Times New Roman"/>
          <w:sz w:val="24"/>
          <w:szCs w:val="24"/>
        </w:rPr>
        <w:t>displayed</w:t>
      </w:r>
      <w:r w:rsidRPr="00D858FB">
        <w:rPr>
          <w:rFonts w:eastAsia="Times New Roman"/>
          <w:sz w:val="24"/>
          <w:szCs w:val="24"/>
        </w:rPr>
        <w:t xml:space="preserve"> greater community turnover than semi-natural forest (Brewin et al., 2000), while broader surveys </w:t>
      </w:r>
      <w:r w:rsidR="00066E71" w:rsidRPr="00D858FB">
        <w:rPr>
          <w:rFonts w:eastAsia="Times New Roman"/>
          <w:sz w:val="24"/>
          <w:szCs w:val="24"/>
        </w:rPr>
        <w:t>linked</w:t>
      </w:r>
      <w:r w:rsidRPr="00D858FB">
        <w:rPr>
          <w:rFonts w:eastAsia="Times New Roman"/>
          <w:sz w:val="24"/>
          <w:szCs w:val="24"/>
        </w:rPr>
        <w:t xml:space="preserve"> macroinvertebrate composition to land use and altitude (Rundle et al., 1993; Suren, 1994). Roads, quarrying, sand extraction, forest loss and poorly managed spoil can increase sediment available to the next storm. Flood impact is therefore partly a property of the antecedent landscape.</w:t>
      </w:r>
    </w:p>
    <w:p w14:paraId="252B29CD" w14:textId="77777777" w:rsidR="00CD51E3" w:rsidRPr="00D858FB" w:rsidRDefault="00000000">
      <w:pPr>
        <w:rPr>
          <w:sz w:val="24"/>
          <w:szCs w:val="24"/>
        </w:rPr>
      </w:pPr>
      <w:r>
        <w:rPr>
          <w:rFonts w:eastAsia="Times New Roman"/>
          <w:sz w:val="24"/>
          <w:szCs w:val="24"/>
        </w:rPr>
        <w:t xml:space="preserve">Hydropower, diversion structures, embankments and emergency bank protection change connectivity. They may reduce flood exposure locally but eliminate lateral habitats or prevent </w:t>
      </w:r>
      <w:proofErr w:type="spellStart"/>
      <w:r>
        <w:rPr>
          <w:rFonts w:eastAsia="Times New Roman"/>
          <w:sz w:val="24"/>
          <w:szCs w:val="24"/>
          <w:highlight w:val="yellow"/>
        </w:rPr>
        <w:t>recolonisation</w:t>
      </w:r>
      <w:proofErr w:type="spellEnd"/>
      <w:r>
        <w:rPr>
          <w:rFonts w:eastAsia="Times New Roman"/>
          <w:sz w:val="24"/>
          <w:szCs w:val="24"/>
        </w:rPr>
        <w:t>. In western Nepal, water diversion was associated with changes in aquatic biodiversity and provided empirical support for environmental-flow protection (</w:t>
      </w:r>
      <w:proofErr w:type="spellStart"/>
      <w:r>
        <w:rPr>
          <w:rFonts w:eastAsia="Times New Roman"/>
          <w:sz w:val="24"/>
          <w:szCs w:val="24"/>
        </w:rPr>
        <w:t>Tachamo</w:t>
      </w:r>
      <w:proofErr w:type="spellEnd"/>
      <w:r>
        <w:rPr>
          <w:rFonts w:eastAsia="Times New Roman"/>
          <w:sz w:val="24"/>
          <w:szCs w:val="24"/>
        </w:rPr>
        <w:t xml:space="preserve"> Shah et al., 2020a). </w:t>
      </w:r>
      <w:r>
        <w:rPr>
          <w:rFonts w:eastAsia="Times New Roman"/>
          <w:sz w:val="24"/>
          <w:szCs w:val="24"/>
          <w:highlight w:val="yellow"/>
        </w:rPr>
        <w:t>River-dolphin investigations show</w:t>
      </w:r>
      <w:r>
        <w:rPr>
          <w:rFonts w:eastAsia="Times New Roman"/>
          <w:sz w:val="24"/>
          <w:szCs w:val="24"/>
        </w:rPr>
        <w:t xml:space="preserve"> that low-flow abstraction and fishing risk interact (Khanal et al., 2016). These pressures can be more persistent than the flood itself.</w:t>
      </w:r>
    </w:p>
    <w:p w14:paraId="03EF6196" w14:textId="77777777" w:rsidR="00CD51E3" w:rsidRPr="00D858FB" w:rsidRDefault="00000000">
      <w:pPr>
        <w:rPr>
          <w:sz w:val="24"/>
          <w:szCs w:val="24"/>
        </w:rPr>
      </w:pPr>
      <w:r>
        <w:rPr>
          <w:rFonts w:eastAsia="Times New Roman"/>
          <w:sz w:val="24"/>
          <w:szCs w:val="24"/>
        </w:rPr>
        <w:t xml:space="preserve">Pollution can also mask or prolong flood effects. The Bagmati macroinvertebrate </w:t>
      </w:r>
      <w:r>
        <w:rPr>
          <w:rFonts w:eastAsia="Times New Roman"/>
          <w:sz w:val="24"/>
          <w:szCs w:val="24"/>
          <w:highlight w:val="yellow"/>
        </w:rPr>
        <w:t>assemblage reflects strong urban disturbance</w:t>
      </w:r>
      <w:r>
        <w:rPr>
          <w:rFonts w:eastAsia="Times New Roman"/>
          <w:sz w:val="24"/>
          <w:szCs w:val="24"/>
        </w:rPr>
        <w:t xml:space="preserve"> and water-quality gradients (Shah &amp; Shah, 2013). After a flood, dilution may temporarily improve some chemical measurements even while deposited waste, pathogen loading and oxygen demand worsen biological conditions. Paired chemical and biological monitoring is needed to avoid contradictory interpretations.</w:t>
      </w:r>
    </w:p>
    <w:p w14:paraId="117F6F3E" w14:textId="77777777" w:rsidR="00CD51E3" w:rsidRPr="00D858FB" w:rsidRDefault="00EB34EC">
      <w:pPr>
        <w:pStyle w:val="Heading1"/>
        <w:rPr>
          <w:color w:val="auto"/>
          <w:szCs w:val="24"/>
        </w:rPr>
      </w:pPr>
      <w:r w:rsidRPr="00D858FB">
        <w:rPr>
          <w:rFonts w:ascii="Times New Roman" w:eastAsia="Times New Roman" w:hAnsi="Times New Roman"/>
          <w:color w:val="auto"/>
          <w:szCs w:val="24"/>
        </w:rPr>
        <w:t>8.1 Research priorities for Nepal</w:t>
      </w:r>
    </w:p>
    <w:p w14:paraId="60DB5664" w14:textId="77777777" w:rsidR="00E9704B" w:rsidRPr="00D858FB" w:rsidRDefault="00000000">
      <w:pPr>
        <w:rPr>
          <w:rFonts w:eastAsia="Times New Roman"/>
          <w:sz w:val="24"/>
          <w:szCs w:val="24"/>
        </w:rPr>
      </w:pPr>
      <w:r>
        <w:rPr>
          <w:rFonts w:eastAsia="Times New Roman"/>
          <w:sz w:val="24"/>
          <w:szCs w:val="24"/>
        </w:rPr>
        <w:t xml:space="preserve">The central evidence gap is not a lack of species lists; it is the scarcity of event-linked designs. Nepal needs permanent sentinel reaches in major basins, with </w:t>
      </w:r>
      <w:proofErr w:type="spellStart"/>
      <w:r>
        <w:rPr>
          <w:rFonts w:eastAsia="Times New Roman"/>
          <w:sz w:val="24"/>
          <w:szCs w:val="24"/>
          <w:highlight w:val="yellow"/>
        </w:rPr>
        <w:t>standardised</w:t>
      </w:r>
      <w:proofErr w:type="spellEnd"/>
      <w:r>
        <w:rPr>
          <w:rFonts w:eastAsia="Times New Roman"/>
          <w:sz w:val="24"/>
          <w:szCs w:val="24"/>
          <w:highlight w:val="yellow"/>
        </w:rPr>
        <w:t xml:space="preserve"> pre-monsoon</w:t>
      </w:r>
      <w:r>
        <w:rPr>
          <w:rFonts w:eastAsia="Times New Roman"/>
          <w:sz w:val="24"/>
          <w:szCs w:val="24"/>
        </w:rPr>
        <w:t xml:space="preserve">, monsoon and post-monsoon surveys and automatic hydrometeorological records. When an extreme event occurs, an event-triggered (Table 2) protocol should sample impacted reaches and matched controls within days, weeks, months and at least one year. </w:t>
      </w:r>
    </w:p>
    <w:p w14:paraId="598E355C" w14:textId="77777777" w:rsidR="00464483" w:rsidRPr="00D858FB" w:rsidRDefault="00464483" w:rsidP="00464483">
      <w:pPr>
        <w:rPr>
          <w:sz w:val="24"/>
          <w:szCs w:val="24"/>
        </w:rPr>
      </w:pPr>
      <w:r>
        <w:rPr>
          <w:sz w:val="24"/>
          <w:szCs w:val="24"/>
          <w:highlight w:val="yellow"/>
        </w:rPr>
        <w:t>Ideally, a before-after-control-impact design would be used; however, in the absence of pre-event data,</w:t>
      </w:r>
      <w:r>
        <w:rPr>
          <w:sz w:val="24"/>
          <w:szCs w:val="24"/>
        </w:rPr>
        <w:t xml:space="preserve"> archived environmental DNA or historical photos can complement inference using upstream-downstream comparisons. Parameters that should be included are stage and discharge, rate of rise, flood duration, suspended-sediment concentration, grain-size distribution, bed mobility, cross sections, mapped erosion and deposition, and connectivity of tributaries and floodplain waters. Biological sampling should combine benthic density and benthic traits, catch per unit effort and size structure, environmental DNA, periphyton biomass, macrophyte cover and targeted searches for stranded megafauna. Samples collected for water quality should include dissolved oxygen, temperature, conductivity, turbidity, nutrients, microbial indicators, and locally relevant toxicants.</w:t>
      </w:r>
    </w:p>
    <w:p w14:paraId="3FA1EE00" w14:textId="77777777" w:rsidR="00CD51E3" w:rsidRPr="00D858FB" w:rsidRDefault="00000000">
      <w:pPr>
        <w:rPr>
          <w:sz w:val="24"/>
          <w:szCs w:val="24"/>
        </w:rPr>
      </w:pPr>
      <w:r w:rsidRPr="00D858FB">
        <w:rPr>
          <w:rFonts w:eastAsia="Times New Roman"/>
          <w:sz w:val="24"/>
          <w:szCs w:val="24"/>
        </w:rPr>
        <w:lastRenderedPageBreak/>
        <w:t>Reference data must be seasonally matched. The strong pre-monsoon decline reported by Brewin et al. (2000) shows that comparing a post-flood sample only with winter can exaggerate impact. Detection probability must also be considered because turbid, deep or newly braided channels change sampling efficiency. Reporting raw effort, habitat area sampled, gear selectivity, taxonomic resolution, and inaccessible sites will make results comparable.</w:t>
      </w:r>
    </w:p>
    <w:p w14:paraId="42345F33" w14:textId="77777777" w:rsidR="00CD51E3" w:rsidRPr="00D858FB" w:rsidRDefault="00000000">
      <w:pPr>
        <w:rPr>
          <w:sz w:val="24"/>
          <w:szCs w:val="24"/>
        </w:rPr>
      </w:pPr>
      <w:r w:rsidRPr="00D858FB">
        <w:rPr>
          <w:rFonts w:eastAsia="Times New Roman"/>
          <w:sz w:val="24"/>
          <w:szCs w:val="24"/>
        </w:rPr>
        <w:t xml:space="preserve">Open data would allow basin-wide learning. Hydrometeorological series, event footprints, channel-change products, biological observations and rescue records should share stable site identifiers and timestamps. Nepalese baselines already exist for the Gandaki, Karnali, </w:t>
      </w:r>
      <w:proofErr w:type="spellStart"/>
      <w:r w:rsidRPr="00D858FB">
        <w:rPr>
          <w:rFonts w:eastAsia="Times New Roman"/>
          <w:sz w:val="24"/>
          <w:szCs w:val="24"/>
        </w:rPr>
        <w:t>Bheri</w:t>
      </w:r>
      <w:proofErr w:type="spellEnd"/>
      <w:r w:rsidRPr="00D858FB">
        <w:rPr>
          <w:rFonts w:eastAsia="Times New Roman"/>
          <w:sz w:val="24"/>
          <w:szCs w:val="24"/>
        </w:rPr>
        <w:t xml:space="preserve">, Babai, Kamala, Bagmati and Koshi systems (Edds, 1993; Shah &amp; Shah, 2013; Pokharel et al., 2018; </w:t>
      </w:r>
      <w:proofErr w:type="spellStart"/>
      <w:r w:rsidRPr="00D858FB">
        <w:rPr>
          <w:rFonts w:eastAsia="Times New Roman"/>
          <w:sz w:val="24"/>
          <w:szCs w:val="24"/>
        </w:rPr>
        <w:t>Tachamo</w:t>
      </w:r>
      <w:proofErr w:type="spellEnd"/>
      <w:r w:rsidRPr="00D858FB">
        <w:rPr>
          <w:rFonts w:eastAsia="Times New Roman"/>
          <w:sz w:val="24"/>
          <w:szCs w:val="24"/>
        </w:rPr>
        <w:t xml:space="preserve"> Shah et al., 2020b; Regmi et al., 2021; Khatri et al., 2022; </w:t>
      </w:r>
      <w:proofErr w:type="spellStart"/>
      <w:r w:rsidRPr="00D858FB">
        <w:rPr>
          <w:rFonts w:eastAsia="Times New Roman"/>
          <w:sz w:val="24"/>
          <w:szCs w:val="24"/>
        </w:rPr>
        <w:t>Tachamo</w:t>
      </w:r>
      <w:proofErr w:type="spellEnd"/>
      <w:r w:rsidRPr="00D858FB">
        <w:rPr>
          <w:rFonts w:eastAsia="Times New Roman"/>
          <w:sz w:val="24"/>
          <w:szCs w:val="24"/>
        </w:rPr>
        <w:t xml:space="preserve"> Shah et al., 2024). Repeating these sites after floods would be more informative than initiating unrelated one-time inventories.</w:t>
      </w:r>
    </w:p>
    <w:p w14:paraId="6E350243" w14:textId="77777777" w:rsidR="00CD51E3" w:rsidRPr="00D858FB" w:rsidRDefault="00EB34EC">
      <w:pPr>
        <w:pStyle w:val="Heading1"/>
        <w:rPr>
          <w:color w:val="auto"/>
          <w:szCs w:val="24"/>
        </w:rPr>
      </w:pPr>
      <w:r w:rsidRPr="00D858FB">
        <w:rPr>
          <w:rFonts w:ascii="Times New Roman" w:eastAsia="Times New Roman" w:hAnsi="Times New Roman"/>
          <w:color w:val="auto"/>
          <w:szCs w:val="24"/>
        </w:rPr>
        <w:t>8.2 Management and conservation implications</w:t>
      </w:r>
    </w:p>
    <w:p w14:paraId="02A4C346" w14:textId="77777777" w:rsidR="00B03186" w:rsidRPr="00D858FB" w:rsidRDefault="00607A8B" w:rsidP="00607A8B">
      <w:pPr>
        <w:rPr>
          <w:rFonts w:eastAsia="Times New Roman"/>
          <w:sz w:val="24"/>
          <w:szCs w:val="24"/>
        </w:rPr>
      </w:pPr>
      <w:r>
        <w:rPr>
          <w:rFonts w:eastAsia="Times New Roman"/>
          <w:sz w:val="24"/>
          <w:szCs w:val="24"/>
          <w:highlight w:val="yellow"/>
        </w:rPr>
        <w:t xml:space="preserve">The first priority should be to protect a network of refuges rather than attempt to </w:t>
      </w:r>
      <w:proofErr w:type="spellStart"/>
      <w:r>
        <w:rPr>
          <w:rFonts w:eastAsia="Times New Roman"/>
          <w:sz w:val="24"/>
          <w:szCs w:val="24"/>
          <w:highlight w:val="yellow"/>
        </w:rPr>
        <w:t>stabilise</w:t>
      </w:r>
      <w:proofErr w:type="spellEnd"/>
      <w:r>
        <w:rPr>
          <w:rFonts w:eastAsia="Times New Roman"/>
          <w:sz w:val="24"/>
          <w:szCs w:val="24"/>
          <w:highlight w:val="yellow"/>
        </w:rPr>
        <w:t xml:space="preserve"> all reaches.</w:t>
      </w:r>
      <w:r>
        <w:rPr>
          <w:rFonts w:eastAsia="Times New Roman"/>
          <w:sz w:val="24"/>
          <w:szCs w:val="24"/>
        </w:rPr>
        <w:t xml:space="preserve"> </w:t>
      </w:r>
      <w:r>
        <w:rPr>
          <w:rFonts w:eastAsia="Times New Roman"/>
          <w:sz w:val="24"/>
          <w:szCs w:val="24"/>
          <w:highlight w:val="yellow"/>
        </w:rPr>
        <w:t xml:space="preserve">Survival and </w:t>
      </w:r>
      <w:proofErr w:type="spellStart"/>
      <w:r>
        <w:rPr>
          <w:rFonts w:eastAsia="Times New Roman"/>
          <w:sz w:val="24"/>
          <w:szCs w:val="24"/>
          <w:highlight w:val="yellow"/>
        </w:rPr>
        <w:t>recolonisation</w:t>
      </w:r>
      <w:proofErr w:type="spellEnd"/>
      <w:r>
        <w:rPr>
          <w:rFonts w:eastAsia="Times New Roman"/>
          <w:sz w:val="24"/>
          <w:szCs w:val="24"/>
          <w:highlight w:val="yellow"/>
        </w:rPr>
        <w:t xml:space="preserve"> are supported by tributaries, side channels, deep pools, vegetated margins, floodplain wetlands, and hyporheic gravels.</w:t>
      </w:r>
      <w:r>
        <w:rPr>
          <w:rFonts w:eastAsia="Times New Roman"/>
          <w:sz w:val="24"/>
          <w:szCs w:val="24"/>
        </w:rPr>
        <w:t xml:space="preserve"> Passage should be left between these features at road crossings and temporary works and at post-flood embankments. </w:t>
      </w:r>
      <w:r>
        <w:rPr>
          <w:rFonts w:eastAsia="Times New Roman"/>
          <w:sz w:val="24"/>
          <w:szCs w:val="24"/>
          <w:highlight w:val="yellow"/>
        </w:rPr>
        <w:t>If public safety permits, heterogeneous channel morphology should be maintained.</w:t>
      </w:r>
      <w:r>
        <w:rPr>
          <w:rFonts w:eastAsia="Times New Roman"/>
          <w:sz w:val="24"/>
          <w:szCs w:val="24"/>
        </w:rPr>
        <w:t xml:space="preserve"> Second, include ecological triage as a component of disaster response. </w:t>
      </w:r>
      <w:r>
        <w:rPr>
          <w:rFonts w:eastAsia="Times New Roman"/>
          <w:sz w:val="24"/>
          <w:szCs w:val="24"/>
          <w:highlight w:val="yellow"/>
        </w:rPr>
        <w:t>Teams should map aquatic vertebrates, fish kills, blocked tributaries, and isolated pools containing aquatic vertebrates within 24–72 h.</w:t>
      </w:r>
      <w:r>
        <w:rPr>
          <w:rFonts w:eastAsia="Times New Roman"/>
          <w:sz w:val="24"/>
          <w:szCs w:val="24"/>
        </w:rPr>
        <w:t xml:space="preserve"> </w:t>
      </w:r>
      <w:r>
        <w:rPr>
          <w:rFonts w:eastAsia="Times New Roman"/>
          <w:sz w:val="24"/>
          <w:szCs w:val="24"/>
          <w:highlight w:val="yellow"/>
        </w:rPr>
        <w:t>Appropriate handling and veterinary-care procedures must be followed during rescue attempts.</w:t>
      </w:r>
    </w:p>
    <w:p w14:paraId="05E3FC85" w14:textId="77777777" w:rsidR="00CD51E3" w:rsidRPr="00D858FB" w:rsidRDefault="00000000">
      <w:pPr>
        <w:rPr>
          <w:sz w:val="24"/>
          <w:szCs w:val="24"/>
        </w:rPr>
      </w:pPr>
      <w:r>
        <w:rPr>
          <w:rFonts w:eastAsia="Times New Roman"/>
          <w:sz w:val="24"/>
          <w:szCs w:val="24"/>
        </w:rPr>
        <w:t xml:space="preserve">Field observations should record exact coordinates, effort, water quality and fate after release so that rescue data become usable evidence. Third, manage sediment at its sources and along the recovery corridor. </w:t>
      </w:r>
      <w:proofErr w:type="spellStart"/>
      <w:r>
        <w:rPr>
          <w:rFonts w:eastAsia="Times New Roman"/>
          <w:sz w:val="24"/>
          <w:szCs w:val="24"/>
          <w:highlight w:val="yellow"/>
        </w:rPr>
        <w:t>Stabilising</w:t>
      </w:r>
      <w:proofErr w:type="spellEnd"/>
      <w:r>
        <w:rPr>
          <w:rFonts w:eastAsia="Times New Roman"/>
          <w:sz w:val="24"/>
          <w:szCs w:val="24"/>
          <w:highlight w:val="yellow"/>
        </w:rPr>
        <w:t xml:space="preserve"> road spoil</w:t>
      </w:r>
      <w:r>
        <w:rPr>
          <w:rFonts w:eastAsia="Times New Roman"/>
          <w:sz w:val="24"/>
          <w:szCs w:val="24"/>
        </w:rPr>
        <w:t xml:space="preserve">, regulating extraction, restoring riparian vegetation and avoiding disposal into channels can reduce the mobile sediment available to later storms. Dredging or channel clearing should be justified reach by reach because removing bars and wood can eliminate refuges and nursery habitat. Sediment-rich cascades such as </w:t>
      </w:r>
      <w:proofErr w:type="spellStart"/>
      <w:r>
        <w:rPr>
          <w:rFonts w:eastAsia="Times New Roman"/>
          <w:sz w:val="24"/>
          <w:szCs w:val="24"/>
        </w:rPr>
        <w:t>Melamchi</w:t>
      </w:r>
      <w:proofErr w:type="spellEnd"/>
      <w:r>
        <w:rPr>
          <w:rFonts w:eastAsia="Times New Roman"/>
          <w:sz w:val="24"/>
          <w:szCs w:val="24"/>
        </w:rPr>
        <w:t xml:space="preserve"> demonstrate that recovery must address stored material across the basin, not only the damaged town reach (Baniya et al., 2023; Chen et al., 2025).</w:t>
      </w:r>
    </w:p>
    <w:p w14:paraId="165B349E" w14:textId="77777777" w:rsidR="00CD51E3" w:rsidRPr="00D858FB" w:rsidRDefault="00000000">
      <w:pPr>
        <w:rPr>
          <w:sz w:val="24"/>
          <w:szCs w:val="24"/>
        </w:rPr>
      </w:pPr>
      <w:r w:rsidRPr="00D858FB">
        <w:rPr>
          <w:rFonts w:eastAsia="Times New Roman"/>
          <w:sz w:val="24"/>
          <w:szCs w:val="24"/>
        </w:rPr>
        <w:t>Fourth, protect environmental flows and connectivity during reconstruction. Temporary diversions should include fish passage and safe return paths; water abstraction should not dewater refuge pools. In dolphin rivers, maintaining depth at confluences and limiting nets during habitat contraction are priorities supported by Nepalese field studies (Paudel et al., 2015; Khanal et al., 2016).</w:t>
      </w:r>
    </w:p>
    <w:p w14:paraId="43FE41A5" w14:textId="77777777" w:rsidR="00CD51E3" w:rsidRPr="00D858FB" w:rsidRDefault="00000000">
      <w:pPr>
        <w:rPr>
          <w:sz w:val="24"/>
          <w:szCs w:val="24"/>
        </w:rPr>
      </w:pPr>
      <w:r>
        <w:rPr>
          <w:rFonts w:eastAsia="Times New Roman"/>
          <w:sz w:val="24"/>
          <w:szCs w:val="24"/>
        </w:rPr>
        <w:lastRenderedPageBreak/>
        <w:t xml:space="preserve">Finally, communicate uncertainty. Authorities and researchers should distinguish confirmed kills, observed displacement, habitat loss, and </w:t>
      </w:r>
      <w:r>
        <w:rPr>
          <w:rFonts w:eastAsia="Times New Roman"/>
          <w:sz w:val="24"/>
          <w:szCs w:val="24"/>
          <w:highlight w:val="yellow"/>
        </w:rPr>
        <w:t>modelled risk</w:t>
      </w:r>
      <w:r>
        <w:rPr>
          <w:rFonts w:eastAsia="Times New Roman"/>
          <w:sz w:val="24"/>
          <w:szCs w:val="24"/>
        </w:rPr>
        <w:t>. The evidence supports concern about acute local impacts and delayed sediment effects, but it does not support unqualified national counts of aquatic-fauna loss. Transparent uncertainty will improve both scientific credibility and allocation of restoration resources.</w:t>
      </w:r>
    </w:p>
    <w:p w14:paraId="0C2920A3" w14:textId="77777777" w:rsidR="00CD51E3" w:rsidRPr="00D858FB" w:rsidRDefault="00EB34EC">
      <w:pPr>
        <w:pStyle w:val="Heading1"/>
        <w:rPr>
          <w:color w:val="auto"/>
          <w:szCs w:val="24"/>
        </w:rPr>
      </w:pPr>
      <w:r w:rsidRPr="00D858FB">
        <w:rPr>
          <w:rFonts w:ascii="Times New Roman" w:eastAsia="Times New Roman" w:hAnsi="Times New Roman"/>
          <w:color w:val="auto"/>
          <w:szCs w:val="24"/>
        </w:rPr>
        <w:t>9</w:t>
      </w:r>
      <w:r w:rsidR="00D02A87" w:rsidRPr="00D858FB">
        <w:rPr>
          <w:rFonts w:ascii="Times New Roman" w:eastAsia="Times New Roman" w:hAnsi="Times New Roman"/>
          <w:color w:val="auto"/>
          <w:szCs w:val="24"/>
        </w:rPr>
        <w:t>.</w:t>
      </w:r>
      <w:r w:rsidRPr="00D858FB">
        <w:rPr>
          <w:rFonts w:ascii="Times New Roman" w:eastAsia="Times New Roman" w:hAnsi="Times New Roman"/>
          <w:color w:val="auto"/>
          <w:szCs w:val="24"/>
        </w:rPr>
        <w:t xml:space="preserve"> Conclusion</w:t>
      </w:r>
    </w:p>
    <w:p w14:paraId="2988B9EE" w14:textId="61B16C46" w:rsidR="00D020EE" w:rsidRDefault="00000000">
      <w:pPr>
        <w:rPr>
          <w:rFonts w:eastAsia="Times New Roman"/>
          <w:sz w:val="24"/>
          <w:szCs w:val="24"/>
        </w:rPr>
      </w:pPr>
      <w:r>
        <w:rPr>
          <w:rFonts w:eastAsia="Times New Roman"/>
          <w:sz w:val="24"/>
          <w:szCs w:val="24"/>
        </w:rPr>
        <w:t xml:space="preserve">Cloudbursts and floods affect Nepalese freshwater ecosystems through interacting hydraulic, geomorphic, chemical and connectivity pathways. Predictable monsoon floods can be accommodated by life histories and can sustain floodplain functions, whereas abrupt, sediment-rich cascades may remove organisms, bury habitat, strand large vertebrates and reset channel structure. </w:t>
      </w:r>
      <w:r>
        <w:rPr>
          <w:rFonts w:eastAsia="Times New Roman"/>
          <w:sz w:val="24"/>
          <w:szCs w:val="24"/>
          <w:highlight w:val="yellow"/>
        </w:rPr>
        <w:t>The effects are determined by event characteristics</w:t>
      </w:r>
      <w:r>
        <w:rPr>
          <w:rFonts w:eastAsia="Times New Roman"/>
          <w:sz w:val="24"/>
          <w:szCs w:val="24"/>
        </w:rPr>
        <w:t xml:space="preserve">, life stage, habitat mosaic, antecedent land use and access to </w:t>
      </w:r>
      <w:proofErr w:type="spellStart"/>
      <w:r>
        <w:rPr>
          <w:rFonts w:eastAsia="Times New Roman"/>
          <w:sz w:val="24"/>
          <w:szCs w:val="24"/>
          <w:highlight w:val="yellow"/>
        </w:rPr>
        <w:t>recolonisation</w:t>
      </w:r>
      <w:proofErr w:type="spellEnd"/>
      <w:r>
        <w:rPr>
          <w:rFonts w:eastAsia="Times New Roman"/>
          <w:sz w:val="24"/>
          <w:szCs w:val="24"/>
        </w:rPr>
        <w:t xml:space="preserve"> sources.</w:t>
      </w:r>
      <w:r w:rsidR="00D020EE">
        <w:rPr>
          <w:sz w:val="24"/>
          <w:szCs w:val="24"/>
        </w:rPr>
        <w:t xml:space="preserve"> </w:t>
      </w:r>
      <w:r>
        <w:rPr>
          <w:rFonts w:eastAsia="Times New Roman"/>
          <w:sz w:val="24"/>
          <w:szCs w:val="24"/>
          <w:highlight w:val="yellow"/>
        </w:rPr>
        <w:t>Published Nepalese evidence provides insights into</w:t>
      </w:r>
      <w:r>
        <w:rPr>
          <w:rFonts w:eastAsia="Times New Roman"/>
          <w:sz w:val="24"/>
          <w:szCs w:val="24"/>
        </w:rPr>
        <w:t xml:space="preserve"> seasonal macroinvertebrate dynamics, environmental controls on fish assemblages, floodplain hydrology, and post-flood observations from Koshi </w:t>
      </w:r>
      <w:proofErr w:type="spellStart"/>
      <w:r>
        <w:rPr>
          <w:rFonts w:eastAsia="Times New Roman"/>
          <w:sz w:val="24"/>
          <w:szCs w:val="24"/>
        </w:rPr>
        <w:t>Tappu</w:t>
      </w:r>
      <w:proofErr w:type="spellEnd"/>
      <w:r>
        <w:rPr>
          <w:rFonts w:eastAsia="Times New Roman"/>
          <w:sz w:val="24"/>
          <w:szCs w:val="24"/>
        </w:rPr>
        <w:t xml:space="preserve">. Direct, controlled measurements of cloudburst </w:t>
      </w:r>
      <w:proofErr w:type="gramStart"/>
      <w:r>
        <w:rPr>
          <w:rFonts w:eastAsia="Times New Roman"/>
          <w:sz w:val="24"/>
          <w:szCs w:val="24"/>
        </w:rPr>
        <w:t>impacts</w:t>
      </w:r>
      <w:proofErr w:type="gramEnd"/>
      <w:r>
        <w:rPr>
          <w:rFonts w:eastAsia="Times New Roman"/>
          <w:sz w:val="24"/>
          <w:szCs w:val="24"/>
        </w:rPr>
        <w:t xml:space="preserve"> on aquatic animals remain rare, </w:t>
      </w:r>
      <w:r>
        <w:rPr>
          <w:rFonts w:eastAsia="Times New Roman"/>
          <w:sz w:val="24"/>
          <w:szCs w:val="24"/>
          <w:highlight w:val="yellow"/>
        </w:rPr>
        <w:t>but further detailed and long-term studies are required</w:t>
      </w:r>
      <w:r>
        <w:rPr>
          <w:rFonts w:eastAsia="Times New Roman"/>
          <w:sz w:val="24"/>
          <w:szCs w:val="24"/>
        </w:rPr>
        <w:t>. The responsible scientific conclusion is therefore conditional rather than catastrophic: severe local impacts are plausible and sometimes observed, but magnitude and duration must be measured. Sentinel monitoring, event-triggered sampling, refuge protection, environmental flows, sediment management and ecologically informed reconstruction offer the clearest route from disaster response to freshwater resilience.</w:t>
      </w:r>
    </w:p>
    <w:p w14:paraId="76059F5D" w14:textId="63E4F5AA" w:rsidR="00D020EE" w:rsidRPr="00D020EE" w:rsidRDefault="00D020EE" w:rsidP="00D020EE">
      <w:pPr>
        <w:rPr>
          <w:b/>
          <w:bCs/>
          <w:sz w:val="24"/>
          <w:szCs w:val="24"/>
        </w:rPr>
      </w:pPr>
      <w:r w:rsidRPr="00D020EE">
        <w:rPr>
          <w:b/>
          <w:bCs/>
          <w:sz w:val="24"/>
          <w:szCs w:val="24"/>
        </w:rPr>
        <w:t xml:space="preserve">Limitation: </w:t>
      </w:r>
    </w:p>
    <w:p w14:paraId="426CBA16" w14:textId="50BFA80C" w:rsidR="00D020EE" w:rsidRPr="00D858FB" w:rsidRDefault="00D020EE" w:rsidP="00D020EE">
      <w:pPr>
        <w:rPr>
          <w:sz w:val="24"/>
          <w:szCs w:val="24"/>
        </w:rPr>
      </w:pPr>
      <w:r w:rsidRPr="00D020EE">
        <w:rPr>
          <w:sz w:val="24"/>
          <w:szCs w:val="24"/>
        </w:rPr>
        <w:t>This review is limited by the scarcity of Nepal-specific, event-linked ecological studies that combine pre-flood biological baselines with hydrological, sediment, water-quality, and repeated post-flood measurements. Much of the available evidence is observational or seasonal and cannot isolate the effects of individual cloudburst or flood events. Studies from other river systems were therefore used only to clarify plausible mechanisms, not to estimate effect sizes for Nepal. Differences in sampling methods, seasons, habitats, taxa, and response variables also precluded quantitative meta-analysis.</w:t>
      </w:r>
    </w:p>
    <w:p w14:paraId="078A25DD" w14:textId="77777777" w:rsidR="00CD51E3" w:rsidRPr="00D858FB" w:rsidRDefault="00000000">
      <w:pPr>
        <w:rPr>
          <w:sz w:val="24"/>
          <w:szCs w:val="24"/>
        </w:rPr>
      </w:pPr>
      <w:r w:rsidRPr="00D858FB">
        <w:rPr>
          <w:rFonts w:eastAsia="Times New Roman"/>
          <w:b/>
          <w:sz w:val="24"/>
          <w:szCs w:val="24"/>
        </w:rPr>
        <w:t xml:space="preserve">Competing interests: </w:t>
      </w:r>
      <w:r w:rsidRPr="00D858FB">
        <w:rPr>
          <w:rFonts w:eastAsia="Times New Roman"/>
          <w:sz w:val="24"/>
          <w:szCs w:val="24"/>
        </w:rPr>
        <w:t xml:space="preserve">The authors declare no competing financial or non-financial interests. </w:t>
      </w:r>
    </w:p>
    <w:p w14:paraId="4E2274CE" w14:textId="77777777" w:rsidR="004D3343" w:rsidRPr="00D858FB" w:rsidRDefault="004D3343" w:rsidP="004D3343">
      <w:pPr>
        <w:spacing w:after="0" w:line="240" w:lineRule="auto"/>
        <w:rPr>
          <w:rFonts w:cs="Times New Roman"/>
          <w:b/>
          <w:sz w:val="24"/>
          <w:szCs w:val="24"/>
        </w:rPr>
      </w:pPr>
      <w:r w:rsidRPr="00D858FB">
        <w:rPr>
          <w:rFonts w:cs="Times New Roman"/>
          <w:b/>
          <w:sz w:val="24"/>
          <w:szCs w:val="24"/>
        </w:rPr>
        <w:t>Declaration of AI Use</w:t>
      </w:r>
    </w:p>
    <w:p w14:paraId="1AE7EA51" w14:textId="77777777" w:rsidR="004D3343" w:rsidRPr="00D858FB" w:rsidRDefault="004D3343" w:rsidP="004D3343">
      <w:pPr>
        <w:spacing w:after="0" w:line="240" w:lineRule="auto"/>
        <w:rPr>
          <w:rFonts w:cs="Times New Roman"/>
          <w:b/>
          <w:sz w:val="24"/>
          <w:szCs w:val="24"/>
        </w:rPr>
      </w:pPr>
    </w:p>
    <w:p w14:paraId="4E14D2FB" w14:textId="77777777" w:rsidR="004D3343" w:rsidRPr="00D858FB" w:rsidRDefault="004D3343" w:rsidP="004D3343">
      <w:pPr>
        <w:spacing w:after="0" w:line="240" w:lineRule="auto"/>
        <w:rPr>
          <w:rFonts w:ascii="Arial" w:hAnsi="Arial" w:cs="Arial"/>
          <w:sz w:val="24"/>
          <w:szCs w:val="24"/>
        </w:rPr>
      </w:pPr>
      <w:r w:rsidRPr="00D858FB">
        <w:rPr>
          <w:rFonts w:ascii="Arial" w:hAnsi="Arial" w:cs="Arial"/>
          <w:sz w:val="24"/>
          <w:szCs w:val="24"/>
        </w:rPr>
        <w:t xml:space="preserve">This manuscript was prepared through the intellectual contributions of the author(s) to the study design, data analysis, interpretation of results, and scholarly content. Grammarly and ChatGPT were used solely to assist with grammatical refinement and reference </w:t>
      </w:r>
      <w:r w:rsidRPr="00D858FB">
        <w:rPr>
          <w:rFonts w:ascii="Arial" w:hAnsi="Arial" w:cs="Arial"/>
          <w:sz w:val="24"/>
          <w:szCs w:val="24"/>
        </w:rPr>
        <w:lastRenderedPageBreak/>
        <w:t>formatting during manuscript revision. The author(s) accept full responsibility for the accuracy, integrity, and final content of the manuscript.</w:t>
      </w:r>
    </w:p>
    <w:p w14:paraId="0FEED1CF" w14:textId="77777777" w:rsidR="00CD51E3" w:rsidRPr="00D858FB" w:rsidRDefault="00000000">
      <w:pPr>
        <w:rPr>
          <w:sz w:val="24"/>
          <w:szCs w:val="24"/>
        </w:rPr>
      </w:pPr>
      <w:r w:rsidRPr="00D858FB">
        <w:rPr>
          <w:sz w:val="24"/>
          <w:szCs w:val="24"/>
        </w:rPr>
        <w:br w:type="page"/>
      </w:r>
    </w:p>
    <w:p w14:paraId="57F3B7E2" w14:textId="77777777" w:rsidR="00CD51E3" w:rsidRPr="00D858FB" w:rsidRDefault="00000000">
      <w:pPr>
        <w:pStyle w:val="Heading1"/>
        <w:rPr>
          <w:color w:val="auto"/>
          <w:szCs w:val="24"/>
        </w:rPr>
      </w:pPr>
      <w:r w:rsidRPr="00D858FB">
        <w:rPr>
          <w:rFonts w:ascii="Times New Roman" w:eastAsia="Times New Roman" w:hAnsi="Times New Roman"/>
          <w:color w:val="auto"/>
          <w:szCs w:val="24"/>
        </w:rPr>
        <w:lastRenderedPageBreak/>
        <w:t>References</w:t>
      </w:r>
    </w:p>
    <w:p w14:paraId="3BE23018" w14:textId="77777777" w:rsidR="00211A57" w:rsidRPr="00211A57" w:rsidRDefault="00211A57" w:rsidP="00211A57">
      <w:pPr>
        <w:spacing w:before="100" w:beforeAutospacing="1" w:after="100" w:afterAutospacing="1" w:line="240" w:lineRule="auto"/>
        <w:ind w:left="540" w:hanging="540"/>
        <w:rPr>
          <w:rFonts w:eastAsia="Times New Roman" w:cs="Times New Roman"/>
          <w:sz w:val="24"/>
          <w:szCs w:val="24"/>
        </w:rPr>
      </w:pPr>
      <w:r w:rsidRPr="00211A57">
        <w:rPr>
          <w:rFonts w:eastAsia="Times New Roman" w:cs="Times New Roman"/>
          <w:sz w:val="24"/>
          <w:szCs w:val="24"/>
        </w:rPr>
        <w:t xml:space="preserve">Adhikari, T. R., Baniya, B., Tang, Q., </w:t>
      </w:r>
      <w:proofErr w:type="spellStart"/>
      <w:r w:rsidRPr="00211A57">
        <w:rPr>
          <w:rFonts w:eastAsia="Times New Roman" w:cs="Times New Roman"/>
          <w:sz w:val="24"/>
          <w:szCs w:val="24"/>
        </w:rPr>
        <w:t>Talchabhadel</w:t>
      </w:r>
      <w:proofErr w:type="spellEnd"/>
      <w:r w:rsidRPr="00211A57">
        <w:rPr>
          <w:rFonts w:eastAsia="Times New Roman" w:cs="Times New Roman"/>
          <w:sz w:val="24"/>
          <w:szCs w:val="24"/>
        </w:rPr>
        <w:t xml:space="preserve">, R., Gouli, M. R., Budhathoki, B. R., &amp; Awasthi, R. P. (2023). Evaluation of post extreme floods in high mountain region: A case study of the </w:t>
      </w:r>
      <w:proofErr w:type="spellStart"/>
      <w:r w:rsidRPr="00211A57">
        <w:rPr>
          <w:rFonts w:eastAsia="Times New Roman" w:cs="Times New Roman"/>
          <w:sz w:val="24"/>
          <w:szCs w:val="24"/>
        </w:rPr>
        <w:t>Melamchi</w:t>
      </w:r>
      <w:proofErr w:type="spellEnd"/>
      <w:r w:rsidRPr="00211A57">
        <w:rPr>
          <w:rFonts w:eastAsia="Times New Roman" w:cs="Times New Roman"/>
          <w:sz w:val="24"/>
          <w:szCs w:val="24"/>
        </w:rPr>
        <w:t xml:space="preserve"> flood 2021 at the Koshi River Basin in Nepal. </w:t>
      </w:r>
      <w:r w:rsidRPr="00211A57">
        <w:rPr>
          <w:rFonts w:eastAsia="Times New Roman" w:cs="Times New Roman"/>
          <w:i/>
          <w:iCs/>
          <w:sz w:val="24"/>
          <w:szCs w:val="24"/>
        </w:rPr>
        <w:t>Natural Hazards Research, 3</w:t>
      </w:r>
      <w:r w:rsidRPr="00211A57">
        <w:rPr>
          <w:rFonts w:eastAsia="Times New Roman" w:cs="Times New Roman"/>
          <w:sz w:val="24"/>
          <w:szCs w:val="24"/>
        </w:rPr>
        <w:t xml:space="preserve">, 437–446. </w:t>
      </w:r>
      <w:hyperlink r:id="rId8" w:history="1">
        <w:r w:rsidRPr="00211A57">
          <w:rPr>
            <w:rFonts w:eastAsia="Times New Roman" w:cs="Times New Roman"/>
            <w:color w:val="0000FF"/>
            <w:sz w:val="24"/>
            <w:szCs w:val="24"/>
            <w:u w:val="single"/>
          </w:rPr>
          <w:t>https://doi.org/10.1016/j.nhres.2023.07.001</w:t>
        </w:r>
      </w:hyperlink>
    </w:p>
    <w:p w14:paraId="6F5BDE22" w14:textId="77777777" w:rsidR="00211A57" w:rsidRPr="00211A57" w:rsidRDefault="00211A57" w:rsidP="00211A57">
      <w:pPr>
        <w:spacing w:before="100" w:beforeAutospacing="1" w:after="100" w:afterAutospacing="1" w:line="240" w:lineRule="auto"/>
        <w:ind w:left="540" w:hanging="540"/>
        <w:rPr>
          <w:rFonts w:eastAsia="Times New Roman" w:cs="Times New Roman"/>
          <w:sz w:val="24"/>
          <w:szCs w:val="24"/>
        </w:rPr>
      </w:pPr>
      <w:r w:rsidRPr="00211A57">
        <w:rPr>
          <w:rFonts w:eastAsia="Times New Roman" w:cs="Times New Roman"/>
          <w:sz w:val="24"/>
          <w:szCs w:val="24"/>
        </w:rPr>
        <w:t xml:space="preserve">Baniya, B., Tang, Q., Neupane, B., Xu, X., He, L., Adhikari, T. R., Shamsi, S. R. F., &amp; Dhital, Y. P. (2023). Rainfall erosivity and sediment dynamics in the Himalaya catchment during the </w:t>
      </w:r>
      <w:proofErr w:type="spellStart"/>
      <w:r w:rsidRPr="00211A57">
        <w:rPr>
          <w:rFonts w:eastAsia="Times New Roman" w:cs="Times New Roman"/>
          <w:sz w:val="24"/>
          <w:szCs w:val="24"/>
        </w:rPr>
        <w:t>Melamchi</w:t>
      </w:r>
      <w:proofErr w:type="spellEnd"/>
      <w:r w:rsidRPr="00211A57">
        <w:rPr>
          <w:rFonts w:eastAsia="Times New Roman" w:cs="Times New Roman"/>
          <w:sz w:val="24"/>
          <w:szCs w:val="24"/>
        </w:rPr>
        <w:t xml:space="preserve"> flood in Nepal. </w:t>
      </w:r>
      <w:r w:rsidRPr="00211A57">
        <w:rPr>
          <w:rFonts w:eastAsia="Times New Roman" w:cs="Times New Roman"/>
          <w:i/>
          <w:iCs/>
          <w:sz w:val="24"/>
          <w:szCs w:val="24"/>
        </w:rPr>
        <w:t>Journal of Mountain Science, 20</w:t>
      </w:r>
      <w:r w:rsidRPr="00211A57">
        <w:rPr>
          <w:rFonts w:eastAsia="Times New Roman" w:cs="Times New Roman"/>
          <w:sz w:val="24"/>
          <w:szCs w:val="24"/>
        </w:rPr>
        <w:t xml:space="preserve">, 2993–3009. </w:t>
      </w:r>
      <w:hyperlink r:id="rId9" w:history="1">
        <w:r w:rsidRPr="00211A57">
          <w:rPr>
            <w:rFonts w:eastAsia="Times New Roman" w:cs="Times New Roman"/>
            <w:color w:val="0000FF"/>
            <w:sz w:val="24"/>
            <w:szCs w:val="24"/>
            <w:u w:val="single"/>
          </w:rPr>
          <w:t>https://doi.org/10.1007/s11629-023-8231-2</w:t>
        </w:r>
      </w:hyperlink>
    </w:p>
    <w:p w14:paraId="3265C141" w14:textId="77777777" w:rsidR="00211A57" w:rsidRPr="00211A57" w:rsidRDefault="00211A57" w:rsidP="00211A57">
      <w:pPr>
        <w:spacing w:before="100" w:beforeAutospacing="1" w:after="100" w:afterAutospacing="1" w:line="240" w:lineRule="auto"/>
        <w:ind w:left="540" w:hanging="540"/>
        <w:rPr>
          <w:rFonts w:eastAsia="Times New Roman" w:cs="Times New Roman"/>
          <w:sz w:val="24"/>
          <w:szCs w:val="24"/>
        </w:rPr>
      </w:pPr>
      <w:r w:rsidRPr="00211A57">
        <w:rPr>
          <w:rFonts w:eastAsia="Times New Roman" w:cs="Times New Roman"/>
          <w:sz w:val="24"/>
          <w:szCs w:val="24"/>
        </w:rPr>
        <w:t xml:space="preserve">Baniya, B., Tang, Q., Adhikari, T. R., Zhao, G., Haile, G. G., Sigdel, M., &amp; He, L. (2024). Climate change induced </w:t>
      </w:r>
      <w:proofErr w:type="spellStart"/>
      <w:r w:rsidRPr="00211A57">
        <w:rPr>
          <w:rFonts w:eastAsia="Times New Roman" w:cs="Times New Roman"/>
          <w:sz w:val="24"/>
          <w:szCs w:val="24"/>
        </w:rPr>
        <w:t>Melamchi</w:t>
      </w:r>
      <w:proofErr w:type="spellEnd"/>
      <w:r w:rsidRPr="00211A57">
        <w:rPr>
          <w:rFonts w:eastAsia="Times New Roman" w:cs="Times New Roman"/>
          <w:sz w:val="24"/>
          <w:szCs w:val="24"/>
        </w:rPr>
        <w:t xml:space="preserve"> extreme flood and environment implication in central Himalaya of Nepal. </w:t>
      </w:r>
      <w:r w:rsidRPr="00211A57">
        <w:rPr>
          <w:rFonts w:eastAsia="Times New Roman" w:cs="Times New Roman"/>
          <w:i/>
          <w:iCs/>
          <w:sz w:val="24"/>
          <w:szCs w:val="24"/>
        </w:rPr>
        <w:t>Natural Hazards, 120</w:t>
      </w:r>
      <w:r w:rsidRPr="00211A57">
        <w:rPr>
          <w:rFonts w:eastAsia="Times New Roman" w:cs="Times New Roman"/>
          <w:sz w:val="24"/>
          <w:szCs w:val="24"/>
        </w:rPr>
        <w:t xml:space="preserve">, 11009–11029. </w:t>
      </w:r>
      <w:hyperlink r:id="rId10" w:history="1">
        <w:r w:rsidRPr="00211A57">
          <w:rPr>
            <w:rFonts w:eastAsia="Times New Roman" w:cs="Times New Roman"/>
            <w:color w:val="0000FF"/>
            <w:sz w:val="24"/>
            <w:szCs w:val="24"/>
            <w:u w:val="single"/>
          </w:rPr>
          <w:t>https://doi.org/10.1007/s11069-024-06645-7</w:t>
        </w:r>
      </w:hyperlink>
    </w:p>
    <w:p w14:paraId="04B39AAE" w14:textId="77777777" w:rsidR="00211A57" w:rsidRPr="00211A57" w:rsidRDefault="00211A57" w:rsidP="00211A57">
      <w:pPr>
        <w:spacing w:before="100" w:beforeAutospacing="1" w:after="100" w:afterAutospacing="1" w:line="240" w:lineRule="auto"/>
        <w:ind w:left="540" w:hanging="540"/>
        <w:rPr>
          <w:rFonts w:eastAsia="Times New Roman" w:cs="Times New Roman"/>
          <w:sz w:val="24"/>
          <w:szCs w:val="24"/>
        </w:rPr>
      </w:pPr>
      <w:r w:rsidRPr="00211A57">
        <w:rPr>
          <w:rFonts w:eastAsia="Times New Roman" w:cs="Times New Roman"/>
          <w:sz w:val="24"/>
          <w:szCs w:val="24"/>
        </w:rPr>
        <w:t xml:space="preserve">Bohlinger, P., &amp; Sorteberg, A. (2018). A comprehensive view on trends in extreme precipitation in Nepal and their spatial distribution. </w:t>
      </w:r>
      <w:r w:rsidRPr="00211A57">
        <w:rPr>
          <w:rFonts w:eastAsia="Times New Roman" w:cs="Times New Roman"/>
          <w:i/>
          <w:iCs/>
          <w:sz w:val="24"/>
          <w:szCs w:val="24"/>
        </w:rPr>
        <w:t>International Journal of Climatology, 38</w:t>
      </w:r>
      <w:r w:rsidRPr="00211A57">
        <w:rPr>
          <w:rFonts w:eastAsia="Times New Roman" w:cs="Times New Roman"/>
          <w:sz w:val="24"/>
          <w:szCs w:val="24"/>
        </w:rPr>
        <w:t xml:space="preserve">, 1833–1845. </w:t>
      </w:r>
      <w:hyperlink r:id="rId11" w:history="1">
        <w:r w:rsidRPr="00211A57">
          <w:rPr>
            <w:rFonts w:eastAsia="Times New Roman" w:cs="Times New Roman"/>
            <w:color w:val="0000FF"/>
            <w:sz w:val="24"/>
            <w:szCs w:val="24"/>
            <w:u w:val="single"/>
          </w:rPr>
          <w:t>https://doi.org/10.1002/joc.5299</w:t>
        </w:r>
      </w:hyperlink>
    </w:p>
    <w:p w14:paraId="7941C44C" w14:textId="77777777" w:rsidR="00211A57" w:rsidRPr="00211A57" w:rsidRDefault="00211A57" w:rsidP="00211A57">
      <w:pPr>
        <w:spacing w:before="100" w:beforeAutospacing="1" w:after="100" w:afterAutospacing="1" w:line="240" w:lineRule="auto"/>
        <w:ind w:left="540" w:hanging="540"/>
        <w:rPr>
          <w:rFonts w:eastAsia="Times New Roman" w:cs="Times New Roman"/>
          <w:sz w:val="24"/>
          <w:szCs w:val="24"/>
        </w:rPr>
      </w:pPr>
      <w:r w:rsidRPr="00211A57">
        <w:rPr>
          <w:rFonts w:eastAsia="Times New Roman" w:cs="Times New Roman"/>
          <w:sz w:val="24"/>
          <w:szCs w:val="24"/>
        </w:rPr>
        <w:t xml:space="preserve">Brewin, P. A., Buckton, S. T., &amp; Ormerod, S. J. (2000). The seasonal dynamics and persistence of stream macroinvertebrates in Nepal: Do monsoon floods represent disturbance? </w:t>
      </w:r>
      <w:r w:rsidRPr="00211A57">
        <w:rPr>
          <w:rFonts w:eastAsia="Times New Roman" w:cs="Times New Roman"/>
          <w:i/>
          <w:iCs/>
          <w:sz w:val="24"/>
          <w:szCs w:val="24"/>
        </w:rPr>
        <w:t>Freshwater Biology, 44</w:t>
      </w:r>
      <w:r w:rsidRPr="00211A57">
        <w:rPr>
          <w:rFonts w:eastAsia="Times New Roman" w:cs="Times New Roman"/>
          <w:sz w:val="24"/>
          <w:szCs w:val="24"/>
        </w:rPr>
        <w:t xml:space="preserve">, 581–594. </w:t>
      </w:r>
      <w:hyperlink r:id="rId12" w:history="1">
        <w:r w:rsidRPr="00211A57">
          <w:rPr>
            <w:rFonts w:eastAsia="Times New Roman" w:cs="Times New Roman"/>
            <w:color w:val="0000FF"/>
            <w:sz w:val="24"/>
            <w:szCs w:val="24"/>
            <w:u w:val="single"/>
          </w:rPr>
          <w:t>https://doi.org/10.1046/j.1365-2427.2000.00608.x</w:t>
        </w:r>
      </w:hyperlink>
    </w:p>
    <w:p w14:paraId="6B149590" w14:textId="77777777" w:rsidR="00211A57" w:rsidRPr="00211A57" w:rsidRDefault="00211A57" w:rsidP="00211A57">
      <w:pPr>
        <w:spacing w:before="100" w:beforeAutospacing="1" w:after="100" w:afterAutospacing="1" w:line="240" w:lineRule="auto"/>
        <w:ind w:left="540" w:hanging="540"/>
        <w:rPr>
          <w:rFonts w:eastAsia="Times New Roman" w:cs="Times New Roman"/>
          <w:sz w:val="24"/>
          <w:szCs w:val="24"/>
        </w:rPr>
      </w:pPr>
      <w:r w:rsidRPr="00211A57">
        <w:rPr>
          <w:rFonts w:eastAsia="Times New Roman" w:cs="Times New Roman"/>
          <w:sz w:val="24"/>
          <w:szCs w:val="24"/>
        </w:rPr>
        <w:t xml:space="preserve">Chattopadhyay, S., </w:t>
      </w:r>
      <w:proofErr w:type="spellStart"/>
      <w:r w:rsidRPr="00211A57">
        <w:rPr>
          <w:rFonts w:eastAsia="Times New Roman" w:cs="Times New Roman"/>
          <w:sz w:val="24"/>
          <w:szCs w:val="24"/>
        </w:rPr>
        <w:t>Oglęcki</w:t>
      </w:r>
      <w:proofErr w:type="spellEnd"/>
      <w:r w:rsidRPr="00211A57">
        <w:rPr>
          <w:rFonts w:eastAsia="Times New Roman" w:cs="Times New Roman"/>
          <w:sz w:val="24"/>
          <w:szCs w:val="24"/>
        </w:rPr>
        <w:t>, P., Keller, A., Kardel, I., Mirosław-</w:t>
      </w:r>
      <w:proofErr w:type="spellStart"/>
      <w:r w:rsidRPr="00211A57">
        <w:rPr>
          <w:rFonts w:eastAsia="Times New Roman" w:cs="Times New Roman"/>
          <w:sz w:val="24"/>
          <w:szCs w:val="24"/>
        </w:rPr>
        <w:t>Świątek</w:t>
      </w:r>
      <w:proofErr w:type="spellEnd"/>
      <w:r w:rsidRPr="00211A57">
        <w:rPr>
          <w:rFonts w:eastAsia="Times New Roman" w:cs="Times New Roman"/>
          <w:sz w:val="24"/>
          <w:szCs w:val="24"/>
        </w:rPr>
        <w:t xml:space="preserve">, D., &amp; </w:t>
      </w:r>
      <w:proofErr w:type="spellStart"/>
      <w:r w:rsidRPr="00211A57">
        <w:rPr>
          <w:rFonts w:eastAsia="Times New Roman" w:cs="Times New Roman"/>
          <w:sz w:val="24"/>
          <w:szCs w:val="24"/>
        </w:rPr>
        <w:t>Piniewski</w:t>
      </w:r>
      <w:proofErr w:type="spellEnd"/>
      <w:r w:rsidRPr="00211A57">
        <w:rPr>
          <w:rFonts w:eastAsia="Times New Roman" w:cs="Times New Roman"/>
          <w:sz w:val="24"/>
          <w:szCs w:val="24"/>
        </w:rPr>
        <w:t xml:space="preserve">, M. (2021). Effect of a summer flood on benthic macroinvertebrates in a medium-sized, temperate, lowland river. </w:t>
      </w:r>
      <w:r w:rsidRPr="00211A57">
        <w:rPr>
          <w:rFonts w:eastAsia="Times New Roman" w:cs="Times New Roman"/>
          <w:i/>
          <w:iCs/>
          <w:sz w:val="24"/>
          <w:szCs w:val="24"/>
        </w:rPr>
        <w:t>Water, 13</w:t>
      </w:r>
      <w:r w:rsidRPr="00211A57">
        <w:rPr>
          <w:rFonts w:eastAsia="Times New Roman" w:cs="Times New Roman"/>
          <w:sz w:val="24"/>
          <w:szCs w:val="24"/>
        </w:rPr>
        <w:t xml:space="preserve">, 885. </w:t>
      </w:r>
      <w:hyperlink r:id="rId13" w:history="1">
        <w:r w:rsidRPr="00211A57">
          <w:rPr>
            <w:rFonts w:eastAsia="Times New Roman" w:cs="Times New Roman"/>
            <w:color w:val="0000FF"/>
            <w:sz w:val="24"/>
            <w:szCs w:val="24"/>
            <w:u w:val="single"/>
          </w:rPr>
          <w:t>https://doi.org/10.3390/w13070885</w:t>
        </w:r>
      </w:hyperlink>
    </w:p>
    <w:p w14:paraId="0FBA9C31" w14:textId="77777777" w:rsidR="00211A57" w:rsidRPr="00211A57" w:rsidRDefault="00211A57" w:rsidP="00211A57">
      <w:pPr>
        <w:spacing w:before="100" w:beforeAutospacing="1" w:after="100" w:afterAutospacing="1" w:line="240" w:lineRule="auto"/>
        <w:ind w:left="540" w:hanging="540"/>
        <w:rPr>
          <w:rFonts w:eastAsia="Times New Roman" w:cs="Times New Roman"/>
          <w:sz w:val="24"/>
          <w:szCs w:val="24"/>
        </w:rPr>
      </w:pPr>
      <w:r w:rsidRPr="00211A57">
        <w:rPr>
          <w:rFonts w:eastAsia="Times New Roman" w:cs="Times New Roman"/>
          <w:sz w:val="24"/>
          <w:szCs w:val="24"/>
        </w:rPr>
        <w:t xml:space="preserve">Chen, C.-M., Hollingsworth, J., Clark, M. K., </w:t>
      </w:r>
      <w:proofErr w:type="spellStart"/>
      <w:r w:rsidRPr="00211A57">
        <w:rPr>
          <w:rFonts w:eastAsia="Times New Roman" w:cs="Times New Roman"/>
          <w:sz w:val="24"/>
          <w:szCs w:val="24"/>
        </w:rPr>
        <w:t>Chamlagain</w:t>
      </w:r>
      <w:proofErr w:type="spellEnd"/>
      <w:r w:rsidRPr="00211A57">
        <w:rPr>
          <w:rFonts w:eastAsia="Times New Roman" w:cs="Times New Roman"/>
          <w:sz w:val="24"/>
          <w:szCs w:val="24"/>
        </w:rPr>
        <w:t xml:space="preserve">, D., Bista, S., </w:t>
      </w:r>
      <w:proofErr w:type="spellStart"/>
      <w:r w:rsidRPr="00211A57">
        <w:rPr>
          <w:rFonts w:eastAsia="Times New Roman" w:cs="Times New Roman"/>
          <w:sz w:val="24"/>
          <w:szCs w:val="24"/>
        </w:rPr>
        <w:t>Zekkos</w:t>
      </w:r>
      <w:proofErr w:type="spellEnd"/>
      <w:r w:rsidRPr="00211A57">
        <w:rPr>
          <w:rFonts w:eastAsia="Times New Roman" w:cs="Times New Roman"/>
          <w:sz w:val="24"/>
          <w:szCs w:val="24"/>
        </w:rPr>
        <w:t xml:space="preserve">, D., Siwakoti, A., &amp; West, A. J. (2025). Erosional cascade during the 2021 </w:t>
      </w:r>
      <w:proofErr w:type="spellStart"/>
      <w:r w:rsidRPr="00211A57">
        <w:rPr>
          <w:rFonts w:eastAsia="Times New Roman" w:cs="Times New Roman"/>
          <w:sz w:val="24"/>
          <w:szCs w:val="24"/>
        </w:rPr>
        <w:t>Melamchi</w:t>
      </w:r>
      <w:proofErr w:type="spellEnd"/>
      <w:r w:rsidRPr="00211A57">
        <w:rPr>
          <w:rFonts w:eastAsia="Times New Roman" w:cs="Times New Roman"/>
          <w:sz w:val="24"/>
          <w:szCs w:val="24"/>
        </w:rPr>
        <w:t xml:space="preserve"> flood. </w:t>
      </w:r>
      <w:r w:rsidRPr="00211A57">
        <w:rPr>
          <w:rFonts w:eastAsia="Times New Roman" w:cs="Times New Roman"/>
          <w:i/>
          <w:iCs/>
          <w:sz w:val="24"/>
          <w:szCs w:val="24"/>
        </w:rPr>
        <w:t>Nature Geoscience, 18</w:t>
      </w:r>
      <w:r w:rsidRPr="00211A57">
        <w:rPr>
          <w:rFonts w:eastAsia="Times New Roman" w:cs="Times New Roman"/>
          <w:sz w:val="24"/>
          <w:szCs w:val="24"/>
        </w:rPr>
        <w:t xml:space="preserve">, 32–36. </w:t>
      </w:r>
      <w:hyperlink r:id="rId14" w:history="1">
        <w:r w:rsidRPr="00211A57">
          <w:rPr>
            <w:rFonts w:eastAsia="Times New Roman" w:cs="Times New Roman"/>
            <w:color w:val="0000FF"/>
            <w:sz w:val="24"/>
            <w:szCs w:val="24"/>
            <w:u w:val="single"/>
          </w:rPr>
          <w:t>https://doi.org/10.1038/s41561-024-01596-x</w:t>
        </w:r>
      </w:hyperlink>
    </w:p>
    <w:p w14:paraId="0506C66A" w14:textId="77777777" w:rsidR="00884724" w:rsidRDefault="00000000">
      <w:r>
        <w:rPr>
          <w:b/>
          <w:highlight w:val="yellow"/>
        </w:rPr>
        <w:t>Christopher, Z. D., Etim, I.-I. N., Effiong, K. S., Inyang, A. I., &amp; Akpan, U. E. (2025). Impact of climate change and anthropogenic activities on the aquatic ecosystem of South-Eastern Nigeria. Asian Journal of Current Research, 10(3), 197–219. https://doi.org/10.56557/ajocr/2025/v10i39617</w:t>
      </w:r>
    </w:p>
    <w:p w14:paraId="6FF69657" w14:textId="77777777" w:rsidR="00211A57" w:rsidRPr="00211A57" w:rsidRDefault="00211A57" w:rsidP="00211A57">
      <w:pPr>
        <w:spacing w:before="100" w:beforeAutospacing="1" w:after="100" w:afterAutospacing="1" w:line="240" w:lineRule="auto"/>
        <w:ind w:left="540" w:hanging="540"/>
        <w:rPr>
          <w:rFonts w:eastAsia="Times New Roman" w:cs="Times New Roman"/>
          <w:sz w:val="24"/>
          <w:szCs w:val="24"/>
        </w:rPr>
      </w:pPr>
      <w:r w:rsidRPr="00211A57">
        <w:rPr>
          <w:rFonts w:eastAsia="Times New Roman" w:cs="Times New Roman"/>
          <w:sz w:val="24"/>
          <w:szCs w:val="24"/>
        </w:rPr>
        <w:t xml:space="preserve">Crosa, G., Castelli, E., Gentili, G., &amp; </w:t>
      </w:r>
      <w:proofErr w:type="spellStart"/>
      <w:r w:rsidRPr="00211A57">
        <w:rPr>
          <w:rFonts w:eastAsia="Times New Roman" w:cs="Times New Roman"/>
          <w:sz w:val="24"/>
          <w:szCs w:val="24"/>
        </w:rPr>
        <w:t>Espa</w:t>
      </w:r>
      <w:proofErr w:type="spellEnd"/>
      <w:r w:rsidRPr="00211A57">
        <w:rPr>
          <w:rFonts w:eastAsia="Times New Roman" w:cs="Times New Roman"/>
          <w:sz w:val="24"/>
          <w:szCs w:val="24"/>
        </w:rPr>
        <w:t xml:space="preserve">, P. (2010). Effects of suspended sediments from reservoir flushing on fish and macroinvertebrates in an alpine stream. </w:t>
      </w:r>
      <w:r w:rsidRPr="00211A57">
        <w:rPr>
          <w:rFonts w:eastAsia="Times New Roman" w:cs="Times New Roman"/>
          <w:i/>
          <w:iCs/>
          <w:sz w:val="24"/>
          <w:szCs w:val="24"/>
        </w:rPr>
        <w:t>Aquatic Sciences, 72</w:t>
      </w:r>
      <w:r w:rsidRPr="00211A57">
        <w:rPr>
          <w:rFonts w:eastAsia="Times New Roman" w:cs="Times New Roman"/>
          <w:sz w:val="24"/>
          <w:szCs w:val="24"/>
        </w:rPr>
        <w:t xml:space="preserve">, 85–95. </w:t>
      </w:r>
      <w:hyperlink r:id="rId15" w:history="1">
        <w:r w:rsidRPr="00211A57">
          <w:rPr>
            <w:rFonts w:eastAsia="Times New Roman" w:cs="Times New Roman"/>
            <w:color w:val="0000FF"/>
            <w:sz w:val="24"/>
            <w:szCs w:val="24"/>
            <w:u w:val="single"/>
          </w:rPr>
          <w:t>https://doi.org/10.1007/s00027-009-0117-z</w:t>
        </w:r>
      </w:hyperlink>
    </w:p>
    <w:p w14:paraId="61F26C88" w14:textId="77777777" w:rsidR="00884724" w:rsidRDefault="00000000">
      <w:r>
        <w:rPr>
          <w:b/>
          <w:highlight w:val="yellow"/>
        </w:rPr>
        <w:t xml:space="preserve">Dube, S. K., Rana, N. K., &amp; Sharma, L. (2025). Morphometric analysis of the West </w:t>
      </w:r>
      <w:proofErr w:type="spellStart"/>
      <w:r>
        <w:rPr>
          <w:b/>
          <w:highlight w:val="yellow"/>
        </w:rPr>
        <w:t>Rapti</w:t>
      </w:r>
      <w:proofErr w:type="spellEnd"/>
      <w:r>
        <w:rPr>
          <w:b/>
          <w:highlight w:val="yellow"/>
        </w:rPr>
        <w:t xml:space="preserve"> River Basin: Geospatial assessment and hydrological implications. Asian Journal of Environment &amp; Ecology, 24(8), 12–33. https://doi.org/10.9734/ajee/2025/v24i8769</w:t>
      </w:r>
    </w:p>
    <w:p w14:paraId="2C3A9106" w14:textId="77777777" w:rsidR="00211A57" w:rsidRPr="00211A57" w:rsidRDefault="00211A57" w:rsidP="00211A57">
      <w:pPr>
        <w:spacing w:before="100" w:beforeAutospacing="1" w:after="100" w:afterAutospacing="1" w:line="240" w:lineRule="auto"/>
        <w:ind w:left="540" w:hanging="540"/>
        <w:rPr>
          <w:rFonts w:eastAsia="Times New Roman" w:cs="Times New Roman"/>
          <w:sz w:val="24"/>
          <w:szCs w:val="24"/>
        </w:rPr>
      </w:pPr>
      <w:r w:rsidRPr="00211A57">
        <w:rPr>
          <w:rFonts w:eastAsia="Times New Roman" w:cs="Times New Roman"/>
          <w:sz w:val="24"/>
          <w:szCs w:val="24"/>
        </w:rPr>
        <w:lastRenderedPageBreak/>
        <w:t xml:space="preserve">Edds, D. R. (1993). Fish assemblage structure and environmental correlates in Nepal’s Gandaki River. </w:t>
      </w:r>
      <w:proofErr w:type="spellStart"/>
      <w:r w:rsidRPr="00211A57">
        <w:rPr>
          <w:rFonts w:eastAsia="Times New Roman" w:cs="Times New Roman"/>
          <w:i/>
          <w:iCs/>
          <w:sz w:val="24"/>
          <w:szCs w:val="24"/>
        </w:rPr>
        <w:t>Copeia</w:t>
      </w:r>
      <w:proofErr w:type="spellEnd"/>
      <w:r w:rsidRPr="00211A57">
        <w:rPr>
          <w:rFonts w:eastAsia="Times New Roman" w:cs="Times New Roman"/>
          <w:i/>
          <w:iCs/>
          <w:sz w:val="24"/>
          <w:szCs w:val="24"/>
        </w:rPr>
        <w:t>, 1993</w:t>
      </w:r>
      <w:r w:rsidRPr="00211A57">
        <w:rPr>
          <w:rFonts w:eastAsia="Times New Roman" w:cs="Times New Roman"/>
          <w:sz w:val="24"/>
          <w:szCs w:val="24"/>
        </w:rPr>
        <w:t xml:space="preserve">, 48–60. </w:t>
      </w:r>
      <w:hyperlink r:id="rId16" w:history="1">
        <w:r w:rsidRPr="00211A57">
          <w:rPr>
            <w:rFonts w:eastAsia="Times New Roman" w:cs="Times New Roman"/>
            <w:color w:val="0000FF"/>
            <w:sz w:val="24"/>
            <w:szCs w:val="24"/>
            <w:u w:val="single"/>
          </w:rPr>
          <w:t>https://doi.org/10.2307/1446294</w:t>
        </w:r>
      </w:hyperlink>
    </w:p>
    <w:p w14:paraId="5DDA5112" w14:textId="77777777" w:rsidR="00211A57" w:rsidRPr="00211A57" w:rsidRDefault="00211A57" w:rsidP="00211A57">
      <w:pPr>
        <w:spacing w:before="100" w:beforeAutospacing="1" w:after="100" w:afterAutospacing="1" w:line="240" w:lineRule="auto"/>
        <w:ind w:left="540" w:hanging="540"/>
        <w:rPr>
          <w:rFonts w:eastAsia="Times New Roman" w:cs="Times New Roman"/>
          <w:sz w:val="24"/>
          <w:szCs w:val="24"/>
        </w:rPr>
      </w:pPr>
      <w:r w:rsidRPr="00211A57">
        <w:rPr>
          <w:rFonts w:eastAsia="Times New Roman" w:cs="Times New Roman"/>
          <w:sz w:val="24"/>
          <w:szCs w:val="24"/>
        </w:rPr>
        <w:t xml:space="preserve">Fisher, S. G., Gray, L. J., Grimm, N. B., &amp; Busch, D. E. (1982). Temporal succession in a desert stream ecosystem following flash flooding. </w:t>
      </w:r>
      <w:r w:rsidRPr="00211A57">
        <w:rPr>
          <w:rFonts w:eastAsia="Times New Roman" w:cs="Times New Roman"/>
          <w:i/>
          <w:iCs/>
          <w:sz w:val="24"/>
          <w:szCs w:val="24"/>
        </w:rPr>
        <w:t>Ecological Monographs, 52</w:t>
      </w:r>
      <w:r w:rsidRPr="00211A57">
        <w:rPr>
          <w:rFonts w:eastAsia="Times New Roman" w:cs="Times New Roman"/>
          <w:sz w:val="24"/>
          <w:szCs w:val="24"/>
        </w:rPr>
        <w:t xml:space="preserve">, 93–110. </w:t>
      </w:r>
      <w:hyperlink r:id="rId17" w:history="1">
        <w:r w:rsidRPr="00211A57">
          <w:rPr>
            <w:rFonts w:eastAsia="Times New Roman" w:cs="Times New Roman"/>
            <w:color w:val="0000FF"/>
            <w:sz w:val="24"/>
            <w:szCs w:val="24"/>
            <w:u w:val="single"/>
          </w:rPr>
          <w:t>https://doi.org/10.2307/2937346</w:t>
        </w:r>
      </w:hyperlink>
    </w:p>
    <w:p w14:paraId="1B64FABB" w14:textId="77777777" w:rsidR="00884724" w:rsidRDefault="00000000">
      <w:r>
        <w:rPr>
          <w:b/>
          <w:highlight w:val="yellow"/>
        </w:rPr>
        <w:t>Hou, Y., Pan, B., Yang, H., Zhu, P., Huang, Z., Zhao, G., &amp; Du, D. (2024). Responses of multi-faceted benthic macroinvertebrates alpha and beta diversity to flooding in a highland floodplain. Environmental Research, 250, 118475. https://doi.org/10.1016/j.envres.2024.118475</w:t>
      </w:r>
    </w:p>
    <w:p w14:paraId="0BF38D96" w14:textId="77777777" w:rsidR="00211A57" w:rsidRPr="00211A57" w:rsidRDefault="00211A57" w:rsidP="00211A57">
      <w:pPr>
        <w:spacing w:before="100" w:beforeAutospacing="1" w:after="100" w:afterAutospacing="1" w:line="240" w:lineRule="auto"/>
        <w:ind w:left="540" w:hanging="540"/>
        <w:rPr>
          <w:rFonts w:eastAsia="Times New Roman" w:cs="Times New Roman"/>
          <w:sz w:val="24"/>
          <w:szCs w:val="24"/>
        </w:rPr>
      </w:pPr>
      <w:r w:rsidRPr="00211A57">
        <w:rPr>
          <w:rFonts w:eastAsia="Times New Roman" w:cs="Times New Roman"/>
          <w:sz w:val="24"/>
          <w:szCs w:val="24"/>
        </w:rPr>
        <w:t xml:space="preserve">Jacobsen, D., Ormerod, S. J., </w:t>
      </w:r>
      <w:proofErr w:type="spellStart"/>
      <w:r w:rsidRPr="00211A57">
        <w:rPr>
          <w:rFonts w:eastAsia="Times New Roman" w:cs="Times New Roman"/>
          <w:sz w:val="24"/>
          <w:szCs w:val="24"/>
        </w:rPr>
        <w:t>Jüttner</w:t>
      </w:r>
      <w:proofErr w:type="spellEnd"/>
      <w:r w:rsidRPr="00211A57">
        <w:rPr>
          <w:rFonts w:eastAsia="Times New Roman" w:cs="Times New Roman"/>
          <w:sz w:val="24"/>
          <w:szCs w:val="24"/>
        </w:rPr>
        <w:t xml:space="preserve">, I., Rojas, O., Martinsen, K. T., Thapa, B., Khatri, K., Paudel, P., Rai, M., Raut, N., &amp; Gurung, S. (2024). Long-term changes and seasonal variability in the stream macrofauna of a Himalayan river system. </w:t>
      </w:r>
      <w:r w:rsidRPr="00211A57">
        <w:rPr>
          <w:rFonts w:eastAsia="Times New Roman" w:cs="Times New Roman"/>
          <w:i/>
          <w:iCs/>
          <w:sz w:val="24"/>
          <w:szCs w:val="24"/>
        </w:rPr>
        <w:t>Inland Waters, 14</w:t>
      </w:r>
      <w:r w:rsidRPr="00211A57">
        <w:rPr>
          <w:rFonts w:eastAsia="Times New Roman" w:cs="Times New Roman"/>
          <w:sz w:val="24"/>
          <w:szCs w:val="24"/>
        </w:rPr>
        <w:t xml:space="preserve">, 171–184. </w:t>
      </w:r>
      <w:hyperlink r:id="rId18" w:history="1">
        <w:r w:rsidRPr="00211A57">
          <w:rPr>
            <w:rFonts w:eastAsia="Times New Roman" w:cs="Times New Roman"/>
            <w:color w:val="0000FF"/>
            <w:sz w:val="24"/>
            <w:szCs w:val="24"/>
            <w:u w:val="single"/>
          </w:rPr>
          <w:t>https://doi.org/10.1080/20442041.2024.2394278</w:t>
        </w:r>
      </w:hyperlink>
    </w:p>
    <w:p w14:paraId="198B6912" w14:textId="77777777" w:rsidR="00211A57" w:rsidRPr="00211A57" w:rsidRDefault="00211A57" w:rsidP="00211A57">
      <w:pPr>
        <w:spacing w:before="100" w:beforeAutospacing="1" w:after="100" w:afterAutospacing="1" w:line="240" w:lineRule="auto"/>
        <w:ind w:left="540" w:hanging="540"/>
        <w:rPr>
          <w:rFonts w:eastAsia="Times New Roman" w:cs="Times New Roman"/>
          <w:sz w:val="24"/>
          <w:szCs w:val="24"/>
        </w:rPr>
      </w:pPr>
      <w:r w:rsidRPr="00211A57">
        <w:rPr>
          <w:rFonts w:eastAsia="Times New Roman" w:cs="Times New Roman"/>
          <w:sz w:val="24"/>
          <w:szCs w:val="24"/>
          <w:lang w:val="nl-BE"/>
        </w:rPr>
        <w:t xml:space="preserve">Kansakar, S. R., Hannah, D. M., Gerrard, J., &amp; Rees, G. (2004). </w:t>
      </w:r>
      <w:r w:rsidRPr="00211A57">
        <w:rPr>
          <w:rFonts w:eastAsia="Times New Roman" w:cs="Times New Roman"/>
          <w:sz w:val="24"/>
          <w:szCs w:val="24"/>
        </w:rPr>
        <w:t xml:space="preserve">Spatial pattern in the precipitation regime of Nepal. </w:t>
      </w:r>
      <w:r w:rsidRPr="00211A57">
        <w:rPr>
          <w:rFonts w:eastAsia="Times New Roman" w:cs="Times New Roman"/>
          <w:i/>
          <w:iCs/>
          <w:sz w:val="24"/>
          <w:szCs w:val="24"/>
        </w:rPr>
        <w:t>International Journal of Climatology, 24</w:t>
      </w:r>
      <w:r w:rsidRPr="00211A57">
        <w:rPr>
          <w:rFonts w:eastAsia="Times New Roman" w:cs="Times New Roman"/>
          <w:sz w:val="24"/>
          <w:szCs w:val="24"/>
        </w:rPr>
        <w:t xml:space="preserve">, 1645–1659. </w:t>
      </w:r>
      <w:hyperlink r:id="rId19" w:history="1">
        <w:r w:rsidRPr="00211A57">
          <w:rPr>
            <w:rFonts w:eastAsia="Times New Roman" w:cs="Times New Roman"/>
            <w:color w:val="0000FF"/>
            <w:sz w:val="24"/>
            <w:szCs w:val="24"/>
            <w:u w:val="single"/>
          </w:rPr>
          <w:t>https://doi.org/10.1002/joc.1098</w:t>
        </w:r>
      </w:hyperlink>
    </w:p>
    <w:p w14:paraId="144A8626" w14:textId="77777777" w:rsidR="00211A57" w:rsidRPr="00211A57" w:rsidRDefault="00211A57" w:rsidP="00211A57">
      <w:pPr>
        <w:spacing w:before="100" w:beforeAutospacing="1" w:after="100" w:afterAutospacing="1" w:line="240" w:lineRule="auto"/>
        <w:ind w:left="540" w:hanging="540"/>
        <w:rPr>
          <w:rFonts w:eastAsia="Times New Roman" w:cs="Times New Roman"/>
          <w:sz w:val="24"/>
          <w:szCs w:val="24"/>
        </w:rPr>
      </w:pPr>
      <w:r w:rsidRPr="00211A57">
        <w:rPr>
          <w:rFonts w:eastAsia="Times New Roman" w:cs="Times New Roman"/>
          <w:sz w:val="24"/>
          <w:szCs w:val="24"/>
        </w:rPr>
        <w:t xml:space="preserve">Karki, R., Hasson, S. u., </w:t>
      </w:r>
      <w:proofErr w:type="spellStart"/>
      <w:r w:rsidRPr="00211A57">
        <w:rPr>
          <w:rFonts w:eastAsia="Times New Roman" w:cs="Times New Roman"/>
          <w:sz w:val="24"/>
          <w:szCs w:val="24"/>
        </w:rPr>
        <w:t>Schickhoff</w:t>
      </w:r>
      <w:proofErr w:type="spellEnd"/>
      <w:r w:rsidRPr="00211A57">
        <w:rPr>
          <w:rFonts w:eastAsia="Times New Roman" w:cs="Times New Roman"/>
          <w:sz w:val="24"/>
          <w:szCs w:val="24"/>
        </w:rPr>
        <w:t xml:space="preserve">, U., Scholten, T., &amp; </w:t>
      </w:r>
      <w:proofErr w:type="spellStart"/>
      <w:r w:rsidRPr="00211A57">
        <w:rPr>
          <w:rFonts w:eastAsia="Times New Roman" w:cs="Times New Roman"/>
          <w:sz w:val="24"/>
          <w:szCs w:val="24"/>
        </w:rPr>
        <w:t>Böhner</w:t>
      </w:r>
      <w:proofErr w:type="spellEnd"/>
      <w:r w:rsidRPr="00211A57">
        <w:rPr>
          <w:rFonts w:eastAsia="Times New Roman" w:cs="Times New Roman"/>
          <w:sz w:val="24"/>
          <w:szCs w:val="24"/>
        </w:rPr>
        <w:t xml:space="preserve">, J. (2017). Rising precipitation extremes across Nepal. </w:t>
      </w:r>
      <w:r w:rsidRPr="00211A57">
        <w:rPr>
          <w:rFonts w:eastAsia="Times New Roman" w:cs="Times New Roman"/>
          <w:i/>
          <w:iCs/>
          <w:sz w:val="24"/>
          <w:szCs w:val="24"/>
        </w:rPr>
        <w:t>Climate, 5</w:t>
      </w:r>
      <w:r w:rsidRPr="00211A57">
        <w:rPr>
          <w:rFonts w:eastAsia="Times New Roman" w:cs="Times New Roman"/>
          <w:sz w:val="24"/>
          <w:szCs w:val="24"/>
        </w:rPr>
        <w:t xml:space="preserve">, 4. </w:t>
      </w:r>
      <w:hyperlink r:id="rId20" w:history="1">
        <w:r w:rsidRPr="00211A57">
          <w:rPr>
            <w:rFonts w:eastAsia="Times New Roman" w:cs="Times New Roman"/>
            <w:color w:val="0000FF"/>
            <w:sz w:val="24"/>
            <w:szCs w:val="24"/>
            <w:u w:val="single"/>
          </w:rPr>
          <w:t>https://doi.org/10.3390/cli5010004</w:t>
        </w:r>
      </w:hyperlink>
    </w:p>
    <w:p w14:paraId="0A091289" w14:textId="77777777" w:rsidR="00211A57" w:rsidRPr="00211A57" w:rsidRDefault="00211A57" w:rsidP="00211A57">
      <w:pPr>
        <w:spacing w:before="100" w:beforeAutospacing="1" w:after="100" w:afterAutospacing="1" w:line="240" w:lineRule="auto"/>
        <w:ind w:left="540" w:hanging="540"/>
        <w:rPr>
          <w:rFonts w:eastAsia="Times New Roman" w:cs="Times New Roman"/>
          <w:sz w:val="24"/>
          <w:szCs w:val="24"/>
        </w:rPr>
      </w:pPr>
      <w:r w:rsidRPr="00211A57">
        <w:rPr>
          <w:rFonts w:eastAsia="Times New Roman" w:cs="Times New Roman"/>
          <w:sz w:val="24"/>
          <w:szCs w:val="24"/>
        </w:rPr>
        <w:t xml:space="preserve">Khanal, G., </w:t>
      </w:r>
      <w:proofErr w:type="spellStart"/>
      <w:r w:rsidRPr="00211A57">
        <w:rPr>
          <w:rFonts w:eastAsia="Times New Roman" w:cs="Times New Roman"/>
          <w:sz w:val="24"/>
          <w:szCs w:val="24"/>
        </w:rPr>
        <w:t>Suryawanshi</w:t>
      </w:r>
      <w:proofErr w:type="spellEnd"/>
      <w:r w:rsidRPr="00211A57">
        <w:rPr>
          <w:rFonts w:eastAsia="Times New Roman" w:cs="Times New Roman"/>
          <w:sz w:val="24"/>
          <w:szCs w:val="24"/>
        </w:rPr>
        <w:t xml:space="preserve">, K. R., Awasthi, K. D., Dhakal, M., Subedi, N., Nath, D., Kandel, R. C., &amp; Kelkar, N. (2016). Irrigation demands aggravate fishing threats to river dolphins in Nepal. </w:t>
      </w:r>
      <w:r w:rsidRPr="00211A57">
        <w:rPr>
          <w:rFonts w:eastAsia="Times New Roman" w:cs="Times New Roman"/>
          <w:i/>
          <w:iCs/>
          <w:sz w:val="24"/>
          <w:szCs w:val="24"/>
        </w:rPr>
        <w:t>Biological Conservation, 204</w:t>
      </w:r>
      <w:r w:rsidRPr="00211A57">
        <w:rPr>
          <w:rFonts w:eastAsia="Times New Roman" w:cs="Times New Roman"/>
          <w:sz w:val="24"/>
          <w:szCs w:val="24"/>
        </w:rPr>
        <w:t xml:space="preserve">, 386–393. </w:t>
      </w:r>
      <w:hyperlink r:id="rId21" w:history="1">
        <w:r w:rsidRPr="00211A57">
          <w:rPr>
            <w:rFonts w:eastAsia="Times New Roman" w:cs="Times New Roman"/>
            <w:color w:val="0000FF"/>
            <w:sz w:val="24"/>
            <w:szCs w:val="24"/>
            <w:u w:val="single"/>
          </w:rPr>
          <w:t>https://doi.org/10.1016/j.biocon.2016.10.026</w:t>
        </w:r>
      </w:hyperlink>
    </w:p>
    <w:p w14:paraId="1918C420" w14:textId="77777777" w:rsidR="00211A57" w:rsidRPr="00211A57" w:rsidRDefault="00211A57" w:rsidP="00211A57">
      <w:pPr>
        <w:spacing w:before="100" w:beforeAutospacing="1" w:after="100" w:afterAutospacing="1" w:line="240" w:lineRule="auto"/>
        <w:ind w:left="540" w:hanging="540"/>
        <w:rPr>
          <w:rFonts w:eastAsia="Times New Roman" w:cs="Times New Roman"/>
          <w:sz w:val="24"/>
          <w:szCs w:val="24"/>
        </w:rPr>
      </w:pPr>
      <w:r w:rsidRPr="00211A57">
        <w:rPr>
          <w:rFonts w:eastAsia="Times New Roman" w:cs="Times New Roman"/>
          <w:sz w:val="24"/>
          <w:szCs w:val="24"/>
        </w:rPr>
        <w:t>Khatri, K., Gurung, S., Jha, B. R., &amp; Khadka, U. R. (2022). Benthic macroinvertebrates assemblages of glacial-fed (</w:t>
      </w:r>
      <w:proofErr w:type="spellStart"/>
      <w:r w:rsidRPr="00211A57">
        <w:rPr>
          <w:rFonts w:eastAsia="Times New Roman" w:cs="Times New Roman"/>
          <w:sz w:val="24"/>
          <w:szCs w:val="24"/>
        </w:rPr>
        <w:t>Bheri</w:t>
      </w:r>
      <w:proofErr w:type="spellEnd"/>
      <w:r w:rsidRPr="00211A57">
        <w:rPr>
          <w:rFonts w:eastAsia="Times New Roman" w:cs="Times New Roman"/>
          <w:sz w:val="24"/>
          <w:szCs w:val="24"/>
        </w:rPr>
        <w:t xml:space="preserve">) and rain-fed (Babai) rivers in western Nepal in the wake of proposed inter-basin water transfer. </w:t>
      </w:r>
      <w:r w:rsidRPr="00211A57">
        <w:rPr>
          <w:rFonts w:eastAsia="Times New Roman" w:cs="Times New Roman"/>
          <w:i/>
          <w:iCs/>
          <w:sz w:val="24"/>
          <w:szCs w:val="24"/>
        </w:rPr>
        <w:t>Biodiversity Data Journal, 10</w:t>
      </w:r>
      <w:r w:rsidRPr="00211A57">
        <w:rPr>
          <w:rFonts w:eastAsia="Times New Roman" w:cs="Times New Roman"/>
          <w:sz w:val="24"/>
          <w:szCs w:val="24"/>
        </w:rPr>
        <w:t xml:space="preserve">, e79275. </w:t>
      </w:r>
      <w:hyperlink r:id="rId22" w:history="1">
        <w:r w:rsidRPr="00211A57">
          <w:rPr>
            <w:rFonts w:eastAsia="Times New Roman" w:cs="Times New Roman"/>
            <w:color w:val="0000FF"/>
            <w:sz w:val="24"/>
            <w:szCs w:val="24"/>
            <w:u w:val="single"/>
          </w:rPr>
          <w:t>https://doi.org/10.3897/BDJ.10.e79275</w:t>
        </w:r>
      </w:hyperlink>
    </w:p>
    <w:p w14:paraId="6628B57F" w14:textId="77777777" w:rsidR="00211A57" w:rsidRPr="00211A57" w:rsidRDefault="00211A57" w:rsidP="00211A57">
      <w:pPr>
        <w:spacing w:before="100" w:beforeAutospacing="1" w:after="100" w:afterAutospacing="1" w:line="240" w:lineRule="auto"/>
        <w:ind w:left="540" w:hanging="540"/>
        <w:rPr>
          <w:rFonts w:eastAsia="Times New Roman" w:cs="Times New Roman"/>
          <w:sz w:val="24"/>
          <w:szCs w:val="24"/>
        </w:rPr>
      </w:pPr>
      <w:r w:rsidRPr="00211A57">
        <w:rPr>
          <w:rFonts w:eastAsia="Times New Roman" w:cs="Times New Roman"/>
          <w:sz w:val="24"/>
          <w:szCs w:val="24"/>
        </w:rPr>
        <w:t xml:space="preserve">Khatri, T. B., Shah, D. N., </w:t>
      </w:r>
      <w:proofErr w:type="spellStart"/>
      <w:r w:rsidRPr="00211A57">
        <w:rPr>
          <w:rFonts w:eastAsia="Times New Roman" w:cs="Times New Roman"/>
          <w:sz w:val="24"/>
          <w:szCs w:val="24"/>
        </w:rPr>
        <w:t>Tachamo</w:t>
      </w:r>
      <w:proofErr w:type="spellEnd"/>
      <w:r w:rsidRPr="00211A57">
        <w:rPr>
          <w:rFonts w:eastAsia="Times New Roman" w:cs="Times New Roman"/>
          <w:sz w:val="24"/>
          <w:szCs w:val="24"/>
        </w:rPr>
        <w:t xml:space="preserve"> Shah, R. D., &amp; Mishra, N. (2010). Biodiversity of Koshi </w:t>
      </w:r>
      <w:proofErr w:type="spellStart"/>
      <w:r w:rsidRPr="00211A57">
        <w:rPr>
          <w:rFonts w:eastAsia="Times New Roman" w:cs="Times New Roman"/>
          <w:sz w:val="24"/>
          <w:szCs w:val="24"/>
        </w:rPr>
        <w:t>Tappu</w:t>
      </w:r>
      <w:proofErr w:type="spellEnd"/>
      <w:r w:rsidRPr="00211A57">
        <w:rPr>
          <w:rFonts w:eastAsia="Times New Roman" w:cs="Times New Roman"/>
          <w:sz w:val="24"/>
          <w:szCs w:val="24"/>
        </w:rPr>
        <w:t xml:space="preserve"> Wildlife Reserve: A post flood assessment. </w:t>
      </w:r>
      <w:r w:rsidRPr="00211A57">
        <w:rPr>
          <w:rFonts w:eastAsia="Times New Roman" w:cs="Times New Roman"/>
          <w:i/>
          <w:iCs/>
          <w:sz w:val="24"/>
          <w:szCs w:val="24"/>
        </w:rPr>
        <w:t>Journal of Wetlands Ecology, 4</w:t>
      </w:r>
      <w:r w:rsidRPr="00211A57">
        <w:rPr>
          <w:rFonts w:eastAsia="Times New Roman" w:cs="Times New Roman"/>
          <w:sz w:val="24"/>
          <w:szCs w:val="24"/>
        </w:rPr>
        <w:t xml:space="preserve">, 69–82. </w:t>
      </w:r>
      <w:hyperlink r:id="rId23" w:history="1">
        <w:r w:rsidRPr="00211A57">
          <w:rPr>
            <w:rFonts w:eastAsia="Times New Roman" w:cs="Times New Roman"/>
            <w:color w:val="0000FF"/>
            <w:sz w:val="24"/>
            <w:szCs w:val="24"/>
            <w:u w:val="single"/>
          </w:rPr>
          <w:t>https://doi.org/10.3126/jowe.v4i0.3734</w:t>
        </w:r>
      </w:hyperlink>
    </w:p>
    <w:p w14:paraId="42C7B9FB" w14:textId="77777777" w:rsidR="00211A57" w:rsidRPr="00211A57" w:rsidRDefault="00211A57" w:rsidP="00211A57">
      <w:pPr>
        <w:spacing w:before="100" w:beforeAutospacing="1" w:after="100" w:afterAutospacing="1" w:line="240" w:lineRule="auto"/>
        <w:ind w:left="540" w:hanging="540"/>
        <w:rPr>
          <w:rFonts w:eastAsia="Times New Roman" w:cs="Times New Roman"/>
          <w:sz w:val="24"/>
          <w:szCs w:val="24"/>
        </w:rPr>
      </w:pPr>
      <w:r w:rsidRPr="00211A57">
        <w:rPr>
          <w:rFonts w:eastAsia="Times New Roman" w:cs="Times New Roman"/>
          <w:sz w:val="24"/>
          <w:szCs w:val="24"/>
          <w:lang w:val="nl-BE"/>
        </w:rPr>
        <w:t xml:space="preserve">Limbu, J. H., Bhurtel, B., Adhikari, A., GC, P., Maharjan, M., &amp; Sunuwar, S. (2020). </w:t>
      </w:r>
      <w:r w:rsidRPr="00211A57">
        <w:rPr>
          <w:rFonts w:eastAsia="Times New Roman" w:cs="Times New Roman"/>
          <w:sz w:val="24"/>
          <w:szCs w:val="24"/>
        </w:rPr>
        <w:t xml:space="preserve">Fish community structure and environmental correlates in Nepal’s </w:t>
      </w:r>
      <w:proofErr w:type="spellStart"/>
      <w:r w:rsidRPr="00211A57">
        <w:rPr>
          <w:rFonts w:eastAsia="Times New Roman" w:cs="Times New Roman"/>
          <w:sz w:val="24"/>
          <w:szCs w:val="24"/>
        </w:rPr>
        <w:t>Andhi</w:t>
      </w:r>
      <w:proofErr w:type="spellEnd"/>
      <w:r w:rsidRPr="00211A57">
        <w:rPr>
          <w:rFonts w:eastAsia="Times New Roman" w:cs="Times New Roman"/>
          <w:sz w:val="24"/>
          <w:szCs w:val="24"/>
        </w:rPr>
        <w:t xml:space="preserve"> </w:t>
      </w:r>
      <w:proofErr w:type="spellStart"/>
      <w:r w:rsidRPr="00211A57">
        <w:rPr>
          <w:rFonts w:eastAsia="Times New Roman" w:cs="Times New Roman"/>
          <w:sz w:val="24"/>
          <w:szCs w:val="24"/>
        </w:rPr>
        <w:t>Khola</w:t>
      </w:r>
      <w:proofErr w:type="spellEnd"/>
      <w:r w:rsidRPr="00211A57">
        <w:rPr>
          <w:rFonts w:eastAsia="Times New Roman" w:cs="Times New Roman"/>
          <w:sz w:val="24"/>
          <w:szCs w:val="24"/>
        </w:rPr>
        <w:t xml:space="preserve">, Province No. 4, </w:t>
      </w:r>
      <w:proofErr w:type="spellStart"/>
      <w:r w:rsidRPr="00211A57">
        <w:rPr>
          <w:rFonts w:eastAsia="Times New Roman" w:cs="Times New Roman"/>
          <w:sz w:val="24"/>
          <w:szCs w:val="24"/>
        </w:rPr>
        <w:t>Syangja</w:t>
      </w:r>
      <w:proofErr w:type="spellEnd"/>
      <w:r w:rsidRPr="00211A57">
        <w:rPr>
          <w:rFonts w:eastAsia="Times New Roman" w:cs="Times New Roman"/>
          <w:sz w:val="24"/>
          <w:szCs w:val="24"/>
        </w:rPr>
        <w:t xml:space="preserve">. </w:t>
      </w:r>
      <w:r w:rsidRPr="00211A57">
        <w:rPr>
          <w:rFonts w:eastAsia="Times New Roman" w:cs="Times New Roman"/>
          <w:i/>
          <w:iCs/>
          <w:sz w:val="24"/>
          <w:szCs w:val="24"/>
        </w:rPr>
        <w:t>Borneo Journal of Resource Science and Technology, 10</w:t>
      </w:r>
      <w:r w:rsidRPr="00211A57">
        <w:rPr>
          <w:rFonts w:eastAsia="Times New Roman" w:cs="Times New Roman"/>
          <w:sz w:val="24"/>
          <w:szCs w:val="24"/>
        </w:rPr>
        <w:t xml:space="preserve">, 85–92. </w:t>
      </w:r>
      <w:hyperlink r:id="rId24" w:history="1">
        <w:r w:rsidRPr="00211A57">
          <w:rPr>
            <w:rFonts w:eastAsia="Times New Roman" w:cs="Times New Roman"/>
            <w:color w:val="0000FF"/>
            <w:sz w:val="24"/>
            <w:szCs w:val="24"/>
            <w:u w:val="single"/>
          </w:rPr>
          <w:t>https://doi.org/10.33736/bjrst.2510.2020</w:t>
        </w:r>
      </w:hyperlink>
    </w:p>
    <w:p w14:paraId="03369ACB" w14:textId="77777777" w:rsidR="00211A57" w:rsidRPr="00211A57" w:rsidRDefault="00211A57" w:rsidP="00211A57">
      <w:pPr>
        <w:spacing w:before="100" w:beforeAutospacing="1" w:after="100" w:afterAutospacing="1" w:line="240" w:lineRule="auto"/>
        <w:ind w:left="540" w:hanging="540"/>
        <w:rPr>
          <w:rFonts w:eastAsia="Times New Roman" w:cs="Times New Roman"/>
          <w:sz w:val="24"/>
          <w:szCs w:val="24"/>
        </w:rPr>
      </w:pPr>
      <w:r w:rsidRPr="00211A57">
        <w:rPr>
          <w:rFonts w:eastAsia="Times New Roman" w:cs="Times New Roman"/>
          <w:sz w:val="24"/>
          <w:szCs w:val="24"/>
        </w:rPr>
        <w:t xml:space="preserve">Limbu, K. P., &amp; Subba, B. R. (2013). Status of key faunal species in Koshi </w:t>
      </w:r>
      <w:proofErr w:type="spellStart"/>
      <w:r w:rsidRPr="00211A57">
        <w:rPr>
          <w:rFonts w:eastAsia="Times New Roman" w:cs="Times New Roman"/>
          <w:sz w:val="24"/>
          <w:szCs w:val="24"/>
        </w:rPr>
        <w:t>Tappu</w:t>
      </w:r>
      <w:proofErr w:type="spellEnd"/>
      <w:r w:rsidRPr="00211A57">
        <w:rPr>
          <w:rFonts w:eastAsia="Times New Roman" w:cs="Times New Roman"/>
          <w:sz w:val="24"/>
          <w:szCs w:val="24"/>
        </w:rPr>
        <w:t xml:space="preserve"> Wildlife Reserve after Koshi flood disaster 2008. </w:t>
      </w:r>
      <w:r w:rsidRPr="00211A57">
        <w:rPr>
          <w:rFonts w:eastAsia="Times New Roman" w:cs="Times New Roman"/>
          <w:i/>
          <w:iCs/>
          <w:sz w:val="24"/>
          <w:szCs w:val="24"/>
        </w:rPr>
        <w:t>Nepalese Journal of Biosciences, 1</w:t>
      </w:r>
      <w:r w:rsidRPr="00211A57">
        <w:rPr>
          <w:rFonts w:eastAsia="Times New Roman" w:cs="Times New Roman"/>
          <w:sz w:val="24"/>
          <w:szCs w:val="24"/>
        </w:rPr>
        <w:t xml:space="preserve">, 41–54. </w:t>
      </w:r>
      <w:hyperlink r:id="rId25" w:history="1">
        <w:r w:rsidRPr="00211A57">
          <w:rPr>
            <w:rFonts w:eastAsia="Times New Roman" w:cs="Times New Roman"/>
            <w:color w:val="0000FF"/>
            <w:sz w:val="24"/>
            <w:szCs w:val="24"/>
            <w:u w:val="single"/>
          </w:rPr>
          <w:t>https://doi.org/10.3126/njbs.v1i0.7469</w:t>
        </w:r>
      </w:hyperlink>
    </w:p>
    <w:p w14:paraId="60DD1198" w14:textId="77777777" w:rsidR="00211A57" w:rsidRPr="00211A57" w:rsidRDefault="00211A57" w:rsidP="00211A57">
      <w:pPr>
        <w:spacing w:before="100" w:beforeAutospacing="1" w:after="100" w:afterAutospacing="1" w:line="240" w:lineRule="auto"/>
        <w:ind w:left="540" w:hanging="540"/>
        <w:rPr>
          <w:rFonts w:eastAsia="Times New Roman" w:cs="Times New Roman"/>
          <w:sz w:val="24"/>
          <w:szCs w:val="24"/>
        </w:rPr>
      </w:pPr>
      <w:r w:rsidRPr="00211A57">
        <w:rPr>
          <w:rFonts w:eastAsia="Times New Roman" w:cs="Times New Roman"/>
          <w:sz w:val="24"/>
          <w:szCs w:val="24"/>
        </w:rPr>
        <w:lastRenderedPageBreak/>
        <w:t xml:space="preserve">Matthaei, C. D., </w:t>
      </w:r>
      <w:proofErr w:type="spellStart"/>
      <w:r w:rsidRPr="00211A57">
        <w:rPr>
          <w:rFonts w:eastAsia="Times New Roman" w:cs="Times New Roman"/>
          <w:sz w:val="24"/>
          <w:szCs w:val="24"/>
        </w:rPr>
        <w:t>Uehlinger</w:t>
      </w:r>
      <w:proofErr w:type="spellEnd"/>
      <w:r w:rsidRPr="00211A57">
        <w:rPr>
          <w:rFonts w:eastAsia="Times New Roman" w:cs="Times New Roman"/>
          <w:sz w:val="24"/>
          <w:szCs w:val="24"/>
        </w:rPr>
        <w:t xml:space="preserve">, U., &amp; Frutiger, A. (1997). Response of benthic invertebrates to natural versus experimental disturbance in a Swiss </w:t>
      </w:r>
      <w:proofErr w:type="spellStart"/>
      <w:r w:rsidRPr="00211A57">
        <w:rPr>
          <w:rFonts w:eastAsia="Times New Roman" w:cs="Times New Roman"/>
          <w:sz w:val="24"/>
          <w:szCs w:val="24"/>
        </w:rPr>
        <w:t>prealpine</w:t>
      </w:r>
      <w:proofErr w:type="spellEnd"/>
      <w:r w:rsidRPr="00211A57">
        <w:rPr>
          <w:rFonts w:eastAsia="Times New Roman" w:cs="Times New Roman"/>
          <w:sz w:val="24"/>
          <w:szCs w:val="24"/>
        </w:rPr>
        <w:t xml:space="preserve"> river. </w:t>
      </w:r>
      <w:r w:rsidRPr="00211A57">
        <w:rPr>
          <w:rFonts w:eastAsia="Times New Roman" w:cs="Times New Roman"/>
          <w:i/>
          <w:iCs/>
          <w:sz w:val="24"/>
          <w:szCs w:val="24"/>
        </w:rPr>
        <w:t>Freshwater Biology, 37</w:t>
      </w:r>
      <w:r w:rsidRPr="00211A57">
        <w:rPr>
          <w:rFonts w:eastAsia="Times New Roman" w:cs="Times New Roman"/>
          <w:sz w:val="24"/>
          <w:szCs w:val="24"/>
        </w:rPr>
        <w:t xml:space="preserve">, 61–77. </w:t>
      </w:r>
      <w:hyperlink r:id="rId26" w:history="1">
        <w:r w:rsidRPr="00211A57">
          <w:rPr>
            <w:rFonts w:eastAsia="Times New Roman" w:cs="Times New Roman"/>
            <w:color w:val="0000FF"/>
            <w:sz w:val="24"/>
            <w:szCs w:val="24"/>
            <w:u w:val="single"/>
          </w:rPr>
          <w:t>https://doi.org/10.1046/j.1365-2427.1997.00141.x</w:t>
        </w:r>
      </w:hyperlink>
    </w:p>
    <w:p w14:paraId="1BF8E8BD" w14:textId="77777777" w:rsidR="00884724" w:rsidRDefault="00000000">
      <w:r>
        <w:rPr>
          <w:b/>
          <w:highlight w:val="yellow"/>
        </w:rPr>
        <w:t xml:space="preserve">Mohlala, T. D., Marr, S. M., &amp; </w:t>
      </w:r>
      <w:proofErr w:type="spellStart"/>
      <w:r>
        <w:rPr>
          <w:b/>
          <w:highlight w:val="yellow"/>
        </w:rPr>
        <w:t>Swemmer</w:t>
      </w:r>
      <w:proofErr w:type="spellEnd"/>
      <w:r>
        <w:rPr>
          <w:b/>
          <w:highlight w:val="yellow"/>
        </w:rPr>
        <w:t xml:space="preserve">, A. M. (2024). Recovery of a subtropical headwater fish community following a large flood, </w:t>
      </w:r>
      <w:proofErr w:type="spellStart"/>
      <w:r>
        <w:rPr>
          <w:b/>
          <w:highlight w:val="yellow"/>
        </w:rPr>
        <w:t>Klaserie</w:t>
      </w:r>
      <w:proofErr w:type="spellEnd"/>
      <w:r>
        <w:rPr>
          <w:b/>
          <w:highlight w:val="yellow"/>
        </w:rPr>
        <w:t xml:space="preserve"> River, Limpopo River System, South Africa. Ecology of Freshwater Fish, 33, e12761. https://doi.org/10.1111/eff.12761</w:t>
      </w:r>
    </w:p>
    <w:p w14:paraId="37055016" w14:textId="77777777" w:rsidR="00211A57" w:rsidRPr="00211A57" w:rsidRDefault="00211A57" w:rsidP="00211A57">
      <w:pPr>
        <w:spacing w:before="100" w:beforeAutospacing="1" w:after="100" w:afterAutospacing="1" w:line="240" w:lineRule="auto"/>
        <w:ind w:left="540" w:hanging="540"/>
        <w:rPr>
          <w:rFonts w:eastAsia="Times New Roman" w:cs="Times New Roman"/>
          <w:sz w:val="24"/>
          <w:szCs w:val="24"/>
        </w:rPr>
      </w:pPr>
      <w:r w:rsidRPr="00211A57">
        <w:rPr>
          <w:rFonts w:eastAsia="Times New Roman" w:cs="Times New Roman"/>
          <w:sz w:val="24"/>
          <w:szCs w:val="24"/>
        </w:rPr>
        <w:t xml:space="preserve">Paudel, S., Pal, P., Cove, M. V., Jnawali, S. R., Abel, G., Koprowski, J. L., &amp; </w:t>
      </w:r>
      <w:proofErr w:type="spellStart"/>
      <w:r w:rsidRPr="00211A57">
        <w:rPr>
          <w:rFonts w:eastAsia="Times New Roman" w:cs="Times New Roman"/>
          <w:sz w:val="24"/>
          <w:szCs w:val="24"/>
        </w:rPr>
        <w:t>Ranabhat</w:t>
      </w:r>
      <w:proofErr w:type="spellEnd"/>
      <w:r w:rsidRPr="00211A57">
        <w:rPr>
          <w:rFonts w:eastAsia="Times New Roman" w:cs="Times New Roman"/>
          <w:sz w:val="24"/>
          <w:szCs w:val="24"/>
        </w:rPr>
        <w:t xml:space="preserve">, R. (2015). The Endangered Ganges River dolphin </w:t>
      </w:r>
      <w:r w:rsidRPr="00211A57">
        <w:rPr>
          <w:rFonts w:eastAsia="Times New Roman" w:cs="Times New Roman"/>
          <w:i/>
          <w:iCs/>
          <w:sz w:val="24"/>
          <w:szCs w:val="24"/>
        </w:rPr>
        <w:t xml:space="preserve">Platanista </w:t>
      </w:r>
      <w:proofErr w:type="spellStart"/>
      <w:r w:rsidRPr="00211A57">
        <w:rPr>
          <w:rFonts w:eastAsia="Times New Roman" w:cs="Times New Roman"/>
          <w:i/>
          <w:iCs/>
          <w:sz w:val="24"/>
          <w:szCs w:val="24"/>
        </w:rPr>
        <w:t>gangetica</w:t>
      </w:r>
      <w:proofErr w:type="spellEnd"/>
      <w:r w:rsidRPr="00211A57">
        <w:rPr>
          <w:rFonts w:eastAsia="Times New Roman" w:cs="Times New Roman"/>
          <w:i/>
          <w:iCs/>
          <w:sz w:val="24"/>
          <w:szCs w:val="24"/>
        </w:rPr>
        <w:t xml:space="preserve"> </w:t>
      </w:r>
      <w:proofErr w:type="spellStart"/>
      <w:r w:rsidRPr="00211A57">
        <w:rPr>
          <w:rFonts w:eastAsia="Times New Roman" w:cs="Times New Roman"/>
          <w:i/>
          <w:iCs/>
          <w:sz w:val="24"/>
          <w:szCs w:val="24"/>
        </w:rPr>
        <w:t>gangetica</w:t>
      </w:r>
      <w:proofErr w:type="spellEnd"/>
      <w:r w:rsidRPr="00211A57">
        <w:rPr>
          <w:rFonts w:eastAsia="Times New Roman" w:cs="Times New Roman"/>
          <w:sz w:val="24"/>
          <w:szCs w:val="24"/>
        </w:rPr>
        <w:t xml:space="preserve"> in Nepal: Abundance, habitat and conservation threats. </w:t>
      </w:r>
      <w:r w:rsidRPr="00211A57">
        <w:rPr>
          <w:rFonts w:eastAsia="Times New Roman" w:cs="Times New Roman"/>
          <w:i/>
          <w:iCs/>
          <w:sz w:val="24"/>
          <w:szCs w:val="24"/>
        </w:rPr>
        <w:t>Endangered Species Research, 29</w:t>
      </w:r>
      <w:r w:rsidRPr="00211A57">
        <w:rPr>
          <w:rFonts w:eastAsia="Times New Roman" w:cs="Times New Roman"/>
          <w:sz w:val="24"/>
          <w:szCs w:val="24"/>
        </w:rPr>
        <w:t xml:space="preserve">, 59–68. </w:t>
      </w:r>
      <w:hyperlink r:id="rId27" w:history="1">
        <w:r w:rsidRPr="00211A57">
          <w:rPr>
            <w:rFonts w:eastAsia="Times New Roman" w:cs="Times New Roman"/>
            <w:color w:val="0000FF"/>
            <w:sz w:val="24"/>
            <w:szCs w:val="24"/>
            <w:u w:val="single"/>
          </w:rPr>
          <w:t>https://doi.org/10.3354/esr00702</w:t>
        </w:r>
      </w:hyperlink>
    </w:p>
    <w:p w14:paraId="61DE2306" w14:textId="77777777" w:rsidR="00211A57" w:rsidRPr="00211A57" w:rsidRDefault="00211A57" w:rsidP="00211A57">
      <w:pPr>
        <w:spacing w:before="100" w:beforeAutospacing="1" w:after="100" w:afterAutospacing="1" w:line="240" w:lineRule="auto"/>
        <w:ind w:left="540" w:hanging="540"/>
        <w:rPr>
          <w:rFonts w:eastAsia="Times New Roman" w:cs="Times New Roman"/>
          <w:sz w:val="24"/>
          <w:szCs w:val="24"/>
        </w:rPr>
      </w:pPr>
      <w:r w:rsidRPr="00211A57">
        <w:rPr>
          <w:rFonts w:eastAsia="Times New Roman" w:cs="Times New Roman"/>
          <w:sz w:val="24"/>
          <w:szCs w:val="24"/>
        </w:rPr>
        <w:t xml:space="preserve">Pires, A. M., Magalhães, M. F., Moreira da Costa, L., Alves, M. J., &amp; Coelho, M. M. (2008). Effects of an extreme flash flood on the native fish assemblages across a Mediterranean catchment. </w:t>
      </w:r>
      <w:r w:rsidRPr="00211A57">
        <w:rPr>
          <w:rFonts w:eastAsia="Times New Roman" w:cs="Times New Roman"/>
          <w:i/>
          <w:iCs/>
          <w:sz w:val="24"/>
          <w:szCs w:val="24"/>
        </w:rPr>
        <w:t>Fisheries Management and Ecology, 15</w:t>
      </w:r>
      <w:r w:rsidRPr="00211A57">
        <w:rPr>
          <w:rFonts w:eastAsia="Times New Roman" w:cs="Times New Roman"/>
          <w:sz w:val="24"/>
          <w:szCs w:val="24"/>
        </w:rPr>
        <w:t xml:space="preserve">, 49–58. </w:t>
      </w:r>
      <w:hyperlink r:id="rId28" w:history="1">
        <w:r w:rsidRPr="00211A57">
          <w:rPr>
            <w:rFonts w:eastAsia="Times New Roman" w:cs="Times New Roman"/>
            <w:color w:val="0000FF"/>
            <w:sz w:val="24"/>
            <w:szCs w:val="24"/>
            <w:u w:val="single"/>
          </w:rPr>
          <w:t>https://doi.org/10.1111/j.1365-2400.2007.00570.x</w:t>
        </w:r>
      </w:hyperlink>
    </w:p>
    <w:p w14:paraId="21F27E84" w14:textId="77777777" w:rsidR="00211A57" w:rsidRPr="00211A57" w:rsidRDefault="00211A57" w:rsidP="00211A57">
      <w:pPr>
        <w:spacing w:before="100" w:beforeAutospacing="1" w:after="100" w:afterAutospacing="1" w:line="240" w:lineRule="auto"/>
        <w:ind w:left="540" w:hanging="540"/>
        <w:rPr>
          <w:rFonts w:eastAsia="Times New Roman" w:cs="Times New Roman"/>
          <w:sz w:val="24"/>
          <w:szCs w:val="24"/>
        </w:rPr>
      </w:pPr>
      <w:r w:rsidRPr="00211A57">
        <w:rPr>
          <w:rFonts w:eastAsia="Times New Roman" w:cs="Times New Roman"/>
          <w:sz w:val="24"/>
          <w:szCs w:val="24"/>
        </w:rPr>
        <w:t xml:space="preserve">Pokharel, K. K., Basnet, K. B., </w:t>
      </w:r>
      <w:proofErr w:type="spellStart"/>
      <w:r w:rsidRPr="00211A57">
        <w:rPr>
          <w:rFonts w:eastAsia="Times New Roman" w:cs="Times New Roman"/>
          <w:sz w:val="24"/>
          <w:szCs w:val="24"/>
        </w:rPr>
        <w:t>Majupuria</w:t>
      </w:r>
      <w:proofErr w:type="spellEnd"/>
      <w:r w:rsidRPr="00211A57">
        <w:rPr>
          <w:rFonts w:eastAsia="Times New Roman" w:cs="Times New Roman"/>
          <w:sz w:val="24"/>
          <w:szCs w:val="24"/>
        </w:rPr>
        <w:t xml:space="preserve">, T. C., &amp; Baniya, C. B. (2018). Correlations between fish assemblage structure and environmental variables of the Seti Gandaki River Basin, Nepal. </w:t>
      </w:r>
      <w:r w:rsidRPr="00211A57">
        <w:rPr>
          <w:rFonts w:eastAsia="Times New Roman" w:cs="Times New Roman"/>
          <w:i/>
          <w:iCs/>
          <w:sz w:val="24"/>
          <w:szCs w:val="24"/>
        </w:rPr>
        <w:t>Journal of Freshwater Ecology, 33</w:t>
      </w:r>
      <w:r w:rsidRPr="00211A57">
        <w:rPr>
          <w:rFonts w:eastAsia="Times New Roman" w:cs="Times New Roman"/>
          <w:sz w:val="24"/>
          <w:szCs w:val="24"/>
        </w:rPr>
        <w:t xml:space="preserve">, 31–43. </w:t>
      </w:r>
      <w:hyperlink r:id="rId29" w:history="1">
        <w:r w:rsidRPr="00211A57">
          <w:rPr>
            <w:rFonts w:eastAsia="Times New Roman" w:cs="Times New Roman"/>
            <w:color w:val="0000FF"/>
            <w:sz w:val="24"/>
            <w:szCs w:val="24"/>
            <w:u w:val="single"/>
          </w:rPr>
          <w:t>https://doi.org/10.1080/02705060.2017.1399170</w:t>
        </w:r>
      </w:hyperlink>
    </w:p>
    <w:p w14:paraId="6EEC3F8E" w14:textId="77777777" w:rsidR="00211A57" w:rsidRPr="00211A57" w:rsidRDefault="00211A57" w:rsidP="00211A57">
      <w:pPr>
        <w:spacing w:before="100" w:beforeAutospacing="1" w:after="100" w:afterAutospacing="1" w:line="240" w:lineRule="auto"/>
        <w:ind w:left="540" w:hanging="540"/>
        <w:rPr>
          <w:rFonts w:eastAsia="Times New Roman" w:cs="Times New Roman"/>
          <w:sz w:val="24"/>
          <w:szCs w:val="24"/>
        </w:rPr>
      </w:pPr>
      <w:r w:rsidRPr="00211A57">
        <w:rPr>
          <w:rFonts w:eastAsia="Times New Roman" w:cs="Times New Roman"/>
          <w:sz w:val="24"/>
          <w:szCs w:val="24"/>
        </w:rPr>
        <w:t xml:space="preserve">Regmi, T., Shah, D. N., Doody, T. M., Cuddy, S. M., &amp; </w:t>
      </w:r>
      <w:proofErr w:type="spellStart"/>
      <w:r w:rsidRPr="00211A57">
        <w:rPr>
          <w:rFonts w:eastAsia="Times New Roman" w:cs="Times New Roman"/>
          <w:sz w:val="24"/>
          <w:szCs w:val="24"/>
        </w:rPr>
        <w:t>Tachamo</w:t>
      </w:r>
      <w:proofErr w:type="spellEnd"/>
      <w:r w:rsidRPr="00211A57">
        <w:rPr>
          <w:rFonts w:eastAsia="Times New Roman" w:cs="Times New Roman"/>
          <w:sz w:val="24"/>
          <w:szCs w:val="24"/>
        </w:rPr>
        <w:t xml:space="preserve"> Shah, R. D. (2021). Hydrological alteration induced changes on macrophyte community composition in sub-tropical floodplain wetlands of Nepal. </w:t>
      </w:r>
      <w:r w:rsidRPr="00211A57">
        <w:rPr>
          <w:rFonts w:eastAsia="Times New Roman" w:cs="Times New Roman"/>
          <w:i/>
          <w:iCs/>
          <w:sz w:val="24"/>
          <w:szCs w:val="24"/>
        </w:rPr>
        <w:t>Aquatic Botany, 173</w:t>
      </w:r>
      <w:r w:rsidRPr="00211A57">
        <w:rPr>
          <w:rFonts w:eastAsia="Times New Roman" w:cs="Times New Roman"/>
          <w:sz w:val="24"/>
          <w:szCs w:val="24"/>
        </w:rPr>
        <w:t xml:space="preserve">, 103413. </w:t>
      </w:r>
      <w:hyperlink r:id="rId30" w:history="1">
        <w:r w:rsidRPr="00211A57">
          <w:rPr>
            <w:rFonts w:eastAsia="Times New Roman" w:cs="Times New Roman"/>
            <w:color w:val="0000FF"/>
            <w:sz w:val="24"/>
            <w:szCs w:val="24"/>
            <w:u w:val="single"/>
          </w:rPr>
          <w:t>https://doi.org/10.1016/j.aquabot.2021.103413</w:t>
        </w:r>
      </w:hyperlink>
    </w:p>
    <w:p w14:paraId="784F0DDD" w14:textId="77777777" w:rsidR="00211A57" w:rsidRPr="00211A57" w:rsidRDefault="00211A57" w:rsidP="00211A57">
      <w:pPr>
        <w:spacing w:before="100" w:beforeAutospacing="1" w:after="100" w:afterAutospacing="1" w:line="240" w:lineRule="auto"/>
        <w:ind w:left="540" w:hanging="540"/>
        <w:rPr>
          <w:rFonts w:eastAsia="Times New Roman" w:cs="Times New Roman"/>
          <w:sz w:val="24"/>
          <w:szCs w:val="24"/>
        </w:rPr>
      </w:pPr>
      <w:r w:rsidRPr="00211A57">
        <w:rPr>
          <w:rFonts w:eastAsia="Times New Roman" w:cs="Times New Roman"/>
          <w:sz w:val="24"/>
          <w:szCs w:val="24"/>
        </w:rPr>
        <w:t xml:space="preserve">Rempel, L. L., Richardson, J. S., &amp; Healey, M. C. (1999). Flow refugia for benthic macroinvertebrates during flooding of a large river. </w:t>
      </w:r>
      <w:r w:rsidRPr="00211A57">
        <w:rPr>
          <w:rFonts w:eastAsia="Times New Roman" w:cs="Times New Roman"/>
          <w:i/>
          <w:iCs/>
          <w:sz w:val="24"/>
          <w:szCs w:val="24"/>
        </w:rPr>
        <w:t xml:space="preserve">Journal of the North American </w:t>
      </w:r>
      <w:proofErr w:type="spellStart"/>
      <w:r w:rsidRPr="00211A57">
        <w:rPr>
          <w:rFonts w:eastAsia="Times New Roman" w:cs="Times New Roman"/>
          <w:i/>
          <w:iCs/>
          <w:sz w:val="24"/>
          <w:szCs w:val="24"/>
        </w:rPr>
        <w:t>Benthological</w:t>
      </w:r>
      <w:proofErr w:type="spellEnd"/>
      <w:r w:rsidRPr="00211A57">
        <w:rPr>
          <w:rFonts w:eastAsia="Times New Roman" w:cs="Times New Roman"/>
          <w:i/>
          <w:iCs/>
          <w:sz w:val="24"/>
          <w:szCs w:val="24"/>
        </w:rPr>
        <w:t xml:space="preserve"> Society, 18</w:t>
      </w:r>
      <w:r w:rsidRPr="00211A57">
        <w:rPr>
          <w:rFonts w:eastAsia="Times New Roman" w:cs="Times New Roman"/>
          <w:sz w:val="24"/>
          <w:szCs w:val="24"/>
        </w:rPr>
        <w:t xml:space="preserve">, 34–48. </w:t>
      </w:r>
      <w:hyperlink r:id="rId31" w:history="1">
        <w:r w:rsidRPr="00211A57">
          <w:rPr>
            <w:rFonts w:eastAsia="Times New Roman" w:cs="Times New Roman"/>
            <w:color w:val="0000FF"/>
            <w:sz w:val="24"/>
            <w:szCs w:val="24"/>
            <w:u w:val="single"/>
          </w:rPr>
          <w:t>https://doi.org/10.2307/1468007</w:t>
        </w:r>
      </w:hyperlink>
    </w:p>
    <w:p w14:paraId="0BD3CB0E" w14:textId="77777777" w:rsidR="00211A57" w:rsidRPr="00211A57" w:rsidRDefault="00211A57" w:rsidP="00211A57">
      <w:pPr>
        <w:spacing w:before="100" w:beforeAutospacing="1" w:after="100" w:afterAutospacing="1" w:line="240" w:lineRule="auto"/>
        <w:ind w:left="540" w:hanging="540"/>
        <w:rPr>
          <w:rFonts w:eastAsia="Times New Roman" w:cs="Times New Roman"/>
          <w:sz w:val="24"/>
          <w:szCs w:val="24"/>
        </w:rPr>
      </w:pPr>
      <w:r w:rsidRPr="00211A57">
        <w:rPr>
          <w:rFonts w:eastAsia="Times New Roman" w:cs="Times New Roman"/>
          <w:sz w:val="24"/>
          <w:szCs w:val="24"/>
        </w:rPr>
        <w:t xml:space="preserve">Robinson, C. T., </w:t>
      </w:r>
      <w:proofErr w:type="spellStart"/>
      <w:r w:rsidRPr="00211A57">
        <w:rPr>
          <w:rFonts w:eastAsia="Times New Roman" w:cs="Times New Roman"/>
          <w:sz w:val="24"/>
          <w:szCs w:val="24"/>
        </w:rPr>
        <w:t>Uehlinger</w:t>
      </w:r>
      <w:proofErr w:type="spellEnd"/>
      <w:r w:rsidRPr="00211A57">
        <w:rPr>
          <w:rFonts w:eastAsia="Times New Roman" w:cs="Times New Roman"/>
          <w:sz w:val="24"/>
          <w:szCs w:val="24"/>
        </w:rPr>
        <w:t xml:space="preserve">, U., &amp; Monaghan, M. T. (2004). Stream ecosystem response to multiple experimental floods from a reservoir. </w:t>
      </w:r>
      <w:r w:rsidRPr="00211A57">
        <w:rPr>
          <w:rFonts w:eastAsia="Times New Roman" w:cs="Times New Roman"/>
          <w:i/>
          <w:iCs/>
          <w:sz w:val="24"/>
          <w:szCs w:val="24"/>
        </w:rPr>
        <w:t>River Research and Applications, 20</w:t>
      </w:r>
      <w:r w:rsidRPr="00211A57">
        <w:rPr>
          <w:rFonts w:eastAsia="Times New Roman" w:cs="Times New Roman"/>
          <w:sz w:val="24"/>
          <w:szCs w:val="24"/>
        </w:rPr>
        <w:t xml:space="preserve">, 359–377. </w:t>
      </w:r>
      <w:hyperlink r:id="rId32" w:history="1">
        <w:r w:rsidRPr="00211A57">
          <w:rPr>
            <w:rFonts w:eastAsia="Times New Roman" w:cs="Times New Roman"/>
            <w:color w:val="0000FF"/>
            <w:sz w:val="24"/>
            <w:szCs w:val="24"/>
            <w:u w:val="single"/>
          </w:rPr>
          <w:t>https://doi.org/10.1002/rra.743</w:t>
        </w:r>
      </w:hyperlink>
    </w:p>
    <w:p w14:paraId="57217DA0" w14:textId="77777777" w:rsidR="00211A57" w:rsidRPr="00211A57" w:rsidRDefault="00211A57" w:rsidP="00211A57">
      <w:pPr>
        <w:spacing w:before="100" w:beforeAutospacing="1" w:after="100" w:afterAutospacing="1" w:line="240" w:lineRule="auto"/>
        <w:ind w:left="540" w:hanging="540"/>
        <w:rPr>
          <w:rFonts w:eastAsia="Times New Roman" w:cs="Times New Roman"/>
          <w:sz w:val="24"/>
          <w:szCs w:val="24"/>
        </w:rPr>
      </w:pPr>
      <w:r w:rsidRPr="00211A57">
        <w:rPr>
          <w:rFonts w:eastAsia="Times New Roman" w:cs="Times New Roman"/>
          <w:sz w:val="24"/>
          <w:szCs w:val="24"/>
        </w:rPr>
        <w:t xml:space="preserve">Rundle, S. D., Jenkins, A., &amp; Ormerod, S. J. (1993). Macroinvertebrate communities in streams in the Himalaya, Nepal. </w:t>
      </w:r>
      <w:r w:rsidRPr="00211A57">
        <w:rPr>
          <w:rFonts w:eastAsia="Times New Roman" w:cs="Times New Roman"/>
          <w:i/>
          <w:iCs/>
          <w:sz w:val="24"/>
          <w:szCs w:val="24"/>
        </w:rPr>
        <w:t>Freshwater Biology, 30</w:t>
      </w:r>
      <w:r w:rsidRPr="00211A57">
        <w:rPr>
          <w:rFonts w:eastAsia="Times New Roman" w:cs="Times New Roman"/>
          <w:sz w:val="24"/>
          <w:szCs w:val="24"/>
        </w:rPr>
        <w:t xml:space="preserve">, 169–180. </w:t>
      </w:r>
      <w:hyperlink r:id="rId33" w:history="1">
        <w:r w:rsidRPr="00211A57">
          <w:rPr>
            <w:rFonts w:eastAsia="Times New Roman" w:cs="Times New Roman"/>
            <w:color w:val="0000FF"/>
            <w:sz w:val="24"/>
            <w:szCs w:val="24"/>
            <w:u w:val="single"/>
          </w:rPr>
          <w:t>https://doi.org/10.1111/j.1365-2427.1993.tb00797.x</w:t>
        </w:r>
      </w:hyperlink>
    </w:p>
    <w:p w14:paraId="3ADD3D0A" w14:textId="77777777" w:rsidR="00211A57" w:rsidRPr="00211A57" w:rsidRDefault="00211A57" w:rsidP="00211A57">
      <w:pPr>
        <w:spacing w:before="100" w:beforeAutospacing="1" w:after="100" w:afterAutospacing="1" w:line="240" w:lineRule="auto"/>
        <w:ind w:left="540" w:hanging="540"/>
        <w:rPr>
          <w:rFonts w:eastAsia="Times New Roman" w:cs="Times New Roman"/>
          <w:sz w:val="24"/>
          <w:szCs w:val="24"/>
        </w:rPr>
      </w:pPr>
      <w:r w:rsidRPr="00211A57">
        <w:rPr>
          <w:rFonts w:eastAsia="Times New Roman" w:cs="Times New Roman"/>
          <w:sz w:val="24"/>
          <w:szCs w:val="24"/>
        </w:rPr>
        <w:t xml:space="preserve">Shah, R. D. T., &amp; Shah, D. N. (2013). Evaluation of benthic macroinvertebrate assemblage for disturbance zonation in urban rivers using multivariate analysis: Implications for river management. </w:t>
      </w:r>
      <w:r w:rsidRPr="00211A57">
        <w:rPr>
          <w:rFonts w:eastAsia="Times New Roman" w:cs="Times New Roman"/>
          <w:i/>
          <w:iCs/>
          <w:sz w:val="24"/>
          <w:szCs w:val="24"/>
        </w:rPr>
        <w:t>Journal of Earth System Science, 122</w:t>
      </w:r>
      <w:r w:rsidRPr="00211A57">
        <w:rPr>
          <w:rFonts w:eastAsia="Times New Roman" w:cs="Times New Roman"/>
          <w:sz w:val="24"/>
          <w:szCs w:val="24"/>
        </w:rPr>
        <w:t xml:space="preserve">, 1125–1139. </w:t>
      </w:r>
      <w:hyperlink r:id="rId34" w:history="1">
        <w:r w:rsidRPr="00211A57">
          <w:rPr>
            <w:rFonts w:eastAsia="Times New Roman" w:cs="Times New Roman"/>
            <w:color w:val="0000FF"/>
            <w:sz w:val="24"/>
            <w:szCs w:val="24"/>
            <w:u w:val="single"/>
          </w:rPr>
          <w:t>https://doi.org/10.1007/s12040-013-0317-8</w:t>
        </w:r>
      </w:hyperlink>
    </w:p>
    <w:p w14:paraId="547B8146" w14:textId="77777777" w:rsidR="00211A57" w:rsidRPr="00211A57" w:rsidRDefault="00211A57" w:rsidP="00211A57">
      <w:pPr>
        <w:spacing w:before="100" w:beforeAutospacing="1" w:after="100" w:afterAutospacing="1" w:line="240" w:lineRule="auto"/>
        <w:ind w:left="540" w:hanging="540"/>
        <w:rPr>
          <w:rFonts w:eastAsia="Times New Roman" w:cs="Times New Roman"/>
          <w:sz w:val="24"/>
          <w:szCs w:val="24"/>
        </w:rPr>
      </w:pPr>
      <w:r w:rsidRPr="00211A57">
        <w:rPr>
          <w:rFonts w:eastAsia="Times New Roman" w:cs="Times New Roman"/>
          <w:sz w:val="24"/>
          <w:szCs w:val="24"/>
        </w:rPr>
        <w:lastRenderedPageBreak/>
        <w:t xml:space="preserve">Smith, A. J., </w:t>
      </w:r>
      <w:proofErr w:type="spellStart"/>
      <w:r w:rsidRPr="00211A57">
        <w:rPr>
          <w:rFonts w:eastAsia="Times New Roman" w:cs="Times New Roman"/>
          <w:sz w:val="24"/>
          <w:szCs w:val="24"/>
        </w:rPr>
        <w:t>Baldigo</w:t>
      </w:r>
      <w:proofErr w:type="spellEnd"/>
      <w:r w:rsidRPr="00211A57">
        <w:rPr>
          <w:rFonts w:eastAsia="Times New Roman" w:cs="Times New Roman"/>
          <w:sz w:val="24"/>
          <w:szCs w:val="24"/>
        </w:rPr>
        <w:t xml:space="preserve">, B. P., Duffy, B. T., George, S. D., &amp; Dresser, B. (2019). Resilience of benthic macroinvertebrates to extreme floods in a </w:t>
      </w:r>
      <w:proofErr w:type="gramStart"/>
      <w:r w:rsidRPr="00211A57">
        <w:rPr>
          <w:rFonts w:eastAsia="Times New Roman" w:cs="Times New Roman"/>
          <w:sz w:val="24"/>
          <w:szCs w:val="24"/>
        </w:rPr>
        <w:t>Catskill Mountain river</w:t>
      </w:r>
      <w:proofErr w:type="gramEnd"/>
      <w:r w:rsidRPr="00211A57">
        <w:rPr>
          <w:rFonts w:eastAsia="Times New Roman" w:cs="Times New Roman"/>
          <w:sz w:val="24"/>
          <w:szCs w:val="24"/>
        </w:rPr>
        <w:t xml:space="preserve">, New York, USA: Implications for water quality monitoring and assessment. </w:t>
      </w:r>
      <w:r w:rsidRPr="00211A57">
        <w:rPr>
          <w:rFonts w:eastAsia="Times New Roman" w:cs="Times New Roman"/>
          <w:i/>
          <w:iCs/>
          <w:sz w:val="24"/>
          <w:szCs w:val="24"/>
        </w:rPr>
        <w:t>Ecological Indicators, 104</w:t>
      </w:r>
      <w:r w:rsidRPr="00211A57">
        <w:rPr>
          <w:rFonts w:eastAsia="Times New Roman" w:cs="Times New Roman"/>
          <w:sz w:val="24"/>
          <w:szCs w:val="24"/>
        </w:rPr>
        <w:t xml:space="preserve">, 107–115. </w:t>
      </w:r>
      <w:hyperlink r:id="rId35" w:history="1">
        <w:r w:rsidRPr="00211A57">
          <w:rPr>
            <w:rFonts w:eastAsia="Times New Roman" w:cs="Times New Roman"/>
            <w:color w:val="0000FF"/>
            <w:sz w:val="24"/>
            <w:szCs w:val="24"/>
            <w:u w:val="single"/>
          </w:rPr>
          <w:t>https://doi.org/10.1016/j.ecolind.2019.04.057</w:t>
        </w:r>
      </w:hyperlink>
    </w:p>
    <w:p w14:paraId="211B2FB3" w14:textId="77777777" w:rsidR="00211A57" w:rsidRPr="00211A57" w:rsidRDefault="00211A57" w:rsidP="00211A57">
      <w:pPr>
        <w:spacing w:before="100" w:beforeAutospacing="1" w:after="100" w:afterAutospacing="1" w:line="240" w:lineRule="auto"/>
        <w:ind w:left="540" w:hanging="540"/>
        <w:rPr>
          <w:rFonts w:eastAsia="Times New Roman" w:cs="Times New Roman"/>
          <w:sz w:val="24"/>
          <w:szCs w:val="24"/>
        </w:rPr>
      </w:pPr>
      <w:r w:rsidRPr="00211A57">
        <w:rPr>
          <w:rFonts w:eastAsia="Times New Roman" w:cs="Times New Roman"/>
          <w:sz w:val="24"/>
          <w:szCs w:val="24"/>
        </w:rPr>
        <w:t xml:space="preserve">Smith, W. E., &amp; Kwak, T. J. (2015). Tropical insular fish assemblages are resilient to flood disturbance. </w:t>
      </w:r>
      <w:r w:rsidRPr="00211A57">
        <w:rPr>
          <w:rFonts w:eastAsia="Times New Roman" w:cs="Times New Roman"/>
          <w:i/>
          <w:iCs/>
          <w:sz w:val="24"/>
          <w:szCs w:val="24"/>
        </w:rPr>
        <w:t>Ecosphere, 6</w:t>
      </w:r>
      <w:r w:rsidRPr="00211A57">
        <w:rPr>
          <w:rFonts w:eastAsia="Times New Roman" w:cs="Times New Roman"/>
          <w:sz w:val="24"/>
          <w:szCs w:val="24"/>
        </w:rPr>
        <w:t xml:space="preserve">, 279. </w:t>
      </w:r>
      <w:hyperlink r:id="rId36" w:history="1">
        <w:r w:rsidRPr="00211A57">
          <w:rPr>
            <w:rFonts w:eastAsia="Times New Roman" w:cs="Times New Roman"/>
            <w:color w:val="0000FF"/>
            <w:sz w:val="24"/>
            <w:szCs w:val="24"/>
            <w:u w:val="single"/>
          </w:rPr>
          <w:t>https://doi.org/10.1890/ES15-00224.1</w:t>
        </w:r>
      </w:hyperlink>
    </w:p>
    <w:p w14:paraId="2B01B4A1" w14:textId="77777777" w:rsidR="00211A57" w:rsidRPr="00211A57" w:rsidRDefault="00211A57" w:rsidP="00211A57">
      <w:pPr>
        <w:spacing w:before="100" w:beforeAutospacing="1" w:after="100" w:afterAutospacing="1" w:line="240" w:lineRule="auto"/>
        <w:ind w:left="540" w:hanging="540"/>
        <w:rPr>
          <w:rFonts w:eastAsia="Times New Roman" w:cs="Times New Roman"/>
          <w:sz w:val="24"/>
          <w:szCs w:val="24"/>
        </w:rPr>
      </w:pPr>
      <w:r w:rsidRPr="00211A57">
        <w:rPr>
          <w:rFonts w:eastAsia="Times New Roman" w:cs="Times New Roman"/>
          <w:sz w:val="24"/>
          <w:szCs w:val="24"/>
        </w:rPr>
        <w:t xml:space="preserve">Snyder, C. D., &amp; Johnson, Z. B. (2006). Macroinvertebrate assemblage recovery following a catastrophic flood and debris flows in an Appalachian mountain stream. </w:t>
      </w:r>
      <w:r w:rsidRPr="00211A57">
        <w:rPr>
          <w:rFonts w:eastAsia="Times New Roman" w:cs="Times New Roman"/>
          <w:i/>
          <w:iCs/>
          <w:sz w:val="24"/>
          <w:szCs w:val="24"/>
        </w:rPr>
        <w:t xml:space="preserve">Journal of the North American </w:t>
      </w:r>
      <w:proofErr w:type="spellStart"/>
      <w:r w:rsidRPr="00211A57">
        <w:rPr>
          <w:rFonts w:eastAsia="Times New Roman" w:cs="Times New Roman"/>
          <w:i/>
          <w:iCs/>
          <w:sz w:val="24"/>
          <w:szCs w:val="24"/>
        </w:rPr>
        <w:t>Benthological</w:t>
      </w:r>
      <w:proofErr w:type="spellEnd"/>
      <w:r w:rsidRPr="00211A57">
        <w:rPr>
          <w:rFonts w:eastAsia="Times New Roman" w:cs="Times New Roman"/>
          <w:i/>
          <w:iCs/>
          <w:sz w:val="24"/>
          <w:szCs w:val="24"/>
        </w:rPr>
        <w:t xml:space="preserve"> Society, 25</w:t>
      </w:r>
      <w:r w:rsidRPr="00211A57">
        <w:rPr>
          <w:rFonts w:eastAsia="Times New Roman" w:cs="Times New Roman"/>
          <w:sz w:val="24"/>
          <w:szCs w:val="24"/>
        </w:rPr>
        <w:t xml:space="preserve">, 825–840. </w:t>
      </w:r>
      <w:hyperlink r:id="rId37" w:history="1">
        <w:r w:rsidRPr="00211A57">
          <w:rPr>
            <w:rFonts w:eastAsia="Times New Roman" w:cs="Times New Roman"/>
            <w:color w:val="0000FF"/>
            <w:sz w:val="24"/>
            <w:szCs w:val="24"/>
            <w:u w:val="single"/>
          </w:rPr>
          <w:t>https://doi.org/10.1899/0887-3593(2006)025[0825]2.0.CO;2</w:t>
        </w:r>
      </w:hyperlink>
    </w:p>
    <w:p w14:paraId="7B7B4CB7" w14:textId="77777777" w:rsidR="00211A57" w:rsidRPr="00211A57" w:rsidRDefault="00211A57" w:rsidP="00211A57">
      <w:pPr>
        <w:spacing w:before="100" w:beforeAutospacing="1" w:after="100" w:afterAutospacing="1" w:line="240" w:lineRule="auto"/>
        <w:ind w:left="540" w:hanging="540"/>
        <w:rPr>
          <w:rFonts w:eastAsia="Times New Roman" w:cs="Times New Roman"/>
          <w:sz w:val="24"/>
          <w:szCs w:val="24"/>
        </w:rPr>
      </w:pPr>
      <w:r w:rsidRPr="00211A57">
        <w:rPr>
          <w:rFonts w:eastAsia="Times New Roman" w:cs="Times New Roman"/>
          <w:sz w:val="24"/>
          <w:szCs w:val="24"/>
          <w:lang w:val="nl-BE"/>
        </w:rPr>
        <w:t xml:space="preserve">Stamp, J., Moore, A., Fiske, S., Gerritsen, J., Bierwagen, B., &amp; Hamilton, A. (2020). </w:t>
      </w:r>
      <w:r w:rsidRPr="00211A57">
        <w:rPr>
          <w:rFonts w:eastAsia="Times New Roman" w:cs="Times New Roman"/>
          <w:sz w:val="24"/>
          <w:szCs w:val="24"/>
        </w:rPr>
        <w:t xml:space="preserve">Effects of extreme high flow events on macroinvertebrate communities in Vermont streams. </w:t>
      </w:r>
      <w:r w:rsidRPr="00211A57">
        <w:rPr>
          <w:rFonts w:eastAsia="Times New Roman" w:cs="Times New Roman"/>
          <w:i/>
          <w:iCs/>
          <w:sz w:val="24"/>
          <w:szCs w:val="24"/>
        </w:rPr>
        <w:t>River Research and Applications, 36</w:t>
      </w:r>
      <w:r w:rsidRPr="00211A57">
        <w:rPr>
          <w:rFonts w:eastAsia="Times New Roman" w:cs="Times New Roman"/>
          <w:sz w:val="24"/>
          <w:szCs w:val="24"/>
        </w:rPr>
        <w:t xml:space="preserve">, 1891–1902. </w:t>
      </w:r>
      <w:hyperlink r:id="rId38" w:history="1">
        <w:r w:rsidRPr="00211A57">
          <w:rPr>
            <w:rFonts w:eastAsia="Times New Roman" w:cs="Times New Roman"/>
            <w:color w:val="0000FF"/>
            <w:sz w:val="24"/>
            <w:szCs w:val="24"/>
            <w:u w:val="single"/>
          </w:rPr>
          <w:t>https://doi.org/10.1002/rra.3713</w:t>
        </w:r>
      </w:hyperlink>
    </w:p>
    <w:p w14:paraId="443B0C94" w14:textId="77777777" w:rsidR="00211A57" w:rsidRPr="00211A57" w:rsidRDefault="00211A57" w:rsidP="00211A57">
      <w:pPr>
        <w:spacing w:before="100" w:beforeAutospacing="1" w:after="100" w:afterAutospacing="1" w:line="240" w:lineRule="auto"/>
        <w:ind w:left="540" w:hanging="540"/>
        <w:rPr>
          <w:rFonts w:eastAsia="Times New Roman" w:cs="Times New Roman"/>
          <w:sz w:val="24"/>
          <w:szCs w:val="24"/>
        </w:rPr>
      </w:pPr>
      <w:r w:rsidRPr="00211A57">
        <w:rPr>
          <w:rFonts w:eastAsia="Times New Roman" w:cs="Times New Roman"/>
          <w:sz w:val="24"/>
          <w:szCs w:val="24"/>
        </w:rPr>
        <w:t xml:space="preserve">Suren, A. M. (1994). Macroinvertebrate communities of streams in western Nepal: Effects of altitude and land use. </w:t>
      </w:r>
      <w:r w:rsidRPr="00211A57">
        <w:rPr>
          <w:rFonts w:eastAsia="Times New Roman" w:cs="Times New Roman"/>
          <w:i/>
          <w:iCs/>
          <w:sz w:val="24"/>
          <w:szCs w:val="24"/>
        </w:rPr>
        <w:t>Freshwater Biology, 32</w:t>
      </w:r>
      <w:r w:rsidRPr="00211A57">
        <w:rPr>
          <w:rFonts w:eastAsia="Times New Roman" w:cs="Times New Roman"/>
          <w:sz w:val="24"/>
          <w:szCs w:val="24"/>
        </w:rPr>
        <w:t xml:space="preserve">, 323–336. </w:t>
      </w:r>
      <w:hyperlink r:id="rId39" w:history="1">
        <w:r w:rsidRPr="00211A57">
          <w:rPr>
            <w:rFonts w:eastAsia="Times New Roman" w:cs="Times New Roman"/>
            <w:color w:val="0000FF"/>
            <w:sz w:val="24"/>
            <w:szCs w:val="24"/>
            <w:u w:val="single"/>
          </w:rPr>
          <w:t>https://doi.org/10.1111/j.1365-2427.1994.tb01129.x</w:t>
        </w:r>
      </w:hyperlink>
    </w:p>
    <w:p w14:paraId="285E6C99" w14:textId="77777777" w:rsidR="00211A57" w:rsidRPr="00211A57" w:rsidRDefault="00211A57" w:rsidP="00211A57">
      <w:pPr>
        <w:spacing w:before="100" w:beforeAutospacing="1" w:after="100" w:afterAutospacing="1" w:line="240" w:lineRule="auto"/>
        <w:ind w:left="540" w:hanging="540"/>
        <w:rPr>
          <w:rFonts w:eastAsia="Times New Roman" w:cs="Times New Roman"/>
          <w:sz w:val="24"/>
          <w:szCs w:val="24"/>
        </w:rPr>
      </w:pPr>
      <w:r w:rsidRPr="00211A57">
        <w:rPr>
          <w:rFonts w:eastAsia="Times New Roman" w:cs="Times New Roman"/>
          <w:sz w:val="24"/>
          <w:szCs w:val="24"/>
        </w:rPr>
        <w:t xml:space="preserve">Suren, A. M., &amp; Jowett, I. G. (2006). Effects of floods versus low flows on invertebrates in a New Zealand gravel-bed river. </w:t>
      </w:r>
      <w:r w:rsidRPr="00211A57">
        <w:rPr>
          <w:rFonts w:eastAsia="Times New Roman" w:cs="Times New Roman"/>
          <w:i/>
          <w:iCs/>
          <w:sz w:val="24"/>
          <w:szCs w:val="24"/>
        </w:rPr>
        <w:t>Freshwater Biology, 51</w:t>
      </w:r>
      <w:r w:rsidRPr="00211A57">
        <w:rPr>
          <w:rFonts w:eastAsia="Times New Roman" w:cs="Times New Roman"/>
          <w:sz w:val="24"/>
          <w:szCs w:val="24"/>
        </w:rPr>
        <w:t xml:space="preserve">, 2207–2227. </w:t>
      </w:r>
      <w:hyperlink r:id="rId40" w:history="1">
        <w:r w:rsidRPr="00211A57">
          <w:rPr>
            <w:rFonts w:eastAsia="Times New Roman" w:cs="Times New Roman"/>
            <w:color w:val="0000FF"/>
            <w:sz w:val="24"/>
            <w:szCs w:val="24"/>
            <w:u w:val="single"/>
          </w:rPr>
          <w:t>https://doi.org/10.1111/j.1365-2427.2006.01646.x</w:t>
        </w:r>
      </w:hyperlink>
    </w:p>
    <w:p w14:paraId="4978F376" w14:textId="77777777" w:rsidR="00211A57" w:rsidRPr="00211A57" w:rsidRDefault="00211A57" w:rsidP="00211A57">
      <w:pPr>
        <w:spacing w:before="100" w:beforeAutospacing="1" w:after="100" w:afterAutospacing="1" w:line="240" w:lineRule="auto"/>
        <w:ind w:left="540" w:hanging="540"/>
        <w:rPr>
          <w:rFonts w:eastAsia="Times New Roman" w:cs="Times New Roman"/>
          <w:sz w:val="24"/>
          <w:szCs w:val="24"/>
        </w:rPr>
      </w:pPr>
      <w:proofErr w:type="spellStart"/>
      <w:r w:rsidRPr="00211A57">
        <w:rPr>
          <w:rFonts w:eastAsia="Times New Roman" w:cs="Times New Roman"/>
          <w:sz w:val="24"/>
          <w:szCs w:val="24"/>
        </w:rPr>
        <w:t>Tachamo</w:t>
      </w:r>
      <w:proofErr w:type="spellEnd"/>
      <w:r w:rsidRPr="00211A57">
        <w:rPr>
          <w:rFonts w:eastAsia="Times New Roman" w:cs="Times New Roman"/>
          <w:sz w:val="24"/>
          <w:szCs w:val="24"/>
        </w:rPr>
        <w:t xml:space="preserve"> Shah, R. D., Shah, D. N., Pandey, A., Maharjan, J., Doody, T. M., &amp; Cuddy, S. M. (2024). Seasonal variations in macroinvertebrate diversity and community composition in Kamala River of </w:t>
      </w:r>
      <w:proofErr w:type="spellStart"/>
      <w:r w:rsidRPr="00211A57">
        <w:rPr>
          <w:rFonts w:eastAsia="Times New Roman" w:cs="Times New Roman"/>
          <w:sz w:val="24"/>
          <w:szCs w:val="24"/>
        </w:rPr>
        <w:t>Churia</w:t>
      </w:r>
      <w:proofErr w:type="spellEnd"/>
      <w:r w:rsidRPr="00211A57">
        <w:rPr>
          <w:rFonts w:eastAsia="Times New Roman" w:cs="Times New Roman"/>
          <w:sz w:val="24"/>
          <w:szCs w:val="24"/>
        </w:rPr>
        <w:t xml:space="preserve"> Range, Nepal. </w:t>
      </w:r>
      <w:r w:rsidRPr="00211A57">
        <w:rPr>
          <w:rFonts w:eastAsia="Times New Roman" w:cs="Times New Roman"/>
          <w:i/>
          <w:iCs/>
          <w:sz w:val="24"/>
          <w:szCs w:val="24"/>
        </w:rPr>
        <w:t>Journal of Institute of Science and Technology, 29</w:t>
      </w:r>
      <w:r w:rsidRPr="00211A57">
        <w:rPr>
          <w:rFonts w:eastAsia="Times New Roman" w:cs="Times New Roman"/>
          <w:sz w:val="24"/>
          <w:szCs w:val="24"/>
        </w:rPr>
        <w:t xml:space="preserve">, 13–24. </w:t>
      </w:r>
      <w:hyperlink r:id="rId41" w:history="1">
        <w:r w:rsidRPr="00211A57">
          <w:rPr>
            <w:rFonts w:eastAsia="Times New Roman" w:cs="Times New Roman"/>
            <w:color w:val="0000FF"/>
            <w:sz w:val="24"/>
            <w:szCs w:val="24"/>
            <w:u w:val="single"/>
          </w:rPr>
          <w:t>https://doi.org/10.3126/jist.v29i1.52941</w:t>
        </w:r>
      </w:hyperlink>
    </w:p>
    <w:p w14:paraId="4020D374" w14:textId="77777777" w:rsidR="00211A57" w:rsidRPr="00211A57" w:rsidRDefault="00211A57" w:rsidP="00211A57">
      <w:pPr>
        <w:spacing w:before="100" w:beforeAutospacing="1" w:after="100" w:afterAutospacing="1" w:line="240" w:lineRule="auto"/>
        <w:ind w:left="540" w:hanging="540"/>
        <w:rPr>
          <w:rFonts w:eastAsia="Times New Roman" w:cs="Times New Roman"/>
          <w:sz w:val="24"/>
          <w:szCs w:val="24"/>
        </w:rPr>
      </w:pPr>
      <w:proofErr w:type="spellStart"/>
      <w:r w:rsidRPr="00211A57">
        <w:rPr>
          <w:rFonts w:eastAsia="Times New Roman" w:cs="Times New Roman"/>
          <w:sz w:val="24"/>
          <w:szCs w:val="24"/>
        </w:rPr>
        <w:t>Tachamo</w:t>
      </w:r>
      <w:proofErr w:type="spellEnd"/>
      <w:r w:rsidRPr="00211A57">
        <w:rPr>
          <w:rFonts w:eastAsia="Times New Roman" w:cs="Times New Roman"/>
          <w:sz w:val="24"/>
          <w:szCs w:val="24"/>
        </w:rPr>
        <w:t xml:space="preserve"> Shah, R. D., Sharma, S., &amp; Bharati, L. (2020a). Water diversion induced changes in aquatic biodiversity in monsoon-dominated rivers of Western Himalayas in Nepal: Implications for environmental flows. </w:t>
      </w:r>
      <w:r w:rsidRPr="00211A57">
        <w:rPr>
          <w:rFonts w:eastAsia="Times New Roman" w:cs="Times New Roman"/>
          <w:i/>
          <w:iCs/>
          <w:sz w:val="24"/>
          <w:szCs w:val="24"/>
        </w:rPr>
        <w:t>Ecological Indicators, 108</w:t>
      </w:r>
      <w:r w:rsidRPr="00211A57">
        <w:rPr>
          <w:rFonts w:eastAsia="Times New Roman" w:cs="Times New Roman"/>
          <w:sz w:val="24"/>
          <w:szCs w:val="24"/>
        </w:rPr>
        <w:t xml:space="preserve">, 105735. </w:t>
      </w:r>
      <w:hyperlink r:id="rId42" w:history="1">
        <w:r w:rsidRPr="00211A57">
          <w:rPr>
            <w:rFonts w:eastAsia="Times New Roman" w:cs="Times New Roman"/>
            <w:color w:val="0000FF"/>
            <w:sz w:val="24"/>
            <w:szCs w:val="24"/>
            <w:u w:val="single"/>
          </w:rPr>
          <w:t>https://doi.org/10.1016/j.ecolind.2019.105735</w:t>
        </w:r>
      </w:hyperlink>
    </w:p>
    <w:p w14:paraId="465CDDF6" w14:textId="77777777" w:rsidR="00211A57" w:rsidRPr="00211A57" w:rsidRDefault="00211A57" w:rsidP="00211A57">
      <w:pPr>
        <w:spacing w:before="100" w:beforeAutospacing="1" w:after="100" w:afterAutospacing="1" w:line="240" w:lineRule="auto"/>
        <w:ind w:left="540" w:hanging="540"/>
        <w:rPr>
          <w:rFonts w:eastAsia="Times New Roman" w:cs="Times New Roman"/>
          <w:sz w:val="24"/>
          <w:szCs w:val="24"/>
        </w:rPr>
      </w:pPr>
      <w:proofErr w:type="spellStart"/>
      <w:r w:rsidRPr="00211A57">
        <w:rPr>
          <w:rFonts w:eastAsia="Times New Roman" w:cs="Times New Roman"/>
          <w:sz w:val="24"/>
          <w:szCs w:val="24"/>
        </w:rPr>
        <w:t>Tachamo</w:t>
      </w:r>
      <w:proofErr w:type="spellEnd"/>
      <w:r w:rsidRPr="00211A57">
        <w:rPr>
          <w:rFonts w:eastAsia="Times New Roman" w:cs="Times New Roman"/>
          <w:sz w:val="24"/>
          <w:szCs w:val="24"/>
        </w:rPr>
        <w:t xml:space="preserve"> Shah, R. D., Sharma, S., Shah, D. N., &amp; Rijal, D. (2020b). Structure of benthic macroinvertebrate communities in the rivers of Western Himalaya, Nepal. </w:t>
      </w:r>
      <w:r w:rsidRPr="00211A57">
        <w:rPr>
          <w:rFonts w:eastAsia="Times New Roman" w:cs="Times New Roman"/>
          <w:i/>
          <w:iCs/>
          <w:sz w:val="24"/>
          <w:szCs w:val="24"/>
        </w:rPr>
        <w:t>Geosciences, 10</w:t>
      </w:r>
      <w:r w:rsidRPr="00211A57">
        <w:rPr>
          <w:rFonts w:eastAsia="Times New Roman" w:cs="Times New Roman"/>
          <w:sz w:val="24"/>
          <w:szCs w:val="24"/>
        </w:rPr>
        <w:t xml:space="preserve">, 150. </w:t>
      </w:r>
      <w:hyperlink r:id="rId43" w:history="1">
        <w:r w:rsidRPr="00211A57">
          <w:rPr>
            <w:rFonts w:eastAsia="Times New Roman" w:cs="Times New Roman"/>
            <w:color w:val="0000FF"/>
            <w:sz w:val="24"/>
            <w:szCs w:val="24"/>
            <w:u w:val="single"/>
          </w:rPr>
          <w:t>https://doi.org/10.3390/geosciences10040150</w:t>
        </w:r>
      </w:hyperlink>
    </w:p>
    <w:p w14:paraId="73BBF184" w14:textId="77777777" w:rsidR="00211A57" w:rsidRPr="00211A57" w:rsidRDefault="00211A57" w:rsidP="00211A57">
      <w:pPr>
        <w:spacing w:before="100" w:beforeAutospacing="1" w:after="100" w:afterAutospacing="1" w:line="240" w:lineRule="auto"/>
        <w:ind w:left="540" w:hanging="540"/>
        <w:rPr>
          <w:rFonts w:eastAsia="Times New Roman" w:cs="Times New Roman"/>
          <w:sz w:val="24"/>
          <w:szCs w:val="24"/>
        </w:rPr>
      </w:pPr>
      <w:proofErr w:type="spellStart"/>
      <w:r w:rsidRPr="00211A57">
        <w:rPr>
          <w:rFonts w:eastAsia="Times New Roman" w:cs="Times New Roman"/>
          <w:sz w:val="24"/>
          <w:szCs w:val="24"/>
        </w:rPr>
        <w:t>Talchabhadel</w:t>
      </w:r>
      <w:proofErr w:type="spellEnd"/>
      <w:r w:rsidRPr="00211A57">
        <w:rPr>
          <w:rFonts w:eastAsia="Times New Roman" w:cs="Times New Roman"/>
          <w:sz w:val="24"/>
          <w:szCs w:val="24"/>
        </w:rPr>
        <w:t xml:space="preserve">, R., Karki, R., Thapa, B. R., Maharjan, M., &amp; Parajuli, B. (2018). </w:t>
      </w:r>
      <w:proofErr w:type="spellStart"/>
      <w:r w:rsidRPr="00211A57">
        <w:rPr>
          <w:rFonts w:eastAsia="Times New Roman" w:cs="Times New Roman"/>
          <w:sz w:val="24"/>
          <w:szCs w:val="24"/>
        </w:rPr>
        <w:t>Spatio</w:t>
      </w:r>
      <w:proofErr w:type="spellEnd"/>
      <w:r w:rsidRPr="00211A57">
        <w:rPr>
          <w:rFonts w:eastAsia="Times New Roman" w:cs="Times New Roman"/>
          <w:sz w:val="24"/>
          <w:szCs w:val="24"/>
        </w:rPr>
        <w:t xml:space="preserve">-temporal variability of extreme precipitation in Nepal. </w:t>
      </w:r>
      <w:r w:rsidRPr="00211A57">
        <w:rPr>
          <w:rFonts w:eastAsia="Times New Roman" w:cs="Times New Roman"/>
          <w:i/>
          <w:iCs/>
          <w:sz w:val="24"/>
          <w:szCs w:val="24"/>
        </w:rPr>
        <w:t>International Journal of Climatology, 38</w:t>
      </w:r>
      <w:r w:rsidRPr="00211A57">
        <w:rPr>
          <w:rFonts w:eastAsia="Times New Roman" w:cs="Times New Roman"/>
          <w:sz w:val="24"/>
          <w:szCs w:val="24"/>
        </w:rPr>
        <w:t xml:space="preserve">, 4296–4313. </w:t>
      </w:r>
      <w:hyperlink r:id="rId44" w:history="1">
        <w:r w:rsidRPr="00211A57">
          <w:rPr>
            <w:rFonts w:eastAsia="Times New Roman" w:cs="Times New Roman"/>
            <w:color w:val="0000FF"/>
            <w:sz w:val="24"/>
            <w:szCs w:val="24"/>
            <w:u w:val="single"/>
          </w:rPr>
          <w:t>https://doi.org/10.1002/joc.5669</w:t>
        </w:r>
      </w:hyperlink>
    </w:p>
    <w:p w14:paraId="0C2D5C47" w14:textId="77777777" w:rsidR="00211A57" w:rsidRPr="00211A57" w:rsidRDefault="00211A57" w:rsidP="00211A57">
      <w:pPr>
        <w:spacing w:before="100" w:beforeAutospacing="1" w:after="100" w:afterAutospacing="1" w:line="240" w:lineRule="auto"/>
        <w:ind w:left="540" w:hanging="540"/>
        <w:rPr>
          <w:rFonts w:eastAsia="Times New Roman" w:cs="Times New Roman"/>
          <w:sz w:val="24"/>
          <w:szCs w:val="24"/>
        </w:rPr>
      </w:pPr>
      <w:r w:rsidRPr="00211A57">
        <w:rPr>
          <w:rFonts w:eastAsia="Times New Roman" w:cs="Times New Roman"/>
          <w:sz w:val="24"/>
          <w:szCs w:val="24"/>
        </w:rPr>
        <w:t xml:space="preserve">Wesner, J. S. (2011). Shoaling species drive fish assemblage response to sequential large floods in a small midwestern USA stream. </w:t>
      </w:r>
      <w:r w:rsidRPr="00211A57">
        <w:rPr>
          <w:rFonts w:eastAsia="Times New Roman" w:cs="Times New Roman"/>
          <w:i/>
          <w:iCs/>
          <w:sz w:val="24"/>
          <w:szCs w:val="24"/>
        </w:rPr>
        <w:t>Environmental Biology of Fishes, 91</w:t>
      </w:r>
      <w:r w:rsidRPr="00211A57">
        <w:rPr>
          <w:rFonts w:eastAsia="Times New Roman" w:cs="Times New Roman"/>
          <w:sz w:val="24"/>
          <w:szCs w:val="24"/>
        </w:rPr>
        <w:t xml:space="preserve">, 231–242. </w:t>
      </w:r>
      <w:hyperlink r:id="rId45" w:history="1">
        <w:r w:rsidRPr="00211A57">
          <w:rPr>
            <w:rFonts w:eastAsia="Times New Roman" w:cs="Times New Roman"/>
            <w:color w:val="0000FF"/>
            <w:sz w:val="24"/>
            <w:szCs w:val="24"/>
            <w:u w:val="single"/>
          </w:rPr>
          <w:t>https://doi.org/10.1007/s10641-011-9775-5</w:t>
        </w:r>
      </w:hyperlink>
    </w:p>
    <w:p w14:paraId="4339C511" w14:textId="77777777" w:rsidR="00CD51E3" w:rsidRPr="00D858FB" w:rsidRDefault="00000000">
      <w:pPr>
        <w:rPr>
          <w:sz w:val="24"/>
          <w:szCs w:val="24"/>
        </w:rPr>
      </w:pPr>
      <w:r w:rsidRPr="00D858FB">
        <w:rPr>
          <w:sz w:val="24"/>
          <w:szCs w:val="24"/>
        </w:rPr>
        <w:lastRenderedPageBreak/>
        <w:br w:type="page"/>
      </w:r>
    </w:p>
    <w:p w14:paraId="1A49FCA3" w14:textId="77777777" w:rsidR="00CD51E3" w:rsidRPr="00D858FB" w:rsidRDefault="00C56C90">
      <w:pPr>
        <w:spacing w:before="80" w:after="80"/>
        <w:rPr>
          <w:sz w:val="24"/>
          <w:szCs w:val="24"/>
        </w:rPr>
      </w:pPr>
      <w:r w:rsidRPr="00C56C90">
        <w:rPr>
          <w:rFonts w:eastAsia="Times New Roman"/>
          <w:b/>
          <w:sz w:val="24"/>
          <w:szCs w:val="24"/>
        </w:rPr>
        <w:lastRenderedPageBreak/>
        <w:t xml:space="preserve">Table 1. </w:t>
      </w:r>
      <w:r w:rsidRPr="00D858FB">
        <w:rPr>
          <w:rFonts w:eastAsia="Times New Roman"/>
          <w:bCs/>
          <w:sz w:val="24"/>
          <w:szCs w:val="24"/>
        </w:rPr>
        <w:t>Nepal-specific empirical studies informing the review, their principal contributions, and limitations of inference</w:t>
      </w:r>
      <w:r>
        <w:rPr>
          <w:rFonts w:eastAsia="Times New Roman"/>
          <w:b/>
          <w:sz w:val="24"/>
          <w:szCs w:val="24"/>
        </w:rPr>
        <w:t xml:space="preserve"> </w:t>
      </w:r>
    </w:p>
    <w:tbl>
      <w:tblPr>
        <w:tblStyle w:val="TableGrid"/>
        <w:tblW w:w="9360" w:type="dxa"/>
        <w:tblInd w:w="120" w:type="dxa"/>
        <w:tblLook w:val="04A0" w:firstRow="1" w:lastRow="0" w:firstColumn="1" w:lastColumn="0" w:noHBand="0" w:noVBand="1"/>
      </w:tblPr>
      <w:tblGrid>
        <w:gridCol w:w="1591"/>
        <w:gridCol w:w="2411"/>
        <w:gridCol w:w="2887"/>
        <w:gridCol w:w="2471"/>
      </w:tblGrid>
      <w:tr w:rsidR="009E50CD" w:rsidRPr="009E50CD" w14:paraId="23EA2DB1" w14:textId="77777777" w:rsidTr="009E50CD">
        <w:tc>
          <w:tcPr>
            <w:tcW w:w="0" w:type="auto"/>
            <w:hideMark/>
          </w:tcPr>
          <w:p w14:paraId="236DBC6D" w14:textId="77777777" w:rsidR="009E50CD" w:rsidRPr="009E50CD" w:rsidRDefault="009E50CD" w:rsidP="009E50CD">
            <w:pPr>
              <w:spacing w:after="0" w:line="240" w:lineRule="auto"/>
              <w:jc w:val="center"/>
              <w:rPr>
                <w:rFonts w:eastAsia="Times New Roman" w:cs="Times New Roman"/>
                <w:b/>
                <w:bCs/>
                <w:sz w:val="24"/>
                <w:szCs w:val="24"/>
                <w:lang w:val="en-IN" w:eastAsia="en-IN" w:bidi="ml-IN"/>
              </w:rPr>
            </w:pPr>
            <w:r w:rsidRPr="009E50CD">
              <w:rPr>
                <w:rFonts w:eastAsia="Times New Roman" w:cs="Times New Roman"/>
                <w:b/>
                <w:bCs/>
                <w:sz w:val="24"/>
                <w:szCs w:val="24"/>
                <w:lang w:val="en-IN" w:eastAsia="en-IN" w:bidi="ml-IN"/>
              </w:rPr>
              <w:t>Study</w:t>
            </w:r>
          </w:p>
        </w:tc>
        <w:tc>
          <w:tcPr>
            <w:tcW w:w="0" w:type="auto"/>
            <w:hideMark/>
          </w:tcPr>
          <w:p w14:paraId="43E278D0" w14:textId="77777777" w:rsidR="009E50CD" w:rsidRPr="009E50CD" w:rsidRDefault="009E50CD" w:rsidP="009E50CD">
            <w:pPr>
              <w:spacing w:after="0" w:line="240" w:lineRule="auto"/>
              <w:jc w:val="center"/>
              <w:rPr>
                <w:rFonts w:eastAsia="Times New Roman" w:cs="Times New Roman"/>
                <w:b/>
                <w:bCs/>
                <w:sz w:val="24"/>
                <w:szCs w:val="24"/>
                <w:lang w:val="en-IN" w:eastAsia="en-IN" w:bidi="ml-IN"/>
              </w:rPr>
            </w:pPr>
            <w:r w:rsidRPr="009E50CD">
              <w:rPr>
                <w:rFonts w:eastAsia="Times New Roman" w:cs="Times New Roman"/>
                <w:b/>
                <w:bCs/>
                <w:sz w:val="24"/>
                <w:szCs w:val="24"/>
                <w:lang w:val="en-IN" w:eastAsia="en-IN" w:bidi="ml-IN"/>
              </w:rPr>
              <w:t>Study system and evidence base</w:t>
            </w:r>
          </w:p>
        </w:tc>
        <w:tc>
          <w:tcPr>
            <w:tcW w:w="0" w:type="auto"/>
            <w:hideMark/>
          </w:tcPr>
          <w:p w14:paraId="6241ADE2" w14:textId="77777777" w:rsidR="009E50CD" w:rsidRPr="009E50CD" w:rsidRDefault="009E50CD" w:rsidP="009E50CD">
            <w:pPr>
              <w:spacing w:after="0" w:line="240" w:lineRule="auto"/>
              <w:jc w:val="center"/>
              <w:rPr>
                <w:rFonts w:eastAsia="Times New Roman" w:cs="Times New Roman"/>
                <w:b/>
                <w:bCs/>
                <w:sz w:val="24"/>
                <w:szCs w:val="24"/>
                <w:lang w:val="en-IN" w:eastAsia="en-IN" w:bidi="ml-IN"/>
              </w:rPr>
            </w:pPr>
            <w:r w:rsidRPr="009E50CD">
              <w:rPr>
                <w:rFonts w:eastAsia="Times New Roman" w:cs="Times New Roman"/>
                <w:b/>
                <w:bCs/>
                <w:sz w:val="24"/>
                <w:szCs w:val="24"/>
                <w:lang w:val="en-IN" w:eastAsia="en-IN" w:bidi="ml-IN"/>
              </w:rPr>
              <w:t>Principal contribution to the review</w:t>
            </w:r>
          </w:p>
        </w:tc>
        <w:tc>
          <w:tcPr>
            <w:tcW w:w="0" w:type="auto"/>
            <w:hideMark/>
          </w:tcPr>
          <w:p w14:paraId="0CB8ADA4" w14:textId="77777777" w:rsidR="009E50CD" w:rsidRPr="009E50CD" w:rsidRDefault="009E50CD" w:rsidP="009E50CD">
            <w:pPr>
              <w:spacing w:after="0" w:line="240" w:lineRule="auto"/>
              <w:jc w:val="center"/>
              <w:rPr>
                <w:rFonts w:eastAsia="Times New Roman" w:cs="Times New Roman"/>
                <w:b/>
                <w:bCs/>
                <w:sz w:val="24"/>
                <w:szCs w:val="24"/>
                <w:lang w:val="en-IN" w:eastAsia="en-IN" w:bidi="ml-IN"/>
              </w:rPr>
            </w:pPr>
            <w:r w:rsidRPr="009E50CD">
              <w:rPr>
                <w:rFonts w:eastAsia="Times New Roman" w:cs="Times New Roman"/>
                <w:b/>
                <w:bCs/>
                <w:sz w:val="24"/>
                <w:szCs w:val="24"/>
                <w:lang w:val="en-IN" w:eastAsia="en-IN" w:bidi="ml-IN"/>
              </w:rPr>
              <w:t>Limitation of inference</w:t>
            </w:r>
          </w:p>
        </w:tc>
      </w:tr>
      <w:tr w:rsidR="009E50CD" w:rsidRPr="009E50CD" w14:paraId="5CE33AAD" w14:textId="77777777" w:rsidTr="009E50CD">
        <w:tc>
          <w:tcPr>
            <w:tcW w:w="0" w:type="auto"/>
            <w:hideMark/>
          </w:tcPr>
          <w:p w14:paraId="69E7B338" w14:textId="77777777" w:rsidR="009E50CD" w:rsidRPr="009E50CD" w:rsidRDefault="009E50CD" w:rsidP="009E50CD">
            <w:pPr>
              <w:spacing w:after="0" w:line="240" w:lineRule="auto"/>
              <w:jc w:val="left"/>
              <w:rPr>
                <w:rFonts w:eastAsia="Times New Roman" w:cs="Times New Roman"/>
                <w:sz w:val="24"/>
                <w:szCs w:val="24"/>
                <w:lang w:val="en-IN" w:eastAsia="en-IN" w:bidi="ml-IN"/>
              </w:rPr>
            </w:pPr>
            <w:r w:rsidRPr="009E50CD">
              <w:rPr>
                <w:rFonts w:eastAsia="Times New Roman" w:cs="Times New Roman"/>
                <w:sz w:val="24"/>
                <w:szCs w:val="24"/>
                <w:lang w:val="en-IN" w:eastAsia="en-IN" w:bidi="ml-IN"/>
              </w:rPr>
              <w:t>Edds (1993)</w:t>
            </w:r>
          </w:p>
        </w:tc>
        <w:tc>
          <w:tcPr>
            <w:tcW w:w="0" w:type="auto"/>
            <w:hideMark/>
          </w:tcPr>
          <w:p w14:paraId="78D355F7" w14:textId="77777777" w:rsidR="009E50CD" w:rsidRPr="009E50CD" w:rsidRDefault="009E50CD" w:rsidP="009E50CD">
            <w:pPr>
              <w:spacing w:after="0" w:line="240" w:lineRule="auto"/>
              <w:jc w:val="left"/>
              <w:rPr>
                <w:rFonts w:eastAsia="Times New Roman" w:cs="Times New Roman"/>
                <w:sz w:val="24"/>
                <w:szCs w:val="24"/>
                <w:lang w:val="en-IN" w:eastAsia="en-IN" w:bidi="ml-IN"/>
              </w:rPr>
            </w:pPr>
            <w:r w:rsidRPr="009E50CD">
              <w:rPr>
                <w:rFonts w:eastAsia="Times New Roman" w:cs="Times New Roman"/>
                <w:sz w:val="24"/>
                <w:szCs w:val="24"/>
                <w:lang w:val="en-IN" w:eastAsia="en-IN" w:bidi="ml-IN"/>
              </w:rPr>
              <w:t>Fish assemblages at 81 sites in the Gandaki River system</w:t>
            </w:r>
          </w:p>
        </w:tc>
        <w:tc>
          <w:tcPr>
            <w:tcW w:w="0" w:type="auto"/>
            <w:hideMark/>
          </w:tcPr>
          <w:p w14:paraId="5E95D0C7" w14:textId="77777777" w:rsidR="009E50CD" w:rsidRPr="009E50CD" w:rsidRDefault="009E50CD" w:rsidP="009E50CD">
            <w:pPr>
              <w:spacing w:after="0" w:line="240" w:lineRule="auto"/>
              <w:jc w:val="left"/>
              <w:rPr>
                <w:rFonts w:eastAsia="Times New Roman" w:cs="Times New Roman"/>
                <w:sz w:val="24"/>
                <w:szCs w:val="24"/>
                <w:lang w:val="en-IN" w:eastAsia="en-IN" w:bidi="ml-IN"/>
              </w:rPr>
            </w:pPr>
            <w:r w:rsidRPr="009E50CD">
              <w:rPr>
                <w:rFonts w:eastAsia="Times New Roman" w:cs="Times New Roman"/>
                <w:sz w:val="24"/>
                <w:szCs w:val="24"/>
                <w:lang w:val="en-IN" w:eastAsia="en-IN" w:bidi="ml-IN"/>
              </w:rPr>
              <w:t>Demonstrated that hydraulic conditions, geography, water quality and monsoon-related variables structure fish assemblages.</w:t>
            </w:r>
          </w:p>
        </w:tc>
        <w:tc>
          <w:tcPr>
            <w:tcW w:w="0" w:type="auto"/>
            <w:hideMark/>
          </w:tcPr>
          <w:p w14:paraId="34773970" w14:textId="77777777" w:rsidR="009E50CD" w:rsidRPr="009E50CD" w:rsidRDefault="009E50CD" w:rsidP="009E50CD">
            <w:pPr>
              <w:spacing w:after="0" w:line="240" w:lineRule="auto"/>
              <w:jc w:val="left"/>
              <w:rPr>
                <w:rFonts w:eastAsia="Times New Roman" w:cs="Times New Roman"/>
                <w:sz w:val="24"/>
                <w:szCs w:val="24"/>
                <w:lang w:val="en-IN" w:eastAsia="en-IN" w:bidi="ml-IN"/>
              </w:rPr>
            </w:pPr>
            <w:r w:rsidRPr="009E50CD">
              <w:rPr>
                <w:rFonts w:eastAsia="Times New Roman" w:cs="Times New Roman"/>
                <w:sz w:val="24"/>
                <w:szCs w:val="24"/>
                <w:lang w:val="en-IN" w:eastAsia="en-IN" w:bidi="ml-IN"/>
              </w:rPr>
              <w:t>Based on observational gradients rather than an event-impact design; flood effects cannot be isolated.</w:t>
            </w:r>
          </w:p>
        </w:tc>
      </w:tr>
      <w:tr w:rsidR="009E50CD" w:rsidRPr="009E50CD" w14:paraId="33128202" w14:textId="77777777" w:rsidTr="009E50CD">
        <w:tc>
          <w:tcPr>
            <w:tcW w:w="0" w:type="auto"/>
            <w:hideMark/>
          </w:tcPr>
          <w:p w14:paraId="144EF982" w14:textId="77777777" w:rsidR="009E50CD" w:rsidRPr="009E50CD" w:rsidRDefault="009E50CD" w:rsidP="009E50CD">
            <w:pPr>
              <w:spacing w:after="0" w:line="240" w:lineRule="auto"/>
              <w:jc w:val="left"/>
              <w:rPr>
                <w:rFonts w:eastAsia="Times New Roman" w:cs="Times New Roman"/>
                <w:sz w:val="24"/>
                <w:szCs w:val="24"/>
                <w:lang w:val="en-IN" w:eastAsia="en-IN" w:bidi="ml-IN"/>
              </w:rPr>
            </w:pPr>
            <w:r w:rsidRPr="009E50CD">
              <w:rPr>
                <w:rFonts w:eastAsia="Times New Roman" w:cs="Times New Roman"/>
                <w:sz w:val="24"/>
                <w:szCs w:val="24"/>
                <w:lang w:val="en-IN" w:eastAsia="en-IN" w:bidi="ml-IN"/>
              </w:rPr>
              <w:t>Rundle et al. (1993); Suren (1994)</w:t>
            </w:r>
          </w:p>
        </w:tc>
        <w:tc>
          <w:tcPr>
            <w:tcW w:w="0" w:type="auto"/>
            <w:hideMark/>
          </w:tcPr>
          <w:p w14:paraId="34C6B0F7" w14:textId="77777777" w:rsidR="009E50CD" w:rsidRPr="009E50CD" w:rsidRDefault="009E50CD" w:rsidP="009E50CD">
            <w:pPr>
              <w:spacing w:after="0" w:line="240" w:lineRule="auto"/>
              <w:jc w:val="left"/>
              <w:rPr>
                <w:rFonts w:eastAsia="Times New Roman" w:cs="Times New Roman"/>
                <w:sz w:val="24"/>
                <w:szCs w:val="24"/>
                <w:lang w:val="en-IN" w:eastAsia="en-IN" w:bidi="ml-IN"/>
              </w:rPr>
            </w:pPr>
            <w:r w:rsidRPr="009E50CD">
              <w:rPr>
                <w:rFonts w:eastAsia="Times New Roman" w:cs="Times New Roman"/>
                <w:sz w:val="24"/>
                <w:szCs w:val="24"/>
                <w:lang w:val="en-IN" w:eastAsia="en-IN" w:bidi="ml-IN"/>
              </w:rPr>
              <w:t>Macroinvertebrate communities in Himalayan streams</w:t>
            </w:r>
          </w:p>
        </w:tc>
        <w:tc>
          <w:tcPr>
            <w:tcW w:w="0" w:type="auto"/>
            <w:hideMark/>
          </w:tcPr>
          <w:p w14:paraId="457FCB2C" w14:textId="77777777" w:rsidR="009E50CD" w:rsidRPr="009E50CD" w:rsidRDefault="009E50CD" w:rsidP="009E50CD">
            <w:pPr>
              <w:spacing w:after="0" w:line="240" w:lineRule="auto"/>
              <w:jc w:val="left"/>
              <w:rPr>
                <w:rFonts w:eastAsia="Times New Roman" w:cs="Times New Roman"/>
                <w:sz w:val="24"/>
                <w:szCs w:val="24"/>
                <w:lang w:val="en-IN" w:eastAsia="en-IN" w:bidi="ml-IN"/>
              </w:rPr>
            </w:pPr>
            <w:r w:rsidRPr="009E50CD">
              <w:rPr>
                <w:rFonts w:eastAsia="Times New Roman" w:cs="Times New Roman"/>
                <w:sz w:val="24"/>
                <w:szCs w:val="24"/>
                <w:lang w:val="en-IN" w:eastAsia="en-IN" w:bidi="ml-IN"/>
              </w:rPr>
              <w:t>Identified altitude, land use and habitat characteristics as important determinants of community composition.</w:t>
            </w:r>
          </w:p>
        </w:tc>
        <w:tc>
          <w:tcPr>
            <w:tcW w:w="0" w:type="auto"/>
            <w:hideMark/>
          </w:tcPr>
          <w:p w14:paraId="52A22FD9" w14:textId="77777777" w:rsidR="009E50CD" w:rsidRPr="009E50CD" w:rsidRDefault="009E50CD" w:rsidP="009E50CD">
            <w:pPr>
              <w:spacing w:after="0" w:line="240" w:lineRule="auto"/>
              <w:jc w:val="left"/>
              <w:rPr>
                <w:rFonts w:eastAsia="Times New Roman" w:cs="Times New Roman"/>
                <w:sz w:val="24"/>
                <w:szCs w:val="24"/>
                <w:lang w:val="en-IN" w:eastAsia="en-IN" w:bidi="ml-IN"/>
              </w:rPr>
            </w:pPr>
            <w:r w:rsidRPr="009E50CD">
              <w:rPr>
                <w:rFonts w:eastAsia="Times New Roman" w:cs="Times New Roman"/>
                <w:sz w:val="24"/>
                <w:szCs w:val="24"/>
                <w:lang w:val="en-IN" w:eastAsia="en-IN" w:bidi="ml-IN"/>
              </w:rPr>
              <w:t>Primarily spatial surveys conducted under low-flow conditions; applicable mainly as baseline evidence.</w:t>
            </w:r>
          </w:p>
        </w:tc>
      </w:tr>
      <w:tr w:rsidR="009E50CD" w:rsidRPr="009E50CD" w14:paraId="46E67AD8" w14:textId="77777777" w:rsidTr="009E50CD">
        <w:tc>
          <w:tcPr>
            <w:tcW w:w="0" w:type="auto"/>
            <w:hideMark/>
          </w:tcPr>
          <w:p w14:paraId="681248F6" w14:textId="77777777" w:rsidR="009E50CD" w:rsidRPr="009E50CD" w:rsidRDefault="009E50CD" w:rsidP="009E50CD">
            <w:pPr>
              <w:spacing w:after="0" w:line="240" w:lineRule="auto"/>
              <w:jc w:val="left"/>
              <w:rPr>
                <w:rFonts w:eastAsia="Times New Roman" w:cs="Times New Roman"/>
                <w:sz w:val="24"/>
                <w:szCs w:val="24"/>
                <w:lang w:val="en-IN" w:eastAsia="en-IN" w:bidi="ml-IN"/>
              </w:rPr>
            </w:pPr>
            <w:r w:rsidRPr="009E50CD">
              <w:rPr>
                <w:rFonts w:eastAsia="Times New Roman" w:cs="Times New Roman"/>
                <w:sz w:val="24"/>
                <w:szCs w:val="24"/>
                <w:lang w:val="en-IN" w:eastAsia="en-IN" w:bidi="ml-IN"/>
              </w:rPr>
              <w:t>Brewin et al. (2000)</w:t>
            </w:r>
          </w:p>
        </w:tc>
        <w:tc>
          <w:tcPr>
            <w:tcW w:w="0" w:type="auto"/>
            <w:hideMark/>
          </w:tcPr>
          <w:p w14:paraId="2085F516" w14:textId="77777777" w:rsidR="009E50CD" w:rsidRPr="009E50CD" w:rsidRDefault="009E50CD" w:rsidP="009E50CD">
            <w:pPr>
              <w:spacing w:after="0" w:line="240" w:lineRule="auto"/>
              <w:jc w:val="left"/>
              <w:rPr>
                <w:rFonts w:eastAsia="Times New Roman" w:cs="Times New Roman"/>
                <w:sz w:val="24"/>
                <w:szCs w:val="24"/>
                <w:lang w:val="en-IN" w:eastAsia="en-IN" w:bidi="ml-IN"/>
              </w:rPr>
            </w:pPr>
            <w:r w:rsidRPr="009E50CD">
              <w:rPr>
                <w:rFonts w:eastAsia="Times New Roman" w:cs="Times New Roman"/>
                <w:sz w:val="24"/>
                <w:szCs w:val="24"/>
                <w:lang w:val="en-IN" w:eastAsia="en-IN" w:bidi="ml-IN"/>
              </w:rPr>
              <w:t>Seasonal benthic macroinvertebrate records from 16 streams</w:t>
            </w:r>
          </w:p>
        </w:tc>
        <w:tc>
          <w:tcPr>
            <w:tcW w:w="0" w:type="auto"/>
            <w:hideMark/>
          </w:tcPr>
          <w:p w14:paraId="4E182029" w14:textId="77777777" w:rsidR="009E50CD" w:rsidRPr="009E50CD" w:rsidRDefault="009E50CD" w:rsidP="009E50CD">
            <w:pPr>
              <w:spacing w:after="0" w:line="240" w:lineRule="auto"/>
              <w:jc w:val="left"/>
              <w:rPr>
                <w:rFonts w:eastAsia="Times New Roman" w:cs="Times New Roman"/>
                <w:sz w:val="24"/>
                <w:szCs w:val="24"/>
                <w:lang w:val="en-IN" w:eastAsia="en-IN" w:bidi="ml-IN"/>
              </w:rPr>
            </w:pPr>
            <w:r w:rsidRPr="009E50CD">
              <w:rPr>
                <w:rFonts w:eastAsia="Times New Roman" w:cs="Times New Roman"/>
                <w:sz w:val="24"/>
                <w:szCs w:val="24"/>
                <w:lang w:val="en-IN" w:eastAsia="en-IN" w:bidi="ml-IN"/>
              </w:rPr>
              <w:t>Documented seasonal declines at low elevations and found that predictable monsoon flooding was not distinguishable as a major ecological disturbance.</w:t>
            </w:r>
          </w:p>
        </w:tc>
        <w:tc>
          <w:tcPr>
            <w:tcW w:w="0" w:type="auto"/>
            <w:hideMark/>
          </w:tcPr>
          <w:p w14:paraId="0E96B690" w14:textId="77777777" w:rsidR="009E50CD" w:rsidRPr="009E50CD" w:rsidRDefault="009E50CD" w:rsidP="009E50CD">
            <w:pPr>
              <w:spacing w:after="0" w:line="240" w:lineRule="auto"/>
              <w:jc w:val="left"/>
              <w:rPr>
                <w:rFonts w:eastAsia="Times New Roman" w:cs="Times New Roman"/>
                <w:sz w:val="24"/>
                <w:szCs w:val="24"/>
                <w:lang w:val="en-IN" w:eastAsia="en-IN" w:bidi="ml-IN"/>
              </w:rPr>
            </w:pPr>
            <w:r w:rsidRPr="009E50CD">
              <w:rPr>
                <w:rFonts w:eastAsia="Times New Roman" w:cs="Times New Roman"/>
                <w:sz w:val="24"/>
                <w:szCs w:val="24"/>
                <w:lang w:val="en-IN" w:eastAsia="en-IN" w:bidi="ml-IN"/>
              </w:rPr>
              <w:t>Examined seasonal monsoon dynamics rather than biological responses to cloudbursts, flash floods or debris floods.</w:t>
            </w:r>
          </w:p>
        </w:tc>
      </w:tr>
      <w:tr w:rsidR="009E50CD" w:rsidRPr="009E50CD" w14:paraId="24F3F9B9" w14:textId="77777777" w:rsidTr="009E50CD">
        <w:tc>
          <w:tcPr>
            <w:tcW w:w="0" w:type="auto"/>
            <w:hideMark/>
          </w:tcPr>
          <w:p w14:paraId="130383B8" w14:textId="77777777" w:rsidR="009E50CD" w:rsidRPr="009E50CD" w:rsidRDefault="009E50CD" w:rsidP="009E50CD">
            <w:pPr>
              <w:spacing w:after="0" w:line="240" w:lineRule="auto"/>
              <w:jc w:val="left"/>
              <w:rPr>
                <w:rFonts w:eastAsia="Times New Roman" w:cs="Times New Roman"/>
                <w:sz w:val="24"/>
                <w:szCs w:val="24"/>
                <w:lang w:val="en-IN" w:eastAsia="en-IN" w:bidi="ml-IN"/>
              </w:rPr>
            </w:pPr>
            <w:r>
              <w:rPr>
                <w:rFonts w:eastAsia="Times New Roman" w:cs="Times New Roman"/>
                <w:sz w:val="24"/>
                <w:szCs w:val="24"/>
                <w:highlight w:val="yellow"/>
                <w:lang w:val="en-IN" w:eastAsia="en-IN" w:bidi="ml-IN"/>
              </w:rPr>
              <w:t>Khatri et al. (2010)</w:t>
            </w:r>
            <w:r>
              <w:rPr>
                <w:rFonts w:eastAsia="Times New Roman" w:cs="Times New Roman"/>
                <w:sz w:val="24"/>
                <w:szCs w:val="24"/>
                <w:lang w:val="en-IN" w:eastAsia="en-IN" w:bidi="ml-IN"/>
              </w:rPr>
              <w:t>; Limbu and Subba (2013)</w:t>
            </w:r>
          </w:p>
        </w:tc>
        <w:tc>
          <w:tcPr>
            <w:tcW w:w="0" w:type="auto"/>
            <w:hideMark/>
          </w:tcPr>
          <w:p w14:paraId="08E0D5C1" w14:textId="77777777" w:rsidR="009E50CD" w:rsidRPr="009E50CD" w:rsidRDefault="009E50CD" w:rsidP="009E50CD">
            <w:pPr>
              <w:spacing w:after="0" w:line="240" w:lineRule="auto"/>
              <w:jc w:val="left"/>
              <w:rPr>
                <w:rFonts w:eastAsia="Times New Roman" w:cs="Times New Roman"/>
                <w:sz w:val="24"/>
                <w:szCs w:val="24"/>
                <w:lang w:val="en-IN" w:eastAsia="en-IN" w:bidi="ml-IN"/>
              </w:rPr>
            </w:pPr>
            <w:r w:rsidRPr="009E50CD">
              <w:rPr>
                <w:rFonts w:eastAsia="Times New Roman" w:cs="Times New Roman"/>
                <w:sz w:val="24"/>
                <w:szCs w:val="24"/>
                <w:lang w:val="en-IN" w:eastAsia="en-IN" w:bidi="ml-IN"/>
              </w:rPr>
              <w:t xml:space="preserve">Post-2008 flood assessments in Koshi </w:t>
            </w:r>
            <w:proofErr w:type="spellStart"/>
            <w:r w:rsidRPr="009E50CD">
              <w:rPr>
                <w:rFonts w:eastAsia="Times New Roman" w:cs="Times New Roman"/>
                <w:sz w:val="24"/>
                <w:szCs w:val="24"/>
                <w:lang w:val="en-IN" w:eastAsia="en-IN" w:bidi="ml-IN"/>
              </w:rPr>
              <w:t>Tappu</w:t>
            </w:r>
            <w:proofErr w:type="spellEnd"/>
            <w:r w:rsidRPr="009E50CD">
              <w:rPr>
                <w:rFonts w:eastAsia="Times New Roman" w:cs="Times New Roman"/>
                <w:sz w:val="24"/>
                <w:szCs w:val="24"/>
                <w:lang w:val="en-IN" w:eastAsia="en-IN" w:bidi="ml-IN"/>
              </w:rPr>
              <w:t xml:space="preserve"> Wildlife Reserve</w:t>
            </w:r>
          </w:p>
        </w:tc>
        <w:tc>
          <w:tcPr>
            <w:tcW w:w="0" w:type="auto"/>
            <w:hideMark/>
          </w:tcPr>
          <w:p w14:paraId="34751186" w14:textId="77777777" w:rsidR="009E50CD" w:rsidRPr="009E50CD" w:rsidRDefault="009E50CD" w:rsidP="009E50CD">
            <w:pPr>
              <w:spacing w:after="0" w:line="240" w:lineRule="auto"/>
              <w:jc w:val="left"/>
              <w:rPr>
                <w:rFonts w:eastAsia="Times New Roman" w:cs="Times New Roman"/>
                <w:sz w:val="24"/>
                <w:szCs w:val="24"/>
                <w:lang w:val="en-IN" w:eastAsia="en-IN" w:bidi="ml-IN"/>
              </w:rPr>
            </w:pPr>
            <w:r w:rsidRPr="009E50CD">
              <w:rPr>
                <w:rFonts w:eastAsia="Times New Roman" w:cs="Times New Roman"/>
                <w:sz w:val="24"/>
                <w:szCs w:val="24"/>
                <w:lang w:val="en-IN" w:eastAsia="en-IN" w:bidi="ml-IN"/>
              </w:rPr>
              <w:t>Documented habitat alteration, faunal displacement and the stranding of river dolphins following the Koshi embankment breach.</w:t>
            </w:r>
          </w:p>
        </w:tc>
        <w:tc>
          <w:tcPr>
            <w:tcW w:w="0" w:type="auto"/>
            <w:hideMark/>
          </w:tcPr>
          <w:p w14:paraId="0A2E154E" w14:textId="77777777" w:rsidR="009E50CD" w:rsidRPr="009E50CD" w:rsidRDefault="009E50CD" w:rsidP="009E50CD">
            <w:pPr>
              <w:spacing w:after="0" w:line="240" w:lineRule="auto"/>
              <w:jc w:val="left"/>
              <w:rPr>
                <w:rFonts w:eastAsia="Times New Roman" w:cs="Times New Roman"/>
                <w:sz w:val="24"/>
                <w:szCs w:val="24"/>
                <w:lang w:val="en-IN" w:eastAsia="en-IN" w:bidi="ml-IN"/>
              </w:rPr>
            </w:pPr>
            <w:r>
              <w:rPr>
                <w:rFonts w:eastAsia="Times New Roman" w:cs="Times New Roman"/>
                <w:sz w:val="24"/>
                <w:szCs w:val="24"/>
                <w:lang w:val="en-IN" w:eastAsia="en-IN" w:bidi="ml-IN"/>
              </w:rPr>
              <w:t xml:space="preserve">Post-event surveys had limited </w:t>
            </w:r>
            <w:r>
              <w:rPr>
                <w:rFonts w:eastAsia="Times New Roman" w:cs="Times New Roman"/>
                <w:sz w:val="24"/>
                <w:szCs w:val="24"/>
                <w:highlight w:val="yellow"/>
                <w:lang w:val="en-IN" w:eastAsia="en-IN" w:bidi="ml-IN"/>
              </w:rPr>
              <w:t>standardised</w:t>
            </w:r>
            <w:r>
              <w:rPr>
                <w:rFonts w:eastAsia="Times New Roman" w:cs="Times New Roman"/>
                <w:sz w:val="24"/>
                <w:szCs w:val="24"/>
                <w:lang w:val="en-IN" w:eastAsia="en-IN" w:bidi="ml-IN"/>
              </w:rPr>
              <w:t xml:space="preserve"> pre-flood data, restricting quantitative estimation of ecological change.</w:t>
            </w:r>
          </w:p>
        </w:tc>
      </w:tr>
      <w:tr w:rsidR="009E50CD" w:rsidRPr="009E50CD" w14:paraId="010E7B6C" w14:textId="77777777" w:rsidTr="009E50CD">
        <w:tc>
          <w:tcPr>
            <w:tcW w:w="0" w:type="auto"/>
            <w:hideMark/>
          </w:tcPr>
          <w:p w14:paraId="3EC00460" w14:textId="77777777" w:rsidR="009E50CD" w:rsidRPr="009E50CD" w:rsidRDefault="009E50CD" w:rsidP="009E50CD">
            <w:pPr>
              <w:spacing w:after="0" w:line="240" w:lineRule="auto"/>
              <w:jc w:val="left"/>
              <w:rPr>
                <w:rFonts w:eastAsia="Times New Roman" w:cs="Times New Roman"/>
                <w:sz w:val="24"/>
                <w:szCs w:val="24"/>
                <w:lang w:val="en-IN" w:eastAsia="en-IN" w:bidi="ml-IN"/>
              </w:rPr>
            </w:pPr>
            <w:r w:rsidRPr="00D858FB">
              <w:rPr>
                <w:rFonts w:eastAsia="Times New Roman" w:cs="Times New Roman"/>
                <w:sz w:val="24"/>
                <w:szCs w:val="24"/>
                <w:lang w:val="it-IT" w:eastAsia="en-IN" w:bidi="ml-IN"/>
              </w:rPr>
              <w:t xml:space="preserve">Paudel et al. (2015); Khanal et al. </w:t>
            </w:r>
            <w:r w:rsidRPr="009E50CD">
              <w:rPr>
                <w:rFonts w:eastAsia="Times New Roman" w:cs="Times New Roman"/>
                <w:sz w:val="24"/>
                <w:szCs w:val="24"/>
                <w:lang w:val="en-IN" w:eastAsia="en-IN" w:bidi="ml-IN"/>
              </w:rPr>
              <w:t>(2016)</w:t>
            </w:r>
          </w:p>
        </w:tc>
        <w:tc>
          <w:tcPr>
            <w:tcW w:w="0" w:type="auto"/>
            <w:hideMark/>
          </w:tcPr>
          <w:p w14:paraId="6774AC5E" w14:textId="77777777" w:rsidR="009E50CD" w:rsidRPr="009E50CD" w:rsidRDefault="009E50CD" w:rsidP="009E50CD">
            <w:pPr>
              <w:spacing w:after="0" w:line="240" w:lineRule="auto"/>
              <w:jc w:val="left"/>
              <w:rPr>
                <w:rFonts w:eastAsia="Times New Roman" w:cs="Times New Roman"/>
                <w:sz w:val="24"/>
                <w:szCs w:val="24"/>
                <w:lang w:val="en-IN" w:eastAsia="en-IN" w:bidi="ml-IN"/>
              </w:rPr>
            </w:pPr>
            <w:r w:rsidRPr="009E50CD">
              <w:rPr>
                <w:rFonts w:eastAsia="Times New Roman" w:cs="Times New Roman"/>
                <w:sz w:val="24"/>
                <w:szCs w:val="24"/>
                <w:lang w:val="en-IN" w:eastAsia="en-IN" w:bidi="ml-IN"/>
              </w:rPr>
              <w:t>Ganges River dolphin populations and habitats</w:t>
            </w:r>
          </w:p>
        </w:tc>
        <w:tc>
          <w:tcPr>
            <w:tcW w:w="0" w:type="auto"/>
            <w:hideMark/>
          </w:tcPr>
          <w:p w14:paraId="020575A8" w14:textId="77777777" w:rsidR="009E50CD" w:rsidRPr="009E50CD" w:rsidRDefault="009E50CD" w:rsidP="009E50CD">
            <w:pPr>
              <w:spacing w:after="0" w:line="240" w:lineRule="auto"/>
              <w:jc w:val="left"/>
              <w:rPr>
                <w:rFonts w:eastAsia="Times New Roman" w:cs="Times New Roman"/>
                <w:sz w:val="24"/>
                <w:szCs w:val="24"/>
                <w:lang w:val="en-IN" w:eastAsia="en-IN" w:bidi="ml-IN"/>
              </w:rPr>
            </w:pPr>
            <w:r w:rsidRPr="009E50CD">
              <w:rPr>
                <w:rFonts w:eastAsia="Times New Roman" w:cs="Times New Roman"/>
                <w:sz w:val="24"/>
                <w:szCs w:val="24"/>
                <w:lang w:val="en-IN" w:eastAsia="en-IN" w:bidi="ml-IN"/>
              </w:rPr>
              <w:t>Identified water depth, channel connectivity, low-flow habitat availability and interactions with fishing as important determinants of conservation risk.</w:t>
            </w:r>
          </w:p>
        </w:tc>
        <w:tc>
          <w:tcPr>
            <w:tcW w:w="0" w:type="auto"/>
            <w:hideMark/>
          </w:tcPr>
          <w:p w14:paraId="267F69E7" w14:textId="77777777" w:rsidR="009E50CD" w:rsidRPr="009E50CD" w:rsidRDefault="009E50CD" w:rsidP="009E50CD">
            <w:pPr>
              <w:spacing w:after="0" w:line="240" w:lineRule="auto"/>
              <w:jc w:val="left"/>
              <w:rPr>
                <w:rFonts w:eastAsia="Times New Roman" w:cs="Times New Roman"/>
                <w:sz w:val="24"/>
                <w:szCs w:val="24"/>
                <w:lang w:val="en-IN" w:eastAsia="en-IN" w:bidi="ml-IN"/>
              </w:rPr>
            </w:pPr>
            <w:r w:rsidRPr="009E50CD">
              <w:rPr>
                <w:rFonts w:eastAsia="Times New Roman" w:cs="Times New Roman"/>
                <w:sz w:val="24"/>
                <w:szCs w:val="24"/>
                <w:lang w:val="en-IN" w:eastAsia="en-IN" w:bidi="ml-IN"/>
              </w:rPr>
              <w:t>Studies were not designed to quantify flood-induced displacement or mortality.</w:t>
            </w:r>
          </w:p>
        </w:tc>
      </w:tr>
      <w:tr w:rsidR="009E50CD" w:rsidRPr="009E50CD" w14:paraId="193603BE" w14:textId="77777777" w:rsidTr="009E50CD">
        <w:tc>
          <w:tcPr>
            <w:tcW w:w="0" w:type="auto"/>
            <w:hideMark/>
          </w:tcPr>
          <w:p w14:paraId="23A180B4" w14:textId="77777777" w:rsidR="009E50CD" w:rsidRPr="009E50CD" w:rsidRDefault="009E50CD" w:rsidP="009E50CD">
            <w:pPr>
              <w:spacing w:after="0" w:line="240" w:lineRule="auto"/>
              <w:jc w:val="left"/>
              <w:rPr>
                <w:rFonts w:eastAsia="Times New Roman" w:cs="Times New Roman"/>
                <w:sz w:val="24"/>
                <w:szCs w:val="24"/>
                <w:lang w:val="en-IN" w:eastAsia="en-IN" w:bidi="ml-IN"/>
              </w:rPr>
            </w:pPr>
            <w:r w:rsidRPr="00211A57">
              <w:rPr>
                <w:rFonts w:eastAsia="Times New Roman" w:cs="Times New Roman"/>
                <w:sz w:val="24"/>
                <w:szCs w:val="24"/>
                <w:lang w:val="nl-BE" w:eastAsia="en-IN" w:bidi="ml-IN"/>
              </w:rPr>
              <w:t xml:space="preserve">Pokharel et al. (2018); Limbu et al. </w:t>
            </w:r>
            <w:r w:rsidRPr="009E50CD">
              <w:rPr>
                <w:rFonts w:eastAsia="Times New Roman" w:cs="Times New Roman"/>
                <w:sz w:val="24"/>
                <w:szCs w:val="24"/>
                <w:lang w:val="en-IN" w:eastAsia="en-IN" w:bidi="ml-IN"/>
              </w:rPr>
              <w:t>(2020)</w:t>
            </w:r>
          </w:p>
        </w:tc>
        <w:tc>
          <w:tcPr>
            <w:tcW w:w="0" w:type="auto"/>
            <w:hideMark/>
          </w:tcPr>
          <w:p w14:paraId="05D34227" w14:textId="77777777" w:rsidR="009E50CD" w:rsidRPr="009E50CD" w:rsidRDefault="009E50CD" w:rsidP="009E50CD">
            <w:pPr>
              <w:spacing w:after="0" w:line="240" w:lineRule="auto"/>
              <w:jc w:val="left"/>
              <w:rPr>
                <w:rFonts w:eastAsia="Times New Roman" w:cs="Times New Roman"/>
                <w:sz w:val="24"/>
                <w:szCs w:val="24"/>
                <w:lang w:val="en-IN" w:eastAsia="en-IN" w:bidi="ml-IN"/>
              </w:rPr>
            </w:pPr>
            <w:r w:rsidRPr="009E50CD">
              <w:rPr>
                <w:rFonts w:eastAsia="Times New Roman" w:cs="Times New Roman"/>
                <w:sz w:val="24"/>
                <w:szCs w:val="24"/>
                <w:lang w:val="en-IN" w:eastAsia="en-IN" w:bidi="ml-IN"/>
              </w:rPr>
              <w:t xml:space="preserve">Fish assemblages in the Seti Gandaki River basin and </w:t>
            </w:r>
            <w:proofErr w:type="spellStart"/>
            <w:r w:rsidRPr="009E50CD">
              <w:rPr>
                <w:rFonts w:eastAsia="Times New Roman" w:cs="Times New Roman"/>
                <w:sz w:val="24"/>
                <w:szCs w:val="24"/>
                <w:lang w:val="en-IN" w:eastAsia="en-IN" w:bidi="ml-IN"/>
              </w:rPr>
              <w:t>Andhi</w:t>
            </w:r>
            <w:proofErr w:type="spellEnd"/>
            <w:r w:rsidRPr="009E50CD">
              <w:rPr>
                <w:rFonts w:eastAsia="Times New Roman" w:cs="Times New Roman"/>
                <w:sz w:val="24"/>
                <w:szCs w:val="24"/>
                <w:lang w:val="en-IN" w:eastAsia="en-IN" w:bidi="ml-IN"/>
              </w:rPr>
              <w:t xml:space="preserve"> </w:t>
            </w:r>
            <w:proofErr w:type="spellStart"/>
            <w:r w:rsidRPr="009E50CD">
              <w:rPr>
                <w:rFonts w:eastAsia="Times New Roman" w:cs="Times New Roman"/>
                <w:sz w:val="24"/>
                <w:szCs w:val="24"/>
                <w:lang w:val="en-IN" w:eastAsia="en-IN" w:bidi="ml-IN"/>
              </w:rPr>
              <w:t>Khola</w:t>
            </w:r>
            <w:proofErr w:type="spellEnd"/>
          </w:p>
        </w:tc>
        <w:tc>
          <w:tcPr>
            <w:tcW w:w="0" w:type="auto"/>
            <w:hideMark/>
          </w:tcPr>
          <w:p w14:paraId="149D7919" w14:textId="77777777" w:rsidR="009E50CD" w:rsidRPr="009E50CD" w:rsidRDefault="009E50CD" w:rsidP="009E50CD">
            <w:pPr>
              <w:spacing w:after="0" w:line="240" w:lineRule="auto"/>
              <w:jc w:val="left"/>
              <w:rPr>
                <w:rFonts w:eastAsia="Times New Roman" w:cs="Times New Roman"/>
                <w:sz w:val="24"/>
                <w:szCs w:val="24"/>
                <w:lang w:val="en-IN" w:eastAsia="en-IN" w:bidi="ml-IN"/>
              </w:rPr>
            </w:pPr>
            <w:r w:rsidRPr="009E50CD">
              <w:rPr>
                <w:rFonts w:eastAsia="Times New Roman" w:cs="Times New Roman"/>
                <w:sz w:val="24"/>
                <w:szCs w:val="24"/>
                <w:lang w:val="en-IN" w:eastAsia="en-IN" w:bidi="ml-IN"/>
              </w:rPr>
              <w:t>Showed that fish assemblages covary with discharge, channel dimensions, dissolved oxygen and water chemistry.</w:t>
            </w:r>
          </w:p>
        </w:tc>
        <w:tc>
          <w:tcPr>
            <w:tcW w:w="0" w:type="auto"/>
            <w:hideMark/>
          </w:tcPr>
          <w:p w14:paraId="783B6246" w14:textId="77777777" w:rsidR="009E50CD" w:rsidRPr="009E50CD" w:rsidRDefault="009E50CD" w:rsidP="009E50CD">
            <w:pPr>
              <w:spacing w:after="0" w:line="240" w:lineRule="auto"/>
              <w:jc w:val="left"/>
              <w:rPr>
                <w:rFonts w:eastAsia="Times New Roman" w:cs="Times New Roman"/>
                <w:sz w:val="24"/>
                <w:szCs w:val="24"/>
                <w:lang w:val="en-IN" w:eastAsia="en-IN" w:bidi="ml-IN"/>
              </w:rPr>
            </w:pPr>
            <w:r w:rsidRPr="009E50CD">
              <w:rPr>
                <w:rFonts w:eastAsia="Times New Roman" w:cs="Times New Roman"/>
                <w:sz w:val="24"/>
                <w:szCs w:val="24"/>
                <w:lang w:val="en-IN" w:eastAsia="en-IN" w:bidi="ml-IN"/>
              </w:rPr>
              <w:t>Observational associations identify plausible ecological pathways but do not demonstrate causation by individual flood events.</w:t>
            </w:r>
          </w:p>
        </w:tc>
      </w:tr>
      <w:tr w:rsidR="009E50CD" w:rsidRPr="009E50CD" w14:paraId="0D2BB5E1" w14:textId="77777777" w:rsidTr="009E50CD">
        <w:tc>
          <w:tcPr>
            <w:tcW w:w="0" w:type="auto"/>
            <w:hideMark/>
          </w:tcPr>
          <w:p w14:paraId="483A45E6" w14:textId="77777777" w:rsidR="009E50CD" w:rsidRPr="009E50CD" w:rsidRDefault="009E50CD" w:rsidP="009E50CD">
            <w:pPr>
              <w:spacing w:after="0" w:line="240" w:lineRule="auto"/>
              <w:jc w:val="left"/>
              <w:rPr>
                <w:rFonts w:eastAsia="Times New Roman" w:cs="Times New Roman"/>
                <w:sz w:val="24"/>
                <w:szCs w:val="24"/>
                <w:lang w:val="en-IN" w:eastAsia="en-IN" w:bidi="ml-IN"/>
              </w:rPr>
            </w:pPr>
            <w:proofErr w:type="spellStart"/>
            <w:r>
              <w:rPr>
                <w:rFonts w:eastAsia="Times New Roman" w:cs="Times New Roman"/>
                <w:sz w:val="24"/>
                <w:szCs w:val="24"/>
                <w:highlight w:val="yellow"/>
                <w:lang w:val="en-IN" w:eastAsia="en-IN" w:bidi="ml-IN"/>
              </w:rPr>
              <w:t>Tachamo</w:t>
            </w:r>
            <w:proofErr w:type="spellEnd"/>
            <w:r>
              <w:rPr>
                <w:rFonts w:eastAsia="Times New Roman" w:cs="Times New Roman"/>
                <w:sz w:val="24"/>
                <w:szCs w:val="24"/>
                <w:highlight w:val="yellow"/>
                <w:lang w:val="en-IN" w:eastAsia="en-IN" w:bidi="ml-IN"/>
              </w:rPr>
              <w:t xml:space="preserve"> Shah et al. </w:t>
            </w:r>
            <w:r>
              <w:rPr>
                <w:rFonts w:eastAsia="Times New Roman" w:cs="Times New Roman"/>
                <w:sz w:val="24"/>
                <w:szCs w:val="24"/>
                <w:highlight w:val="yellow"/>
                <w:lang w:val="en-IN" w:eastAsia="en-IN" w:bidi="ml-IN"/>
              </w:rPr>
              <w:lastRenderedPageBreak/>
              <w:t>(2020a, 2020b)</w:t>
            </w:r>
          </w:p>
        </w:tc>
        <w:tc>
          <w:tcPr>
            <w:tcW w:w="0" w:type="auto"/>
            <w:hideMark/>
          </w:tcPr>
          <w:p w14:paraId="7E985308" w14:textId="77777777" w:rsidR="009E50CD" w:rsidRPr="009E50CD" w:rsidRDefault="009E50CD" w:rsidP="009E50CD">
            <w:pPr>
              <w:spacing w:after="0" w:line="240" w:lineRule="auto"/>
              <w:jc w:val="left"/>
              <w:rPr>
                <w:rFonts w:eastAsia="Times New Roman" w:cs="Times New Roman"/>
                <w:sz w:val="24"/>
                <w:szCs w:val="24"/>
                <w:lang w:val="en-IN" w:eastAsia="en-IN" w:bidi="ml-IN"/>
              </w:rPr>
            </w:pPr>
            <w:r w:rsidRPr="009E50CD">
              <w:rPr>
                <w:rFonts w:eastAsia="Times New Roman" w:cs="Times New Roman"/>
                <w:sz w:val="24"/>
                <w:szCs w:val="24"/>
                <w:lang w:val="en-IN" w:eastAsia="en-IN" w:bidi="ml-IN"/>
              </w:rPr>
              <w:lastRenderedPageBreak/>
              <w:t xml:space="preserve">Benthic communities in rivers of the </w:t>
            </w:r>
            <w:r w:rsidRPr="009E50CD">
              <w:rPr>
                <w:rFonts w:eastAsia="Times New Roman" w:cs="Times New Roman"/>
                <w:sz w:val="24"/>
                <w:szCs w:val="24"/>
                <w:lang w:val="en-IN" w:eastAsia="en-IN" w:bidi="ml-IN"/>
              </w:rPr>
              <w:lastRenderedPageBreak/>
              <w:t>western Nepal Himalaya</w:t>
            </w:r>
          </w:p>
        </w:tc>
        <w:tc>
          <w:tcPr>
            <w:tcW w:w="0" w:type="auto"/>
            <w:hideMark/>
          </w:tcPr>
          <w:p w14:paraId="34B648E0" w14:textId="77777777" w:rsidR="009E50CD" w:rsidRPr="009E50CD" w:rsidRDefault="009E50CD" w:rsidP="009E50CD">
            <w:pPr>
              <w:spacing w:after="0" w:line="240" w:lineRule="auto"/>
              <w:jc w:val="left"/>
              <w:rPr>
                <w:rFonts w:eastAsia="Times New Roman" w:cs="Times New Roman"/>
                <w:sz w:val="24"/>
                <w:szCs w:val="24"/>
                <w:lang w:val="en-IN" w:eastAsia="en-IN" w:bidi="ml-IN"/>
              </w:rPr>
            </w:pPr>
            <w:r w:rsidRPr="009E50CD">
              <w:rPr>
                <w:rFonts w:eastAsia="Times New Roman" w:cs="Times New Roman"/>
                <w:sz w:val="24"/>
                <w:szCs w:val="24"/>
                <w:lang w:val="en-IN" w:eastAsia="en-IN" w:bidi="ml-IN"/>
              </w:rPr>
              <w:lastRenderedPageBreak/>
              <w:t xml:space="preserve">Demonstrated biodiversity responses to water diversion and differences </w:t>
            </w:r>
            <w:r w:rsidRPr="009E50CD">
              <w:rPr>
                <w:rFonts w:eastAsia="Times New Roman" w:cs="Times New Roman"/>
                <w:sz w:val="24"/>
                <w:szCs w:val="24"/>
                <w:lang w:val="en-IN" w:eastAsia="en-IN" w:bidi="ml-IN"/>
              </w:rPr>
              <w:lastRenderedPageBreak/>
              <w:t>between tributary and mainstem benthic communities.</w:t>
            </w:r>
          </w:p>
        </w:tc>
        <w:tc>
          <w:tcPr>
            <w:tcW w:w="0" w:type="auto"/>
            <w:hideMark/>
          </w:tcPr>
          <w:p w14:paraId="501693AA" w14:textId="77777777" w:rsidR="009E50CD" w:rsidRPr="009E50CD" w:rsidRDefault="009E50CD" w:rsidP="009E50CD">
            <w:pPr>
              <w:spacing w:after="0" w:line="240" w:lineRule="auto"/>
              <w:jc w:val="left"/>
              <w:rPr>
                <w:rFonts w:eastAsia="Times New Roman" w:cs="Times New Roman"/>
                <w:sz w:val="24"/>
                <w:szCs w:val="24"/>
                <w:lang w:val="en-IN" w:eastAsia="en-IN" w:bidi="ml-IN"/>
              </w:rPr>
            </w:pPr>
            <w:r w:rsidRPr="009E50CD">
              <w:rPr>
                <w:rFonts w:eastAsia="Times New Roman" w:cs="Times New Roman"/>
                <w:sz w:val="24"/>
                <w:szCs w:val="24"/>
                <w:lang w:val="en-IN" w:eastAsia="en-IN" w:bidi="ml-IN"/>
              </w:rPr>
              <w:lastRenderedPageBreak/>
              <w:t xml:space="preserve">Provides baseline and compounding-pressure evidence rather than </w:t>
            </w:r>
            <w:r w:rsidRPr="009E50CD">
              <w:rPr>
                <w:rFonts w:eastAsia="Times New Roman" w:cs="Times New Roman"/>
                <w:sz w:val="24"/>
                <w:szCs w:val="24"/>
                <w:lang w:val="en-IN" w:eastAsia="en-IN" w:bidi="ml-IN"/>
              </w:rPr>
              <w:lastRenderedPageBreak/>
              <w:t>direct estimates of extreme-flood impacts.</w:t>
            </w:r>
          </w:p>
        </w:tc>
      </w:tr>
      <w:tr w:rsidR="009E50CD" w:rsidRPr="009E50CD" w14:paraId="07B3998C" w14:textId="77777777" w:rsidTr="009E50CD">
        <w:tc>
          <w:tcPr>
            <w:tcW w:w="0" w:type="auto"/>
            <w:hideMark/>
          </w:tcPr>
          <w:p w14:paraId="60ED3966" w14:textId="77777777" w:rsidR="009E50CD" w:rsidRPr="009E50CD" w:rsidRDefault="009E50CD" w:rsidP="009E50CD">
            <w:pPr>
              <w:spacing w:after="0" w:line="240" w:lineRule="auto"/>
              <w:jc w:val="left"/>
              <w:rPr>
                <w:rFonts w:eastAsia="Times New Roman" w:cs="Times New Roman"/>
                <w:sz w:val="24"/>
                <w:szCs w:val="24"/>
                <w:lang w:val="en-IN" w:eastAsia="en-IN" w:bidi="ml-IN"/>
              </w:rPr>
            </w:pPr>
            <w:r w:rsidRPr="009E50CD">
              <w:rPr>
                <w:rFonts w:eastAsia="Times New Roman" w:cs="Times New Roman"/>
                <w:sz w:val="24"/>
                <w:szCs w:val="24"/>
                <w:lang w:val="en-IN" w:eastAsia="en-IN" w:bidi="ml-IN"/>
              </w:rPr>
              <w:lastRenderedPageBreak/>
              <w:t>Regmi et al. (2021)</w:t>
            </w:r>
          </w:p>
        </w:tc>
        <w:tc>
          <w:tcPr>
            <w:tcW w:w="0" w:type="auto"/>
            <w:hideMark/>
          </w:tcPr>
          <w:p w14:paraId="07BFF4E5" w14:textId="77777777" w:rsidR="009E50CD" w:rsidRPr="009E50CD" w:rsidRDefault="009E50CD" w:rsidP="009E50CD">
            <w:pPr>
              <w:spacing w:after="0" w:line="240" w:lineRule="auto"/>
              <w:jc w:val="left"/>
              <w:rPr>
                <w:rFonts w:eastAsia="Times New Roman" w:cs="Times New Roman"/>
                <w:sz w:val="24"/>
                <w:szCs w:val="24"/>
                <w:lang w:val="en-IN" w:eastAsia="en-IN" w:bidi="ml-IN"/>
              </w:rPr>
            </w:pPr>
            <w:r w:rsidRPr="009E50CD">
              <w:rPr>
                <w:rFonts w:eastAsia="Times New Roman" w:cs="Times New Roman"/>
                <w:sz w:val="24"/>
                <w:szCs w:val="24"/>
                <w:lang w:val="en-IN" w:eastAsia="en-IN" w:bidi="ml-IN"/>
              </w:rPr>
              <w:t xml:space="preserve">Macrophyte communities in the floodplain wetlands of Koshi </w:t>
            </w:r>
            <w:proofErr w:type="spellStart"/>
            <w:r w:rsidRPr="009E50CD">
              <w:rPr>
                <w:rFonts w:eastAsia="Times New Roman" w:cs="Times New Roman"/>
                <w:sz w:val="24"/>
                <w:szCs w:val="24"/>
                <w:lang w:val="en-IN" w:eastAsia="en-IN" w:bidi="ml-IN"/>
              </w:rPr>
              <w:t>Tappu</w:t>
            </w:r>
            <w:proofErr w:type="spellEnd"/>
          </w:p>
        </w:tc>
        <w:tc>
          <w:tcPr>
            <w:tcW w:w="0" w:type="auto"/>
            <w:hideMark/>
          </w:tcPr>
          <w:p w14:paraId="6A22ABD0" w14:textId="77777777" w:rsidR="009E50CD" w:rsidRPr="009E50CD" w:rsidRDefault="009E50CD" w:rsidP="009E50CD">
            <w:pPr>
              <w:spacing w:after="0" w:line="240" w:lineRule="auto"/>
              <w:jc w:val="left"/>
              <w:rPr>
                <w:rFonts w:eastAsia="Times New Roman" w:cs="Times New Roman"/>
                <w:sz w:val="24"/>
                <w:szCs w:val="24"/>
                <w:lang w:val="en-IN" w:eastAsia="en-IN" w:bidi="ml-IN"/>
              </w:rPr>
            </w:pPr>
            <w:r w:rsidRPr="009E50CD">
              <w:rPr>
                <w:rFonts w:eastAsia="Times New Roman" w:cs="Times New Roman"/>
                <w:sz w:val="24"/>
                <w:szCs w:val="24"/>
                <w:lang w:val="en-IN" w:eastAsia="en-IN" w:bidi="ml-IN"/>
              </w:rPr>
              <w:t>Demonstrated that hydrological alteration and water-level variation affect floodplain plant-community composition.</w:t>
            </w:r>
          </w:p>
        </w:tc>
        <w:tc>
          <w:tcPr>
            <w:tcW w:w="0" w:type="auto"/>
            <w:hideMark/>
          </w:tcPr>
          <w:p w14:paraId="4F26345C" w14:textId="77777777" w:rsidR="009E50CD" w:rsidRPr="009E50CD" w:rsidRDefault="009E50CD" w:rsidP="009E50CD">
            <w:pPr>
              <w:spacing w:after="0" w:line="240" w:lineRule="auto"/>
              <w:jc w:val="left"/>
              <w:rPr>
                <w:rFonts w:eastAsia="Times New Roman" w:cs="Times New Roman"/>
                <w:sz w:val="24"/>
                <w:szCs w:val="24"/>
                <w:lang w:val="en-IN" w:eastAsia="en-IN" w:bidi="ml-IN"/>
              </w:rPr>
            </w:pPr>
            <w:r w:rsidRPr="009E50CD">
              <w:rPr>
                <w:rFonts w:eastAsia="Times New Roman" w:cs="Times New Roman"/>
                <w:sz w:val="24"/>
                <w:szCs w:val="24"/>
                <w:lang w:val="en-IN" w:eastAsia="en-IN" w:bidi="ml-IN"/>
              </w:rPr>
              <w:t xml:space="preserve">Represents vegetation-mediated habitat responses; aquatic fauna </w:t>
            </w:r>
            <w:proofErr w:type="gramStart"/>
            <w:r w:rsidRPr="009E50CD">
              <w:rPr>
                <w:rFonts w:eastAsia="Times New Roman" w:cs="Times New Roman"/>
                <w:sz w:val="24"/>
                <w:szCs w:val="24"/>
                <w:lang w:val="en-IN" w:eastAsia="en-IN" w:bidi="ml-IN"/>
              </w:rPr>
              <w:t>were</w:t>
            </w:r>
            <w:proofErr w:type="gramEnd"/>
            <w:r w:rsidRPr="009E50CD">
              <w:rPr>
                <w:rFonts w:eastAsia="Times New Roman" w:cs="Times New Roman"/>
                <w:sz w:val="24"/>
                <w:szCs w:val="24"/>
                <w:lang w:val="en-IN" w:eastAsia="en-IN" w:bidi="ml-IN"/>
              </w:rPr>
              <w:t xml:space="preserve"> not directly assessed.</w:t>
            </w:r>
          </w:p>
        </w:tc>
      </w:tr>
      <w:tr w:rsidR="009E50CD" w:rsidRPr="009E50CD" w14:paraId="49E72735" w14:textId="77777777" w:rsidTr="009E50CD">
        <w:tc>
          <w:tcPr>
            <w:tcW w:w="0" w:type="auto"/>
            <w:hideMark/>
          </w:tcPr>
          <w:p w14:paraId="10164776" w14:textId="77777777" w:rsidR="009E50CD" w:rsidRPr="009E50CD" w:rsidRDefault="009E50CD" w:rsidP="009E50CD">
            <w:pPr>
              <w:spacing w:after="0" w:line="240" w:lineRule="auto"/>
              <w:jc w:val="left"/>
              <w:rPr>
                <w:rFonts w:eastAsia="Times New Roman" w:cs="Times New Roman"/>
                <w:sz w:val="24"/>
                <w:szCs w:val="24"/>
                <w:lang w:val="en-IN" w:eastAsia="en-IN" w:bidi="ml-IN"/>
              </w:rPr>
            </w:pPr>
            <w:r w:rsidRPr="009E50CD">
              <w:rPr>
                <w:rFonts w:eastAsia="Times New Roman" w:cs="Times New Roman"/>
                <w:sz w:val="24"/>
                <w:szCs w:val="24"/>
                <w:lang w:val="en-IN" w:eastAsia="en-IN" w:bidi="ml-IN"/>
              </w:rPr>
              <w:t>Khatri et al. (2022)</w:t>
            </w:r>
          </w:p>
        </w:tc>
        <w:tc>
          <w:tcPr>
            <w:tcW w:w="0" w:type="auto"/>
            <w:hideMark/>
          </w:tcPr>
          <w:p w14:paraId="41C024CD" w14:textId="77777777" w:rsidR="009E50CD" w:rsidRPr="009E50CD" w:rsidRDefault="009E50CD" w:rsidP="009E50CD">
            <w:pPr>
              <w:spacing w:after="0" w:line="240" w:lineRule="auto"/>
              <w:jc w:val="left"/>
              <w:rPr>
                <w:rFonts w:eastAsia="Times New Roman" w:cs="Times New Roman"/>
                <w:sz w:val="24"/>
                <w:szCs w:val="24"/>
                <w:lang w:val="en-IN" w:eastAsia="en-IN" w:bidi="ml-IN"/>
              </w:rPr>
            </w:pPr>
            <w:r w:rsidRPr="009E50CD">
              <w:rPr>
                <w:rFonts w:eastAsia="Times New Roman" w:cs="Times New Roman"/>
                <w:sz w:val="24"/>
                <w:szCs w:val="24"/>
                <w:lang w:val="en-IN" w:eastAsia="en-IN" w:bidi="ml-IN"/>
              </w:rPr>
              <w:t xml:space="preserve">Benthic macroinvertebrates in the </w:t>
            </w:r>
            <w:proofErr w:type="spellStart"/>
            <w:r w:rsidRPr="009E50CD">
              <w:rPr>
                <w:rFonts w:eastAsia="Times New Roman" w:cs="Times New Roman"/>
                <w:sz w:val="24"/>
                <w:szCs w:val="24"/>
                <w:lang w:val="en-IN" w:eastAsia="en-IN" w:bidi="ml-IN"/>
              </w:rPr>
              <w:t>Bheri</w:t>
            </w:r>
            <w:proofErr w:type="spellEnd"/>
            <w:r w:rsidRPr="009E50CD">
              <w:rPr>
                <w:rFonts w:eastAsia="Times New Roman" w:cs="Times New Roman"/>
                <w:sz w:val="24"/>
                <w:szCs w:val="24"/>
                <w:lang w:val="en-IN" w:eastAsia="en-IN" w:bidi="ml-IN"/>
              </w:rPr>
              <w:t xml:space="preserve"> and Babai river systems</w:t>
            </w:r>
          </w:p>
        </w:tc>
        <w:tc>
          <w:tcPr>
            <w:tcW w:w="0" w:type="auto"/>
            <w:hideMark/>
          </w:tcPr>
          <w:p w14:paraId="0350A963" w14:textId="77777777" w:rsidR="009E50CD" w:rsidRPr="009E50CD" w:rsidRDefault="009E50CD" w:rsidP="009E50CD">
            <w:pPr>
              <w:spacing w:after="0" w:line="240" w:lineRule="auto"/>
              <w:jc w:val="left"/>
              <w:rPr>
                <w:rFonts w:eastAsia="Times New Roman" w:cs="Times New Roman"/>
                <w:sz w:val="24"/>
                <w:szCs w:val="24"/>
                <w:lang w:val="en-IN" w:eastAsia="en-IN" w:bidi="ml-IN"/>
              </w:rPr>
            </w:pPr>
            <w:r w:rsidRPr="009E50CD">
              <w:rPr>
                <w:rFonts w:eastAsia="Times New Roman" w:cs="Times New Roman"/>
                <w:sz w:val="24"/>
                <w:szCs w:val="24"/>
                <w:lang w:val="en-IN" w:eastAsia="en-IN" w:bidi="ml-IN"/>
              </w:rPr>
              <w:t>Recorded 56 macroinvertebrate families and identified basin-level and seasonal differences that provide a biological baseline.</w:t>
            </w:r>
          </w:p>
        </w:tc>
        <w:tc>
          <w:tcPr>
            <w:tcW w:w="0" w:type="auto"/>
            <w:hideMark/>
          </w:tcPr>
          <w:p w14:paraId="487EF76F" w14:textId="77777777" w:rsidR="009E50CD" w:rsidRPr="009E50CD" w:rsidRDefault="009E50CD" w:rsidP="009E50CD">
            <w:pPr>
              <w:spacing w:after="0" w:line="240" w:lineRule="auto"/>
              <w:jc w:val="left"/>
              <w:rPr>
                <w:rFonts w:eastAsia="Times New Roman" w:cs="Times New Roman"/>
                <w:sz w:val="24"/>
                <w:szCs w:val="24"/>
                <w:lang w:val="en-IN" w:eastAsia="en-IN" w:bidi="ml-IN"/>
              </w:rPr>
            </w:pPr>
            <w:r w:rsidRPr="009E50CD">
              <w:rPr>
                <w:rFonts w:eastAsia="Times New Roman" w:cs="Times New Roman"/>
                <w:sz w:val="24"/>
                <w:szCs w:val="24"/>
                <w:lang w:val="en-IN" w:eastAsia="en-IN" w:bidi="ml-IN"/>
              </w:rPr>
              <w:t>Lacked a before–after comparison associated with an extreme hydrological event.</w:t>
            </w:r>
          </w:p>
        </w:tc>
      </w:tr>
      <w:tr w:rsidR="009E50CD" w:rsidRPr="009E50CD" w14:paraId="73457A18" w14:textId="77777777" w:rsidTr="009E50CD">
        <w:tc>
          <w:tcPr>
            <w:tcW w:w="0" w:type="auto"/>
            <w:hideMark/>
          </w:tcPr>
          <w:p w14:paraId="43D7EA7B" w14:textId="77777777" w:rsidR="009E50CD" w:rsidRPr="009E50CD" w:rsidRDefault="009E50CD" w:rsidP="009E50CD">
            <w:pPr>
              <w:spacing w:after="0" w:line="240" w:lineRule="auto"/>
              <w:jc w:val="left"/>
              <w:rPr>
                <w:rFonts w:eastAsia="Times New Roman" w:cs="Times New Roman"/>
                <w:sz w:val="24"/>
                <w:szCs w:val="24"/>
                <w:lang w:val="en-IN" w:eastAsia="en-IN" w:bidi="ml-IN"/>
              </w:rPr>
            </w:pPr>
            <w:r w:rsidRPr="00D858FB">
              <w:rPr>
                <w:rFonts w:eastAsia="Times New Roman" w:cs="Times New Roman"/>
                <w:sz w:val="24"/>
                <w:szCs w:val="24"/>
                <w:lang w:val="it-IT" w:eastAsia="en-IN" w:bidi="ml-IN"/>
              </w:rPr>
              <w:t xml:space="preserve">Adhikari et al. (2023); Baniya et al. </w:t>
            </w:r>
            <w:r w:rsidRPr="009E50CD">
              <w:rPr>
                <w:rFonts w:eastAsia="Times New Roman" w:cs="Times New Roman"/>
                <w:sz w:val="24"/>
                <w:szCs w:val="24"/>
                <w:lang w:val="en-IN" w:eastAsia="en-IN" w:bidi="ml-IN"/>
              </w:rPr>
              <w:t>(2023, 2024); Chen et al. (2025)</w:t>
            </w:r>
          </w:p>
        </w:tc>
        <w:tc>
          <w:tcPr>
            <w:tcW w:w="0" w:type="auto"/>
            <w:hideMark/>
          </w:tcPr>
          <w:p w14:paraId="4D4B3C70" w14:textId="77777777" w:rsidR="009E50CD" w:rsidRPr="009E50CD" w:rsidRDefault="009E50CD" w:rsidP="009E50CD">
            <w:pPr>
              <w:spacing w:after="0" w:line="240" w:lineRule="auto"/>
              <w:jc w:val="left"/>
              <w:rPr>
                <w:rFonts w:eastAsia="Times New Roman" w:cs="Times New Roman"/>
                <w:sz w:val="24"/>
                <w:szCs w:val="24"/>
                <w:lang w:val="en-IN" w:eastAsia="en-IN" w:bidi="ml-IN"/>
              </w:rPr>
            </w:pPr>
            <w:r w:rsidRPr="009E50CD">
              <w:rPr>
                <w:rFonts w:eastAsia="Times New Roman" w:cs="Times New Roman"/>
                <w:sz w:val="24"/>
                <w:szCs w:val="24"/>
                <w:lang w:val="en-IN" w:eastAsia="en-IN" w:bidi="ml-IN"/>
              </w:rPr>
              <w:t xml:space="preserve">Hydrological and geomorphic analyses of the 2021 </w:t>
            </w:r>
            <w:proofErr w:type="spellStart"/>
            <w:r w:rsidRPr="009E50CD">
              <w:rPr>
                <w:rFonts w:eastAsia="Times New Roman" w:cs="Times New Roman"/>
                <w:sz w:val="24"/>
                <w:szCs w:val="24"/>
                <w:lang w:val="en-IN" w:eastAsia="en-IN" w:bidi="ml-IN"/>
              </w:rPr>
              <w:t>Melamchi</w:t>
            </w:r>
            <w:proofErr w:type="spellEnd"/>
            <w:r w:rsidRPr="009E50CD">
              <w:rPr>
                <w:rFonts w:eastAsia="Times New Roman" w:cs="Times New Roman"/>
                <w:sz w:val="24"/>
                <w:szCs w:val="24"/>
                <w:lang w:val="en-IN" w:eastAsia="en-IN" w:bidi="ml-IN"/>
              </w:rPr>
              <w:t xml:space="preserve"> flood</w:t>
            </w:r>
          </w:p>
        </w:tc>
        <w:tc>
          <w:tcPr>
            <w:tcW w:w="0" w:type="auto"/>
            <w:hideMark/>
          </w:tcPr>
          <w:p w14:paraId="5A5A60AA" w14:textId="77777777" w:rsidR="009E50CD" w:rsidRPr="009E50CD" w:rsidRDefault="009E50CD" w:rsidP="009E50CD">
            <w:pPr>
              <w:spacing w:after="0" w:line="240" w:lineRule="auto"/>
              <w:jc w:val="left"/>
              <w:rPr>
                <w:rFonts w:eastAsia="Times New Roman" w:cs="Times New Roman"/>
                <w:sz w:val="24"/>
                <w:szCs w:val="24"/>
                <w:lang w:val="en-IN" w:eastAsia="en-IN" w:bidi="ml-IN"/>
              </w:rPr>
            </w:pPr>
            <w:r>
              <w:rPr>
                <w:rFonts w:eastAsia="Times New Roman" w:cs="Times New Roman"/>
                <w:sz w:val="24"/>
                <w:szCs w:val="24"/>
                <w:lang w:val="en-IN" w:eastAsia="en-IN" w:bidi="ml-IN"/>
              </w:rPr>
              <w:t xml:space="preserve">Quantified flood hydrology, rainfall erosivity, sediment </w:t>
            </w:r>
            <w:r>
              <w:rPr>
                <w:rFonts w:eastAsia="Times New Roman" w:cs="Times New Roman"/>
                <w:sz w:val="24"/>
                <w:szCs w:val="24"/>
                <w:highlight w:val="yellow"/>
                <w:lang w:val="en-IN" w:eastAsia="en-IN" w:bidi="ml-IN"/>
              </w:rPr>
              <w:t>mobilisation</w:t>
            </w:r>
            <w:r>
              <w:rPr>
                <w:rFonts w:eastAsia="Times New Roman" w:cs="Times New Roman"/>
                <w:sz w:val="24"/>
                <w:szCs w:val="24"/>
                <w:lang w:val="en-IN" w:eastAsia="en-IN" w:bidi="ml-IN"/>
              </w:rPr>
              <w:t>, channel modification, deposition and cascading geomorphic processes.</w:t>
            </w:r>
          </w:p>
        </w:tc>
        <w:tc>
          <w:tcPr>
            <w:tcW w:w="0" w:type="auto"/>
            <w:hideMark/>
          </w:tcPr>
          <w:p w14:paraId="583B3AA4" w14:textId="77777777" w:rsidR="009E50CD" w:rsidRPr="009E50CD" w:rsidRDefault="009E50CD" w:rsidP="009E50CD">
            <w:pPr>
              <w:spacing w:after="0" w:line="240" w:lineRule="auto"/>
              <w:jc w:val="left"/>
              <w:rPr>
                <w:rFonts w:eastAsia="Times New Roman" w:cs="Times New Roman"/>
                <w:sz w:val="24"/>
                <w:szCs w:val="24"/>
                <w:lang w:val="en-IN" w:eastAsia="en-IN" w:bidi="ml-IN"/>
              </w:rPr>
            </w:pPr>
            <w:r w:rsidRPr="009E50CD">
              <w:rPr>
                <w:rFonts w:eastAsia="Times New Roman" w:cs="Times New Roman"/>
                <w:sz w:val="24"/>
                <w:szCs w:val="24"/>
                <w:lang w:val="en-IN" w:eastAsia="en-IN" w:bidi="ml-IN"/>
              </w:rPr>
              <w:t>Provides strong physical evidence, but aquatic fauna and biological responses were not sampled directly.</w:t>
            </w:r>
          </w:p>
        </w:tc>
      </w:tr>
      <w:tr w:rsidR="009E50CD" w:rsidRPr="009E50CD" w14:paraId="52EF40E9" w14:textId="77777777" w:rsidTr="009E50CD">
        <w:tc>
          <w:tcPr>
            <w:tcW w:w="0" w:type="auto"/>
            <w:hideMark/>
          </w:tcPr>
          <w:p w14:paraId="4B69E6BA" w14:textId="77777777" w:rsidR="009E50CD" w:rsidRPr="009E50CD" w:rsidRDefault="009E50CD" w:rsidP="009E50CD">
            <w:pPr>
              <w:spacing w:after="0" w:line="240" w:lineRule="auto"/>
              <w:jc w:val="left"/>
              <w:rPr>
                <w:rFonts w:eastAsia="Times New Roman" w:cs="Times New Roman"/>
                <w:sz w:val="24"/>
                <w:szCs w:val="24"/>
                <w:lang w:val="en-IN" w:eastAsia="en-IN" w:bidi="ml-IN"/>
              </w:rPr>
            </w:pPr>
            <w:r w:rsidRPr="009E50CD">
              <w:rPr>
                <w:rFonts w:eastAsia="Times New Roman" w:cs="Times New Roman"/>
                <w:sz w:val="24"/>
                <w:szCs w:val="24"/>
                <w:lang w:val="en-IN" w:eastAsia="en-IN" w:bidi="ml-IN"/>
              </w:rPr>
              <w:t xml:space="preserve">Jacobsen et al. (2024); </w:t>
            </w:r>
            <w:proofErr w:type="spellStart"/>
            <w:r w:rsidRPr="009E50CD">
              <w:rPr>
                <w:rFonts w:eastAsia="Times New Roman" w:cs="Times New Roman"/>
                <w:sz w:val="24"/>
                <w:szCs w:val="24"/>
                <w:lang w:val="en-IN" w:eastAsia="en-IN" w:bidi="ml-IN"/>
              </w:rPr>
              <w:t>Tachamo</w:t>
            </w:r>
            <w:proofErr w:type="spellEnd"/>
            <w:r w:rsidRPr="009E50CD">
              <w:rPr>
                <w:rFonts w:eastAsia="Times New Roman" w:cs="Times New Roman"/>
                <w:sz w:val="24"/>
                <w:szCs w:val="24"/>
                <w:lang w:val="en-IN" w:eastAsia="en-IN" w:bidi="ml-IN"/>
              </w:rPr>
              <w:t>-Shah et al. (2024)</w:t>
            </w:r>
          </w:p>
        </w:tc>
        <w:tc>
          <w:tcPr>
            <w:tcW w:w="0" w:type="auto"/>
            <w:hideMark/>
          </w:tcPr>
          <w:p w14:paraId="38C538B9" w14:textId="77777777" w:rsidR="009E50CD" w:rsidRPr="009E50CD" w:rsidRDefault="009E50CD" w:rsidP="009E50CD">
            <w:pPr>
              <w:spacing w:after="0" w:line="240" w:lineRule="auto"/>
              <w:jc w:val="left"/>
              <w:rPr>
                <w:rFonts w:eastAsia="Times New Roman" w:cs="Times New Roman"/>
                <w:sz w:val="24"/>
                <w:szCs w:val="24"/>
                <w:lang w:val="en-IN" w:eastAsia="en-IN" w:bidi="ml-IN"/>
              </w:rPr>
            </w:pPr>
            <w:r w:rsidRPr="009E50CD">
              <w:rPr>
                <w:rFonts w:eastAsia="Times New Roman" w:cs="Times New Roman"/>
                <w:sz w:val="24"/>
                <w:szCs w:val="24"/>
                <w:lang w:val="en-IN" w:eastAsia="en-IN" w:bidi="ml-IN"/>
              </w:rPr>
              <w:t>Long-term and seasonal assessments of Himalayan stream macrofauna</w:t>
            </w:r>
          </w:p>
        </w:tc>
        <w:tc>
          <w:tcPr>
            <w:tcW w:w="0" w:type="auto"/>
            <w:hideMark/>
          </w:tcPr>
          <w:p w14:paraId="011DF22B" w14:textId="77777777" w:rsidR="009E50CD" w:rsidRPr="009E50CD" w:rsidRDefault="009E50CD" w:rsidP="009E50CD">
            <w:pPr>
              <w:spacing w:after="0" w:line="240" w:lineRule="auto"/>
              <w:jc w:val="left"/>
              <w:rPr>
                <w:rFonts w:eastAsia="Times New Roman" w:cs="Times New Roman"/>
                <w:sz w:val="24"/>
                <w:szCs w:val="24"/>
                <w:lang w:val="en-IN" w:eastAsia="en-IN" w:bidi="ml-IN"/>
              </w:rPr>
            </w:pPr>
            <w:r w:rsidRPr="009E50CD">
              <w:rPr>
                <w:rFonts w:eastAsia="Times New Roman" w:cs="Times New Roman"/>
                <w:sz w:val="24"/>
                <w:szCs w:val="24"/>
                <w:lang w:val="en-IN" w:eastAsia="en-IN" w:bidi="ml-IN"/>
              </w:rPr>
              <w:t>Demonstrated the value of repeated, seasonally matched biological surveys for detecting temporal and spatial ecological change.</w:t>
            </w:r>
          </w:p>
        </w:tc>
        <w:tc>
          <w:tcPr>
            <w:tcW w:w="0" w:type="auto"/>
            <w:hideMark/>
          </w:tcPr>
          <w:p w14:paraId="74E010BE" w14:textId="77777777" w:rsidR="009E50CD" w:rsidRPr="009E50CD" w:rsidRDefault="009E50CD" w:rsidP="009E50CD">
            <w:pPr>
              <w:spacing w:after="0" w:line="240" w:lineRule="auto"/>
              <w:jc w:val="left"/>
              <w:rPr>
                <w:rFonts w:eastAsia="Times New Roman" w:cs="Times New Roman"/>
                <w:sz w:val="24"/>
                <w:szCs w:val="24"/>
                <w:lang w:val="en-IN" w:eastAsia="en-IN" w:bidi="ml-IN"/>
              </w:rPr>
            </w:pPr>
            <w:r w:rsidRPr="009E50CD">
              <w:rPr>
                <w:rFonts w:eastAsia="Times New Roman" w:cs="Times New Roman"/>
                <w:sz w:val="24"/>
                <w:szCs w:val="24"/>
                <w:lang w:val="en-IN" w:eastAsia="en-IN" w:bidi="ml-IN"/>
              </w:rPr>
              <w:t>Observed changes cannot be attributed uniquely to floods because climate, land use, water quality and other pressures may also contribute.</w:t>
            </w:r>
          </w:p>
        </w:tc>
      </w:tr>
    </w:tbl>
    <w:p w14:paraId="3F9A01A3" w14:textId="77777777" w:rsidR="009E50CD" w:rsidRPr="00D858FB" w:rsidRDefault="009E50CD">
      <w:pPr>
        <w:spacing w:before="80" w:after="80"/>
        <w:rPr>
          <w:rFonts w:eastAsia="Times New Roman"/>
          <w:i/>
          <w:sz w:val="24"/>
          <w:szCs w:val="24"/>
          <w:lang w:val="en-IN"/>
        </w:rPr>
      </w:pPr>
    </w:p>
    <w:p w14:paraId="123D9FA3" w14:textId="77777777" w:rsidR="009E50CD" w:rsidRDefault="009E50CD">
      <w:pPr>
        <w:spacing w:before="80" w:after="80"/>
        <w:rPr>
          <w:rFonts w:eastAsia="Times New Roman"/>
          <w:i/>
          <w:sz w:val="24"/>
          <w:szCs w:val="24"/>
        </w:rPr>
      </w:pPr>
    </w:p>
    <w:p w14:paraId="6121E663" w14:textId="77777777" w:rsidR="009E50CD" w:rsidRDefault="009E50CD">
      <w:pPr>
        <w:spacing w:before="80" w:after="80"/>
        <w:rPr>
          <w:rFonts w:eastAsia="Times New Roman"/>
          <w:i/>
          <w:sz w:val="24"/>
          <w:szCs w:val="24"/>
        </w:rPr>
      </w:pPr>
    </w:p>
    <w:p w14:paraId="6C904A51" w14:textId="77777777" w:rsidR="00CD51E3" w:rsidRPr="00D858FB" w:rsidRDefault="00000000">
      <w:pPr>
        <w:spacing w:before="80" w:after="80"/>
        <w:rPr>
          <w:sz w:val="24"/>
          <w:szCs w:val="24"/>
        </w:rPr>
      </w:pPr>
      <w:r w:rsidRPr="00D858FB">
        <w:rPr>
          <w:rFonts w:eastAsia="Times New Roman"/>
          <w:i/>
          <w:sz w:val="24"/>
          <w:szCs w:val="24"/>
        </w:rPr>
        <w:t>This table is an original synthesis by the authors; no previously published table has been reproduced.</w:t>
      </w:r>
    </w:p>
    <w:p w14:paraId="767FE3E8" w14:textId="77777777" w:rsidR="00CD51E3" w:rsidRDefault="00966D63">
      <w:pPr>
        <w:spacing w:before="200" w:after="80"/>
        <w:rPr>
          <w:rFonts w:eastAsia="Times New Roman"/>
          <w:sz w:val="24"/>
          <w:szCs w:val="24"/>
        </w:rPr>
      </w:pPr>
      <w:r w:rsidRPr="00966D63">
        <w:rPr>
          <w:rFonts w:eastAsia="Times New Roman"/>
          <w:b/>
          <w:sz w:val="24"/>
          <w:szCs w:val="24"/>
        </w:rPr>
        <w:t xml:space="preserve">Table 2. </w:t>
      </w:r>
      <w:r w:rsidRPr="00D858FB">
        <w:rPr>
          <w:rFonts w:eastAsia="Times New Roman"/>
          <w:bCs/>
          <w:sz w:val="24"/>
          <w:szCs w:val="24"/>
        </w:rPr>
        <w:t>Proposed multiphase framework for monitoring the ecological effects of extreme rainfall and flood events in Nepalese freshwater ecosystems</w:t>
      </w:r>
      <w:r>
        <w:rPr>
          <w:rFonts w:eastAsia="Times New Roman"/>
          <w:b/>
          <w:sz w:val="24"/>
          <w:szCs w:val="24"/>
        </w:rPr>
        <w:t xml:space="preserve"> </w:t>
      </w:r>
    </w:p>
    <w:tbl>
      <w:tblPr>
        <w:tblStyle w:val="TableGrid"/>
        <w:tblW w:w="9360" w:type="dxa"/>
        <w:tblInd w:w="120" w:type="dxa"/>
        <w:tblLook w:val="04A0" w:firstRow="1" w:lastRow="0" w:firstColumn="1" w:lastColumn="0" w:noHBand="0" w:noVBand="1"/>
      </w:tblPr>
      <w:tblGrid>
        <w:gridCol w:w="1440"/>
        <w:gridCol w:w="2136"/>
        <w:gridCol w:w="3405"/>
        <w:gridCol w:w="2379"/>
      </w:tblGrid>
      <w:tr w:rsidR="002A303D" w:rsidRPr="002A303D" w14:paraId="109CF2CF" w14:textId="77777777" w:rsidTr="002A303D">
        <w:tc>
          <w:tcPr>
            <w:tcW w:w="0" w:type="auto"/>
            <w:hideMark/>
          </w:tcPr>
          <w:p w14:paraId="23573D6F" w14:textId="77777777" w:rsidR="002A303D" w:rsidRPr="002A303D" w:rsidRDefault="002A303D" w:rsidP="002A303D">
            <w:pPr>
              <w:spacing w:after="0" w:line="240" w:lineRule="auto"/>
              <w:jc w:val="center"/>
              <w:rPr>
                <w:rFonts w:eastAsia="Times New Roman" w:cs="Times New Roman"/>
                <w:b/>
                <w:bCs/>
                <w:sz w:val="24"/>
                <w:szCs w:val="24"/>
                <w:lang w:val="en-IN" w:eastAsia="en-IN" w:bidi="ml-IN"/>
              </w:rPr>
            </w:pPr>
            <w:r w:rsidRPr="002A303D">
              <w:rPr>
                <w:rFonts w:eastAsia="Times New Roman" w:cs="Times New Roman"/>
                <w:b/>
                <w:bCs/>
                <w:sz w:val="24"/>
                <w:szCs w:val="24"/>
                <w:lang w:val="en-IN" w:eastAsia="en-IN" w:bidi="ml-IN"/>
              </w:rPr>
              <w:t>Monitoring phase</w:t>
            </w:r>
          </w:p>
        </w:tc>
        <w:tc>
          <w:tcPr>
            <w:tcW w:w="0" w:type="auto"/>
            <w:hideMark/>
          </w:tcPr>
          <w:p w14:paraId="64DC926E" w14:textId="77777777" w:rsidR="002A303D" w:rsidRPr="002A303D" w:rsidRDefault="002A303D" w:rsidP="002A303D">
            <w:pPr>
              <w:spacing w:after="0" w:line="240" w:lineRule="auto"/>
              <w:jc w:val="center"/>
              <w:rPr>
                <w:rFonts w:eastAsia="Times New Roman" w:cs="Times New Roman"/>
                <w:b/>
                <w:bCs/>
                <w:sz w:val="24"/>
                <w:szCs w:val="24"/>
                <w:lang w:val="en-IN" w:eastAsia="en-IN" w:bidi="ml-IN"/>
              </w:rPr>
            </w:pPr>
            <w:r w:rsidRPr="002A303D">
              <w:rPr>
                <w:rFonts w:eastAsia="Times New Roman" w:cs="Times New Roman"/>
                <w:b/>
                <w:bCs/>
                <w:sz w:val="24"/>
                <w:szCs w:val="24"/>
                <w:lang w:val="en-IN" w:eastAsia="en-IN" w:bidi="ml-IN"/>
              </w:rPr>
              <w:t>Recommended timing</w:t>
            </w:r>
          </w:p>
        </w:tc>
        <w:tc>
          <w:tcPr>
            <w:tcW w:w="0" w:type="auto"/>
            <w:hideMark/>
          </w:tcPr>
          <w:p w14:paraId="7CEA6E42" w14:textId="77777777" w:rsidR="002A303D" w:rsidRPr="002A303D" w:rsidRDefault="002A303D" w:rsidP="002A303D">
            <w:pPr>
              <w:spacing w:after="0" w:line="240" w:lineRule="auto"/>
              <w:jc w:val="center"/>
              <w:rPr>
                <w:rFonts w:eastAsia="Times New Roman" w:cs="Times New Roman"/>
                <w:b/>
                <w:bCs/>
                <w:sz w:val="24"/>
                <w:szCs w:val="24"/>
                <w:lang w:val="en-IN" w:eastAsia="en-IN" w:bidi="ml-IN"/>
              </w:rPr>
            </w:pPr>
            <w:r w:rsidRPr="002A303D">
              <w:rPr>
                <w:rFonts w:eastAsia="Times New Roman" w:cs="Times New Roman"/>
                <w:b/>
                <w:bCs/>
                <w:sz w:val="24"/>
                <w:szCs w:val="24"/>
                <w:lang w:val="en-IN" w:eastAsia="en-IN" w:bidi="ml-IN"/>
              </w:rPr>
              <w:t>Core measurements</w:t>
            </w:r>
          </w:p>
        </w:tc>
        <w:tc>
          <w:tcPr>
            <w:tcW w:w="0" w:type="auto"/>
            <w:hideMark/>
          </w:tcPr>
          <w:p w14:paraId="4894D42F" w14:textId="77777777" w:rsidR="002A303D" w:rsidRPr="002A303D" w:rsidRDefault="002A303D" w:rsidP="002A303D">
            <w:pPr>
              <w:spacing w:after="0" w:line="240" w:lineRule="auto"/>
              <w:jc w:val="center"/>
              <w:rPr>
                <w:rFonts w:eastAsia="Times New Roman" w:cs="Times New Roman"/>
                <w:b/>
                <w:bCs/>
                <w:sz w:val="24"/>
                <w:szCs w:val="24"/>
                <w:lang w:val="en-IN" w:eastAsia="en-IN" w:bidi="ml-IN"/>
              </w:rPr>
            </w:pPr>
            <w:r w:rsidRPr="002A303D">
              <w:rPr>
                <w:rFonts w:eastAsia="Times New Roman" w:cs="Times New Roman"/>
                <w:b/>
                <w:bCs/>
                <w:sz w:val="24"/>
                <w:szCs w:val="24"/>
                <w:lang w:val="en-IN" w:eastAsia="en-IN" w:bidi="ml-IN"/>
              </w:rPr>
              <w:t>Primary ecological inference</w:t>
            </w:r>
          </w:p>
        </w:tc>
      </w:tr>
      <w:tr w:rsidR="002A303D" w:rsidRPr="002A303D" w14:paraId="75BB370C" w14:textId="77777777" w:rsidTr="002A303D">
        <w:tc>
          <w:tcPr>
            <w:tcW w:w="0" w:type="auto"/>
            <w:hideMark/>
          </w:tcPr>
          <w:p w14:paraId="701B999B" w14:textId="77777777" w:rsidR="002A303D" w:rsidRPr="002A303D" w:rsidRDefault="002A303D" w:rsidP="002A303D">
            <w:pPr>
              <w:spacing w:after="0" w:line="240" w:lineRule="auto"/>
              <w:jc w:val="left"/>
              <w:rPr>
                <w:rFonts w:eastAsia="Times New Roman" w:cs="Times New Roman"/>
                <w:sz w:val="24"/>
                <w:szCs w:val="24"/>
                <w:lang w:val="en-IN" w:eastAsia="en-IN" w:bidi="ml-IN"/>
              </w:rPr>
            </w:pPr>
            <w:r w:rsidRPr="002A303D">
              <w:rPr>
                <w:rFonts w:eastAsia="Times New Roman" w:cs="Times New Roman"/>
                <w:sz w:val="24"/>
                <w:szCs w:val="24"/>
                <w:lang w:val="en-IN" w:eastAsia="en-IN" w:bidi="ml-IN"/>
              </w:rPr>
              <w:t>Baseline</w:t>
            </w:r>
          </w:p>
        </w:tc>
        <w:tc>
          <w:tcPr>
            <w:tcW w:w="0" w:type="auto"/>
            <w:hideMark/>
          </w:tcPr>
          <w:p w14:paraId="6DE0C82A" w14:textId="77777777" w:rsidR="002A303D" w:rsidRPr="002A303D" w:rsidRDefault="002A303D" w:rsidP="002A303D">
            <w:pPr>
              <w:spacing w:after="0" w:line="240" w:lineRule="auto"/>
              <w:jc w:val="left"/>
              <w:rPr>
                <w:rFonts w:eastAsia="Times New Roman" w:cs="Times New Roman"/>
                <w:sz w:val="24"/>
                <w:szCs w:val="24"/>
                <w:lang w:val="en-IN" w:eastAsia="en-IN" w:bidi="ml-IN"/>
              </w:rPr>
            </w:pPr>
            <w:r w:rsidRPr="002A303D">
              <w:rPr>
                <w:rFonts w:eastAsia="Times New Roman" w:cs="Times New Roman"/>
                <w:sz w:val="24"/>
                <w:szCs w:val="24"/>
                <w:lang w:val="en-IN" w:eastAsia="en-IN" w:bidi="ml-IN"/>
              </w:rPr>
              <w:t>Seasonally replicated surveys conducted annually</w:t>
            </w:r>
          </w:p>
        </w:tc>
        <w:tc>
          <w:tcPr>
            <w:tcW w:w="0" w:type="auto"/>
            <w:hideMark/>
          </w:tcPr>
          <w:p w14:paraId="636BF302" w14:textId="77777777" w:rsidR="002A303D" w:rsidRPr="002A303D" w:rsidRDefault="002A303D" w:rsidP="002A303D">
            <w:pPr>
              <w:spacing w:after="0" w:line="240" w:lineRule="auto"/>
              <w:jc w:val="left"/>
              <w:rPr>
                <w:rFonts w:eastAsia="Times New Roman" w:cs="Times New Roman"/>
                <w:sz w:val="24"/>
                <w:szCs w:val="24"/>
                <w:lang w:val="en-IN" w:eastAsia="en-IN" w:bidi="ml-IN"/>
              </w:rPr>
            </w:pPr>
            <w:r w:rsidRPr="002A303D">
              <w:rPr>
                <w:rFonts w:eastAsia="Times New Roman" w:cs="Times New Roman"/>
                <w:sz w:val="24"/>
                <w:szCs w:val="24"/>
                <w:lang w:val="en-IN" w:eastAsia="en-IN" w:bidi="ml-IN"/>
              </w:rPr>
              <w:t xml:space="preserve">Discharge; suspended and deposited sediment; channel morphology and habitat units; benthic macroinvertebrates; fish abundance using CPUE and/or </w:t>
            </w:r>
            <w:r w:rsidRPr="002A303D">
              <w:rPr>
                <w:rFonts w:eastAsia="Times New Roman" w:cs="Times New Roman"/>
                <w:sz w:val="24"/>
                <w:szCs w:val="24"/>
                <w:lang w:val="en-IN" w:eastAsia="en-IN" w:bidi="ml-IN"/>
              </w:rPr>
              <w:lastRenderedPageBreak/>
              <w:t>eDNA; macrophytes; aquatic megafauna; physicochemical water quality</w:t>
            </w:r>
          </w:p>
        </w:tc>
        <w:tc>
          <w:tcPr>
            <w:tcW w:w="0" w:type="auto"/>
            <w:hideMark/>
          </w:tcPr>
          <w:p w14:paraId="3F568864" w14:textId="77777777" w:rsidR="002A303D" w:rsidRPr="002A303D" w:rsidRDefault="002A303D" w:rsidP="002A303D">
            <w:pPr>
              <w:spacing w:after="0" w:line="240" w:lineRule="auto"/>
              <w:jc w:val="left"/>
              <w:rPr>
                <w:rFonts w:eastAsia="Times New Roman" w:cs="Times New Roman"/>
                <w:sz w:val="24"/>
                <w:szCs w:val="24"/>
                <w:lang w:val="en-IN" w:eastAsia="en-IN" w:bidi="ml-IN"/>
              </w:rPr>
            </w:pPr>
            <w:r w:rsidRPr="002A303D">
              <w:rPr>
                <w:rFonts w:eastAsia="Times New Roman" w:cs="Times New Roman"/>
                <w:sz w:val="24"/>
                <w:szCs w:val="24"/>
                <w:lang w:val="en-IN" w:eastAsia="en-IN" w:bidi="ml-IN"/>
              </w:rPr>
              <w:lastRenderedPageBreak/>
              <w:t xml:space="preserve">Natural seasonal variability, spatial differences and long-term trends against which event-related </w:t>
            </w:r>
            <w:r w:rsidRPr="002A303D">
              <w:rPr>
                <w:rFonts w:eastAsia="Times New Roman" w:cs="Times New Roman"/>
                <w:sz w:val="24"/>
                <w:szCs w:val="24"/>
                <w:lang w:val="en-IN" w:eastAsia="en-IN" w:bidi="ml-IN"/>
              </w:rPr>
              <w:lastRenderedPageBreak/>
              <w:t>changes can be evaluated</w:t>
            </w:r>
          </w:p>
        </w:tc>
      </w:tr>
      <w:tr w:rsidR="002A303D" w:rsidRPr="002A303D" w14:paraId="2EEF92FB" w14:textId="77777777" w:rsidTr="002A303D">
        <w:tc>
          <w:tcPr>
            <w:tcW w:w="0" w:type="auto"/>
            <w:hideMark/>
          </w:tcPr>
          <w:p w14:paraId="2A3BB595" w14:textId="77777777" w:rsidR="002A303D" w:rsidRPr="002A303D" w:rsidRDefault="002A303D" w:rsidP="002A303D">
            <w:pPr>
              <w:spacing w:after="0" w:line="240" w:lineRule="auto"/>
              <w:jc w:val="left"/>
              <w:rPr>
                <w:rFonts w:eastAsia="Times New Roman" w:cs="Times New Roman"/>
                <w:sz w:val="24"/>
                <w:szCs w:val="24"/>
                <w:lang w:val="en-IN" w:eastAsia="en-IN" w:bidi="ml-IN"/>
              </w:rPr>
            </w:pPr>
            <w:r w:rsidRPr="002A303D">
              <w:rPr>
                <w:rFonts w:eastAsia="Times New Roman" w:cs="Times New Roman"/>
                <w:sz w:val="24"/>
                <w:szCs w:val="24"/>
                <w:lang w:val="en-IN" w:eastAsia="en-IN" w:bidi="ml-IN"/>
              </w:rPr>
              <w:lastRenderedPageBreak/>
              <w:t>Acute response</w:t>
            </w:r>
          </w:p>
        </w:tc>
        <w:tc>
          <w:tcPr>
            <w:tcW w:w="0" w:type="auto"/>
            <w:hideMark/>
          </w:tcPr>
          <w:p w14:paraId="4FB1D019" w14:textId="77777777" w:rsidR="002A303D" w:rsidRPr="002A303D" w:rsidRDefault="002A303D" w:rsidP="002A303D">
            <w:pPr>
              <w:spacing w:after="0" w:line="240" w:lineRule="auto"/>
              <w:jc w:val="left"/>
              <w:rPr>
                <w:rFonts w:eastAsia="Times New Roman" w:cs="Times New Roman"/>
                <w:sz w:val="24"/>
                <w:szCs w:val="24"/>
                <w:lang w:val="en-IN" w:eastAsia="en-IN" w:bidi="ml-IN"/>
              </w:rPr>
            </w:pPr>
            <w:r w:rsidRPr="002A303D">
              <w:rPr>
                <w:rFonts w:eastAsia="Times New Roman" w:cs="Times New Roman"/>
                <w:sz w:val="24"/>
                <w:szCs w:val="24"/>
                <w:lang w:val="en-IN" w:eastAsia="en-IN" w:bidi="ml-IN"/>
              </w:rPr>
              <w:t>Within 0–72 h after the event, when access and sampling are safe</w:t>
            </w:r>
          </w:p>
        </w:tc>
        <w:tc>
          <w:tcPr>
            <w:tcW w:w="0" w:type="auto"/>
            <w:hideMark/>
          </w:tcPr>
          <w:p w14:paraId="7389270C" w14:textId="77777777" w:rsidR="002A303D" w:rsidRPr="002A303D" w:rsidRDefault="002A303D" w:rsidP="002A303D">
            <w:pPr>
              <w:spacing w:after="0" w:line="240" w:lineRule="auto"/>
              <w:jc w:val="left"/>
              <w:rPr>
                <w:rFonts w:eastAsia="Times New Roman" w:cs="Times New Roman"/>
                <w:sz w:val="24"/>
                <w:szCs w:val="24"/>
                <w:lang w:val="en-IN" w:eastAsia="en-IN" w:bidi="ml-IN"/>
              </w:rPr>
            </w:pPr>
            <w:r w:rsidRPr="002A303D">
              <w:rPr>
                <w:rFonts w:eastAsia="Times New Roman" w:cs="Times New Roman"/>
                <w:sz w:val="24"/>
                <w:szCs w:val="24"/>
                <w:lang w:val="en-IN" w:eastAsia="en-IN" w:bidi="ml-IN"/>
              </w:rPr>
              <w:t>Event hydrograph; turbidity and suspended-sediment concentration; erosion and deposition; habitat loss; organism mortality and stranding; contaminant and sewage releases</w:t>
            </w:r>
          </w:p>
        </w:tc>
        <w:tc>
          <w:tcPr>
            <w:tcW w:w="0" w:type="auto"/>
            <w:hideMark/>
          </w:tcPr>
          <w:p w14:paraId="6FABDAA3" w14:textId="77777777" w:rsidR="002A303D" w:rsidRPr="002A303D" w:rsidRDefault="002A303D" w:rsidP="002A303D">
            <w:pPr>
              <w:spacing w:after="0" w:line="240" w:lineRule="auto"/>
              <w:jc w:val="left"/>
              <w:rPr>
                <w:rFonts w:eastAsia="Times New Roman" w:cs="Times New Roman"/>
                <w:sz w:val="24"/>
                <w:szCs w:val="24"/>
                <w:lang w:val="en-IN" w:eastAsia="en-IN" w:bidi="ml-IN"/>
              </w:rPr>
            </w:pPr>
            <w:r w:rsidRPr="002A303D">
              <w:rPr>
                <w:rFonts w:eastAsia="Times New Roman" w:cs="Times New Roman"/>
                <w:sz w:val="24"/>
                <w:szCs w:val="24"/>
                <w:lang w:val="en-IN" w:eastAsia="en-IN" w:bidi="ml-IN"/>
              </w:rPr>
              <w:t>Spatial extent and magnitude of exposure, immediate mortality, displacement and habitat alteration</w:t>
            </w:r>
          </w:p>
        </w:tc>
      </w:tr>
      <w:tr w:rsidR="002A303D" w:rsidRPr="002A303D" w14:paraId="645093F6" w14:textId="77777777" w:rsidTr="002A303D">
        <w:tc>
          <w:tcPr>
            <w:tcW w:w="0" w:type="auto"/>
            <w:hideMark/>
          </w:tcPr>
          <w:p w14:paraId="37E67316" w14:textId="77777777" w:rsidR="002A303D" w:rsidRPr="002A303D" w:rsidRDefault="002A303D" w:rsidP="002A303D">
            <w:pPr>
              <w:spacing w:after="0" w:line="240" w:lineRule="auto"/>
              <w:jc w:val="left"/>
              <w:rPr>
                <w:rFonts w:eastAsia="Times New Roman" w:cs="Times New Roman"/>
                <w:sz w:val="24"/>
                <w:szCs w:val="24"/>
                <w:lang w:val="en-IN" w:eastAsia="en-IN" w:bidi="ml-IN"/>
              </w:rPr>
            </w:pPr>
            <w:r w:rsidRPr="002A303D">
              <w:rPr>
                <w:rFonts w:eastAsia="Times New Roman" w:cs="Times New Roman"/>
                <w:sz w:val="24"/>
                <w:szCs w:val="24"/>
                <w:lang w:val="en-IN" w:eastAsia="en-IN" w:bidi="ml-IN"/>
              </w:rPr>
              <w:t>Early recovery</w:t>
            </w:r>
          </w:p>
        </w:tc>
        <w:tc>
          <w:tcPr>
            <w:tcW w:w="0" w:type="auto"/>
            <w:hideMark/>
          </w:tcPr>
          <w:p w14:paraId="1ED9ECE9" w14:textId="77777777" w:rsidR="002A303D" w:rsidRPr="002A303D" w:rsidRDefault="002A303D" w:rsidP="002A303D">
            <w:pPr>
              <w:spacing w:after="0" w:line="240" w:lineRule="auto"/>
              <w:jc w:val="left"/>
              <w:rPr>
                <w:rFonts w:eastAsia="Times New Roman" w:cs="Times New Roman"/>
                <w:sz w:val="24"/>
                <w:szCs w:val="24"/>
                <w:lang w:val="en-IN" w:eastAsia="en-IN" w:bidi="ml-IN"/>
              </w:rPr>
            </w:pPr>
            <w:r w:rsidRPr="002A303D">
              <w:rPr>
                <w:rFonts w:eastAsia="Times New Roman" w:cs="Times New Roman"/>
                <w:sz w:val="24"/>
                <w:szCs w:val="24"/>
                <w:lang w:val="en-IN" w:eastAsia="en-IN" w:bidi="ml-IN"/>
              </w:rPr>
              <w:t>1–4 weeks after the event</w:t>
            </w:r>
          </w:p>
        </w:tc>
        <w:tc>
          <w:tcPr>
            <w:tcW w:w="0" w:type="auto"/>
            <w:hideMark/>
          </w:tcPr>
          <w:p w14:paraId="296258EC" w14:textId="77777777" w:rsidR="002A303D" w:rsidRPr="002A303D" w:rsidRDefault="002A303D" w:rsidP="002A303D">
            <w:pPr>
              <w:spacing w:after="0" w:line="240" w:lineRule="auto"/>
              <w:jc w:val="left"/>
              <w:rPr>
                <w:rFonts w:eastAsia="Times New Roman" w:cs="Times New Roman"/>
                <w:sz w:val="24"/>
                <w:szCs w:val="24"/>
                <w:lang w:val="en-IN" w:eastAsia="en-IN" w:bidi="ml-IN"/>
              </w:rPr>
            </w:pPr>
            <w:r w:rsidRPr="002A303D">
              <w:rPr>
                <w:rFonts w:eastAsia="Times New Roman" w:cs="Times New Roman"/>
                <w:sz w:val="24"/>
                <w:szCs w:val="24"/>
                <w:lang w:val="en-IN" w:eastAsia="en-IN" w:bidi="ml-IN"/>
              </w:rPr>
              <w:t>Channel and habitat mosaic; fine-sediment infiltration; benthic macroinvertebrate abundance and composition; fish abundance and size structure; isolated pools; dissolved oxygen and other water-quality variables</w:t>
            </w:r>
          </w:p>
        </w:tc>
        <w:tc>
          <w:tcPr>
            <w:tcW w:w="0" w:type="auto"/>
            <w:hideMark/>
          </w:tcPr>
          <w:p w14:paraId="3CFA2B01" w14:textId="77777777" w:rsidR="002A303D" w:rsidRPr="002A303D" w:rsidRDefault="002A303D" w:rsidP="002A303D">
            <w:pPr>
              <w:spacing w:after="0" w:line="240" w:lineRule="auto"/>
              <w:jc w:val="left"/>
              <w:rPr>
                <w:rFonts w:eastAsia="Times New Roman" w:cs="Times New Roman"/>
                <w:sz w:val="24"/>
                <w:szCs w:val="24"/>
                <w:lang w:val="en-IN" w:eastAsia="en-IN" w:bidi="ml-IN"/>
              </w:rPr>
            </w:pPr>
            <w:r>
              <w:rPr>
                <w:rFonts w:eastAsia="Times New Roman" w:cs="Times New Roman"/>
                <w:sz w:val="24"/>
                <w:szCs w:val="24"/>
                <w:lang w:val="en-IN" w:eastAsia="en-IN" w:bidi="ml-IN"/>
              </w:rPr>
              <w:t xml:space="preserve">Initial </w:t>
            </w:r>
            <w:r>
              <w:rPr>
                <w:rFonts w:eastAsia="Times New Roman" w:cs="Times New Roman"/>
                <w:sz w:val="24"/>
                <w:szCs w:val="24"/>
                <w:highlight w:val="yellow"/>
                <w:lang w:val="en-IN" w:eastAsia="en-IN" w:bidi="ml-IN"/>
              </w:rPr>
              <w:t>recolonisation</w:t>
            </w:r>
            <w:r>
              <w:rPr>
                <w:rFonts w:eastAsia="Times New Roman" w:cs="Times New Roman"/>
                <w:sz w:val="24"/>
                <w:szCs w:val="24"/>
                <w:lang w:val="en-IN" w:eastAsia="en-IN" w:bidi="ml-IN"/>
              </w:rPr>
              <w:t>, recruitment, persistence in refugia and delayed physiological or water-quality stress</w:t>
            </w:r>
          </w:p>
        </w:tc>
      </w:tr>
      <w:tr w:rsidR="002A303D" w:rsidRPr="002A303D" w14:paraId="71C8CC79" w14:textId="77777777" w:rsidTr="002A303D">
        <w:tc>
          <w:tcPr>
            <w:tcW w:w="0" w:type="auto"/>
            <w:hideMark/>
          </w:tcPr>
          <w:p w14:paraId="024932F7" w14:textId="77777777" w:rsidR="002A303D" w:rsidRPr="002A303D" w:rsidRDefault="002A303D" w:rsidP="002A303D">
            <w:pPr>
              <w:spacing w:after="0" w:line="240" w:lineRule="auto"/>
              <w:jc w:val="left"/>
              <w:rPr>
                <w:rFonts w:eastAsia="Times New Roman" w:cs="Times New Roman"/>
                <w:sz w:val="24"/>
                <w:szCs w:val="24"/>
                <w:lang w:val="en-IN" w:eastAsia="en-IN" w:bidi="ml-IN"/>
              </w:rPr>
            </w:pPr>
            <w:r w:rsidRPr="002A303D">
              <w:rPr>
                <w:rFonts w:eastAsia="Times New Roman" w:cs="Times New Roman"/>
                <w:sz w:val="24"/>
                <w:szCs w:val="24"/>
                <w:lang w:val="en-IN" w:eastAsia="en-IN" w:bidi="ml-IN"/>
              </w:rPr>
              <w:t>Seasonal recovery</w:t>
            </w:r>
          </w:p>
        </w:tc>
        <w:tc>
          <w:tcPr>
            <w:tcW w:w="0" w:type="auto"/>
            <w:hideMark/>
          </w:tcPr>
          <w:p w14:paraId="4D34E51A" w14:textId="77777777" w:rsidR="002A303D" w:rsidRPr="002A303D" w:rsidRDefault="002A303D" w:rsidP="002A303D">
            <w:pPr>
              <w:spacing w:after="0" w:line="240" w:lineRule="auto"/>
              <w:jc w:val="left"/>
              <w:rPr>
                <w:rFonts w:eastAsia="Times New Roman" w:cs="Times New Roman"/>
                <w:sz w:val="24"/>
                <w:szCs w:val="24"/>
                <w:lang w:val="en-IN" w:eastAsia="en-IN" w:bidi="ml-IN"/>
              </w:rPr>
            </w:pPr>
            <w:r w:rsidRPr="002A303D">
              <w:rPr>
                <w:rFonts w:eastAsia="Times New Roman" w:cs="Times New Roman"/>
                <w:sz w:val="24"/>
                <w:szCs w:val="24"/>
                <w:lang w:val="en-IN" w:eastAsia="en-IN" w:bidi="ml-IN"/>
              </w:rPr>
              <w:t>3–6 months after the event, with seasonally matched sampling</w:t>
            </w:r>
          </w:p>
        </w:tc>
        <w:tc>
          <w:tcPr>
            <w:tcW w:w="0" w:type="auto"/>
            <w:hideMark/>
          </w:tcPr>
          <w:p w14:paraId="0145F935" w14:textId="77777777" w:rsidR="002A303D" w:rsidRPr="002A303D" w:rsidRDefault="002A303D" w:rsidP="002A303D">
            <w:pPr>
              <w:spacing w:after="0" w:line="240" w:lineRule="auto"/>
              <w:jc w:val="left"/>
              <w:rPr>
                <w:rFonts w:eastAsia="Times New Roman" w:cs="Times New Roman"/>
                <w:sz w:val="24"/>
                <w:szCs w:val="24"/>
                <w:lang w:val="en-IN" w:eastAsia="en-IN" w:bidi="ml-IN"/>
              </w:rPr>
            </w:pPr>
            <w:r w:rsidRPr="002A303D">
              <w:rPr>
                <w:rFonts w:eastAsia="Times New Roman" w:cs="Times New Roman"/>
                <w:sz w:val="24"/>
                <w:szCs w:val="24"/>
                <w:lang w:val="en-IN" w:eastAsia="en-IN" w:bidi="ml-IN"/>
              </w:rPr>
              <w:t>Repetition of baseline biological, hydrological and physicochemical measurements at affected and reference reaches</w:t>
            </w:r>
          </w:p>
        </w:tc>
        <w:tc>
          <w:tcPr>
            <w:tcW w:w="0" w:type="auto"/>
            <w:hideMark/>
          </w:tcPr>
          <w:p w14:paraId="747619CD" w14:textId="77777777" w:rsidR="002A303D" w:rsidRPr="002A303D" w:rsidRDefault="002A303D" w:rsidP="002A303D">
            <w:pPr>
              <w:spacing w:after="0" w:line="240" w:lineRule="auto"/>
              <w:jc w:val="left"/>
              <w:rPr>
                <w:rFonts w:eastAsia="Times New Roman" w:cs="Times New Roman"/>
                <w:sz w:val="24"/>
                <w:szCs w:val="24"/>
                <w:lang w:val="en-IN" w:eastAsia="en-IN" w:bidi="ml-IN"/>
              </w:rPr>
            </w:pPr>
            <w:r w:rsidRPr="002A303D">
              <w:rPr>
                <w:rFonts w:eastAsia="Times New Roman" w:cs="Times New Roman"/>
                <w:sz w:val="24"/>
                <w:szCs w:val="24"/>
                <w:lang w:val="en-IN" w:eastAsia="en-IN" w:bidi="ml-IN"/>
              </w:rPr>
              <w:t>Biological resistance, rate of recovery and differences between affected and reference reaches under comparable seasonal conditions</w:t>
            </w:r>
          </w:p>
        </w:tc>
      </w:tr>
      <w:tr w:rsidR="002A303D" w:rsidRPr="002A303D" w14:paraId="642DF20F" w14:textId="77777777" w:rsidTr="002A303D">
        <w:tc>
          <w:tcPr>
            <w:tcW w:w="0" w:type="auto"/>
            <w:hideMark/>
          </w:tcPr>
          <w:p w14:paraId="3F594534" w14:textId="77777777" w:rsidR="002A303D" w:rsidRPr="002A303D" w:rsidRDefault="002A303D" w:rsidP="002A303D">
            <w:pPr>
              <w:spacing w:after="0" w:line="240" w:lineRule="auto"/>
              <w:jc w:val="left"/>
              <w:rPr>
                <w:rFonts w:eastAsia="Times New Roman" w:cs="Times New Roman"/>
                <w:sz w:val="24"/>
                <w:szCs w:val="24"/>
                <w:lang w:val="en-IN" w:eastAsia="en-IN" w:bidi="ml-IN"/>
              </w:rPr>
            </w:pPr>
            <w:r w:rsidRPr="002A303D">
              <w:rPr>
                <w:rFonts w:eastAsia="Times New Roman" w:cs="Times New Roman"/>
                <w:sz w:val="24"/>
                <w:szCs w:val="24"/>
                <w:lang w:val="en-IN" w:eastAsia="en-IN" w:bidi="ml-IN"/>
              </w:rPr>
              <w:t>Long-term recovery</w:t>
            </w:r>
          </w:p>
        </w:tc>
        <w:tc>
          <w:tcPr>
            <w:tcW w:w="0" w:type="auto"/>
            <w:hideMark/>
          </w:tcPr>
          <w:p w14:paraId="5EC0B07C" w14:textId="77777777" w:rsidR="002A303D" w:rsidRPr="002A303D" w:rsidRDefault="002A303D" w:rsidP="002A303D">
            <w:pPr>
              <w:spacing w:after="0" w:line="240" w:lineRule="auto"/>
              <w:jc w:val="left"/>
              <w:rPr>
                <w:rFonts w:eastAsia="Times New Roman" w:cs="Times New Roman"/>
                <w:sz w:val="24"/>
                <w:szCs w:val="24"/>
                <w:lang w:val="en-IN" w:eastAsia="en-IN" w:bidi="ml-IN"/>
              </w:rPr>
            </w:pPr>
            <w:r w:rsidRPr="002A303D">
              <w:rPr>
                <w:rFonts w:eastAsia="Times New Roman" w:cs="Times New Roman"/>
                <w:sz w:val="24"/>
                <w:szCs w:val="24"/>
                <w:lang w:val="en-IN" w:eastAsia="en-IN" w:bidi="ml-IN"/>
              </w:rPr>
              <w:t>12–24 months after the event and, where possible, following subsequent events</w:t>
            </w:r>
          </w:p>
        </w:tc>
        <w:tc>
          <w:tcPr>
            <w:tcW w:w="0" w:type="auto"/>
            <w:hideMark/>
          </w:tcPr>
          <w:p w14:paraId="213F61A9" w14:textId="77777777" w:rsidR="002A303D" w:rsidRPr="002A303D" w:rsidRDefault="002A303D" w:rsidP="002A303D">
            <w:pPr>
              <w:spacing w:after="0" w:line="240" w:lineRule="auto"/>
              <w:jc w:val="left"/>
              <w:rPr>
                <w:rFonts w:eastAsia="Times New Roman" w:cs="Times New Roman"/>
                <w:sz w:val="24"/>
                <w:szCs w:val="24"/>
                <w:lang w:val="en-IN" w:eastAsia="en-IN" w:bidi="ml-IN"/>
              </w:rPr>
            </w:pPr>
            <w:r w:rsidRPr="002A303D">
              <w:rPr>
                <w:rFonts w:eastAsia="Times New Roman" w:cs="Times New Roman"/>
                <w:sz w:val="24"/>
                <w:szCs w:val="24"/>
                <w:lang w:val="en-IN" w:eastAsia="en-IN" w:bidi="ml-IN"/>
              </w:rPr>
              <w:t>Community composition and functional traits; population structure; persistence of geomorphic change; longitudinal and lateral connectivity; habitat availability; cumulative effects of repeated disturbances</w:t>
            </w:r>
          </w:p>
        </w:tc>
        <w:tc>
          <w:tcPr>
            <w:tcW w:w="0" w:type="auto"/>
            <w:hideMark/>
          </w:tcPr>
          <w:p w14:paraId="1792575B" w14:textId="77777777" w:rsidR="002A303D" w:rsidRPr="002A303D" w:rsidRDefault="002A303D" w:rsidP="002A303D">
            <w:pPr>
              <w:spacing w:after="0" w:line="240" w:lineRule="auto"/>
              <w:jc w:val="left"/>
              <w:rPr>
                <w:rFonts w:eastAsia="Times New Roman" w:cs="Times New Roman"/>
                <w:sz w:val="24"/>
                <w:szCs w:val="24"/>
                <w:lang w:val="en-IN" w:eastAsia="en-IN" w:bidi="ml-IN"/>
              </w:rPr>
            </w:pPr>
            <w:r w:rsidRPr="002A303D">
              <w:rPr>
                <w:rFonts w:eastAsia="Times New Roman" w:cs="Times New Roman"/>
                <w:sz w:val="24"/>
                <w:szCs w:val="24"/>
                <w:lang w:val="en-IN" w:eastAsia="en-IN" w:bidi="ml-IN"/>
              </w:rPr>
              <w:t>Return towards baseline conditions, transition to an alternative ecological state, or effects of cumulative and interacting pressures</w:t>
            </w:r>
          </w:p>
        </w:tc>
      </w:tr>
    </w:tbl>
    <w:tbl>
      <w:tblPr>
        <w:tblStyle w:val="TableGrid"/>
        <w:tblW w:w="9360" w:type="dxa"/>
        <w:tblInd w:w="120" w:type="dxa"/>
        <w:tblBorders>
          <w:top w:val="single" w:sz="4" w:space="0" w:color="B7B7B7"/>
          <w:left w:val="single" w:sz="4" w:space="0" w:color="B7B7B7"/>
          <w:bottom w:val="single" w:sz="4" w:space="0" w:color="B7B7B7"/>
          <w:right w:val="single" w:sz="4" w:space="0" w:color="B7B7B7"/>
          <w:insideH w:val="single" w:sz="4" w:space="0" w:color="B7B7B7"/>
          <w:insideV w:val="single" w:sz="4" w:space="0" w:color="B7B7B7"/>
        </w:tblBorders>
        <w:tblLayout w:type="fixed"/>
        <w:tblLook w:val="04A0" w:firstRow="1" w:lastRow="0" w:firstColumn="1" w:lastColumn="0" w:noHBand="0" w:noVBand="1"/>
      </w:tblPr>
      <w:tblGrid>
        <w:gridCol w:w="1350"/>
        <w:gridCol w:w="1450"/>
        <w:gridCol w:w="4200"/>
        <w:gridCol w:w="2360"/>
      </w:tblGrid>
      <w:tr w:rsidR="00CD51E3" w:rsidRPr="00556D49" w14:paraId="482F012E" w14:textId="77777777">
        <w:trPr>
          <w:tblHeader/>
        </w:trPr>
        <w:tc>
          <w:tcPr>
            <w:tcW w:w="1350" w:type="dxa"/>
            <w:shd w:val="clear" w:color="auto" w:fill="EDEDED"/>
            <w:tcMar>
              <w:top w:w="80" w:type="dxa"/>
              <w:left w:w="120" w:type="dxa"/>
              <w:bottom w:w="80" w:type="dxa"/>
              <w:right w:w="120" w:type="dxa"/>
            </w:tcMar>
            <w:vAlign w:val="center"/>
          </w:tcPr>
          <w:p w14:paraId="51AC0589" w14:textId="77777777" w:rsidR="00CD51E3" w:rsidRPr="00D858FB" w:rsidRDefault="00000000">
            <w:pPr>
              <w:spacing w:after="40" w:line="240" w:lineRule="auto"/>
              <w:jc w:val="left"/>
              <w:rPr>
                <w:sz w:val="24"/>
                <w:szCs w:val="24"/>
              </w:rPr>
            </w:pPr>
            <w:r w:rsidRPr="00D858FB">
              <w:rPr>
                <w:rFonts w:eastAsia="Times New Roman"/>
                <w:b/>
                <w:sz w:val="24"/>
                <w:szCs w:val="24"/>
              </w:rPr>
              <w:t>Phase</w:t>
            </w:r>
          </w:p>
        </w:tc>
        <w:tc>
          <w:tcPr>
            <w:tcW w:w="1450" w:type="dxa"/>
            <w:shd w:val="clear" w:color="auto" w:fill="EDEDED"/>
            <w:tcMar>
              <w:top w:w="80" w:type="dxa"/>
              <w:left w:w="120" w:type="dxa"/>
              <w:bottom w:w="80" w:type="dxa"/>
              <w:right w:w="120" w:type="dxa"/>
            </w:tcMar>
            <w:vAlign w:val="center"/>
          </w:tcPr>
          <w:p w14:paraId="4F5D3BAD" w14:textId="77777777" w:rsidR="00CD51E3" w:rsidRPr="00D858FB" w:rsidRDefault="00000000">
            <w:pPr>
              <w:spacing w:after="40" w:line="240" w:lineRule="auto"/>
              <w:jc w:val="left"/>
              <w:rPr>
                <w:sz w:val="24"/>
                <w:szCs w:val="24"/>
              </w:rPr>
            </w:pPr>
            <w:r w:rsidRPr="00D858FB">
              <w:rPr>
                <w:rFonts w:eastAsia="Times New Roman"/>
                <w:b/>
                <w:sz w:val="24"/>
                <w:szCs w:val="24"/>
              </w:rPr>
              <w:t>Timing</w:t>
            </w:r>
          </w:p>
        </w:tc>
        <w:tc>
          <w:tcPr>
            <w:tcW w:w="4200" w:type="dxa"/>
            <w:shd w:val="clear" w:color="auto" w:fill="EDEDED"/>
            <w:tcMar>
              <w:top w:w="80" w:type="dxa"/>
              <w:left w:w="120" w:type="dxa"/>
              <w:bottom w:w="80" w:type="dxa"/>
              <w:right w:w="120" w:type="dxa"/>
            </w:tcMar>
            <w:vAlign w:val="center"/>
          </w:tcPr>
          <w:p w14:paraId="46C72CB2" w14:textId="77777777" w:rsidR="00CD51E3" w:rsidRPr="00D858FB" w:rsidRDefault="00000000">
            <w:pPr>
              <w:spacing w:after="40" w:line="240" w:lineRule="auto"/>
              <w:jc w:val="left"/>
              <w:rPr>
                <w:sz w:val="24"/>
                <w:szCs w:val="24"/>
              </w:rPr>
            </w:pPr>
            <w:r w:rsidRPr="00D858FB">
              <w:rPr>
                <w:rFonts w:eastAsia="Times New Roman"/>
                <w:b/>
                <w:sz w:val="24"/>
                <w:szCs w:val="24"/>
              </w:rPr>
              <w:t>Core measurements</w:t>
            </w:r>
          </w:p>
        </w:tc>
        <w:tc>
          <w:tcPr>
            <w:tcW w:w="2360" w:type="dxa"/>
            <w:shd w:val="clear" w:color="auto" w:fill="EDEDED"/>
            <w:tcMar>
              <w:top w:w="80" w:type="dxa"/>
              <w:left w:w="120" w:type="dxa"/>
              <w:bottom w:w="80" w:type="dxa"/>
              <w:right w:w="120" w:type="dxa"/>
            </w:tcMar>
            <w:vAlign w:val="center"/>
          </w:tcPr>
          <w:p w14:paraId="620A8220" w14:textId="77777777" w:rsidR="00CD51E3" w:rsidRPr="00D858FB" w:rsidRDefault="00000000">
            <w:pPr>
              <w:spacing w:after="40" w:line="240" w:lineRule="auto"/>
              <w:jc w:val="left"/>
              <w:rPr>
                <w:sz w:val="24"/>
                <w:szCs w:val="24"/>
              </w:rPr>
            </w:pPr>
            <w:r w:rsidRPr="00D858FB">
              <w:rPr>
                <w:rFonts w:eastAsia="Times New Roman"/>
                <w:b/>
                <w:sz w:val="24"/>
                <w:szCs w:val="24"/>
              </w:rPr>
              <w:t>Primary inference</w:t>
            </w:r>
          </w:p>
        </w:tc>
      </w:tr>
      <w:tr w:rsidR="00CD51E3" w:rsidRPr="00556D49" w14:paraId="7A7FED12" w14:textId="77777777">
        <w:tc>
          <w:tcPr>
            <w:tcW w:w="1350" w:type="dxa"/>
            <w:tcMar>
              <w:top w:w="80" w:type="dxa"/>
              <w:left w:w="120" w:type="dxa"/>
              <w:bottom w:w="80" w:type="dxa"/>
              <w:right w:w="120" w:type="dxa"/>
            </w:tcMar>
            <w:vAlign w:val="center"/>
          </w:tcPr>
          <w:p w14:paraId="4E4D2FB5" w14:textId="77777777" w:rsidR="00CD51E3" w:rsidRPr="00D858FB" w:rsidRDefault="00000000">
            <w:pPr>
              <w:spacing w:after="40" w:line="240" w:lineRule="auto"/>
              <w:jc w:val="left"/>
              <w:rPr>
                <w:sz w:val="24"/>
                <w:szCs w:val="24"/>
              </w:rPr>
            </w:pPr>
            <w:r w:rsidRPr="00D858FB">
              <w:rPr>
                <w:rFonts w:eastAsia="Times New Roman"/>
                <w:sz w:val="24"/>
                <w:szCs w:val="24"/>
              </w:rPr>
              <w:t>Baseline</w:t>
            </w:r>
          </w:p>
        </w:tc>
        <w:tc>
          <w:tcPr>
            <w:tcW w:w="1450" w:type="dxa"/>
            <w:tcMar>
              <w:top w:w="80" w:type="dxa"/>
              <w:left w:w="120" w:type="dxa"/>
              <w:bottom w:w="80" w:type="dxa"/>
              <w:right w:w="120" w:type="dxa"/>
            </w:tcMar>
            <w:vAlign w:val="center"/>
          </w:tcPr>
          <w:p w14:paraId="022BFF1C" w14:textId="77777777" w:rsidR="00CD51E3" w:rsidRPr="00D858FB" w:rsidRDefault="00000000">
            <w:pPr>
              <w:spacing w:after="40" w:line="240" w:lineRule="auto"/>
              <w:jc w:val="left"/>
              <w:rPr>
                <w:sz w:val="24"/>
                <w:szCs w:val="24"/>
              </w:rPr>
            </w:pPr>
            <w:r w:rsidRPr="00D858FB">
              <w:rPr>
                <w:rFonts w:eastAsia="Times New Roman"/>
                <w:sz w:val="24"/>
                <w:szCs w:val="24"/>
              </w:rPr>
              <w:t>Seasonally repeated, annually</w:t>
            </w:r>
          </w:p>
        </w:tc>
        <w:tc>
          <w:tcPr>
            <w:tcW w:w="4200" w:type="dxa"/>
            <w:tcMar>
              <w:top w:w="80" w:type="dxa"/>
              <w:left w:w="120" w:type="dxa"/>
              <w:bottom w:w="80" w:type="dxa"/>
              <w:right w:w="120" w:type="dxa"/>
            </w:tcMar>
            <w:vAlign w:val="center"/>
          </w:tcPr>
          <w:p w14:paraId="6CE68C2B" w14:textId="77777777" w:rsidR="00CD51E3" w:rsidRPr="00D858FB" w:rsidRDefault="00000000">
            <w:pPr>
              <w:spacing w:after="40" w:line="240" w:lineRule="auto"/>
              <w:jc w:val="left"/>
              <w:rPr>
                <w:sz w:val="24"/>
                <w:szCs w:val="24"/>
              </w:rPr>
            </w:pPr>
            <w:r w:rsidRPr="00D858FB">
              <w:rPr>
                <w:rFonts w:eastAsia="Times New Roman"/>
                <w:sz w:val="24"/>
                <w:szCs w:val="24"/>
              </w:rPr>
              <w:t>Discharge; sediment; channel units; benthos; fish CPUE/eDNA; macrophytes; megafauna; water quality</w:t>
            </w:r>
          </w:p>
        </w:tc>
        <w:tc>
          <w:tcPr>
            <w:tcW w:w="2360" w:type="dxa"/>
            <w:tcMar>
              <w:top w:w="80" w:type="dxa"/>
              <w:left w:w="120" w:type="dxa"/>
              <w:bottom w:w="80" w:type="dxa"/>
              <w:right w:w="120" w:type="dxa"/>
            </w:tcMar>
            <w:vAlign w:val="center"/>
          </w:tcPr>
          <w:p w14:paraId="639C33E6" w14:textId="77777777" w:rsidR="00CD51E3" w:rsidRPr="00D858FB" w:rsidRDefault="00000000">
            <w:pPr>
              <w:spacing w:after="40" w:line="240" w:lineRule="auto"/>
              <w:jc w:val="left"/>
              <w:rPr>
                <w:sz w:val="24"/>
                <w:szCs w:val="24"/>
              </w:rPr>
            </w:pPr>
            <w:r w:rsidRPr="00D858FB">
              <w:rPr>
                <w:rFonts w:eastAsia="Times New Roman"/>
                <w:sz w:val="24"/>
                <w:szCs w:val="24"/>
              </w:rPr>
              <w:t>Natural seasonal range and site trends</w:t>
            </w:r>
          </w:p>
        </w:tc>
      </w:tr>
      <w:tr w:rsidR="00CD51E3" w:rsidRPr="00556D49" w14:paraId="77203917" w14:textId="77777777">
        <w:tc>
          <w:tcPr>
            <w:tcW w:w="1350" w:type="dxa"/>
            <w:tcMar>
              <w:top w:w="80" w:type="dxa"/>
              <w:left w:w="120" w:type="dxa"/>
              <w:bottom w:w="80" w:type="dxa"/>
              <w:right w:w="120" w:type="dxa"/>
            </w:tcMar>
            <w:vAlign w:val="center"/>
          </w:tcPr>
          <w:p w14:paraId="18B6C8AC" w14:textId="77777777" w:rsidR="00CD51E3" w:rsidRPr="00D858FB" w:rsidRDefault="00000000">
            <w:pPr>
              <w:spacing w:after="40" w:line="240" w:lineRule="auto"/>
              <w:jc w:val="left"/>
              <w:rPr>
                <w:sz w:val="24"/>
                <w:szCs w:val="24"/>
              </w:rPr>
            </w:pPr>
            <w:r w:rsidRPr="00D858FB">
              <w:rPr>
                <w:rFonts w:eastAsia="Times New Roman"/>
                <w:sz w:val="24"/>
                <w:szCs w:val="24"/>
              </w:rPr>
              <w:t>Acute response</w:t>
            </w:r>
          </w:p>
        </w:tc>
        <w:tc>
          <w:tcPr>
            <w:tcW w:w="1450" w:type="dxa"/>
            <w:tcMar>
              <w:top w:w="80" w:type="dxa"/>
              <w:left w:w="120" w:type="dxa"/>
              <w:bottom w:w="80" w:type="dxa"/>
              <w:right w:w="120" w:type="dxa"/>
            </w:tcMar>
            <w:vAlign w:val="center"/>
          </w:tcPr>
          <w:p w14:paraId="373D2F26" w14:textId="77777777" w:rsidR="00CD51E3" w:rsidRPr="00D858FB" w:rsidRDefault="00000000">
            <w:pPr>
              <w:spacing w:after="40" w:line="240" w:lineRule="auto"/>
              <w:jc w:val="left"/>
              <w:rPr>
                <w:sz w:val="24"/>
                <w:szCs w:val="24"/>
              </w:rPr>
            </w:pPr>
            <w:r w:rsidRPr="00D858FB">
              <w:rPr>
                <w:rFonts w:eastAsia="Times New Roman"/>
                <w:sz w:val="24"/>
                <w:szCs w:val="24"/>
              </w:rPr>
              <w:t>0-72 h when safe</w:t>
            </w:r>
          </w:p>
        </w:tc>
        <w:tc>
          <w:tcPr>
            <w:tcW w:w="4200" w:type="dxa"/>
            <w:tcMar>
              <w:top w:w="80" w:type="dxa"/>
              <w:left w:w="120" w:type="dxa"/>
              <w:bottom w:w="80" w:type="dxa"/>
              <w:right w:w="120" w:type="dxa"/>
            </w:tcMar>
            <w:vAlign w:val="center"/>
          </w:tcPr>
          <w:p w14:paraId="41469547" w14:textId="77777777" w:rsidR="00CD51E3" w:rsidRPr="00D858FB" w:rsidRDefault="00000000">
            <w:pPr>
              <w:spacing w:after="40" w:line="240" w:lineRule="auto"/>
              <w:jc w:val="left"/>
              <w:rPr>
                <w:sz w:val="24"/>
                <w:szCs w:val="24"/>
              </w:rPr>
            </w:pPr>
            <w:r w:rsidRPr="00D858FB">
              <w:rPr>
                <w:rFonts w:eastAsia="Times New Roman"/>
                <w:sz w:val="24"/>
                <w:szCs w:val="24"/>
              </w:rPr>
              <w:t>Event hydrograph; turbidity; erosion/deposition; kills and strandings; contaminant releases</w:t>
            </w:r>
          </w:p>
        </w:tc>
        <w:tc>
          <w:tcPr>
            <w:tcW w:w="2360" w:type="dxa"/>
            <w:tcMar>
              <w:top w:w="80" w:type="dxa"/>
              <w:left w:w="120" w:type="dxa"/>
              <w:bottom w:w="80" w:type="dxa"/>
              <w:right w:w="120" w:type="dxa"/>
            </w:tcMar>
            <w:vAlign w:val="center"/>
          </w:tcPr>
          <w:p w14:paraId="4BD9A1C7" w14:textId="77777777" w:rsidR="00CD51E3" w:rsidRPr="00D858FB" w:rsidRDefault="00000000">
            <w:pPr>
              <w:spacing w:after="40" w:line="240" w:lineRule="auto"/>
              <w:jc w:val="left"/>
              <w:rPr>
                <w:sz w:val="24"/>
                <w:szCs w:val="24"/>
              </w:rPr>
            </w:pPr>
            <w:r w:rsidRPr="00D858FB">
              <w:rPr>
                <w:rFonts w:eastAsia="Times New Roman"/>
                <w:sz w:val="24"/>
                <w:szCs w:val="24"/>
              </w:rPr>
              <w:t>Exposure footprint and immediate mortality/displacement</w:t>
            </w:r>
          </w:p>
        </w:tc>
      </w:tr>
      <w:tr w:rsidR="00CD51E3" w:rsidRPr="00556D49" w14:paraId="1BD4FCC2" w14:textId="77777777">
        <w:tc>
          <w:tcPr>
            <w:tcW w:w="1350" w:type="dxa"/>
            <w:tcMar>
              <w:top w:w="80" w:type="dxa"/>
              <w:left w:w="120" w:type="dxa"/>
              <w:bottom w:w="80" w:type="dxa"/>
              <w:right w:w="120" w:type="dxa"/>
            </w:tcMar>
            <w:vAlign w:val="center"/>
          </w:tcPr>
          <w:p w14:paraId="2A3B137B" w14:textId="77777777" w:rsidR="00CD51E3" w:rsidRPr="00D858FB" w:rsidRDefault="00000000">
            <w:pPr>
              <w:spacing w:after="40" w:line="240" w:lineRule="auto"/>
              <w:jc w:val="left"/>
              <w:rPr>
                <w:sz w:val="24"/>
                <w:szCs w:val="24"/>
              </w:rPr>
            </w:pPr>
            <w:r w:rsidRPr="00D858FB">
              <w:rPr>
                <w:rFonts w:eastAsia="Times New Roman"/>
                <w:sz w:val="24"/>
                <w:szCs w:val="24"/>
              </w:rPr>
              <w:t>Early recovery</w:t>
            </w:r>
          </w:p>
        </w:tc>
        <w:tc>
          <w:tcPr>
            <w:tcW w:w="1450" w:type="dxa"/>
            <w:tcMar>
              <w:top w:w="80" w:type="dxa"/>
              <w:left w:w="120" w:type="dxa"/>
              <w:bottom w:w="80" w:type="dxa"/>
              <w:right w:w="120" w:type="dxa"/>
            </w:tcMar>
            <w:vAlign w:val="center"/>
          </w:tcPr>
          <w:p w14:paraId="37670D5B" w14:textId="77777777" w:rsidR="00CD51E3" w:rsidRPr="00D858FB" w:rsidRDefault="00000000">
            <w:pPr>
              <w:spacing w:after="40" w:line="240" w:lineRule="auto"/>
              <w:jc w:val="left"/>
              <w:rPr>
                <w:sz w:val="24"/>
                <w:szCs w:val="24"/>
              </w:rPr>
            </w:pPr>
            <w:r w:rsidRPr="00D858FB">
              <w:rPr>
                <w:rFonts w:eastAsia="Times New Roman"/>
                <w:sz w:val="24"/>
                <w:szCs w:val="24"/>
              </w:rPr>
              <w:t>1-4 weeks</w:t>
            </w:r>
          </w:p>
        </w:tc>
        <w:tc>
          <w:tcPr>
            <w:tcW w:w="4200" w:type="dxa"/>
            <w:tcMar>
              <w:top w:w="80" w:type="dxa"/>
              <w:left w:w="120" w:type="dxa"/>
              <w:bottom w:w="80" w:type="dxa"/>
              <w:right w:w="120" w:type="dxa"/>
            </w:tcMar>
            <w:vAlign w:val="center"/>
          </w:tcPr>
          <w:p w14:paraId="07783454" w14:textId="77777777" w:rsidR="00CD51E3" w:rsidRPr="00D858FB" w:rsidRDefault="00000000">
            <w:pPr>
              <w:spacing w:after="40" w:line="240" w:lineRule="auto"/>
              <w:jc w:val="left"/>
              <w:rPr>
                <w:sz w:val="24"/>
                <w:szCs w:val="24"/>
              </w:rPr>
            </w:pPr>
            <w:r w:rsidRPr="00D858FB">
              <w:rPr>
                <w:rFonts w:eastAsia="Times New Roman"/>
                <w:sz w:val="24"/>
                <w:szCs w:val="24"/>
              </w:rPr>
              <w:t>Habitat mosaic; sediment infiltration; benthos; fish size structure; isolated pools; oxygen</w:t>
            </w:r>
          </w:p>
        </w:tc>
        <w:tc>
          <w:tcPr>
            <w:tcW w:w="2360" w:type="dxa"/>
            <w:tcMar>
              <w:top w:w="80" w:type="dxa"/>
              <w:left w:w="120" w:type="dxa"/>
              <w:bottom w:w="80" w:type="dxa"/>
              <w:right w:w="120" w:type="dxa"/>
            </w:tcMar>
            <w:vAlign w:val="center"/>
          </w:tcPr>
          <w:p w14:paraId="297C2CF2" w14:textId="77777777" w:rsidR="00CD51E3" w:rsidRPr="00D858FB" w:rsidRDefault="00000000">
            <w:pPr>
              <w:spacing w:after="40" w:line="240" w:lineRule="auto"/>
              <w:jc w:val="left"/>
              <w:rPr>
                <w:sz w:val="24"/>
                <w:szCs w:val="24"/>
              </w:rPr>
            </w:pPr>
            <w:r w:rsidRPr="00D858FB">
              <w:rPr>
                <w:rFonts w:eastAsia="Times New Roman"/>
                <w:sz w:val="24"/>
                <w:szCs w:val="24"/>
              </w:rPr>
              <w:t>Recolonization, recruitment and delayed stress</w:t>
            </w:r>
          </w:p>
        </w:tc>
      </w:tr>
      <w:tr w:rsidR="00CD51E3" w:rsidRPr="00556D49" w14:paraId="302563E4" w14:textId="77777777">
        <w:tc>
          <w:tcPr>
            <w:tcW w:w="1350" w:type="dxa"/>
            <w:tcMar>
              <w:top w:w="80" w:type="dxa"/>
              <w:left w:w="120" w:type="dxa"/>
              <w:bottom w:w="80" w:type="dxa"/>
              <w:right w:w="120" w:type="dxa"/>
            </w:tcMar>
            <w:vAlign w:val="center"/>
          </w:tcPr>
          <w:p w14:paraId="54F164D5" w14:textId="77777777" w:rsidR="00CD51E3" w:rsidRPr="00D858FB" w:rsidRDefault="00000000">
            <w:pPr>
              <w:spacing w:after="40" w:line="240" w:lineRule="auto"/>
              <w:jc w:val="left"/>
              <w:rPr>
                <w:sz w:val="24"/>
                <w:szCs w:val="24"/>
              </w:rPr>
            </w:pPr>
            <w:r w:rsidRPr="00D858FB">
              <w:rPr>
                <w:rFonts w:eastAsia="Times New Roman"/>
                <w:sz w:val="24"/>
                <w:szCs w:val="24"/>
              </w:rPr>
              <w:lastRenderedPageBreak/>
              <w:t>Seasonal recovery</w:t>
            </w:r>
          </w:p>
        </w:tc>
        <w:tc>
          <w:tcPr>
            <w:tcW w:w="1450" w:type="dxa"/>
            <w:tcMar>
              <w:top w:w="80" w:type="dxa"/>
              <w:left w:w="120" w:type="dxa"/>
              <w:bottom w:w="80" w:type="dxa"/>
              <w:right w:w="120" w:type="dxa"/>
            </w:tcMar>
            <w:vAlign w:val="center"/>
          </w:tcPr>
          <w:p w14:paraId="4BB62EB9" w14:textId="77777777" w:rsidR="00CD51E3" w:rsidRPr="00D858FB" w:rsidRDefault="00000000">
            <w:pPr>
              <w:spacing w:after="40" w:line="240" w:lineRule="auto"/>
              <w:jc w:val="left"/>
              <w:rPr>
                <w:sz w:val="24"/>
                <w:szCs w:val="24"/>
              </w:rPr>
            </w:pPr>
            <w:r w:rsidRPr="00D858FB">
              <w:rPr>
                <w:rFonts w:eastAsia="Times New Roman"/>
                <w:sz w:val="24"/>
                <w:szCs w:val="24"/>
              </w:rPr>
              <w:t>3-6 months</w:t>
            </w:r>
          </w:p>
        </w:tc>
        <w:tc>
          <w:tcPr>
            <w:tcW w:w="4200" w:type="dxa"/>
            <w:tcMar>
              <w:top w:w="80" w:type="dxa"/>
              <w:left w:w="120" w:type="dxa"/>
              <w:bottom w:w="80" w:type="dxa"/>
              <w:right w:w="120" w:type="dxa"/>
            </w:tcMar>
            <w:vAlign w:val="center"/>
          </w:tcPr>
          <w:p w14:paraId="272B45E7" w14:textId="77777777" w:rsidR="00CD51E3" w:rsidRPr="00D858FB" w:rsidRDefault="00000000">
            <w:pPr>
              <w:spacing w:after="40" w:line="240" w:lineRule="auto"/>
              <w:jc w:val="left"/>
              <w:rPr>
                <w:sz w:val="24"/>
                <w:szCs w:val="24"/>
              </w:rPr>
            </w:pPr>
            <w:r w:rsidRPr="00D858FB">
              <w:rPr>
                <w:rFonts w:eastAsia="Times New Roman"/>
                <w:sz w:val="24"/>
                <w:szCs w:val="24"/>
              </w:rPr>
              <w:t>Repeat baseline methods at impact and control reaches</w:t>
            </w:r>
          </w:p>
        </w:tc>
        <w:tc>
          <w:tcPr>
            <w:tcW w:w="2360" w:type="dxa"/>
            <w:tcMar>
              <w:top w:w="80" w:type="dxa"/>
              <w:left w:w="120" w:type="dxa"/>
              <w:bottom w:w="80" w:type="dxa"/>
              <w:right w:w="120" w:type="dxa"/>
            </w:tcMar>
            <w:vAlign w:val="center"/>
          </w:tcPr>
          <w:p w14:paraId="42256877" w14:textId="77777777" w:rsidR="00CD51E3" w:rsidRPr="00D858FB" w:rsidRDefault="00000000">
            <w:pPr>
              <w:spacing w:after="40" w:line="240" w:lineRule="auto"/>
              <w:jc w:val="left"/>
              <w:rPr>
                <w:sz w:val="24"/>
                <w:szCs w:val="24"/>
              </w:rPr>
            </w:pPr>
            <w:r w:rsidRPr="00D858FB">
              <w:rPr>
                <w:rFonts w:eastAsia="Times New Roman"/>
                <w:sz w:val="24"/>
                <w:szCs w:val="24"/>
              </w:rPr>
              <w:t>Resistance versus recovery, seasonally matched</w:t>
            </w:r>
          </w:p>
        </w:tc>
      </w:tr>
      <w:tr w:rsidR="00CD51E3" w:rsidRPr="00556D49" w14:paraId="0D7580A0" w14:textId="77777777">
        <w:tc>
          <w:tcPr>
            <w:tcW w:w="1350" w:type="dxa"/>
            <w:tcMar>
              <w:top w:w="80" w:type="dxa"/>
              <w:left w:w="120" w:type="dxa"/>
              <w:bottom w:w="80" w:type="dxa"/>
              <w:right w:w="120" w:type="dxa"/>
            </w:tcMar>
            <w:vAlign w:val="center"/>
          </w:tcPr>
          <w:p w14:paraId="2575E052" w14:textId="77777777" w:rsidR="00CD51E3" w:rsidRPr="00D858FB" w:rsidRDefault="00000000">
            <w:pPr>
              <w:spacing w:after="40" w:line="240" w:lineRule="auto"/>
              <w:jc w:val="left"/>
              <w:rPr>
                <w:sz w:val="24"/>
                <w:szCs w:val="24"/>
              </w:rPr>
            </w:pPr>
            <w:r w:rsidRPr="00D858FB">
              <w:rPr>
                <w:rFonts w:eastAsia="Times New Roman"/>
                <w:sz w:val="24"/>
                <w:szCs w:val="24"/>
              </w:rPr>
              <w:t>Long-term recovery</w:t>
            </w:r>
          </w:p>
        </w:tc>
        <w:tc>
          <w:tcPr>
            <w:tcW w:w="1450" w:type="dxa"/>
            <w:tcMar>
              <w:top w:w="80" w:type="dxa"/>
              <w:left w:w="120" w:type="dxa"/>
              <w:bottom w:w="80" w:type="dxa"/>
              <w:right w:w="120" w:type="dxa"/>
            </w:tcMar>
            <w:vAlign w:val="center"/>
          </w:tcPr>
          <w:p w14:paraId="362B6FFF" w14:textId="77777777" w:rsidR="00CD51E3" w:rsidRPr="00D858FB" w:rsidRDefault="00000000">
            <w:pPr>
              <w:spacing w:after="40" w:line="240" w:lineRule="auto"/>
              <w:jc w:val="left"/>
              <w:rPr>
                <w:sz w:val="24"/>
                <w:szCs w:val="24"/>
              </w:rPr>
            </w:pPr>
            <w:r w:rsidRPr="00D858FB">
              <w:rPr>
                <w:rFonts w:eastAsia="Times New Roman"/>
                <w:sz w:val="24"/>
                <w:szCs w:val="24"/>
              </w:rPr>
              <w:t>12-24 months</w:t>
            </w:r>
          </w:p>
        </w:tc>
        <w:tc>
          <w:tcPr>
            <w:tcW w:w="4200" w:type="dxa"/>
            <w:tcMar>
              <w:top w:w="80" w:type="dxa"/>
              <w:left w:w="120" w:type="dxa"/>
              <w:bottom w:w="80" w:type="dxa"/>
              <w:right w:w="120" w:type="dxa"/>
            </w:tcMar>
            <w:vAlign w:val="center"/>
          </w:tcPr>
          <w:p w14:paraId="3B746B0B" w14:textId="77777777" w:rsidR="00CD51E3" w:rsidRPr="00D858FB" w:rsidRDefault="00000000">
            <w:pPr>
              <w:spacing w:after="40" w:line="240" w:lineRule="auto"/>
              <w:jc w:val="left"/>
              <w:rPr>
                <w:sz w:val="24"/>
                <w:szCs w:val="24"/>
              </w:rPr>
            </w:pPr>
            <w:r w:rsidRPr="00D858FB">
              <w:rPr>
                <w:rFonts w:eastAsia="Times New Roman"/>
                <w:sz w:val="24"/>
                <w:szCs w:val="24"/>
              </w:rPr>
              <w:t>Community composition and traits; geomorphic persistence; connectivity; repeated events</w:t>
            </w:r>
          </w:p>
        </w:tc>
        <w:tc>
          <w:tcPr>
            <w:tcW w:w="2360" w:type="dxa"/>
            <w:tcMar>
              <w:top w:w="80" w:type="dxa"/>
              <w:left w:w="120" w:type="dxa"/>
              <w:bottom w:w="80" w:type="dxa"/>
              <w:right w:w="120" w:type="dxa"/>
            </w:tcMar>
            <w:vAlign w:val="center"/>
          </w:tcPr>
          <w:p w14:paraId="7C3B63ED" w14:textId="77777777" w:rsidR="00CD51E3" w:rsidRPr="00D858FB" w:rsidRDefault="00000000">
            <w:pPr>
              <w:spacing w:after="40" w:line="240" w:lineRule="auto"/>
              <w:jc w:val="left"/>
              <w:rPr>
                <w:sz w:val="24"/>
                <w:szCs w:val="24"/>
              </w:rPr>
            </w:pPr>
            <w:r w:rsidRPr="00D858FB">
              <w:rPr>
                <w:rFonts w:eastAsia="Times New Roman"/>
                <w:sz w:val="24"/>
                <w:szCs w:val="24"/>
              </w:rPr>
              <w:t>Return, alternative state, or compounding pressure</w:t>
            </w:r>
          </w:p>
        </w:tc>
      </w:tr>
    </w:tbl>
    <w:p w14:paraId="6FD4219C" w14:textId="77777777" w:rsidR="004D5108" w:rsidRPr="00D858FB" w:rsidRDefault="000F4C3F">
      <w:pPr>
        <w:spacing w:before="80" w:after="80"/>
        <w:rPr>
          <w:rFonts w:eastAsia="Times New Roman"/>
          <w:i/>
          <w:sz w:val="24"/>
          <w:szCs w:val="24"/>
        </w:rPr>
      </w:pPr>
      <w:r>
        <w:rPr>
          <w:rFonts w:eastAsia="Times New Roman"/>
          <w:i/>
          <w:sz w:val="24"/>
          <w:szCs w:val="24"/>
        </w:rPr>
        <w:t xml:space="preserve">Note. Sampling should use </w:t>
      </w:r>
      <w:proofErr w:type="spellStart"/>
      <w:r>
        <w:rPr>
          <w:rFonts w:eastAsia="Times New Roman"/>
          <w:i/>
          <w:sz w:val="24"/>
          <w:szCs w:val="24"/>
          <w:highlight w:val="yellow"/>
        </w:rPr>
        <w:t>standardised</w:t>
      </w:r>
      <w:proofErr w:type="spellEnd"/>
      <w:r>
        <w:rPr>
          <w:rFonts w:eastAsia="Times New Roman"/>
          <w:i/>
          <w:sz w:val="24"/>
          <w:szCs w:val="24"/>
          <w:highlight w:val="yellow"/>
        </w:rPr>
        <w:t xml:space="preserve"> methods</w:t>
      </w:r>
      <w:r>
        <w:rPr>
          <w:rFonts w:eastAsia="Times New Roman"/>
          <w:i/>
          <w:sz w:val="24"/>
          <w:szCs w:val="24"/>
        </w:rPr>
        <w:t xml:space="preserve"> and, wherever possible, a before–after–control–impact design with seasonally matched reference reaches. Monitoring intervals may be adjusted according to accessibility, river size, flood magnitude and taxon-specific generation times. CPUE, catch per unit effort; eDNA, environmental DNA.</w:t>
      </w:r>
    </w:p>
    <w:p w14:paraId="381A534F" w14:textId="77777777" w:rsidR="005D1593" w:rsidRDefault="005D1593">
      <w:pPr>
        <w:spacing w:before="80" w:after="80"/>
        <w:rPr>
          <w:iCs/>
          <w:sz w:val="24"/>
          <w:szCs w:val="24"/>
        </w:rPr>
      </w:pPr>
    </w:p>
    <w:p w14:paraId="64FADE6E" w14:textId="77777777" w:rsidR="004D5108" w:rsidRDefault="004D5108">
      <w:pPr>
        <w:spacing w:before="80" w:after="80"/>
        <w:rPr>
          <w:iCs/>
          <w:sz w:val="24"/>
          <w:szCs w:val="24"/>
        </w:rPr>
      </w:pPr>
      <w:r w:rsidRPr="00D858FB">
        <w:rPr>
          <w:noProof/>
          <w:sz w:val="24"/>
          <w:szCs w:val="24"/>
        </w:rPr>
        <w:drawing>
          <wp:inline distT="0" distB="0" distL="0" distR="0" wp14:anchorId="54F74751" wp14:editId="7AFFF60A">
            <wp:extent cx="5943600" cy="3591560"/>
            <wp:effectExtent l="0" t="0" r="0" b="8890"/>
            <wp:docPr id="18993585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46">
                      <a:extLst>
                        <a:ext uri="{28A0092B-C50C-407E-A947-70E740481C1C}">
                          <a14:useLocalDpi xmlns:a14="http://schemas.microsoft.com/office/drawing/2010/main" val="0"/>
                        </a:ext>
                      </a:extLst>
                    </a:blip>
                    <a:srcRect/>
                    <a:stretch>
                      <a:fillRect/>
                    </a:stretch>
                  </pic:blipFill>
                  <pic:spPr bwMode="auto">
                    <a:xfrm>
                      <a:off x="0" y="0"/>
                      <a:ext cx="5943600" cy="3591560"/>
                    </a:xfrm>
                    <a:prstGeom prst="rect">
                      <a:avLst/>
                    </a:prstGeom>
                    <a:noFill/>
                    <a:ln>
                      <a:noFill/>
                    </a:ln>
                  </pic:spPr>
                </pic:pic>
              </a:graphicData>
            </a:graphic>
          </wp:inline>
        </w:drawing>
      </w:r>
    </w:p>
    <w:p w14:paraId="07340EE9" w14:textId="77777777" w:rsidR="005D1593" w:rsidRPr="00D858FB" w:rsidRDefault="005D1593">
      <w:pPr>
        <w:spacing w:before="80" w:after="80"/>
        <w:rPr>
          <w:iCs/>
          <w:sz w:val="24"/>
          <w:szCs w:val="24"/>
        </w:rPr>
      </w:pPr>
      <w:r w:rsidRPr="00A77F13">
        <w:rPr>
          <w:rStyle w:val="Strong"/>
          <w:sz w:val="24"/>
          <w:szCs w:val="24"/>
        </w:rPr>
        <w:t>Figure 1.</w:t>
      </w:r>
      <w:r w:rsidRPr="00A77F13">
        <w:rPr>
          <w:sz w:val="24"/>
          <w:szCs w:val="24"/>
        </w:rPr>
        <w:t xml:space="preserve"> Conceptual pathway linking extreme rainfall and flood generation to freshwater biological responses in Nepal.</w:t>
      </w:r>
    </w:p>
    <w:sectPr w:rsidR="005D1593" w:rsidRPr="00D858FB" w:rsidSect="008F6D70">
      <w:headerReference w:type="even" r:id="rId47"/>
      <w:headerReference w:type="default" r:id="rId48"/>
      <w:footerReference w:type="even" r:id="rId49"/>
      <w:footerReference w:type="default" r:id="rId50"/>
      <w:headerReference w:type="first" r:id="rId51"/>
      <w:footerReference w:type="first" r:id="rId52"/>
      <w:pgSz w:w="12240" w:h="15840"/>
      <w:pgMar w:top="1440" w:right="1440" w:bottom="1440" w:left="1440" w:header="708" w:footer="708"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63ABC1F" w14:textId="77777777" w:rsidR="00E75983" w:rsidRDefault="00E75983">
      <w:pPr>
        <w:spacing w:after="0" w:line="240" w:lineRule="auto"/>
      </w:pPr>
      <w:r>
        <w:separator/>
      </w:r>
    </w:p>
  </w:endnote>
  <w:endnote w:type="continuationSeparator" w:id="0">
    <w:p w14:paraId="0103D59B" w14:textId="77777777" w:rsidR="00E75983" w:rsidRDefault="00E7598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Kartika">
    <w:charset w:val="00"/>
    <w:family w:val="roman"/>
    <w:pitch w:val="variable"/>
    <w:sig w:usb0="00800003" w:usb1="00000000" w:usb2="00000000" w:usb3="00000000" w:csb0="00000001" w:csb1="00000000"/>
  </w:font>
  <w:font w:name="Calibri">
    <w:panose1 w:val="020F0502020204030204"/>
    <w:charset w:val="00"/>
    <w:family w:val="swiss"/>
    <w:pitch w:val="variable"/>
    <w:sig w:usb0="E4002E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F564453" w14:textId="77777777" w:rsidR="005454BE" w:rsidRDefault="005454BE">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E274869" w14:textId="77777777" w:rsidR="00CD51E3" w:rsidRDefault="00000000">
    <w:pPr>
      <w:pStyle w:val="Footer"/>
      <w:jc w:val="right"/>
    </w:pPr>
    <w:r>
      <w:rPr>
        <w:rFonts w:eastAsia="Times New Roman"/>
        <w:color w:val="555555"/>
        <w:sz w:val="18"/>
      </w:rPr>
      <w:t xml:space="preserve">Page </w:t>
    </w:r>
    <w:r>
      <w:rPr>
        <w:rFonts w:eastAsia="Times New Roman"/>
        <w:color w:val="555555"/>
        <w:sz w:val="18"/>
      </w:rPr>
      <w:fldChar w:fldCharType="begin"/>
    </w:r>
    <w:r>
      <w:rPr>
        <w:rFonts w:eastAsia="Times New Roman"/>
        <w:color w:val="555555"/>
        <w:sz w:val="18"/>
      </w:rPr>
      <w:instrText xml:space="preserve"> PAGE </w:instrText>
    </w:r>
    <w:r>
      <w:rPr>
        <w:rFonts w:eastAsia="Times New Roman"/>
        <w:color w:val="555555"/>
        <w:sz w:val="18"/>
      </w:rPr>
      <w:fldChar w:fldCharType="separate"/>
    </w:r>
    <w:r w:rsidR="00367694">
      <w:rPr>
        <w:rFonts w:eastAsia="Times New Roman"/>
        <w:noProof/>
        <w:color w:val="555555"/>
        <w:sz w:val="18"/>
      </w:rPr>
      <w:t>1</w:t>
    </w:r>
    <w:r>
      <w:rPr>
        <w:rFonts w:eastAsia="Times New Roman"/>
        <w:color w:val="555555"/>
        <w:sz w:val="18"/>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C146953" w14:textId="77777777" w:rsidR="005454BE" w:rsidRDefault="005454BE">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55B7278" w14:textId="77777777" w:rsidR="00E75983" w:rsidRDefault="00E75983">
      <w:pPr>
        <w:spacing w:after="0" w:line="240" w:lineRule="auto"/>
      </w:pPr>
      <w:r>
        <w:separator/>
      </w:r>
    </w:p>
  </w:footnote>
  <w:footnote w:type="continuationSeparator" w:id="0">
    <w:p w14:paraId="0F864FC2" w14:textId="77777777" w:rsidR="00E75983" w:rsidRDefault="00E75983">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1DC914D" w14:textId="77777777" w:rsidR="005454BE" w:rsidRDefault="00000000">
    <w:pPr>
      <w:pStyle w:val="Header"/>
    </w:pPr>
    <w:r>
      <w:rPr>
        <w:noProof/>
      </w:rPr>
      <w:pict w14:anchorId="07E44DEE">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28833313" o:spid="_x0000_s1026" type="#_x0000_t136" style="position:absolute;left:0;text-align:left;margin-left:0;margin-top:0;width:593.85pt;height:65.95pt;rotation:315;z-index:-251655168;mso-position-horizontal:center;mso-position-horizontal-relative:margin;mso-position-vertical:center;mso-position-vertical-relative:margin" o:allowincell="f" fillcolor="silver" stroked="f">
          <v:fill opacity=".5"/>
          <v:textpath style="font-family:&quot;Times New Roman&quot;;font-size:1pt" string="UNDER PEER REVIEW"/>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E36EA42" w14:textId="77777777" w:rsidR="00CD51E3" w:rsidRDefault="00000000">
    <w:pPr>
      <w:pStyle w:val="Header"/>
      <w:jc w:val="right"/>
    </w:pPr>
    <w:r>
      <w:rPr>
        <w:noProof/>
      </w:rPr>
      <w:pict w14:anchorId="3DFD36B6">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28833314" o:spid="_x0000_s1027" type="#_x0000_t136" style="position:absolute;left:0;text-align:left;margin-left:0;margin-top:0;width:593.85pt;height:65.95pt;rotation:315;z-index:-251653120;mso-position-horizontal:center;mso-position-horizontal-relative:margin;mso-position-vertical:center;mso-position-vertical-relative:margin" o:allowincell="f" fillcolor="silver" stroked="f">
          <v:fill opacity=".5"/>
          <v:textpath style="font-family:&quot;Times New Roman&quot;;font-size:1pt" string="UNDER PEER REVIEW"/>
          <w10:wrap anchorx="margin" anchory="margin"/>
        </v:shape>
      </w:pic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F3547B2" w14:textId="77777777" w:rsidR="005454BE" w:rsidRDefault="00000000">
    <w:pPr>
      <w:pStyle w:val="Header"/>
    </w:pPr>
    <w:r>
      <w:rPr>
        <w:noProof/>
      </w:rPr>
      <w:pict w14:anchorId="054D3999">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28833312" o:spid="_x0000_s1025" type="#_x0000_t136" style="position:absolute;left:0;text-align:left;margin-left:0;margin-top:0;width:593.85pt;height:65.95pt;rotation:315;z-index:-251657216;mso-position-horizontal:center;mso-position-horizontal-relative:margin;mso-position-vertical:center;mso-position-vertical-relative:margin" o:allowincell="f" fillcolor="silver" stroked="f">
          <v:fill opacity=".5"/>
          <v:textpath style="font-family:&quot;Times New Roman&quot;;font-size:1pt" string="UNDER PEER REVIEW"/>
          <w10:wrap anchorx="margin" anchory="margin"/>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20F76C95"/>
    <w:multiLevelType w:val="multilevel"/>
    <w:tmpl w:val="B8E81D4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2469116C"/>
    <w:multiLevelType w:val="hybridMultilevel"/>
    <w:tmpl w:val="26E6D260"/>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num w:numId="1" w16cid:durableId="1266963027">
    <w:abstractNumId w:val="8"/>
  </w:num>
  <w:num w:numId="2" w16cid:durableId="662662355">
    <w:abstractNumId w:val="6"/>
  </w:num>
  <w:num w:numId="3" w16cid:durableId="2146774526">
    <w:abstractNumId w:val="5"/>
  </w:num>
  <w:num w:numId="4" w16cid:durableId="1595819030">
    <w:abstractNumId w:val="4"/>
  </w:num>
  <w:num w:numId="5" w16cid:durableId="1453667656">
    <w:abstractNumId w:val="7"/>
  </w:num>
  <w:num w:numId="6" w16cid:durableId="384182390">
    <w:abstractNumId w:val="3"/>
  </w:num>
  <w:num w:numId="7" w16cid:durableId="494762297">
    <w:abstractNumId w:val="2"/>
  </w:num>
  <w:num w:numId="8" w16cid:durableId="2113471671">
    <w:abstractNumId w:val="1"/>
  </w:num>
  <w:num w:numId="9" w16cid:durableId="1048263377">
    <w:abstractNumId w:val="0"/>
  </w:num>
  <w:num w:numId="10" w16cid:durableId="868563788">
    <w:abstractNumId w:val="9"/>
  </w:num>
  <w:num w:numId="11" w16cid:durableId="1737899049">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34616"/>
    <w:rsid w:val="0005322E"/>
    <w:rsid w:val="00054628"/>
    <w:rsid w:val="00057B0E"/>
    <w:rsid w:val="0006063C"/>
    <w:rsid w:val="00064EC5"/>
    <w:rsid w:val="00066E71"/>
    <w:rsid w:val="000B4831"/>
    <w:rsid w:val="000B5C7C"/>
    <w:rsid w:val="000C6C0A"/>
    <w:rsid w:val="000E358F"/>
    <w:rsid w:val="000F4C3F"/>
    <w:rsid w:val="000F65F9"/>
    <w:rsid w:val="001069D7"/>
    <w:rsid w:val="00116576"/>
    <w:rsid w:val="00121184"/>
    <w:rsid w:val="0015074B"/>
    <w:rsid w:val="0015517E"/>
    <w:rsid w:val="00166661"/>
    <w:rsid w:val="0017018F"/>
    <w:rsid w:val="00170DE4"/>
    <w:rsid w:val="00171F30"/>
    <w:rsid w:val="00174508"/>
    <w:rsid w:val="001749A0"/>
    <w:rsid w:val="0017646F"/>
    <w:rsid w:val="0017763E"/>
    <w:rsid w:val="001857C2"/>
    <w:rsid w:val="00192A06"/>
    <w:rsid w:val="001A2B8F"/>
    <w:rsid w:val="001C56E5"/>
    <w:rsid w:val="00211A57"/>
    <w:rsid w:val="002172A2"/>
    <w:rsid w:val="002303DA"/>
    <w:rsid w:val="00243B73"/>
    <w:rsid w:val="00244A6C"/>
    <w:rsid w:val="00287DBF"/>
    <w:rsid w:val="0029639D"/>
    <w:rsid w:val="00296F92"/>
    <w:rsid w:val="002A303D"/>
    <w:rsid w:val="002E0974"/>
    <w:rsid w:val="002F3441"/>
    <w:rsid w:val="00322614"/>
    <w:rsid w:val="00326F90"/>
    <w:rsid w:val="0033184E"/>
    <w:rsid w:val="00340B31"/>
    <w:rsid w:val="00346D81"/>
    <w:rsid w:val="0035313F"/>
    <w:rsid w:val="00357744"/>
    <w:rsid w:val="003621CD"/>
    <w:rsid w:val="00367694"/>
    <w:rsid w:val="00391CC9"/>
    <w:rsid w:val="003B5499"/>
    <w:rsid w:val="003F41A8"/>
    <w:rsid w:val="004132B7"/>
    <w:rsid w:val="004436BA"/>
    <w:rsid w:val="00444443"/>
    <w:rsid w:val="00464483"/>
    <w:rsid w:val="00477776"/>
    <w:rsid w:val="00481E35"/>
    <w:rsid w:val="004910C4"/>
    <w:rsid w:val="004B4CEB"/>
    <w:rsid w:val="004D287B"/>
    <w:rsid w:val="004D3343"/>
    <w:rsid w:val="004D5108"/>
    <w:rsid w:val="004E513C"/>
    <w:rsid w:val="004F4602"/>
    <w:rsid w:val="00511DAE"/>
    <w:rsid w:val="00522E07"/>
    <w:rsid w:val="005303C4"/>
    <w:rsid w:val="005454BE"/>
    <w:rsid w:val="005478DC"/>
    <w:rsid w:val="00556D49"/>
    <w:rsid w:val="005841B1"/>
    <w:rsid w:val="005872F3"/>
    <w:rsid w:val="0059027D"/>
    <w:rsid w:val="005D0C73"/>
    <w:rsid w:val="005D1593"/>
    <w:rsid w:val="00605C92"/>
    <w:rsid w:val="00607A8B"/>
    <w:rsid w:val="00635B45"/>
    <w:rsid w:val="0064020B"/>
    <w:rsid w:val="00665921"/>
    <w:rsid w:val="00692C19"/>
    <w:rsid w:val="006A2250"/>
    <w:rsid w:val="006C4B5E"/>
    <w:rsid w:val="006D0DD5"/>
    <w:rsid w:val="006D41D8"/>
    <w:rsid w:val="006E02A2"/>
    <w:rsid w:val="006E284C"/>
    <w:rsid w:val="007541C1"/>
    <w:rsid w:val="00763C0D"/>
    <w:rsid w:val="007B1AE9"/>
    <w:rsid w:val="007B28DB"/>
    <w:rsid w:val="008166FE"/>
    <w:rsid w:val="00846837"/>
    <w:rsid w:val="008527CE"/>
    <w:rsid w:val="00854945"/>
    <w:rsid w:val="00884724"/>
    <w:rsid w:val="008C491E"/>
    <w:rsid w:val="008F6D70"/>
    <w:rsid w:val="0093218E"/>
    <w:rsid w:val="0096263B"/>
    <w:rsid w:val="00966D63"/>
    <w:rsid w:val="0098110E"/>
    <w:rsid w:val="0098416E"/>
    <w:rsid w:val="009906D6"/>
    <w:rsid w:val="009A27D4"/>
    <w:rsid w:val="009E456F"/>
    <w:rsid w:val="009E50CD"/>
    <w:rsid w:val="009F362B"/>
    <w:rsid w:val="00A007E9"/>
    <w:rsid w:val="00A05D44"/>
    <w:rsid w:val="00A1005D"/>
    <w:rsid w:val="00A1021C"/>
    <w:rsid w:val="00A34FF5"/>
    <w:rsid w:val="00A42E2B"/>
    <w:rsid w:val="00A74952"/>
    <w:rsid w:val="00A911CC"/>
    <w:rsid w:val="00AA1D8D"/>
    <w:rsid w:val="00AE12D0"/>
    <w:rsid w:val="00AE2014"/>
    <w:rsid w:val="00AF5551"/>
    <w:rsid w:val="00B03186"/>
    <w:rsid w:val="00B102F7"/>
    <w:rsid w:val="00B12937"/>
    <w:rsid w:val="00B27C4D"/>
    <w:rsid w:val="00B35226"/>
    <w:rsid w:val="00B47730"/>
    <w:rsid w:val="00B60201"/>
    <w:rsid w:val="00B67AF8"/>
    <w:rsid w:val="00B7044F"/>
    <w:rsid w:val="00BC5E6F"/>
    <w:rsid w:val="00BD3F6E"/>
    <w:rsid w:val="00C05ECF"/>
    <w:rsid w:val="00C37BA1"/>
    <w:rsid w:val="00C56C90"/>
    <w:rsid w:val="00C6514A"/>
    <w:rsid w:val="00C72509"/>
    <w:rsid w:val="00C82144"/>
    <w:rsid w:val="00C8225A"/>
    <w:rsid w:val="00C9267E"/>
    <w:rsid w:val="00C92ACB"/>
    <w:rsid w:val="00CA2762"/>
    <w:rsid w:val="00CA7A3C"/>
    <w:rsid w:val="00CB0664"/>
    <w:rsid w:val="00CD51E3"/>
    <w:rsid w:val="00CF6994"/>
    <w:rsid w:val="00CF6A6B"/>
    <w:rsid w:val="00D020EE"/>
    <w:rsid w:val="00D02A87"/>
    <w:rsid w:val="00D61E62"/>
    <w:rsid w:val="00D760F0"/>
    <w:rsid w:val="00D77C59"/>
    <w:rsid w:val="00D83A74"/>
    <w:rsid w:val="00D858FB"/>
    <w:rsid w:val="00D85F47"/>
    <w:rsid w:val="00DA3BBD"/>
    <w:rsid w:val="00DA4D80"/>
    <w:rsid w:val="00DE7676"/>
    <w:rsid w:val="00DF3F0D"/>
    <w:rsid w:val="00E17933"/>
    <w:rsid w:val="00E32F06"/>
    <w:rsid w:val="00E33668"/>
    <w:rsid w:val="00E4621C"/>
    <w:rsid w:val="00E54CA7"/>
    <w:rsid w:val="00E62CC7"/>
    <w:rsid w:val="00E75983"/>
    <w:rsid w:val="00E9704B"/>
    <w:rsid w:val="00EB34EC"/>
    <w:rsid w:val="00EB351A"/>
    <w:rsid w:val="00ED14E0"/>
    <w:rsid w:val="00EE3C7D"/>
    <w:rsid w:val="00F256E0"/>
    <w:rsid w:val="00F34386"/>
    <w:rsid w:val="00F75F63"/>
    <w:rsid w:val="00F77B9E"/>
    <w:rsid w:val="00F969C4"/>
    <w:rsid w:val="00FA44B2"/>
    <w:rsid w:val="00FB1056"/>
    <w:rsid w:val="00FC21A4"/>
    <w:rsid w:val="00FC693F"/>
    <w:rsid w:val="00FC7EB3"/>
  </w:rsids>
  <m:mathPr>
    <m:mathFont m:val="Cambria Math"/>
    <m:brkBin m:val="before"/>
    <m:brkBinSub m:val="--"/>
    <m:smallFrac m:val="0"/>
    <m:dispDef/>
    <m:lMargin m:val="0"/>
    <m:rMargin m:val="0"/>
    <m:defJc m:val="centerGroup"/>
    <m:wrapIndent m:val="1440"/>
    <m:intLim m:val="subSup"/>
    <m:naryLim m:val="undOvr"/>
  </m:mathPr>
  <w:themeFontLang w:val="en-US" w:eastAsia="ja-JP" w:bidi="ml-IN"/>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61FB7306"/>
  <w14:defaultImageDpi w14:val="300"/>
  <w15:docId w15:val="{1B98933C-C17A-46D5-B78F-55AA72ECAB7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C56E5"/>
    <w:pPr>
      <w:spacing w:after="120" w:line="312" w:lineRule="auto"/>
      <w:jc w:val="both"/>
    </w:pPr>
    <w:rPr>
      <w:rFonts w:ascii="Times New Roman" w:hAnsi="Times New Roman"/>
      <w:sz w:val="20"/>
    </w:rPr>
  </w:style>
  <w:style w:type="paragraph" w:styleId="Heading1">
    <w:name w:val="heading 1"/>
    <w:basedOn w:val="Normal"/>
    <w:next w:val="Normal"/>
    <w:link w:val="Heading1Char"/>
    <w:uiPriority w:val="9"/>
    <w:qFormat/>
    <w:rsid w:val="00FC693F"/>
    <w:pPr>
      <w:keepNext/>
      <w:keepLines/>
      <w:spacing w:before="280"/>
      <w:outlineLvl w:val="0"/>
    </w:pPr>
    <w:rPr>
      <w:rFonts w:asciiTheme="majorHAnsi" w:eastAsiaTheme="majorEastAsia" w:hAnsiTheme="majorHAnsi" w:cstheme="majorBidi"/>
      <w:b/>
      <w:bCs/>
      <w:color w:val="000000"/>
      <w:sz w:val="24"/>
      <w:szCs w:val="28"/>
    </w:rPr>
  </w:style>
  <w:style w:type="paragraph" w:styleId="Heading2">
    <w:name w:val="heading 2"/>
    <w:basedOn w:val="Normal"/>
    <w:next w:val="Normal"/>
    <w:link w:val="Heading2Char"/>
    <w:uiPriority w:val="9"/>
    <w:unhideWhenUsed/>
    <w:qFormat/>
    <w:rsid w:val="00FC693F"/>
    <w:pPr>
      <w:keepNext/>
      <w:keepLines/>
      <w:spacing w:before="200" w:after="80"/>
      <w:outlineLvl w:val="1"/>
    </w:pPr>
    <w:rPr>
      <w:rFonts w:asciiTheme="majorHAnsi" w:eastAsiaTheme="majorEastAsia" w:hAnsiTheme="majorHAnsi" w:cstheme="majorBidi"/>
      <w:b/>
      <w:bCs/>
      <w:color w:val="000000"/>
      <w:sz w:val="22"/>
      <w:szCs w:val="26"/>
    </w:rPr>
  </w:style>
  <w:style w:type="paragraph" w:styleId="Heading3">
    <w:name w:val="heading 3"/>
    <w:basedOn w:val="Normal"/>
    <w:next w:val="Normal"/>
    <w:link w:val="Heading3Char"/>
    <w:uiPriority w:val="9"/>
    <w:unhideWhenUsed/>
    <w:qFormat/>
    <w:rsid w:val="00FC693F"/>
    <w:pPr>
      <w:keepNext/>
      <w:keepLines/>
      <w:spacing w:before="160" w:after="60"/>
      <w:outlineLvl w:val="2"/>
    </w:pPr>
    <w:rPr>
      <w:rFonts w:asciiTheme="majorHAnsi" w:eastAsiaTheme="majorEastAsia" w:hAnsiTheme="majorHAnsi" w:cstheme="majorBidi"/>
      <w:b/>
      <w:bCs/>
      <w:color w:val="000000"/>
      <w:sz w:val="2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ind w:left="360"/>
      <w:contextualSpacing/>
    </w:pPr>
  </w:style>
  <w:style w:type="paragraph" w:styleId="ListContinue2">
    <w:name w:val="List Continue 2"/>
    <w:basedOn w:val="Normal"/>
    <w:uiPriority w:val="99"/>
    <w:unhideWhenUsed/>
    <w:rsid w:val="0029639D"/>
    <w:pPr>
      <w:ind w:left="720"/>
      <w:contextualSpacing/>
    </w:pPr>
  </w:style>
  <w:style w:type="paragraph" w:styleId="ListContinue3">
    <w:name w:val="List Continue 3"/>
    <w:basedOn w:val="Normal"/>
    <w:uiPriority w:val="99"/>
    <w:unhideWhenUsed/>
    <w:rsid w:val="0029639D"/>
    <w:pPr>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References">
    <w:name w:val="References"/>
    <w:pPr>
      <w:spacing w:after="80" w:line="264" w:lineRule="auto"/>
      <w:ind w:left="360" w:hanging="360"/>
    </w:pPr>
    <w:rPr>
      <w:rFonts w:ascii="Times New Roman" w:hAnsi="Times New Roman"/>
      <w:sz w:val="19"/>
    </w:rPr>
  </w:style>
  <w:style w:type="character" w:styleId="LineNumber">
    <w:name w:val="line number"/>
    <w:basedOn w:val="DefaultParagraphFont"/>
    <w:uiPriority w:val="99"/>
    <w:semiHidden/>
    <w:unhideWhenUsed/>
    <w:rsid w:val="00367694"/>
  </w:style>
  <w:style w:type="character" w:styleId="Hyperlink">
    <w:name w:val="Hyperlink"/>
    <w:basedOn w:val="DefaultParagraphFont"/>
    <w:uiPriority w:val="99"/>
    <w:unhideWhenUsed/>
    <w:rsid w:val="00346D81"/>
    <w:rPr>
      <w:color w:val="0000FF" w:themeColor="hyperlink"/>
      <w:u w:val="single"/>
    </w:rPr>
  </w:style>
  <w:style w:type="paragraph" w:styleId="Revision">
    <w:name w:val="Revision"/>
    <w:hidden/>
    <w:uiPriority w:val="99"/>
    <w:semiHidden/>
    <w:rsid w:val="00D77C59"/>
    <w:pPr>
      <w:spacing w:after="0" w:line="240" w:lineRule="auto"/>
    </w:pPr>
    <w:rPr>
      <w:rFonts w:ascii="Times New Roman" w:hAnsi="Times New Roman"/>
      <w:sz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13" Type="http://schemas.openxmlformats.org/officeDocument/2006/relationships/hyperlink" Target="https://doi.org/10.3390/w13070885" TargetMode="External"/><Relationship Id="rId18" Type="http://schemas.openxmlformats.org/officeDocument/2006/relationships/hyperlink" Target="https://doi.org/10.1080/20442041.2024.2394278" TargetMode="External"/><Relationship Id="rId26" Type="http://schemas.openxmlformats.org/officeDocument/2006/relationships/hyperlink" Target="https://doi.org/10.1046/j.1365-2427.1997.00141.x" TargetMode="External"/><Relationship Id="rId39" Type="http://schemas.openxmlformats.org/officeDocument/2006/relationships/hyperlink" Target="https://doi.org/10.1111/j.1365-2427.1994.tb01129.x" TargetMode="External"/><Relationship Id="rId21" Type="http://schemas.openxmlformats.org/officeDocument/2006/relationships/hyperlink" Target="https://doi.org/10.1016/j.biocon.2016.10.026" TargetMode="External"/><Relationship Id="rId34" Type="http://schemas.openxmlformats.org/officeDocument/2006/relationships/hyperlink" Target="https://doi.org/10.1007/s12040-013-0317-8" TargetMode="External"/><Relationship Id="rId42" Type="http://schemas.openxmlformats.org/officeDocument/2006/relationships/hyperlink" Target="https://doi.org/10.1016/j.ecolind.2019.105735" TargetMode="External"/><Relationship Id="rId47" Type="http://schemas.openxmlformats.org/officeDocument/2006/relationships/header" Target="header1.xml"/><Relationship Id="rId50" Type="http://schemas.openxmlformats.org/officeDocument/2006/relationships/footer" Target="footer2.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hyperlink" Target="https://doi.org/10.2307/1446294" TargetMode="External"/><Relationship Id="rId29" Type="http://schemas.openxmlformats.org/officeDocument/2006/relationships/hyperlink" Target="https://doi.org/10.1080/02705060.2017.1399170" TargetMode="External"/><Relationship Id="rId11" Type="http://schemas.openxmlformats.org/officeDocument/2006/relationships/hyperlink" Target="https://doi.org/10.1002/joc.5299" TargetMode="External"/><Relationship Id="rId24" Type="http://schemas.openxmlformats.org/officeDocument/2006/relationships/hyperlink" Target="https://doi.org/10.33736/bjrst.2510.2020" TargetMode="External"/><Relationship Id="rId32" Type="http://schemas.openxmlformats.org/officeDocument/2006/relationships/hyperlink" Target="https://doi.org/10.1002/rra.743" TargetMode="External"/><Relationship Id="rId37" Type="http://schemas.openxmlformats.org/officeDocument/2006/relationships/hyperlink" Target="https://doi.org/10.1899/0887-3593%282006%29025%5B0825%3AMARFAC%5D2.0.CO%3B2" TargetMode="External"/><Relationship Id="rId40" Type="http://schemas.openxmlformats.org/officeDocument/2006/relationships/hyperlink" Target="https://doi.org/10.1111/j.1365-2427.2006.01646.x" TargetMode="External"/><Relationship Id="rId45" Type="http://schemas.openxmlformats.org/officeDocument/2006/relationships/hyperlink" Target="https://doi.org/10.1007/s10641-011-9775-5" TargetMode="External"/><Relationship Id="rId53"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yperlink" Target="https://doi.org/10.1007/s11069-024-06645-7" TargetMode="External"/><Relationship Id="rId19" Type="http://schemas.openxmlformats.org/officeDocument/2006/relationships/hyperlink" Target="https://doi.org/10.1002/joc.1098" TargetMode="External"/><Relationship Id="rId31" Type="http://schemas.openxmlformats.org/officeDocument/2006/relationships/hyperlink" Target="https://doi.org/10.2307/1468007" TargetMode="External"/><Relationship Id="rId44" Type="http://schemas.openxmlformats.org/officeDocument/2006/relationships/hyperlink" Target="https://doi.org/10.1002/joc.5669" TargetMode="External"/><Relationship Id="rId52" Type="http://schemas.openxmlformats.org/officeDocument/2006/relationships/footer" Target="footer3.xml"/><Relationship Id="rId4" Type="http://schemas.openxmlformats.org/officeDocument/2006/relationships/settings" Target="settings.xml"/><Relationship Id="rId9" Type="http://schemas.openxmlformats.org/officeDocument/2006/relationships/hyperlink" Target="https://doi.org/10.1007/s11629-023-8231-2" TargetMode="External"/><Relationship Id="rId14" Type="http://schemas.openxmlformats.org/officeDocument/2006/relationships/hyperlink" Target="https://doi.org/10.1038/s41561-024-01596-x" TargetMode="External"/><Relationship Id="rId22" Type="http://schemas.openxmlformats.org/officeDocument/2006/relationships/hyperlink" Target="https://doi.org/10.3897/BDJ.10.e79275" TargetMode="External"/><Relationship Id="rId27" Type="http://schemas.openxmlformats.org/officeDocument/2006/relationships/hyperlink" Target="https://doi.org/10.3354/esr00702" TargetMode="External"/><Relationship Id="rId30" Type="http://schemas.openxmlformats.org/officeDocument/2006/relationships/hyperlink" Target="https://doi.org/10.1016/j.aquabot.2021.103413" TargetMode="External"/><Relationship Id="rId35" Type="http://schemas.openxmlformats.org/officeDocument/2006/relationships/hyperlink" Target="https://doi.org/10.1016/j.ecolind.2019.04.057" TargetMode="External"/><Relationship Id="rId43" Type="http://schemas.openxmlformats.org/officeDocument/2006/relationships/hyperlink" Target="https://doi.org/10.3390/geosciences10040150" TargetMode="External"/><Relationship Id="rId48" Type="http://schemas.openxmlformats.org/officeDocument/2006/relationships/header" Target="header2.xml"/><Relationship Id="rId8" Type="http://schemas.openxmlformats.org/officeDocument/2006/relationships/hyperlink" Target="https://doi.org/10.1016/j.nhres.2023.07.001" TargetMode="External"/><Relationship Id="rId51" Type="http://schemas.openxmlformats.org/officeDocument/2006/relationships/header" Target="header3.xml"/><Relationship Id="rId3" Type="http://schemas.openxmlformats.org/officeDocument/2006/relationships/styles" Target="styles.xml"/><Relationship Id="rId12" Type="http://schemas.openxmlformats.org/officeDocument/2006/relationships/hyperlink" Target="https://doi.org/10.1046/j.1365-2427.2000.00608.x" TargetMode="External"/><Relationship Id="rId17" Type="http://schemas.openxmlformats.org/officeDocument/2006/relationships/hyperlink" Target="https://doi.org/10.2307/2937346" TargetMode="External"/><Relationship Id="rId25" Type="http://schemas.openxmlformats.org/officeDocument/2006/relationships/hyperlink" Target="https://doi.org/10.3126/njbs.v1i0.7469" TargetMode="External"/><Relationship Id="rId33" Type="http://schemas.openxmlformats.org/officeDocument/2006/relationships/hyperlink" Target="https://doi.org/10.1111/j.1365-2427.1993.tb00797.x" TargetMode="External"/><Relationship Id="rId38" Type="http://schemas.openxmlformats.org/officeDocument/2006/relationships/hyperlink" Target="https://doi.org/10.1002/rra.3713" TargetMode="External"/><Relationship Id="rId46" Type="http://schemas.openxmlformats.org/officeDocument/2006/relationships/image" Target="media/image1.png"/><Relationship Id="rId20" Type="http://schemas.openxmlformats.org/officeDocument/2006/relationships/hyperlink" Target="https://doi.org/10.3390/cli5010004" TargetMode="External"/><Relationship Id="rId41" Type="http://schemas.openxmlformats.org/officeDocument/2006/relationships/hyperlink" Target="https://doi.org/10.3126/jist.v29i1.52941" TargetMode="External"/><Relationship Id="rId54"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hyperlink" Target="https://doi.org/10.1007/s00027-009-0117-z" TargetMode="External"/><Relationship Id="rId23" Type="http://schemas.openxmlformats.org/officeDocument/2006/relationships/hyperlink" Target="https://doi.org/10.3126/jowe.v4i0.3734" TargetMode="External"/><Relationship Id="rId28" Type="http://schemas.openxmlformats.org/officeDocument/2006/relationships/hyperlink" Target="https://doi.org/10.1111/j.1365-2400.2007.00570.x" TargetMode="External"/><Relationship Id="rId36" Type="http://schemas.openxmlformats.org/officeDocument/2006/relationships/hyperlink" Target="https://doi.org/10.1890/ES15-00224.1" TargetMode="External"/><Relationship Id="rId4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197</TotalTime>
  <Pages>21</Pages>
  <Words>7828</Words>
  <Characters>44621</Characters>
  <Application>Microsoft Office Word</Application>
  <DocSecurity>0</DocSecurity>
  <Lines>371</Lines>
  <Paragraphs>104</Paragraphs>
  <ScaleCrop>false</ScaleCrop>
  <HeadingPairs>
    <vt:vector size="2" baseType="variant">
      <vt:variant>
        <vt:lpstr>Title</vt:lpstr>
      </vt:variant>
      <vt:variant>
        <vt:i4>1</vt:i4>
      </vt:variant>
    </vt:vector>
  </HeadingPairs>
  <TitlesOfParts>
    <vt:vector size="1" baseType="lpstr">
      <vt:lpstr>Cloudbursts and Floods in Nepal: Impacts on Aquatic Fauna and Freshwater Ecosystems</vt:lpstr>
    </vt:vector>
  </TitlesOfParts>
  <Manager/>
  <Company/>
  <LinksUpToDate>false</LinksUpToDate>
  <CharactersWithSpaces>52345</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SDI CPU 1117</cp:lastModifiedBy>
  <cp:revision>7</cp:revision>
  <cp:lastPrinted>2026-09-10T09:37:00Z</cp:lastPrinted>
  <dcterms:created xsi:type="dcterms:W3CDTF">2026-09-15T20:39:00Z</dcterms:created>
  <dcterms:modified xsi:type="dcterms:W3CDTF">2026-10-07T08:38:00Z</dcterms:modified>
  <cp:category/>
</cp:coreProperties>
</file>