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B3F73" w14:textId="77777777" w:rsidR="00F51D9B" w:rsidRPr="003F3781" w:rsidRDefault="00F51D9B" w:rsidP="00F51D9B">
      <w:pPr>
        <w:pStyle w:val="Author"/>
        <w:spacing w:line="240" w:lineRule="auto"/>
        <w:outlineLvl w:val="0"/>
        <w:rPr>
          <w:rFonts w:ascii="Arial" w:hAnsi="Arial" w:cs="Arial"/>
          <w:bCs/>
          <w:i/>
          <w:iCs/>
          <w:kern w:val="28"/>
          <w:sz w:val="36"/>
          <w:u w:val="single"/>
        </w:rPr>
      </w:pPr>
      <w:r w:rsidRPr="003F3781">
        <w:rPr>
          <w:rFonts w:ascii="Arial" w:hAnsi="Arial" w:cs="Arial"/>
          <w:bCs/>
          <w:i/>
          <w:iCs/>
          <w:kern w:val="28"/>
          <w:sz w:val="36"/>
          <w:u w:val="single"/>
        </w:rPr>
        <w:t>Review Article</w:t>
      </w:r>
    </w:p>
    <w:p w14:paraId="73DDDCF7" w14:textId="77777777" w:rsidR="00E26AAA" w:rsidRPr="003F3781" w:rsidRDefault="00E26AAA" w:rsidP="00C62107">
      <w:pPr>
        <w:spacing w:after="300" w:line="276" w:lineRule="auto"/>
        <w:jc w:val="right"/>
        <w:rPr>
          <w:rFonts w:ascii="Arial" w:hAnsi="Arial" w:cs="Arial"/>
          <w:b/>
          <w:bCs/>
          <w:sz w:val="36"/>
          <w:szCs w:val="36"/>
        </w:rPr>
      </w:pPr>
    </w:p>
    <w:p w14:paraId="2172E6CB" w14:textId="77777777" w:rsidR="00F764C3" w:rsidRPr="003F3781" w:rsidRDefault="00F764C3" w:rsidP="00A133C5">
      <w:pPr>
        <w:spacing w:after="300"/>
        <w:jc w:val="right"/>
        <w:rPr>
          <w:rFonts w:ascii="Arial" w:hAnsi="Arial" w:cs="Arial"/>
          <w:b/>
          <w:bCs/>
          <w:sz w:val="36"/>
          <w:szCs w:val="36"/>
        </w:rPr>
      </w:pPr>
      <w:r w:rsidRPr="003F3781">
        <w:rPr>
          <w:rFonts w:ascii="Arial" w:hAnsi="Arial" w:cs="Arial"/>
          <w:b/>
          <w:bCs/>
          <w:sz w:val="36"/>
          <w:szCs w:val="36"/>
        </w:rPr>
        <w:t>Reprogramming the Plant Holobiont: From Microbiome Assembly to Durable, Eco-Sustainable Disease Defence</w:t>
      </w:r>
    </w:p>
    <w:p w14:paraId="500CC559" w14:textId="77777777" w:rsidR="00EA3EC7" w:rsidRPr="003F3781" w:rsidRDefault="00EA3EC7" w:rsidP="00A133C5">
      <w:pPr>
        <w:spacing w:after="300"/>
        <w:jc w:val="center"/>
        <w:rPr>
          <w:rFonts w:ascii="Arial" w:hAnsi="Arial" w:cs="Arial"/>
          <w:b/>
          <w:bCs/>
          <w:sz w:val="24"/>
          <w:szCs w:val="24"/>
        </w:rPr>
      </w:pPr>
    </w:p>
    <w:p w14:paraId="14FBCBBD" w14:textId="77777777" w:rsidR="00EA3EC7" w:rsidRPr="003F3781" w:rsidRDefault="00EA3EC7" w:rsidP="00A133C5">
      <w:pPr>
        <w:spacing w:after="300"/>
        <w:jc w:val="center"/>
        <w:rPr>
          <w:rFonts w:ascii="Arial" w:hAnsi="Arial" w:cs="Arial"/>
          <w:b/>
          <w:bCs/>
          <w:sz w:val="24"/>
          <w:szCs w:val="24"/>
        </w:rPr>
      </w:pPr>
    </w:p>
    <w:p w14:paraId="1AC3D46D" w14:textId="77777777" w:rsidR="00321F0B" w:rsidRPr="003F3781" w:rsidRDefault="00321F0B" w:rsidP="00A133C5">
      <w:pPr>
        <w:spacing w:after="300"/>
        <w:jc w:val="center"/>
        <w:rPr>
          <w:rFonts w:ascii="Arial" w:hAnsi="Arial" w:cs="Arial"/>
          <w:b/>
          <w:bCs/>
          <w:sz w:val="24"/>
          <w:szCs w:val="24"/>
        </w:rPr>
      </w:pPr>
      <w:r w:rsidRPr="003F3781">
        <w:rPr>
          <w:rFonts w:ascii="Arial" w:hAnsi="Arial" w:cs="Arial"/>
          <w:b/>
          <w:bCs/>
          <w:sz w:val="24"/>
          <w:szCs w:val="24"/>
        </w:rPr>
        <w:t>Abstract</w:t>
      </w:r>
    </w:p>
    <w:p w14:paraId="65B90701" w14:textId="77777777" w:rsidR="00F764C3" w:rsidRPr="003F3781" w:rsidRDefault="00F764C3" w:rsidP="008A0374">
      <w:pPr>
        <w:spacing w:after="300" w:line="276" w:lineRule="auto"/>
        <w:jc w:val="both"/>
        <w:rPr>
          <w:rFonts w:ascii="Arial" w:hAnsi="Arial" w:cs="Arial"/>
          <w:sz w:val="24"/>
          <w:szCs w:val="24"/>
        </w:rPr>
      </w:pPr>
      <w:r w:rsidRPr="003F3781">
        <w:rPr>
          <w:rFonts w:ascii="Times New Roman" w:hAnsi="Times New Roman" w:cs="Times New Roman"/>
          <w:sz w:val="24"/>
          <w:szCs w:val="24"/>
        </w:rPr>
        <w:tab/>
        <w:t>Plants are no longer understood as autonomous organisms but as holobionts whose associated microbial communities co-determine growth, stress tolerance and disease outcomes. Decades of work on disease-suppressive soils, induced systemic resistance and biological control have established that individual beneficial microorganisms can protect crops, yet the field performance of single-strain inoculants remains inconsistent. This has driven a conceptual shift from introducing individual biocontrol agents towards understanding, assembling and deliberately "reprogramming" whole plant-associated microbial communities to achieve durable disease suppression. This review synthesises evidence across the rhizosphere, phyllosphere, endosphere and seed microbiomes to trace a conceptual progression: microbiome assembly, plant-microbiome-pathogen signalling, microbiome-mediated disease suppression, and microbiome reprogramming towards a resilient holobiont. We critically examine the shift from asking which organisms are present to asking what the microbiome is functionally doing, drawing on keystone-taxa and co-occurrence-network concepts, and we distinguish correlation from demonstrated causal contribution wherever the evidence allows. We organise reprogramming strategies into host-mediated, microbial, soil/agronomic and precision-engineering categories, and we critically evaluate synthetic microbial communities (SynComs), noting that laboratory- and greenhouse-validated consortia frequently lose efficacy under field conditions because of community instability, competitive exclusion by resident microbiota and environmental variability. Omics and computational tools are reshaping this field from descriptive surveys towards predictive, intervention-oriented science, but translation from mechanism to field-deployable products remains the central bottleneck. We conclude that the future of eco-sustainable disease management depends not on replacing chemical inputs with a single microbial substitute, but on the capacity to design and manage functionally redundant, context-adapted microbial communities capable of sustaining plant resilience over time.</w:t>
      </w:r>
    </w:p>
    <w:p w14:paraId="064E8E0E" w14:textId="77777777" w:rsidR="00F764C3" w:rsidRPr="003F3781" w:rsidRDefault="00F764C3" w:rsidP="008A0374">
      <w:pPr>
        <w:spacing w:after="200" w:line="276" w:lineRule="auto"/>
        <w:jc w:val="both"/>
        <w:rPr>
          <w:rFonts w:ascii="Arial" w:hAnsi="Arial" w:cs="Arial"/>
          <w:sz w:val="24"/>
          <w:szCs w:val="24"/>
        </w:rPr>
      </w:pPr>
      <w:r w:rsidRPr="003F3781">
        <w:rPr>
          <w:rFonts w:ascii="Arial" w:hAnsi="Arial" w:cs="Arial"/>
          <w:b/>
          <w:bCs/>
          <w:sz w:val="24"/>
          <w:szCs w:val="24"/>
        </w:rPr>
        <w:t>Keywords:</w:t>
      </w:r>
      <w:r w:rsidRPr="003F3781">
        <w:rPr>
          <w:rFonts w:ascii="Arial" w:hAnsi="Arial" w:cs="Arial"/>
          <w:sz w:val="24"/>
          <w:szCs w:val="24"/>
        </w:rPr>
        <w:t xml:space="preserve"> plant holobiont, disease-suppressive microbiome, microbiome reprogramming, synthetic microbial communities, induced systemic resistance, rhizosphere engineering, sustainable disease management.</w:t>
      </w:r>
    </w:p>
    <w:p w14:paraId="0EAC56A7" w14:textId="77777777" w:rsidR="0014415D" w:rsidRPr="003F3781" w:rsidRDefault="00FC76A4" w:rsidP="0014415D">
      <w:pPr>
        <w:pStyle w:val="ListParagraph"/>
        <w:numPr>
          <w:ilvl w:val="0"/>
          <w:numId w:val="15"/>
        </w:numPr>
        <w:spacing w:after="200" w:line="276" w:lineRule="auto"/>
        <w:jc w:val="both"/>
        <w:rPr>
          <w:rFonts w:ascii="Arial" w:hAnsi="Arial" w:cs="Arial"/>
          <w:b/>
          <w:bCs/>
          <w:sz w:val="24"/>
          <w:szCs w:val="24"/>
        </w:rPr>
      </w:pPr>
      <w:r w:rsidRPr="003F3781">
        <w:rPr>
          <w:rFonts w:ascii="Arial" w:hAnsi="Arial" w:cs="Arial"/>
          <w:b/>
          <w:bCs/>
          <w:sz w:val="24"/>
          <w:szCs w:val="24"/>
        </w:rPr>
        <w:t>INTRODUCTION</w:t>
      </w:r>
    </w:p>
    <w:p w14:paraId="0484F48D" w14:textId="77777777" w:rsidR="0014415D" w:rsidRPr="003F3781" w:rsidRDefault="0014415D" w:rsidP="0014415D">
      <w:pPr>
        <w:pStyle w:val="ListParagraph"/>
        <w:spacing w:after="200" w:line="276" w:lineRule="auto"/>
        <w:jc w:val="both"/>
        <w:rPr>
          <w:rFonts w:ascii="Arial" w:hAnsi="Arial" w:cs="Arial"/>
          <w:b/>
          <w:bCs/>
          <w:sz w:val="24"/>
          <w:szCs w:val="24"/>
        </w:rPr>
      </w:pPr>
    </w:p>
    <w:p w14:paraId="7BA67B51" w14:textId="77777777" w:rsidR="00F764C3" w:rsidRPr="003F3781" w:rsidRDefault="00FC76A4" w:rsidP="0014415D">
      <w:pPr>
        <w:pStyle w:val="ListParagraph"/>
        <w:spacing w:after="200" w:line="276" w:lineRule="auto"/>
        <w:jc w:val="both"/>
        <w:rPr>
          <w:rFonts w:ascii="Arial" w:hAnsi="Arial" w:cs="Arial"/>
          <w:sz w:val="24"/>
          <w:szCs w:val="24"/>
        </w:rPr>
      </w:pPr>
      <w:r w:rsidRPr="003F3781">
        <w:rPr>
          <w:rFonts w:ascii="Arial" w:hAnsi="Arial" w:cs="Arial"/>
          <w:b/>
          <w:bCs/>
          <w:sz w:val="24"/>
          <w:szCs w:val="24"/>
        </w:rPr>
        <w:t>FROM PATHOGEN-CENTRIC DEFENCE TO MICROBIOME-CENTRIC RESILIENCE</w:t>
      </w:r>
    </w:p>
    <w:p w14:paraId="3CD5D82C" w14:textId="77777777" w:rsidR="005159BD" w:rsidRPr="003F3781" w:rsidRDefault="00F764C3" w:rsidP="008A0374">
      <w:pPr>
        <w:spacing w:line="276" w:lineRule="auto"/>
        <w:jc w:val="both"/>
        <w:rPr>
          <w:rFonts w:ascii="Arial" w:hAnsi="Arial" w:cs="Arial"/>
          <w:sz w:val="24"/>
          <w:szCs w:val="24"/>
        </w:rPr>
      </w:pPr>
      <w:r w:rsidRPr="003F3781">
        <w:rPr>
          <w:rFonts w:ascii="Arial" w:hAnsi="Arial" w:cs="Arial"/>
          <w:sz w:val="24"/>
          <w:szCs w:val="24"/>
        </w:rPr>
        <w:tab/>
        <w:t xml:space="preserve">Plant disease pressure has intensified alongside climate variability, intensive monoculture and global trade, and yield losses attributable to pathogens continue to threaten food security even in high-input systems. The historical response to this pressure has been overwhelmingly chemical, as synthetic fungicides, bactericides and nematicides remain the default tools for disease control because they act quickly and predictably. Their costs, however, are now well documented: soil </w:t>
      </w:r>
      <w:r w:rsidRPr="003F3781">
        <w:rPr>
          <w:rFonts w:ascii="Arial" w:hAnsi="Arial" w:cs="Arial"/>
          <w:sz w:val="24"/>
          <w:szCs w:val="24"/>
        </w:rPr>
        <w:lastRenderedPageBreak/>
        <w:t xml:space="preserve">biodiversity loss, water contamination, non-target toxicity and the repeated evolution of resistant pathogen populations can erode the very productivity these inputs are intended to protect (Zahoor </w:t>
      </w:r>
      <w:r w:rsidRPr="003F3781">
        <w:rPr>
          <w:rFonts w:ascii="Arial" w:hAnsi="Arial" w:cs="Arial"/>
          <w:i/>
          <w:iCs/>
          <w:sz w:val="24"/>
          <w:szCs w:val="24"/>
        </w:rPr>
        <w:t>et al.</w:t>
      </w:r>
      <w:r w:rsidRPr="003F3781">
        <w:rPr>
          <w:rFonts w:ascii="Arial" w:hAnsi="Arial" w:cs="Arial"/>
          <w:sz w:val="24"/>
          <w:szCs w:val="24"/>
        </w:rPr>
        <w:t>, 2024). Reliance on agrochemicals also presents an ecological problem because it treats disease as a property of the pathogen alone, to be eliminated, rather than as an outcome of the wider biological system in which the pathogen operates.</w:t>
      </w:r>
    </w:p>
    <w:p w14:paraId="72D2F2AA" w14:textId="77777777" w:rsidR="00F764C3" w:rsidRPr="003F3781" w:rsidRDefault="00F764C3" w:rsidP="008A0374">
      <w:pPr>
        <w:spacing w:after="200" w:line="276" w:lineRule="auto"/>
        <w:jc w:val="both"/>
        <w:rPr>
          <w:rFonts w:ascii="Arial" w:hAnsi="Arial" w:cs="Arial"/>
          <w:bCs/>
          <w:sz w:val="24"/>
          <w:szCs w:val="24"/>
        </w:rPr>
      </w:pPr>
      <w:r w:rsidRPr="003F3781">
        <w:rPr>
          <w:rFonts w:ascii="Arial" w:hAnsi="Arial" w:cs="Arial"/>
          <w:sz w:val="24"/>
          <w:szCs w:val="24"/>
        </w:rPr>
        <w:tab/>
        <w:t xml:space="preserve">Biological control offered an early alternative to this logic. Individual antagonistic bacteria and fungi, with species of </w:t>
      </w:r>
      <w:r w:rsidRPr="003F3781">
        <w:rPr>
          <w:rFonts w:ascii="Arial" w:hAnsi="Arial" w:cs="Arial"/>
          <w:i/>
          <w:iCs/>
          <w:sz w:val="24"/>
          <w:szCs w:val="24"/>
        </w:rPr>
        <w:t>Bacillus</w:t>
      </w:r>
      <w:r w:rsidRPr="003F3781">
        <w:rPr>
          <w:rFonts w:ascii="Arial" w:hAnsi="Arial" w:cs="Arial"/>
          <w:sz w:val="24"/>
          <w:szCs w:val="24"/>
        </w:rPr>
        <w:t xml:space="preserve">, </w:t>
      </w:r>
      <w:r w:rsidRPr="003F3781">
        <w:rPr>
          <w:rFonts w:ascii="Arial" w:hAnsi="Arial" w:cs="Arial"/>
          <w:i/>
          <w:iCs/>
          <w:sz w:val="24"/>
          <w:szCs w:val="24"/>
        </w:rPr>
        <w:t xml:space="preserve">Pseudomonas </w:t>
      </w:r>
      <w:r w:rsidRPr="003F3781">
        <w:rPr>
          <w:rFonts w:ascii="Arial" w:hAnsi="Arial" w:cs="Arial"/>
          <w:sz w:val="24"/>
          <w:szCs w:val="24"/>
        </w:rPr>
        <w:t xml:space="preserve">and </w:t>
      </w:r>
      <w:r w:rsidRPr="003F3781">
        <w:rPr>
          <w:rFonts w:ascii="Arial" w:hAnsi="Arial" w:cs="Arial"/>
          <w:i/>
          <w:iCs/>
          <w:sz w:val="24"/>
          <w:szCs w:val="24"/>
        </w:rPr>
        <w:t xml:space="preserve">Trichoderma, </w:t>
      </w:r>
      <w:r w:rsidRPr="003F3781">
        <w:rPr>
          <w:rFonts w:ascii="Arial" w:hAnsi="Arial" w:cs="Arial"/>
          <w:sz w:val="24"/>
          <w:szCs w:val="24"/>
        </w:rPr>
        <w:t>prominent among them, have been formulated as inoculants and applied with genuine, if variable, success. Yet single-strain biocontrol has an intrinsic ceiling. A single introduced strain must establish, persist and function within a resident microbial community that is already adapted to the local soil, root and leaf environment; when it fails to do so, control collapses. This limitation is not a matter of finding a better strain but is a structural feature of single-organism interventions in an ecologically crowded niche.</w:t>
      </w:r>
      <w:r w:rsidRPr="003F3781">
        <w:rPr>
          <w:rFonts w:ascii="Arial" w:hAnsi="Arial"/>
          <w:b/>
          <w:sz w:val="24"/>
        </w:rPr>
        <w:t xml:space="preserve"> </w:t>
      </w:r>
      <w:r w:rsidRPr="003F3781">
        <w:rPr>
          <w:rFonts w:ascii="Arial" w:hAnsi="Arial"/>
          <w:bCs/>
          <w:sz w:val="24"/>
        </w:rPr>
        <w:t>Recent review evidence likewise identifies plant-associated microbiomes as a basis for suppressing soilborne pathogens, while noting that variable field performance and community instability remain major constraints on application (Mohanan et al., 2025).</w:t>
      </w:r>
    </w:p>
    <w:p w14:paraId="21B44611" w14:textId="77777777" w:rsidR="00F764C3" w:rsidRPr="003F3781" w:rsidRDefault="00F764C3" w:rsidP="008A0374">
      <w:pPr>
        <w:spacing w:after="200" w:line="276" w:lineRule="auto"/>
        <w:jc w:val="both"/>
        <w:rPr>
          <w:rFonts w:ascii="Arial" w:hAnsi="Arial" w:cs="Arial"/>
          <w:bCs/>
          <w:sz w:val="24"/>
          <w:szCs w:val="24"/>
        </w:rPr>
      </w:pPr>
      <w:r w:rsidRPr="003F3781">
        <w:rPr>
          <w:rFonts w:ascii="Arial" w:hAnsi="Arial" w:cs="Arial"/>
          <w:sz w:val="24"/>
          <w:szCs w:val="24"/>
        </w:rPr>
        <w:tab/>
        <w:t xml:space="preserve">Concurrently with these agronomic developments, culture-independent sequencing revealed that plants are colonised, from seed to senescence, by microbial communities of remarkable diversity and functional capacity in the rhizosphere, </w:t>
      </w:r>
      <w:proofErr w:type="spellStart"/>
      <w:r w:rsidRPr="003F3781">
        <w:rPr>
          <w:rFonts w:ascii="Arial" w:hAnsi="Arial" w:cs="Arial"/>
          <w:sz w:val="24"/>
          <w:szCs w:val="24"/>
        </w:rPr>
        <w:t>phyllosphere</w:t>
      </w:r>
      <w:proofErr w:type="spellEnd"/>
      <w:r w:rsidRPr="003F3781">
        <w:rPr>
          <w:rFonts w:ascii="Arial" w:hAnsi="Arial" w:cs="Arial"/>
          <w:sz w:val="24"/>
          <w:szCs w:val="24"/>
        </w:rPr>
        <w:t xml:space="preserve">, </w:t>
      </w:r>
      <w:proofErr w:type="spellStart"/>
      <w:r w:rsidRPr="003F3781">
        <w:rPr>
          <w:rFonts w:ascii="Arial" w:hAnsi="Arial" w:cs="Arial"/>
          <w:sz w:val="24"/>
          <w:szCs w:val="24"/>
        </w:rPr>
        <w:t>endosphere</w:t>
      </w:r>
      <w:proofErr w:type="spellEnd"/>
      <w:r w:rsidRPr="003F3781">
        <w:rPr>
          <w:rFonts w:ascii="Arial" w:hAnsi="Arial" w:cs="Arial"/>
          <w:sz w:val="24"/>
          <w:szCs w:val="24"/>
        </w:rPr>
        <w:t xml:space="preserve"> and seed. These communities are not passive passengers. They participate in nutrient acquisition, hormonal signalling and, centrally for this review, in the suppression of pathogens through mechanisms ranging from direct antagonism to priming of the plant's own immune system. The cumulative weight of this evidence has reframed the plant as a holobiont: a composite biological unit whose phenotype, including its disease outcome, emerges from the interaction between host genotype and the associated microbiome (Ali </w:t>
      </w:r>
      <w:r w:rsidR="00587082" w:rsidRPr="003F3781">
        <w:rPr>
          <w:rFonts w:ascii="Arial" w:hAnsi="Arial" w:cs="Arial"/>
          <w:i/>
          <w:iCs/>
          <w:sz w:val="24"/>
          <w:szCs w:val="24"/>
        </w:rPr>
        <w:t>et al.</w:t>
      </w:r>
      <w:r w:rsidRPr="003F3781">
        <w:rPr>
          <w:rFonts w:ascii="Arial" w:hAnsi="Arial" w:cs="Arial"/>
          <w:sz w:val="24"/>
          <w:szCs w:val="24"/>
        </w:rPr>
        <w:t xml:space="preserve">, 2023; Noman </w:t>
      </w:r>
      <w:r w:rsidR="00587082" w:rsidRPr="003F3781">
        <w:rPr>
          <w:rFonts w:ascii="Arial" w:hAnsi="Arial" w:cs="Arial"/>
          <w:i/>
          <w:iCs/>
          <w:sz w:val="24"/>
          <w:szCs w:val="24"/>
        </w:rPr>
        <w:t>et al.</w:t>
      </w:r>
      <w:r w:rsidRPr="003F3781">
        <w:rPr>
          <w:rFonts w:ascii="Arial" w:hAnsi="Arial" w:cs="Arial"/>
          <w:sz w:val="24"/>
          <w:szCs w:val="24"/>
        </w:rPr>
        <w:t>, 2021).</w:t>
      </w:r>
      <w:r w:rsidRPr="003F3781">
        <w:rPr>
          <w:rFonts w:ascii="Arial" w:hAnsi="Arial"/>
          <w:b/>
          <w:sz w:val="24"/>
        </w:rPr>
        <w:t xml:space="preserve"> </w:t>
      </w:r>
      <w:r w:rsidRPr="003F3781">
        <w:rPr>
          <w:rFonts w:ascii="Arial" w:hAnsi="Arial"/>
          <w:bCs/>
          <w:sz w:val="24"/>
        </w:rPr>
        <w:t>Rhizosphere-focused synthesis further emphasises that root exudates and specialised metabolites mediate plant-microbe communication and can provide tractable signals for microbiome-oriented crop management (Suresh et al., 2025). Recent synthesis also frames microbiome-mediated resistance as arising through direct pathogen inhibition, resource competition and modulation of host immunity, reinforcing the need to evaluate both microbial composition and function (Du et al., 2025).</w:t>
      </w:r>
    </w:p>
    <w:p w14:paraId="1BF0B9A4" w14:textId="77777777" w:rsidR="00F764C3" w:rsidRPr="003F3781" w:rsidRDefault="00F764C3" w:rsidP="008A0374">
      <w:pPr>
        <w:spacing w:after="200" w:line="276" w:lineRule="auto"/>
        <w:jc w:val="both"/>
        <w:rPr>
          <w:rFonts w:ascii="Arial" w:hAnsi="Arial" w:cs="Arial"/>
          <w:bCs/>
          <w:sz w:val="24"/>
          <w:szCs w:val="24"/>
        </w:rPr>
      </w:pPr>
      <w:r w:rsidRPr="003F3781">
        <w:rPr>
          <w:rFonts w:ascii="Arial" w:hAnsi="Arial" w:cs="Arial"/>
          <w:sz w:val="24"/>
          <w:szCs w:val="24"/>
        </w:rPr>
        <w:tab/>
        <w:t xml:space="preserve">The clearest empirical anchor for this reframing is the phenomenon of disease-suppressive soils: soils in which a pathogen is present and virulent, yet disease fails to develop because the resident microbial community actively restrains it. Landmark work using PhyloChip and 16S rRNA sequencing on </w:t>
      </w:r>
      <w:r w:rsidRPr="003F3781">
        <w:rPr>
          <w:rFonts w:ascii="Arial" w:hAnsi="Arial" w:cs="Arial"/>
          <w:i/>
          <w:iCs/>
          <w:sz w:val="24"/>
          <w:szCs w:val="24"/>
        </w:rPr>
        <w:t>Rhizoctonia solani</w:t>
      </w:r>
      <w:r w:rsidRPr="003F3781">
        <w:rPr>
          <w:rFonts w:ascii="Arial" w:hAnsi="Arial" w:cs="Arial"/>
          <w:sz w:val="24"/>
          <w:szCs w:val="24"/>
        </w:rPr>
        <w:t xml:space="preserve">-suppressive soils showed that suppressiveness is a transferable microbial property. A small proportion of suppressive soil mixed into conducive soil confers protection, and heat treatment abolishes it (Mendes </w:t>
      </w:r>
      <w:r w:rsidRPr="003F3781">
        <w:rPr>
          <w:rFonts w:ascii="Arial" w:hAnsi="Arial" w:cs="Arial"/>
          <w:i/>
          <w:iCs/>
          <w:sz w:val="24"/>
          <w:szCs w:val="24"/>
        </w:rPr>
        <w:t>et al.</w:t>
      </w:r>
      <w:r w:rsidRPr="003F3781">
        <w:rPr>
          <w:rFonts w:ascii="Arial" w:hAnsi="Arial" w:cs="Arial"/>
          <w:sz w:val="24"/>
          <w:szCs w:val="24"/>
        </w:rPr>
        <w:t>, 2011). Such findings cannot be explained by any single organism; they point to a community-level property. This observation is the conceptual seed from which microbiome reprogramming grows. If suppressiveness is an emergent property of a microbial community rather than a trait of one organism, then sustainable disease management should aim to understand, assemble and, where necessary, re-establish that community, rather than substitute one pathogen-fighting microbe for another.</w:t>
      </w:r>
      <w:r w:rsidRPr="003F3781">
        <w:rPr>
          <w:rFonts w:ascii="Arial" w:hAnsi="Arial"/>
          <w:b/>
          <w:sz w:val="24"/>
        </w:rPr>
        <w:t xml:space="preserve"> </w:t>
      </w:r>
      <w:r w:rsidRPr="003F3781">
        <w:rPr>
          <w:rFonts w:ascii="Arial" w:hAnsi="Arial"/>
          <w:bCs/>
          <w:sz w:val="24"/>
        </w:rPr>
        <w:t>A recent synthesis of disease-suppressive soils similarly highlights plant-driven recruitment and host genetic control as central processes in the assembly of protective soil microbiomes (Spooren et al., 2024).</w:t>
      </w:r>
    </w:p>
    <w:p w14:paraId="7D0E9CA5" w14:textId="77777777" w:rsidR="00F764C3" w:rsidRPr="003F3781" w:rsidRDefault="00F764C3" w:rsidP="008A0374">
      <w:pPr>
        <w:spacing w:after="200" w:line="276" w:lineRule="auto"/>
        <w:jc w:val="both"/>
        <w:rPr>
          <w:rFonts w:ascii="Arial" w:hAnsi="Arial" w:cs="Arial"/>
          <w:sz w:val="24"/>
          <w:szCs w:val="24"/>
        </w:rPr>
      </w:pPr>
      <w:r w:rsidRPr="003F3781">
        <w:rPr>
          <w:rFonts w:ascii="Arial" w:hAnsi="Arial" w:cs="Arial"/>
          <w:sz w:val="24"/>
          <w:szCs w:val="24"/>
        </w:rPr>
        <w:tab/>
        <w:t xml:space="preserve">This review develops that argument along a defined conceptual trajectory from the architecture and assembly of the plant microbiome, through the transition in emphasis from microbial presence to microbial function, to the mechanisms of microbiome-mediated disease suppression, </w:t>
      </w:r>
      <w:r w:rsidRPr="003F3781">
        <w:rPr>
          <w:rFonts w:ascii="Arial" w:hAnsi="Arial" w:cs="Arial"/>
          <w:sz w:val="24"/>
          <w:szCs w:val="24"/>
        </w:rPr>
        <w:lastRenderedPageBreak/>
        <w:t xml:space="preserve">the reciprocal shaping of microbiomes by pathogens, and finally to the strategies, tools and constraints associated with deliberately reprogramming plant-associated microbial communities for durable disease defence. Throughout, we distinguish, wherever the underlying studies allow, between microbial associations that are merely correlated with a healthy or suppressive state and those for which functional or causal evidence exists. We treat the overarching progression from assembly to reprogrammed resilience as a productive conceptual framework rather than as an established mechanistic pipeline, since large parts of it, particularly the translation from mechanistic understanding to field-reliable intervention, remain areas of active and unresolved research (Song </w:t>
      </w:r>
      <w:r w:rsidRPr="003F3781">
        <w:rPr>
          <w:rFonts w:ascii="Arial" w:hAnsi="Arial" w:cs="Arial"/>
          <w:i/>
          <w:iCs/>
          <w:sz w:val="24"/>
          <w:szCs w:val="24"/>
        </w:rPr>
        <w:t>et al.</w:t>
      </w:r>
      <w:r w:rsidRPr="003F3781">
        <w:rPr>
          <w:rFonts w:ascii="Arial" w:hAnsi="Arial" w:cs="Arial"/>
          <w:sz w:val="24"/>
          <w:szCs w:val="24"/>
        </w:rPr>
        <w:t xml:space="preserve">, 2021; Trivedi </w:t>
      </w:r>
      <w:r w:rsidRPr="003F3781">
        <w:rPr>
          <w:rFonts w:ascii="Arial" w:hAnsi="Arial" w:cs="Arial"/>
          <w:i/>
          <w:iCs/>
          <w:sz w:val="24"/>
          <w:szCs w:val="24"/>
        </w:rPr>
        <w:t>et al.</w:t>
      </w:r>
      <w:r w:rsidRPr="003F3781">
        <w:rPr>
          <w:rFonts w:ascii="Arial" w:hAnsi="Arial" w:cs="Arial"/>
          <w:sz w:val="24"/>
          <w:szCs w:val="24"/>
        </w:rPr>
        <w:t>, 2020).</w:t>
      </w:r>
    </w:p>
    <w:p w14:paraId="349C5E81" w14:textId="77777777" w:rsidR="00602294" w:rsidRPr="003F3781" w:rsidRDefault="00000000">
      <w:pPr>
        <w:spacing w:after="200" w:line="276" w:lineRule="auto"/>
        <w:jc w:val="both"/>
        <w:rPr>
          <w:bCs/>
        </w:rPr>
      </w:pPr>
      <w:r w:rsidRPr="003F3781">
        <w:rPr>
          <w:rFonts w:ascii="Arial" w:hAnsi="Arial"/>
          <w:b/>
          <w:sz w:val="24"/>
        </w:rPr>
        <w:tab/>
      </w:r>
      <w:r w:rsidRPr="003F3781">
        <w:rPr>
          <w:rFonts w:ascii="Arial" w:hAnsi="Arial"/>
          <w:bCs/>
          <w:sz w:val="24"/>
        </w:rPr>
        <w:t>Research gap: Despite substantial mechanistic progress, the literature remains fragmented across microbiome assembly, disease-suppressive mechanisms and engineering strategies, while the distinction between correlation, functional demonstration and causal proof is not consistently maintained. A further unresolved gap is the translation of controlled-environment microbiome interventions into stable, reproducible field performance across variable crop, soil and pathogen contexts.</w:t>
      </w:r>
    </w:p>
    <w:p w14:paraId="6DE23860" w14:textId="77777777" w:rsidR="00F764C3" w:rsidRPr="003F3781" w:rsidRDefault="00F764C3" w:rsidP="008A0374">
      <w:pPr>
        <w:spacing w:after="200" w:line="276" w:lineRule="auto"/>
        <w:jc w:val="both"/>
        <w:rPr>
          <w:rFonts w:ascii="Arial" w:hAnsi="Arial" w:cs="Arial"/>
          <w:sz w:val="24"/>
          <w:szCs w:val="24"/>
        </w:rPr>
      </w:pPr>
      <w:r w:rsidRPr="003F3781">
        <w:rPr>
          <w:rFonts w:ascii="Arial" w:hAnsi="Arial" w:cs="Arial"/>
          <w:sz w:val="24"/>
          <w:szCs w:val="24"/>
        </w:rPr>
        <w:tab/>
        <w:t>The scope and contribution of this review are threefold. First, we synthesise the plant-microbiome literature around the concept of microbiome reprogramming rather than around individual crop-pathogen case studies, situating synthetic microbial communities, root-exudate engineering, organic amendments and precision microbiome management as expressions of a single underlying strategic shift. Second, we apply an explicit standard of evidence throughout, separating correlation, functional demonstration and causal proof, which is often blurred in narrative reviews of this literature. Third, we use this framework to identify where the field's rhetoric (particularly around "reprogramming" and "engineering") currently outpaces its evidence base, and to specify the research priorities that would close that gap.</w:t>
      </w:r>
    </w:p>
    <w:p w14:paraId="1A99BFF3" w14:textId="77777777" w:rsidR="00602294" w:rsidRPr="003F3781" w:rsidRDefault="00000000">
      <w:pPr>
        <w:spacing w:after="200" w:line="276" w:lineRule="auto"/>
        <w:jc w:val="both"/>
      </w:pPr>
      <w:r w:rsidRPr="003F3781">
        <w:rPr>
          <w:rFonts w:ascii="Arial" w:hAnsi="Arial"/>
          <w:b/>
          <w:sz w:val="24"/>
        </w:rPr>
        <w:tab/>
        <w:t>Objective: This review aims to integrate evidence on plant microbiome assembly, plant-microbiome-pathogen interactions, mechanisms of disease suppression and microbiome reprogramming, while explicitly evaluating evidence strength and the constraints that limit durable field translation.</w:t>
      </w:r>
    </w:p>
    <w:p w14:paraId="17659789" w14:textId="77777777" w:rsidR="00F764C3" w:rsidRPr="003F3781" w:rsidRDefault="0033339D" w:rsidP="008A0374">
      <w:pPr>
        <w:spacing w:after="200" w:line="276" w:lineRule="auto"/>
        <w:jc w:val="both"/>
        <w:rPr>
          <w:rFonts w:ascii="Arial" w:hAnsi="Arial" w:cs="Arial"/>
          <w:b/>
          <w:bCs/>
          <w:sz w:val="24"/>
          <w:szCs w:val="24"/>
        </w:rPr>
      </w:pPr>
      <w:r w:rsidRPr="003F3781">
        <w:rPr>
          <w:rFonts w:ascii="Arial" w:hAnsi="Arial" w:cs="Arial"/>
          <w:b/>
          <w:bCs/>
          <w:sz w:val="24"/>
          <w:szCs w:val="24"/>
        </w:rPr>
        <w:t>2. THE PLANT MICROBIOME: ARCHITECTURE, ASSEMBLY AND FUNCTION</w:t>
      </w:r>
    </w:p>
    <w:p w14:paraId="2F731679" w14:textId="77777777" w:rsidR="00F764C3" w:rsidRPr="003F3781" w:rsidRDefault="00F764C3" w:rsidP="008A0374">
      <w:pPr>
        <w:spacing w:after="200" w:line="276" w:lineRule="auto"/>
        <w:jc w:val="both"/>
        <w:rPr>
          <w:rFonts w:ascii="Arial" w:hAnsi="Arial" w:cs="Arial"/>
          <w:sz w:val="24"/>
          <w:szCs w:val="24"/>
        </w:rPr>
      </w:pPr>
      <w:r w:rsidRPr="003F3781">
        <w:rPr>
          <w:rFonts w:ascii="Arial" w:hAnsi="Arial" w:cs="Arial"/>
          <w:sz w:val="24"/>
          <w:szCs w:val="24"/>
        </w:rPr>
        <w:tab/>
        <w:t>The plant microbiome is not a single entity but a set of compositionally and functionally distinct habitats. The rhizosphere, the narrow zone of soil directly influenced by root activity, is the most intensively studied of these; a single gram of rhizosphere soil can harbour on the order of 10</w:t>
      </w:r>
      <w:r w:rsidRPr="003F3781">
        <w:rPr>
          <w:rFonts w:ascii="Arial" w:hAnsi="Arial" w:cs="Arial"/>
          <w:sz w:val="24"/>
          <w:szCs w:val="24"/>
          <w:vertAlign w:val="superscript"/>
        </w:rPr>
        <w:t>11</w:t>
      </w:r>
      <w:r w:rsidRPr="003F3781">
        <w:rPr>
          <w:rFonts w:ascii="Arial" w:hAnsi="Arial" w:cs="Arial"/>
          <w:sz w:val="24"/>
          <w:szCs w:val="24"/>
        </w:rPr>
        <w:t xml:space="preserve"> microbial cells spanning tens of thousands of taxa (Mendes </w:t>
      </w:r>
      <w:r w:rsidR="00587082" w:rsidRPr="003F3781">
        <w:rPr>
          <w:rFonts w:ascii="Arial" w:hAnsi="Arial" w:cs="Arial"/>
          <w:i/>
          <w:iCs/>
          <w:sz w:val="24"/>
          <w:szCs w:val="24"/>
        </w:rPr>
        <w:t>et al.</w:t>
      </w:r>
      <w:r w:rsidRPr="003F3781">
        <w:rPr>
          <w:rFonts w:ascii="Arial" w:hAnsi="Arial" w:cs="Arial"/>
          <w:sz w:val="24"/>
          <w:szCs w:val="24"/>
        </w:rPr>
        <w:t xml:space="preserve">, 2011; </w:t>
      </w:r>
      <w:proofErr w:type="spellStart"/>
      <w:r w:rsidRPr="003F3781">
        <w:rPr>
          <w:rFonts w:ascii="Arial" w:hAnsi="Arial" w:cs="Arial"/>
          <w:sz w:val="24"/>
          <w:szCs w:val="24"/>
        </w:rPr>
        <w:t>Egamberdieva</w:t>
      </w:r>
      <w:proofErr w:type="spellEnd"/>
      <w:r w:rsidRPr="003F3781">
        <w:rPr>
          <w:rFonts w:ascii="Arial" w:hAnsi="Arial" w:cs="Arial"/>
          <w:sz w:val="24"/>
          <w:szCs w:val="24"/>
        </w:rPr>
        <w:t xml:space="preserve"> </w:t>
      </w:r>
      <w:r w:rsidR="00587082" w:rsidRPr="003F3781">
        <w:rPr>
          <w:rFonts w:ascii="Arial" w:hAnsi="Arial" w:cs="Arial"/>
          <w:i/>
          <w:iCs/>
          <w:sz w:val="24"/>
          <w:szCs w:val="24"/>
        </w:rPr>
        <w:t>et al.</w:t>
      </w:r>
      <w:r w:rsidRPr="003F3781">
        <w:rPr>
          <w:rFonts w:ascii="Arial" w:hAnsi="Arial" w:cs="Arial"/>
          <w:sz w:val="24"/>
          <w:szCs w:val="24"/>
        </w:rPr>
        <w:t xml:space="preserve">, 2008). Root exudates, sugars, organic acids, amino acids and secondary metabolites are the principal currency by which plants shape this community, selectively enriching taxa capable of using particular carbon sources and responding chemotactically to specific root signals (Vives-Peris </w:t>
      </w:r>
      <w:r w:rsidR="00587082" w:rsidRPr="003F3781">
        <w:rPr>
          <w:rFonts w:ascii="Arial" w:hAnsi="Arial" w:cs="Arial"/>
          <w:i/>
          <w:iCs/>
          <w:sz w:val="24"/>
          <w:szCs w:val="24"/>
        </w:rPr>
        <w:t>et al.</w:t>
      </w:r>
      <w:r w:rsidRPr="003F3781">
        <w:rPr>
          <w:rFonts w:ascii="Arial" w:hAnsi="Arial" w:cs="Arial"/>
          <w:sz w:val="24"/>
          <w:szCs w:val="24"/>
        </w:rPr>
        <w:t xml:space="preserve">, 2020; Sasse </w:t>
      </w:r>
      <w:r w:rsidR="00587082" w:rsidRPr="003F3781">
        <w:rPr>
          <w:rFonts w:ascii="Arial" w:hAnsi="Arial" w:cs="Arial"/>
          <w:i/>
          <w:iCs/>
          <w:sz w:val="24"/>
          <w:szCs w:val="24"/>
        </w:rPr>
        <w:t>et al.</w:t>
      </w:r>
      <w:r w:rsidRPr="003F3781">
        <w:rPr>
          <w:rFonts w:ascii="Arial" w:hAnsi="Arial" w:cs="Arial"/>
          <w:sz w:val="24"/>
          <w:szCs w:val="24"/>
        </w:rPr>
        <w:t xml:space="preserve">, 2018). The </w:t>
      </w:r>
      <w:proofErr w:type="spellStart"/>
      <w:r w:rsidRPr="003F3781">
        <w:rPr>
          <w:rFonts w:ascii="Arial" w:hAnsi="Arial" w:cs="Arial"/>
          <w:sz w:val="24"/>
          <w:szCs w:val="24"/>
        </w:rPr>
        <w:t>endosphere</w:t>
      </w:r>
      <w:proofErr w:type="spellEnd"/>
      <w:r w:rsidRPr="003F3781">
        <w:rPr>
          <w:rFonts w:ascii="Arial" w:hAnsi="Arial" w:cs="Arial"/>
          <w:sz w:val="24"/>
          <w:szCs w:val="24"/>
        </w:rPr>
        <w:t xml:space="preserve">, comprising tissues internal to roots, stems and leaves, hosts endophytes that colonise intercellular or intracellular spaces without triggering overt defence responses; these may be obligate, transmitted vertically through seed, or facultative, recruited from the surrounding rhizosphere or </w:t>
      </w:r>
      <w:proofErr w:type="spellStart"/>
      <w:r w:rsidRPr="003F3781">
        <w:rPr>
          <w:rFonts w:ascii="Arial" w:hAnsi="Arial" w:cs="Arial"/>
          <w:sz w:val="24"/>
          <w:szCs w:val="24"/>
        </w:rPr>
        <w:t>phyllosphere</w:t>
      </w:r>
      <w:proofErr w:type="spellEnd"/>
      <w:r w:rsidRPr="003F3781">
        <w:rPr>
          <w:rFonts w:ascii="Arial" w:hAnsi="Arial" w:cs="Arial"/>
          <w:sz w:val="24"/>
          <w:szCs w:val="24"/>
        </w:rPr>
        <w:t xml:space="preserve"> (</w:t>
      </w:r>
      <w:proofErr w:type="spellStart"/>
      <w:r w:rsidRPr="003F3781">
        <w:rPr>
          <w:rFonts w:ascii="Arial" w:hAnsi="Arial" w:cs="Arial"/>
          <w:sz w:val="24"/>
          <w:szCs w:val="24"/>
        </w:rPr>
        <w:t>Hardoim</w:t>
      </w:r>
      <w:proofErr w:type="spellEnd"/>
      <w:r w:rsidRPr="003F3781">
        <w:rPr>
          <w:rFonts w:ascii="Arial" w:hAnsi="Arial" w:cs="Arial"/>
          <w:sz w:val="24"/>
          <w:szCs w:val="24"/>
        </w:rPr>
        <w:t xml:space="preserve"> </w:t>
      </w:r>
      <w:r w:rsidR="00587082" w:rsidRPr="003F3781">
        <w:rPr>
          <w:rFonts w:ascii="Arial" w:hAnsi="Arial" w:cs="Arial"/>
          <w:i/>
          <w:iCs/>
          <w:sz w:val="24"/>
          <w:szCs w:val="24"/>
        </w:rPr>
        <w:t>et al.</w:t>
      </w:r>
      <w:r w:rsidRPr="003F3781">
        <w:rPr>
          <w:rFonts w:ascii="Arial" w:hAnsi="Arial" w:cs="Arial"/>
          <w:sz w:val="24"/>
          <w:szCs w:val="24"/>
        </w:rPr>
        <w:t xml:space="preserve">, 2015; Samreen </w:t>
      </w:r>
      <w:r w:rsidR="00587082" w:rsidRPr="003F3781">
        <w:rPr>
          <w:rFonts w:ascii="Arial" w:hAnsi="Arial" w:cs="Arial"/>
          <w:i/>
          <w:iCs/>
          <w:sz w:val="24"/>
          <w:szCs w:val="24"/>
        </w:rPr>
        <w:t>et al.</w:t>
      </w:r>
      <w:r w:rsidRPr="003F3781">
        <w:rPr>
          <w:rFonts w:ascii="Arial" w:hAnsi="Arial" w:cs="Arial"/>
          <w:sz w:val="24"/>
          <w:szCs w:val="24"/>
        </w:rPr>
        <w:t xml:space="preserve">, 2021). The </w:t>
      </w:r>
      <w:proofErr w:type="spellStart"/>
      <w:r w:rsidRPr="003F3781">
        <w:rPr>
          <w:rFonts w:ascii="Arial" w:hAnsi="Arial" w:cs="Arial"/>
          <w:sz w:val="24"/>
          <w:szCs w:val="24"/>
        </w:rPr>
        <w:t>phyllosphere</w:t>
      </w:r>
      <w:proofErr w:type="spellEnd"/>
      <w:r w:rsidRPr="003F3781">
        <w:rPr>
          <w:rFonts w:ascii="Arial" w:hAnsi="Arial" w:cs="Arial"/>
          <w:sz w:val="24"/>
          <w:szCs w:val="24"/>
        </w:rPr>
        <w:t xml:space="preserve">, aerial plant surfaces, is a comparatively nutrient-poor and environmentally exposed habitat whose resident bacteria nonetheless contribute measurably to foliar disease resistance, as shown by the protective effect of native Arabidopsis leaf bacterial communities against </w:t>
      </w:r>
      <w:r w:rsidRPr="003F3781">
        <w:rPr>
          <w:rFonts w:ascii="Arial" w:hAnsi="Arial" w:cs="Arial"/>
          <w:i/>
          <w:iCs/>
          <w:sz w:val="24"/>
          <w:szCs w:val="24"/>
        </w:rPr>
        <w:lastRenderedPageBreak/>
        <w:t xml:space="preserve">Pseudomonas </w:t>
      </w:r>
      <w:proofErr w:type="spellStart"/>
      <w:r w:rsidRPr="003F3781">
        <w:rPr>
          <w:rFonts w:ascii="Arial" w:hAnsi="Arial" w:cs="Arial"/>
          <w:i/>
          <w:iCs/>
          <w:sz w:val="24"/>
          <w:szCs w:val="24"/>
        </w:rPr>
        <w:t>syringae</w:t>
      </w:r>
      <w:proofErr w:type="spellEnd"/>
      <w:r w:rsidRPr="003F3781">
        <w:rPr>
          <w:rFonts w:ascii="Arial" w:hAnsi="Arial" w:cs="Arial"/>
          <w:sz w:val="24"/>
          <w:szCs w:val="24"/>
        </w:rPr>
        <w:t xml:space="preserve"> (Vogel </w:t>
      </w:r>
      <w:r w:rsidR="00587082" w:rsidRPr="003F3781">
        <w:rPr>
          <w:rFonts w:ascii="Arial" w:hAnsi="Arial" w:cs="Arial"/>
          <w:i/>
          <w:iCs/>
          <w:sz w:val="24"/>
          <w:szCs w:val="24"/>
        </w:rPr>
        <w:t>et al.</w:t>
      </w:r>
      <w:r w:rsidRPr="003F3781">
        <w:rPr>
          <w:rFonts w:ascii="Arial" w:hAnsi="Arial" w:cs="Arial"/>
          <w:sz w:val="24"/>
          <w:szCs w:val="24"/>
        </w:rPr>
        <w:t xml:space="preserve">, 2021). The seed microbiome, finally, provides the founder inoculum for many of these compartments and is increasingly recognised as a heritable component of plant-microbiome continuity across generations (Samreen </w:t>
      </w:r>
      <w:r w:rsidR="00587082" w:rsidRPr="003F3781">
        <w:rPr>
          <w:rFonts w:ascii="Arial" w:hAnsi="Arial" w:cs="Arial"/>
          <w:i/>
          <w:iCs/>
          <w:sz w:val="24"/>
          <w:szCs w:val="24"/>
        </w:rPr>
        <w:t>et al.</w:t>
      </w:r>
      <w:r w:rsidRPr="003F3781">
        <w:rPr>
          <w:rFonts w:ascii="Arial" w:hAnsi="Arial" w:cs="Arial"/>
          <w:sz w:val="24"/>
          <w:szCs w:val="24"/>
        </w:rPr>
        <w:t xml:space="preserve">, 2021; Bakker </w:t>
      </w:r>
      <w:r w:rsidR="00587082" w:rsidRPr="003F3781">
        <w:rPr>
          <w:rFonts w:ascii="Arial" w:hAnsi="Arial" w:cs="Arial"/>
          <w:i/>
          <w:iCs/>
          <w:sz w:val="24"/>
          <w:szCs w:val="24"/>
        </w:rPr>
        <w:t>et al.</w:t>
      </w:r>
      <w:r w:rsidRPr="003F3781">
        <w:rPr>
          <w:rFonts w:ascii="Arial" w:hAnsi="Arial" w:cs="Arial"/>
          <w:sz w:val="24"/>
          <w:szCs w:val="24"/>
        </w:rPr>
        <w:t>, 2018).</w:t>
      </w:r>
    </w:p>
    <w:p w14:paraId="6D31E02B" w14:textId="77777777" w:rsidR="00F764C3" w:rsidRPr="003F3781" w:rsidRDefault="00F764C3" w:rsidP="008A0374">
      <w:pPr>
        <w:spacing w:after="200" w:line="276" w:lineRule="auto"/>
        <w:jc w:val="both"/>
        <w:rPr>
          <w:rFonts w:ascii="Arial" w:hAnsi="Arial" w:cs="Arial"/>
          <w:sz w:val="24"/>
          <w:szCs w:val="24"/>
        </w:rPr>
      </w:pPr>
      <w:r w:rsidRPr="003F3781">
        <w:rPr>
          <w:rFonts w:ascii="Arial" w:hAnsi="Arial" w:cs="Arial"/>
          <w:sz w:val="24"/>
          <w:szCs w:val="24"/>
        </w:rPr>
        <w:tab/>
        <w:t xml:space="preserve">These compartments are compositionally distinct but functionally interdependent, and all are shaped by an overlapping set of deterministic and stochastic factors, including host genotype and developmental stage, soil physicochemical properties, climate, agricultural management (tillage, crop rotation, fertiliser and pesticide regime), nutrient status, and prior or ongoing pathogen pressure. Host genotype exerts a particularly strong filtering effect; breeding history itself can alter rhizosphere microbiome composition and function, as demonstrated in common bean, where resistance breeding measurably shifted the rhizosphere community (Mendes </w:t>
      </w:r>
      <w:r w:rsidRPr="003F3781">
        <w:rPr>
          <w:rFonts w:ascii="Arial" w:hAnsi="Arial" w:cs="Arial"/>
          <w:i/>
          <w:iCs/>
          <w:sz w:val="24"/>
          <w:szCs w:val="24"/>
        </w:rPr>
        <w:t>et al.</w:t>
      </w:r>
      <w:r w:rsidRPr="003F3781">
        <w:rPr>
          <w:rFonts w:ascii="Arial" w:hAnsi="Arial" w:cs="Arial"/>
          <w:sz w:val="24"/>
          <w:szCs w:val="24"/>
        </w:rPr>
        <w:t xml:space="preserve">, 2018). Agricultural management is equally consequential: intensive tillage, monoculture and heavy agrochemical use tend to homogenise and simplify microbial communities, while diversified rotations, cover cropping and reduced chemical inputs favour more diverse, and often more disease-suppressive, assemblages (Trivedi </w:t>
      </w:r>
      <w:r w:rsidRPr="003F3781">
        <w:rPr>
          <w:rFonts w:ascii="Arial" w:hAnsi="Arial" w:cs="Arial"/>
          <w:i/>
          <w:iCs/>
          <w:sz w:val="24"/>
          <w:szCs w:val="24"/>
        </w:rPr>
        <w:t>et al.</w:t>
      </w:r>
      <w:r w:rsidRPr="003F3781">
        <w:rPr>
          <w:rFonts w:ascii="Arial" w:hAnsi="Arial" w:cs="Arial"/>
          <w:sz w:val="24"/>
          <w:szCs w:val="24"/>
        </w:rPr>
        <w:t>, 2022). Assembly is therefore not a single event but a continuous, multi-scale filtering process in which host signalling, microbe-microbe competition and environmental selection jointly determine which taxa establish, persist and function within each compartment.</w:t>
      </w:r>
    </w:p>
    <w:p w14:paraId="2D71C503" w14:textId="77777777" w:rsidR="00E478C3" w:rsidRPr="003F3781" w:rsidRDefault="00F764C3" w:rsidP="008A0374">
      <w:pPr>
        <w:spacing w:after="200" w:line="276" w:lineRule="auto"/>
        <w:jc w:val="both"/>
        <w:rPr>
          <w:rFonts w:ascii="Arial" w:hAnsi="Arial" w:cs="Arial"/>
          <w:sz w:val="24"/>
          <w:szCs w:val="24"/>
        </w:rPr>
      </w:pPr>
      <w:r w:rsidRPr="003F3781">
        <w:rPr>
          <w:rFonts w:ascii="Arial" w:hAnsi="Arial" w:cs="Arial"/>
          <w:sz w:val="24"/>
          <w:szCs w:val="24"/>
        </w:rPr>
        <w:tab/>
        <w:t xml:space="preserve">For the purposes of this review, the relevant question is not simply which bacterial and fungal phyla dominate each niche, a matter well covered by microbiology textbooks, but which assembly-shaping factors are actually mobilised, or exploitable, for disease resistance. Three findings are especially consequential for the reprogramming agenda developed later in this review. First, plant genetic control over exudation is sufficient to restructure the rhizosphere community. The ethylene-insensitive Never ripe (NR) tomato mutant shows altered root exudate composition and a correspondingly restructured rhizosphere bacterial community relative to the wild type (Fu </w:t>
      </w:r>
      <w:r w:rsidRPr="003F3781">
        <w:rPr>
          <w:rFonts w:ascii="Arial" w:hAnsi="Arial" w:cs="Arial"/>
          <w:i/>
          <w:iCs/>
          <w:color w:val="000000" w:themeColor="text1"/>
          <w:sz w:val="24"/>
          <w:szCs w:val="24"/>
        </w:rPr>
        <w:t>et al.</w:t>
      </w:r>
      <w:r w:rsidRPr="003F3781">
        <w:rPr>
          <w:rFonts w:ascii="Arial" w:hAnsi="Arial" w:cs="Arial"/>
          <w:sz w:val="24"/>
          <w:szCs w:val="24"/>
        </w:rPr>
        <w:t xml:space="preserve">, 2021), while, separately, knockdown of the ethylene response factor gene ERF-E2 alters root exudate composition in a way that increases the attraction of the root-knot and cyst nematodes Meloidogyne incognita and </w:t>
      </w:r>
      <w:r w:rsidRPr="003F3781">
        <w:rPr>
          <w:rFonts w:ascii="Arial" w:hAnsi="Arial" w:cs="Arial"/>
          <w:i/>
          <w:iCs/>
          <w:color w:val="000000" w:themeColor="text1"/>
          <w:sz w:val="24"/>
          <w:szCs w:val="24"/>
        </w:rPr>
        <w:t>Globodera pallida</w:t>
      </w:r>
      <w:r w:rsidRPr="003F3781">
        <w:rPr>
          <w:rFonts w:ascii="Arial" w:hAnsi="Arial" w:cs="Arial"/>
          <w:sz w:val="24"/>
          <w:szCs w:val="24"/>
        </w:rPr>
        <w:t>, though this same exudate change did not alter the attraction of the two rhizosphere bacteria tested (</w:t>
      </w:r>
      <w:r w:rsidRPr="003F3781">
        <w:rPr>
          <w:rFonts w:ascii="Arial" w:hAnsi="Arial" w:cs="Arial"/>
          <w:i/>
          <w:iCs/>
          <w:color w:val="000000" w:themeColor="text1"/>
          <w:sz w:val="24"/>
          <w:szCs w:val="24"/>
        </w:rPr>
        <w:t>Bacillus subtilis</w:t>
      </w:r>
      <w:r w:rsidRPr="003F3781">
        <w:rPr>
          <w:rFonts w:ascii="Arial" w:hAnsi="Arial" w:cs="Arial"/>
          <w:sz w:val="24"/>
          <w:szCs w:val="24"/>
        </w:rPr>
        <w:t xml:space="preserve">, </w:t>
      </w:r>
      <w:r w:rsidRPr="003F3781">
        <w:rPr>
          <w:rFonts w:ascii="Arial" w:hAnsi="Arial" w:cs="Arial"/>
          <w:i/>
          <w:iCs/>
          <w:color w:val="000000" w:themeColor="text1"/>
          <w:sz w:val="24"/>
          <w:szCs w:val="24"/>
        </w:rPr>
        <w:t>Agrobacterium tumefaciens</w:t>
      </w:r>
      <w:r w:rsidRPr="003F3781">
        <w:rPr>
          <w:rFonts w:ascii="Arial" w:hAnsi="Arial" w:cs="Arial"/>
          <w:sz w:val="24"/>
          <w:szCs w:val="24"/>
        </w:rPr>
        <w:t xml:space="preserve">) in the same study (Dyer </w:t>
      </w:r>
      <w:r w:rsidRPr="003F3781">
        <w:rPr>
          <w:rFonts w:ascii="Arial" w:hAnsi="Arial" w:cs="Arial"/>
          <w:i/>
          <w:iCs/>
          <w:color w:val="000000" w:themeColor="text1"/>
          <w:sz w:val="24"/>
          <w:szCs w:val="24"/>
        </w:rPr>
        <w:t>et al.</w:t>
      </w:r>
      <w:r w:rsidRPr="003F3781">
        <w:rPr>
          <w:rFonts w:ascii="Arial" w:hAnsi="Arial" w:cs="Arial"/>
          <w:sz w:val="24"/>
          <w:szCs w:val="24"/>
        </w:rPr>
        <w:t xml:space="preserve">, 2019). Together, these findings indicate that root-exudate genetics is a tractable lever for microbiome assembly and for nematode-attraction phenotypes, though the two effects (microbiome restructuring and altered nematode attraction) have so far been demonstrated in different genes and different studies rather than as a single unified mechanism. Second, microbiome assembly is not static across a plant's lifetime but tracks developmental stage and, notably, disease pressure, since pathogen challenge itself measurably restructures the resident community (discussed in detail in Section 6). Third, assembly outcomes are strongly context-dependent: the same plant genotype grown under field versus greenhouse conditions recruits markedly different, and differently structured, microbial networks, with field-grown tomato rhizospheres showing greater network connectivity and a distinct keystone-taxon profile compared with greenhouse-grown counterparts (Zhou </w:t>
      </w:r>
      <w:r w:rsidRPr="003F3781">
        <w:rPr>
          <w:rFonts w:ascii="Arial" w:hAnsi="Arial" w:cs="Arial"/>
          <w:i/>
          <w:iCs/>
          <w:color w:val="000000" w:themeColor="text1"/>
          <w:sz w:val="24"/>
          <w:szCs w:val="24"/>
        </w:rPr>
        <w:t>et al.</w:t>
      </w:r>
      <w:r w:rsidRPr="003F3781">
        <w:rPr>
          <w:rFonts w:ascii="Arial" w:hAnsi="Arial" w:cs="Arial"/>
          <w:sz w:val="24"/>
          <w:szCs w:val="24"/>
        </w:rPr>
        <w:t>, 2022). This context dependence is a recurring theme throughout this review and underlies much of the difficulty in translating laboratory-validated microbiome interventions into reliable field performance.</w:t>
      </w:r>
    </w:p>
    <w:p w14:paraId="009FD371" w14:textId="77777777" w:rsidR="00E478C3" w:rsidRPr="003F3781" w:rsidRDefault="00E478C3" w:rsidP="008A0374">
      <w:pPr>
        <w:spacing w:after="200" w:line="276" w:lineRule="auto"/>
        <w:jc w:val="both"/>
        <w:rPr>
          <w:rFonts w:ascii="Arial" w:hAnsi="Arial" w:cs="Arial"/>
          <w:b/>
          <w:bCs/>
          <w:sz w:val="24"/>
          <w:szCs w:val="24"/>
        </w:rPr>
      </w:pPr>
      <w:r w:rsidRPr="003F3781">
        <w:rPr>
          <w:rFonts w:ascii="Arial" w:hAnsi="Arial" w:cs="Arial"/>
          <w:b/>
          <w:bCs/>
          <w:sz w:val="24"/>
          <w:szCs w:val="24"/>
        </w:rPr>
        <w:t>Table 1. Major plant</w:t>
      </w:r>
      <w:r w:rsidR="001B036B" w:rsidRPr="003F3781">
        <w:rPr>
          <w:rFonts w:ascii="Arial" w:hAnsi="Arial" w:cs="Arial"/>
          <w:b/>
          <w:bCs/>
          <w:sz w:val="24"/>
          <w:szCs w:val="24"/>
        </w:rPr>
        <w:t>-</w:t>
      </w:r>
      <w:r w:rsidRPr="003F3781">
        <w:rPr>
          <w:rFonts w:ascii="Arial" w:hAnsi="Arial" w:cs="Arial"/>
          <w:b/>
          <w:bCs/>
          <w:sz w:val="24"/>
          <w:szCs w:val="24"/>
        </w:rPr>
        <w:t>associated microbiome compartments and their potential roles in disease defence.</w:t>
      </w:r>
    </w:p>
    <w:tbl>
      <w:tblPr>
        <w:tblStyle w:val="TableGrid"/>
        <w:tblW w:w="9833" w:type="dxa"/>
        <w:jc w:val="center"/>
        <w:tblLook w:val="04A0" w:firstRow="1" w:lastRow="0" w:firstColumn="1" w:lastColumn="0" w:noHBand="0" w:noVBand="1"/>
      </w:tblPr>
      <w:tblGrid>
        <w:gridCol w:w="1561"/>
        <w:gridCol w:w="2203"/>
        <w:gridCol w:w="2766"/>
        <w:gridCol w:w="1582"/>
        <w:gridCol w:w="1721"/>
      </w:tblGrid>
      <w:tr w:rsidR="00BB66DD" w:rsidRPr="003F3781" w14:paraId="482CE10B" w14:textId="77777777" w:rsidTr="00BB66DD">
        <w:trPr>
          <w:jc w:val="center"/>
        </w:trPr>
        <w:tc>
          <w:tcPr>
            <w:tcW w:w="1555" w:type="dxa"/>
          </w:tcPr>
          <w:p w14:paraId="0E7F573E" w14:textId="77777777" w:rsidR="00BB66DD" w:rsidRPr="003F3781" w:rsidRDefault="00BB66DD" w:rsidP="008A0374">
            <w:pPr>
              <w:spacing w:line="276" w:lineRule="auto"/>
              <w:rPr>
                <w:rFonts w:ascii="Arial" w:hAnsi="Arial" w:cs="Arial"/>
                <w:sz w:val="20"/>
                <w:szCs w:val="20"/>
              </w:rPr>
            </w:pPr>
            <w:r w:rsidRPr="003F3781">
              <w:rPr>
                <w:rFonts w:ascii="Arial" w:hAnsi="Arial" w:cs="Arial"/>
                <w:b/>
                <w:bCs/>
                <w:sz w:val="20"/>
                <w:szCs w:val="20"/>
              </w:rPr>
              <w:lastRenderedPageBreak/>
              <w:t>Compartment</w:t>
            </w:r>
          </w:p>
        </w:tc>
        <w:tc>
          <w:tcPr>
            <w:tcW w:w="2203" w:type="dxa"/>
          </w:tcPr>
          <w:p w14:paraId="46429A0D" w14:textId="77777777" w:rsidR="00BB66DD" w:rsidRPr="003F3781" w:rsidRDefault="00BB66DD" w:rsidP="008A0374">
            <w:pPr>
              <w:spacing w:line="276" w:lineRule="auto"/>
              <w:rPr>
                <w:rFonts w:ascii="Arial" w:hAnsi="Arial" w:cs="Arial"/>
                <w:sz w:val="20"/>
                <w:szCs w:val="20"/>
              </w:rPr>
            </w:pPr>
            <w:r w:rsidRPr="003F3781">
              <w:rPr>
                <w:rFonts w:ascii="Arial" w:hAnsi="Arial" w:cs="Arial"/>
                <w:b/>
                <w:bCs/>
                <w:sz w:val="20"/>
                <w:szCs w:val="20"/>
              </w:rPr>
              <w:t>Representative Taxa</w:t>
            </w:r>
          </w:p>
        </w:tc>
        <w:tc>
          <w:tcPr>
            <w:tcW w:w="0" w:type="auto"/>
          </w:tcPr>
          <w:p w14:paraId="041CB05E" w14:textId="77777777" w:rsidR="00BB66DD" w:rsidRPr="003F3781" w:rsidRDefault="00BB66DD" w:rsidP="008A0374">
            <w:pPr>
              <w:spacing w:line="276" w:lineRule="auto"/>
              <w:rPr>
                <w:rFonts w:ascii="Arial" w:hAnsi="Arial" w:cs="Arial"/>
                <w:sz w:val="20"/>
                <w:szCs w:val="20"/>
              </w:rPr>
            </w:pPr>
            <w:r w:rsidRPr="003F3781">
              <w:rPr>
                <w:rFonts w:ascii="Arial" w:hAnsi="Arial" w:cs="Arial"/>
                <w:b/>
                <w:bCs/>
                <w:sz w:val="20"/>
                <w:szCs w:val="20"/>
              </w:rPr>
              <w:t>Key Assembly Drivers</w:t>
            </w:r>
          </w:p>
        </w:tc>
        <w:tc>
          <w:tcPr>
            <w:tcW w:w="0" w:type="auto"/>
          </w:tcPr>
          <w:p w14:paraId="5BA6B474" w14:textId="77777777" w:rsidR="00BB66DD" w:rsidRPr="003F3781" w:rsidRDefault="00BB66DD" w:rsidP="008A0374">
            <w:pPr>
              <w:spacing w:line="276" w:lineRule="auto"/>
              <w:rPr>
                <w:rFonts w:ascii="Arial" w:hAnsi="Arial" w:cs="Arial"/>
                <w:sz w:val="20"/>
                <w:szCs w:val="20"/>
              </w:rPr>
            </w:pPr>
            <w:r w:rsidRPr="003F3781">
              <w:rPr>
                <w:rFonts w:ascii="Arial" w:hAnsi="Arial" w:cs="Arial"/>
                <w:b/>
                <w:bCs/>
                <w:sz w:val="20"/>
                <w:szCs w:val="20"/>
              </w:rPr>
              <w:t>Potential Role in Disease Defence</w:t>
            </w:r>
          </w:p>
        </w:tc>
        <w:tc>
          <w:tcPr>
            <w:tcW w:w="0" w:type="auto"/>
          </w:tcPr>
          <w:p w14:paraId="2565A9B9" w14:textId="77777777" w:rsidR="00BB66DD" w:rsidRPr="003F3781" w:rsidRDefault="00BB66DD" w:rsidP="008A0374">
            <w:pPr>
              <w:spacing w:line="276" w:lineRule="auto"/>
              <w:rPr>
                <w:rFonts w:ascii="Arial" w:hAnsi="Arial" w:cs="Arial"/>
                <w:sz w:val="20"/>
                <w:szCs w:val="20"/>
              </w:rPr>
            </w:pPr>
            <w:r w:rsidRPr="003F3781">
              <w:rPr>
                <w:rFonts w:ascii="Arial" w:hAnsi="Arial" w:cs="Arial"/>
                <w:b/>
                <w:bCs/>
                <w:sz w:val="20"/>
                <w:szCs w:val="20"/>
              </w:rPr>
              <w:t>Representative Reference(s)</w:t>
            </w:r>
          </w:p>
        </w:tc>
      </w:tr>
      <w:tr w:rsidR="00BB66DD" w:rsidRPr="003F3781" w14:paraId="1CB8F226" w14:textId="77777777" w:rsidTr="00BB66DD">
        <w:trPr>
          <w:jc w:val="center"/>
        </w:trPr>
        <w:tc>
          <w:tcPr>
            <w:tcW w:w="1555" w:type="dxa"/>
          </w:tcPr>
          <w:p w14:paraId="7CC23DBB" w14:textId="77777777" w:rsidR="00BB66DD" w:rsidRPr="003F3781" w:rsidRDefault="00BB66DD" w:rsidP="008A0374">
            <w:pPr>
              <w:spacing w:line="276" w:lineRule="auto"/>
              <w:rPr>
                <w:rFonts w:ascii="Arial" w:hAnsi="Arial" w:cs="Arial"/>
                <w:sz w:val="20"/>
                <w:szCs w:val="20"/>
              </w:rPr>
            </w:pPr>
            <w:r w:rsidRPr="003F3781">
              <w:rPr>
                <w:rFonts w:ascii="Arial" w:hAnsi="Arial" w:cs="Arial"/>
                <w:sz w:val="20"/>
                <w:szCs w:val="20"/>
              </w:rPr>
              <w:t>Rhizosphere</w:t>
            </w:r>
          </w:p>
        </w:tc>
        <w:tc>
          <w:tcPr>
            <w:tcW w:w="2203" w:type="dxa"/>
          </w:tcPr>
          <w:p w14:paraId="42C72DDD" w14:textId="77777777" w:rsidR="00BB66DD" w:rsidRPr="003F3781" w:rsidRDefault="00BB66DD" w:rsidP="008A0374">
            <w:pPr>
              <w:spacing w:line="276" w:lineRule="auto"/>
              <w:rPr>
                <w:rFonts w:ascii="Arial" w:hAnsi="Arial" w:cs="Arial"/>
                <w:sz w:val="20"/>
                <w:szCs w:val="20"/>
              </w:rPr>
            </w:pPr>
            <w:r w:rsidRPr="003F3781">
              <w:rPr>
                <w:rFonts w:ascii="Arial" w:hAnsi="Arial" w:cs="Arial"/>
                <w:sz w:val="20"/>
                <w:szCs w:val="20"/>
              </w:rPr>
              <w:t>Bacillus, Pseudomonas, Trichoderma, mycorrhizal fungi</w:t>
            </w:r>
          </w:p>
        </w:tc>
        <w:tc>
          <w:tcPr>
            <w:tcW w:w="0" w:type="auto"/>
          </w:tcPr>
          <w:p w14:paraId="6E3745BC" w14:textId="77777777" w:rsidR="00BB66DD" w:rsidRPr="003F3781" w:rsidRDefault="00BB66DD" w:rsidP="008A0374">
            <w:pPr>
              <w:spacing w:line="276" w:lineRule="auto"/>
              <w:rPr>
                <w:rFonts w:ascii="Arial" w:hAnsi="Arial" w:cs="Arial"/>
                <w:sz w:val="20"/>
                <w:szCs w:val="20"/>
              </w:rPr>
            </w:pPr>
            <w:r w:rsidRPr="003F3781">
              <w:rPr>
                <w:rFonts w:ascii="Arial" w:hAnsi="Arial" w:cs="Arial"/>
                <w:sz w:val="20"/>
                <w:szCs w:val="20"/>
              </w:rPr>
              <w:t>Root exudates, soil type, host genotype, agronomic management</w:t>
            </w:r>
          </w:p>
        </w:tc>
        <w:tc>
          <w:tcPr>
            <w:tcW w:w="0" w:type="auto"/>
          </w:tcPr>
          <w:p w14:paraId="597B1DF4" w14:textId="77777777" w:rsidR="00BB66DD" w:rsidRPr="003F3781" w:rsidRDefault="00BB66DD" w:rsidP="008A0374">
            <w:pPr>
              <w:spacing w:line="276" w:lineRule="auto"/>
              <w:rPr>
                <w:rFonts w:ascii="Arial" w:hAnsi="Arial" w:cs="Arial"/>
                <w:sz w:val="20"/>
                <w:szCs w:val="20"/>
              </w:rPr>
            </w:pPr>
            <w:r w:rsidRPr="003F3781">
              <w:rPr>
                <w:rFonts w:ascii="Arial" w:hAnsi="Arial" w:cs="Arial"/>
                <w:sz w:val="20"/>
                <w:szCs w:val="20"/>
              </w:rPr>
              <w:t>Nutrient competition, antibiosis, ISR priming, siderophore-mediated iron competition</w:t>
            </w:r>
          </w:p>
        </w:tc>
        <w:tc>
          <w:tcPr>
            <w:tcW w:w="0" w:type="auto"/>
          </w:tcPr>
          <w:p w14:paraId="6338FFC4" w14:textId="77777777" w:rsidR="00BB66DD" w:rsidRPr="003F3781" w:rsidRDefault="00BB66DD" w:rsidP="008A0374">
            <w:pPr>
              <w:spacing w:line="276" w:lineRule="auto"/>
              <w:rPr>
                <w:rFonts w:ascii="Arial" w:hAnsi="Arial" w:cs="Arial"/>
                <w:sz w:val="20"/>
                <w:szCs w:val="20"/>
              </w:rPr>
            </w:pPr>
            <w:r w:rsidRPr="003F3781">
              <w:rPr>
                <w:rFonts w:ascii="Arial" w:hAnsi="Arial" w:cs="Arial"/>
                <w:sz w:val="20"/>
                <w:szCs w:val="20"/>
              </w:rPr>
              <w:t xml:space="preserve">Mendes </w:t>
            </w:r>
            <w:r w:rsidR="00587082" w:rsidRPr="003F3781">
              <w:rPr>
                <w:rFonts w:ascii="Arial" w:hAnsi="Arial" w:cs="Arial"/>
                <w:i/>
                <w:iCs/>
                <w:sz w:val="20"/>
                <w:szCs w:val="20"/>
              </w:rPr>
              <w:t>et al.</w:t>
            </w:r>
            <w:r w:rsidRPr="003F3781">
              <w:rPr>
                <w:rFonts w:ascii="Arial" w:hAnsi="Arial" w:cs="Arial"/>
                <w:sz w:val="20"/>
                <w:szCs w:val="20"/>
              </w:rPr>
              <w:t xml:space="preserve">, 2011; Ali </w:t>
            </w:r>
            <w:r w:rsidR="00587082" w:rsidRPr="003F3781">
              <w:rPr>
                <w:rFonts w:ascii="Arial" w:hAnsi="Arial" w:cs="Arial"/>
                <w:i/>
                <w:iCs/>
                <w:sz w:val="20"/>
                <w:szCs w:val="20"/>
              </w:rPr>
              <w:t>et al.</w:t>
            </w:r>
            <w:r w:rsidRPr="003F3781">
              <w:rPr>
                <w:rFonts w:ascii="Arial" w:hAnsi="Arial" w:cs="Arial"/>
                <w:sz w:val="20"/>
                <w:szCs w:val="20"/>
              </w:rPr>
              <w:t>, 2023</w:t>
            </w:r>
          </w:p>
        </w:tc>
      </w:tr>
      <w:tr w:rsidR="00BB66DD" w:rsidRPr="003F3781" w14:paraId="174FA2A1" w14:textId="77777777" w:rsidTr="00BB66DD">
        <w:trPr>
          <w:jc w:val="center"/>
        </w:trPr>
        <w:tc>
          <w:tcPr>
            <w:tcW w:w="1555" w:type="dxa"/>
          </w:tcPr>
          <w:p w14:paraId="7E2E5D83" w14:textId="77777777" w:rsidR="00BB66DD" w:rsidRPr="003F3781" w:rsidRDefault="00BB66DD" w:rsidP="008A0374">
            <w:pPr>
              <w:spacing w:line="276" w:lineRule="auto"/>
              <w:rPr>
                <w:rFonts w:ascii="Arial" w:hAnsi="Arial" w:cs="Arial"/>
                <w:sz w:val="20"/>
                <w:szCs w:val="20"/>
              </w:rPr>
            </w:pPr>
            <w:proofErr w:type="spellStart"/>
            <w:r w:rsidRPr="003F3781">
              <w:rPr>
                <w:rFonts w:ascii="Arial" w:hAnsi="Arial" w:cs="Arial"/>
                <w:sz w:val="20"/>
                <w:szCs w:val="20"/>
              </w:rPr>
              <w:t>Endosphere</w:t>
            </w:r>
            <w:proofErr w:type="spellEnd"/>
            <w:r w:rsidRPr="003F3781">
              <w:rPr>
                <w:rFonts w:ascii="Arial" w:hAnsi="Arial" w:cs="Arial"/>
                <w:sz w:val="20"/>
                <w:szCs w:val="20"/>
              </w:rPr>
              <w:t xml:space="preserve"> (root/stem/leaf)</w:t>
            </w:r>
          </w:p>
        </w:tc>
        <w:tc>
          <w:tcPr>
            <w:tcW w:w="2203" w:type="dxa"/>
          </w:tcPr>
          <w:p w14:paraId="53C67641" w14:textId="77777777" w:rsidR="00BB66DD" w:rsidRPr="003F3781" w:rsidRDefault="00BB66DD" w:rsidP="008A0374">
            <w:pPr>
              <w:spacing w:line="276" w:lineRule="auto"/>
              <w:rPr>
                <w:rFonts w:ascii="Arial" w:hAnsi="Arial" w:cs="Arial"/>
                <w:sz w:val="20"/>
                <w:szCs w:val="20"/>
              </w:rPr>
            </w:pPr>
            <w:r w:rsidRPr="003F3781">
              <w:rPr>
                <w:rFonts w:ascii="Arial" w:hAnsi="Arial" w:cs="Arial"/>
                <w:sz w:val="20"/>
                <w:szCs w:val="20"/>
              </w:rPr>
              <w:t xml:space="preserve">Endophytic Bacillus, Pseudomonas, </w:t>
            </w:r>
            <w:proofErr w:type="spellStart"/>
            <w:r w:rsidRPr="003F3781">
              <w:rPr>
                <w:rFonts w:ascii="Arial" w:hAnsi="Arial" w:cs="Arial"/>
                <w:sz w:val="20"/>
                <w:szCs w:val="20"/>
              </w:rPr>
              <w:t>Methylobacterium</w:t>
            </w:r>
            <w:proofErr w:type="spellEnd"/>
            <w:r w:rsidRPr="003F3781">
              <w:rPr>
                <w:rFonts w:ascii="Arial" w:hAnsi="Arial" w:cs="Arial"/>
                <w:sz w:val="20"/>
                <w:szCs w:val="20"/>
              </w:rPr>
              <w:t>, endophytic fungi</w:t>
            </w:r>
          </w:p>
        </w:tc>
        <w:tc>
          <w:tcPr>
            <w:tcW w:w="0" w:type="auto"/>
          </w:tcPr>
          <w:p w14:paraId="7FB38BA1" w14:textId="77777777" w:rsidR="00BB66DD" w:rsidRPr="003F3781" w:rsidRDefault="00BB66DD" w:rsidP="008A0374">
            <w:pPr>
              <w:spacing w:line="276" w:lineRule="auto"/>
              <w:rPr>
                <w:rFonts w:ascii="Arial" w:hAnsi="Arial" w:cs="Arial"/>
                <w:sz w:val="20"/>
                <w:szCs w:val="20"/>
              </w:rPr>
            </w:pPr>
            <w:r w:rsidRPr="003F3781">
              <w:rPr>
                <w:rFonts w:ascii="Arial" w:hAnsi="Arial" w:cs="Arial"/>
                <w:sz w:val="20"/>
                <w:szCs w:val="20"/>
              </w:rPr>
              <w:t>Vertical (seed) and horizontal (rhizosphere/</w:t>
            </w:r>
            <w:proofErr w:type="spellStart"/>
            <w:r w:rsidRPr="003F3781">
              <w:rPr>
                <w:rFonts w:ascii="Arial" w:hAnsi="Arial" w:cs="Arial"/>
                <w:sz w:val="20"/>
                <w:szCs w:val="20"/>
              </w:rPr>
              <w:t>phyllosphere</w:t>
            </w:r>
            <w:proofErr w:type="spellEnd"/>
            <w:r w:rsidRPr="003F3781">
              <w:rPr>
                <w:rFonts w:ascii="Arial" w:hAnsi="Arial" w:cs="Arial"/>
                <w:sz w:val="20"/>
                <w:szCs w:val="20"/>
              </w:rPr>
              <w:t>) transmission; host immune tolerance</w:t>
            </w:r>
          </w:p>
        </w:tc>
        <w:tc>
          <w:tcPr>
            <w:tcW w:w="0" w:type="auto"/>
          </w:tcPr>
          <w:p w14:paraId="26008E89" w14:textId="77777777" w:rsidR="00BB66DD" w:rsidRPr="003F3781" w:rsidRDefault="00BB66DD" w:rsidP="008A0374">
            <w:pPr>
              <w:spacing w:line="276" w:lineRule="auto"/>
              <w:rPr>
                <w:rFonts w:ascii="Arial" w:hAnsi="Arial" w:cs="Arial"/>
                <w:sz w:val="20"/>
                <w:szCs w:val="20"/>
              </w:rPr>
            </w:pPr>
            <w:r w:rsidRPr="003F3781">
              <w:rPr>
                <w:rFonts w:ascii="Arial" w:hAnsi="Arial" w:cs="Arial"/>
                <w:sz w:val="20"/>
                <w:szCs w:val="20"/>
              </w:rPr>
              <w:t>ISR activation, antimicrobial metabolite production, siderophore-mediated pathogen suppression</w:t>
            </w:r>
          </w:p>
        </w:tc>
        <w:tc>
          <w:tcPr>
            <w:tcW w:w="0" w:type="auto"/>
          </w:tcPr>
          <w:p w14:paraId="7E68D8BC" w14:textId="77777777" w:rsidR="00BB66DD" w:rsidRPr="003F3781" w:rsidRDefault="001C392F" w:rsidP="008A0374">
            <w:pPr>
              <w:spacing w:line="276" w:lineRule="auto"/>
              <w:rPr>
                <w:rFonts w:ascii="Arial" w:hAnsi="Arial" w:cs="Arial"/>
                <w:sz w:val="20"/>
                <w:szCs w:val="20"/>
              </w:rPr>
            </w:pPr>
            <w:proofErr w:type="spellStart"/>
            <w:r w:rsidRPr="003F3781">
              <w:rPr>
                <w:rFonts w:ascii="Arial" w:hAnsi="Arial" w:cs="Arial"/>
                <w:sz w:val="20"/>
                <w:szCs w:val="20"/>
              </w:rPr>
              <w:t>Ardanov</w:t>
            </w:r>
            <w:proofErr w:type="spellEnd"/>
            <w:r w:rsidRPr="003F3781">
              <w:rPr>
                <w:rFonts w:ascii="Arial" w:hAnsi="Arial" w:cs="Arial"/>
                <w:sz w:val="20"/>
                <w:szCs w:val="20"/>
              </w:rPr>
              <w:t xml:space="preserve"> </w:t>
            </w:r>
            <w:r w:rsidR="00587082" w:rsidRPr="003F3781">
              <w:rPr>
                <w:rFonts w:ascii="Arial" w:hAnsi="Arial" w:cs="Arial"/>
                <w:i/>
                <w:iCs/>
                <w:sz w:val="20"/>
                <w:szCs w:val="20"/>
              </w:rPr>
              <w:t>et al.</w:t>
            </w:r>
            <w:r w:rsidRPr="003F3781">
              <w:rPr>
                <w:rFonts w:ascii="Arial" w:hAnsi="Arial" w:cs="Arial"/>
                <w:sz w:val="20"/>
                <w:szCs w:val="20"/>
              </w:rPr>
              <w:t>, 2012</w:t>
            </w:r>
            <w:r w:rsidR="00BB66DD" w:rsidRPr="003F3781">
              <w:rPr>
                <w:rFonts w:ascii="Arial" w:hAnsi="Arial" w:cs="Arial"/>
                <w:sz w:val="20"/>
                <w:szCs w:val="20"/>
              </w:rPr>
              <w:t xml:space="preserve">; Samreen </w:t>
            </w:r>
            <w:r w:rsidR="00587082" w:rsidRPr="003F3781">
              <w:rPr>
                <w:rFonts w:ascii="Arial" w:hAnsi="Arial" w:cs="Arial"/>
                <w:i/>
                <w:iCs/>
                <w:sz w:val="20"/>
                <w:szCs w:val="20"/>
              </w:rPr>
              <w:t>et al.</w:t>
            </w:r>
            <w:r w:rsidR="00BB66DD" w:rsidRPr="003F3781">
              <w:rPr>
                <w:rFonts w:ascii="Arial" w:hAnsi="Arial" w:cs="Arial"/>
                <w:sz w:val="20"/>
                <w:szCs w:val="20"/>
              </w:rPr>
              <w:t>, 2021</w:t>
            </w:r>
          </w:p>
        </w:tc>
      </w:tr>
      <w:tr w:rsidR="00BB66DD" w:rsidRPr="003F3781" w14:paraId="2A87DAB3" w14:textId="77777777" w:rsidTr="00BB66DD">
        <w:trPr>
          <w:jc w:val="center"/>
        </w:trPr>
        <w:tc>
          <w:tcPr>
            <w:tcW w:w="1555" w:type="dxa"/>
          </w:tcPr>
          <w:p w14:paraId="651EB78E" w14:textId="77777777" w:rsidR="00BB66DD" w:rsidRPr="003F3781" w:rsidRDefault="00BB66DD" w:rsidP="008A0374">
            <w:pPr>
              <w:spacing w:line="276" w:lineRule="auto"/>
              <w:rPr>
                <w:rFonts w:ascii="Arial" w:hAnsi="Arial" w:cs="Arial"/>
                <w:sz w:val="20"/>
                <w:szCs w:val="20"/>
              </w:rPr>
            </w:pPr>
            <w:proofErr w:type="spellStart"/>
            <w:r w:rsidRPr="003F3781">
              <w:rPr>
                <w:rFonts w:ascii="Arial" w:hAnsi="Arial" w:cs="Arial"/>
                <w:sz w:val="20"/>
                <w:szCs w:val="20"/>
              </w:rPr>
              <w:t>Phyllosphere</w:t>
            </w:r>
            <w:proofErr w:type="spellEnd"/>
          </w:p>
        </w:tc>
        <w:tc>
          <w:tcPr>
            <w:tcW w:w="2203" w:type="dxa"/>
          </w:tcPr>
          <w:p w14:paraId="66749DD9" w14:textId="77777777" w:rsidR="00BB66DD" w:rsidRPr="003F3781" w:rsidRDefault="00BB66DD" w:rsidP="008A0374">
            <w:pPr>
              <w:spacing w:line="276" w:lineRule="auto"/>
              <w:rPr>
                <w:rFonts w:ascii="Arial" w:hAnsi="Arial" w:cs="Arial"/>
                <w:sz w:val="20"/>
                <w:szCs w:val="20"/>
              </w:rPr>
            </w:pPr>
            <w:proofErr w:type="spellStart"/>
            <w:r w:rsidRPr="003F3781">
              <w:rPr>
                <w:rFonts w:ascii="Arial" w:hAnsi="Arial" w:cs="Arial"/>
                <w:sz w:val="20"/>
                <w:szCs w:val="20"/>
              </w:rPr>
              <w:t>Sphingomonas</w:t>
            </w:r>
            <w:proofErr w:type="spellEnd"/>
            <w:r w:rsidRPr="003F3781">
              <w:rPr>
                <w:rFonts w:ascii="Arial" w:hAnsi="Arial" w:cs="Arial"/>
                <w:sz w:val="20"/>
                <w:szCs w:val="20"/>
              </w:rPr>
              <w:t xml:space="preserve">, </w:t>
            </w:r>
            <w:proofErr w:type="spellStart"/>
            <w:r w:rsidRPr="003F3781">
              <w:rPr>
                <w:rFonts w:ascii="Arial" w:hAnsi="Arial" w:cs="Arial"/>
                <w:sz w:val="20"/>
                <w:szCs w:val="20"/>
              </w:rPr>
              <w:t>Methylobacterium</w:t>
            </w:r>
            <w:proofErr w:type="spellEnd"/>
            <w:r w:rsidRPr="003F3781">
              <w:rPr>
                <w:rFonts w:ascii="Arial" w:hAnsi="Arial" w:cs="Arial"/>
                <w:sz w:val="20"/>
                <w:szCs w:val="20"/>
              </w:rPr>
              <w:t xml:space="preserve">, </w:t>
            </w:r>
            <w:proofErr w:type="spellStart"/>
            <w:r w:rsidRPr="003F3781">
              <w:rPr>
                <w:rFonts w:ascii="Arial" w:hAnsi="Arial" w:cs="Arial"/>
                <w:sz w:val="20"/>
                <w:szCs w:val="20"/>
              </w:rPr>
              <w:t>Pantoea</w:t>
            </w:r>
            <w:proofErr w:type="spellEnd"/>
            <w:r w:rsidRPr="003F3781">
              <w:rPr>
                <w:rFonts w:ascii="Arial" w:hAnsi="Arial" w:cs="Arial"/>
                <w:sz w:val="20"/>
                <w:szCs w:val="20"/>
              </w:rPr>
              <w:t xml:space="preserve"> and other epiphytic genera</w:t>
            </w:r>
          </w:p>
        </w:tc>
        <w:tc>
          <w:tcPr>
            <w:tcW w:w="0" w:type="auto"/>
          </w:tcPr>
          <w:p w14:paraId="22D870D0" w14:textId="77777777" w:rsidR="00BB66DD" w:rsidRPr="003F3781" w:rsidRDefault="00BB66DD" w:rsidP="008A0374">
            <w:pPr>
              <w:spacing w:line="276" w:lineRule="auto"/>
              <w:rPr>
                <w:rFonts w:ascii="Arial" w:hAnsi="Arial" w:cs="Arial"/>
                <w:sz w:val="20"/>
                <w:szCs w:val="20"/>
              </w:rPr>
            </w:pPr>
            <w:r w:rsidRPr="003F3781">
              <w:rPr>
                <w:rFonts w:ascii="Arial" w:hAnsi="Arial" w:cs="Arial"/>
                <w:sz w:val="20"/>
                <w:szCs w:val="20"/>
              </w:rPr>
              <w:t>UV exposure, humidity, leaf surface chemistry, host genotype</w:t>
            </w:r>
          </w:p>
        </w:tc>
        <w:tc>
          <w:tcPr>
            <w:tcW w:w="0" w:type="auto"/>
          </w:tcPr>
          <w:p w14:paraId="646CB360" w14:textId="77777777" w:rsidR="00BB66DD" w:rsidRPr="003F3781" w:rsidRDefault="00BB66DD" w:rsidP="008A0374">
            <w:pPr>
              <w:spacing w:line="276" w:lineRule="auto"/>
              <w:rPr>
                <w:rFonts w:ascii="Arial" w:hAnsi="Arial" w:cs="Arial"/>
                <w:sz w:val="20"/>
                <w:szCs w:val="20"/>
              </w:rPr>
            </w:pPr>
            <w:r w:rsidRPr="003F3781">
              <w:rPr>
                <w:rFonts w:ascii="Arial" w:hAnsi="Arial" w:cs="Arial"/>
                <w:sz w:val="20"/>
                <w:szCs w:val="20"/>
              </w:rPr>
              <w:t>Direct antagonism of foliar pathogens; ISR/PTI priming; niche pre-emption on leaf surface</w:t>
            </w:r>
          </w:p>
        </w:tc>
        <w:tc>
          <w:tcPr>
            <w:tcW w:w="0" w:type="auto"/>
          </w:tcPr>
          <w:p w14:paraId="392A6595" w14:textId="77777777" w:rsidR="00BB66DD" w:rsidRPr="003F3781" w:rsidRDefault="00BB66DD" w:rsidP="008A0374">
            <w:pPr>
              <w:spacing w:line="276" w:lineRule="auto"/>
              <w:rPr>
                <w:rFonts w:ascii="Arial" w:hAnsi="Arial" w:cs="Arial"/>
                <w:sz w:val="20"/>
                <w:szCs w:val="20"/>
              </w:rPr>
            </w:pPr>
            <w:r w:rsidRPr="003F3781">
              <w:rPr>
                <w:rFonts w:ascii="Arial" w:hAnsi="Arial" w:cs="Arial"/>
                <w:sz w:val="20"/>
                <w:szCs w:val="20"/>
              </w:rPr>
              <w:t xml:space="preserve">Vogel </w:t>
            </w:r>
            <w:r w:rsidR="00587082" w:rsidRPr="003F3781">
              <w:rPr>
                <w:rFonts w:ascii="Arial" w:hAnsi="Arial" w:cs="Arial"/>
                <w:i/>
                <w:iCs/>
                <w:sz w:val="20"/>
                <w:szCs w:val="20"/>
              </w:rPr>
              <w:t>et al.</w:t>
            </w:r>
            <w:r w:rsidRPr="003F3781">
              <w:rPr>
                <w:rFonts w:ascii="Arial" w:hAnsi="Arial" w:cs="Arial"/>
                <w:sz w:val="20"/>
                <w:szCs w:val="20"/>
              </w:rPr>
              <w:t>, 2021; Sarver et al., 2025</w:t>
            </w:r>
          </w:p>
        </w:tc>
      </w:tr>
      <w:tr w:rsidR="00BB66DD" w:rsidRPr="003F3781" w14:paraId="47804567" w14:textId="77777777" w:rsidTr="00BB66DD">
        <w:trPr>
          <w:jc w:val="center"/>
        </w:trPr>
        <w:tc>
          <w:tcPr>
            <w:tcW w:w="1555" w:type="dxa"/>
          </w:tcPr>
          <w:p w14:paraId="38DDC923" w14:textId="77777777" w:rsidR="00BB66DD" w:rsidRPr="003F3781" w:rsidRDefault="00BB66DD" w:rsidP="008A0374">
            <w:pPr>
              <w:spacing w:line="276" w:lineRule="auto"/>
              <w:rPr>
                <w:rFonts w:ascii="Arial" w:hAnsi="Arial" w:cs="Arial"/>
                <w:sz w:val="20"/>
                <w:szCs w:val="20"/>
              </w:rPr>
            </w:pPr>
            <w:r w:rsidRPr="003F3781">
              <w:rPr>
                <w:rFonts w:ascii="Arial" w:hAnsi="Arial" w:cs="Arial"/>
                <w:sz w:val="20"/>
                <w:szCs w:val="20"/>
              </w:rPr>
              <w:t>Seed microbiome</w:t>
            </w:r>
          </w:p>
        </w:tc>
        <w:tc>
          <w:tcPr>
            <w:tcW w:w="2203" w:type="dxa"/>
          </w:tcPr>
          <w:p w14:paraId="2F7A21D3" w14:textId="77777777" w:rsidR="00BB66DD" w:rsidRPr="003F3781" w:rsidRDefault="00BB66DD" w:rsidP="008A0374">
            <w:pPr>
              <w:spacing w:line="276" w:lineRule="auto"/>
              <w:rPr>
                <w:rFonts w:ascii="Arial" w:hAnsi="Arial" w:cs="Arial"/>
                <w:sz w:val="20"/>
                <w:szCs w:val="20"/>
              </w:rPr>
            </w:pPr>
            <w:r w:rsidRPr="003F3781">
              <w:rPr>
                <w:rFonts w:ascii="Arial" w:hAnsi="Arial" w:cs="Arial"/>
                <w:sz w:val="20"/>
                <w:szCs w:val="20"/>
              </w:rPr>
              <w:t xml:space="preserve">Bacillus, </w:t>
            </w:r>
            <w:proofErr w:type="spellStart"/>
            <w:r w:rsidRPr="003F3781">
              <w:rPr>
                <w:rFonts w:ascii="Arial" w:hAnsi="Arial" w:cs="Arial"/>
                <w:sz w:val="20"/>
                <w:szCs w:val="20"/>
              </w:rPr>
              <w:t>Pantoea</w:t>
            </w:r>
            <w:proofErr w:type="spellEnd"/>
            <w:r w:rsidRPr="003F3781">
              <w:rPr>
                <w:rFonts w:ascii="Arial" w:hAnsi="Arial" w:cs="Arial"/>
                <w:sz w:val="20"/>
                <w:szCs w:val="20"/>
              </w:rPr>
              <w:t>, Pseudomonas, seed-borne fungal endophytes</w:t>
            </w:r>
          </w:p>
        </w:tc>
        <w:tc>
          <w:tcPr>
            <w:tcW w:w="0" w:type="auto"/>
          </w:tcPr>
          <w:p w14:paraId="7B707AE2" w14:textId="77777777" w:rsidR="00BB66DD" w:rsidRPr="003F3781" w:rsidRDefault="00BB66DD" w:rsidP="008A0374">
            <w:pPr>
              <w:spacing w:line="276" w:lineRule="auto"/>
              <w:rPr>
                <w:rFonts w:ascii="Arial" w:hAnsi="Arial" w:cs="Arial"/>
                <w:sz w:val="20"/>
                <w:szCs w:val="20"/>
              </w:rPr>
            </w:pPr>
            <w:r w:rsidRPr="003F3781">
              <w:rPr>
                <w:rFonts w:ascii="Arial" w:hAnsi="Arial" w:cs="Arial"/>
                <w:sz w:val="20"/>
                <w:szCs w:val="20"/>
              </w:rPr>
              <w:t>Maternal transmission, seed coat structure, storage conditions</w:t>
            </w:r>
          </w:p>
        </w:tc>
        <w:tc>
          <w:tcPr>
            <w:tcW w:w="0" w:type="auto"/>
          </w:tcPr>
          <w:p w14:paraId="25272B23" w14:textId="77777777" w:rsidR="00BB66DD" w:rsidRPr="003F3781" w:rsidRDefault="00BB66DD" w:rsidP="008A0374">
            <w:pPr>
              <w:spacing w:line="276" w:lineRule="auto"/>
              <w:rPr>
                <w:rFonts w:ascii="Arial" w:hAnsi="Arial" w:cs="Arial"/>
                <w:sz w:val="20"/>
                <w:szCs w:val="20"/>
              </w:rPr>
            </w:pPr>
            <w:r w:rsidRPr="003F3781">
              <w:rPr>
                <w:rFonts w:ascii="Arial" w:hAnsi="Arial" w:cs="Arial"/>
                <w:sz w:val="20"/>
                <w:szCs w:val="20"/>
              </w:rPr>
              <w:t>Founder inoculum for seedling microbiome; early-stage antagonism against seed/soil-borne pathogens</w:t>
            </w:r>
          </w:p>
        </w:tc>
        <w:tc>
          <w:tcPr>
            <w:tcW w:w="0" w:type="auto"/>
          </w:tcPr>
          <w:p w14:paraId="6AAE9B14" w14:textId="77777777" w:rsidR="00BB66DD" w:rsidRPr="003F3781" w:rsidRDefault="00BB66DD" w:rsidP="008A0374">
            <w:pPr>
              <w:spacing w:line="276" w:lineRule="auto"/>
              <w:rPr>
                <w:rFonts w:ascii="Arial" w:hAnsi="Arial" w:cs="Arial"/>
                <w:sz w:val="20"/>
                <w:szCs w:val="20"/>
              </w:rPr>
            </w:pPr>
            <w:r w:rsidRPr="003F3781">
              <w:rPr>
                <w:rFonts w:ascii="Arial" w:hAnsi="Arial" w:cs="Arial"/>
                <w:sz w:val="20"/>
                <w:szCs w:val="20"/>
              </w:rPr>
              <w:t xml:space="preserve">Samreen </w:t>
            </w:r>
            <w:r w:rsidR="00587082" w:rsidRPr="003F3781">
              <w:rPr>
                <w:rFonts w:ascii="Arial" w:hAnsi="Arial" w:cs="Arial"/>
                <w:i/>
                <w:iCs/>
                <w:sz w:val="20"/>
                <w:szCs w:val="20"/>
              </w:rPr>
              <w:t>et al.</w:t>
            </w:r>
            <w:r w:rsidRPr="003F3781">
              <w:rPr>
                <w:rFonts w:ascii="Arial" w:hAnsi="Arial" w:cs="Arial"/>
                <w:sz w:val="20"/>
                <w:szCs w:val="20"/>
              </w:rPr>
              <w:t xml:space="preserve">, 2021; Syed </w:t>
            </w:r>
            <w:r w:rsidR="00587082" w:rsidRPr="003F3781">
              <w:rPr>
                <w:rFonts w:ascii="Arial" w:hAnsi="Arial" w:cs="Arial"/>
                <w:i/>
                <w:iCs/>
                <w:sz w:val="20"/>
                <w:szCs w:val="20"/>
              </w:rPr>
              <w:t>et al.</w:t>
            </w:r>
            <w:r w:rsidRPr="003F3781">
              <w:rPr>
                <w:rFonts w:ascii="Arial" w:hAnsi="Arial" w:cs="Arial"/>
                <w:sz w:val="20"/>
                <w:szCs w:val="20"/>
              </w:rPr>
              <w:t>, 2020</w:t>
            </w:r>
          </w:p>
        </w:tc>
      </w:tr>
    </w:tbl>
    <w:p w14:paraId="1EF352EB" w14:textId="77777777" w:rsidR="00FA66C4" w:rsidRPr="003F3781" w:rsidRDefault="00CC1686" w:rsidP="008A0374">
      <w:pPr>
        <w:pStyle w:val="Heading1"/>
        <w:spacing w:before="320" w:after="160" w:line="276" w:lineRule="auto"/>
        <w:rPr>
          <w:rFonts w:ascii="Arial" w:hAnsi="Arial" w:cs="Arial"/>
          <w:b/>
          <w:bCs/>
          <w:color w:val="000000" w:themeColor="text1"/>
          <w:sz w:val="24"/>
          <w:szCs w:val="24"/>
        </w:rPr>
      </w:pPr>
      <w:r w:rsidRPr="003F3781">
        <w:rPr>
          <w:rFonts w:ascii="Arial" w:hAnsi="Arial" w:cs="Arial"/>
          <w:b/>
          <w:bCs/>
          <w:color w:val="000000" w:themeColor="text1"/>
          <w:sz w:val="24"/>
          <w:szCs w:val="24"/>
        </w:rPr>
        <w:t>3. FROM MICROBIAL PRESENCE TO FUNCTION: RETHINKING “WHO IS THERE”</w:t>
      </w:r>
    </w:p>
    <w:p w14:paraId="77C0B452" w14:textId="77777777" w:rsidR="00E574B0" w:rsidRPr="003F3781" w:rsidRDefault="00BB0D9C" w:rsidP="008A0374">
      <w:pPr>
        <w:spacing w:after="200" w:line="276" w:lineRule="auto"/>
        <w:jc w:val="both"/>
        <w:rPr>
          <w:rFonts w:ascii="Arial" w:hAnsi="Arial" w:cs="Arial"/>
          <w:sz w:val="24"/>
          <w:szCs w:val="24"/>
        </w:rPr>
      </w:pPr>
      <w:r w:rsidRPr="003F3781">
        <w:rPr>
          <w:rFonts w:ascii="Arial" w:hAnsi="Arial" w:cs="Arial"/>
          <w:sz w:val="24"/>
          <w:szCs w:val="24"/>
        </w:rPr>
        <w:tab/>
        <w:t>Early plant microbiome research was largely descriptive, using amplicon sequencing to determine which microorganisms were present in different plant compartments. Potential disease associations were inferred by comparing the relative abundance of taxa between diseased and healthy plants. Although this approach provided substantial insight into community composition, it did not establish microbial function or causality: the presence of a microorganism does not by itself reveal its ecological role, and a change in abundance does not demonstrate that the organism causes the observed disease outcome.</w:t>
      </w:r>
    </w:p>
    <w:p w14:paraId="36D29B69" w14:textId="77777777" w:rsidR="00E574B0" w:rsidRPr="003F3781" w:rsidRDefault="00D3612A" w:rsidP="008A0374">
      <w:pPr>
        <w:spacing w:after="200" w:line="276" w:lineRule="auto"/>
        <w:jc w:val="both"/>
        <w:rPr>
          <w:rFonts w:ascii="Arial" w:hAnsi="Arial" w:cs="Arial"/>
          <w:sz w:val="24"/>
          <w:szCs w:val="24"/>
        </w:rPr>
      </w:pPr>
      <w:r w:rsidRPr="003F3781">
        <w:rPr>
          <w:rFonts w:ascii="Arial" w:hAnsi="Arial" w:cs="Arial"/>
          <w:sz w:val="24"/>
          <w:szCs w:val="24"/>
        </w:rPr>
        <w:tab/>
        <w:t xml:space="preserve">This distinction is important because even the same genus, and sometimes the same species, can include both pathogenic and beneficial strains. </w:t>
      </w:r>
      <w:r w:rsidRPr="003F3781">
        <w:rPr>
          <w:rFonts w:ascii="Arial" w:hAnsi="Arial" w:cs="Arial"/>
          <w:i/>
          <w:iCs/>
          <w:sz w:val="24"/>
          <w:szCs w:val="24"/>
        </w:rPr>
        <w:t>Pseudomonas</w:t>
      </w:r>
      <w:r w:rsidRPr="003F3781">
        <w:rPr>
          <w:rFonts w:ascii="Arial" w:hAnsi="Arial" w:cs="Arial"/>
          <w:sz w:val="24"/>
          <w:szCs w:val="24"/>
        </w:rPr>
        <w:t xml:space="preserve"> and </w:t>
      </w:r>
      <w:r w:rsidRPr="003F3781">
        <w:rPr>
          <w:rFonts w:ascii="Arial" w:hAnsi="Arial" w:cs="Arial"/>
          <w:i/>
          <w:iCs/>
          <w:sz w:val="24"/>
          <w:szCs w:val="24"/>
        </w:rPr>
        <w:t>Streptomyces</w:t>
      </w:r>
      <w:r w:rsidRPr="003F3781">
        <w:rPr>
          <w:rFonts w:ascii="Arial" w:hAnsi="Arial" w:cs="Arial"/>
          <w:sz w:val="24"/>
          <w:szCs w:val="24"/>
        </w:rPr>
        <w:t xml:space="preserve"> provide clear examples; some strains cause serious plant diseases, while closely related strains can protect plants from disease (Legein </w:t>
      </w:r>
      <w:r w:rsidRPr="003F3781">
        <w:rPr>
          <w:rFonts w:ascii="Arial" w:hAnsi="Arial" w:cs="Arial"/>
          <w:i/>
          <w:iCs/>
          <w:sz w:val="24"/>
          <w:szCs w:val="24"/>
        </w:rPr>
        <w:t>et al.</w:t>
      </w:r>
      <w:r w:rsidRPr="003F3781">
        <w:rPr>
          <w:rFonts w:ascii="Arial" w:hAnsi="Arial" w:cs="Arial"/>
          <w:sz w:val="24"/>
          <w:szCs w:val="24"/>
        </w:rPr>
        <w:t xml:space="preserve">, 2020; Loria </w:t>
      </w:r>
      <w:r w:rsidRPr="003F3781">
        <w:rPr>
          <w:rFonts w:ascii="Arial" w:hAnsi="Arial" w:cs="Arial"/>
          <w:i/>
          <w:iCs/>
          <w:color w:val="000000" w:themeColor="text1"/>
          <w:sz w:val="24"/>
          <w:szCs w:val="24"/>
        </w:rPr>
        <w:t>et al.</w:t>
      </w:r>
      <w:r w:rsidRPr="003F3781">
        <w:rPr>
          <w:rFonts w:ascii="Arial" w:hAnsi="Arial" w:cs="Arial"/>
          <w:sz w:val="24"/>
          <w:szCs w:val="24"/>
        </w:rPr>
        <w:t>, 1997). Taxonomic identity alone therefore does not establish microbial function, and a compositional inventory is insufficient to predict whether a plant will develop disease or remain healthy.</w:t>
      </w:r>
    </w:p>
    <w:p w14:paraId="48A0DB18" w14:textId="77777777" w:rsidR="00E25739" w:rsidRPr="003F3781" w:rsidRDefault="009E5698" w:rsidP="008A0374">
      <w:pPr>
        <w:spacing w:after="200" w:line="276" w:lineRule="auto"/>
        <w:jc w:val="both"/>
        <w:rPr>
          <w:rFonts w:ascii="Arial" w:hAnsi="Arial" w:cs="Arial"/>
          <w:sz w:val="24"/>
          <w:szCs w:val="24"/>
        </w:rPr>
      </w:pPr>
      <w:r w:rsidRPr="003F3781">
        <w:rPr>
          <w:rFonts w:ascii="Arial" w:hAnsi="Arial" w:cs="Arial"/>
          <w:sz w:val="24"/>
          <w:szCs w:val="24"/>
        </w:rPr>
        <w:lastRenderedPageBreak/>
        <w:tab/>
        <w:t xml:space="preserve">The field's conceptual centre of gravity has consequently shifted from "which microorganism is present?" towards "what is the microbiome doing?", a transition operationalised through several converging concepts. Keystone taxa are community members whose removal has a disproportionate effect on community structure or function relative to their abundance. Co-occurrence network analysis is commonly used to identify statistically central taxa by examining patterns of joint occurrence, with tools such as SparCC and SpiecEasi designed to account for the properties of compositional data. In tomato systems displaying natural resistance to Fusarium wilt, field-grown plants showed richer and more tightly connected bacterial and fungal networks than greenhouse-grown plants. Using NetShift, </w:t>
      </w:r>
      <w:r w:rsidRPr="003F3781">
        <w:rPr>
          <w:rFonts w:ascii="Arial" w:hAnsi="Arial" w:cs="Arial"/>
          <w:i/>
          <w:iCs/>
          <w:sz w:val="24"/>
          <w:szCs w:val="24"/>
        </w:rPr>
        <w:t xml:space="preserve">Bacillus, Pseudomonas </w:t>
      </w:r>
      <w:r w:rsidRPr="003F3781">
        <w:rPr>
          <w:rFonts w:ascii="Arial" w:hAnsi="Arial" w:cs="Arial"/>
          <w:sz w:val="24"/>
          <w:szCs w:val="24"/>
        </w:rPr>
        <w:t xml:space="preserve">and </w:t>
      </w:r>
      <w:r w:rsidRPr="003F3781">
        <w:rPr>
          <w:rFonts w:ascii="Arial" w:hAnsi="Arial" w:cs="Arial"/>
          <w:i/>
          <w:iCs/>
          <w:sz w:val="24"/>
          <w:szCs w:val="24"/>
        </w:rPr>
        <w:t>Gemmatimonas</w:t>
      </w:r>
      <w:r w:rsidRPr="003F3781">
        <w:rPr>
          <w:rFonts w:ascii="Arial" w:hAnsi="Arial" w:cs="Arial"/>
          <w:sz w:val="24"/>
          <w:szCs w:val="24"/>
        </w:rPr>
        <w:t xml:space="preserve"> were identified as candidate driver taxa within the field network (Zhou </w:t>
      </w:r>
      <w:r w:rsidRPr="003F3781">
        <w:rPr>
          <w:rFonts w:ascii="Arial" w:hAnsi="Arial" w:cs="Arial"/>
          <w:i/>
          <w:iCs/>
          <w:sz w:val="24"/>
          <w:szCs w:val="24"/>
        </w:rPr>
        <w:t>et al.</w:t>
      </w:r>
      <w:r w:rsidRPr="003F3781">
        <w:rPr>
          <w:rFonts w:ascii="Arial" w:hAnsi="Arial" w:cs="Arial"/>
          <w:sz w:val="24"/>
          <w:szCs w:val="24"/>
        </w:rPr>
        <w:t>, 2022).</w:t>
      </w:r>
    </w:p>
    <w:p w14:paraId="5E01FA4A" w14:textId="77777777" w:rsidR="009130D2" w:rsidRPr="003F3781" w:rsidRDefault="00105991" w:rsidP="008A0374">
      <w:pPr>
        <w:spacing w:after="200" w:line="276" w:lineRule="auto"/>
        <w:jc w:val="both"/>
        <w:rPr>
          <w:rFonts w:ascii="Arial" w:hAnsi="Arial" w:cs="Arial"/>
          <w:sz w:val="24"/>
          <w:szCs w:val="24"/>
        </w:rPr>
      </w:pPr>
      <w:r w:rsidRPr="003F3781">
        <w:rPr>
          <w:rFonts w:ascii="Arial" w:hAnsi="Arial" w:cs="Arial"/>
          <w:sz w:val="24"/>
          <w:szCs w:val="24"/>
        </w:rPr>
        <w:tab/>
        <w:t>Functional redundancy is another important concept. It describes the capacity of taxonomically distinct microorganisms, including distantly related taxa, to perform overlapping protective functions for the plant.</w:t>
      </w:r>
    </w:p>
    <w:p w14:paraId="0CEBC92B" w14:textId="77777777" w:rsidR="009130D2" w:rsidRPr="003F3781" w:rsidRDefault="009130D2" w:rsidP="008A0374">
      <w:pPr>
        <w:spacing w:after="200" w:line="276" w:lineRule="auto"/>
        <w:jc w:val="both"/>
        <w:rPr>
          <w:rFonts w:ascii="Arial" w:hAnsi="Arial" w:cs="Arial"/>
          <w:sz w:val="24"/>
          <w:szCs w:val="24"/>
        </w:rPr>
      </w:pPr>
      <w:r w:rsidRPr="003F3781">
        <w:rPr>
          <w:rFonts w:ascii="Arial" w:hAnsi="Arial" w:cs="Arial"/>
          <w:sz w:val="24"/>
          <w:szCs w:val="24"/>
        </w:rPr>
        <w:t xml:space="preserve">This helps explain why disease-suppressive microbial communities are generally not dependent on a single dominant protective microorganism. Instead, multiple community members can collectively compete with pathogens for resources, produce antimicrobial compounds and enhance plant immune responses. Such functional overlap may contribute to the greater reliability of community-based protection relative to single-strain interventions (Mendes </w:t>
      </w:r>
      <w:r w:rsidRPr="003F3781">
        <w:rPr>
          <w:rFonts w:ascii="Arial" w:hAnsi="Arial" w:cs="Arial"/>
          <w:i/>
          <w:iCs/>
          <w:sz w:val="24"/>
          <w:szCs w:val="24"/>
        </w:rPr>
        <w:t>et al.</w:t>
      </w:r>
      <w:r w:rsidRPr="003F3781">
        <w:rPr>
          <w:rFonts w:ascii="Arial" w:hAnsi="Arial" w:cs="Arial"/>
          <w:sz w:val="24"/>
          <w:szCs w:val="24"/>
        </w:rPr>
        <w:t xml:space="preserve">, 2011; Trivedi </w:t>
      </w:r>
      <w:r w:rsidRPr="003F3781">
        <w:rPr>
          <w:rFonts w:ascii="Arial" w:hAnsi="Arial" w:cs="Arial"/>
          <w:i/>
          <w:iCs/>
          <w:sz w:val="24"/>
          <w:szCs w:val="24"/>
        </w:rPr>
        <w:t>et al.</w:t>
      </w:r>
      <w:r w:rsidRPr="003F3781">
        <w:rPr>
          <w:rFonts w:ascii="Arial" w:hAnsi="Arial" w:cs="Arial"/>
          <w:sz w:val="24"/>
          <w:szCs w:val="24"/>
        </w:rPr>
        <w:t>, 2020). If one member fails to perform a protective function, other members may partially compensate.</w:t>
      </w:r>
    </w:p>
    <w:p w14:paraId="4C9139C2" w14:textId="77777777" w:rsidR="00BB0D9C" w:rsidRPr="003F3781" w:rsidRDefault="002D7177" w:rsidP="008A0374">
      <w:pPr>
        <w:spacing w:after="200" w:line="276" w:lineRule="auto"/>
        <w:jc w:val="both"/>
        <w:rPr>
          <w:rFonts w:ascii="Arial" w:hAnsi="Arial" w:cs="Arial"/>
          <w:sz w:val="24"/>
          <w:szCs w:val="24"/>
        </w:rPr>
      </w:pPr>
      <w:r w:rsidRPr="003F3781">
        <w:rPr>
          <w:rFonts w:ascii="Arial" w:hAnsi="Arial" w:cs="Arial"/>
          <w:sz w:val="24"/>
          <w:szCs w:val="24"/>
        </w:rPr>
        <w:tab/>
        <w:t xml:space="preserve">Community stability, succession and niche differentiation add further layers of functional insight beyond static composition snapshots. Disease-suppressive soils are not simply enriched in a fixed set of taxa; they can develop suppressiveness through microbial succession, sometimes only manifesting fully in the second or third plant generation grown on transferred soil (Cha </w:t>
      </w:r>
      <w:r w:rsidRPr="003F3781">
        <w:rPr>
          <w:rFonts w:ascii="Arial" w:hAnsi="Arial" w:cs="Arial"/>
          <w:i/>
          <w:iCs/>
          <w:sz w:val="24"/>
          <w:szCs w:val="24"/>
        </w:rPr>
        <w:t>et al.</w:t>
      </w:r>
      <w:r w:rsidRPr="003F3781">
        <w:rPr>
          <w:rFonts w:ascii="Arial" w:hAnsi="Arial" w:cs="Arial"/>
          <w:sz w:val="24"/>
          <w:szCs w:val="24"/>
        </w:rPr>
        <w:t xml:space="preserve">, 2016), indicating a training or maturation process in the community rather than an instantaneous transplant effect. Niche differentiation, the degree to which community members exploit distinct resources or occupy distinct spatial positions rather than competing directly, has emerged as a design principle in synthetic community assembly, since niche overlap among introduced strains is now recognised as a common cause of engineered-community failure, whereas overlap between an introduced strain and the target pathogen is, conversely, associated with stronger biocontrol because it forces direct resource competition with the organism to be suppressed (Wei </w:t>
      </w:r>
      <w:r w:rsidRPr="003F3781">
        <w:rPr>
          <w:rFonts w:ascii="Arial" w:hAnsi="Arial" w:cs="Arial"/>
          <w:i/>
          <w:iCs/>
          <w:sz w:val="24"/>
          <w:szCs w:val="24"/>
        </w:rPr>
        <w:t>et al.</w:t>
      </w:r>
      <w:r w:rsidRPr="003F3781">
        <w:rPr>
          <w:rFonts w:ascii="Arial" w:hAnsi="Arial" w:cs="Arial"/>
          <w:sz w:val="24"/>
          <w:szCs w:val="24"/>
        </w:rPr>
        <w:t xml:space="preserve">, 2015; Getzke </w:t>
      </w:r>
      <w:r w:rsidRPr="003F3781">
        <w:rPr>
          <w:rFonts w:ascii="Arial" w:hAnsi="Arial" w:cs="Arial"/>
          <w:i/>
          <w:iCs/>
          <w:sz w:val="24"/>
          <w:szCs w:val="24"/>
        </w:rPr>
        <w:t>et al.</w:t>
      </w:r>
      <w:r w:rsidRPr="003F3781">
        <w:rPr>
          <w:rFonts w:ascii="Arial" w:hAnsi="Arial" w:cs="Arial"/>
          <w:sz w:val="24"/>
          <w:szCs w:val="24"/>
        </w:rPr>
        <w:t>, 2023).</w:t>
      </w:r>
    </w:p>
    <w:p w14:paraId="7A6197B9" w14:textId="77777777" w:rsidR="003304D9" w:rsidRPr="003F3781" w:rsidRDefault="003304D9" w:rsidP="008A0374">
      <w:pPr>
        <w:spacing w:line="276" w:lineRule="auto"/>
        <w:jc w:val="both"/>
        <w:rPr>
          <w:rFonts w:ascii="Arial" w:hAnsi="Arial" w:cs="Arial"/>
          <w:sz w:val="24"/>
          <w:szCs w:val="24"/>
        </w:rPr>
      </w:pPr>
      <w:r w:rsidRPr="003F3781">
        <w:rPr>
          <w:rFonts w:ascii="Arial" w:hAnsi="Arial" w:cs="Arial"/>
          <w:sz w:val="24"/>
          <w:szCs w:val="24"/>
        </w:rPr>
        <w:t>Co-occurrence networks nevertheless require cautious interpretation because statistical association does not establish ecological interaction or functional contribution. A positive association between two microorganisms may reflect direct cooperation, shared environmental preferences, dispersal limitation or a predator-prey relationship, none of which necessarily contributes to disease suppression (Goberna &amp; Verdú, 2022; Berry &amp; Widder, 2014). Accordingly, a taxon identified as a network "hub" should be regarded as statistically prominent rather than automatically functionally important for plant health. Stronger causal evidence requires manipulative validation, such as targeted removal, reintroduction or direct examination of relevant genes. Many studies do not include these steps. Thus, although the transition from compositional description to functional understanding is widely recognised as an important goal, much of the literature still demonstrates association rather than causation.</w:t>
      </w:r>
    </w:p>
    <w:p w14:paraId="0D0682A8" w14:textId="77777777" w:rsidR="00483B17" w:rsidRPr="003F3781" w:rsidRDefault="0008007A" w:rsidP="00483B17">
      <w:pPr>
        <w:pStyle w:val="Heading1"/>
        <w:spacing w:before="320" w:after="160"/>
        <w:rPr>
          <w:rFonts w:ascii="Arial" w:hAnsi="Arial" w:cs="Arial"/>
          <w:color w:val="000000" w:themeColor="text1"/>
          <w:sz w:val="24"/>
          <w:szCs w:val="24"/>
        </w:rPr>
      </w:pPr>
      <w:r w:rsidRPr="003F3781">
        <w:rPr>
          <w:rFonts w:ascii="Arial" w:hAnsi="Arial" w:cs="Arial"/>
          <w:b/>
          <w:bCs/>
          <w:color w:val="000000" w:themeColor="text1"/>
          <w:sz w:val="24"/>
          <w:szCs w:val="24"/>
        </w:rPr>
        <w:lastRenderedPageBreak/>
        <w:t>4. MICROBIOME-MEDIATED DISEASE SUPPRESSION: MECHANISMS AND THEIR INTERACTIONS</w:t>
      </w:r>
    </w:p>
    <w:p w14:paraId="4DCF109E" w14:textId="77777777" w:rsidR="00CD3A06" w:rsidRPr="003F3781" w:rsidRDefault="008B250E" w:rsidP="00CD3A06">
      <w:pPr>
        <w:spacing w:after="200" w:line="276" w:lineRule="auto"/>
        <w:jc w:val="both"/>
        <w:rPr>
          <w:rFonts w:ascii="Arial" w:hAnsi="Arial" w:cs="Arial"/>
          <w:sz w:val="24"/>
          <w:szCs w:val="24"/>
        </w:rPr>
      </w:pPr>
      <w:r w:rsidRPr="003F3781">
        <w:rPr>
          <w:rFonts w:ascii="Arial" w:hAnsi="Arial" w:cs="Arial"/>
          <w:sz w:val="24"/>
          <w:szCs w:val="24"/>
        </w:rPr>
        <w:tab/>
        <w:t xml:space="preserve">Microbiome-mediated disease suppression operates through mechanisms conventionally grouped as direct, indirect and community-level, though in practice these categories interact rather than operating in isolation. Direct antagonism encompasses the classic biocontrol toolkit: antibiotic and lipopeptide production (e.g., surfactin and related compounds from </w:t>
      </w:r>
      <w:r w:rsidRPr="003F3781">
        <w:rPr>
          <w:rFonts w:ascii="Arial" w:hAnsi="Arial" w:cs="Arial"/>
          <w:i/>
          <w:iCs/>
          <w:sz w:val="24"/>
          <w:szCs w:val="24"/>
        </w:rPr>
        <w:t>Bacillus</w:t>
      </w:r>
      <w:r w:rsidRPr="003F3781">
        <w:rPr>
          <w:rFonts w:ascii="Arial" w:hAnsi="Arial" w:cs="Arial"/>
          <w:sz w:val="24"/>
          <w:szCs w:val="24"/>
        </w:rPr>
        <w:t xml:space="preserve"> spp.), lytic enzymes (chitinases, glucanases, proteases) that degrade fungal cell walls, siderophore-mediated iron sequestration that starves competing microbes of a limiting nutrient, volatile organic compounds with direct antifungal activity, and simple nutrient or spatial competition that excludes pathogens from colonisation sites (Ali </w:t>
      </w:r>
      <w:r w:rsidRPr="003F3781">
        <w:rPr>
          <w:rFonts w:ascii="Arial" w:hAnsi="Arial" w:cs="Arial"/>
          <w:i/>
          <w:iCs/>
          <w:sz w:val="24"/>
          <w:szCs w:val="24"/>
        </w:rPr>
        <w:t>et al.</w:t>
      </w:r>
      <w:r w:rsidRPr="003F3781">
        <w:rPr>
          <w:rFonts w:ascii="Arial" w:hAnsi="Arial" w:cs="Arial"/>
          <w:sz w:val="24"/>
          <w:szCs w:val="24"/>
        </w:rPr>
        <w:t xml:space="preserve">, 2022; Chet &amp; Inbar, 1994). Siderophore-mediated suppression illustrates the mechanistic subtlety involved: effectiveness depends on whether the target pathogen can itself use the siderophore in question as an iron source, so that a "private" siderophore unusable by the pathogen suppresses it, whereas a shared siderophore usable by both organisms does not, as shown for pyoverdine-mediated suppression of </w:t>
      </w:r>
      <w:r w:rsidRPr="003F3781">
        <w:rPr>
          <w:rFonts w:ascii="Arial" w:hAnsi="Arial" w:cs="Arial"/>
          <w:i/>
          <w:iCs/>
          <w:sz w:val="24"/>
          <w:szCs w:val="24"/>
        </w:rPr>
        <w:t>Ralstonia solanacearum</w:t>
      </w:r>
      <w:r w:rsidRPr="003F3781">
        <w:rPr>
          <w:rFonts w:ascii="Arial" w:hAnsi="Arial" w:cs="Arial"/>
          <w:sz w:val="24"/>
          <w:szCs w:val="24"/>
        </w:rPr>
        <w:t xml:space="preserve"> by </w:t>
      </w:r>
      <w:r w:rsidRPr="003F3781">
        <w:rPr>
          <w:rFonts w:ascii="Arial" w:hAnsi="Arial" w:cs="Arial"/>
          <w:i/>
          <w:iCs/>
          <w:sz w:val="24"/>
          <w:szCs w:val="24"/>
        </w:rPr>
        <w:t>Pseudomonas brassicacearum</w:t>
      </w:r>
      <w:r w:rsidRPr="003F3781">
        <w:rPr>
          <w:rFonts w:ascii="Arial" w:hAnsi="Arial" w:cs="Arial"/>
          <w:sz w:val="24"/>
          <w:szCs w:val="24"/>
        </w:rPr>
        <w:t xml:space="preserve"> R401 (Niehus </w:t>
      </w:r>
      <w:r w:rsidRPr="003F3781">
        <w:rPr>
          <w:rFonts w:ascii="Arial" w:hAnsi="Arial" w:cs="Arial"/>
          <w:i/>
          <w:iCs/>
          <w:sz w:val="24"/>
          <w:szCs w:val="24"/>
        </w:rPr>
        <w:t>et al.</w:t>
      </w:r>
      <w:r w:rsidRPr="003F3781">
        <w:rPr>
          <w:rFonts w:ascii="Arial" w:hAnsi="Arial" w:cs="Arial"/>
          <w:sz w:val="24"/>
          <w:szCs w:val="24"/>
        </w:rPr>
        <w:t xml:space="preserve">, 2017; Getzke </w:t>
      </w:r>
      <w:r w:rsidRPr="003F3781">
        <w:rPr>
          <w:rFonts w:ascii="Arial" w:hAnsi="Arial" w:cs="Arial"/>
          <w:i/>
          <w:iCs/>
          <w:sz w:val="24"/>
          <w:szCs w:val="24"/>
        </w:rPr>
        <w:t>et al.</w:t>
      </w:r>
      <w:r w:rsidRPr="003F3781">
        <w:rPr>
          <w:rFonts w:ascii="Arial" w:hAnsi="Arial" w:cs="Arial"/>
          <w:sz w:val="24"/>
          <w:szCs w:val="24"/>
        </w:rPr>
        <w:t>, 2023), a finding that illustrates why siderophore production alone is a poor predictor of protective outcome without knowledge of the specific chemical compatibility involved.</w:t>
      </w:r>
    </w:p>
    <w:p w14:paraId="1BBD4FF9" w14:textId="77777777" w:rsidR="0051700F" w:rsidRPr="003F3781" w:rsidRDefault="0051700F" w:rsidP="0051700F">
      <w:pPr>
        <w:spacing w:after="200" w:line="276" w:lineRule="auto"/>
        <w:jc w:val="both"/>
        <w:rPr>
          <w:rFonts w:ascii="Arial" w:hAnsi="Arial" w:cs="Arial"/>
          <w:sz w:val="24"/>
          <w:szCs w:val="24"/>
        </w:rPr>
      </w:pPr>
      <w:r w:rsidRPr="003F3781">
        <w:rPr>
          <w:rFonts w:ascii="Arial" w:hAnsi="Arial" w:cs="Arial"/>
          <w:sz w:val="24"/>
          <w:szCs w:val="24"/>
        </w:rPr>
        <w:tab/>
        <w:t xml:space="preserve">Indirect mechanisms act through modulation of the plant's own immune system rather than direct pathogen killing. Induced systemic resistance (ISR), triggered by root-associated </w:t>
      </w:r>
      <w:r w:rsidRPr="003F3781">
        <w:rPr>
          <w:rFonts w:ascii="Arial" w:hAnsi="Arial" w:cs="Arial"/>
          <w:i/>
          <w:iCs/>
          <w:sz w:val="24"/>
          <w:szCs w:val="24"/>
        </w:rPr>
        <w:t>Pseudomonas,</w:t>
      </w:r>
      <w:r w:rsidRPr="003F3781">
        <w:rPr>
          <w:rFonts w:ascii="Arial" w:hAnsi="Arial" w:cs="Arial"/>
          <w:sz w:val="24"/>
          <w:szCs w:val="24"/>
        </w:rPr>
        <w:t xml:space="preserve"> </w:t>
      </w:r>
      <w:r w:rsidRPr="003F3781">
        <w:rPr>
          <w:rFonts w:ascii="Arial" w:hAnsi="Arial" w:cs="Arial"/>
          <w:i/>
          <w:iCs/>
          <w:sz w:val="24"/>
          <w:szCs w:val="24"/>
        </w:rPr>
        <w:t>Bacillus</w:t>
      </w:r>
      <w:r w:rsidRPr="003F3781">
        <w:rPr>
          <w:rFonts w:ascii="Arial" w:hAnsi="Arial" w:cs="Arial"/>
          <w:sz w:val="24"/>
          <w:szCs w:val="24"/>
        </w:rPr>
        <w:t xml:space="preserve"> and mycorrhizal fungi via </w:t>
      </w:r>
      <w:proofErr w:type="spellStart"/>
      <w:r w:rsidRPr="003F3781">
        <w:rPr>
          <w:rFonts w:ascii="Arial" w:hAnsi="Arial" w:cs="Arial"/>
          <w:sz w:val="24"/>
          <w:szCs w:val="24"/>
        </w:rPr>
        <w:t>jasmonic</w:t>
      </w:r>
      <w:proofErr w:type="spellEnd"/>
      <w:r w:rsidRPr="003F3781">
        <w:rPr>
          <w:rFonts w:ascii="Arial" w:hAnsi="Arial" w:cs="Arial"/>
          <w:sz w:val="24"/>
          <w:szCs w:val="24"/>
        </w:rPr>
        <w:t xml:space="preserve"> acid/ethylene-dependent signalling, primes the plant to mount a faster and stronger response upon subsequent pathogen challenge, and is mechanistically distinct from pathogen-triggered systemic acquired resistance (SAR), which is salicylic</w:t>
      </w:r>
      <w:r w:rsidR="00C75034" w:rsidRPr="003F3781">
        <w:rPr>
          <w:rFonts w:ascii="Arial" w:hAnsi="Arial" w:cs="Arial"/>
          <w:sz w:val="24"/>
          <w:szCs w:val="24"/>
        </w:rPr>
        <w:t xml:space="preserve"> </w:t>
      </w:r>
      <w:r w:rsidRPr="003F3781">
        <w:rPr>
          <w:rFonts w:ascii="Arial" w:hAnsi="Arial" w:cs="Arial"/>
          <w:sz w:val="24"/>
          <w:szCs w:val="24"/>
        </w:rPr>
        <w:t xml:space="preserve">acid dependent (Pieterse </w:t>
      </w:r>
      <w:r w:rsidR="00587082" w:rsidRPr="003F3781">
        <w:rPr>
          <w:rFonts w:ascii="Arial" w:hAnsi="Arial" w:cs="Arial"/>
          <w:i/>
          <w:iCs/>
          <w:sz w:val="24"/>
          <w:szCs w:val="24"/>
        </w:rPr>
        <w:t>et al.</w:t>
      </w:r>
      <w:r w:rsidRPr="003F3781">
        <w:rPr>
          <w:rFonts w:ascii="Arial" w:hAnsi="Arial" w:cs="Arial"/>
          <w:sz w:val="24"/>
          <w:szCs w:val="24"/>
        </w:rPr>
        <w:t xml:space="preserve">, 2014). Beyond ISR, resident microbiota </w:t>
      </w:r>
      <w:proofErr w:type="gramStart"/>
      <w:r w:rsidRPr="003F3781">
        <w:rPr>
          <w:rFonts w:ascii="Arial" w:hAnsi="Arial" w:cs="Arial"/>
          <w:sz w:val="24"/>
          <w:szCs w:val="24"/>
        </w:rPr>
        <w:t>engage</w:t>
      </w:r>
      <w:proofErr w:type="gramEnd"/>
      <w:r w:rsidRPr="003F3781">
        <w:rPr>
          <w:rFonts w:ascii="Arial" w:hAnsi="Arial" w:cs="Arial"/>
          <w:sz w:val="24"/>
          <w:szCs w:val="24"/>
        </w:rPr>
        <w:t xml:space="preserve"> the plant's pattern-triggered immunity (PTI) machinery in ways that are not simply antagonistic</w:t>
      </w:r>
      <w:r w:rsidR="00C75034" w:rsidRPr="003F3781">
        <w:rPr>
          <w:rFonts w:ascii="Arial" w:hAnsi="Arial" w:cs="Arial"/>
          <w:sz w:val="24"/>
          <w:szCs w:val="24"/>
        </w:rPr>
        <w:t>. Commensal</w:t>
      </w:r>
      <w:r w:rsidRPr="003F3781">
        <w:rPr>
          <w:rFonts w:ascii="Arial" w:hAnsi="Arial" w:cs="Arial"/>
          <w:sz w:val="24"/>
          <w:szCs w:val="24"/>
        </w:rPr>
        <w:t xml:space="preserve"> microbe-associated molecular patterns activate many of the same PTI genes as pathogen-associated patterns, and axenic (microbiome-free) plants show measurably reduced defence-gene expression and pathogen resistance, indicating that basal immunocompetence in intact plants is itself partly microbiome-dependent (</w:t>
      </w:r>
      <w:proofErr w:type="spellStart"/>
      <w:r w:rsidRPr="003F3781">
        <w:rPr>
          <w:rFonts w:ascii="Arial" w:hAnsi="Arial" w:cs="Arial"/>
          <w:sz w:val="24"/>
          <w:szCs w:val="24"/>
        </w:rPr>
        <w:t>Nobori</w:t>
      </w:r>
      <w:proofErr w:type="spellEnd"/>
      <w:r w:rsidRPr="003F3781">
        <w:rPr>
          <w:rFonts w:ascii="Arial" w:hAnsi="Arial" w:cs="Arial"/>
          <w:sz w:val="24"/>
          <w:szCs w:val="24"/>
        </w:rPr>
        <w:t xml:space="preserve"> </w:t>
      </w:r>
      <w:r w:rsidR="00587082" w:rsidRPr="003F3781">
        <w:rPr>
          <w:rFonts w:ascii="Arial" w:hAnsi="Arial" w:cs="Arial"/>
          <w:i/>
          <w:iCs/>
          <w:sz w:val="24"/>
          <w:szCs w:val="24"/>
        </w:rPr>
        <w:t>et al.</w:t>
      </w:r>
      <w:r w:rsidRPr="003F3781">
        <w:rPr>
          <w:rFonts w:ascii="Arial" w:hAnsi="Arial" w:cs="Arial"/>
          <w:sz w:val="24"/>
          <w:szCs w:val="24"/>
        </w:rPr>
        <w:t xml:space="preserve">, 2022; Paasch </w:t>
      </w:r>
      <w:r w:rsidR="00587082" w:rsidRPr="003F3781">
        <w:rPr>
          <w:rFonts w:ascii="Arial" w:hAnsi="Arial" w:cs="Arial"/>
          <w:i/>
          <w:iCs/>
          <w:sz w:val="24"/>
          <w:szCs w:val="24"/>
        </w:rPr>
        <w:t>et al.</w:t>
      </w:r>
      <w:r w:rsidRPr="003F3781">
        <w:rPr>
          <w:rFonts w:ascii="Arial" w:hAnsi="Arial" w:cs="Arial"/>
          <w:sz w:val="24"/>
          <w:szCs w:val="24"/>
        </w:rPr>
        <w:t>, 2023).</w:t>
      </w:r>
    </w:p>
    <w:p w14:paraId="48B1BD60" w14:textId="77777777" w:rsidR="00805122" w:rsidRPr="003F3781" w:rsidRDefault="00805122" w:rsidP="00805122">
      <w:pPr>
        <w:spacing w:after="200" w:line="276" w:lineRule="auto"/>
        <w:jc w:val="both"/>
        <w:rPr>
          <w:rFonts w:ascii="Arial" w:hAnsi="Arial" w:cs="Arial"/>
          <w:sz w:val="24"/>
          <w:szCs w:val="24"/>
        </w:rPr>
      </w:pPr>
      <w:r w:rsidRPr="003F3781">
        <w:rPr>
          <w:rFonts w:ascii="Arial" w:hAnsi="Arial" w:cs="Arial"/>
          <w:sz w:val="24"/>
          <w:szCs w:val="24"/>
        </w:rPr>
        <w:tab/>
        <w:t xml:space="preserve">Community-level mechanisms are the least reducible to single-organism biochemistry and are the primary justification for a microbiome, rather than single-strain, framing of disease control (Kwak </w:t>
      </w:r>
      <w:r w:rsidRPr="003F3781">
        <w:rPr>
          <w:rFonts w:ascii="Arial" w:hAnsi="Arial" w:cs="Arial"/>
          <w:i/>
          <w:iCs/>
          <w:sz w:val="24"/>
          <w:szCs w:val="24"/>
        </w:rPr>
        <w:t>et al.</w:t>
      </w:r>
      <w:r w:rsidRPr="003F3781">
        <w:rPr>
          <w:rFonts w:ascii="Arial" w:hAnsi="Arial" w:cs="Arial"/>
          <w:sz w:val="24"/>
          <w:szCs w:val="24"/>
        </w:rPr>
        <w:t>, 2018). These include pathogen exclusion through collective niche occupation, cross-feeding relationships that stabilise beneficial community members, pathogen-induced restructuring of the resident community towards a more protective configuration, and active recruitment of additional beneficial taxa following pathogen challenge (discussed in Section 6). Cross-kingdom interactions exemplify this: in tomato Fusarium-wilt-suppressive synthetic communities, fungal members contributed to community stability and nutrient provisioning while bacterial members supplied direct antimicrobial activity, and the combination outperformed either kingdom acting alone, an outcome attributable specifically to a complementary, rather than merely additive, interaction between the two groups (Zhou et al., 2022).</w:t>
      </w:r>
    </w:p>
    <w:p w14:paraId="65BAF55F" w14:textId="77777777" w:rsidR="00561863" w:rsidRPr="003F3781" w:rsidRDefault="00561863" w:rsidP="00561863">
      <w:pPr>
        <w:spacing w:after="200" w:line="276" w:lineRule="auto"/>
        <w:jc w:val="both"/>
        <w:rPr>
          <w:rFonts w:ascii="Arial" w:hAnsi="Arial" w:cs="Arial"/>
          <w:sz w:val="24"/>
          <w:szCs w:val="24"/>
        </w:rPr>
      </w:pPr>
      <w:r w:rsidRPr="003F3781">
        <w:rPr>
          <w:rFonts w:ascii="Arial" w:hAnsi="Arial" w:cs="Arial"/>
          <w:sz w:val="24"/>
          <w:szCs w:val="24"/>
        </w:rPr>
        <w:tab/>
        <w:t xml:space="preserve">These three mechanistic tiers should not be read as independent pathways operating in parallel but as mutually reinforcing layers: direct antagonism reduces initial pathogen load, which lowers the level of immune activation required from the plant; ISR and PTI priming reduce the pathogen's ability to establish even where antagonism is incomplete; and community-level processes such as niche pre-emption and cross-feeding determine whether the antagonistic and </w:t>
      </w:r>
      <w:r w:rsidRPr="003F3781">
        <w:rPr>
          <w:rFonts w:ascii="Arial" w:hAnsi="Arial" w:cs="Arial"/>
          <w:sz w:val="24"/>
          <w:szCs w:val="24"/>
        </w:rPr>
        <w:lastRenderedPageBreak/>
        <w:t>immune-priming taxa persist long enough to exert an effect at all. A single suppressive outcome observed in the field is therefore rarely attributable to one mechanism acting alone, and mechanistic studies that isolate a single pathway (as is methodologically necessary in reductionist experiments) should be interpreted as demonstrating the sufficiency of that mechanism under controlled conditions, not as demonstrating that it is the dominant mechanism operating in a natural, multi-species community.</w:t>
      </w:r>
    </w:p>
    <w:p w14:paraId="5064341F" w14:textId="77777777" w:rsidR="00E67E46" w:rsidRPr="003F3781" w:rsidRDefault="00E67E46" w:rsidP="00E67E46">
      <w:pPr>
        <w:pStyle w:val="Caption"/>
        <w:keepNext/>
        <w:rPr>
          <w:rFonts w:ascii="Arial" w:hAnsi="Arial" w:cs="Arial"/>
          <w:b/>
          <w:bCs/>
          <w:i w:val="0"/>
          <w:iCs w:val="0"/>
          <w:color w:val="000000" w:themeColor="text1"/>
          <w:sz w:val="24"/>
          <w:szCs w:val="24"/>
        </w:rPr>
      </w:pPr>
      <w:r w:rsidRPr="003F3781">
        <w:rPr>
          <w:rFonts w:ascii="Arial" w:hAnsi="Arial" w:cs="Arial"/>
          <w:b/>
          <w:bCs/>
          <w:i w:val="0"/>
          <w:iCs w:val="0"/>
          <w:color w:val="000000" w:themeColor="text1"/>
          <w:sz w:val="24"/>
          <w:szCs w:val="24"/>
        </w:rPr>
        <w:t>Table 2. Mechanisms of microbiome-mediated disease suppression.</w:t>
      </w:r>
    </w:p>
    <w:tbl>
      <w:tblPr>
        <w:tblStyle w:val="TableGrid"/>
        <w:tblW w:w="10500" w:type="dxa"/>
        <w:jc w:val="center"/>
        <w:tblLayout w:type="fixed"/>
        <w:tblLook w:val="04A0" w:firstRow="1" w:lastRow="0" w:firstColumn="1" w:lastColumn="0" w:noHBand="0" w:noVBand="1"/>
      </w:tblPr>
      <w:tblGrid>
        <w:gridCol w:w="2263"/>
        <w:gridCol w:w="1979"/>
        <w:gridCol w:w="2416"/>
        <w:gridCol w:w="2158"/>
        <w:gridCol w:w="1684"/>
      </w:tblGrid>
      <w:tr w:rsidR="00A811F6" w:rsidRPr="003F3781" w14:paraId="5174AB59" w14:textId="77777777" w:rsidTr="006C3D36">
        <w:trPr>
          <w:jc w:val="center"/>
        </w:trPr>
        <w:tc>
          <w:tcPr>
            <w:tcW w:w="2263" w:type="dxa"/>
          </w:tcPr>
          <w:p w14:paraId="2F3077B5" w14:textId="77777777" w:rsidR="00A811F6" w:rsidRPr="003F3781" w:rsidRDefault="00A811F6" w:rsidP="003D26A2">
            <w:pPr>
              <w:jc w:val="center"/>
              <w:rPr>
                <w:rFonts w:ascii="Arial" w:hAnsi="Arial" w:cs="Arial"/>
                <w:sz w:val="20"/>
                <w:szCs w:val="20"/>
              </w:rPr>
            </w:pPr>
            <w:r w:rsidRPr="003F3781">
              <w:rPr>
                <w:rFonts w:ascii="Arial" w:hAnsi="Arial" w:cs="Arial"/>
                <w:b/>
                <w:bCs/>
                <w:sz w:val="20"/>
                <w:szCs w:val="20"/>
              </w:rPr>
              <w:t>Mechanism Class</w:t>
            </w:r>
          </w:p>
        </w:tc>
        <w:tc>
          <w:tcPr>
            <w:tcW w:w="1979" w:type="dxa"/>
          </w:tcPr>
          <w:p w14:paraId="716D2A8D" w14:textId="77777777" w:rsidR="00A811F6" w:rsidRPr="003F3781" w:rsidRDefault="00A811F6" w:rsidP="003D26A2">
            <w:pPr>
              <w:jc w:val="center"/>
              <w:rPr>
                <w:rFonts w:ascii="Arial" w:hAnsi="Arial" w:cs="Arial"/>
                <w:sz w:val="20"/>
                <w:szCs w:val="20"/>
              </w:rPr>
            </w:pPr>
            <w:r w:rsidRPr="003F3781">
              <w:rPr>
                <w:rFonts w:ascii="Arial" w:hAnsi="Arial" w:cs="Arial"/>
                <w:b/>
                <w:bCs/>
                <w:sz w:val="20"/>
                <w:szCs w:val="20"/>
              </w:rPr>
              <w:t>Specific Mechanism</w:t>
            </w:r>
          </w:p>
        </w:tc>
        <w:tc>
          <w:tcPr>
            <w:tcW w:w="2416" w:type="dxa"/>
          </w:tcPr>
          <w:p w14:paraId="04064E39" w14:textId="77777777" w:rsidR="00A811F6" w:rsidRPr="003F3781" w:rsidRDefault="00A811F6" w:rsidP="003D26A2">
            <w:pPr>
              <w:jc w:val="center"/>
              <w:rPr>
                <w:rFonts w:ascii="Arial" w:hAnsi="Arial" w:cs="Arial"/>
                <w:sz w:val="20"/>
                <w:szCs w:val="20"/>
              </w:rPr>
            </w:pPr>
            <w:r w:rsidRPr="003F3781">
              <w:rPr>
                <w:rFonts w:ascii="Arial" w:hAnsi="Arial" w:cs="Arial"/>
                <w:b/>
                <w:bCs/>
                <w:sz w:val="20"/>
                <w:szCs w:val="20"/>
              </w:rPr>
              <w:t>Example System</w:t>
            </w:r>
          </w:p>
        </w:tc>
        <w:tc>
          <w:tcPr>
            <w:tcW w:w="2158" w:type="dxa"/>
          </w:tcPr>
          <w:p w14:paraId="00F3A2DF" w14:textId="77777777" w:rsidR="00A811F6" w:rsidRPr="003F3781" w:rsidRDefault="00A811F6" w:rsidP="003D26A2">
            <w:pPr>
              <w:jc w:val="center"/>
              <w:rPr>
                <w:rFonts w:ascii="Arial" w:hAnsi="Arial" w:cs="Arial"/>
                <w:sz w:val="20"/>
                <w:szCs w:val="20"/>
              </w:rPr>
            </w:pPr>
            <w:r w:rsidRPr="003F3781">
              <w:rPr>
                <w:rFonts w:ascii="Arial" w:hAnsi="Arial" w:cs="Arial"/>
                <w:b/>
                <w:bCs/>
                <w:sz w:val="20"/>
                <w:szCs w:val="20"/>
              </w:rPr>
              <w:t>Evidence Level</w:t>
            </w:r>
          </w:p>
        </w:tc>
        <w:tc>
          <w:tcPr>
            <w:tcW w:w="1684" w:type="dxa"/>
          </w:tcPr>
          <w:p w14:paraId="1DBC0767" w14:textId="77777777" w:rsidR="00A811F6" w:rsidRPr="003F3781" w:rsidRDefault="00A811F6" w:rsidP="003D26A2">
            <w:pPr>
              <w:jc w:val="center"/>
              <w:rPr>
                <w:rFonts w:ascii="Arial" w:hAnsi="Arial" w:cs="Arial"/>
                <w:sz w:val="20"/>
                <w:szCs w:val="20"/>
              </w:rPr>
            </w:pPr>
            <w:r w:rsidRPr="003F3781">
              <w:rPr>
                <w:rFonts w:ascii="Arial" w:hAnsi="Arial" w:cs="Arial"/>
                <w:b/>
                <w:bCs/>
                <w:sz w:val="20"/>
                <w:szCs w:val="20"/>
              </w:rPr>
              <w:t>Representative Reference</w:t>
            </w:r>
          </w:p>
        </w:tc>
      </w:tr>
      <w:tr w:rsidR="00A811F6" w:rsidRPr="003F3781" w14:paraId="522CB91C" w14:textId="77777777" w:rsidTr="006C3D36">
        <w:trPr>
          <w:jc w:val="center"/>
        </w:trPr>
        <w:tc>
          <w:tcPr>
            <w:tcW w:w="2263" w:type="dxa"/>
          </w:tcPr>
          <w:p w14:paraId="03DE4BC4" w14:textId="77777777" w:rsidR="00A811F6" w:rsidRPr="003F3781" w:rsidRDefault="00A811F6" w:rsidP="003A3B3E">
            <w:pPr>
              <w:rPr>
                <w:rFonts w:ascii="Arial" w:hAnsi="Arial" w:cs="Arial"/>
                <w:sz w:val="20"/>
                <w:szCs w:val="20"/>
              </w:rPr>
            </w:pPr>
            <w:r w:rsidRPr="003F3781">
              <w:rPr>
                <w:rFonts w:ascii="Arial" w:hAnsi="Arial" w:cs="Arial"/>
                <w:sz w:val="20"/>
                <w:szCs w:val="20"/>
              </w:rPr>
              <w:t>Direct antagonism</w:t>
            </w:r>
          </w:p>
        </w:tc>
        <w:tc>
          <w:tcPr>
            <w:tcW w:w="1979" w:type="dxa"/>
          </w:tcPr>
          <w:p w14:paraId="020D5282" w14:textId="77777777" w:rsidR="00A811F6" w:rsidRPr="003F3781" w:rsidRDefault="00A811F6" w:rsidP="003A3B3E">
            <w:pPr>
              <w:rPr>
                <w:rFonts w:ascii="Arial" w:hAnsi="Arial" w:cs="Arial"/>
                <w:sz w:val="20"/>
                <w:szCs w:val="20"/>
              </w:rPr>
            </w:pPr>
            <w:r w:rsidRPr="003F3781">
              <w:rPr>
                <w:rFonts w:ascii="Arial" w:hAnsi="Arial" w:cs="Arial"/>
                <w:sz w:val="20"/>
                <w:szCs w:val="20"/>
              </w:rPr>
              <w:t>Antibiosis / lipopeptide production</w:t>
            </w:r>
          </w:p>
        </w:tc>
        <w:tc>
          <w:tcPr>
            <w:tcW w:w="2416" w:type="dxa"/>
          </w:tcPr>
          <w:p w14:paraId="5422F076" w14:textId="77777777" w:rsidR="00A811F6" w:rsidRPr="003F3781" w:rsidRDefault="00A811F6" w:rsidP="003A3B3E">
            <w:pPr>
              <w:rPr>
                <w:rFonts w:ascii="Arial" w:hAnsi="Arial" w:cs="Arial"/>
                <w:sz w:val="20"/>
                <w:szCs w:val="20"/>
              </w:rPr>
            </w:pPr>
            <w:r w:rsidRPr="003F3781">
              <w:rPr>
                <w:rFonts w:ascii="Arial" w:hAnsi="Arial" w:cs="Arial"/>
                <w:i/>
                <w:iCs/>
                <w:sz w:val="20"/>
                <w:szCs w:val="20"/>
              </w:rPr>
              <w:t>Bacillus</w:t>
            </w:r>
            <w:r w:rsidRPr="003F3781">
              <w:rPr>
                <w:rFonts w:ascii="Arial" w:hAnsi="Arial" w:cs="Arial"/>
                <w:sz w:val="20"/>
                <w:szCs w:val="20"/>
              </w:rPr>
              <w:t xml:space="preserve"> spp. against fungal pathogens</w:t>
            </w:r>
          </w:p>
        </w:tc>
        <w:tc>
          <w:tcPr>
            <w:tcW w:w="2158" w:type="dxa"/>
          </w:tcPr>
          <w:p w14:paraId="5B6FB14A" w14:textId="77777777" w:rsidR="00A811F6" w:rsidRPr="003F3781" w:rsidRDefault="00A811F6" w:rsidP="003A3B3E">
            <w:pPr>
              <w:rPr>
                <w:rFonts w:ascii="Arial" w:hAnsi="Arial" w:cs="Arial"/>
                <w:sz w:val="20"/>
                <w:szCs w:val="20"/>
              </w:rPr>
            </w:pPr>
            <w:r w:rsidRPr="003F3781">
              <w:rPr>
                <w:rFonts w:ascii="Arial" w:hAnsi="Arial" w:cs="Arial"/>
                <w:sz w:val="20"/>
                <w:szCs w:val="20"/>
              </w:rPr>
              <w:t>Functional (in vitro + planta)</w:t>
            </w:r>
          </w:p>
        </w:tc>
        <w:tc>
          <w:tcPr>
            <w:tcW w:w="1684" w:type="dxa"/>
          </w:tcPr>
          <w:p w14:paraId="66F14D3B" w14:textId="77777777" w:rsidR="00A811F6" w:rsidRPr="003F3781" w:rsidRDefault="00A811F6" w:rsidP="003A3B3E">
            <w:pPr>
              <w:rPr>
                <w:rFonts w:ascii="Arial" w:hAnsi="Arial" w:cs="Arial"/>
                <w:sz w:val="20"/>
                <w:szCs w:val="20"/>
              </w:rPr>
            </w:pPr>
            <w:r w:rsidRPr="003F3781">
              <w:rPr>
                <w:rFonts w:ascii="Arial" w:hAnsi="Arial" w:cs="Arial"/>
                <w:sz w:val="20"/>
                <w:szCs w:val="20"/>
              </w:rPr>
              <w:t xml:space="preserve">Ali </w:t>
            </w:r>
            <w:r w:rsidR="00587082" w:rsidRPr="003F3781">
              <w:rPr>
                <w:rFonts w:ascii="Arial" w:hAnsi="Arial" w:cs="Arial"/>
                <w:i/>
                <w:iCs/>
                <w:sz w:val="20"/>
                <w:szCs w:val="20"/>
              </w:rPr>
              <w:t>et al.</w:t>
            </w:r>
            <w:r w:rsidRPr="003F3781">
              <w:rPr>
                <w:rFonts w:ascii="Arial" w:hAnsi="Arial" w:cs="Arial"/>
                <w:sz w:val="20"/>
                <w:szCs w:val="20"/>
              </w:rPr>
              <w:t>, 2022</w:t>
            </w:r>
          </w:p>
        </w:tc>
      </w:tr>
      <w:tr w:rsidR="00A811F6" w:rsidRPr="003F3781" w14:paraId="6CF33EAA" w14:textId="77777777" w:rsidTr="006C3D36">
        <w:trPr>
          <w:jc w:val="center"/>
        </w:trPr>
        <w:tc>
          <w:tcPr>
            <w:tcW w:w="2263" w:type="dxa"/>
          </w:tcPr>
          <w:p w14:paraId="18C6377F" w14:textId="77777777" w:rsidR="00A811F6" w:rsidRPr="003F3781" w:rsidRDefault="00A811F6" w:rsidP="003A3B3E">
            <w:pPr>
              <w:rPr>
                <w:rFonts w:ascii="Arial" w:hAnsi="Arial" w:cs="Arial"/>
                <w:sz w:val="20"/>
                <w:szCs w:val="20"/>
              </w:rPr>
            </w:pPr>
            <w:r w:rsidRPr="003F3781">
              <w:rPr>
                <w:rFonts w:ascii="Arial" w:hAnsi="Arial" w:cs="Arial"/>
                <w:sz w:val="20"/>
                <w:szCs w:val="20"/>
              </w:rPr>
              <w:t>Direct antagonism</w:t>
            </w:r>
          </w:p>
        </w:tc>
        <w:tc>
          <w:tcPr>
            <w:tcW w:w="1979" w:type="dxa"/>
          </w:tcPr>
          <w:p w14:paraId="074BD231" w14:textId="77777777" w:rsidR="00A811F6" w:rsidRPr="003F3781" w:rsidRDefault="00A811F6" w:rsidP="003A3B3E">
            <w:pPr>
              <w:rPr>
                <w:rFonts w:ascii="Arial" w:hAnsi="Arial" w:cs="Arial"/>
                <w:sz w:val="20"/>
                <w:szCs w:val="20"/>
              </w:rPr>
            </w:pPr>
            <w:r w:rsidRPr="003F3781">
              <w:rPr>
                <w:rFonts w:ascii="Arial" w:hAnsi="Arial" w:cs="Arial"/>
                <w:sz w:val="20"/>
                <w:szCs w:val="20"/>
              </w:rPr>
              <w:t>Siderophore-mediated iron competition (compatibility-dependent)</w:t>
            </w:r>
          </w:p>
        </w:tc>
        <w:tc>
          <w:tcPr>
            <w:tcW w:w="2416" w:type="dxa"/>
          </w:tcPr>
          <w:p w14:paraId="02CB471E" w14:textId="77777777" w:rsidR="00A811F6" w:rsidRPr="003F3781" w:rsidRDefault="00A811F6" w:rsidP="003A3B3E">
            <w:pPr>
              <w:rPr>
                <w:rFonts w:ascii="Arial" w:hAnsi="Arial" w:cs="Arial"/>
                <w:sz w:val="20"/>
                <w:szCs w:val="20"/>
              </w:rPr>
            </w:pPr>
            <w:r w:rsidRPr="003F3781">
              <w:rPr>
                <w:rFonts w:ascii="Arial" w:hAnsi="Arial" w:cs="Arial"/>
                <w:i/>
                <w:iCs/>
                <w:sz w:val="20"/>
                <w:szCs w:val="20"/>
              </w:rPr>
              <w:t xml:space="preserve">Pseudomonas </w:t>
            </w:r>
            <w:proofErr w:type="spellStart"/>
            <w:r w:rsidRPr="003F3781">
              <w:rPr>
                <w:rFonts w:ascii="Arial" w:hAnsi="Arial" w:cs="Arial"/>
                <w:i/>
                <w:iCs/>
                <w:sz w:val="20"/>
                <w:szCs w:val="20"/>
              </w:rPr>
              <w:t>brassicacearum</w:t>
            </w:r>
            <w:proofErr w:type="spellEnd"/>
            <w:r w:rsidRPr="003F3781">
              <w:rPr>
                <w:rFonts w:ascii="Arial" w:hAnsi="Arial" w:cs="Arial"/>
                <w:sz w:val="20"/>
                <w:szCs w:val="20"/>
              </w:rPr>
              <w:t xml:space="preserve"> R401 vs. </w:t>
            </w:r>
            <w:proofErr w:type="spellStart"/>
            <w:r w:rsidRPr="003F3781">
              <w:rPr>
                <w:rFonts w:ascii="Arial" w:hAnsi="Arial" w:cs="Arial"/>
                <w:i/>
                <w:iCs/>
                <w:sz w:val="20"/>
                <w:szCs w:val="20"/>
              </w:rPr>
              <w:t>Ralstonia</w:t>
            </w:r>
            <w:proofErr w:type="spellEnd"/>
            <w:r w:rsidRPr="003F3781">
              <w:rPr>
                <w:rFonts w:ascii="Arial" w:hAnsi="Arial" w:cs="Arial"/>
                <w:i/>
                <w:iCs/>
                <w:sz w:val="20"/>
                <w:szCs w:val="20"/>
              </w:rPr>
              <w:t xml:space="preserve"> solanacearum</w:t>
            </w:r>
            <w:r w:rsidRPr="003F3781">
              <w:rPr>
                <w:rFonts w:ascii="Arial" w:hAnsi="Arial" w:cs="Arial"/>
                <w:sz w:val="20"/>
                <w:szCs w:val="20"/>
              </w:rPr>
              <w:t xml:space="preserve"> in tomato</w:t>
            </w:r>
          </w:p>
        </w:tc>
        <w:tc>
          <w:tcPr>
            <w:tcW w:w="2158" w:type="dxa"/>
          </w:tcPr>
          <w:p w14:paraId="4B740EE8" w14:textId="77777777" w:rsidR="00A811F6" w:rsidRPr="003F3781" w:rsidRDefault="00A811F6" w:rsidP="003A3B3E">
            <w:pPr>
              <w:rPr>
                <w:rFonts w:ascii="Arial" w:hAnsi="Arial" w:cs="Arial"/>
                <w:sz w:val="20"/>
                <w:szCs w:val="20"/>
              </w:rPr>
            </w:pPr>
            <w:r w:rsidRPr="003F3781">
              <w:rPr>
                <w:rFonts w:ascii="Arial" w:hAnsi="Arial" w:cs="Arial"/>
                <w:sz w:val="20"/>
                <w:szCs w:val="20"/>
              </w:rPr>
              <w:t>Causal (genetic/compound-level)</w:t>
            </w:r>
          </w:p>
        </w:tc>
        <w:tc>
          <w:tcPr>
            <w:tcW w:w="1684" w:type="dxa"/>
          </w:tcPr>
          <w:p w14:paraId="3E6CBF4A" w14:textId="77777777" w:rsidR="00A811F6" w:rsidRPr="003F3781" w:rsidRDefault="00A811F6" w:rsidP="003A3B3E">
            <w:pPr>
              <w:rPr>
                <w:rFonts w:ascii="Arial" w:hAnsi="Arial" w:cs="Arial"/>
                <w:sz w:val="20"/>
                <w:szCs w:val="20"/>
              </w:rPr>
            </w:pPr>
            <w:r w:rsidRPr="003F3781">
              <w:rPr>
                <w:rFonts w:ascii="Arial" w:hAnsi="Arial" w:cs="Arial"/>
                <w:sz w:val="20"/>
                <w:szCs w:val="20"/>
              </w:rPr>
              <w:t xml:space="preserve">Niehus </w:t>
            </w:r>
            <w:r w:rsidR="00587082" w:rsidRPr="003F3781">
              <w:rPr>
                <w:rFonts w:ascii="Arial" w:hAnsi="Arial" w:cs="Arial"/>
                <w:i/>
                <w:iCs/>
                <w:sz w:val="20"/>
                <w:szCs w:val="20"/>
              </w:rPr>
              <w:t>et al.</w:t>
            </w:r>
            <w:r w:rsidRPr="003F3781">
              <w:rPr>
                <w:rFonts w:ascii="Arial" w:hAnsi="Arial" w:cs="Arial"/>
                <w:sz w:val="20"/>
                <w:szCs w:val="20"/>
              </w:rPr>
              <w:t xml:space="preserve">, 2017; </w:t>
            </w:r>
            <w:proofErr w:type="spellStart"/>
            <w:r w:rsidRPr="003F3781">
              <w:rPr>
                <w:rFonts w:ascii="Arial" w:hAnsi="Arial" w:cs="Arial"/>
                <w:sz w:val="20"/>
                <w:szCs w:val="20"/>
              </w:rPr>
              <w:t>Getzke</w:t>
            </w:r>
            <w:proofErr w:type="spellEnd"/>
            <w:r w:rsidRPr="003F3781">
              <w:rPr>
                <w:rFonts w:ascii="Arial" w:hAnsi="Arial" w:cs="Arial"/>
                <w:sz w:val="20"/>
                <w:szCs w:val="20"/>
              </w:rPr>
              <w:t xml:space="preserve"> </w:t>
            </w:r>
            <w:r w:rsidR="00587082" w:rsidRPr="003F3781">
              <w:rPr>
                <w:rFonts w:ascii="Arial" w:hAnsi="Arial" w:cs="Arial"/>
                <w:i/>
                <w:iCs/>
                <w:sz w:val="20"/>
                <w:szCs w:val="20"/>
              </w:rPr>
              <w:t>et al.</w:t>
            </w:r>
            <w:r w:rsidRPr="003F3781">
              <w:rPr>
                <w:rFonts w:ascii="Arial" w:hAnsi="Arial" w:cs="Arial"/>
                <w:sz w:val="20"/>
                <w:szCs w:val="20"/>
              </w:rPr>
              <w:t>, 2023</w:t>
            </w:r>
          </w:p>
        </w:tc>
      </w:tr>
      <w:tr w:rsidR="00A811F6" w:rsidRPr="003F3781" w14:paraId="5B937147" w14:textId="77777777" w:rsidTr="006C3D36">
        <w:trPr>
          <w:jc w:val="center"/>
        </w:trPr>
        <w:tc>
          <w:tcPr>
            <w:tcW w:w="2263" w:type="dxa"/>
          </w:tcPr>
          <w:p w14:paraId="4AB7F638" w14:textId="77777777" w:rsidR="00A811F6" w:rsidRPr="003F3781" w:rsidRDefault="00A811F6" w:rsidP="003A3B3E">
            <w:pPr>
              <w:rPr>
                <w:rFonts w:ascii="Arial" w:hAnsi="Arial" w:cs="Arial"/>
                <w:sz w:val="20"/>
                <w:szCs w:val="20"/>
              </w:rPr>
            </w:pPr>
            <w:r w:rsidRPr="003F3781">
              <w:rPr>
                <w:rFonts w:ascii="Arial" w:hAnsi="Arial" w:cs="Arial"/>
                <w:sz w:val="20"/>
                <w:szCs w:val="20"/>
              </w:rPr>
              <w:t>Indirect (immune modulation)</w:t>
            </w:r>
          </w:p>
        </w:tc>
        <w:tc>
          <w:tcPr>
            <w:tcW w:w="1979" w:type="dxa"/>
          </w:tcPr>
          <w:p w14:paraId="0E6DA2EE" w14:textId="77777777" w:rsidR="00A811F6" w:rsidRPr="003F3781" w:rsidRDefault="00A811F6" w:rsidP="003A3B3E">
            <w:pPr>
              <w:rPr>
                <w:rFonts w:ascii="Arial" w:hAnsi="Arial" w:cs="Arial"/>
                <w:sz w:val="20"/>
                <w:szCs w:val="20"/>
              </w:rPr>
            </w:pPr>
            <w:r w:rsidRPr="003F3781">
              <w:rPr>
                <w:rFonts w:ascii="Arial" w:hAnsi="Arial" w:cs="Arial"/>
                <w:sz w:val="20"/>
                <w:szCs w:val="20"/>
              </w:rPr>
              <w:t>Induced systemic resistance (JA/ET-dependent)</w:t>
            </w:r>
          </w:p>
        </w:tc>
        <w:tc>
          <w:tcPr>
            <w:tcW w:w="2416" w:type="dxa"/>
          </w:tcPr>
          <w:p w14:paraId="1F103D1C" w14:textId="77777777" w:rsidR="00A811F6" w:rsidRPr="003F3781" w:rsidRDefault="00A811F6" w:rsidP="003A3B3E">
            <w:pPr>
              <w:rPr>
                <w:rFonts w:ascii="Arial" w:hAnsi="Arial" w:cs="Arial"/>
                <w:sz w:val="20"/>
                <w:szCs w:val="20"/>
              </w:rPr>
            </w:pPr>
            <w:r w:rsidRPr="003F3781">
              <w:rPr>
                <w:rFonts w:ascii="Arial" w:hAnsi="Arial" w:cs="Arial"/>
                <w:i/>
                <w:iCs/>
                <w:sz w:val="20"/>
                <w:szCs w:val="20"/>
              </w:rPr>
              <w:t>Pseudomonas/Bacillus</w:t>
            </w:r>
            <w:r w:rsidRPr="003F3781">
              <w:rPr>
                <w:rFonts w:ascii="Arial" w:hAnsi="Arial" w:cs="Arial"/>
                <w:sz w:val="20"/>
                <w:szCs w:val="20"/>
              </w:rPr>
              <w:t xml:space="preserve"> root colonisers</w:t>
            </w:r>
          </w:p>
        </w:tc>
        <w:tc>
          <w:tcPr>
            <w:tcW w:w="2158" w:type="dxa"/>
          </w:tcPr>
          <w:p w14:paraId="4D051AEF" w14:textId="77777777" w:rsidR="00A811F6" w:rsidRPr="003F3781" w:rsidRDefault="00A811F6" w:rsidP="003A3B3E">
            <w:pPr>
              <w:rPr>
                <w:rFonts w:ascii="Arial" w:hAnsi="Arial" w:cs="Arial"/>
                <w:sz w:val="20"/>
                <w:szCs w:val="20"/>
              </w:rPr>
            </w:pPr>
            <w:r w:rsidRPr="003F3781">
              <w:rPr>
                <w:rFonts w:ascii="Arial" w:hAnsi="Arial" w:cs="Arial"/>
                <w:sz w:val="20"/>
                <w:szCs w:val="20"/>
              </w:rPr>
              <w:t>Mechanistic, broadly replicated</w:t>
            </w:r>
          </w:p>
        </w:tc>
        <w:tc>
          <w:tcPr>
            <w:tcW w:w="1684" w:type="dxa"/>
          </w:tcPr>
          <w:p w14:paraId="57E732C4" w14:textId="77777777" w:rsidR="00A811F6" w:rsidRPr="003F3781" w:rsidRDefault="00A811F6" w:rsidP="003A3B3E">
            <w:pPr>
              <w:rPr>
                <w:rFonts w:ascii="Arial" w:hAnsi="Arial" w:cs="Arial"/>
                <w:sz w:val="20"/>
                <w:szCs w:val="20"/>
              </w:rPr>
            </w:pPr>
            <w:r w:rsidRPr="003F3781">
              <w:rPr>
                <w:rFonts w:ascii="Arial" w:hAnsi="Arial" w:cs="Arial"/>
                <w:sz w:val="20"/>
                <w:szCs w:val="20"/>
              </w:rPr>
              <w:t xml:space="preserve">Pieterse </w:t>
            </w:r>
            <w:r w:rsidR="00587082" w:rsidRPr="003F3781">
              <w:rPr>
                <w:rFonts w:ascii="Arial" w:hAnsi="Arial" w:cs="Arial"/>
                <w:i/>
                <w:iCs/>
                <w:sz w:val="20"/>
                <w:szCs w:val="20"/>
              </w:rPr>
              <w:t>et al.</w:t>
            </w:r>
            <w:r w:rsidRPr="003F3781">
              <w:rPr>
                <w:rFonts w:ascii="Arial" w:hAnsi="Arial" w:cs="Arial"/>
                <w:sz w:val="20"/>
                <w:szCs w:val="20"/>
              </w:rPr>
              <w:t>, 2014</w:t>
            </w:r>
          </w:p>
        </w:tc>
      </w:tr>
      <w:tr w:rsidR="00A811F6" w:rsidRPr="003F3781" w14:paraId="71860DE1" w14:textId="77777777" w:rsidTr="006C3D36">
        <w:trPr>
          <w:jc w:val="center"/>
        </w:trPr>
        <w:tc>
          <w:tcPr>
            <w:tcW w:w="2263" w:type="dxa"/>
          </w:tcPr>
          <w:p w14:paraId="426D9619" w14:textId="77777777" w:rsidR="00A811F6" w:rsidRPr="003F3781" w:rsidRDefault="00A811F6" w:rsidP="003A3B3E">
            <w:pPr>
              <w:rPr>
                <w:rFonts w:ascii="Arial" w:hAnsi="Arial" w:cs="Arial"/>
                <w:sz w:val="20"/>
                <w:szCs w:val="20"/>
              </w:rPr>
            </w:pPr>
            <w:r w:rsidRPr="003F3781">
              <w:rPr>
                <w:rFonts w:ascii="Arial" w:hAnsi="Arial" w:cs="Arial"/>
                <w:sz w:val="20"/>
                <w:szCs w:val="20"/>
              </w:rPr>
              <w:t>Indirect (immune modulation)</w:t>
            </w:r>
          </w:p>
        </w:tc>
        <w:tc>
          <w:tcPr>
            <w:tcW w:w="1979" w:type="dxa"/>
          </w:tcPr>
          <w:p w14:paraId="012406BE" w14:textId="77777777" w:rsidR="00A811F6" w:rsidRPr="003F3781" w:rsidRDefault="00A811F6" w:rsidP="003A3B3E">
            <w:pPr>
              <w:rPr>
                <w:rFonts w:ascii="Arial" w:hAnsi="Arial" w:cs="Arial"/>
                <w:sz w:val="20"/>
                <w:szCs w:val="20"/>
              </w:rPr>
            </w:pPr>
            <w:r w:rsidRPr="003F3781">
              <w:rPr>
                <w:rFonts w:ascii="Arial" w:hAnsi="Arial" w:cs="Arial"/>
                <w:sz w:val="20"/>
                <w:szCs w:val="20"/>
              </w:rPr>
              <w:t>PTI priming by commensal MAMPs</w:t>
            </w:r>
          </w:p>
        </w:tc>
        <w:tc>
          <w:tcPr>
            <w:tcW w:w="2416" w:type="dxa"/>
          </w:tcPr>
          <w:p w14:paraId="5E234957" w14:textId="77777777" w:rsidR="00A811F6" w:rsidRPr="003F3781" w:rsidRDefault="00A811F6" w:rsidP="003A3B3E">
            <w:pPr>
              <w:rPr>
                <w:rFonts w:ascii="Arial" w:hAnsi="Arial" w:cs="Arial"/>
                <w:sz w:val="20"/>
                <w:szCs w:val="20"/>
              </w:rPr>
            </w:pPr>
            <w:r w:rsidRPr="003F3781">
              <w:rPr>
                <w:rFonts w:ascii="Arial" w:hAnsi="Arial" w:cs="Arial"/>
                <w:sz w:val="20"/>
                <w:szCs w:val="20"/>
              </w:rPr>
              <w:t>Arabidopsis axenic vs. colonised comparison</w:t>
            </w:r>
          </w:p>
        </w:tc>
        <w:tc>
          <w:tcPr>
            <w:tcW w:w="2158" w:type="dxa"/>
          </w:tcPr>
          <w:p w14:paraId="0AC16FCB" w14:textId="77777777" w:rsidR="00A811F6" w:rsidRPr="003F3781" w:rsidRDefault="00A811F6" w:rsidP="003A3B3E">
            <w:pPr>
              <w:rPr>
                <w:rFonts w:ascii="Arial" w:hAnsi="Arial" w:cs="Arial"/>
                <w:sz w:val="20"/>
                <w:szCs w:val="20"/>
              </w:rPr>
            </w:pPr>
            <w:r w:rsidRPr="003F3781">
              <w:rPr>
                <w:rFonts w:ascii="Arial" w:hAnsi="Arial" w:cs="Arial"/>
                <w:sz w:val="20"/>
                <w:szCs w:val="20"/>
              </w:rPr>
              <w:t>Causal (axenic-plant experiment)</w:t>
            </w:r>
          </w:p>
        </w:tc>
        <w:tc>
          <w:tcPr>
            <w:tcW w:w="1684" w:type="dxa"/>
          </w:tcPr>
          <w:p w14:paraId="39EA6DE0" w14:textId="77777777" w:rsidR="00A811F6" w:rsidRPr="003F3781" w:rsidRDefault="00A811F6" w:rsidP="003A3B3E">
            <w:pPr>
              <w:rPr>
                <w:rFonts w:ascii="Arial" w:hAnsi="Arial" w:cs="Arial"/>
                <w:sz w:val="20"/>
                <w:szCs w:val="20"/>
              </w:rPr>
            </w:pPr>
            <w:proofErr w:type="spellStart"/>
            <w:r w:rsidRPr="003F3781">
              <w:rPr>
                <w:rFonts w:ascii="Arial" w:hAnsi="Arial" w:cs="Arial"/>
                <w:sz w:val="20"/>
                <w:szCs w:val="20"/>
              </w:rPr>
              <w:t>Nobori</w:t>
            </w:r>
            <w:proofErr w:type="spellEnd"/>
            <w:r w:rsidRPr="003F3781">
              <w:rPr>
                <w:rFonts w:ascii="Arial" w:hAnsi="Arial" w:cs="Arial"/>
                <w:sz w:val="20"/>
                <w:szCs w:val="20"/>
              </w:rPr>
              <w:t xml:space="preserve"> </w:t>
            </w:r>
            <w:r w:rsidR="00587082" w:rsidRPr="003F3781">
              <w:rPr>
                <w:rFonts w:ascii="Arial" w:hAnsi="Arial" w:cs="Arial"/>
                <w:i/>
                <w:iCs/>
                <w:sz w:val="20"/>
                <w:szCs w:val="20"/>
              </w:rPr>
              <w:t>et al.</w:t>
            </w:r>
            <w:r w:rsidRPr="003F3781">
              <w:rPr>
                <w:rFonts w:ascii="Arial" w:hAnsi="Arial" w:cs="Arial"/>
                <w:sz w:val="20"/>
                <w:szCs w:val="20"/>
              </w:rPr>
              <w:t xml:space="preserve">, 2022; Paasch </w:t>
            </w:r>
            <w:r w:rsidR="00587082" w:rsidRPr="003F3781">
              <w:rPr>
                <w:rFonts w:ascii="Arial" w:hAnsi="Arial" w:cs="Arial"/>
                <w:i/>
                <w:iCs/>
                <w:sz w:val="20"/>
                <w:szCs w:val="20"/>
              </w:rPr>
              <w:t>et al.</w:t>
            </w:r>
            <w:r w:rsidRPr="003F3781">
              <w:rPr>
                <w:rFonts w:ascii="Arial" w:hAnsi="Arial" w:cs="Arial"/>
                <w:sz w:val="20"/>
                <w:szCs w:val="20"/>
              </w:rPr>
              <w:t>, 2023</w:t>
            </w:r>
          </w:p>
        </w:tc>
      </w:tr>
      <w:tr w:rsidR="00A811F6" w:rsidRPr="003F3781" w14:paraId="3601ACC8" w14:textId="77777777" w:rsidTr="006C3D36">
        <w:trPr>
          <w:jc w:val="center"/>
        </w:trPr>
        <w:tc>
          <w:tcPr>
            <w:tcW w:w="2263" w:type="dxa"/>
          </w:tcPr>
          <w:p w14:paraId="3ECF52F8" w14:textId="77777777" w:rsidR="00A811F6" w:rsidRPr="003F3781" w:rsidRDefault="00A811F6" w:rsidP="003A3B3E">
            <w:pPr>
              <w:rPr>
                <w:rFonts w:ascii="Arial" w:hAnsi="Arial" w:cs="Arial"/>
                <w:sz w:val="20"/>
                <w:szCs w:val="20"/>
              </w:rPr>
            </w:pPr>
            <w:r w:rsidRPr="003F3781">
              <w:rPr>
                <w:rFonts w:ascii="Arial" w:hAnsi="Arial" w:cs="Arial"/>
                <w:sz w:val="20"/>
                <w:szCs w:val="20"/>
              </w:rPr>
              <w:t>Community-level</w:t>
            </w:r>
          </w:p>
        </w:tc>
        <w:tc>
          <w:tcPr>
            <w:tcW w:w="1979" w:type="dxa"/>
          </w:tcPr>
          <w:p w14:paraId="32AED307" w14:textId="77777777" w:rsidR="00A811F6" w:rsidRPr="003F3781" w:rsidRDefault="00A811F6" w:rsidP="003A3B3E">
            <w:pPr>
              <w:rPr>
                <w:rFonts w:ascii="Arial" w:hAnsi="Arial" w:cs="Arial"/>
                <w:sz w:val="20"/>
                <w:szCs w:val="20"/>
              </w:rPr>
            </w:pPr>
            <w:r w:rsidRPr="003F3781">
              <w:rPr>
                <w:rFonts w:ascii="Arial" w:hAnsi="Arial" w:cs="Arial"/>
                <w:sz w:val="20"/>
                <w:szCs w:val="20"/>
              </w:rPr>
              <w:t>Cross-kingdom complementarity (fungal stability + bacterial antibiosis)</w:t>
            </w:r>
          </w:p>
        </w:tc>
        <w:tc>
          <w:tcPr>
            <w:tcW w:w="2416" w:type="dxa"/>
          </w:tcPr>
          <w:p w14:paraId="77E292B3" w14:textId="77777777" w:rsidR="00A811F6" w:rsidRPr="003F3781" w:rsidRDefault="00A811F6" w:rsidP="003A3B3E">
            <w:pPr>
              <w:rPr>
                <w:rFonts w:ascii="Arial" w:hAnsi="Arial" w:cs="Arial"/>
                <w:sz w:val="20"/>
                <w:szCs w:val="20"/>
              </w:rPr>
            </w:pPr>
            <w:r w:rsidRPr="003F3781">
              <w:rPr>
                <w:rFonts w:ascii="Arial" w:hAnsi="Arial" w:cs="Arial"/>
                <w:sz w:val="20"/>
                <w:szCs w:val="20"/>
              </w:rPr>
              <w:t xml:space="preserve">Tomato Fusarium-wilt </w:t>
            </w:r>
            <w:proofErr w:type="spellStart"/>
            <w:r w:rsidRPr="003F3781">
              <w:rPr>
                <w:rFonts w:ascii="Arial" w:hAnsi="Arial" w:cs="Arial"/>
                <w:sz w:val="20"/>
                <w:szCs w:val="20"/>
              </w:rPr>
              <w:t>SynComs</w:t>
            </w:r>
            <w:proofErr w:type="spellEnd"/>
          </w:p>
        </w:tc>
        <w:tc>
          <w:tcPr>
            <w:tcW w:w="2158" w:type="dxa"/>
          </w:tcPr>
          <w:p w14:paraId="4A22D117" w14:textId="77777777" w:rsidR="00A811F6" w:rsidRPr="003F3781" w:rsidRDefault="00A811F6" w:rsidP="003A3B3E">
            <w:pPr>
              <w:rPr>
                <w:rFonts w:ascii="Arial" w:hAnsi="Arial" w:cs="Arial"/>
                <w:sz w:val="20"/>
                <w:szCs w:val="20"/>
              </w:rPr>
            </w:pPr>
            <w:r w:rsidRPr="003F3781">
              <w:rPr>
                <w:rFonts w:ascii="Arial" w:hAnsi="Arial" w:cs="Arial"/>
                <w:sz w:val="20"/>
                <w:szCs w:val="20"/>
              </w:rPr>
              <w:t>Causal (</w:t>
            </w:r>
            <w:proofErr w:type="spellStart"/>
            <w:r w:rsidRPr="003F3781">
              <w:rPr>
                <w:rFonts w:ascii="Arial" w:hAnsi="Arial" w:cs="Arial"/>
                <w:sz w:val="20"/>
                <w:szCs w:val="20"/>
              </w:rPr>
              <w:t>SynCom</w:t>
            </w:r>
            <w:proofErr w:type="spellEnd"/>
            <w:r w:rsidRPr="003F3781">
              <w:rPr>
                <w:rFonts w:ascii="Arial" w:hAnsi="Arial" w:cs="Arial"/>
                <w:sz w:val="20"/>
                <w:szCs w:val="20"/>
              </w:rPr>
              <w:t xml:space="preserve"> reconstruction)</w:t>
            </w:r>
          </w:p>
        </w:tc>
        <w:tc>
          <w:tcPr>
            <w:tcW w:w="1684" w:type="dxa"/>
          </w:tcPr>
          <w:p w14:paraId="34BC4722" w14:textId="77777777" w:rsidR="00A811F6" w:rsidRPr="003F3781" w:rsidRDefault="00A811F6" w:rsidP="003A3B3E">
            <w:pPr>
              <w:rPr>
                <w:rFonts w:ascii="Arial" w:hAnsi="Arial" w:cs="Arial"/>
                <w:sz w:val="20"/>
                <w:szCs w:val="20"/>
              </w:rPr>
            </w:pPr>
            <w:r w:rsidRPr="003F3781">
              <w:rPr>
                <w:rFonts w:ascii="Arial" w:hAnsi="Arial" w:cs="Arial"/>
                <w:sz w:val="20"/>
                <w:szCs w:val="20"/>
              </w:rPr>
              <w:t xml:space="preserve">Zhou </w:t>
            </w:r>
            <w:r w:rsidR="00587082" w:rsidRPr="003F3781">
              <w:rPr>
                <w:rFonts w:ascii="Arial" w:hAnsi="Arial" w:cs="Arial"/>
                <w:i/>
                <w:iCs/>
                <w:sz w:val="20"/>
                <w:szCs w:val="20"/>
              </w:rPr>
              <w:t>et al.</w:t>
            </w:r>
            <w:r w:rsidRPr="003F3781">
              <w:rPr>
                <w:rFonts w:ascii="Arial" w:hAnsi="Arial" w:cs="Arial"/>
                <w:sz w:val="20"/>
                <w:szCs w:val="20"/>
              </w:rPr>
              <w:t>, 2022</w:t>
            </w:r>
          </w:p>
        </w:tc>
      </w:tr>
      <w:tr w:rsidR="00A811F6" w:rsidRPr="003F3781" w14:paraId="6E03909C" w14:textId="77777777" w:rsidTr="006C3D36">
        <w:trPr>
          <w:jc w:val="center"/>
        </w:trPr>
        <w:tc>
          <w:tcPr>
            <w:tcW w:w="2263" w:type="dxa"/>
          </w:tcPr>
          <w:p w14:paraId="794E4ECB" w14:textId="77777777" w:rsidR="00A811F6" w:rsidRPr="003F3781" w:rsidRDefault="00A811F6" w:rsidP="003A3B3E">
            <w:pPr>
              <w:rPr>
                <w:rFonts w:ascii="Arial" w:hAnsi="Arial" w:cs="Arial"/>
                <w:sz w:val="20"/>
                <w:szCs w:val="20"/>
              </w:rPr>
            </w:pPr>
            <w:r w:rsidRPr="003F3781">
              <w:rPr>
                <w:rFonts w:ascii="Arial" w:hAnsi="Arial" w:cs="Arial"/>
                <w:sz w:val="20"/>
                <w:szCs w:val="20"/>
              </w:rPr>
              <w:t>Community-level</w:t>
            </w:r>
          </w:p>
        </w:tc>
        <w:tc>
          <w:tcPr>
            <w:tcW w:w="1979" w:type="dxa"/>
          </w:tcPr>
          <w:p w14:paraId="4C31AF4A" w14:textId="77777777" w:rsidR="00A811F6" w:rsidRPr="003F3781" w:rsidRDefault="00A811F6" w:rsidP="003A3B3E">
            <w:pPr>
              <w:rPr>
                <w:rFonts w:ascii="Arial" w:hAnsi="Arial" w:cs="Arial"/>
                <w:sz w:val="20"/>
                <w:szCs w:val="20"/>
              </w:rPr>
            </w:pPr>
            <w:r w:rsidRPr="003F3781">
              <w:rPr>
                <w:rFonts w:ascii="Arial" w:hAnsi="Arial" w:cs="Arial"/>
                <w:sz w:val="20"/>
                <w:szCs w:val="20"/>
              </w:rPr>
              <w:t>Keystone-taxon-mediated network stabilisation</w:t>
            </w:r>
          </w:p>
        </w:tc>
        <w:tc>
          <w:tcPr>
            <w:tcW w:w="2416" w:type="dxa"/>
          </w:tcPr>
          <w:p w14:paraId="291E994E" w14:textId="77777777" w:rsidR="00A811F6" w:rsidRPr="003F3781" w:rsidRDefault="00A811F6" w:rsidP="003A3B3E">
            <w:pPr>
              <w:rPr>
                <w:rFonts w:ascii="Arial" w:hAnsi="Arial" w:cs="Arial"/>
                <w:sz w:val="20"/>
                <w:szCs w:val="20"/>
              </w:rPr>
            </w:pPr>
            <w:r w:rsidRPr="003F3781">
              <w:rPr>
                <w:rFonts w:ascii="Arial" w:hAnsi="Arial" w:cs="Arial"/>
                <w:sz w:val="20"/>
                <w:szCs w:val="20"/>
              </w:rPr>
              <w:t>Field vs. greenhouse tomato rhizosphere networks</w:t>
            </w:r>
          </w:p>
        </w:tc>
        <w:tc>
          <w:tcPr>
            <w:tcW w:w="2158" w:type="dxa"/>
          </w:tcPr>
          <w:p w14:paraId="15EBFCA3" w14:textId="77777777" w:rsidR="00A811F6" w:rsidRPr="003F3781" w:rsidRDefault="00A811F6" w:rsidP="003A3B3E">
            <w:pPr>
              <w:rPr>
                <w:rFonts w:ascii="Arial" w:hAnsi="Arial" w:cs="Arial"/>
                <w:sz w:val="20"/>
                <w:szCs w:val="20"/>
              </w:rPr>
            </w:pPr>
            <w:r w:rsidRPr="003F3781">
              <w:rPr>
                <w:rFonts w:ascii="Arial" w:hAnsi="Arial" w:cs="Arial"/>
                <w:sz w:val="20"/>
                <w:szCs w:val="20"/>
              </w:rPr>
              <w:t>Correlative/associative (network analysis)</w:t>
            </w:r>
          </w:p>
        </w:tc>
        <w:tc>
          <w:tcPr>
            <w:tcW w:w="1684" w:type="dxa"/>
          </w:tcPr>
          <w:p w14:paraId="1947AEA4" w14:textId="77777777" w:rsidR="00A811F6" w:rsidRPr="003F3781" w:rsidRDefault="00A811F6" w:rsidP="003A3B3E">
            <w:pPr>
              <w:rPr>
                <w:rFonts w:ascii="Arial" w:hAnsi="Arial" w:cs="Arial"/>
                <w:sz w:val="20"/>
                <w:szCs w:val="20"/>
              </w:rPr>
            </w:pPr>
            <w:r w:rsidRPr="003F3781">
              <w:rPr>
                <w:rFonts w:ascii="Arial" w:hAnsi="Arial" w:cs="Arial"/>
                <w:sz w:val="20"/>
                <w:szCs w:val="20"/>
              </w:rPr>
              <w:t xml:space="preserve">Zhou </w:t>
            </w:r>
            <w:r w:rsidR="00587082" w:rsidRPr="003F3781">
              <w:rPr>
                <w:rFonts w:ascii="Arial" w:hAnsi="Arial" w:cs="Arial"/>
                <w:i/>
                <w:iCs/>
                <w:sz w:val="20"/>
                <w:szCs w:val="20"/>
              </w:rPr>
              <w:t>et al.</w:t>
            </w:r>
            <w:r w:rsidRPr="003F3781">
              <w:rPr>
                <w:rFonts w:ascii="Arial" w:hAnsi="Arial" w:cs="Arial"/>
                <w:sz w:val="20"/>
                <w:szCs w:val="20"/>
              </w:rPr>
              <w:t>, 2022</w:t>
            </w:r>
          </w:p>
        </w:tc>
      </w:tr>
    </w:tbl>
    <w:p w14:paraId="19CF9202" w14:textId="77777777" w:rsidR="00A811F6" w:rsidRPr="003F3781" w:rsidRDefault="00A811F6" w:rsidP="00561863">
      <w:pPr>
        <w:spacing w:after="200" w:line="276" w:lineRule="auto"/>
        <w:jc w:val="both"/>
        <w:rPr>
          <w:rFonts w:ascii="Arial" w:hAnsi="Arial" w:cs="Arial"/>
          <w:sz w:val="24"/>
          <w:szCs w:val="24"/>
        </w:rPr>
      </w:pPr>
    </w:p>
    <w:p w14:paraId="4B210867" w14:textId="77777777" w:rsidR="00656382" w:rsidRPr="003F3781" w:rsidRDefault="00AF3CD7" w:rsidP="00805122">
      <w:pPr>
        <w:spacing w:after="200" w:line="276" w:lineRule="auto"/>
        <w:jc w:val="both"/>
        <w:rPr>
          <w:rFonts w:ascii="Arial" w:hAnsi="Arial" w:cs="Arial"/>
          <w:sz w:val="24"/>
          <w:szCs w:val="24"/>
        </w:rPr>
      </w:pPr>
      <w:r w:rsidRPr="003F3781">
        <w:rPr>
          <w:rFonts w:ascii="Arial" w:hAnsi="Arial" w:cs="Arial"/>
          <w:b/>
          <w:bCs/>
          <w:sz w:val="24"/>
          <w:szCs w:val="24"/>
        </w:rPr>
        <w:t>5. PLANT–MICROBIOME–PATHOGEN TRIANGULAR INTERACTIONS</w:t>
      </w:r>
    </w:p>
    <w:p w14:paraId="4D4C41AA" w14:textId="77777777" w:rsidR="00032614" w:rsidRPr="003F3781" w:rsidRDefault="00032614" w:rsidP="00032614">
      <w:pPr>
        <w:spacing w:after="200" w:line="276" w:lineRule="auto"/>
        <w:jc w:val="both"/>
        <w:rPr>
          <w:rFonts w:ascii="Arial" w:hAnsi="Arial" w:cs="Arial"/>
          <w:sz w:val="24"/>
          <w:szCs w:val="24"/>
        </w:rPr>
      </w:pPr>
      <w:r w:rsidRPr="003F3781">
        <w:rPr>
          <w:rFonts w:ascii="Arial" w:hAnsi="Arial" w:cs="Arial"/>
          <w:sz w:val="24"/>
          <w:szCs w:val="24"/>
        </w:rPr>
        <w:tab/>
        <w:t xml:space="preserve">Disease outcome cannot be modelled as a bilateral contest between plant and pathogen; it is more accurately represented as a triangular system in which the resident microbiome is an active third party capable of shifting the balance in either direction. Pathogens can recruit or activate helper organisms that increase their own virulence. Co-inoculation with certain bacterial isolates augmented the pathogenicity of </w:t>
      </w:r>
      <w:r w:rsidRPr="003F3781">
        <w:rPr>
          <w:rFonts w:ascii="Arial" w:hAnsi="Arial" w:cs="Arial"/>
          <w:i/>
          <w:iCs/>
          <w:sz w:val="24"/>
          <w:szCs w:val="24"/>
        </w:rPr>
        <w:t>Parastagonospora nodorum</w:t>
      </w:r>
      <w:r w:rsidRPr="003F3781">
        <w:rPr>
          <w:rFonts w:ascii="Arial" w:hAnsi="Arial" w:cs="Arial"/>
          <w:sz w:val="24"/>
          <w:szCs w:val="24"/>
        </w:rPr>
        <w:t xml:space="preserve"> in wheat, and arbuscular mycorrhizal colonisation increased, rather than decreased, susceptibility of Astragalus adsurgens to powdery mildew in one study, a finding that serves as a reminder that generally beneficial microbial guilds are not uniformly protective across all host-pathogen combinations (Dewey </w:t>
      </w:r>
      <w:r w:rsidRPr="003F3781">
        <w:rPr>
          <w:rFonts w:ascii="Arial" w:hAnsi="Arial" w:cs="Arial"/>
          <w:i/>
          <w:iCs/>
          <w:sz w:val="24"/>
          <w:szCs w:val="24"/>
        </w:rPr>
        <w:t>et al.</w:t>
      </w:r>
      <w:r w:rsidRPr="003F3781">
        <w:rPr>
          <w:rFonts w:ascii="Arial" w:hAnsi="Arial" w:cs="Arial"/>
          <w:sz w:val="24"/>
          <w:szCs w:val="24"/>
        </w:rPr>
        <w:t xml:space="preserve">, 1999; Liu </w:t>
      </w:r>
      <w:r w:rsidRPr="003F3781">
        <w:rPr>
          <w:rFonts w:ascii="Arial" w:hAnsi="Arial" w:cs="Arial"/>
          <w:i/>
          <w:iCs/>
          <w:sz w:val="24"/>
          <w:szCs w:val="24"/>
        </w:rPr>
        <w:t>et al.</w:t>
      </w:r>
      <w:r w:rsidRPr="003F3781">
        <w:rPr>
          <w:rFonts w:ascii="Arial" w:hAnsi="Arial" w:cs="Arial"/>
          <w:sz w:val="24"/>
          <w:szCs w:val="24"/>
        </w:rPr>
        <w:t xml:space="preserve">, 2018). Conversely, plants actively recruit protective microbes upon infection. The identification and experimental suppression of such "pathogen helper" organisms has itself been shown to reduce pathogen invasion, underscoring that the microbiome side of the triangle can be manipulated in either a protective or a permissive direction (Li </w:t>
      </w:r>
      <w:r w:rsidRPr="003F3781">
        <w:rPr>
          <w:rFonts w:ascii="Arial" w:hAnsi="Arial" w:cs="Arial"/>
          <w:i/>
          <w:iCs/>
          <w:sz w:val="24"/>
          <w:szCs w:val="24"/>
        </w:rPr>
        <w:t>et al.</w:t>
      </w:r>
      <w:r w:rsidRPr="003F3781">
        <w:rPr>
          <w:rFonts w:ascii="Arial" w:hAnsi="Arial" w:cs="Arial"/>
          <w:sz w:val="24"/>
          <w:szCs w:val="24"/>
        </w:rPr>
        <w:t>, 2022).</w:t>
      </w:r>
    </w:p>
    <w:p w14:paraId="01800655" w14:textId="77777777" w:rsidR="00F624D5" w:rsidRPr="003F3781" w:rsidRDefault="00F624D5" w:rsidP="00F624D5">
      <w:pPr>
        <w:spacing w:after="200" w:line="276" w:lineRule="auto"/>
        <w:jc w:val="both"/>
        <w:rPr>
          <w:rFonts w:ascii="Arial" w:hAnsi="Arial" w:cs="Arial"/>
          <w:sz w:val="24"/>
          <w:szCs w:val="24"/>
        </w:rPr>
      </w:pPr>
      <w:r w:rsidRPr="003F3781">
        <w:rPr>
          <w:rFonts w:ascii="Arial" w:hAnsi="Arial" w:cs="Arial"/>
          <w:sz w:val="24"/>
          <w:szCs w:val="24"/>
        </w:rPr>
        <w:t xml:space="preserve">The clearest and best-characterised expression of this triangular dynamic is the "cry for help" phenomenon. Plants respond to pathogen attack by altering root exudate composition in ways that selectively recruit antagonistic or immune-priming microbes (Rolfe </w:t>
      </w:r>
      <w:r w:rsidRPr="003F3781">
        <w:rPr>
          <w:rFonts w:ascii="Arial" w:hAnsi="Arial" w:cs="Arial"/>
          <w:i/>
          <w:iCs/>
          <w:sz w:val="24"/>
          <w:szCs w:val="24"/>
        </w:rPr>
        <w:t>et al.</w:t>
      </w:r>
      <w:r w:rsidRPr="003F3781">
        <w:rPr>
          <w:rFonts w:ascii="Arial" w:hAnsi="Arial" w:cs="Arial"/>
          <w:sz w:val="24"/>
          <w:szCs w:val="24"/>
        </w:rPr>
        <w:t xml:space="preserve">, 2019; Berendsen </w:t>
      </w:r>
      <w:r w:rsidRPr="003F3781">
        <w:rPr>
          <w:rFonts w:ascii="Arial" w:hAnsi="Arial" w:cs="Arial"/>
          <w:i/>
          <w:iCs/>
          <w:sz w:val="24"/>
          <w:szCs w:val="24"/>
        </w:rPr>
        <w:t>et al.</w:t>
      </w:r>
      <w:r w:rsidRPr="003F3781">
        <w:rPr>
          <w:rFonts w:ascii="Arial" w:hAnsi="Arial" w:cs="Arial"/>
          <w:sz w:val="24"/>
          <w:szCs w:val="24"/>
        </w:rPr>
        <w:t xml:space="preserve">, 2018). In cucumber challenged with </w:t>
      </w:r>
      <w:r w:rsidRPr="003F3781">
        <w:rPr>
          <w:rFonts w:ascii="Arial" w:hAnsi="Arial" w:cs="Arial"/>
          <w:i/>
          <w:iCs/>
          <w:sz w:val="24"/>
          <w:szCs w:val="24"/>
        </w:rPr>
        <w:t>Fusarium oxysporum</w:t>
      </w:r>
      <w:r w:rsidRPr="003F3781">
        <w:rPr>
          <w:rFonts w:ascii="Arial" w:hAnsi="Arial" w:cs="Arial"/>
          <w:sz w:val="24"/>
          <w:szCs w:val="24"/>
        </w:rPr>
        <w:t xml:space="preserve">, infection shifts root exudation towards elevated citric acid, fumaric acid and tryptophan and reduced raffinose, and this shift selectively recruits the biocontrol strain </w:t>
      </w:r>
      <w:r w:rsidRPr="003F3781">
        <w:rPr>
          <w:rFonts w:ascii="Arial" w:hAnsi="Arial" w:cs="Arial"/>
          <w:i/>
          <w:iCs/>
          <w:sz w:val="24"/>
          <w:szCs w:val="24"/>
        </w:rPr>
        <w:t>Bacillus amyloliquefaciens</w:t>
      </w:r>
      <w:r w:rsidRPr="003F3781">
        <w:rPr>
          <w:rFonts w:ascii="Arial" w:hAnsi="Arial" w:cs="Arial"/>
          <w:sz w:val="24"/>
          <w:szCs w:val="24"/>
        </w:rPr>
        <w:t xml:space="preserve"> SQR9, reducing pathogen colonisation (Liu </w:t>
      </w:r>
      <w:r w:rsidRPr="003F3781">
        <w:rPr>
          <w:rFonts w:ascii="Arial" w:hAnsi="Arial" w:cs="Arial"/>
          <w:i/>
          <w:iCs/>
          <w:sz w:val="24"/>
          <w:szCs w:val="24"/>
        </w:rPr>
        <w:lastRenderedPageBreak/>
        <w:t>et al.</w:t>
      </w:r>
      <w:r w:rsidRPr="003F3781">
        <w:rPr>
          <w:rFonts w:ascii="Arial" w:hAnsi="Arial" w:cs="Arial"/>
          <w:sz w:val="24"/>
          <w:szCs w:val="24"/>
        </w:rPr>
        <w:t xml:space="preserve">, 2014; Liu </w:t>
      </w:r>
      <w:r w:rsidRPr="003F3781">
        <w:rPr>
          <w:rFonts w:ascii="Arial" w:hAnsi="Arial" w:cs="Arial"/>
          <w:i/>
          <w:iCs/>
          <w:sz w:val="24"/>
          <w:szCs w:val="24"/>
        </w:rPr>
        <w:t>et al.</w:t>
      </w:r>
      <w:r w:rsidRPr="003F3781">
        <w:rPr>
          <w:rFonts w:ascii="Arial" w:hAnsi="Arial" w:cs="Arial"/>
          <w:sz w:val="24"/>
          <w:szCs w:val="24"/>
        </w:rPr>
        <w:t xml:space="preserve">, 2017). Tomato attracts protective Streptomyces through the secretion of 3-hydroxyflavone and riboflavin under </w:t>
      </w:r>
      <w:r w:rsidRPr="003F3781">
        <w:rPr>
          <w:rFonts w:ascii="Arial" w:hAnsi="Arial" w:cs="Arial"/>
          <w:i/>
          <w:iCs/>
          <w:sz w:val="24"/>
          <w:szCs w:val="24"/>
        </w:rPr>
        <w:t>Ralstonia solanacearum</w:t>
      </w:r>
      <w:r w:rsidRPr="003F3781">
        <w:rPr>
          <w:rFonts w:ascii="Arial" w:hAnsi="Arial" w:cs="Arial"/>
          <w:sz w:val="24"/>
          <w:szCs w:val="24"/>
        </w:rPr>
        <w:t xml:space="preserve"> challenge, with this recruitment regulated by the RIPENING-INHIBITOR gene (Yang </w:t>
      </w:r>
      <w:r w:rsidRPr="003F3781">
        <w:rPr>
          <w:rFonts w:ascii="Arial" w:hAnsi="Arial" w:cs="Arial"/>
          <w:i/>
          <w:iCs/>
          <w:sz w:val="24"/>
          <w:szCs w:val="24"/>
        </w:rPr>
        <w:t>et al.</w:t>
      </w:r>
      <w:r w:rsidRPr="003F3781">
        <w:rPr>
          <w:rFonts w:ascii="Arial" w:hAnsi="Arial" w:cs="Arial"/>
          <w:sz w:val="24"/>
          <w:szCs w:val="24"/>
        </w:rPr>
        <w:t xml:space="preserve">, 2023). Recruitment signalling is not restricted to soluble root exudates; volatile organic compounds emitted by </w:t>
      </w:r>
      <w:r w:rsidRPr="003F3781">
        <w:rPr>
          <w:rFonts w:ascii="Arial" w:hAnsi="Arial" w:cs="Arial"/>
          <w:i/>
          <w:iCs/>
          <w:sz w:val="24"/>
          <w:szCs w:val="24"/>
        </w:rPr>
        <w:t>Carex arenaria</w:t>
      </w:r>
      <w:r w:rsidRPr="003F3781">
        <w:rPr>
          <w:rFonts w:ascii="Arial" w:hAnsi="Arial" w:cs="Arial"/>
          <w:sz w:val="24"/>
          <w:szCs w:val="24"/>
        </w:rPr>
        <w:t xml:space="preserve"> roots recruit antifungal soil bacteria from a distance under </w:t>
      </w:r>
      <w:r w:rsidRPr="003F3781">
        <w:rPr>
          <w:rFonts w:ascii="Arial" w:hAnsi="Arial" w:cs="Arial"/>
          <w:i/>
          <w:iCs/>
          <w:sz w:val="24"/>
          <w:szCs w:val="24"/>
        </w:rPr>
        <w:t>Fusarium culmorum</w:t>
      </w:r>
      <w:r w:rsidRPr="003F3781">
        <w:rPr>
          <w:rFonts w:ascii="Arial" w:hAnsi="Arial" w:cs="Arial"/>
          <w:sz w:val="24"/>
          <w:szCs w:val="24"/>
        </w:rPr>
        <w:t xml:space="preserve"> challenge (Schulz-Bohm </w:t>
      </w:r>
      <w:r w:rsidRPr="003F3781">
        <w:rPr>
          <w:rFonts w:ascii="Arial" w:hAnsi="Arial" w:cs="Arial"/>
          <w:i/>
          <w:iCs/>
          <w:sz w:val="24"/>
          <w:szCs w:val="24"/>
        </w:rPr>
        <w:t>et al.</w:t>
      </w:r>
      <w:r w:rsidRPr="003F3781">
        <w:rPr>
          <w:rFonts w:ascii="Arial" w:hAnsi="Arial" w:cs="Arial"/>
          <w:sz w:val="24"/>
          <w:szCs w:val="24"/>
        </w:rPr>
        <w:t>, 2018), and foliar pathogen attack (</w:t>
      </w:r>
      <w:r w:rsidRPr="003F3781">
        <w:rPr>
          <w:rFonts w:ascii="Arial" w:hAnsi="Arial" w:cs="Arial"/>
          <w:i/>
          <w:iCs/>
          <w:sz w:val="24"/>
          <w:szCs w:val="24"/>
        </w:rPr>
        <w:t>Pseudomonas syringae</w:t>
      </w:r>
      <w:r w:rsidRPr="003F3781">
        <w:rPr>
          <w:rFonts w:ascii="Arial" w:hAnsi="Arial" w:cs="Arial"/>
          <w:sz w:val="24"/>
          <w:szCs w:val="24"/>
        </w:rPr>
        <w:t xml:space="preserve"> pv. tomato) can trigger root-level exudate changes, including elevated malic acid, that recruit the protective rhizobacterium </w:t>
      </w:r>
      <w:r w:rsidRPr="003F3781">
        <w:rPr>
          <w:rFonts w:ascii="Arial" w:hAnsi="Arial" w:cs="Arial"/>
          <w:i/>
          <w:iCs/>
          <w:sz w:val="24"/>
          <w:szCs w:val="24"/>
        </w:rPr>
        <w:t>Bacillus subtilis</w:t>
      </w:r>
      <w:r w:rsidRPr="003F3781">
        <w:rPr>
          <w:rFonts w:ascii="Arial" w:hAnsi="Arial" w:cs="Arial"/>
          <w:sz w:val="24"/>
          <w:szCs w:val="24"/>
        </w:rPr>
        <w:t xml:space="preserve"> FB17, demonstrating that recruitment signalling can operate across, and not merely within, plant compartments (Rudrappa </w:t>
      </w:r>
      <w:r w:rsidRPr="003F3781">
        <w:rPr>
          <w:rFonts w:ascii="Arial" w:hAnsi="Arial" w:cs="Arial"/>
          <w:i/>
          <w:iCs/>
          <w:sz w:val="24"/>
          <w:szCs w:val="24"/>
        </w:rPr>
        <w:t>et al.</w:t>
      </w:r>
      <w:r w:rsidRPr="003F3781">
        <w:rPr>
          <w:rFonts w:ascii="Arial" w:hAnsi="Arial" w:cs="Arial"/>
          <w:sz w:val="24"/>
          <w:szCs w:val="24"/>
        </w:rPr>
        <w:t>, 2008).</w:t>
      </w:r>
    </w:p>
    <w:p w14:paraId="277F89C0" w14:textId="77777777" w:rsidR="009D44D8" w:rsidRPr="003F3781" w:rsidRDefault="00C5051B" w:rsidP="00F624D5">
      <w:pPr>
        <w:spacing w:after="200" w:line="276" w:lineRule="auto"/>
        <w:jc w:val="both"/>
        <w:rPr>
          <w:rFonts w:ascii="Arial" w:hAnsi="Arial" w:cs="Arial"/>
          <w:sz w:val="24"/>
          <w:szCs w:val="24"/>
        </w:rPr>
      </w:pPr>
      <w:r w:rsidRPr="003F3781">
        <w:rPr>
          <w:rFonts w:ascii="Arial" w:hAnsi="Arial" w:cs="Arial"/>
          <w:sz w:val="24"/>
          <w:szCs w:val="24"/>
        </w:rPr>
        <w:t>This triangular framing also clarifies why the same microbial community can appear protective in one context and permissive in another</w:t>
      </w:r>
      <w:r w:rsidR="003C0A9A" w:rsidRPr="003F3781">
        <w:rPr>
          <w:rFonts w:ascii="Arial" w:hAnsi="Arial" w:cs="Arial"/>
          <w:sz w:val="24"/>
          <w:szCs w:val="24"/>
        </w:rPr>
        <w:t xml:space="preserve">. </w:t>
      </w:r>
      <w:r w:rsidRPr="003F3781">
        <w:rPr>
          <w:rFonts w:ascii="Arial" w:hAnsi="Arial" w:cs="Arial"/>
          <w:sz w:val="24"/>
          <w:szCs w:val="24"/>
        </w:rPr>
        <w:t xml:space="preserve">Outcome depends on the specific combination of host genotype, resident community composition and pathogen identity, not on any fixed property of a single microbial taxon. Comparative work across multiple Arabidopsis accessions and </w:t>
      </w:r>
      <w:proofErr w:type="spellStart"/>
      <w:r w:rsidRPr="003F3781">
        <w:rPr>
          <w:rFonts w:ascii="Arial" w:hAnsi="Arial" w:cs="Arial"/>
          <w:sz w:val="24"/>
          <w:szCs w:val="24"/>
        </w:rPr>
        <w:t>Hyaloperonospora</w:t>
      </w:r>
      <w:proofErr w:type="spellEnd"/>
      <w:r w:rsidRPr="003F3781">
        <w:rPr>
          <w:rFonts w:ascii="Arial" w:hAnsi="Arial" w:cs="Arial"/>
          <w:sz w:val="24"/>
          <w:szCs w:val="24"/>
        </w:rPr>
        <w:t xml:space="preserve"> </w:t>
      </w:r>
      <w:proofErr w:type="spellStart"/>
      <w:r w:rsidRPr="003F3781">
        <w:rPr>
          <w:rFonts w:ascii="Arial" w:hAnsi="Arial" w:cs="Arial"/>
          <w:sz w:val="24"/>
          <w:szCs w:val="24"/>
        </w:rPr>
        <w:t>arabidopsidis</w:t>
      </w:r>
      <w:proofErr w:type="spellEnd"/>
      <w:r w:rsidRPr="003F3781">
        <w:rPr>
          <w:rFonts w:ascii="Arial" w:hAnsi="Arial" w:cs="Arial"/>
          <w:sz w:val="24"/>
          <w:szCs w:val="24"/>
        </w:rPr>
        <w:t xml:space="preserve"> lineages found that genetically distinct hosts, when challenged by different pathogen lineages, converged on recruiting a similar protective microbiota, suggesting some generality to recruitment responses across host genotypes even though the precise recruitment mechanism remains incompletely understood (Goossens </w:t>
      </w:r>
      <w:r w:rsidR="00587082" w:rsidRPr="003F3781">
        <w:rPr>
          <w:rFonts w:ascii="Arial" w:hAnsi="Arial" w:cs="Arial"/>
          <w:i/>
          <w:iCs/>
          <w:sz w:val="24"/>
          <w:szCs w:val="24"/>
        </w:rPr>
        <w:t>et al.</w:t>
      </w:r>
      <w:r w:rsidRPr="003F3781">
        <w:rPr>
          <w:rFonts w:ascii="Arial" w:hAnsi="Arial" w:cs="Arial"/>
          <w:sz w:val="24"/>
          <w:szCs w:val="24"/>
        </w:rPr>
        <w:t xml:space="preserve">, 2023). Where such context-dependency is documented, we treat it as an open mechanistic question rather than assuming a universal recruitment programme applicable across all </w:t>
      </w:r>
      <w:r w:rsidR="00900458" w:rsidRPr="003F3781">
        <w:rPr>
          <w:rFonts w:ascii="Arial" w:hAnsi="Arial" w:cs="Arial"/>
          <w:sz w:val="24"/>
          <w:szCs w:val="24"/>
        </w:rPr>
        <w:t>crop-</w:t>
      </w:r>
      <w:r w:rsidRPr="003F3781">
        <w:rPr>
          <w:rFonts w:ascii="Arial" w:hAnsi="Arial" w:cs="Arial"/>
          <w:sz w:val="24"/>
          <w:szCs w:val="24"/>
        </w:rPr>
        <w:t>pathogen systems.</w:t>
      </w:r>
    </w:p>
    <w:p w14:paraId="62D45E4B" w14:textId="77777777" w:rsidR="00CB5328" w:rsidRPr="003F3781" w:rsidRDefault="00CB5328" w:rsidP="00CB5328">
      <w:pPr>
        <w:spacing w:after="200" w:line="276" w:lineRule="auto"/>
        <w:jc w:val="both"/>
        <w:rPr>
          <w:rFonts w:ascii="Arial" w:hAnsi="Arial" w:cs="Arial"/>
          <w:sz w:val="24"/>
          <w:szCs w:val="24"/>
        </w:rPr>
      </w:pPr>
      <w:r w:rsidRPr="003F3781">
        <w:rPr>
          <w:rFonts w:ascii="Arial" w:hAnsi="Arial" w:cs="Arial"/>
          <w:sz w:val="24"/>
          <w:szCs w:val="24"/>
        </w:rPr>
        <w:tab/>
        <w:t xml:space="preserve">Feedback loops complete the triangular picture. Microbiome-mediated protection in one plant generation can leave a soil-borne legacy that benefits subsequent plantings on the same soil, a phenomenon most clearly demonstrated through experimentally trained disease-conducive soils that converted to disease-suppressive status after repeated pathogen challenge across several plant generations, and through specific plant-soil feedbacks such as maize root exudation of MBOA, which both defends the current plant and primes defence responses that persist to benefit subsequent plantings (Bakker </w:t>
      </w:r>
      <w:r w:rsidR="00587082" w:rsidRPr="003F3781">
        <w:rPr>
          <w:rFonts w:ascii="Arial" w:hAnsi="Arial" w:cs="Arial"/>
          <w:i/>
          <w:iCs/>
          <w:sz w:val="24"/>
          <w:szCs w:val="24"/>
        </w:rPr>
        <w:t>et al.</w:t>
      </w:r>
      <w:r w:rsidRPr="003F3781">
        <w:rPr>
          <w:rFonts w:ascii="Arial" w:hAnsi="Arial" w:cs="Arial"/>
          <w:sz w:val="24"/>
          <w:szCs w:val="24"/>
        </w:rPr>
        <w:t xml:space="preserve">, 2018; Hu </w:t>
      </w:r>
      <w:r w:rsidR="00587082" w:rsidRPr="003F3781">
        <w:rPr>
          <w:rFonts w:ascii="Arial" w:hAnsi="Arial" w:cs="Arial"/>
          <w:i/>
          <w:iCs/>
          <w:sz w:val="24"/>
          <w:szCs w:val="24"/>
        </w:rPr>
        <w:t>et al.</w:t>
      </w:r>
      <w:r w:rsidRPr="003F3781">
        <w:rPr>
          <w:rFonts w:ascii="Arial" w:hAnsi="Arial" w:cs="Arial"/>
          <w:sz w:val="24"/>
          <w:szCs w:val="24"/>
        </w:rPr>
        <w:t>, 2018). These transgenerational effects indicate that the plant-microbiome-pathogen triangle should be modelled dynamically, across cropping cycles, rather than as a single-season interaction, a point directly relevant to agronomic strategies such as crop rotation and long-term soil management discussed in Section 8.</w:t>
      </w:r>
    </w:p>
    <w:p w14:paraId="08325CE5" w14:textId="77777777" w:rsidR="002E1E2D" w:rsidRPr="003F3781" w:rsidRDefault="00AF3CD7" w:rsidP="00CB5328">
      <w:pPr>
        <w:spacing w:after="200" w:line="276" w:lineRule="auto"/>
        <w:jc w:val="both"/>
        <w:rPr>
          <w:rFonts w:ascii="Arial" w:hAnsi="Arial" w:cs="Arial"/>
          <w:b/>
          <w:bCs/>
          <w:sz w:val="24"/>
          <w:szCs w:val="24"/>
        </w:rPr>
      </w:pPr>
      <w:r w:rsidRPr="003F3781">
        <w:rPr>
          <w:rFonts w:ascii="Arial" w:hAnsi="Arial" w:cs="Arial"/>
          <w:b/>
          <w:bCs/>
          <w:sz w:val="24"/>
          <w:szCs w:val="24"/>
        </w:rPr>
        <w:t>6. HOW PATHOGENS SHAPE THE PLANT MICROBIOME</w:t>
      </w:r>
    </w:p>
    <w:p w14:paraId="0F227FBB" w14:textId="77777777" w:rsidR="00481E26" w:rsidRPr="003F3781" w:rsidRDefault="00104C60" w:rsidP="00481E26">
      <w:pPr>
        <w:spacing w:after="200" w:line="276" w:lineRule="auto"/>
        <w:jc w:val="both"/>
        <w:rPr>
          <w:rFonts w:ascii="Arial" w:hAnsi="Arial" w:cs="Arial"/>
          <w:sz w:val="24"/>
          <w:szCs w:val="24"/>
        </w:rPr>
      </w:pPr>
      <w:r w:rsidRPr="003F3781">
        <w:rPr>
          <w:rFonts w:ascii="Arial" w:hAnsi="Arial" w:cs="Arial"/>
          <w:sz w:val="24"/>
          <w:szCs w:val="24"/>
        </w:rPr>
        <w:tab/>
        <w:t xml:space="preserve">The preceding section described how plants actively recruit beneficial microbes; the converse process is how pathogens themselves alter microbial communities. These processes are distinct, although they often occur simultaneously in experiments. Pathogen attack can alter root exudation and nutrient availability at infection sites and can activate plant immune signalling. The resulting antimicrobial compounds and defence enzymes can further reshape nearby microbial communities. Strong evidence for this process comes from disease-suppressive soils. Pathogen challenge can activate stress-related genes in beneficial bacteria associated with the plant. In a well-studied example involving sugar beet challenged by the fungus </w:t>
      </w:r>
      <w:r w:rsidRPr="003F3781">
        <w:rPr>
          <w:rFonts w:ascii="Arial" w:hAnsi="Arial" w:cs="Arial"/>
          <w:i/>
          <w:iCs/>
          <w:sz w:val="24"/>
          <w:szCs w:val="24"/>
        </w:rPr>
        <w:t>Rhizoctonia solani</w:t>
      </w:r>
      <w:r w:rsidRPr="003F3781">
        <w:rPr>
          <w:rFonts w:ascii="Arial" w:hAnsi="Arial" w:cs="Arial"/>
          <w:sz w:val="24"/>
          <w:szCs w:val="24"/>
        </w:rPr>
        <w:t xml:space="preserve">, two bacterial groups (Chitinophagaceae and Flavobacteriaceae) became more abundant within roots while activating genes involved in chitinase and other antimicrobial-compound production (Chapelle </w:t>
      </w:r>
      <w:r w:rsidRPr="003F3781">
        <w:rPr>
          <w:rFonts w:ascii="Arial" w:hAnsi="Arial" w:cs="Arial"/>
          <w:i/>
          <w:iCs/>
          <w:sz w:val="24"/>
          <w:szCs w:val="24"/>
        </w:rPr>
        <w:t>et al.</w:t>
      </w:r>
      <w:r w:rsidRPr="003F3781">
        <w:rPr>
          <w:rFonts w:ascii="Arial" w:hAnsi="Arial" w:cs="Arial"/>
          <w:sz w:val="24"/>
          <w:szCs w:val="24"/>
        </w:rPr>
        <w:t xml:space="preserve">, 2016; Carrion </w:t>
      </w:r>
      <w:r w:rsidRPr="003F3781">
        <w:rPr>
          <w:rFonts w:ascii="Arial" w:hAnsi="Arial" w:cs="Arial"/>
          <w:i/>
          <w:iCs/>
          <w:sz w:val="24"/>
          <w:szCs w:val="24"/>
        </w:rPr>
        <w:t>et al.</w:t>
      </w:r>
      <w:r w:rsidRPr="003F3781">
        <w:rPr>
          <w:rFonts w:ascii="Arial" w:hAnsi="Arial" w:cs="Arial"/>
          <w:sz w:val="24"/>
          <w:szCs w:val="24"/>
        </w:rPr>
        <w:t>, 2019). This example goes beyond correlation by demonstrating a pathogen-associated protective response in the resident microbiota supported by evidence of altered gene expression.</w:t>
      </w:r>
    </w:p>
    <w:p w14:paraId="398AE7CD" w14:textId="77777777" w:rsidR="00B6389F" w:rsidRPr="003F3781" w:rsidRDefault="00CA620F" w:rsidP="00B6389F">
      <w:pPr>
        <w:spacing w:after="200" w:line="276" w:lineRule="auto"/>
        <w:jc w:val="both"/>
        <w:rPr>
          <w:rFonts w:ascii="Arial" w:hAnsi="Arial" w:cs="Arial"/>
          <w:sz w:val="24"/>
          <w:szCs w:val="24"/>
        </w:rPr>
      </w:pPr>
      <w:r w:rsidRPr="003F3781">
        <w:rPr>
          <w:rFonts w:ascii="Arial" w:hAnsi="Arial" w:cs="Arial"/>
          <w:sz w:val="24"/>
          <w:szCs w:val="24"/>
        </w:rPr>
        <w:lastRenderedPageBreak/>
        <w:tab/>
        <w:t xml:space="preserve">A critical question, raised explicitly in this review's framework, is whether such pathogen-associated microbiome shifts represent cause, consequence or feedback. The evidence is mixed and system-dependent. In some cases, the shift is clearly a plant-driven, adaptive response (the “cry for help” recruitment described in Section 5), best interpreted as a consequence that develops into protective feedback. In others, the pathogen itself is the primary driver, actively manipulating the microbiome to its own advantage, for example through the secretion of antimicrobial effectors that suppress competing microbiota. Distinguishing these possibilities experimentally requires manipulative designs, pathogen challenge with and without specific microbial community members present, gnotobiotic or synthetic-community systems, and time-resolved sampling that captures the sequence of exudate change, microbial recruitment and defence gene induction rather than single time-point correlational sampling of diseased versus healthy tissue, which cannot by itself resolve temporal or causal ordering. Where pathogen pressure is severe or repeated, restructuring can tip from adaptive into pathological. Repeated or intense pathogen challenge can deplete protective microbiota to the point of triggering broader dysbiosis, in which the loss of competitively dominant beneficial taxa opens ecological space for secondary opportunists, compounding rather than containing disease (Trivedi </w:t>
      </w:r>
      <w:r w:rsidRPr="003F3781">
        <w:rPr>
          <w:rFonts w:ascii="Arial" w:hAnsi="Arial" w:cs="Arial"/>
          <w:i/>
          <w:iCs/>
          <w:sz w:val="24"/>
          <w:szCs w:val="24"/>
        </w:rPr>
        <w:t>et al.</w:t>
      </w:r>
      <w:r w:rsidRPr="003F3781">
        <w:rPr>
          <w:rFonts w:ascii="Arial" w:hAnsi="Arial" w:cs="Arial"/>
          <w:sz w:val="24"/>
          <w:szCs w:val="24"/>
        </w:rPr>
        <w:t>, 2020). This establishes an important asymmetry: the same underlying process, pathogen-driven alteration of the resident microbiome, can manifest as adaptive, protective restructuring under moderate challenge and as destabilising dysbiosis under severe or chronic challenge, and the direction of this outcome appears to depend on community resilience (functional redundancy, diversity, prior conditioning) more than on pathogen identity alone. This dual potential is directly relevant to microbiome reprogramming strategy: an intervention that increases community diversity and redundancy without addressing the underlying stress driving pathogen pressure may still fail to prevent dysbiosis under sufficiently severe challenge, a caveat that is frequently underweighted in more optimistic accounts of microbiome engineering.</w:t>
      </w:r>
    </w:p>
    <w:p w14:paraId="20EB6629" w14:textId="77777777" w:rsidR="003C7B5F" w:rsidRPr="003F3781" w:rsidRDefault="00AF3CD7" w:rsidP="003C7B5F">
      <w:pPr>
        <w:spacing w:after="200" w:line="276" w:lineRule="auto"/>
        <w:jc w:val="both"/>
        <w:rPr>
          <w:rFonts w:ascii="Arial" w:hAnsi="Arial" w:cs="Arial"/>
          <w:b/>
          <w:bCs/>
          <w:sz w:val="24"/>
          <w:szCs w:val="24"/>
        </w:rPr>
      </w:pPr>
      <w:r w:rsidRPr="003F3781">
        <w:rPr>
          <w:rFonts w:ascii="Arial" w:hAnsi="Arial" w:cs="Arial"/>
          <w:b/>
          <w:bCs/>
          <w:sz w:val="24"/>
          <w:szCs w:val="24"/>
        </w:rPr>
        <w:t>7.  MICROBIOME REPROGRAMMING: FROM CONCEPT TO STRATEGY</w:t>
      </w:r>
    </w:p>
    <w:p w14:paraId="01BAFFB3" w14:textId="77777777" w:rsidR="004F0D91" w:rsidRPr="003F3781" w:rsidRDefault="004F0D91" w:rsidP="004F0D91">
      <w:pPr>
        <w:spacing w:after="200" w:line="276" w:lineRule="auto"/>
        <w:jc w:val="both"/>
        <w:rPr>
          <w:rFonts w:ascii="Arial" w:hAnsi="Arial" w:cs="Arial"/>
          <w:sz w:val="24"/>
          <w:szCs w:val="24"/>
        </w:rPr>
      </w:pPr>
      <w:r w:rsidRPr="003F3781">
        <w:rPr>
          <w:rFonts w:ascii="Arial" w:hAnsi="Arial" w:cs="Arial"/>
          <w:sz w:val="24"/>
          <w:szCs w:val="24"/>
        </w:rPr>
        <w:tab/>
        <w:t xml:space="preserve">The term “microbiome reprogramming” is used loosely across the literature, often as a synonym for any intervention involving microorganisms. We define it more precisely here and distinguish it explicitly from simple microbial inoculation. Microbial inoculation refers to the introduction of one or a small number of characterised strains into a plant system, without any attempt to alter the composition, structure or function of the resident community as a whole; its logic, and its limitations, are those of classical single-strain biocontrol described in Section 1. Microbiome manipulation is a broader category encompassing any deliberate action that shifts community composition or activity, including organic amendment, crop rotation, cover cropping and biostimulant application, but does not necessarily require detailed knowledge of the target community's structure or the mechanism by which the shift occurs. Microbiome reprogramming, as used in this review, denotes something more specific: a deliberate, mechanistically informed intervention aimed at reconstructing or redirecting the functional structure of a microbial community, including its keystone taxa, functional guilds and network architecture, towards a defined, durable protective state, generally guided by prior characterisation of what that protective state looks like (for example, via comparison with a known disease-suppressive reference community). Under this definition, synthetic microbial community (SynCom) design, microbiome transplantation from suppressive to conducive soils, host-genotype-guided recruitment of defined microbial guilds, and omics-guided precision inoculation qualify as reprogramming in the strict sense, because each is explicitly targeted at reconstructing a functional community state rather than simply adding or subtracting inputs. Organic amendments, crop rotation and reduced-input management, by contrast, are more </w:t>
      </w:r>
      <w:r w:rsidRPr="003F3781">
        <w:rPr>
          <w:rFonts w:ascii="Arial" w:hAnsi="Arial" w:cs="Arial"/>
          <w:sz w:val="24"/>
          <w:szCs w:val="24"/>
        </w:rPr>
        <w:lastRenderedPageBreak/>
        <w:t>accurately described as microbiome manipulation. They reliably shift community composition and often improve suppressiveness, but they operate through broad, relatively untargeted ecological pressure rather than through the design of a specified community architecture. This distinction matters because it sets different standards of evidence and different expectations of precision: reprogramming strategies should, in principle, be evaluated against a specified functional target, whereas manipulation strategies are more appropriately evaluated against broader outcome measures (disease incidence, yield, community diversity) without requiring mechanistic specification of the intervening community state.</w:t>
      </w:r>
    </w:p>
    <w:p w14:paraId="7DF03078" w14:textId="77777777" w:rsidR="004F0D91" w:rsidRPr="003F3781" w:rsidRDefault="00094041" w:rsidP="004F0D91">
      <w:pPr>
        <w:spacing w:after="200" w:line="276" w:lineRule="auto"/>
        <w:jc w:val="both"/>
        <w:rPr>
          <w:rFonts w:ascii="Arial" w:hAnsi="Arial" w:cs="Arial"/>
          <w:sz w:val="24"/>
          <w:szCs w:val="24"/>
        </w:rPr>
      </w:pPr>
      <w:r w:rsidRPr="003F3781">
        <w:rPr>
          <w:rFonts w:ascii="Arial" w:hAnsi="Arial" w:cs="Arial"/>
          <w:sz w:val="24"/>
          <w:szCs w:val="24"/>
        </w:rPr>
        <w:tab/>
        <w:t>We therefore treat “reprogramming” as an aspirational and increasingly attainable, but not yet routinely achieved, standard for microbiome-based disease management. Much of the current literature that invokes the term describes what is, by the definition above, microbiome manipulation; this terminological looseness is one that the present review aims to correct, in line with the requirement that reprogramming not be used merely as a fashionable label for any microbial intervention.</w:t>
      </w:r>
    </w:p>
    <w:p w14:paraId="02805F84" w14:textId="77777777" w:rsidR="00094041" w:rsidRPr="003F3781" w:rsidRDefault="00BD660F" w:rsidP="004F0D91">
      <w:pPr>
        <w:spacing w:after="200" w:line="276" w:lineRule="auto"/>
        <w:jc w:val="both"/>
        <w:rPr>
          <w:rFonts w:ascii="Arial" w:hAnsi="Arial" w:cs="Arial"/>
          <w:b/>
          <w:bCs/>
          <w:sz w:val="24"/>
          <w:szCs w:val="24"/>
        </w:rPr>
      </w:pPr>
      <w:r w:rsidRPr="003F3781">
        <w:rPr>
          <w:rFonts w:ascii="Arial" w:hAnsi="Arial" w:cs="Arial"/>
          <w:b/>
          <w:bCs/>
          <w:sz w:val="24"/>
          <w:szCs w:val="24"/>
        </w:rPr>
        <w:t>8. STRATEGIES FOR REPROGRAMMING THE PLANT MICROBIOME</w:t>
      </w:r>
    </w:p>
    <w:p w14:paraId="11DCEEFF" w14:textId="77777777" w:rsidR="00BB5E88" w:rsidRPr="003F3781" w:rsidRDefault="00A84FAD" w:rsidP="00BB5E88">
      <w:pPr>
        <w:spacing w:after="200" w:line="276" w:lineRule="auto"/>
        <w:jc w:val="both"/>
        <w:rPr>
          <w:rFonts w:ascii="Arial" w:hAnsi="Arial" w:cs="Arial"/>
          <w:sz w:val="24"/>
          <w:szCs w:val="24"/>
        </w:rPr>
      </w:pPr>
      <w:r w:rsidRPr="003F3781">
        <w:rPr>
          <w:rFonts w:ascii="Arial" w:hAnsi="Arial" w:cs="Arial"/>
          <w:sz w:val="24"/>
          <w:szCs w:val="24"/>
        </w:rPr>
        <w:tab/>
        <w:t>Approaches to reshaping plant-associated microbial communities can be organised into four broad, non-exclusive categories, distinguished by the point of intervention: the host plant, the microbial community itself, the surrounding soil/agronomic system, or a precision-engineering layer that integrates the other three.</w:t>
      </w:r>
    </w:p>
    <w:p w14:paraId="63C96E46" w14:textId="77777777" w:rsidR="00BB5E88" w:rsidRPr="003F3781" w:rsidRDefault="00BB5E88" w:rsidP="00BB5E88">
      <w:pPr>
        <w:spacing w:after="200" w:line="276" w:lineRule="auto"/>
        <w:jc w:val="both"/>
        <w:rPr>
          <w:rFonts w:ascii="Arial" w:hAnsi="Arial" w:cs="Arial"/>
          <w:b/>
          <w:bCs/>
          <w:sz w:val="24"/>
          <w:szCs w:val="24"/>
        </w:rPr>
      </w:pPr>
      <w:r w:rsidRPr="003F3781">
        <w:rPr>
          <w:rFonts w:ascii="Arial" w:hAnsi="Arial" w:cs="Arial"/>
          <w:b/>
          <w:bCs/>
          <w:sz w:val="24"/>
          <w:szCs w:val="24"/>
        </w:rPr>
        <w:t>Table 3. Strategies for plant microbiome manipulation and reprogramming</w:t>
      </w:r>
    </w:p>
    <w:tbl>
      <w:tblPr>
        <w:tblStyle w:val="TableGrid"/>
        <w:tblW w:w="5174" w:type="pct"/>
        <w:jc w:val="center"/>
        <w:tblLayout w:type="fixed"/>
        <w:tblCellMar>
          <w:left w:w="28" w:type="dxa"/>
          <w:right w:w="0" w:type="dxa"/>
        </w:tblCellMar>
        <w:tblLook w:val="04A0" w:firstRow="1" w:lastRow="0" w:firstColumn="1" w:lastColumn="0" w:noHBand="0" w:noVBand="1"/>
      </w:tblPr>
      <w:tblGrid>
        <w:gridCol w:w="1341"/>
        <w:gridCol w:w="1348"/>
        <w:gridCol w:w="1935"/>
        <w:gridCol w:w="1210"/>
        <w:gridCol w:w="1177"/>
        <w:gridCol w:w="1348"/>
        <w:gridCol w:w="1353"/>
        <w:gridCol w:w="1108"/>
      </w:tblGrid>
      <w:tr w:rsidR="00FC3C9F" w:rsidRPr="003F3781" w14:paraId="5530049F" w14:textId="77777777" w:rsidTr="00390D00">
        <w:trPr>
          <w:cantSplit/>
          <w:trHeight w:val="1142"/>
          <w:jc w:val="center"/>
        </w:trPr>
        <w:tc>
          <w:tcPr>
            <w:tcW w:w="620" w:type="pct"/>
          </w:tcPr>
          <w:p w14:paraId="419868C5" w14:textId="77777777" w:rsidR="00FC3C9F" w:rsidRPr="003F3781" w:rsidRDefault="00FC3C9F" w:rsidP="003F2B2D">
            <w:pPr>
              <w:jc w:val="center"/>
              <w:rPr>
                <w:rFonts w:ascii="Arial" w:hAnsi="Arial" w:cs="Arial"/>
                <w:sz w:val="20"/>
                <w:szCs w:val="20"/>
              </w:rPr>
            </w:pPr>
            <w:r w:rsidRPr="003F3781">
              <w:rPr>
                <w:rFonts w:ascii="Arial" w:hAnsi="Arial" w:cs="Arial"/>
                <w:b/>
                <w:bCs/>
                <w:sz w:val="20"/>
                <w:szCs w:val="20"/>
              </w:rPr>
              <w:t>Strategy</w:t>
            </w:r>
          </w:p>
        </w:tc>
        <w:tc>
          <w:tcPr>
            <w:tcW w:w="623" w:type="pct"/>
          </w:tcPr>
          <w:p w14:paraId="0EF81247" w14:textId="77777777" w:rsidR="00FC3C9F" w:rsidRPr="003F3781" w:rsidRDefault="00FC3C9F" w:rsidP="003F2B2D">
            <w:pPr>
              <w:jc w:val="center"/>
              <w:rPr>
                <w:rFonts w:ascii="Arial" w:hAnsi="Arial" w:cs="Arial"/>
                <w:sz w:val="20"/>
                <w:szCs w:val="20"/>
              </w:rPr>
            </w:pPr>
            <w:r w:rsidRPr="003F3781">
              <w:rPr>
                <w:rFonts w:ascii="Arial" w:hAnsi="Arial" w:cs="Arial"/>
                <w:b/>
                <w:bCs/>
                <w:sz w:val="20"/>
                <w:szCs w:val="20"/>
              </w:rPr>
              <w:t>Target Component</w:t>
            </w:r>
          </w:p>
        </w:tc>
        <w:tc>
          <w:tcPr>
            <w:tcW w:w="894" w:type="pct"/>
          </w:tcPr>
          <w:p w14:paraId="5DE1F6EC" w14:textId="77777777" w:rsidR="00FC3C9F" w:rsidRPr="003F3781" w:rsidRDefault="00FC3C9F" w:rsidP="003F2B2D">
            <w:pPr>
              <w:jc w:val="center"/>
              <w:rPr>
                <w:rFonts w:ascii="Arial" w:hAnsi="Arial" w:cs="Arial"/>
                <w:sz w:val="20"/>
                <w:szCs w:val="20"/>
              </w:rPr>
            </w:pPr>
            <w:r w:rsidRPr="003F3781">
              <w:rPr>
                <w:rFonts w:ascii="Arial" w:hAnsi="Arial" w:cs="Arial"/>
                <w:b/>
                <w:bCs/>
                <w:sz w:val="20"/>
                <w:szCs w:val="20"/>
              </w:rPr>
              <w:t>Mechanism</w:t>
            </w:r>
          </w:p>
        </w:tc>
        <w:tc>
          <w:tcPr>
            <w:tcW w:w="559" w:type="pct"/>
          </w:tcPr>
          <w:p w14:paraId="40CAA05D" w14:textId="77777777" w:rsidR="00FC3C9F" w:rsidRPr="003F3781" w:rsidRDefault="00FC3C9F" w:rsidP="003F2B2D">
            <w:pPr>
              <w:jc w:val="center"/>
              <w:rPr>
                <w:rFonts w:ascii="Arial" w:hAnsi="Arial" w:cs="Arial"/>
                <w:sz w:val="20"/>
                <w:szCs w:val="20"/>
              </w:rPr>
            </w:pPr>
            <w:r w:rsidRPr="003F3781">
              <w:rPr>
                <w:rFonts w:ascii="Arial" w:hAnsi="Arial" w:cs="Arial"/>
                <w:b/>
                <w:bCs/>
                <w:sz w:val="20"/>
                <w:szCs w:val="20"/>
              </w:rPr>
              <w:t>Disease-Management Outcome</w:t>
            </w:r>
          </w:p>
        </w:tc>
        <w:tc>
          <w:tcPr>
            <w:tcW w:w="544" w:type="pct"/>
          </w:tcPr>
          <w:p w14:paraId="3876E774" w14:textId="77777777" w:rsidR="00FC3C9F" w:rsidRPr="003F3781" w:rsidRDefault="00FC3C9F" w:rsidP="003F2B2D">
            <w:pPr>
              <w:jc w:val="center"/>
              <w:rPr>
                <w:rFonts w:ascii="Arial" w:hAnsi="Arial" w:cs="Arial"/>
                <w:sz w:val="20"/>
                <w:szCs w:val="20"/>
              </w:rPr>
            </w:pPr>
            <w:r w:rsidRPr="003F3781">
              <w:rPr>
                <w:rFonts w:ascii="Arial" w:hAnsi="Arial" w:cs="Arial"/>
                <w:b/>
                <w:bCs/>
                <w:sz w:val="20"/>
                <w:szCs w:val="20"/>
              </w:rPr>
              <w:t>Advantages</w:t>
            </w:r>
          </w:p>
        </w:tc>
        <w:tc>
          <w:tcPr>
            <w:tcW w:w="623" w:type="pct"/>
          </w:tcPr>
          <w:p w14:paraId="449A148C" w14:textId="77777777" w:rsidR="00FC3C9F" w:rsidRPr="003F3781" w:rsidRDefault="00FC3C9F" w:rsidP="003F2B2D">
            <w:pPr>
              <w:jc w:val="center"/>
              <w:rPr>
                <w:rFonts w:ascii="Arial" w:hAnsi="Arial" w:cs="Arial"/>
                <w:sz w:val="20"/>
                <w:szCs w:val="20"/>
              </w:rPr>
            </w:pPr>
            <w:r w:rsidRPr="003F3781">
              <w:rPr>
                <w:rFonts w:ascii="Arial" w:hAnsi="Arial" w:cs="Arial"/>
                <w:b/>
                <w:bCs/>
                <w:sz w:val="20"/>
                <w:szCs w:val="20"/>
              </w:rPr>
              <w:t>Limitations</w:t>
            </w:r>
          </w:p>
        </w:tc>
        <w:tc>
          <w:tcPr>
            <w:tcW w:w="625" w:type="pct"/>
          </w:tcPr>
          <w:p w14:paraId="66131CAB" w14:textId="77777777" w:rsidR="00FC3C9F" w:rsidRPr="003F3781" w:rsidRDefault="00FC3C9F" w:rsidP="003F2B2D">
            <w:pPr>
              <w:jc w:val="center"/>
              <w:rPr>
                <w:rFonts w:ascii="Arial" w:hAnsi="Arial" w:cs="Arial"/>
                <w:sz w:val="20"/>
                <w:szCs w:val="20"/>
              </w:rPr>
            </w:pPr>
            <w:r w:rsidRPr="003F3781">
              <w:rPr>
                <w:rFonts w:ascii="Arial" w:hAnsi="Arial" w:cs="Arial"/>
                <w:b/>
                <w:bCs/>
                <w:sz w:val="20"/>
                <w:szCs w:val="20"/>
              </w:rPr>
              <w:t>Evidence Level</w:t>
            </w:r>
          </w:p>
        </w:tc>
        <w:tc>
          <w:tcPr>
            <w:tcW w:w="512" w:type="pct"/>
          </w:tcPr>
          <w:p w14:paraId="063FB5D9" w14:textId="77777777" w:rsidR="00FC3C9F" w:rsidRPr="003F3781" w:rsidRDefault="00FC3C9F" w:rsidP="003F2B2D">
            <w:pPr>
              <w:jc w:val="center"/>
              <w:rPr>
                <w:rFonts w:ascii="Arial" w:hAnsi="Arial" w:cs="Arial"/>
                <w:sz w:val="20"/>
                <w:szCs w:val="20"/>
              </w:rPr>
            </w:pPr>
            <w:r w:rsidRPr="003F3781">
              <w:rPr>
                <w:rFonts w:ascii="Arial" w:hAnsi="Arial" w:cs="Arial"/>
                <w:b/>
                <w:bCs/>
                <w:sz w:val="20"/>
                <w:szCs w:val="20"/>
              </w:rPr>
              <w:t>Representative Reference(s)</w:t>
            </w:r>
          </w:p>
        </w:tc>
      </w:tr>
      <w:tr w:rsidR="00FC3C9F" w:rsidRPr="003F3781" w14:paraId="31DC940A" w14:textId="77777777" w:rsidTr="00390D00">
        <w:trPr>
          <w:cantSplit/>
          <w:trHeight w:val="1142"/>
          <w:jc w:val="center"/>
        </w:trPr>
        <w:tc>
          <w:tcPr>
            <w:tcW w:w="620" w:type="pct"/>
          </w:tcPr>
          <w:p w14:paraId="2E2E29D8"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Root-exudate gene manipulation</w:t>
            </w:r>
          </w:p>
        </w:tc>
        <w:tc>
          <w:tcPr>
            <w:tcW w:w="623" w:type="pct"/>
          </w:tcPr>
          <w:p w14:paraId="3C081464"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Rhizosphere assembly</w:t>
            </w:r>
          </w:p>
        </w:tc>
        <w:tc>
          <w:tcPr>
            <w:tcW w:w="894" w:type="pct"/>
          </w:tcPr>
          <w:p w14:paraId="1D0320C3"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Altered exudate composition via host genes (e.g., Never ripe, ERF-E2)</w:t>
            </w:r>
          </w:p>
        </w:tc>
        <w:tc>
          <w:tcPr>
            <w:tcW w:w="559" w:type="pct"/>
          </w:tcPr>
          <w:p w14:paraId="1C0CA9EA"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Shifted microbial community; altered nematode behaviour</w:t>
            </w:r>
          </w:p>
        </w:tc>
        <w:tc>
          <w:tcPr>
            <w:tcW w:w="544" w:type="pct"/>
          </w:tcPr>
          <w:p w14:paraId="2CDF3E04"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Heritable; scalable via seed</w:t>
            </w:r>
          </w:p>
        </w:tc>
        <w:tc>
          <w:tcPr>
            <w:tcW w:w="623" w:type="pct"/>
          </w:tcPr>
          <w:p w14:paraId="0B5AE849"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Long breeding timelines; pathogen-specific trade-offs possible</w:t>
            </w:r>
          </w:p>
        </w:tc>
        <w:tc>
          <w:tcPr>
            <w:tcW w:w="625" w:type="pct"/>
          </w:tcPr>
          <w:p w14:paraId="398E0147"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Functional (gene-level)</w:t>
            </w:r>
          </w:p>
        </w:tc>
        <w:tc>
          <w:tcPr>
            <w:tcW w:w="512" w:type="pct"/>
          </w:tcPr>
          <w:p w14:paraId="17D3C295" w14:textId="77777777" w:rsidR="00FC3C9F" w:rsidRPr="003F3781" w:rsidRDefault="005A6736" w:rsidP="003F2B2D">
            <w:pPr>
              <w:jc w:val="center"/>
              <w:rPr>
                <w:rFonts w:ascii="Arial" w:hAnsi="Arial" w:cs="Arial"/>
                <w:sz w:val="20"/>
                <w:szCs w:val="20"/>
              </w:rPr>
            </w:pPr>
            <w:r w:rsidRPr="003F3781">
              <w:rPr>
                <w:rFonts w:ascii="Arial" w:hAnsi="Arial" w:cs="Arial"/>
                <w:sz w:val="20"/>
                <w:szCs w:val="20"/>
              </w:rPr>
              <w:t xml:space="preserve">Fu </w:t>
            </w:r>
            <w:r w:rsidR="00587082" w:rsidRPr="003F3781">
              <w:rPr>
                <w:rFonts w:ascii="Arial" w:hAnsi="Arial" w:cs="Arial"/>
                <w:i/>
                <w:iCs/>
                <w:sz w:val="20"/>
                <w:szCs w:val="20"/>
              </w:rPr>
              <w:t>et al.</w:t>
            </w:r>
            <w:r w:rsidRPr="003F3781">
              <w:rPr>
                <w:rFonts w:ascii="Arial" w:hAnsi="Arial" w:cs="Arial"/>
                <w:sz w:val="20"/>
                <w:szCs w:val="20"/>
              </w:rPr>
              <w:t xml:space="preserve">, 2021; Dyer </w:t>
            </w:r>
            <w:r w:rsidR="00587082" w:rsidRPr="003F3781">
              <w:rPr>
                <w:rFonts w:ascii="Arial" w:hAnsi="Arial" w:cs="Arial"/>
                <w:i/>
                <w:iCs/>
                <w:sz w:val="20"/>
                <w:szCs w:val="20"/>
              </w:rPr>
              <w:t>et al.</w:t>
            </w:r>
            <w:r w:rsidRPr="003F3781">
              <w:rPr>
                <w:rFonts w:ascii="Arial" w:hAnsi="Arial" w:cs="Arial"/>
                <w:sz w:val="20"/>
                <w:szCs w:val="20"/>
              </w:rPr>
              <w:t>, 2019</w:t>
            </w:r>
          </w:p>
        </w:tc>
      </w:tr>
      <w:tr w:rsidR="00FC3C9F" w:rsidRPr="003F3781" w14:paraId="7BF0C5C6" w14:textId="77777777" w:rsidTr="00390D00">
        <w:trPr>
          <w:cantSplit/>
          <w:trHeight w:val="1142"/>
          <w:jc w:val="center"/>
        </w:trPr>
        <w:tc>
          <w:tcPr>
            <w:tcW w:w="620" w:type="pct"/>
          </w:tcPr>
          <w:p w14:paraId="7628092A"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Synthetic microbial communities (</w:t>
            </w:r>
            <w:proofErr w:type="spellStart"/>
            <w:r w:rsidRPr="003F3781">
              <w:rPr>
                <w:rFonts w:ascii="Arial" w:hAnsi="Arial" w:cs="Arial"/>
                <w:sz w:val="20"/>
                <w:szCs w:val="20"/>
              </w:rPr>
              <w:t>SynComs</w:t>
            </w:r>
            <w:proofErr w:type="spellEnd"/>
            <w:r w:rsidRPr="003F3781">
              <w:rPr>
                <w:rFonts w:ascii="Arial" w:hAnsi="Arial" w:cs="Arial"/>
                <w:sz w:val="20"/>
                <w:szCs w:val="20"/>
              </w:rPr>
              <w:t>)</w:t>
            </w:r>
          </w:p>
        </w:tc>
        <w:tc>
          <w:tcPr>
            <w:tcW w:w="623" w:type="pct"/>
          </w:tcPr>
          <w:p w14:paraId="78F47FAC" w14:textId="77777777" w:rsidR="00FC3C9F" w:rsidRPr="003F3781" w:rsidRDefault="00E34E93" w:rsidP="003F2B2D">
            <w:pPr>
              <w:jc w:val="center"/>
              <w:rPr>
                <w:rFonts w:ascii="Arial" w:hAnsi="Arial" w:cs="Arial"/>
                <w:sz w:val="20"/>
                <w:szCs w:val="20"/>
              </w:rPr>
            </w:pPr>
            <w:r w:rsidRPr="003F3781">
              <w:rPr>
                <w:rFonts w:ascii="Arial" w:hAnsi="Arial" w:cs="Arial"/>
                <w:sz w:val="20"/>
                <w:szCs w:val="20"/>
              </w:rPr>
              <w:t>Rhizosphere/</w:t>
            </w:r>
            <w:proofErr w:type="spellStart"/>
            <w:r w:rsidRPr="003F3781">
              <w:rPr>
                <w:rFonts w:ascii="Arial" w:hAnsi="Arial" w:cs="Arial"/>
                <w:sz w:val="20"/>
                <w:szCs w:val="20"/>
              </w:rPr>
              <w:t>phyllosphere</w:t>
            </w:r>
            <w:proofErr w:type="spellEnd"/>
            <w:r w:rsidR="00FC3C9F" w:rsidRPr="003F3781">
              <w:rPr>
                <w:rFonts w:ascii="Arial" w:hAnsi="Arial" w:cs="Arial"/>
                <w:sz w:val="20"/>
                <w:szCs w:val="20"/>
              </w:rPr>
              <w:t xml:space="preserve"> microbial community</w:t>
            </w:r>
          </w:p>
        </w:tc>
        <w:tc>
          <w:tcPr>
            <w:tcW w:w="894" w:type="pct"/>
          </w:tcPr>
          <w:p w14:paraId="56D2ED95"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Assembled functional complementarity; cross-kingdom interaction</w:t>
            </w:r>
          </w:p>
        </w:tc>
        <w:tc>
          <w:tcPr>
            <w:tcW w:w="559" w:type="pct"/>
          </w:tcPr>
          <w:p w14:paraId="74F14FF5"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Enhanced, broad-spectrum suppression vs. single strains</w:t>
            </w:r>
          </w:p>
        </w:tc>
        <w:tc>
          <w:tcPr>
            <w:tcW w:w="544" w:type="pct"/>
          </w:tcPr>
          <w:p w14:paraId="68955A3F"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Mechanistically tractable; rapid development</w:t>
            </w:r>
          </w:p>
        </w:tc>
        <w:tc>
          <w:tcPr>
            <w:tcW w:w="623" w:type="pct"/>
          </w:tcPr>
          <w:p w14:paraId="44B4009F"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 xml:space="preserve">Field instability; </w:t>
            </w:r>
            <w:proofErr w:type="spellStart"/>
            <w:r w:rsidRPr="003F3781">
              <w:rPr>
                <w:rFonts w:ascii="Arial" w:hAnsi="Arial" w:cs="Arial"/>
                <w:sz w:val="20"/>
                <w:szCs w:val="20"/>
              </w:rPr>
              <w:t>culturability</w:t>
            </w:r>
            <w:proofErr w:type="spellEnd"/>
            <w:r w:rsidRPr="003F3781">
              <w:rPr>
                <w:rFonts w:ascii="Arial" w:hAnsi="Arial" w:cs="Arial"/>
                <w:sz w:val="20"/>
                <w:szCs w:val="20"/>
              </w:rPr>
              <w:t xml:space="preserve"> bottleneck; niche overlap failure</w:t>
            </w:r>
          </w:p>
        </w:tc>
        <w:tc>
          <w:tcPr>
            <w:tcW w:w="625" w:type="pct"/>
          </w:tcPr>
          <w:p w14:paraId="4888B684"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Causal (greenhouse); Correlative-to-limited (field)</w:t>
            </w:r>
          </w:p>
        </w:tc>
        <w:tc>
          <w:tcPr>
            <w:tcW w:w="512" w:type="pct"/>
          </w:tcPr>
          <w:p w14:paraId="3FCECF3A" w14:textId="77777777" w:rsidR="00FC3C9F" w:rsidRPr="003F3781" w:rsidRDefault="00FC3C9F" w:rsidP="003F2B2D">
            <w:pPr>
              <w:jc w:val="center"/>
              <w:rPr>
                <w:rFonts w:ascii="Arial" w:hAnsi="Arial" w:cs="Arial"/>
                <w:sz w:val="20"/>
                <w:szCs w:val="20"/>
              </w:rPr>
            </w:pPr>
            <w:proofErr w:type="spellStart"/>
            <w:r w:rsidRPr="003F3781">
              <w:rPr>
                <w:rFonts w:ascii="Arial" w:hAnsi="Arial" w:cs="Arial"/>
                <w:sz w:val="20"/>
                <w:szCs w:val="20"/>
              </w:rPr>
              <w:t>Minchev</w:t>
            </w:r>
            <w:proofErr w:type="spellEnd"/>
            <w:r w:rsidRPr="003F3781">
              <w:rPr>
                <w:rFonts w:ascii="Arial" w:hAnsi="Arial" w:cs="Arial"/>
                <w:sz w:val="20"/>
                <w:szCs w:val="20"/>
              </w:rPr>
              <w:t xml:space="preserve"> </w:t>
            </w:r>
            <w:r w:rsidR="00587082" w:rsidRPr="003F3781">
              <w:rPr>
                <w:rFonts w:ascii="Arial" w:hAnsi="Arial" w:cs="Arial"/>
                <w:i/>
                <w:iCs/>
                <w:sz w:val="20"/>
                <w:szCs w:val="20"/>
              </w:rPr>
              <w:t>et al.</w:t>
            </w:r>
            <w:r w:rsidRPr="003F3781">
              <w:rPr>
                <w:rFonts w:ascii="Arial" w:hAnsi="Arial" w:cs="Arial"/>
                <w:sz w:val="20"/>
                <w:szCs w:val="20"/>
              </w:rPr>
              <w:t xml:space="preserve">, 2021; Zhou </w:t>
            </w:r>
            <w:r w:rsidR="00587082" w:rsidRPr="003F3781">
              <w:rPr>
                <w:rFonts w:ascii="Arial" w:hAnsi="Arial" w:cs="Arial"/>
                <w:i/>
                <w:iCs/>
                <w:sz w:val="20"/>
                <w:szCs w:val="20"/>
              </w:rPr>
              <w:t>et al.</w:t>
            </w:r>
            <w:r w:rsidRPr="003F3781">
              <w:rPr>
                <w:rFonts w:ascii="Arial" w:hAnsi="Arial" w:cs="Arial"/>
                <w:sz w:val="20"/>
                <w:szCs w:val="20"/>
              </w:rPr>
              <w:t>, 2022</w:t>
            </w:r>
          </w:p>
        </w:tc>
      </w:tr>
      <w:tr w:rsidR="00FC3C9F" w:rsidRPr="003F3781" w14:paraId="1C66F24A" w14:textId="77777777" w:rsidTr="00390D00">
        <w:trPr>
          <w:cantSplit/>
          <w:trHeight w:val="1142"/>
          <w:jc w:val="center"/>
        </w:trPr>
        <w:tc>
          <w:tcPr>
            <w:tcW w:w="620" w:type="pct"/>
          </w:tcPr>
          <w:p w14:paraId="5EE037BC"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Disease-suppressive soil transfer / transplantation</w:t>
            </w:r>
          </w:p>
        </w:tc>
        <w:tc>
          <w:tcPr>
            <w:tcW w:w="623" w:type="pct"/>
          </w:tcPr>
          <w:p w14:paraId="5AC71C69"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Whole soil/rhizosphere microbiome</w:t>
            </w:r>
          </w:p>
        </w:tc>
        <w:tc>
          <w:tcPr>
            <w:tcW w:w="894" w:type="pct"/>
          </w:tcPr>
          <w:p w14:paraId="2399BE50"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Transfer of naturally evolved suppressive community</w:t>
            </w:r>
          </w:p>
        </w:tc>
        <w:tc>
          <w:tcPr>
            <w:tcW w:w="559" w:type="pct"/>
          </w:tcPr>
          <w:p w14:paraId="5C26D88E"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Partial to substantial transfer of suppressiveness</w:t>
            </w:r>
          </w:p>
        </w:tc>
        <w:tc>
          <w:tcPr>
            <w:tcW w:w="544" w:type="pct"/>
          </w:tcPr>
          <w:p w14:paraId="594EA317"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Draws on field-proven natural communities</w:t>
            </w:r>
          </w:p>
        </w:tc>
        <w:tc>
          <w:tcPr>
            <w:tcW w:w="623" w:type="pct"/>
          </w:tcPr>
          <w:p w14:paraId="38D38B96"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Partial/incomplete transfer; scale-up logistics</w:t>
            </w:r>
          </w:p>
        </w:tc>
        <w:tc>
          <w:tcPr>
            <w:tcW w:w="625" w:type="pct"/>
          </w:tcPr>
          <w:p w14:paraId="269ED85A"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Causal (soil-mixing experiments)</w:t>
            </w:r>
          </w:p>
        </w:tc>
        <w:tc>
          <w:tcPr>
            <w:tcW w:w="512" w:type="pct"/>
          </w:tcPr>
          <w:p w14:paraId="36DECCE3"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 xml:space="preserve">Mendes </w:t>
            </w:r>
            <w:r w:rsidR="00587082" w:rsidRPr="003F3781">
              <w:rPr>
                <w:rFonts w:ascii="Arial" w:hAnsi="Arial" w:cs="Arial"/>
                <w:i/>
                <w:iCs/>
                <w:sz w:val="20"/>
                <w:szCs w:val="20"/>
              </w:rPr>
              <w:t>et al.</w:t>
            </w:r>
            <w:r w:rsidRPr="003F3781">
              <w:rPr>
                <w:rFonts w:ascii="Arial" w:hAnsi="Arial" w:cs="Arial"/>
                <w:sz w:val="20"/>
                <w:szCs w:val="20"/>
              </w:rPr>
              <w:t>, 2011</w:t>
            </w:r>
          </w:p>
        </w:tc>
      </w:tr>
      <w:tr w:rsidR="00FC3C9F" w:rsidRPr="003F3781" w14:paraId="46EA6BA7" w14:textId="77777777" w:rsidTr="00390D00">
        <w:trPr>
          <w:cantSplit/>
          <w:trHeight w:val="1142"/>
          <w:jc w:val="center"/>
        </w:trPr>
        <w:tc>
          <w:tcPr>
            <w:tcW w:w="620" w:type="pct"/>
          </w:tcPr>
          <w:p w14:paraId="3469C1D9"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Organic amendments (compost, biochar, chitin-rich material)</w:t>
            </w:r>
          </w:p>
        </w:tc>
        <w:tc>
          <w:tcPr>
            <w:tcW w:w="623" w:type="pct"/>
          </w:tcPr>
          <w:p w14:paraId="583E67D0"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Soil microbial community broadly</w:t>
            </w:r>
          </w:p>
        </w:tc>
        <w:tc>
          <w:tcPr>
            <w:tcW w:w="894" w:type="pct"/>
          </w:tcPr>
          <w:p w14:paraId="6D21896D" w14:textId="77777777" w:rsidR="00FC3C9F" w:rsidRPr="003F3781" w:rsidRDefault="00672323" w:rsidP="003F2B2D">
            <w:pPr>
              <w:jc w:val="center"/>
              <w:rPr>
                <w:rFonts w:ascii="Arial" w:hAnsi="Arial" w:cs="Arial"/>
                <w:sz w:val="20"/>
                <w:szCs w:val="20"/>
              </w:rPr>
            </w:pPr>
            <w:r w:rsidRPr="003F3781">
              <w:rPr>
                <w:rFonts w:ascii="Arial" w:hAnsi="Arial" w:cs="Arial"/>
                <w:sz w:val="20"/>
                <w:szCs w:val="20"/>
              </w:rPr>
              <w:t>Nitrogen immobilisation and pH buffering by co-amendment; enrichment of chitinolytic/antagonistic microflora</w:t>
            </w:r>
          </w:p>
        </w:tc>
        <w:tc>
          <w:tcPr>
            <w:tcW w:w="559" w:type="pct"/>
          </w:tcPr>
          <w:p w14:paraId="3AA205E5" w14:textId="77777777" w:rsidR="00FC3C9F" w:rsidRPr="003F3781" w:rsidRDefault="006E0B84" w:rsidP="003F2B2D">
            <w:pPr>
              <w:jc w:val="center"/>
              <w:rPr>
                <w:rFonts w:ascii="Arial" w:hAnsi="Arial" w:cs="Arial"/>
                <w:sz w:val="20"/>
                <w:szCs w:val="20"/>
              </w:rPr>
            </w:pPr>
            <w:r w:rsidRPr="003F3781">
              <w:rPr>
                <w:rFonts w:ascii="Arial" w:hAnsi="Arial" w:cs="Arial"/>
                <w:sz w:val="20"/>
                <w:szCs w:val="20"/>
              </w:rPr>
              <w:t xml:space="preserve">Reduced phytotoxicity of </w:t>
            </w:r>
            <w:proofErr w:type="spellStart"/>
            <w:r w:rsidRPr="003F3781">
              <w:rPr>
                <w:rFonts w:ascii="Arial" w:hAnsi="Arial" w:cs="Arial"/>
                <w:sz w:val="20"/>
                <w:szCs w:val="20"/>
              </w:rPr>
              <w:t>nematicidal</w:t>
            </w:r>
            <w:proofErr w:type="spellEnd"/>
            <w:r w:rsidRPr="003F3781">
              <w:rPr>
                <w:rFonts w:ascii="Arial" w:hAnsi="Arial" w:cs="Arial"/>
                <w:sz w:val="20"/>
                <w:szCs w:val="20"/>
              </w:rPr>
              <w:t xml:space="preserve"> amendments while maintaining nematode control</w:t>
            </w:r>
          </w:p>
        </w:tc>
        <w:tc>
          <w:tcPr>
            <w:tcW w:w="544" w:type="pct"/>
          </w:tcPr>
          <w:p w14:paraId="74C90039"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Farmer-adoptable; low regulatory barrier</w:t>
            </w:r>
          </w:p>
        </w:tc>
        <w:tc>
          <w:tcPr>
            <w:tcW w:w="623" w:type="pct"/>
          </w:tcPr>
          <w:p w14:paraId="5E1A8956"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Untargeted; slower, smaller effect size</w:t>
            </w:r>
          </w:p>
        </w:tc>
        <w:tc>
          <w:tcPr>
            <w:tcW w:w="625" w:type="pct"/>
          </w:tcPr>
          <w:p w14:paraId="3B13812F" w14:textId="77777777" w:rsidR="00FC3C9F" w:rsidRPr="003F3781" w:rsidRDefault="00AC6AAD" w:rsidP="003F2B2D">
            <w:pPr>
              <w:jc w:val="center"/>
              <w:rPr>
                <w:rFonts w:ascii="Arial" w:hAnsi="Arial" w:cs="Arial"/>
                <w:sz w:val="20"/>
                <w:szCs w:val="20"/>
              </w:rPr>
            </w:pPr>
            <w:r w:rsidRPr="003F3781">
              <w:rPr>
                <w:rFonts w:ascii="Arial" w:hAnsi="Arial" w:cs="Arial"/>
                <w:sz w:val="20"/>
                <w:szCs w:val="20"/>
              </w:rPr>
              <w:t>Causal (controlled greenhouse study)</w:t>
            </w:r>
          </w:p>
        </w:tc>
        <w:tc>
          <w:tcPr>
            <w:tcW w:w="512" w:type="pct"/>
          </w:tcPr>
          <w:p w14:paraId="764FB2DA" w14:textId="77777777" w:rsidR="00BB77EB" w:rsidRPr="003F3781" w:rsidRDefault="00BB77EB" w:rsidP="003F2B2D">
            <w:pPr>
              <w:jc w:val="center"/>
              <w:rPr>
                <w:rFonts w:ascii="Arial" w:hAnsi="Arial" w:cs="Arial"/>
                <w:sz w:val="20"/>
                <w:szCs w:val="20"/>
              </w:rPr>
            </w:pPr>
            <w:r w:rsidRPr="003F3781">
              <w:rPr>
                <w:rFonts w:ascii="Arial" w:hAnsi="Arial" w:cs="Arial"/>
                <w:sz w:val="20"/>
                <w:szCs w:val="20"/>
              </w:rPr>
              <w:t xml:space="preserve">Culbreath </w:t>
            </w:r>
            <w:r w:rsidR="00587082" w:rsidRPr="003F3781">
              <w:rPr>
                <w:rFonts w:ascii="Arial" w:hAnsi="Arial" w:cs="Arial"/>
                <w:i/>
                <w:iCs/>
                <w:sz w:val="20"/>
                <w:szCs w:val="20"/>
              </w:rPr>
              <w:t>et al.</w:t>
            </w:r>
            <w:r w:rsidRPr="003F3781">
              <w:rPr>
                <w:rFonts w:ascii="Arial" w:hAnsi="Arial" w:cs="Arial"/>
                <w:sz w:val="20"/>
                <w:szCs w:val="20"/>
              </w:rPr>
              <w:t>, 1985</w:t>
            </w:r>
          </w:p>
          <w:p w14:paraId="6A8D39AC" w14:textId="77777777" w:rsidR="00FC3C9F" w:rsidRPr="003F3781" w:rsidRDefault="00FC3C9F" w:rsidP="003F2B2D">
            <w:pPr>
              <w:jc w:val="center"/>
              <w:rPr>
                <w:rFonts w:ascii="Arial" w:hAnsi="Arial" w:cs="Arial"/>
                <w:sz w:val="20"/>
                <w:szCs w:val="20"/>
              </w:rPr>
            </w:pPr>
          </w:p>
        </w:tc>
      </w:tr>
      <w:tr w:rsidR="00FC3C9F" w:rsidRPr="003F3781" w14:paraId="4126B5C4" w14:textId="77777777" w:rsidTr="00390D00">
        <w:trPr>
          <w:cantSplit/>
          <w:trHeight w:val="1142"/>
          <w:jc w:val="center"/>
        </w:trPr>
        <w:tc>
          <w:tcPr>
            <w:tcW w:w="620" w:type="pct"/>
          </w:tcPr>
          <w:p w14:paraId="2A30BC49"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lastRenderedPageBreak/>
              <w:t>Crop rotation / reduced chemical input</w:t>
            </w:r>
          </w:p>
        </w:tc>
        <w:tc>
          <w:tcPr>
            <w:tcW w:w="623" w:type="pct"/>
          </w:tcPr>
          <w:p w14:paraId="2AB41576"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Whole-field microbial community over time</w:t>
            </w:r>
          </w:p>
        </w:tc>
        <w:tc>
          <w:tcPr>
            <w:tcW w:w="894" w:type="pct"/>
          </w:tcPr>
          <w:p w14:paraId="59A81AA5"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Prevention of monoculture-driven simplification and dysbiosis</w:t>
            </w:r>
          </w:p>
        </w:tc>
        <w:tc>
          <w:tcPr>
            <w:tcW w:w="559" w:type="pct"/>
          </w:tcPr>
          <w:p w14:paraId="2113106C"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Reduced disease-conducive dysbiosis; supports soil-borne legacy</w:t>
            </w:r>
          </w:p>
        </w:tc>
        <w:tc>
          <w:tcPr>
            <w:tcW w:w="544" w:type="pct"/>
          </w:tcPr>
          <w:p w14:paraId="7369C8F6"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Well-established agronomic practice</w:t>
            </w:r>
          </w:p>
        </w:tc>
        <w:tc>
          <w:tcPr>
            <w:tcW w:w="623" w:type="pct"/>
          </w:tcPr>
          <w:p w14:paraId="3C4F7B61"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Slow-acting; not targeted to specific pathogen</w:t>
            </w:r>
          </w:p>
        </w:tc>
        <w:tc>
          <w:tcPr>
            <w:tcW w:w="625" w:type="pct"/>
          </w:tcPr>
          <w:p w14:paraId="503D1560"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Correlative/associative (long-term)</w:t>
            </w:r>
          </w:p>
        </w:tc>
        <w:tc>
          <w:tcPr>
            <w:tcW w:w="512" w:type="pct"/>
          </w:tcPr>
          <w:p w14:paraId="5269D53F"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 xml:space="preserve">Trivedi </w:t>
            </w:r>
            <w:r w:rsidR="00587082" w:rsidRPr="003F3781">
              <w:rPr>
                <w:rFonts w:ascii="Arial" w:hAnsi="Arial" w:cs="Arial"/>
                <w:i/>
                <w:iCs/>
                <w:sz w:val="20"/>
                <w:szCs w:val="20"/>
              </w:rPr>
              <w:t>et al.</w:t>
            </w:r>
            <w:r w:rsidRPr="003F3781">
              <w:rPr>
                <w:rFonts w:ascii="Arial" w:hAnsi="Arial" w:cs="Arial"/>
                <w:sz w:val="20"/>
                <w:szCs w:val="20"/>
              </w:rPr>
              <w:t>, 2022</w:t>
            </w:r>
          </w:p>
        </w:tc>
      </w:tr>
      <w:tr w:rsidR="00FC3C9F" w:rsidRPr="003F3781" w14:paraId="3DC81018" w14:textId="77777777" w:rsidTr="00390D00">
        <w:trPr>
          <w:cantSplit/>
          <w:trHeight w:val="1142"/>
          <w:jc w:val="center"/>
        </w:trPr>
        <w:tc>
          <w:tcPr>
            <w:tcW w:w="620" w:type="pct"/>
          </w:tcPr>
          <w:p w14:paraId="0517FEEB"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Omics-guided / precision inoculation</w:t>
            </w:r>
          </w:p>
        </w:tc>
        <w:tc>
          <w:tcPr>
            <w:tcW w:w="623" w:type="pct"/>
          </w:tcPr>
          <w:p w14:paraId="049B2144"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Specific keystone or functional taxa</w:t>
            </w:r>
          </w:p>
        </w:tc>
        <w:tc>
          <w:tcPr>
            <w:tcW w:w="894" w:type="pct"/>
          </w:tcPr>
          <w:p w14:paraId="4E57E167"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Network- and multi-omics-informed selection of community members</w:t>
            </w:r>
          </w:p>
        </w:tc>
        <w:tc>
          <w:tcPr>
            <w:tcW w:w="559" w:type="pct"/>
          </w:tcPr>
          <w:p w14:paraId="1C6F12FF"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 xml:space="preserve">Improved </w:t>
            </w:r>
            <w:proofErr w:type="spellStart"/>
            <w:r w:rsidRPr="003F3781">
              <w:rPr>
                <w:rFonts w:ascii="Arial" w:hAnsi="Arial" w:cs="Arial"/>
                <w:sz w:val="20"/>
                <w:szCs w:val="20"/>
              </w:rPr>
              <w:t>SynCom</w:t>
            </w:r>
            <w:proofErr w:type="spellEnd"/>
            <w:r w:rsidRPr="003F3781">
              <w:rPr>
                <w:rFonts w:ascii="Arial" w:hAnsi="Arial" w:cs="Arial"/>
                <w:sz w:val="20"/>
                <w:szCs w:val="20"/>
              </w:rPr>
              <w:t xml:space="preserve"> design (diversity, metabolic flexibility)</w:t>
            </w:r>
          </w:p>
        </w:tc>
        <w:tc>
          <w:tcPr>
            <w:tcW w:w="544" w:type="pct"/>
          </w:tcPr>
          <w:p w14:paraId="6C388DA9"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Evidence-based design; narrows trial-and-error</w:t>
            </w:r>
          </w:p>
        </w:tc>
        <w:tc>
          <w:tcPr>
            <w:tcW w:w="623" w:type="pct"/>
          </w:tcPr>
          <w:p w14:paraId="509F821B"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Model transferability across systems unproven</w:t>
            </w:r>
          </w:p>
        </w:tc>
        <w:tc>
          <w:tcPr>
            <w:tcW w:w="625" w:type="pct"/>
          </w:tcPr>
          <w:p w14:paraId="124F2D70"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Emerging / experimental</w:t>
            </w:r>
          </w:p>
        </w:tc>
        <w:tc>
          <w:tcPr>
            <w:tcW w:w="512" w:type="pct"/>
          </w:tcPr>
          <w:p w14:paraId="028EDD2F" w14:textId="77777777" w:rsidR="00FC3C9F" w:rsidRPr="003F3781" w:rsidRDefault="00FC3C9F" w:rsidP="003F2B2D">
            <w:pPr>
              <w:jc w:val="center"/>
              <w:rPr>
                <w:rFonts w:ascii="Arial" w:hAnsi="Arial" w:cs="Arial"/>
                <w:sz w:val="20"/>
                <w:szCs w:val="20"/>
              </w:rPr>
            </w:pPr>
            <w:r w:rsidRPr="003F3781">
              <w:rPr>
                <w:rFonts w:ascii="Arial" w:hAnsi="Arial" w:cs="Arial"/>
                <w:sz w:val="20"/>
                <w:szCs w:val="20"/>
              </w:rPr>
              <w:t xml:space="preserve">Zhou </w:t>
            </w:r>
            <w:r w:rsidR="00587082" w:rsidRPr="003F3781">
              <w:rPr>
                <w:rFonts w:ascii="Arial" w:hAnsi="Arial" w:cs="Arial"/>
                <w:i/>
                <w:iCs/>
                <w:sz w:val="20"/>
                <w:szCs w:val="20"/>
              </w:rPr>
              <w:t>et al.</w:t>
            </w:r>
            <w:r w:rsidRPr="003F3781">
              <w:rPr>
                <w:rFonts w:ascii="Arial" w:hAnsi="Arial" w:cs="Arial"/>
                <w:sz w:val="20"/>
                <w:szCs w:val="20"/>
              </w:rPr>
              <w:t xml:space="preserve">, 2022; Baranwal </w:t>
            </w:r>
            <w:r w:rsidR="00587082" w:rsidRPr="003F3781">
              <w:rPr>
                <w:rFonts w:ascii="Arial" w:hAnsi="Arial" w:cs="Arial"/>
                <w:i/>
                <w:iCs/>
                <w:sz w:val="20"/>
                <w:szCs w:val="20"/>
              </w:rPr>
              <w:t>et al.</w:t>
            </w:r>
            <w:r w:rsidRPr="003F3781">
              <w:rPr>
                <w:rFonts w:ascii="Arial" w:hAnsi="Arial" w:cs="Arial"/>
                <w:sz w:val="20"/>
                <w:szCs w:val="20"/>
              </w:rPr>
              <w:t>, 2022</w:t>
            </w:r>
          </w:p>
        </w:tc>
      </w:tr>
    </w:tbl>
    <w:p w14:paraId="3F1E2F27" w14:textId="77777777" w:rsidR="00094041" w:rsidRPr="003F3781" w:rsidRDefault="00094041" w:rsidP="004F0D91">
      <w:pPr>
        <w:spacing w:after="200" w:line="276" w:lineRule="auto"/>
        <w:jc w:val="both"/>
        <w:rPr>
          <w:rFonts w:ascii="Arial" w:hAnsi="Arial" w:cs="Arial"/>
          <w:sz w:val="24"/>
          <w:szCs w:val="24"/>
        </w:rPr>
      </w:pPr>
    </w:p>
    <w:p w14:paraId="0403D220" w14:textId="77777777" w:rsidR="00E23E86" w:rsidRPr="003F3781" w:rsidRDefault="00670DAA" w:rsidP="004F0D91">
      <w:pPr>
        <w:spacing w:after="200" w:line="276" w:lineRule="auto"/>
        <w:jc w:val="both"/>
        <w:rPr>
          <w:rFonts w:ascii="Arial" w:hAnsi="Arial" w:cs="Arial"/>
          <w:b/>
          <w:bCs/>
          <w:sz w:val="24"/>
          <w:szCs w:val="24"/>
        </w:rPr>
      </w:pPr>
      <w:r w:rsidRPr="003F3781">
        <w:rPr>
          <w:rFonts w:ascii="Arial" w:hAnsi="Arial" w:cs="Arial"/>
          <w:b/>
          <w:bCs/>
          <w:sz w:val="24"/>
          <w:szCs w:val="24"/>
        </w:rPr>
        <w:t>8.1 Host Mediated Approaches</w:t>
      </w:r>
    </w:p>
    <w:p w14:paraId="21A0B8C5" w14:textId="77777777" w:rsidR="00B45274" w:rsidRPr="003F3781" w:rsidRDefault="00D5268E" w:rsidP="00B45274">
      <w:pPr>
        <w:spacing w:after="200" w:line="276" w:lineRule="auto"/>
        <w:jc w:val="both"/>
        <w:rPr>
          <w:rFonts w:ascii="Arial" w:hAnsi="Arial" w:cs="Arial"/>
          <w:sz w:val="24"/>
          <w:szCs w:val="24"/>
        </w:rPr>
      </w:pPr>
      <w:r w:rsidRPr="003F3781">
        <w:rPr>
          <w:rFonts w:ascii="Arial" w:hAnsi="Arial" w:cs="Arial"/>
          <w:sz w:val="24"/>
          <w:szCs w:val="24"/>
        </w:rPr>
        <w:tab/>
        <w:t xml:space="preserve">Host-mediated strategies exploit the plant’s own genetic control over microbiome recruitment. Breeding for microbiome recruitment traits, by selecting host genotypes on the basis of the protective microbial community they recruit rather than solely on the basis of intrinsic resistance genes, is conceptually attractive because it works with, rather than against, the plant’s evolved recruitment machinery; resistance breeding in common bean has already been shown to alter rhizosphere microbiome composition and function as an incidental consequence of selection on other traits (Mendes </w:t>
      </w:r>
      <w:r w:rsidRPr="003F3781">
        <w:rPr>
          <w:rFonts w:ascii="Arial" w:hAnsi="Arial" w:cs="Arial"/>
          <w:i/>
          <w:iCs/>
          <w:sz w:val="24"/>
          <w:szCs w:val="24"/>
        </w:rPr>
        <w:t>et al.</w:t>
      </w:r>
      <w:r w:rsidRPr="003F3781">
        <w:rPr>
          <w:rFonts w:ascii="Arial" w:hAnsi="Arial" w:cs="Arial"/>
          <w:sz w:val="24"/>
          <w:szCs w:val="24"/>
        </w:rPr>
        <w:t xml:space="preserve">, 2018), suggesting that the trait is heritable and selectable, though deliberate breeding programmes explicitly targeting microbiome recruitment remain at an early stage. Root exudate manipulation via targeted gene modification offers a more direct genetic lever than breeding for these purposes. The ethylene-insensitive tomato mutant Never ripe (NR) shows altered root exudate composition together with a correspondingly restructured rhizosphere bacterial community relative to the wild type (Fu </w:t>
      </w:r>
      <w:r w:rsidRPr="003F3781">
        <w:rPr>
          <w:rFonts w:ascii="Arial" w:hAnsi="Arial" w:cs="Arial"/>
          <w:i/>
          <w:iCs/>
          <w:sz w:val="24"/>
          <w:szCs w:val="24"/>
        </w:rPr>
        <w:t>et al.</w:t>
      </w:r>
      <w:r w:rsidRPr="003F3781">
        <w:rPr>
          <w:rFonts w:ascii="Arial" w:hAnsi="Arial" w:cs="Arial"/>
          <w:sz w:val="24"/>
          <w:szCs w:val="24"/>
        </w:rPr>
        <w:t xml:space="preserve">, 2021), while knockdown of the distinct ethylene response factor gene ERF-E2 alters root exudate composition in a way that increases the attraction of the plant-parasitic nematodes Meloidogyne incognita and </w:t>
      </w:r>
      <w:r w:rsidRPr="003F3781">
        <w:rPr>
          <w:rFonts w:ascii="Arial" w:hAnsi="Arial" w:cs="Arial"/>
          <w:i/>
          <w:iCs/>
          <w:sz w:val="24"/>
          <w:szCs w:val="24"/>
        </w:rPr>
        <w:t>Globodera pallida</w:t>
      </w:r>
      <w:r w:rsidRPr="003F3781">
        <w:rPr>
          <w:rFonts w:ascii="Arial" w:hAnsi="Arial" w:cs="Arial"/>
          <w:sz w:val="24"/>
          <w:szCs w:val="24"/>
        </w:rPr>
        <w:t xml:space="preserve">, though the same study found no corresponding change in the attraction of the two rhizosphere bacteria tested (Dyer </w:t>
      </w:r>
      <w:r w:rsidRPr="003F3781">
        <w:rPr>
          <w:rFonts w:ascii="Arial" w:hAnsi="Arial" w:cs="Arial"/>
          <w:i/>
          <w:iCs/>
          <w:sz w:val="24"/>
          <w:szCs w:val="24"/>
        </w:rPr>
        <w:t>et al.</w:t>
      </w:r>
      <w:r w:rsidRPr="003F3781">
        <w:rPr>
          <w:rFonts w:ascii="Arial" w:hAnsi="Arial" w:cs="Arial"/>
          <w:sz w:val="24"/>
          <w:szCs w:val="24"/>
        </w:rPr>
        <w:t>, 2019). These are two separate genetic levers with distinct, non-overlapping demonstrated effects (microbiome restructuring in one case, nematode-attraction change without demonstrated microbiome effect in the other) rather than a single mechanism affecting both outcomes together. Advantages of host-mediated approaches include heritability, scalability through conventional seed distribution and avoidance of live-microbial regulatory hurdles; limitations include the long breeding timelines involved, potential trade-offs with other agronomic traits, and the risk that a recruitment trait beneficial against one pathogen may be neutral or even detrimental against another, given the context dependence documented in Section 5.</w:t>
      </w:r>
    </w:p>
    <w:p w14:paraId="2DDD1850" w14:textId="77777777" w:rsidR="00301B46" w:rsidRPr="003F3781" w:rsidRDefault="00301B46" w:rsidP="00D5268E">
      <w:pPr>
        <w:spacing w:after="200" w:line="276" w:lineRule="auto"/>
        <w:jc w:val="both"/>
        <w:rPr>
          <w:rFonts w:ascii="Arial" w:hAnsi="Arial" w:cs="Arial"/>
          <w:b/>
          <w:bCs/>
          <w:sz w:val="24"/>
          <w:szCs w:val="24"/>
        </w:rPr>
      </w:pPr>
      <w:r w:rsidRPr="003F3781">
        <w:rPr>
          <w:rFonts w:ascii="Arial" w:hAnsi="Arial" w:cs="Arial"/>
          <w:b/>
          <w:bCs/>
          <w:sz w:val="24"/>
          <w:szCs w:val="24"/>
        </w:rPr>
        <w:t xml:space="preserve">8.2 </w:t>
      </w:r>
      <w:r w:rsidR="003B1D81" w:rsidRPr="003F3781">
        <w:rPr>
          <w:rFonts w:ascii="Arial" w:hAnsi="Arial" w:cs="Arial"/>
          <w:b/>
          <w:bCs/>
          <w:sz w:val="24"/>
          <w:szCs w:val="24"/>
        </w:rPr>
        <w:t>Microbial Approaches</w:t>
      </w:r>
    </w:p>
    <w:p w14:paraId="15FA7820" w14:textId="77777777" w:rsidR="009D16EF" w:rsidRPr="003F3781" w:rsidRDefault="009D16EF" w:rsidP="009D16EF">
      <w:pPr>
        <w:spacing w:after="200" w:line="276" w:lineRule="auto"/>
        <w:jc w:val="both"/>
        <w:rPr>
          <w:rFonts w:ascii="Arial" w:hAnsi="Arial" w:cs="Arial"/>
          <w:sz w:val="24"/>
          <w:szCs w:val="24"/>
        </w:rPr>
      </w:pPr>
      <w:r w:rsidRPr="003F3781">
        <w:rPr>
          <w:rFonts w:ascii="Arial" w:hAnsi="Arial" w:cs="Arial"/>
          <w:sz w:val="24"/>
          <w:szCs w:val="24"/>
        </w:rPr>
        <w:tab/>
        <w:t xml:space="preserve">Microbial approaches range from single beneficial strains, through defined multi-strain consortia, to fully synthetic microbial communities (SynComs) assembled from characterised isolates. Single-strain inoculants remain the most commercially mature option but, as discussed throughout this review, are most vulnerable to colonisation failure and inconsistent field performance. Microbial consortia composed of a small number of complementary, well-characterised strains represent an intermediate step, exploiting functional complementarity, for example by pairing a strain strong in nutrient competition with one strong in direct antibiosis, without the full ecological complexity (and design difficulty) of a large SynCom. Fully synthetic communities, </w:t>
      </w:r>
      <w:r w:rsidRPr="003F3781">
        <w:rPr>
          <w:rFonts w:ascii="Arial" w:hAnsi="Arial" w:cs="Arial"/>
          <w:sz w:val="24"/>
          <w:szCs w:val="24"/>
        </w:rPr>
        <w:lastRenderedPageBreak/>
        <w:t>discussed in depth in Section 10, are constructed either top-down (isolating and reassembling native community members) or bottom-up (assembling well-characterised strains chosen for specific functional traits), and increasingly target identified keystone or functionally central taxa rather than the most numerically abundant ones. Advantages of microbial approaches include mechanistic tractability and relatively short development timelines compared with breeding; limitations include the culturability bottleneck (well under 2% of environmental microorganisms are readily cultured under standard laboratory conditions, restricting the diversity available for consortium design) and the well-documented gap between controlled-condition and field performance (Zhang, 2024).</w:t>
      </w:r>
    </w:p>
    <w:p w14:paraId="44DF2CE8" w14:textId="77777777" w:rsidR="008E2FB9" w:rsidRPr="003F3781" w:rsidRDefault="008E2FB9" w:rsidP="009D16EF">
      <w:pPr>
        <w:spacing w:after="200" w:line="276" w:lineRule="auto"/>
        <w:jc w:val="both"/>
        <w:rPr>
          <w:rFonts w:ascii="Arial" w:hAnsi="Arial" w:cs="Arial"/>
          <w:b/>
          <w:bCs/>
          <w:sz w:val="24"/>
          <w:szCs w:val="24"/>
        </w:rPr>
      </w:pPr>
      <w:r w:rsidRPr="003F3781">
        <w:rPr>
          <w:rFonts w:ascii="Arial" w:hAnsi="Arial" w:cs="Arial"/>
          <w:b/>
          <w:bCs/>
          <w:sz w:val="24"/>
          <w:szCs w:val="24"/>
        </w:rPr>
        <w:t xml:space="preserve">8.3 </w:t>
      </w:r>
      <w:r w:rsidR="00C74303" w:rsidRPr="003F3781">
        <w:rPr>
          <w:rFonts w:ascii="Arial" w:hAnsi="Arial" w:cs="Arial"/>
          <w:b/>
          <w:bCs/>
          <w:sz w:val="24"/>
          <w:szCs w:val="24"/>
        </w:rPr>
        <w:t>Soil and Agricultural Approaches</w:t>
      </w:r>
    </w:p>
    <w:p w14:paraId="40CA8C7C" w14:textId="77777777" w:rsidR="00896CA9" w:rsidRPr="003F3781" w:rsidRDefault="00EA5E28" w:rsidP="00896CA9">
      <w:pPr>
        <w:spacing w:after="200" w:line="276" w:lineRule="auto"/>
        <w:jc w:val="both"/>
        <w:rPr>
          <w:rFonts w:ascii="Arial" w:hAnsi="Arial" w:cs="Arial"/>
          <w:sz w:val="24"/>
          <w:szCs w:val="24"/>
        </w:rPr>
      </w:pPr>
      <w:r w:rsidRPr="003F3781">
        <w:rPr>
          <w:rFonts w:ascii="Arial" w:hAnsi="Arial" w:cs="Arial"/>
          <w:sz w:val="24"/>
          <w:szCs w:val="24"/>
        </w:rPr>
        <w:tab/>
        <w:t xml:space="preserve">Soil and agronomic approaches act on the wider environment in which the plant microbiome assembles rather than on any specific microbial strain. Organic amendments (compost, biochar, and carbon-rich co-amendments applied alongside chitin) can reduce the phytotoxic side-effects of otherwise-effective nematicidal amendments without compromising their efficacy: in a controlled greenhouse study, hemicellulosic waste (HW) from the paper pulp industry, applied together with chitin to soil infested with the root-knot nematode </w:t>
      </w:r>
      <w:r w:rsidRPr="003F3781">
        <w:rPr>
          <w:rFonts w:ascii="Arial" w:hAnsi="Arial" w:cs="Arial"/>
          <w:i/>
          <w:iCs/>
          <w:sz w:val="24"/>
          <w:szCs w:val="24"/>
        </w:rPr>
        <w:t>Meloidogyne arenaria</w:t>
      </w:r>
      <w:r w:rsidRPr="003F3781">
        <w:rPr>
          <w:rFonts w:ascii="Arial" w:hAnsi="Arial" w:cs="Arial"/>
          <w:sz w:val="24"/>
          <w:szCs w:val="24"/>
        </w:rPr>
        <w:t xml:space="preserve">, improved seedling survival and plant growth relative to chitin alone, apparently through immobilisation of excess ammonia-derived nitrogen by HW-stimulated microbial activity and a buffering effect on soil pH, while chitin's near-complete suppression of root-knot galling was maintained regardless of the level of HW added (Culbreath </w:t>
      </w:r>
      <w:r w:rsidRPr="003F3781">
        <w:rPr>
          <w:rFonts w:ascii="Arial" w:hAnsi="Arial" w:cs="Arial"/>
          <w:i/>
          <w:iCs/>
          <w:sz w:val="24"/>
          <w:szCs w:val="24"/>
        </w:rPr>
        <w:t>et al.</w:t>
      </w:r>
      <w:r w:rsidRPr="003F3781">
        <w:rPr>
          <w:rFonts w:ascii="Arial" w:hAnsi="Arial" w:cs="Arial"/>
          <w:sz w:val="24"/>
          <w:szCs w:val="24"/>
        </w:rPr>
        <w:t>, 1985). Reduced reliance on synthetic agrochemicals, crop rotation and cover cropping act more diffusely, generally by preventing the community simplification and dysbiosis associated with monoculture and heavy chemical input, and by supporting the soil-borne-legacy effects described in Section 5. These approaches have the strongest track record of practical, farmer-adoptable implementation, precisely because they do not depend on live-microbial products that must survive shipping, storage and field establishment; their principal limitation is a lack of precision: they shift community composition in a generally favourable direction without targeting a specific functional outcome, and their effect size is often smaller and slower to manifest than that of a well-established, targeted microbial intervention.</w:t>
      </w:r>
    </w:p>
    <w:p w14:paraId="357C4079" w14:textId="77777777" w:rsidR="007D786A" w:rsidRPr="003F3781" w:rsidRDefault="00DF6245" w:rsidP="00EA5E28">
      <w:pPr>
        <w:spacing w:after="200" w:line="276" w:lineRule="auto"/>
        <w:jc w:val="both"/>
        <w:rPr>
          <w:rFonts w:ascii="Arial" w:hAnsi="Arial" w:cs="Arial"/>
          <w:b/>
          <w:bCs/>
          <w:sz w:val="24"/>
          <w:szCs w:val="24"/>
        </w:rPr>
      </w:pPr>
      <w:r w:rsidRPr="003F3781">
        <w:rPr>
          <w:rFonts w:ascii="Arial" w:hAnsi="Arial" w:cs="Arial"/>
          <w:b/>
          <w:bCs/>
          <w:sz w:val="24"/>
          <w:szCs w:val="24"/>
        </w:rPr>
        <w:t>8.4 Precision Approaches</w:t>
      </w:r>
    </w:p>
    <w:p w14:paraId="7AC22A1C" w14:textId="77777777" w:rsidR="00670522" w:rsidRPr="003F3781" w:rsidRDefault="00670522" w:rsidP="00670522">
      <w:pPr>
        <w:spacing w:after="200" w:line="276" w:lineRule="auto"/>
        <w:jc w:val="both"/>
        <w:rPr>
          <w:rFonts w:ascii="Arial" w:hAnsi="Arial" w:cs="Arial"/>
          <w:sz w:val="24"/>
          <w:szCs w:val="24"/>
        </w:rPr>
      </w:pPr>
      <w:r w:rsidRPr="003F3781">
        <w:rPr>
          <w:rFonts w:ascii="Arial" w:hAnsi="Arial" w:cs="Arial"/>
          <w:sz w:val="24"/>
          <w:szCs w:val="24"/>
        </w:rPr>
        <w:tab/>
        <w:t xml:space="preserve">Precision approaches represent the convergence point of the other three categories, using omics-derived data and computational modelling to guide microbiome engineering, metabolite-guided recruitment, and increasingly machine-learning-assisted community design. Metabolite-guided recruitment strategies use knowledge of specific plant-exuded recruitment signals (e.g., the MYB72-dependent coumarin pathway that recruits ISR-inducing root bacteria in Arabidopsis) to design amendments or breeding targets that amplify a known, mechanistically characterised recruitment pathway (Stringlis </w:t>
      </w:r>
      <w:r w:rsidRPr="003F3781">
        <w:rPr>
          <w:rFonts w:ascii="Arial" w:hAnsi="Arial" w:cs="Arial"/>
          <w:i/>
          <w:iCs/>
          <w:sz w:val="24"/>
          <w:szCs w:val="24"/>
        </w:rPr>
        <w:t>et al.</w:t>
      </w:r>
      <w:r w:rsidRPr="003F3781">
        <w:rPr>
          <w:rFonts w:ascii="Arial" w:hAnsi="Arial" w:cs="Arial"/>
          <w:sz w:val="24"/>
          <w:szCs w:val="24"/>
        </w:rPr>
        <w:t xml:space="preserve">, 2018). Omics-guided microbial selection uses metagenomic, network and machine-learning analysis of natural disease-suppressive systems to identify candidate keystone taxa for inclusion in synthetic communities, rather than selecting strains purely on the basis of </w:t>
      </w:r>
      <w:r w:rsidRPr="003F3781">
        <w:rPr>
          <w:rFonts w:ascii="Arial" w:hAnsi="Arial" w:cs="Arial"/>
          <w:i/>
          <w:iCs/>
          <w:sz w:val="24"/>
          <w:szCs w:val="24"/>
        </w:rPr>
        <w:t>in vitro</w:t>
      </w:r>
      <w:r w:rsidRPr="003F3781">
        <w:rPr>
          <w:rFonts w:ascii="Arial" w:hAnsi="Arial" w:cs="Arial"/>
          <w:sz w:val="24"/>
          <w:szCs w:val="24"/>
        </w:rPr>
        <w:t xml:space="preserve"> antagonism assays, as illustrated by the network and random-forest-guided SynCom design used in tomato Fusarium-wilt suppression research (Zhou </w:t>
      </w:r>
      <w:r w:rsidRPr="003F3781">
        <w:rPr>
          <w:rFonts w:ascii="Arial" w:hAnsi="Arial" w:cs="Arial"/>
          <w:i/>
          <w:iCs/>
          <w:sz w:val="24"/>
          <w:szCs w:val="24"/>
        </w:rPr>
        <w:t>et al.</w:t>
      </w:r>
      <w:r w:rsidRPr="003F3781">
        <w:rPr>
          <w:rFonts w:ascii="Arial" w:hAnsi="Arial" w:cs="Arial"/>
          <w:sz w:val="24"/>
          <w:szCs w:val="24"/>
        </w:rPr>
        <w:t>, 2022). These approaches are the most scientifically ambitious of the four categories and the least commercially mature; their principal current limitation is that most of the underlying models remain descriptive or predictive within the specific system on which they were trained, with limited demonstrated transferability to new crop-pathogen-soil combinations, a translation gap discussed further in Sections 10, 13 and 14.</w:t>
      </w:r>
    </w:p>
    <w:p w14:paraId="05D6714E" w14:textId="77777777" w:rsidR="00ED4096" w:rsidRPr="003F3781" w:rsidRDefault="00E15619" w:rsidP="00670522">
      <w:pPr>
        <w:spacing w:after="200" w:line="276" w:lineRule="auto"/>
        <w:jc w:val="both"/>
        <w:rPr>
          <w:rFonts w:ascii="Arial" w:hAnsi="Arial" w:cs="Arial"/>
          <w:b/>
          <w:bCs/>
          <w:sz w:val="24"/>
          <w:szCs w:val="24"/>
        </w:rPr>
      </w:pPr>
      <w:r w:rsidRPr="003F3781">
        <w:rPr>
          <w:rFonts w:ascii="Arial" w:hAnsi="Arial" w:cs="Arial"/>
          <w:b/>
          <w:bCs/>
          <w:sz w:val="24"/>
          <w:szCs w:val="24"/>
        </w:rPr>
        <w:lastRenderedPageBreak/>
        <w:t>9. OMICS AND TECHNOLOGICAL TOOLS FOR MICROBIOME REPROGRAMMING</w:t>
      </w:r>
    </w:p>
    <w:p w14:paraId="0EC57E01" w14:textId="77777777" w:rsidR="00627BB4" w:rsidRPr="003F3781" w:rsidRDefault="00627BB4" w:rsidP="00627BB4">
      <w:pPr>
        <w:spacing w:after="200" w:line="276" w:lineRule="auto"/>
        <w:jc w:val="both"/>
        <w:rPr>
          <w:rFonts w:ascii="Arial" w:hAnsi="Arial" w:cs="Arial"/>
          <w:sz w:val="24"/>
          <w:szCs w:val="24"/>
        </w:rPr>
      </w:pPr>
      <w:r w:rsidRPr="003F3781">
        <w:rPr>
          <w:rFonts w:ascii="Arial" w:hAnsi="Arial" w:cs="Arial"/>
          <w:sz w:val="24"/>
          <w:szCs w:val="24"/>
        </w:rPr>
        <w:tab/>
        <w:t xml:space="preserve">Successive generations of omics technology have moved plant microbiome research along a trajectory from description, through prediction, towards mechanism and, in a still-limited number of cases, intervention. Amplicon (16S rRNA, ITS) sequencing and shotgun metagenomics established the descriptive baseline of who is present, and at what relative abundance, that underlies most of the disease-suppressive-soil literature reviewed in Sections 1 and 3. Metatranscriptomics and metaproteomics extend this to what the community is actively expressing under a given condition, providing evidence closer to function than composition alone; the demonstration that pathogen challenge activates chitinase, NRPS and PKS gene expression specifically within plant-enriched, disease-suppressive bacterial taxa (Section 6) depended on this class of tool. Metabolomics closes part of the gap between gene expression and phenotype by characterising the small-molecule signals, including root exudate components and microbial secondary metabolites, that mediate plant-microbe and microbe-microbe communication and has been central to identifying specific recruitment signals such as the cucumber citric acid/tryptophan shift or the tomato 3-hydroxyflavone/riboflavin signal described in Section 5. Culturomics, comprising high-throughput, often miniaturised cultivation approaches designed to recover previously unculturable taxa, addresses a persistent structural limitation of the field. Because well under 2% of environmental microbial diversity is captured by standard culture methods, most functional validation and SynCom assembly is restricted to a narrow, culturable subset of taxa that may exclude ecologically important “pioneer” organisms (Zhang, 2024; Zhang </w:t>
      </w:r>
      <w:r w:rsidRPr="003F3781">
        <w:rPr>
          <w:rFonts w:ascii="Arial" w:hAnsi="Arial" w:cs="Arial"/>
          <w:i/>
          <w:iCs/>
          <w:sz w:val="24"/>
          <w:szCs w:val="24"/>
        </w:rPr>
        <w:t>et al.</w:t>
      </w:r>
      <w:r w:rsidRPr="003F3781">
        <w:rPr>
          <w:rFonts w:ascii="Arial" w:hAnsi="Arial" w:cs="Arial"/>
          <w:sz w:val="24"/>
          <w:szCs w:val="24"/>
        </w:rPr>
        <w:t xml:space="preserve">, 2021). Network analysis, discussed in Section 3, converts co-occurrence patterns from compositional data into testable hypotheses about keystone taxa and community structure, while genome-resolved metagenomics allows functional gene content to be assigned to specific, even uncultured, community members. Machine learning and multi-omics integration represent the most recent and most rapidly developing layer. Recurrent neural network and related approaches have been used to predict multifunctional community dynamics in analogous microbiome systems, and machine-learning-assisted analysis of community patterns has been used explicitly to identify microbiota configurations important for plant protection in synthetic community experiments (Baranwal </w:t>
      </w:r>
      <w:r w:rsidRPr="003F3781">
        <w:rPr>
          <w:rFonts w:ascii="Arial" w:hAnsi="Arial" w:cs="Arial"/>
          <w:i/>
          <w:iCs/>
          <w:sz w:val="24"/>
          <w:szCs w:val="24"/>
        </w:rPr>
        <w:t>et al.</w:t>
      </w:r>
      <w:r w:rsidRPr="003F3781">
        <w:rPr>
          <w:rFonts w:ascii="Arial" w:hAnsi="Arial" w:cs="Arial"/>
          <w:sz w:val="24"/>
          <w:szCs w:val="24"/>
        </w:rPr>
        <w:t xml:space="preserve">, 2022; Emmenegger </w:t>
      </w:r>
      <w:r w:rsidRPr="003F3781">
        <w:rPr>
          <w:rFonts w:ascii="Arial" w:hAnsi="Arial" w:cs="Arial"/>
          <w:i/>
          <w:iCs/>
          <w:sz w:val="24"/>
          <w:szCs w:val="24"/>
        </w:rPr>
        <w:t>et al.</w:t>
      </w:r>
      <w:r w:rsidRPr="003F3781">
        <w:rPr>
          <w:rFonts w:ascii="Arial" w:hAnsi="Arial" w:cs="Arial"/>
          <w:sz w:val="24"/>
          <w:szCs w:val="24"/>
        </w:rPr>
        <w:t>, 2023; Kimotho &amp; Maina, 2024).</w:t>
      </w:r>
    </w:p>
    <w:p w14:paraId="497F9679" w14:textId="77777777" w:rsidR="00C9762B" w:rsidRPr="003F3781" w:rsidRDefault="004B5CA0" w:rsidP="00C9762B">
      <w:pPr>
        <w:spacing w:after="200" w:line="276" w:lineRule="auto"/>
        <w:jc w:val="both"/>
        <w:rPr>
          <w:rFonts w:ascii="Arial" w:hAnsi="Arial" w:cs="Arial"/>
          <w:sz w:val="24"/>
          <w:szCs w:val="24"/>
        </w:rPr>
      </w:pPr>
      <w:r w:rsidRPr="003F3781">
        <w:rPr>
          <w:rFonts w:ascii="Arial" w:hAnsi="Arial" w:cs="Arial"/>
          <w:sz w:val="24"/>
          <w:szCs w:val="24"/>
        </w:rPr>
        <w:tab/>
        <w:t xml:space="preserve">The trajectory from description to intervention is real but uneven across these tool classes: amplicon sequencing and network analysis are mature and widely applied; metatranscriptomic and metabolomic approaches are increasingly common but still resource-intensive and rarely applied at the field scale needed for agronomic decision-making; and machine-learning-guided SynCom design, while conceptually the most direct route to intervention, currently exists mostly as proof-of-concept work in a small number of well-resourced model systems. We caution against treating the existence of these tools as evidence that the field has already achieved predictive, intervention-ready microbiome engineering; the tools have substantially improved the resolution and speed of hypothesis generation, but the translational bottleneck identified throughout this review, namely moving from a mechanistically characterised laboratory system to a reliably functioning field intervention, remains largely unresolved by omics advances alone and is compounded by genuine computational and interpretive challenges: large multi-omics datasets require substantial bioinformatics expertise, many ecologically relevant organisms remain unculturable and therefore functionally unvalidated, and environmental and biological variability continue to complicate cross-study comparison and reproducibility (Ngomle </w:t>
      </w:r>
      <w:r w:rsidRPr="003F3781">
        <w:rPr>
          <w:rFonts w:ascii="Arial" w:hAnsi="Arial" w:cs="Arial"/>
          <w:i/>
          <w:iCs/>
          <w:sz w:val="24"/>
          <w:szCs w:val="24"/>
        </w:rPr>
        <w:t>et al.</w:t>
      </w:r>
      <w:r w:rsidRPr="003F3781">
        <w:rPr>
          <w:rFonts w:ascii="Arial" w:hAnsi="Arial" w:cs="Arial"/>
          <w:sz w:val="24"/>
          <w:szCs w:val="24"/>
        </w:rPr>
        <w:t>, 2025).</w:t>
      </w:r>
    </w:p>
    <w:p w14:paraId="3EBC7CF2" w14:textId="77777777" w:rsidR="00C9762B" w:rsidRPr="003F3781" w:rsidRDefault="00A3139E" w:rsidP="00C9762B">
      <w:pPr>
        <w:spacing w:after="200" w:line="276" w:lineRule="auto"/>
        <w:jc w:val="both"/>
        <w:rPr>
          <w:rFonts w:ascii="Arial" w:hAnsi="Arial" w:cs="Arial"/>
          <w:sz w:val="24"/>
          <w:szCs w:val="24"/>
        </w:rPr>
      </w:pPr>
      <w:r w:rsidRPr="003F3781">
        <w:rPr>
          <w:rFonts w:ascii="Arial" w:hAnsi="Arial" w:cs="Arial"/>
          <w:b/>
          <w:bCs/>
          <w:sz w:val="24"/>
          <w:szCs w:val="24"/>
        </w:rPr>
        <w:t>10. SYNTHETIC MICROBIAL COMMUNITIES AND MICROBIOME ENGINEERING</w:t>
      </w:r>
    </w:p>
    <w:p w14:paraId="60121359" w14:textId="77777777" w:rsidR="000561F7" w:rsidRPr="003F3781" w:rsidRDefault="000561F7" w:rsidP="000561F7">
      <w:pPr>
        <w:spacing w:after="200" w:line="276" w:lineRule="auto"/>
        <w:jc w:val="both"/>
        <w:rPr>
          <w:rFonts w:ascii="Arial" w:hAnsi="Arial" w:cs="Arial"/>
          <w:sz w:val="24"/>
          <w:szCs w:val="24"/>
        </w:rPr>
      </w:pPr>
      <w:r w:rsidRPr="003F3781">
        <w:rPr>
          <w:rFonts w:ascii="Arial" w:hAnsi="Arial" w:cs="Arial"/>
          <w:sz w:val="24"/>
          <w:szCs w:val="24"/>
        </w:rPr>
        <w:lastRenderedPageBreak/>
        <w:tab/>
        <w:t xml:space="preserve">Synthetic microbial communities (SynComs), which are deliberately assembled, taxonomically and functionally defined sets of microorganisms, are the most concrete current expression of microbiome reprogramming as defined in Section 7 and merit sustained critical attention. Two complementary construction strategies dominate the literature. The top-down approach begins with the native community, from which large numbers of isolates are cultured, individually characterised (often via antagonism assays against a target pathogen), and then reassembled into a community intended to recapture key elements of the original community's ecological structure; the isolation and screening of over 200 native bacterial cultures from healthy Arabidopsis leaves, individually tested and then recombined into synthetic communities that outperformed single strains against </w:t>
      </w:r>
      <w:r w:rsidRPr="003F3781">
        <w:rPr>
          <w:rFonts w:ascii="Arial" w:hAnsi="Arial" w:cs="Arial"/>
          <w:i/>
          <w:iCs/>
          <w:sz w:val="24"/>
          <w:szCs w:val="24"/>
        </w:rPr>
        <w:t>Pseudomonas syringae</w:t>
      </w:r>
      <w:r w:rsidRPr="003F3781">
        <w:rPr>
          <w:rFonts w:ascii="Arial" w:hAnsi="Arial" w:cs="Arial"/>
          <w:sz w:val="24"/>
          <w:szCs w:val="24"/>
        </w:rPr>
        <w:t xml:space="preserve">, exemplifies this route and demonstrates that engineered communities can exhibit emergent protective properties absent from any constituent strain acting alone (Vogel </w:t>
      </w:r>
      <w:r w:rsidRPr="003F3781">
        <w:rPr>
          <w:rFonts w:ascii="Arial" w:hAnsi="Arial" w:cs="Arial"/>
          <w:i/>
          <w:iCs/>
          <w:sz w:val="24"/>
          <w:szCs w:val="24"/>
        </w:rPr>
        <w:t>et al.</w:t>
      </w:r>
      <w:r w:rsidRPr="003F3781">
        <w:rPr>
          <w:rFonts w:ascii="Arial" w:hAnsi="Arial" w:cs="Arial"/>
          <w:sz w:val="24"/>
          <w:szCs w:val="24"/>
        </w:rPr>
        <w:t xml:space="preserve">, 2021). The bottom-up approach instead begins with a curated set of already well-characterised beneficial strains selected for specific functional traits such as biofilm formation, secondary metabolite production and VOC emission and assembles them, often guided by in silico modelling of predicted ecological interactions, into a community engineered towards a defined outcome; comparative testing of multiple SynCom formulations (including SynCom1, SynCom2 and structured variants) against tomato </w:t>
      </w:r>
      <w:r w:rsidRPr="003F3781">
        <w:rPr>
          <w:rFonts w:ascii="Arial" w:hAnsi="Arial" w:cs="Arial"/>
          <w:i/>
          <w:iCs/>
          <w:sz w:val="24"/>
          <w:szCs w:val="24"/>
        </w:rPr>
        <w:t>Fusarium oxysporum</w:t>
      </w:r>
      <w:r w:rsidRPr="003F3781">
        <w:rPr>
          <w:rFonts w:ascii="Arial" w:hAnsi="Arial" w:cs="Arial"/>
          <w:sz w:val="24"/>
          <w:szCs w:val="24"/>
        </w:rPr>
        <w:t xml:space="preserve"> and </w:t>
      </w:r>
      <w:r w:rsidRPr="003F3781">
        <w:rPr>
          <w:rFonts w:ascii="Arial" w:hAnsi="Arial" w:cs="Arial"/>
          <w:i/>
          <w:iCs/>
          <w:sz w:val="24"/>
          <w:szCs w:val="24"/>
        </w:rPr>
        <w:t>Botrytis cinerea</w:t>
      </w:r>
      <w:r w:rsidRPr="003F3781">
        <w:rPr>
          <w:rFonts w:ascii="Arial" w:hAnsi="Arial" w:cs="Arial"/>
          <w:sz w:val="24"/>
          <w:szCs w:val="24"/>
        </w:rPr>
        <w:t xml:space="preserve"> found that essentially all tested SynCom formulations, unlike single bacterial isolates, conferred protection above 80% survival against the root pathogen, with the strongest formulation reducing foliar lesion development by close to 70% (Minchev </w:t>
      </w:r>
      <w:r w:rsidRPr="003F3781">
        <w:rPr>
          <w:rFonts w:ascii="Arial" w:hAnsi="Arial" w:cs="Arial"/>
          <w:i/>
          <w:iCs/>
          <w:sz w:val="24"/>
          <w:szCs w:val="24"/>
        </w:rPr>
        <w:t>et al.</w:t>
      </w:r>
      <w:r w:rsidRPr="003F3781">
        <w:rPr>
          <w:rFonts w:ascii="Arial" w:hAnsi="Arial" w:cs="Arial"/>
          <w:sz w:val="24"/>
          <w:szCs w:val="24"/>
        </w:rPr>
        <w:t>, 2021).</w:t>
      </w:r>
    </w:p>
    <w:p w14:paraId="307D2974" w14:textId="77777777" w:rsidR="000561F7" w:rsidRPr="003F3781" w:rsidRDefault="006E4756" w:rsidP="000561F7">
      <w:pPr>
        <w:spacing w:after="200" w:line="276" w:lineRule="auto"/>
        <w:jc w:val="both"/>
        <w:rPr>
          <w:rFonts w:ascii="Arial" w:hAnsi="Arial" w:cs="Arial"/>
          <w:sz w:val="24"/>
          <w:szCs w:val="24"/>
        </w:rPr>
      </w:pPr>
      <w:r w:rsidRPr="003F3781">
        <w:rPr>
          <w:rFonts w:ascii="Arial" w:hAnsi="Arial" w:cs="Arial"/>
          <w:sz w:val="24"/>
          <w:szCs w:val="24"/>
        </w:rPr>
        <w:tab/>
        <w:t xml:space="preserve">Functional complementarity, rather than simple additive strain number, appears to be the operative design principle behind successful SynComs. Cross-kingdom communities combining bacterial and fungal members have outperformed single-kingdom consortia against tomato Fusarium wilt, an effect attributed specifically to complementary roles: fungal members contributed to community stability and nutrient provisioning, while bacterial members supplied direct antimicrobial activity, rather than the effect arising from a simple summation of independent antagonistic effects (Zhou </w:t>
      </w:r>
      <w:r w:rsidRPr="003F3781">
        <w:rPr>
          <w:rFonts w:ascii="Arial" w:hAnsi="Arial" w:cs="Arial"/>
          <w:i/>
          <w:iCs/>
          <w:sz w:val="24"/>
          <w:szCs w:val="24"/>
        </w:rPr>
        <w:t>et al.</w:t>
      </w:r>
      <w:r w:rsidRPr="003F3781">
        <w:rPr>
          <w:rFonts w:ascii="Arial" w:hAnsi="Arial" w:cs="Arial"/>
          <w:sz w:val="24"/>
          <w:szCs w:val="24"/>
        </w:rPr>
        <w:t>, 2022). SynComs designed around identified microbial hubs, rather than around the most abundant taxa, have likewise shown greater community complexity, broader metabolic flexibility (including enhanced synthesis of antifungal and antibacterial benzene derivatives and saponins) and improved multi-year field persistence in a two-year monitored trial, reinforcing that keystone-informed design can outperform abundance-informed design.</w:t>
      </w:r>
    </w:p>
    <w:p w14:paraId="4CAC251A" w14:textId="77777777" w:rsidR="000561F7" w:rsidRPr="003F3781" w:rsidRDefault="006D28FC" w:rsidP="000561F7">
      <w:pPr>
        <w:spacing w:after="200" w:line="276" w:lineRule="auto"/>
        <w:jc w:val="both"/>
        <w:rPr>
          <w:rFonts w:ascii="Arial" w:hAnsi="Arial" w:cs="Arial"/>
          <w:sz w:val="24"/>
          <w:szCs w:val="24"/>
        </w:rPr>
      </w:pPr>
      <w:r w:rsidRPr="003F3781">
        <w:rPr>
          <w:rFonts w:ascii="Arial" w:hAnsi="Arial" w:cs="Arial"/>
          <w:sz w:val="24"/>
          <w:szCs w:val="24"/>
        </w:rPr>
        <w:tab/>
        <w:t xml:space="preserve">Yet the central, and repeatedly documented, limitation of SynCom research is precisely the one anticipated by the field-versus-greenhouse network differences noted in Section 2: a SynCom that performs well, and appears stable, under controlled laboratory or greenhouse conditions frequently loses efficacy, stability or even detectable colonisation when deployed under field conditions. Several converging causes have been identified rather than a single dominant explanation. Loss of key functional members can occur through competitive exclusion by an already-established resident community, which a laboratory-assembled SynCom, introduced into sterile or near-sterile substrate, never has to contend with. Niche overlap among SynCom members, with competition for the same resource rather than the complementary resource partitioning intended by the design, undermines the functional-redundancy logic that the community was meant to embody. Environmental stochasticity (drought, temperature fluctuation, soil pH and heterogeneity) shifts which functions are actually expressed and by which members, in ways that laboratory conditions, held artificially constant, cannot anticipate. Evolutionary drift, meaning genetic change within the introduced population itself and potentially accelerated by horizontal gene transfer in the field, can </w:t>
      </w:r>
      <w:r w:rsidRPr="003F3781">
        <w:rPr>
          <w:rFonts w:ascii="Arial" w:hAnsi="Arial" w:cs="Arial"/>
          <w:sz w:val="24"/>
          <w:szCs w:val="24"/>
        </w:rPr>
        <w:lastRenderedPageBreak/>
        <w:t xml:space="preserve">alter community function over the timescale of a single growing season (Trivedi </w:t>
      </w:r>
      <w:r w:rsidRPr="003F3781">
        <w:rPr>
          <w:rFonts w:ascii="Arial" w:hAnsi="Arial" w:cs="Arial"/>
          <w:i/>
          <w:iCs/>
          <w:sz w:val="24"/>
          <w:szCs w:val="24"/>
        </w:rPr>
        <w:t>et al.</w:t>
      </w:r>
      <w:r w:rsidRPr="003F3781">
        <w:rPr>
          <w:rFonts w:ascii="Arial" w:hAnsi="Arial" w:cs="Arial"/>
          <w:sz w:val="24"/>
          <w:szCs w:val="24"/>
        </w:rPr>
        <w:t xml:space="preserve">, 2020; Berhanu </w:t>
      </w:r>
      <w:r w:rsidRPr="003F3781">
        <w:rPr>
          <w:rFonts w:ascii="Arial" w:hAnsi="Arial" w:cs="Arial"/>
          <w:i/>
          <w:iCs/>
          <w:sz w:val="24"/>
          <w:szCs w:val="24"/>
        </w:rPr>
        <w:t>et al.</w:t>
      </w:r>
      <w:r w:rsidRPr="003F3781">
        <w:rPr>
          <w:rFonts w:ascii="Arial" w:hAnsi="Arial" w:cs="Arial"/>
          <w:sz w:val="24"/>
          <w:szCs w:val="24"/>
        </w:rPr>
        <w:t xml:space="preserve">, 2021; Delgado-Baquerizo </w:t>
      </w:r>
      <w:r w:rsidRPr="003F3781">
        <w:rPr>
          <w:rFonts w:ascii="Arial" w:hAnsi="Arial" w:cs="Arial"/>
          <w:i/>
          <w:iCs/>
          <w:color w:val="000000" w:themeColor="text1"/>
          <w:sz w:val="24"/>
          <w:szCs w:val="24"/>
        </w:rPr>
        <w:t>et al.</w:t>
      </w:r>
      <w:r w:rsidRPr="003F3781">
        <w:rPr>
          <w:rFonts w:ascii="Arial" w:hAnsi="Arial" w:cs="Arial"/>
          <w:sz w:val="24"/>
          <w:szCs w:val="24"/>
        </w:rPr>
        <w:t>, 2025). Additional structural barriers compound these ecological ones: fewer than 2% of environmental microorganisms are readily culturable, restricting the pool from which SynCom members can be drawn and biasing the field towards a narrow set of model genera (</w:t>
      </w:r>
      <w:r w:rsidRPr="003F3781">
        <w:rPr>
          <w:rFonts w:ascii="Arial" w:hAnsi="Arial" w:cs="Arial"/>
          <w:i/>
          <w:iCs/>
          <w:sz w:val="24"/>
          <w:szCs w:val="24"/>
        </w:rPr>
        <w:t>Bacillus, Pseudomonas, Azospirillum</w:t>
      </w:r>
      <w:r w:rsidRPr="003F3781">
        <w:rPr>
          <w:rFonts w:ascii="Arial" w:hAnsi="Arial" w:cs="Arial"/>
          <w:sz w:val="24"/>
          <w:szCs w:val="24"/>
        </w:rPr>
        <w:t xml:space="preserve">); the absence of standardised protocols for SynCom construction, testing and reporting makes cross-study comparison difficult; and international regulatory frameworks for multi-strain, and particularly cross-kingdom or genetically modified, microbial products remain fragmented and, in several jurisdictions, essentially undefined (Folorunso </w:t>
      </w:r>
      <w:r w:rsidRPr="003F3781">
        <w:rPr>
          <w:rFonts w:ascii="Arial" w:hAnsi="Arial" w:cs="Arial"/>
          <w:i/>
          <w:iCs/>
          <w:sz w:val="24"/>
          <w:szCs w:val="24"/>
        </w:rPr>
        <w:t>et al.</w:t>
      </w:r>
      <w:r w:rsidRPr="003F3781">
        <w:rPr>
          <w:rFonts w:ascii="Arial" w:hAnsi="Arial" w:cs="Arial"/>
          <w:sz w:val="24"/>
          <w:szCs w:val="24"/>
        </w:rPr>
        <w:t xml:space="preserve">, 2026; Cui </w:t>
      </w:r>
      <w:r w:rsidRPr="003F3781">
        <w:rPr>
          <w:rFonts w:ascii="Arial" w:hAnsi="Arial" w:cs="Arial"/>
          <w:i/>
          <w:iCs/>
          <w:sz w:val="24"/>
          <w:szCs w:val="24"/>
        </w:rPr>
        <w:t>et al.</w:t>
      </w:r>
      <w:r w:rsidRPr="003F3781">
        <w:rPr>
          <w:rFonts w:ascii="Arial" w:hAnsi="Arial" w:cs="Arial"/>
          <w:sz w:val="24"/>
          <w:szCs w:val="24"/>
        </w:rPr>
        <w:t>, 2021).</w:t>
      </w:r>
    </w:p>
    <w:p w14:paraId="031827BF" w14:textId="77777777" w:rsidR="00D53715" w:rsidRPr="003F3781" w:rsidRDefault="007F5FFC" w:rsidP="00D53715">
      <w:pPr>
        <w:spacing w:after="200" w:line="276" w:lineRule="auto"/>
        <w:jc w:val="both"/>
        <w:rPr>
          <w:rFonts w:ascii="Arial" w:hAnsi="Arial" w:cs="Arial"/>
          <w:sz w:val="24"/>
          <w:szCs w:val="24"/>
        </w:rPr>
      </w:pPr>
      <w:r w:rsidRPr="003F3781">
        <w:rPr>
          <w:rFonts w:ascii="Arial" w:hAnsi="Arial" w:cs="Arial"/>
          <w:sz w:val="24"/>
          <w:szCs w:val="24"/>
        </w:rPr>
        <w:tab/>
      </w:r>
      <w:r w:rsidR="000561F7" w:rsidRPr="003F3781">
        <w:rPr>
          <w:rFonts w:ascii="Arial" w:hAnsi="Arial" w:cs="Arial"/>
          <w:sz w:val="24"/>
          <w:szCs w:val="24"/>
        </w:rPr>
        <w:t xml:space="preserve">We therefore regard </w:t>
      </w:r>
      <w:proofErr w:type="spellStart"/>
      <w:r w:rsidR="000561F7" w:rsidRPr="003F3781">
        <w:rPr>
          <w:rFonts w:ascii="Arial" w:hAnsi="Arial" w:cs="Arial"/>
          <w:sz w:val="24"/>
          <w:szCs w:val="24"/>
        </w:rPr>
        <w:t>SynCom</w:t>
      </w:r>
      <w:proofErr w:type="spellEnd"/>
      <w:r w:rsidR="000561F7" w:rsidRPr="003F3781">
        <w:rPr>
          <w:rFonts w:ascii="Arial" w:hAnsi="Arial" w:cs="Arial"/>
          <w:sz w:val="24"/>
          <w:szCs w:val="24"/>
        </w:rPr>
        <w:t xml:space="preserve"> technology as a genuinely important advance in mechanistic understanding and as the clearest working instantiation of microbiome reprogramming to date, while explicitly rejecting the inference sometimes implicit in enthusiastic secondary literature that laboratory or greenhouse </w:t>
      </w:r>
      <w:proofErr w:type="spellStart"/>
      <w:r w:rsidR="000561F7" w:rsidRPr="003F3781">
        <w:rPr>
          <w:rFonts w:ascii="Arial" w:hAnsi="Arial" w:cs="Arial"/>
          <w:sz w:val="24"/>
          <w:szCs w:val="24"/>
        </w:rPr>
        <w:t>SynCom</w:t>
      </w:r>
      <w:proofErr w:type="spellEnd"/>
      <w:r w:rsidR="000561F7" w:rsidRPr="003F3781">
        <w:rPr>
          <w:rFonts w:ascii="Arial" w:hAnsi="Arial" w:cs="Arial"/>
          <w:sz w:val="24"/>
          <w:szCs w:val="24"/>
        </w:rPr>
        <w:t xml:space="preserve"> success constitutes evidence of field-ready technology. The gap between the two remains the single most important unresolved question in this area of the field.</w:t>
      </w:r>
    </w:p>
    <w:p w14:paraId="50B980EF" w14:textId="77777777" w:rsidR="00D53715" w:rsidRPr="003F3781" w:rsidRDefault="008D4D14" w:rsidP="00D53715">
      <w:pPr>
        <w:spacing w:after="200" w:line="276" w:lineRule="auto"/>
        <w:jc w:val="both"/>
        <w:rPr>
          <w:rFonts w:ascii="Arial" w:hAnsi="Arial" w:cs="Arial"/>
          <w:sz w:val="24"/>
          <w:szCs w:val="24"/>
        </w:rPr>
      </w:pPr>
      <w:r w:rsidRPr="003F3781">
        <w:rPr>
          <w:rFonts w:ascii="Arial" w:hAnsi="Arial" w:cs="Arial"/>
          <w:b/>
          <w:bCs/>
          <w:sz w:val="24"/>
          <w:szCs w:val="24"/>
        </w:rPr>
        <w:t>11. MICROBIOME-ASSISTED DISEASE MANAGEMENT IN CROPS: EVIDENCE ORGANISED BY MECHANISM</w:t>
      </w:r>
    </w:p>
    <w:p w14:paraId="779433A7" w14:textId="77777777" w:rsidR="00D53715" w:rsidRPr="003F3781" w:rsidRDefault="00D53715" w:rsidP="00D53715">
      <w:pPr>
        <w:spacing w:after="200" w:line="276" w:lineRule="auto"/>
        <w:jc w:val="both"/>
        <w:rPr>
          <w:rFonts w:ascii="Arial" w:hAnsi="Arial" w:cs="Arial"/>
          <w:sz w:val="24"/>
          <w:szCs w:val="24"/>
        </w:rPr>
      </w:pPr>
      <w:r w:rsidRPr="003F3781">
        <w:rPr>
          <w:rFonts w:ascii="Arial" w:hAnsi="Arial" w:cs="Arial"/>
          <w:sz w:val="24"/>
          <w:szCs w:val="24"/>
        </w:rPr>
        <w:tab/>
        <w:t>Rather than surveying crop-pathogen systems sequentially, we organise the strongest available evidence by the mechanism or strategy involved, since this better reveals which principles generalise across systems and which remain system-specific (Table 4 summarises representative examples with explicit evidence levels). Root-exudate-mediated recruitment against soil-borne fungal pathogens is among the best mechanistically resolved categories, spanning cucumber–</w:t>
      </w:r>
      <w:r w:rsidRPr="003F3781">
        <w:rPr>
          <w:rFonts w:ascii="Arial" w:hAnsi="Arial" w:cs="Arial"/>
          <w:i/>
          <w:iCs/>
          <w:sz w:val="24"/>
          <w:szCs w:val="24"/>
        </w:rPr>
        <w:t>Fusarium oxysporum</w:t>
      </w:r>
      <w:r w:rsidRPr="003F3781">
        <w:rPr>
          <w:rFonts w:ascii="Arial" w:hAnsi="Arial" w:cs="Arial"/>
          <w:sz w:val="24"/>
          <w:szCs w:val="24"/>
        </w:rPr>
        <w:t xml:space="preserve"> (greenhouse-validated recruitment of </w:t>
      </w:r>
      <w:r w:rsidRPr="003F3781">
        <w:rPr>
          <w:rFonts w:ascii="Arial" w:hAnsi="Arial" w:cs="Arial"/>
          <w:i/>
          <w:iCs/>
          <w:sz w:val="24"/>
          <w:szCs w:val="24"/>
        </w:rPr>
        <w:t xml:space="preserve">Bacillus amyloliquefaciens </w:t>
      </w:r>
      <w:r w:rsidRPr="003F3781">
        <w:rPr>
          <w:rFonts w:ascii="Arial" w:hAnsi="Arial" w:cs="Arial"/>
          <w:sz w:val="24"/>
          <w:szCs w:val="24"/>
        </w:rPr>
        <w:t xml:space="preserve">SQR9), tomato–Ralstonia solanacearum (Streptomyces recruitment via 3-hydroxyflavone/riboflavin), and maize protection via benzoxazinoid-mediated recruitment of </w:t>
      </w:r>
      <w:r w:rsidRPr="003F3781">
        <w:rPr>
          <w:rFonts w:ascii="Arial" w:hAnsi="Arial" w:cs="Arial"/>
          <w:i/>
          <w:iCs/>
          <w:sz w:val="24"/>
          <w:szCs w:val="24"/>
        </w:rPr>
        <w:t>Pseudomonas putida</w:t>
      </w:r>
      <w:r w:rsidRPr="003F3781">
        <w:rPr>
          <w:rFonts w:ascii="Arial" w:hAnsi="Arial" w:cs="Arial"/>
          <w:sz w:val="24"/>
          <w:szCs w:val="24"/>
        </w:rPr>
        <w:t xml:space="preserve">; all are supported by manipulative experiments (mutant or exudate-supplementation comparisons) rather than correlation alone, giving these examples a comparatively high evidence level (Liu </w:t>
      </w:r>
      <w:r w:rsidRPr="003F3781">
        <w:rPr>
          <w:rFonts w:ascii="Arial" w:hAnsi="Arial" w:cs="Arial"/>
          <w:i/>
          <w:iCs/>
          <w:sz w:val="24"/>
          <w:szCs w:val="24"/>
        </w:rPr>
        <w:t>et al.</w:t>
      </w:r>
      <w:r w:rsidRPr="003F3781">
        <w:rPr>
          <w:rFonts w:ascii="Arial" w:hAnsi="Arial" w:cs="Arial"/>
          <w:sz w:val="24"/>
          <w:szCs w:val="24"/>
        </w:rPr>
        <w:t xml:space="preserve">, 2014; Yang </w:t>
      </w:r>
      <w:r w:rsidRPr="003F3781">
        <w:rPr>
          <w:rFonts w:ascii="Arial" w:hAnsi="Arial" w:cs="Arial"/>
          <w:i/>
          <w:iCs/>
          <w:sz w:val="24"/>
          <w:szCs w:val="24"/>
        </w:rPr>
        <w:t>et al.</w:t>
      </w:r>
      <w:r w:rsidRPr="003F3781">
        <w:rPr>
          <w:rFonts w:ascii="Arial" w:hAnsi="Arial" w:cs="Arial"/>
          <w:sz w:val="24"/>
          <w:szCs w:val="24"/>
        </w:rPr>
        <w:t xml:space="preserve">, 2023; Neal </w:t>
      </w:r>
      <w:r w:rsidRPr="003F3781">
        <w:rPr>
          <w:rFonts w:ascii="Arial" w:hAnsi="Arial" w:cs="Arial"/>
          <w:i/>
          <w:iCs/>
          <w:sz w:val="24"/>
          <w:szCs w:val="24"/>
        </w:rPr>
        <w:t>et al.</w:t>
      </w:r>
      <w:r w:rsidRPr="003F3781">
        <w:rPr>
          <w:rFonts w:ascii="Arial" w:hAnsi="Arial" w:cs="Arial"/>
          <w:sz w:val="24"/>
          <w:szCs w:val="24"/>
        </w:rPr>
        <w:t xml:space="preserve">, 2012). SynCom-based suppression of vascular wilt pathogens (Fusarium spp., Verticillium spp.) across tomato, banana, cotton and Astragalus systems is supported by a substantial and largely consistent body of greenhouse-scale evidence but, with limited exceptions, has not yet been validated across multiple field seasons and sites, placing it at a moderate evidence level for field deployment specifically, even where the underlying mechanistic and greenhouse evidence is strong (Prigigallo </w:t>
      </w:r>
      <w:r w:rsidRPr="003F3781">
        <w:rPr>
          <w:rFonts w:ascii="Arial" w:hAnsi="Arial" w:cs="Arial"/>
          <w:i/>
          <w:iCs/>
          <w:sz w:val="24"/>
          <w:szCs w:val="24"/>
        </w:rPr>
        <w:t>et al.</w:t>
      </w:r>
      <w:r w:rsidRPr="003F3781">
        <w:rPr>
          <w:rFonts w:ascii="Arial" w:hAnsi="Arial" w:cs="Arial"/>
          <w:sz w:val="24"/>
          <w:szCs w:val="24"/>
        </w:rPr>
        <w:t xml:space="preserve">, 2022; Wu </w:t>
      </w:r>
      <w:r w:rsidRPr="003F3781">
        <w:rPr>
          <w:rFonts w:ascii="Arial" w:hAnsi="Arial" w:cs="Arial"/>
          <w:i/>
          <w:iCs/>
          <w:sz w:val="24"/>
          <w:szCs w:val="24"/>
        </w:rPr>
        <w:t>et al.</w:t>
      </w:r>
      <w:r w:rsidRPr="003F3781">
        <w:rPr>
          <w:rFonts w:ascii="Arial" w:hAnsi="Arial" w:cs="Arial"/>
          <w:sz w:val="24"/>
          <w:szCs w:val="24"/>
        </w:rPr>
        <w:t xml:space="preserve">, 2024; Minchev </w:t>
      </w:r>
      <w:r w:rsidRPr="003F3781">
        <w:rPr>
          <w:rFonts w:ascii="Arial" w:hAnsi="Arial" w:cs="Arial"/>
          <w:i/>
          <w:iCs/>
          <w:sz w:val="24"/>
          <w:szCs w:val="24"/>
        </w:rPr>
        <w:t>et al.</w:t>
      </w:r>
      <w:r w:rsidRPr="003F3781">
        <w:rPr>
          <w:rFonts w:ascii="Arial" w:hAnsi="Arial" w:cs="Arial"/>
          <w:sz w:val="24"/>
          <w:szCs w:val="24"/>
        </w:rPr>
        <w:t xml:space="preserve">, 2021). Cross-kingdom bacterial-fungal SynComs against tomato Fusarium wilt represent the most rigorously network- and machine-learning-informed example in the current literature, combining co-occurrence network analysis, keystone-taxon identification and comparative field/greenhouse sampling within a single study (Zhou </w:t>
      </w:r>
      <w:r w:rsidRPr="003F3781">
        <w:rPr>
          <w:rFonts w:ascii="Arial" w:hAnsi="Arial" w:cs="Arial"/>
          <w:i/>
          <w:iCs/>
          <w:sz w:val="24"/>
          <w:szCs w:val="24"/>
        </w:rPr>
        <w:t>et al.</w:t>
      </w:r>
      <w:r w:rsidRPr="003F3781">
        <w:rPr>
          <w:rFonts w:ascii="Arial" w:hAnsi="Arial" w:cs="Arial"/>
          <w:sz w:val="24"/>
          <w:szCs w:val="24"/>
        </w:rPr>
        <w:t>, 2022), though replication of this specific design pipeline across other crop systems remains limited.</w:t>
      </w:r>
    </w:p>
    <w:p w14:paraId="0B8E94EB" w14:textId="77777777" w:rsidR="00AD48D7" w:rsidRPr="003F3781" w:rsidRDefault="00D53715" w:rsidP="00D53715">
      <w:pPr>
        <w:spacing w:after="200" w:line="276" w:lineRule="auto"/>
        <w:jc w:val="both"/>
        <w:rPr>
          <w:rFonts w:ascii="Arial" w:hAnsi="Arial" w:cs="Arial"/>
          <w:sz w:val="24"/>
          <w:szCs w:val="24"/>
        </w:rPr>
      </w:pPr>
      <w:r w:rsidRPr="003F3781">
        <w:rPr>
          <w:rFonts w:ascii="Arial" w:hAnsi="Arial" w:cs="Arial"/>
          <w:sz w:val="24"/>
          <w:szCs w:val="24"/>
        </w:rPr>
        <w:tab/>
        <w:t>Disease-suppressive soil-derived interventions form a second coherent mechanistic category, spanning direct soil transfer (</w:t>
      </w:r>
      <w:r w:rsidRPr="003F3781">
        <w:rPr>
          <w:rFonts w:ascii="Arial" w:hAnsi="Arial" w:cs="Arial"/>
          <w:i/>
          <w:iCs/>
          <w:sz w:val="24"/>
          <w:szCs w:val="24"/>
        </w:rPr>
        <w:t>Rhizoctonia solani</w:t>
      </w:r>
      <w:r w:rsidRPr="003F3781">
        <w:rPr>
          <w:rFonts w:ascii="Arial" w:hAnsi="Arial" w:cs="Arial"/>
          <w:sz w:val="24"/>
          <w:szCs w:val="24"/>
        </w:rPr>
        <w:t xml:space="preserve"> suppression in sugar beet via 1:9 suppressive: conducive soil mixing), rhizosphere microbiome transplantation (slurry-based extraction and transfer protocols), and identification of specific suppressive taxa such as heat-resistant Streptomyces conferring Fusarium oxysporum suppression (Mendes </w:t>
      </w:r>
      <w:r w:rsidRPr="003F3781">
        <w:rPr>
          <w:rFonts w:ascii="Arial" w:hAnsi="Arial" w:cs="Arial"/>
          <w:i/>
          <w:iCs/>
          <w:sz w:val="24"/>
          <w:szCs w:val="24"/>
        </w:rPr>
        <w:t>et al.</w:t>
      </w:r>
      <w:r w:rsidRPr="003F3781">
        <w:rPr>
          <w:rFonts w:ascii="Arial" w:hAnsi="Arial" w:cs="Arial"/>
          <w:sz w:val="24"/>
          <w:szCs w:val="24"/>
        </w:rPr>
        <w:t xml:space="preserve">, 2011; Cha </w:t>
      </w:r>
      <w:r w:rsidRPr="003F3781">
        <w:rPr>
          <w:rFonts w:ascii="Arial" w:hAnsi="Arial" w:cs="Arial"/>
          <w:i/>
          <w:iCs/>
          <w:sz w:val="24"/>
          <w:szCs w:val="24"/>
        </w:rPr>
        <w:t>et al.</w:t>
      </w:r>
      <w:r w:rsidRPr="003F3781">
        <w:rPr>
          <w:rFonts w:ascii="Arial" w:hAnsi="Arial" w:cs="Arial"/>
          <w:sz w:val="24"/>
          <w:szCs w:val="24"/>
        </w:rPr>
        <w:t xml:space="preserve">, 2016). These interventions have the advantage of drawing on naturally evolved, field-proven suppressive communities rather than laboratory-assembled ones, but transfer efficiency is </w:t>
      </w:r>
      <w:r w:rsidRPr="003F3781">
        <w:rPr>
          <w:rFonts w:ascii="Arial" w:hAnsi="Arial" w:cs="Arial"/>
          <w:sz w:val="24"/>
          <w:szCs w:val="24"/>
        </w:rPr>
        <w:lastRenderedPageBreak/>
        <w:t>frequently partial rather than complete, and the mechanism of transfer (whole-soil versus extracted-microbiome-only) affects both efficacy and the practical feasibility of scale-up. Phyllosphere-based protection, comparatively less studied than rhizosphere-based approaches, is supported by clear mechanistic evidence in the Arabidopsis–</w:t>
      </w:r>
      <w:r w:rsidRPr="003F3781">
        <w:rPr>
          <w:rFonts w:ascii="Arial" w:hAnsi="Arial" w:cs="Arial"/>
          <w:i/>
          <w:iCs/>
          <w:sz w:val="24"/>
          <w:szCs w:val="24"/>
        </w:rPr>
        <w:t>Pseudomonas syringae</w:t>
      </w:r>
      <w:r w:rsidRPr="003F3781">
        <w:rPr>
          <w:rFonts w:ascii="Arial" w:hAnsi="Arial" w:cs="Arial"/>
          <w:sz w:val="24"/>
          <w:szCs w:val="24"/>
        </w:rPr>
        <w:t xml:space="preserve"> system (native leaf-bacterial-community protection, further enhanced by rationally assembled top-down SynComs) but has seen limited translation to major field crops to date, and the majority of supporting evidence remains at greenhouse or growth-chamber scale (Vogel </w:t>
      </w:r>
      <w:r w:rsidRPr="003F3781">
        <w:rPr>
          <w:rFonts w:ascii="Arial" w:hAnsi="Arial" w:cs="Arial"/>
          <w:i/>
          <w:iCs/>
          <w:sz w:val="24"/>
          <w:szCs w:val="24"/>
        </w:rPr>
        <w:t>et al.</w:t>
      </w:r>
      <w:r w:rsidRPr="003F3781">
        <w:rPr>
          <w:rFonts w:ascii="Arial" w:hAnsi="Arial" w:cs="Arial"/>
          <w:sz w:val="24"/>
          <w:szCs w:val="24"/>
        </w:rPr>
        <w:t>, 2021).</w:t>
      </w:r>
    </w:p>
    <w:p w14:paraId="77F3A999" w14:textId="77777777" w:rsidR="00143CED" w:rsidRPr="003F3781" w:rsidRDefault="00143CED" w:rsidP="00143CED">
      <w:pPr>
        <w:pStyle w:val="Caption"/>
        <w:keepNext/>
        <w:rPr>
          <w:rFonts w:ascii="Arial" w:hAnsi="Arial" w:cs="Arial"/>
          <w:b/>
          <w:bCs/>
          <w:i w:val="0"/>
          <w:iCs w:val="0"/>
          <w:color w:val="000000" w:themeColor="text1"/>
          <w:sz w:val="24"/>
          <w:szCs w:val="22"/>
        </w:rPr>
      </w:pPr>
      <w:r w:rsidRPr="003F3781">
        <w:rPr>
          <w:rFonts w:ascii="Arial" w:hAnsi="Arial" w:cs="Arial"/>
          <w:b/>
          <w:bCs/>
          <w:i w:val="0"/>
          <w:iCs w:val="0"/>
          <w:color w:val="000000" w:themeColor="text1"/>
          <w:sz w:val="24"/>
          <w:szCs w:val="22"/>
        </w:rPr>
        <w:t>Table 4. Representative crop</w:t>
      </w:r>
      <w:r w:rsidR="002C5855" w:rsidRPr="003F3781">
        <w:rPr>
          <w:rFonts w:ascii="Arial" w:hAnsi="Arial" w:cs="Arial"/>
          <w:b/>
          <w:bCs/>
          <w:i w:val="0"/>
          <w:iCs w:val="0"/>
          <w:color w:val="000000" w:themeColor="text1"/>
          <w:sz w:val="24"/>
          <w:szCs w:val="22"/>
        </w:rPr>
        <w:t>-</w:t>
      </w:r>
      <w:r w:rsidRPr="003F3781">
        <w:rPr>
          <w:rFonts w:ascii="Arial" w:hAnsi="Arial" w:cs="Arial"/>
          <w:b/>
          <w:bCs/>
          <w:i w:val="0"/>
          <w:iCs w:val="0"/>
          <w:color w:val="000000" w:themeColor="text1"/>
          <w:sz w:val="24"/>
          <w:szCs w:val="22"/>
        </w:rPr>
        <w:t>pathogen systems demonstrating microbiome-mediated disease suppression.</w:t>
      </w:r>
    </w:p>
    <w:tbl>
      <w:tblPr>
        <w:tblStyle w:val="TableGrid"/>
        <w:tblW w:w="5083" w:type="pct"/>
        <w:tblLook w:val="04A0" w:firstRow="1" w:lastRow="0" w:firstColumn="1" w:lastColumn="0" w:noHBand="0" w:noVBand="1"/>
      </w:tblPr>
      <w:tblGrid>
        <w:gridCol w:w="1125"/>
        <w:gridCol w:w="1422"/>
        <w:gridCol w:w="1418"/>
        <w:gridCol w:w="1133"/>
        <w:gridCol w:w="1135"/>
        <w:gridCol w:w="995"/>
        <w:gridCol w:w="993"/>
        <w:gridCol w:w="1133"/>
        <w:gridCol w:w="1276"/>
      </w:tblGrid>
      <w:tr w:rsidR="0011506D" w:rsidRPr="003F3781" w14:paraId="135F4602" w14:textId="77777777" w:rsidTr="00AF1FA1">
        <w:trPr>
          <w:trHeight w:val="1366"/>
        </w:trPr>
        <w:tc>
          <w:tcPr>
            <w:tcW w:w="529" w:type="pct"/>
            <w:textDirection w:val="btLr"/>
            <w:hideMark/>
          </w:tcPr>
          <w:p w14:paraId="59BE558E" w14:textId="77777777" w:rsidR="0011506D" w:rsidRPr="003F3781" w:rsidRDefault="0011506D" w:rsidP="0011506D">
            <w:pPr>
              <w:jc w:val="center"/>
              <w:rPr>
                <w:rFonts w:ascii="Arial" w:eastAsia="Times New Roman" w:hAnsi="Arial" w:cs="Arial"/>
                <w:b/>
                <w:bCs/>
                <w:color w:val="000000"/>
                <w:sz w:val="20"/>
                <w:szCs w:val="20"/>
              </w:rPr>
            </w:pPr>
            <w:r w:rsidRPr="003F3781">
              <w:rPr>
                <w:rFonts w:ascii="Arial" w:eastAsia="Times New Roman" w:hAnsi="Arial" w:cs="Arial"/>
                <w:b/>
                <w:bCs/>
                <w:color w:val="000000"/>
                <w:sz w:val="20"/>
                <w:szCs w:val="20"/>
              </w:rPr>
              <w:t>Reference</w:t>
            </w:r>
          </w:p>
        </w:tc>
        <w:tc>
          <w:tcPr>
            <w:tcW w:w="669" w:type="pct"/>
            <w:textDirection w:val="btLr"/>
            <w:hideMark/>
          </w:tcPr>
          <w:p w14:paraId="75E515E7"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 xml:space="preserve">Liu </w:t>
            </w:r>
            <w:r w:rsidR="00587082" w:rsidRPr="003F3781">
              <w:rPr>
                <w:rFonts w:ascii="Arial" w:eastAsia="Times New Roman" w:hAnsi="Arial" w:cs="Arial"/>
                <w:i/>
                <w:iCs/>
                <w:color w:val="000000"/>
                <w:sz w:val="20"/>
                <w:szCs w:val="20"/>
              </w:rPr>
              <w:t>et al.</w:t>
            </w:r>
            <w:r w:rsidRPr="003F3781">
              <w:rPr>
                <w:rFonts w:ascii="Arial" w:eastAsia="Times New Roman" w:hAnsi="Arial" w:cs="Arial"/>
                <w:color w:val="000000"/>
                <w:sz w:val="20"/>
                <w:szCs w:val="20"/>
              </w:rPr>
              <w:t>, 2014, 2017</w:t>
            </w:r>
          </w:p>
        </w:tc>
        <w:tc>
          <w:tcPr>
            <w:tcW w:w="667" w:type="pct"/>
            <w:textDirection w:val="btLr"/>
            <w:hideMark/>
          </w:tcPr>
          <w:p w14:paraId="70863FA4"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 xml:space="preserve">Yang </w:t>
            </w:r>
            <w:r w:rsidR="00587082" w:rsidRPr="003F3781">
              <w:rPr>
                <w:rFonts w:ascii="Arial" w:eastAsia="Times New Roman" w:hAnsi="Arial" w:cs="Arial"/>
                <w:i/>
                <w:iCs/>
                <w:color w:val="000000"/>
                <w:sz w:val="20"/>
                <w:szCs w:val="20"/>
              </w:rPr>
              <w:t>et al.</w:t>
            </w:r>
            <w:r w:rsidRPr="003F3781">
              <w:rPr>
                <w:rFonts w:ascii="Arial" w:eastAsia="Times New Roman" w:hAnsi="Arial" w:cs="Arial"/>
                <w:color w:val="000000"/>
                <w:sz w:val="20"/>
                <w:szCs w:val="20"/>
              </w:rPr>
              <w:t>, 2023</w:t>
            </w:r>
          </w:p>
        </w:tc>
        <w:tc>
          <w:tcPr>
            <w:tcW w:w="533" w:type="pct"/>
            <w:textDirection w:val="btLr"/>
            <w:hideMark/>
          </w:tcPr>
          <w:p w14:paraId="6944792D"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 xml:space="preserve">Zhou </w:t>
            </w:r>
            <w:r w:rsidR="00587082" w:rsidRPr="003F3781">
              <w:rPr>
                <w:rFonts w:ascii="Arial" w:eastAsia="Times New Roman" w:hAnsi="Arial" w:cs="Arial"/>
                <w:i/>
                <w:iCs/>
                <w:color w:val="000000"/>
                <w:sz w:val="20"/>
                <w:szCs w:val="20"/>
              </w:rPr>
              <w:t>et al.</w:t>
            </w:r>
            <w:r w:rsidRPr="003F3781">
              <w:rPr>
                <w:rFonts w:ascii="Arial" w:eastAsia="Times New Roman" w:hAnsi="Arial" w:cs="Arial"/>
                <w:color w:val="000000"/>
                <w:sz w:val="20"/>
                <w:szCs w:val="20"/>
              </w:rPr>
              <w:t>, 2022</w:t>
            </w:r>
          </w:p>
        </w:tc>
        <w:tc>
          <w:tcPr>
            <w:tcW w:w="534" w:type="pct"/>
            <w:textDirection w:val="btLr"/>
            <w:hideMark/>
          </w:tcPr>
          <w:p w14:paraId="02E9A445" w14:textId="77777777" w:rsidR="0011506D" w:rsidRPr="003F3781" w:rsidRDefault="0011506D" w:rsidP="0011506D">
            <w:pPr>
              <w:jc w:val="center"/>
              <w:rPr>
                <w:rFonts w:ascii="Arial" w:eastAsia="Times New Roman" w:hAnsi="Arial" w:cs="Arial"/>
                <w:color w:val="000000"/>
                <w:sz w:val="20"/>
                <w:szCs w:val="20"/>
              </w:rPr>
            </w:pPr>
            <w:proofErr w:type="spellStart"/>
            <w:r w:rsidRPr="003F3781">
              <w:rPr>
                <w:rFonts w:ascii="Arial" w:eastAsia="Times New Roman" w:hAnsi="Arial" w:cs="Arial"/>
                <w:color w:val="000000"/>
                <w:sz w:val="20"/>
                <w:szCs w:val="20"/>
              </w:rPr>
              <w:t>Minchev</w:t>
            </w:r>
            <w:proofErr w:type="spellEnd"/>
            <w:r w:rsidRPr="003F3781">
              <w:rPr>
                <w:rFonts w:ascii="Arial" w:eastAsia="Times New Roman" w:hAnsi="Arial" w:cs="Arial"/>
                <w:color w:val="000000"/>
                <w:sz w:val="20"/>
                <w:szCs w:val="20"/>
              </w:rPr>
              <w:t xml:space="preserve"> </w:t>
            </w:r>
            <w:r w:rsidR="00587082" w:rsidRPr="003F3781">
              <w:rPr>
                <w:rFonts w:ascii="Arial" w:eastAsia="Times New Roman" w:hAnsi="Arial" w:cs="Arial"/>
                <w:i/>
                <w:iCs/>
                <w:color w:val="000000"/>
                <w:sz w:val="20"/>
                <w:szCs w:val="20"/>
              </w:rPr>
              <w:t>et al.</w:t>
            </w:r>
            <w:r w:rsidRPr="003F3781">
              <w:rPr>
                <w:rFonts w:ascii="Arial" w:eastAsia="Times New Roman" w:hAnsi="Arial" w:cs="Arial"/>
                <w:color w:val="000000"/>
                <w:sz w:val="20"/>
                <w:szCs w:val="20"/>
              </w:rPr>
              <w:t>, 2021</w:t>
            </w:r>
          </w:p>
        </w:tc>
        <w:tc>
          <w:tcPr>
            <w:tcW w:w="468" w:type="pct"/>
            <w:textDirection w:val="btLr"/>
            <w:hideMark/>
          </w:tcPr>
          <w:p w14:paraId="584F9447" w14:textId="77777777" w:rsidR="0011506D" w:rsidRPr="003F3781" w:rsidRDefault="0011506D" w:rsidP="0011506D">
            <w:pPr>
              <w:jc w:val="center"/>
              <w:rPr>
                <w:rFonts w:ascii="Arial" w:eastAsia="Times New Roman" w:hAnsi="Arial" w:cs="Arial"/>
                <w:color w:val="000000"/>
                <w:sz w:val="20"/>
                <w:szCs w:val="20"/>
              </w:rPr>
            </w:pPr>
            <w:proofErr w:type="spellStart"/>
            <w:r w:rsidRPr="003F3781">
              <w:rPr>
                <w:rFonts w:ascii="Arial" w:eastAsia="Times New Roman" w:hAnsi="Arial" w:cs="Arial"/>
                <w:color w:val="000000"/>
                <w:sz w:val="20"/>
                <w:szCs w:val="20"/>
              </w:rPr>
              <w:t>Prigigallo</w:t>
            </w:r>
            <w:proofErr w:type="spellEnd"/>
            <w:r w:rsidRPr="003F3781">
              <w:rPr>
                <w:rFonts w:ascii="Arial" w:eastAsia="Times New Roman" w:hAnsi="Arial" w:cs="Arial"/>
                <w:color w:val="000000"/>
                <w:sz w:val="20"/>
                <w:szCs w:val="20"/>
              </w:rPr>
              <w:t xml:space="preserve"> </w:t>
            </w:r>
            <w:r w:rsidR="00587082" w:rsidRPr="003F3781">
              <w:rPr>
                <w:rFonts w:ascii="Arial" w:eastAsia="Times New Roman" w:hAnsi="Arial" w:cs="Arial"/>
                <w:i/>
                <w:iCs/>
                <w:color w:val="000000"/>
                <w:sz w:val="20"/>
                <w:szCs w:val="20"/>
              </w:rPr>
              <w:t>et al.</w:t>
            </w:r>
            <w:r w:rsidRPr="003F3781">
              <w:rPr>
                <w:rFonts w:ascii="Arial" w:eastAsia="Times New Roman" w:hAnsi="Arial" w:cs="Arial"/>
                <w:color w:val="000000"/>
                <w:sz w:val="20"/>
                <w:szCs w:val="20"/>
              </w:rPr>
              <w:t>, 2022</w:t>
            </w:r>
          </w:p>
        </w:tc>
        <w:tc>
          <w:tcPr>
            <w:tcW w:w="467" w:type="pct"/>
            <w:textDirection w:val="btLr"/>
            <w:hideMark/>
          </w:tcPr>
          <w:p w14:paraId="7FF83DE2"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 xml:space="preserve">Wu </w:t>
            </w:r>
            <w:r w:rsidR="00587082" w:rsidRPr="003F3781">
              <w:rPr>
                <w:rFonts w:ascii="Arial" w:eastAsia="Times New Roman" w:hAnsi="Arial" w:cs="Arial"/>
                <w:i/>
                <w:iCs/>
                <w:color w:val="000000"/>
                <w:sz w:val="20"/>
                <w:szCs w:val="20"/>
              </w:rPr>
              <w:t>et al.</w:t>
            </w:r>
            <w:r w:rsidRPr="003F3781">
              <w:rPr>
                <w:rFonts w:ascii="Arial" w:eastAsia="Times New Roman" w:hAnsi="Arial" w:cs="Arial"/>
                <w:color w:val="000000"/>
                <w:sz w:val="20"/>
                <w:szCs w:val="20"/>
              </w:rPr>
              <w:t>, 2024</w:t>
            </w:r>
          </w:p>
        </w:tc>
        <w:tc>
          <w:tcPr>
            <w:tcW w:w="533" w:type="pct"/>
            <w:textDirection w:val="btLr"/>
            <w:hideMark/>
          </w:tcPr>
          <w:p w14:paraId="716B12FD"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 xml:space="preserve">Yin </w:t>
            </w:r>
            <w:r w:rsidR="00587082" w:rsidRPr="003F3781">
              <w:rPr>
                <w:rFonts w:ascii="Arial" w:eastAsia="Times New Roman" w:hAnsi="Arial" w:cs="Arial"/>
                <w:i/>
                <w:iCs/>
                <w:color w:val="000000"/>
                <w:sz w:val="20"/>
                <w:szCs w:val="20"/>
              </w:rPr>
              <w:t>et al.</w:t>
            </w:r>
            <w:r w:rsidRPr="003F3781">
              <w:rPr>
                <w:rFonts w:ascii="Arial" w:eastAsia="Times New Roman" w:hAnsi="Arial" w:cs="Arial"/>
                <w:color w:val="000000"/>
                <w:sz w:val="20"/>
                <w:szCs w:val="20"/>
              </w:rPr>
              <w:t xml:space="preserve">, 2022; Carrion </w:t>
            </w:r>
            <w:r w:rsidR="00587082" w:rsidRPr="003F3781">
              <w:rPr>
                <w:rFonts w:ascii="Arial" w:eastAsia="Times New Roman" w:hAnsi="Arial" w:cs="Arial"/>
                <w:i/>
                <w:iCs/>
                <w:color w:val="000000"/>
                <w:sz w:val="20"/>
                <w:szCs w:val="20"/>
              </w:rPr>
              <w:t>et al.</w:t>
            </w:r>
            <w:r w:rsidRPr="003F3781">
              <w:rPr>
                <w:rFonts w:ascii="Arial" w:eastAsia="Times New Roman" w:hAnsi="Arial" w:cs="Arial"/>
                <w:color w:val="000000"/>
                <w:sz w:val="20"/>
                <w:szCs w:val="20"/>
              </w:rPr>
              <w:t>, 2019</w:t>
            </w:r>
          </w:p>
        </w:tc>
        <w:tc>
          <w:tcPr>
            <w:tcW w:w="600" w:type="pct"/>
            <w:textDirection w:val="btLr"/>
            <w:hideMark/>
          </w:tcPr>
          <w:p w14:paraId="33C478E9"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 xml:space="preserve">Vogel </w:t>
            </w:r>
            <w:r w:rsidR="00587082" w:rsidRPr="003F3781">
              <w:rPr>
                <w:rFonts w:ascii="Arial" w:eastAsia="Times New Roman" w:hAnsi="Arial" w:cs="Arial"/>
                <w:i/>
                <w:iCs/>
                <w:color w:val="000000"/>
                <w:sz w:val="20"/>
                <w:szCs w:val="20"/>
              </w:rPr>
              <w:t>et al.</w:t>
            </w:r>
            <w:r w:rsidRPr="003F3781">
              <w:rPr>
                <w:rFonts w:ascii="Arial" w:eastAsia="Times New Roman" w:hAnsi="Arial" w:cs="Arial"/>
                <w:color w:val="000000"/>
                <w:sz w:val="20"/>
                <w:szCs w:val="20"/>
              </w:rPr>
              <w:t>, 2021</w:t>
            </w:r>
          </w:p>
        </w:tc>
      </w:tr>
      <w:tr w:rsidR="0011506D" w:rsidRPr="003F3781" w14:paraId="7E3F6597" w14:textId="77777777" w:rsidTr="00AF1FA1">
        <w:trPr>
          <w:trHeight w:val="1858"/>
        </w:trPr>
        <w:tc>
          <w:tcPr>
            <w:tcW w:w="529" w:type="pct"/>
            <w:textDirection w:val="btLr"/>
            <w:hideMark/>
          </w:tcPr>
          <w:p w14:paraId="490D7984" w14:textId="77777777" w:rsidR="0011506D" w:rsidRPr="003F3781" w:rsidRDefault="0011506D" w:rsidP="0011506D">
            <w:pPr>
              <w:jc w:val="center"/>
              <w:rPr>
                <w:rFonts w:ascii="Arial" w:eastAsia="Times New Roman" w:hAnsi="Arial" w:cs="Arial"/>
                <w:b/>
                <w:bCs/>
                <w:color w:val="000000"/>
                <w:sz w:val="20"/>
                <w:szCs w:val="20"/>
              </w:rPr>
            </w:pPr>
            <w:r w:rsidRPr="003F3781">
              <w:rPr>
                <w:rFonts w:ascii="Arial" w:eastAsia="Times New Roman" w:hAnsi="Arial" w:cs="Arial"/>
                <w:b/>
                <w:bCs/>
                <w:color w:val="000000"/>
                <w:sz w:val="20"/>
                <w:szCs w:val="20"/>
              </w:rPr>
              <w:t>Disease Outcome</w:t>
            </w:r>
          </w:p>
        </w:tc>
        <w:tc>
          <w:tcPr>
            <w:tcW w:w="669" w:type="pct"/>
            <w:textDirection w:val="btLr"/>
            <w:hideMark/>
          </w:tcPr>
          <w:p w14:paraId="24FB9F09"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Reduced pathogen colonisation</w:t>
            </w:r>
          </w:p>
        </w:tc>
        <w:tc>
          <w:tcPr>
            <w:tcW w:w="667" w:type="pct"/>
            <w:textDirection w:val="btLr"/>
            <w:hideMark/>
          </w:tcPr>
          <w:p w14:paraId="6410ED31"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Restrained pathogen infection</w:t>
            </w:r>
          </w:p>
        </w:tc>
        <w:tc>
          <w:tcPr>
            <w:tcW w:w="533" w:type="pct"/>
            <w:textDirection w:val="btLr"/>
            <w:hideMark/>
          </w:tcPr>
          <w:p w14:paraId="7868513B"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Suppression of Fusarium wilt disease (FWD)</w:t>
            </w:r>
          </w:p>
        </w:tc>
        <w:tc>
          <w:tcPr>
            <w:tcW w:w="534" w:type="pct"/>
            <w:textDirection w:val="btLr"/>
            <w:hideMark/>
          </w:tcPr>
          <w:p w14:paraId="55013BDE"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&gt;80% survival (root); ~70% lesion reduction (leaf, best formulation)</w:t>
            </w:r>
          </w:p>
        </w:tc>
        <w:tc>
          <w:tcPr>
            <w:tcW w:w="468" w:type="pct"/>
            <w:textDirection w:val="btLr"/>
            <w:hideMark/>
          </w:tcPr>
          <w:p w14:paraId="2B62A22B"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Reduced Fusarium wilt severity</w:t>
            </w:r>
          </w:p>
        </w:tc>
        <w:tc>
          <w:tcPr>
            <w:tcW w:w="467" w:type="pct"/>
            <w:textDirection w:val="btLr"/>
            <w:hideMark/>
          </w:tcPr>
          <w:p w14:paraId="01F42264"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Reduced Verticillium wilt incidence</w:t>
            </w:r>
          </w:p>
        </w:tc>
        <w:tc>
          <w:tcPr>
            <w:tcW w:w="533" w:type="pct"/>
            <w:textDirection w:val="btLr"/>
            <w:hideMark/>
          </w:tcPr>
          <w:p w14:paraId="0DD816D8"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Effective, consistent protection against root infection</w:t>
            </w:r>
          </w:p>
        </w:tc>
        <w:tc>
          <w:tcPr>
            <w:tcW w:w="600" w:type="pct"/>
            <w:textDirection w:val="btLr"/>
            <w:hideMark/>
          </w:tcPr>
          <w:p w14:paraId="35F11F02"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Enhanced disease resistance vs. single strains</w:t>
            </w:r>
          </w:p>
        </w:tc>
      </w:tr>
      <w:tr w:rsidR="0011506D" w:rsidRPr="003F3781" w14:paraId="5C5D3F73" w14:textId="77777777" w:rsidTr="00AF1FA1">
        <w:trPr>
          <w:trHeight w:val="1428"/>
        </w:trPr>
        <w:tc>
          <w:tcPr>
            <w:tcW w:w="529" w:type="pct"/>
            <w:textDirection w:val="btLr"/>
            <w:hideMark/>
          </w:tcPr>
          <w:p w14:paraId="61295833" w14:textId="77777777" w:rsidR="0011506D" w:rsidRPr="003F3781" w:rsidRDefault="0011506D" w:rsidP="0011506D">
            <w:pPr>
              <w:jc w:val="center"/>
              <w:rPr>
                <w:rFonts w:ascii="Arial" w:eastAsia="Times New Roman" w:hAnsi="Arial" w:cs="Arial"/>
                <w:b/>
                <w:bCs/>
                <w:color w:val="000000"/>
                <w:sz w:val="20"/>
                <w:szCs w:val="20"/>
              </w:rPr>
            </w:pPr>
            <w:r w:rsidRPr="003F3781">
              <w:rPr>
                <w:rFonts w:ascii="Arial" w:eastAsia="Times New Roman" w:hAnsi="Arial" w:cs="Arial"/>
                <w:b/>
                <w:bCs/>
                <w:color w:val="000000"/>
                <w:sz w:val="20"/>
                <w:szCs w:val="20"/>
              </w:rPr>
              <w:t>Experimental System</w:t>
            </w:r>
          </w:p>
        </w:tc>
        <w:tc>
          <w:tcPr>
            <w:tcW w:w="669" w:type="pct"/>
            <w:textDirection w:val="btLr"/>
            <w:hideMark/>
          </w:tcPr>
          <w:p w14:paraId="0A299098"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Greenhouse / controlled</w:t>
            </w:r>
          </w:p>
        </w:tc>
        <w:tc>
          <w:tcPr>
            <w:tcW w:w="667" w:type="pct"/>
            <w:textDirection w:val="btLr"/>
            <w:hideMark/>
          </w:tcPr>
          <w:p w14:paraId="779CD88E"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Controlled / greenhouse</w:t>
            </w:r>
          </w:p>
        </w:tc>
        <w:tc>
          <w:tcPr>
            <w:tcW w:w="533" w:type="pct"/>
            <w:textDirection w:val="btLr"/>
            <w:hideMark/>
          </w:tcPr>
          <w:p w14:paraId="572CA869"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Field + greenhouse comparison</w:t>
            </w:r>
          </w:p>
        </w:tc>
        <w:tc>
          <w:tcPr>
            <w:tcW w:w="534" w:type="pct"/>
            <w:textDirection w:val="btLr"/>
            <w:hideMark/>
          </w:tcPr>
          <w:p w14:paraId="6745A27A"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Greenhouse</w:t>
            </w:r>
          </w:p>
        </w:tc>
        <w:tc>
          <w:tcPr>
            <w:tcW w:w="468" w:type="pct"/>
            <w:textDirection w:val="btLr"/>
            <w:hideMark/>
          </w:tcPr>
          <w:p w14:paraId="75771675"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Greenhouse / rhizosphere soil-derived</w:t>
            </w:r>
          </w:p>
        </w:tc>
        <w:tc>
          <w:tcPr>
            <w:tcW w:w="467" w:type="pct"/>
            <w:textDirection w:val="btLr"/>
            <w:hideMark/>
          </w:tcPr>
          <w:p w14:paraId="74A5752C" w14:textId="77777777" w:rsidR="0011506D" w:rsidRPr="003F3781" w:rsidRDefault="0011506D" w:rsidP="0011506D">
            <w:pPr>
              <w:jc w:val="center"/>
              <w:rPr>
                <w:rFonts w:ascii="Arial" w:eastAsia="Times New Roman" w:hAnsi="Arial" w:cs="Arial"/>
                <w:color w:val="000000"/>
                <w:sz w:val="20"/>
                <w:szCs w:val="20"/>
              </w:rPr>
            </w:pPr>
            <w:proofErr w:type="spellStart"/>
            <w:r w:rsidRPr="003F3781">
              <w:rPr>
                <w:rFonts w:ascii="Arial" w:eastAsia="Times New Roman" w:hAnsi="Arial" w:cs="Arial"/>
                <w:color w:val="000000"/>
                <w:sz w:val="20"/>
                <w:szCs w:val="20"/>
              </w:rPr>
              <w:t>Rhizospheric</w:t>
            </w:r>
            <w:proofErr w:type="spellEnd"/>
            <w:r w:rsidRPr="003F3781">
              <w:rPr>
                <w:rFonts w:ascii="Arial" w:eastAsia="Times New Roman" w:hAnsi="Arial" w:cs="Arial"/>
                <w:color w:val="000000"/>
                <w:sz w:val="20"/>
                <w:szCs w:val="20"/>
              </w:rPr>
              <w:t xml:space="preserve"> soil, greenhouse</w:t>
            </w:r>
          </w:p>
        </w:tc>
        <w:tc>
          <w:tcPr>
            <w:tcW w:w="533" w:type="pct"/>
            <w:textDirection w:val="btLr"/>
            <w:hideMark/>
          </w:tcPr>
          <w:p w14:paraId="0A8CFDC4" w14:textId="77777777" w:rsidR="0011506D" w:rsidRPr="003F3781" w:rsidRDefault="0011506D" w:rsidP="0011506D">
            <w:pPr>
              <w:jc w:val="center"/>
              <w:rPr>
                <w:rFonts w:ascii="Arial" w:eastAsia="Times New Roman" w:hAnsi="Arial" w:cs="Arial"/>
                <w:color w:val="000000"/>
                <w:sz w:val="20"/>
                <w:szCs w:val="20"/>
              </w:rPr>
            </w:pPr>
            <w:proofErr w:type="spellStart"/>
            <w:r w:rsidRPr="003F3781">
              <w:rPr>
                <w:rFonts w:ascii="Arial" w:eastAsia="Times New Roman" w:hAnsi="Arial" w:cs="Arial"/>
                <w:color w:val="000000"/>
                <w:sz w:val="20"/>
                <w:szCs w:val="20"/>
              </w:rPr>
              <w:t>Rhizospheric</w:t>
            </w:r>
            <w:proofErr w:type="spellEnd"/>
            <w:r w:rsidRPr="003F3781">
              <w:rPr>
                <w:rFonts w:ascii="Arial" w:eastAsia="Times New Roman" w:hAnsi="Arial" w:cs="Arial"/>
                <w:color w:val="000000"/>
                <w:sz w:val="20"/>
                <w:szCs w:val="20"/>
              </w:rPr>
              <w:t xml:space="preserve"> soil, greenhouse</w:t>
            </w:r>
          </w:p>
        </w:tc>
        <w:tc>
          <w:tcPr>
            <w:tcW w:w="600" w:type="pct"/>
            <w:textDirection w:val="btLr"/>
            <w:hideMark/>
          </w:tcPr>
          <w:p w14:paraId="5DF00784"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Growth-chamber / planta</w:t>
            </w:r>
          </w:p>
        </w:tc>
      </w:tr>
      <w:tr w:rsidR="0011506D" w:rsidRPr="003F3781" w14:paraId="5D09E2A7" w14:textId="77777777" w:rsidTr="00AF1FA1">
        <w:trPr>
          <w:trHeight w:val="1583"/>
        </w:trPr>
        <w:tc>
          <w:tcPr>
            <w:tcW w:w="529" w:type="pct"/>
            <w:textDirection w:val="btLr"/>
            <w:hideMark/>
          </w:tcPr>
          <w:p w14:paraId="0057F938" w14:textId="77777777" w:rsidR="0011506D" w:rsidRPr="003F3781" w:rsidRDefault="0011506D" w:rsidP="0011506D">
            <w:pPr>
              <w:jc w:val="center"/>
              <w:rPr>
                <w:rFonts w:ascii="Arial" w:eastAsia="Times New Roman" w:hAnsi="Arial" w:cs="Arial"/>
                <w:b/>
                <w:bCs/>
                <w:color w:val="000000"/>
                <w:sz w:val="20"/>
                <w:szCs w:val="20"/>
              </w:rPr>
            </w:pPr>
            <w:r w:rsidRPr="003F3781">
              <w:rPr>
                <w:rFonts w:ascii="Arial" w:eastAsia="Times New Roman" w:hAnsi="Arial" w:cs="Arial"/>
                <w:b/>
                <w:bCs/>
                <w:color w:val="000000"/>
                <w:sz w:val="20"/>
                <w:szCs w:val="20"/>
              </w:rPr>
              <w:t>Mechanism</w:t>
            </w:r>
          </w:p>
        </w:tc>
        <w:tc>
          <w:tcPr>
            <w:tcW w:w="669" w:type="pct"/>
            <w:textDirection w:val="btLr"/>
            <w:hideMark/>
          </w:tcPr>
          <w:p w14:paraId="4A009609"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Enhanced rhizosphere colonisation via altered root exudates</w:t>
            </w:r>
          </w:p>
        </w:tc>
        <w:tc>
          <w:tcPr>
            <w:tcW w:w="667" w:type="pct"/>
            <w:textDirection w:val="btLr"/>
            <w:hideMark/>
          </w:tcPr>
          <w:p w14:paraId="1388B60F"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Antagonism + niche competition</w:t>
            </w:r>
          </w:p>
        </w:tc>
        <w:tc>
          <w:tcPr>
            <w:tcW w:w="533" w:type="pct"/>
            <w:textDirection w:val="btLr"/>
            <w:hideMark/>
          </w:tcPr>
          <w:p w14:paraId="7EBD16B1" w14:textId="77777777" w:rsidR="0011506D" w:rsidRPr="003F3781" w:rsidRDefault="0011506D" w:rsidP="0011506D">
            <w:pPr>
              <w:jc w:val="center"/>
              <w:rPr>
                <w:rFonts w:ascii="Arial" w:eastAsia="Times New Roman" w:hAnsi="Arial" w:cs="Arial"/>
                <w:color w:val="000000"/>
                <w:sz w:val="18"/>
                <w:szCs w:val="18"/>
              </w:rPr>
            </w:pPr>
            <w:r w:rsidRPr="003F3781">
              <w:rPr>
                <w:rFonts w:ascii="Arial" w:eastAsia="Times New Roman" w:hAnsi="Arial" w:cs="Arial"/>
                <w:color w:val="000000"/>
                <w:sz w:val="18"/>
                <w:szCs w:val="18"/>
              </w:rPr>
              <w:t>Complementary antibiosis (bacteria) + stability/nutrient provisioning (fungi)</w:t>
            </w:r>
          </w:p>
        </w:tc>
        <w:tc>
          <w:tcPr>
            <w:tcW w:w="534" w:type="pct"/>
            <w:textDirection w:val="btLr"/>
            <w:hideMark/>
          </w:tcPr>
          <w:p w14:paraId="371C7BD0"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Direct antagonism + induced systemic defence</w:t>
            </w:r>
          </w:p>
        </w:tc>
        <w:tc>
          <w:tcPr>
            <w:tcW w:w="468" w:type="pct"/>
            <w:textDirection w:val="btLr"/>
            <w:hideMark/>
          </w:tcPr>
          <w:p w14:paraId="5AC6A99C"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Community-level antagonism</w:t>
            </w:r>
          </w:p>
        </w:tc>
        <w:tc>
          <w:tcPr>
            <w:tcW w:w="467" w:type="pct"/>
            <w:textDirection w:val="btLr"/>
            <w:hideMark/>
          </w:tcPr>
          <w:p w14:paraId="1265B7B7"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Antibiosis + competitive exclusion</w:t>
            </w:r>
          </w:p>
        </w:tc>
        <w:tc>
          <w:tcPr>
            <w:tcW w:w="533" w:type="pct"/>
            <w:textDirection w:val="btLr"/>
            <w:hideMark/>
          </w:tcPr>
          <w:p w14:paraId="6345AC7D"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Community-level antagonism/niche exclusion</w:t>
            </w:r>
          </w:p>
        </w:tc>
        <w:tc>
          <w:tcPr>
            <w:tcW w:w="600" w:type="pct"/>
            <w:textDirection w:val="btLr"/>
            <w:hideMark/>
          </w:tcPr>
          <w:p w14:paraId="02F71C6B"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Emergent, synergistic antagonism absent in single strains</w:t>
            </w:r>
          </w:p>
        </w:tc>
      </w:tr>
      <w:tr w:rsidR="0011506D" w:rsidRPr="003F3781" w14:paraId="154150D0" w14:textId="77777777" w:rsidTr="00AF1FA1">
        <w:trPr>
          <w:trHeight w:val="1663"/>
        </w:trPr>
        <w:tc>
          <w:tcPr>
            <w:tcW w:w="529" w:type="pct"/>
            <w:textDirection w:val="btLr"/>
            <w:hideMark/>
          </w:tcPr>
          <w:p w14:paraId="5F48F9D5" w14:textId="77777777" w:rsidR="0011506D" w:rsidRPr="003F3781" w:rsidRDefault="0011506D" w:rsidP="0011506D">
            <w:pPr>
              <w:jc w:val="center"/>
              <w:rPr>
                <w:rFonts w:ascii="Arial" w:eastAsia="Times New Roman" w:hAnsi="Arial" w:cs="Arial"/>
                <w:b/>
                <w:bCs/>
                <w:color w:val="000000"/>
                <w:sz w:val="20"/>
                <w:szCs w:val="20"/>
              </w:rPr>
            </w:pPr>
            <w:r w:rsidRPr="003F3781">
              <w:rPr>
                <w:rFonts w:ascii="Arial" w:eastAsia="Times New Roman" w:hAnsi="Arial" w:cs="Arial"/>
                <w:b/>
                <w:bCs/>
                <w:color w:val="000000"/>
                <w:sz w:val="20"/>
                <w:szCs w:val="20"/>
              </w:rPr>
              <w:t>Intervention</w:t>
            </w:r>
          </w:p>
        </w:tc>
        <w:tc>
          <w:tcPr>
            <w:tcW w:w="669" w:type="pct"/>
            <w:textDirection w:val="btLr"/>
            <w:hideMark/>
          </w:tcPr>
          <w:p w14:paraId="0DA55712"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Exudate-mediated recruitment</w:t>
            </w:r>
          </w:p>
        </w:tc>
        <w:tc>
          <w:tcPr>
            <w:tcW w:w="667" w:type="pct"/>
            <w:textDirection w:val="btLr"/>
            <w:hideMark/>
          </w:tcPr>
          <w:p w14:paraId="1B09F63A" w14:textId="77777777" w:rsidR="0011506D" w:rsidRPr="003F3781" w:rsidRDefault="00604E26" w:rsidP="00EB7059">
            <w:pPr>
              <w:jc w:val="center"/>
              <w:rPr>
                <w:rFonts w:ascii="Arial" w:eastAsia="Times New Roman" w:hAnsi="Arial" w:cs="Arial"/>
                <w:color w:val="000000"/>
                <w:sz w:val="16"/>
                <w:szCs w:val="16"/>
              </w:rPr>
            </w:pPr>
            <w:r w:rsidRPr="003F3781">
              <w:rPr>
                <w:rFonts w:ascii="Arial" w:eastAsia="Times New Roman" w:hAnsi="Arial" w:cs="Arial"/>
                <w:color w:val="000000"/>
                <w:sz w:val="16"/>
                <w:szCs w:val="16"/>
              </w:rPr>
              <w:t xml:space="preserve">Root exudates recruit protective </w:t>
            </w:r>
            <w:r w:rsidRPr="003F3781">
              <w:rPr>
                <w:rFonts w:ascii="Arial" w:eastAsia="Times New Roman" w:hAnsi="Arial" w:cs="Arial"/>
                <w:i/>
                <w:iCs/>
                <w:color w:val="000000"/>
                <w:sz w:val="16"/>
                <w:szCs w:val="16"/>
              </w:rPr>
              <w:t>Streptomyces</w:t>
            </w:r>
            <w:r w:rsidRPr="003F3781">
              <w:rPr>
                <w:rFonts w:ascii="Arial" w:eastAsia="Times New Roman" w:hAnsi="Arial" w:cs="Arial"/>
                <w:color w:val="000000"/>
                <w:sz w:val="16"/>
                <w:szCs w:val="16"/>
              </w:rPr>
              <w:t xml:space="preserve"> in multiple tomato genotypes, confirmed using knockout lines.</w:t>
            </w:r>
          </w:p>
        </w:tc>
        <w:tc>
          <w:tcPr>
            <w:tcW w:w="533" w:type="pct"/>
            <w:textDirection w:val="btLr"/>
            <w:hideMark/>
          </w:tcPr>
          <w:p w14:paraId="6837DABF"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 xml:space="preserve">Network- and RF-guided </w:t>
            </w:r>
            <w:proofErr w:type="spellStart"/>
            <w:r w:rsidRPr="003F3781">
              <w:rPr>
                <w:rFonts w:ascii="Arial" w:eastAsia="Times New Roman" w:hAnsi="Arial" w:cs="Arial"/>
                <w:color w:val="000000"/>
                <w:sz w:val="20"/>
                <w:szCs w:val="20"/>
              </w:rPr>
              <w:t>SynCom</w:t>
            </w:r>
            <w:proofErr w:type="spellEnd"/>
            <w:r w:rsidRPr="003F3781">
              <w:rPr>
                <w:rFonts w:ascii="Arial" w:eastAsia="Times New Roman" w:hAnsi="Arial" w:cs="Arial"/>
                <w:color w:val="000000"/>
                <w:sz w:val="20"/>
                <w:szCs w:val="20"/>
              </w:rPr>
              <w:t xml:space="preserve"> design</w:t>
            </w:r>
          </w:p>
        </w:tc>
        <w:tc>
          <w:tcPr>
            <w:tcW w:w="534" w:type="pct"/>
            <w:textDirection w:val="btLr"/>
            <w:hideMark/>
          </w:tcPr>
          <w:p w14:paraId="41CFBCC2"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 xml:space="preserve">Bottom-up </w:t>
            </w:r>
            <w:proofErr w:type="spellStart"/>
            <w:r w:rsidRPr="003F3781">
              <w:rPr>
                <w:rFonts w:ascii="Arial" w:eastAsia="Times New Roman" w:hAnsi="Arial" w:cs="Arial"/>
                <w:color w:val="000000"/>
                <w:sz w:val="20"/>
                <w:szCs w:val="20"/>
              </w:rPr>
              <w:t>SynCom</w:t>
            </w:r>
            <w:proofErr w:type="spellEnd"/>
            <w:r w:rsidRPr="003F3781">
              <w:rPr>
                <w:rFonts w:ascii="Arial" w:eastAsia="Times New Roman" w:hAnsi="Arial" w:cs="Arial"/>
                <w:color w:val="000000"/>
                <w:sz w:val="20"/>
                <w:szCs w:val="20"/>
              </w:rPr>
              <w:t xml:space="preserve"> assembly</w:t>
            </w:r>
          </w:p>
        </w:tc>
        <w:tc>
          <w:tcPr>
            <w:tcW w:w="468" w:type="pct"/>
            <w:textDirection w:val="btLr"/>
            <w:hideMark/>
          </w:tcPr>
          <w:p w14:paraId="5989437B"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 xml:space="preserve">Bottom-up </w:t>
            </w:r>
            <w:proofErr w:type="spellStart"/>
            <w:r w:rsidRPr="003F3781">
              <w:rPr>
                <w:rFonts w:ascii="Arial" w:eastAsia="Times New Roman" w:hAnsi="Arial" w:cs="Arial"/>
                <w:color w:val="000000"/>
                <w:sz w:val="20"/>
                <w:szCs w:val="20"/>
              </w:rPr>
              <w:t>SynCom</w:t>
            </w:r>
            <w:proofErr w:type="spellEnd"/>
            <w:r w:rsidRPr="003F3781">
              <w:rPr>
                <w:rFonts w:ascii="Arial" w:eastAsia="Times New Roman" w:hAnsi="Arial" w:cs="Arial"/>
                <w:color w:val="000000"/>
                <w:sz w:val="20"/>
                <w:szCs w:val="20"/>
              </w:rPr>
              <w:t xml:space="preserve"> design</w:t>
            </w:r>
          </w:p>
        </w:tc>
        <w:tc>
          <w:tcPr>
            <w:tcW w:w="467" w:type="pct"/>
            <w:textDirection w:val="btLr"/>
            <w:hideMark/>
          </w:tcPr>
          <w:p w14:paraId="01EE99D5"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Consortium inoculation</w:t>
            </w:r>
          </w:p>
        </w:tc>
        <w:tc>
          <w:tcPr>
            <w:tcW w:w="533" w:type="pct"/>
            <w:textDirection w:val="btLr"/>
            <w:hideMark/>
          </w:tcPr>
          <w:p w14:paraId="3990332E"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 xml:space="preserve">Ratio-optimised </w:t>
            </w:r>
            <w:proofErr w:type="spellStart"/>
            <w:r w:rsidRPr="003F3781">
              <w:rPr>
                <w:rFonts w:ascii="Arial" w:eastAsia="Times New Roman" w:hAnsi="Arial" w:cs="Arial"/>
                <w:color w:val="000000"/>
                <w:sz w:val="20"/>
                <w:szCs w:val="20"/>
              </w:rPr>
              <w:t>SynCom</w:t>
            </w:r>
            <w:proofErr w:type="spellEnd"/>
            <w:r w:rsidRPr="003F3781">
              <w:rPr>
                <w:rFonts w:ascii="Arial" w:eastAsia="Times New Roman" w:hAnsi="Arial" w:cs="Arial"/>
                <w:color w:val="000000"/>
                <w:sz w:val="20"/>
                <w:szCs w:val="20"/>
              </w:rPr>
              <w:t xml:space="preserve"> design</w:t>
            </w:r>
          </w:p>
        </w:tc>
        <w:tc>
          <w:tcPr>
            <w:tcW w:w="600" w:type="pct"/>
            <w:textDirection w:val="btLr"/>
            <w:hideMark/>
          </w:tcPr>
          <w:p w14:paraId="6C084B65"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 xml:space="preserve">Top-down </w:t>
            </w:r>
            <w:proofErr w:type="spellStart"/>
            <w:r w:rsidRPr="003F3781">
              <w:rPr>
                <w:rFonts w:ascii="Arial" w:eastAsia="Times New Roman" w:hAnsi="Arial" w:cs="Arial"/>
                <w:color w:val="000000"/>
                <w:sz w:val="20"/>
                <w:szCs w:val="20"/>
              </w:rPr>
              <w:t>SynCom</w:t>
            </w:r>
            <w:proofErr w:type="spellEnd"/>
            <w:r w:rsidRPr="003F3781">
              <w:rPr>
                <w:rFonts w:ascii="Arial" w:eastAsia="Times New Roman" w:hAnsi="Arial" w:cs="Arial"/>
                <w:color w:val="000000"/>
                <w:sz w:val="20"/>
                <w:szCs w:val="20"/>
              </w:rPr>
              <w:t xml:space="preserve"> assembly</w:t>
            </w:r>
          </w:p>
        </w:tc>
      </w:tr>
      <w:tr w:rsidR="0011506D" w:rsidRPr="003F3781" w14:paraId="317957D7" w14:textId="77777777" w:rsidTr="00AF1FA1">
        <w:trPr>
          <w:trHeight w:val="1417"/>
        </w:trPr>
        <w:tc>
          <w:tcPr>
            <w:tcW w:w="529" w:type="pct"/>
            <w:textDirection w:val="btLr"/>
            <w:hideMark/>
          </w:tcPr>
          <w:p w14:paraId="05C5FD6E" w14:textId="77777777" w:rsidR="0011506D" w:rsidRPr="003F3781" w:rsidRDefault="0011506D" w:rsidP="0011506D">
            <w:pPr>
              <w:jc w:val="center"/>
              <w:rPr>
                <w:rFonts w:ascii="Arial" w:eastAsia="Times New Roman" w:hAnsi="Arial" w:cs="Arial"/>
                <w:b/>
                <w:bCs/>
                <w:color w:val="000000"/>
                <w:sz w:val="20"/>
                <w:szCs w:val="20"/>
              </w:rPr>
            </w:pPr>
            <w:r w:rsidRPr="003F3781">
              <w:rPr>
                <w:rFonts w:ascii="Arial" w:eastAsia="Times New Roman" w:hAnsi="Arial" w:cs="Arial"/>
                <w:b/>
                <w:bCs/>
                <w:color w:val="000000"/>
                <w:sz w:val="20"/>
                <w:szCs w:val="20"/>
              </w:rPr>
              <w:t>Microbial Community / Taxon</w:t>
            </w:r>
          </w:p>
        </w:tc>
        <w:tc>
          <w:tcPr>
            <w:tcW w:w="669" w:type="pct"/>
            <w:textDirection w:val="btLr"/>
            <w:hideMark/>
          </w:tcPr>
          <w:p w14:paraId="17980B7A"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i/>
                <w:iCs/>
                <w:color w:val="000000"/>
                <w:sz w:val="20"/>
                <w:szCs w:val="20"/>
              </w:rPr>
              <w:t xml:space="preserve">Bacillus </w:t>
            </w:r>
            <w:proofErr w:type="spellStart"/>
            <w:r w:rsidRPr="003F3781">
              <w:rPr>
                <w:rFonts w:ascii="Arial" w:eastAsia="Times New Roman" w:hAnsi="Arial" w:cs="Arial"/>
                <w:i/>
                <w:iCs/>
                <w:color w:val="000000"/>
                <w:sz w:val="20"/>
                <w:szCs w:val="20"/>
              </w:rPr>
              <w:t>amyloliquefacien</w:t>
            </w:r>
            <w:r w:rsidRPr="003F3781">
              <w:rPr>
                <w:rFonts w:ascii="Arial" w:eastAsia="Times New Roman" w:hAnsi="Arial" w:cs="Arial"/>
                <w:color w:val="000000"/>
                <w:sz w:val="20"/>
                <w:szCs w:val="20"/>
              </w:rPr>
              <w:t>s</w:t>
            </w:r>
            <w:proofErr w:type="spellEnd"/>
            <w:r w:rsidRPr="003F3781">
              <w:rPr>
                <w:rFonts w:ascii="Arial" w:eastAsia="Times New Roman" w:hAnsi="Arial" w:cs="Arial"/>
                <w:color w:val="000000"/>
                <w:sz w:val="20"/>
                <w:szCs w:val="20"/>
              </w:rPr>
              <w:t xml:space="preserve"> SQR9</w:t>
            </w:r>
          </w:p>
        </w:tc>
        <w:tc>
          <w:tcPr>
            <w:tcW w:w="667" w:type="pct"/>
            <w:textDirection w:val="btLr"/>
            <w:hideMark/>
          </w:tcPr>
          <w:p w14:paraId="3EFD08BC"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i/>
                <w:iCs/>
                <w:color w:val="000000"/>
                <w:sz w:val="20"/>
                <w:szCs w:val="20"/>
              </w:rPr>
              <w:t xml:space="preserve">Streptomyces </w:t>
            </w:r>
            <w:r w:rsidRPr="003F3781">
              <w:rPr>
                <w:rFonts w:ascii="Arial" w:eastAsia="Times New Roman" w:hAnsi="Arial" w:cs="Arial"/>
                <w:color w:val="000000"/>
                <w:sz w:val="20"/>
                <w:szCs w:val="20"/>
              </w:rPr>
              <w:t>spp.</w:t>
            </w:r>
          </w:p>
        </w:tc>
        <w:tc>
          <w:tcPr>
            <w:tcW w:w="533" w:type="pct"/>
            <w:textDirection w:val="btLr"/>
            <w:hideMark/>
          </w:tcPr>
          <w:p w14:paraId="0C44DDBB"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18"/>
                <w:szCs w:val="18"/>
              </w:rPr>
              <w:t xml:space="preserve">Cross-kingdom </w:t>
            </w:r>
            <w:proofErr w:type="spellStart"/>
            <w:r w:rsidRPr="003F3781">
              <w:rPr>
                <w:rFonts w:ascii="Arial" w:eastAsia="Times New Roman" w:hAnsi="Arial" w:cs="Arial"/>
                <w:color w:val="000000"/>
                <w:sz w:val="18"/>
                <w:szCs w:val="18"/>
              </w:rPr>
              <w:t>SynCom</w:t>
            </w:r>
            <w:proofErr w:type="spellEnd"/>
            <w:r w:rsidRPr="003F3781">
              <w:rPr>
                <w:rFonts w:ascii="Arial" w:eastAsia="Times New Roman" w:hAnsi="Arial" w:cs="Arial"/>
                <w:color w:val="000000"/>
                <w:sz w:val="18"/>
                <w:szCs w:val="18"/>
              </w:rPr>
              <w:t xml:space="preserve"> (bacteria + fungi, field-derived)</w:t>
            </w:r>
          </w:p>
        </w:tc>
        <w:tc>
          <w:tcPr>
            <w:tcW w:w="534" w:type="pct"/>
            <w:textDirection w:val="btLr"/>
            <w:hideMark/>
          </w:tcPr>
          <w:p w14:paraId="48FB02B5"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SynCom1/2 and variants</w:t>
            </w:r>
          </w:p>
        </w:tc>
        <w:tc>
          <w:tcPr>
            <w:tcW w:w="468" w:type="pct"/>
            <w:textDirection w:val="btLr"/>
            <w:hideMark/>
          </w:tcPr>
          <w:p w14:paraId="60A3C74C" w14:textId="77777777" w:rsidR="0011506D" w:rsidRPr="003F3781" w:rsidRDefault="0011506D" w:rsidP="0011506D">
            <w:pPr>
              <w:jc w:val="center"/>
              <w:rPr>
                <w:rFonts w:ascii="Arial" w:eastAsia="Times New Roman" w:hAnsi="Arial" w:cs="Arial"/>
                <w:color w:val="000000"/>
                <w:sz w:val="20"/>
                <w:szCs w:val="20"/>
              </w:rPr>
            </w:pPr>
            <w:proofErr w:type="spellStart"/>
            <w:r w:rsidRPr="003F3781">
              <w:rPr>
                <w:rFonts w:ascii="Arial" w:eastAsia="Times New Roman" w:hAnsi="Arial" w:cs="Arial"/>
                <w:color w:val="000000"/>
                <w:sz w:val="20"/>
                <w:szCs w:val="20"/>
              </w:rPr>
              <w:t>SynComs</w:t>
            </w:r>
            <w:proofErr w:type="spellEnd"/>
            <w:r w:rsidRPr="003F3781">
              <w:rPr>
                <w:rFonts w:ascii="Arial" w:eastAsia="Times New Roman" w:hAnsi="Arial" w:cs="Arial"/>
                <w:color w:val="000000"/>
                <w:sz w:val="20"/>
                <w:szCs w:val="20"/>
              </w:rPr>
              <w:t xml:space="preserve"> (44, 11, 3 isolates)</w:t>
            </w:r>
          </w:p>
        </w:tc>
        <w:tc>
          <w:tcPr>
            <w:tcW w:w="467" w:type="pct"/>
            <w:textDirection w:val="btLr"/>
            <w:hideMark/>
          </w:tcPr>
          <w:p w14:paraId="06219DE2"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4-strain Bacillus consortium</w:t>
            </w:r>
          </w:p>
        </w:tc>
        <w:tc>
          <w:tcPr>
            <w:tcW w:w="533" w:type="pct"/>
            <w:textDirection w:val="btLr"/>
            <w:hideMark/>
          </w:tcPr>
          <w:p w14:paraId="52B29076"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 xml:space="preserve">7 </w:t>
            </w:r>
            <w:proofErr w:type="spellStart"/>
            <w:r w:rsidRPr="003F3781">
              <w:rPr>
                <w:rFonts w:ascii="Arial" w:eastAsia="Times New Roman" w:hAnsi="Arial" w:cs="Arial"/>
                <w:color w:val="000000"/>
                <w:sz w:val="20"/>
                <w:szCs w:val="20"/>
              </w:rPr>
              <w:t>SynComs</w:t>
            </w:r>
            <w:proofErr w:type="spellEnd"/>
            <w:r w:rsidRPr="003F3781">
              <w:rPr>
                <w:rFonts w:ascii="Arial" w:eastAsia="Times New Roman" w:hAnsi="Arial" w:cs="Arial"/>
                <w:color w:val="000000"/>
                <w:sz w:val="20"/>
                <w:szCs w:val="20"/>
              </w:rPr>
              <w:t xml:space="preserve"> from 14 rhizosphere strains</w:t>
            </w:r>
          </w:p>
        </w:tc>
        <w:tc>
          <w:tcPr>
            <w:tcW w:w="600" w:type="pct"/>
            <w:textDirection w:val="btLr"/>
            <w:hideMark/>
          </w:tcPr>
          <w:p w14:paraId="275CE2E6"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 xml:space="preserve">Top-down leaf-derived </w:t>
            </w:r>
            <w:proofErr w:type="spellStart"/>
            <w:r w:rsidRPr="003F3781">
              <w:rPr>
                <w:rFonts w:ascii="Arial" w:eastAsia="Times New Roman" w:hAnsi="Arial" w:cs="Arial"/>
                <w:color w:val="000000"/>
                <w:sz w:val="20"/>
                <w:szCs w:val="20"/>
              </w:rPr>
              <w:t>SynCom</w:t>
            </w:r>
            <w:proofErr w:type="spellEnd"/>
            <w:r w:rsidRPr="003F3781">
              <w:rPr>
                <w:rFonts w:ascii="Arial" w:eastAsia="Times New Roman" w:hAnsi="Arial" w:cs="Arial"/>
                <w:color w:val="000000"/>
                <w:sz w:val="20"/>
                <w:szCs w:val="20"/>
              </w:rPr>
              <w:t xml:space="preserve"> (&gt;200 native isolates screened)</w:t>
            </w:r>
          </w:p>
        </w:tc>
      </w:tr>
      <w:tr w:rsidR="0011506D" w:rsidRPr="003F3781" w14:paraId="631437D0" w14:textId="77777777" w:rsidTr="00AF1FA1">
        <w:trPr>
          <w:trHeight w:val="1861"/>
        </w:trPr>
        <w:tc>
          <w:tcPr>
            <w:tcW w:w="529" w:type="pct"/>
            <w:textDirection w:val="btLr"/>
            <w:hideMark/>
          </w:tcPr>
          <w:p w14:paraId="172B951F" w14:textId="77777777" w:rsidR="0011506D" w:rsidRPr="003F3781" w:rsidRDefault="0011506D" w:rsidP="0011506D">
            <w:pPr>
              <w:jc w:val="center"/>
              <w:rPr>
                <w:rFonts w:ascii="Arial" w:eastAsia="Times New Roman" w:hAnsi="Arial" w:cs="Arial"/>
                <w:b/>
                <w:bCs/>
                <w:color w:val="000000"/>
                <w:sz w:val="20"/>
                <w:szCs w:val="20"/>
              </w:rPr>
            </w:pPr>
            <w:r w:rsidRPr="003F3781">
              <w:rPr>
                <w:rFonts w:ascii="Arial" w:eastAsia="Times New Roman" w:hAnsi="Arial" w:cs="Arial"/>
                <w:b/>
                <w:bCs/>
                <w:color w:val="000000"/>
                <w:sz w:val="20"/>
                <w:szCs w:val="20"/>
              </w:rPr>
              <w:t>Pathogen</w:t>
            </w:r>
          </w:p>
        </w:tc>
        <w:tc>
          <w:tcPr>
            <w:tcW w:w="669" w:type="pct"/>
            <w:textDirection w:val="btLr"/>
            <w:hideMark/>
          </w:tcPr>
          <w:p w14:paraId="7E047AB5" w14:textId="77777777" w:rsidR="0011506D" w:rsidRPr="003F3781" w:rsidRDefault="0011506D" w:rsidP="0011506D">
            <w:pPr>
              <w:jc w:val="center"/>
              <w:rPr>
                <w:rFonts w:ascii="Arial" w:eastAsia="Times New Roman" w:hAnsi="Arial" w:cs="Arial"/>
                <w:i/>
                <w:iCs/>
                <w:color w:val="000000"/>
                <w:sz w:val="20"/>
                <w:szCs w:val="20"/>
              </w:rPr>
            </w:pPr>
            <w:r w:rsidRPr="003F3781">
              <w:rPr>
                <w:rFonts w:ascii="Arial" w:eastAsia="Times New Roman" w:hAnsi="Arial" w:cs="Arial"/>
                <w:i/>
                <w:iCs/>
                <w:color w:val="000000"/>
                <w:sz w:val="20"/>
                <w:szCs w:val="20"/>
              </w:rPr>
              <w:t xml:space="preserve">Fusarium </w:t>
            </w:r>
            <w:proofErr w:type="spellStart"/>
            <w:r w:rsidRPr="003F3781">
              <w:rPr>
                <w:rFonts w:ascii="Arial" w:eastAsia="Times New Roman" w:hAnsi="Arial" w:cs="Arial"/>
                <w:i/>
                <w:iCs/>
                <w:color w:val="000000"/>
                <w:sz w:val="20"/>
                <w:szCs w:val="20"/>
              </w:rPr>
              <w:t>oxysporum</w:t>
            </w:r>
            <w:proofErr w:type="spellEnd"/>
          </w:p>
        </w:tc>
        <w:tc>
          <w:tcPr>
            <w:tcW w:w="667" w:type="pct"/>
            <w:textDirection w:val="btLr"/>
            <w:hideMark/>
          </w:tcPr>
          <w:p w14:paraId="0CE477A7" w14:textId="77777777" w:rsidR="0011506D" w:rsidRPr="003F3781" w:rsidRDefault="0011506D" w:rsidP="0011506D">
            <w:pPr>
              <w:jc w:val="center"/>
              <w:rPr>
                <w:rFonts w:ascii="Arial" w:eastAsia="Times New Roman" w:hAnsi="Arial" w:cs="Arial"/>
                <w:i/>
                <w:iCs/>
                <w:color w:val="000000"/>
                <w:sz w:val="20"/>
                <w:szCs w:val="20"/>
              </w:rPr>
            </w:pPr>
            <w:proofErr w:type="spellStart"/>
            <w:r w:rsidRPr="003F3781">
              <w:rPr>
                <w:rFonts w:ascii="Arial" w:eastAsia="Times New Roman" w:hAnsi="Arial" w:cs="Arial"/>
                <w:i/>
                <w:iCs/>
                <w:color w:val="000000"/>
                <w:sz w:val="20"/>
                <w:szCs w:val="20"/>
              </w:rPr>
              <w:t>Ralstonia</w:t>
            </w:r>
            <w:proofErr w:type="spellEnd"/>
            <w:r w:rsidRPr="003F3781">
              <w:rPr>
                <w:rFonts w:ascii="Arial" w:eastAsia="Times New Roman" w:hAnsi="Arial" w:cs="Arial"/>
                <w:i/>
                <w:iCs/>
                <w:color w:val="000000"/>
                <w:sz w:val="20"/>
                <w:szCs w:val="20"/>
              </w:rPr>
              <w:t xml:space="preserve"> solanacearum</w:t>
            </w:r>
          </w:p>
        </w:tc>
        <w:tc>
          <w:tcPr>
            <w:tcW w:w="533" w:type="pct"/>
            <w:textDirection w:val="btLr"/>
            <w:hideMark/>
          </w:tcPr>
          <w:p w14:paraId="33CF0BEC"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i/>
                <w:iCs/>
                <w:color w:val="000000"/>
                <w:sz w:val="20"/>
                <w:szCs w:val="20"/>
              </w:rPr>
              <w:t xml:space="preserve">Fusarium </w:t>
            </w:r>
            <w:proofErr w:type="spellStart"/>
            <w:r w:rsidRPr="003F3781">
              <w:rPr>
                <w:rFonts w:ascii="Arial" w:eastAsia="Times New Roman" w:hAnsi="Arial" w:cs="Arial"/>
                <w:i/>
                <w:iCs/>
                <w:color w:val="000000"/>
                <w:sz w:val="20"/>
                <w:szCs w:val="20"/>
              </w:rPr>
              <w:t>oxysporum</w:t>
            </w:r>
            <w:proofErr w:type="spellEnd"/>
            <w:r w:rsidRPr="003F3781">
              <w:rPr>
                <w:rFonts w:ascii="Arial" w:eastAsia="Times New Roman" w:hAnsi="Arial" w:cs="Arial"/>
                <w:color w:val="000000"/>
                <w:sz w:val="20"/>
                <w:szCs w:val="20"/>
              </w:rPr>
              <w:t xml:space="preserve"> f. sp. </w:t>
            </w:r>
            <w:proofErr w:type="spellStart"/>
            <w:r w:rsidRPr="003F3781">
              <w:rPr>
                <w:rFonts w:ascii="Arial" w:eastAsia="Times New Roman" w:hAnsi="Arial" w:cs="Arial"/>
                <w:color w:val="000000"/>
                <w:sz w:val="20"/>
                <w:szCs w:val="20"/>
              </w:rPr>
              <w:t>l</w:t>
            </w:r>
            <w:r w:rsidRPr="003F3781">
              <w:rPr>
                <w:rFonts w:ascii="Arial" w:eastAsia="Times New Roman" w:hAnsi="Arial" w:cs="Arial"/>
                <w:i/>
                <w:iCs/>
                <w:color w:val="000000"/>
                <w:sz w:val="20"/>
                <w:szCs w:val="20"/>
              </w:rPr>
              <w:t>ycopersici</w:t>
            </w:r>
            <w:proofErr w:type="spellEnd"/>
          </w:p>
        </w:tc>
        <w:tc>
          <w:tcPr>
            <w:tcW w:w="534" w:type="pct"/>
            <w:textDirection w:val="btLr"/>
            <w:hideMark/>
          </w:tcPr>
          <w:p w14:paraId="290936CD"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i/>
                <w:iCs/>
                <w:color w:val="000000"/>
                <w:sz w:val="20"/>
                <w:szCs w:val="20"/>
              </w:rPr>
              <w:t xml:space="preserve">Fusarium </w:t>
            </w:r>
            <w:proofErr w:type="spellStart"/>
            <w:r w:rsidRPr="003F3781">
              <w:rPr>
                <w:rFonts w:ascii="Arial" w:eastAsia="Times New Roman" w:hAnsi="Arial" w:cs="Arial"/>
                <w:i/>
                <w:iCs/>
                <w:color w:val="000000"/>
                <w:sz w:val="20"/>
                <w:szCs w:val="20"/>
              </w:rPr>
              <w:t>oxysporum</w:t>
            </w:r>
            <w:proofErr w:type="spellEnd"/>
            <w:r w:rsidRPr="003F3781">
              <w:rPr>
                <w:rFonts w:ascii="Arial" w:eastAsia="Times New Roman" w:hAnsi="Arial" w:cs="Arial"/>
                <w:color w:val="000000"/>
                <w:sz w:val="20"/>
                <w:szCs w:val="20"/>
              </w:rPr>
              <w:t xml:space="preserve"> (root) / </w:t>
            </w:r>
            <w:r w:rsidRPr="003F3781">
              <w:rPr>
                <w:rFonts w:ascii="Arial" w:eastAsia="Times New Roman" w:hAnsi="Arial" w:cs="Arial"/>
                <w:i/>
                <w:iCs/>
                <w:color w:val="000000"/>
                <w:sz w:val="20"/>
                <w:szCs w:val="20"/>
              </w:rPr>
              <w:t>Botrytis cinerea</w:t>
            </w:r>
            <w:r w:rsidRPr="003F3781">
              <w:rPr>
                <w:rFonts w:ascii="Arial" w:eastAsia="Times New Roman" w:hAnsi="Arial" w:cs="Arial"/>
                <w:color w:val="000000"/>
                <w:sz w:val="20"/>
                <w:szCs w:val="20"/>
              </w:rPr>
              <w:t xml:space="preserve"> (leaf)</w:t>
            </w:r>
          </w:p>
        </w:tc>
        <w:tc>
          <w:tcPr>
            <w:tcW w:w="468" w:type="pct"/>
            <w:textDirection w:val="btLr"/>
            <w:hideMark/>
          </w:tcPr>
          <w:p w14:paraId="618816AF" w14:textId="77777777" w:rsidR="0011506D" w:rsidRPr="003F3781" w:rsidRDefault="0011506D" w:rsidP="0011506D">
            <w:pPr>
              <w:jc w:val="center"/>
              <w:rPr>
                <w:rFonts w:ascii="Arial" w:eastAsia="Times New Roman" w:hAnsi="Arial" w:cs="Arial"/>
                <w:i/>
                <w:iCs/>
                <w:color w:val="000000"/>
                <w:sz w:val="20"/>
                <w:szCs w:val="20"/>
              </w:rPr>
            </w:pPr>
            <w:r w:rsidRPr="003F3781">
              <w:rPr>
                <w:rFonts w:ascii="Arial" w:eastAsia="Times New Roman" w:hAnsi="Arial" w:cs="Arial"/>
                <w:i/>
                <w:iCs/>
                <w:color w:val="000000"/>
                <w:sz w:val="20"/>
                <w:szCs w:val="20"/>
              </w:rPr>
              <w:t xml:space="preserve">Fusarium </w:t>
            </w:r>
            <w:proofErr w:type="spellStart"/>
            <w:r w:rsidRPr="003F3781">
              <w:rPr>
                <w:rFonts w:ascii="Arial" w:eastAsia="Times New Roman" w:hAnsi="Arial" w:cs="Arial"/>
                <w:i/>
                <w:iCs/>
                <w:color w:val="000000"/>
                <w:sz w:val="20"/>
                <w:szCs w:val="20"/>
              </w:rPr>
              <w:t>oxysporum</w:t>
            </w:r>
            <w:proofErr w:type="spellEnd"/>
          </w:p>
        </w:tc>
        <w:tc>
          <w:tcPr>
            <w:tcW w:w="467" w:type="pct"/>
            <w:textDirection w:val="btLr"/>
            <w:hideMark/>
          </w:tcPr>
          <w:p w14:paraId="3CDB2AF7"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i/>
                <w:iCs/>
                <w:color w:val="000000"/>
                <w:sz w:val="20"/>
                <w:szCs w:val="20"/>
              </w:rPr>
              <w:t xml:space="preserve">Verticillium </w:t>
            </w:r>
            <w:r w:rsidRPr="003F3781">
              <w:rPr>
                <w:rFonts w:ascii="Arial" w:eastAsia="Times New Roman" w:hAnsi="Arial" w:cs="Arial"/>
                <w:color w:val="000000"/>
                <w:sz w:val="20"/>
                <w:szCs w:val="20"/>
              </w:rPr>
              <w:t>spp.</w:t>
            </w:r>
          </w:p>
        </w:tc>
        <w:tc>
          <w:tcPr>
            <w:tcW w:w="533" w:type="pct"/>
            <w:textDirection w:val="btLr"/>
            <w:hideMark/>
          </w:tcPr>
          <w:p w14:paraId="3F0C1514"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i/>
                <w:iCs/>
                <w:color w:val="000000"/>
                <w:sz w:val="20"/>
                <w:szCs w:val="20"/>
              </w:rPr>
              <w:t>Rhizoctonia</w:t>
            </w:r>
            <w:r w:rsidRPr="003F3781">
              <w:rPr>
                <w:rFonts w:ascii="Arial" w:eastAsia="Times New Roman" w:hAnsi="Arial" w:cs="Arial"/>
                <w:color w:val="000000"/>
                <w:sz w:val="20"/>
                <w:szCs w:val="20"/>
              </w:rPr>
              <w:t xml:space="preserve"> </w:t>
            </w:r>
            <w:proofErr w:type="spellStart"/>
            <w:r w:rsidRPr="003F3781">
              <w:rPr>
                <w:rFonts w:ascii="Arial" w:eastAsia="Times New Roman" w:hAnsi="Arial" w:cs="Arial"/>
                <w:color w:val="000000"/>
                <w:sz w:val="20"/>
                <w:szCs w:val="20"/>
              </w:rPr>
              <w:t>solani</w:t>
            </w:r>
            <w:proofErr w:type="spellEnd"/>
          </w:p>
        </w:tc>
        <w:tc>
          <w:tcPr>
            <w:tcW w:w="600" w:type="pct"/>
            <w:textDirection w:val="btLr"/>
            <w:hideMark/>
          </w:tcPr>
          <w:p w14:paraId="4D9187D1" w14:textId="77777777" w:rsidR="0011506D" w:rsidRPr="003F3781" w:rsidRDefault="0011506D" w:rsidP="0011506D">
            <w:pPr>
              <w:jc w:val="center"/>
              <w:rPr>
                <w:rFonts w:ascii="Arial" w:eastAsia="Times New Roman" w:hAnsi="Arial" w:cs="Arial"/>
                <w:i/>
                <w:iCs/>
                <w:color w:val="000000"/>
                <w:sz w:val="20"/>
                <w:szCs w:val="20"/>
              </w:rPr>
            </w:pPr>
            <w:r w:rsidRPr="003F3781">
              <w:rPr>
                <w:rFonts w:ascii="Arial" w:eastAsia="Times New Roman" w:hAnsi="Arial" w:cs="Arial"/>
                <w:i/>
                <w:iCs/>
                <w:color w:val="000000"/>
                <w:sz w:val="20"/>
                <w:szCs w:val="20"/>
              </w:rPr>
              <w:t xml:space="preserve">Pseudomonas </w:t>
            </w:r>
            <w:proofErr w:type="spellStart"/>
            <w:r w:rsidRPr="003F3781">
              <w:rPr>
                <w:rFonts w:ascii="Arial" w:eastAsia="Times New Roman" w:hAnsi="Arial" w:cs="Arial"/>
                <w:i/>
                <w:iCs/>
                <w:color w:val="000000"/>
                <w:sz w:val="20"/>
                <w:szCs w:val="20"/>
              </w:rPr>
              <w:t>syringae</w:t>
            </w:r>
            <w:proofErr w:type="spellEnd"/>
          </w:p>
        </w:tc>
      </w:tr>
      <w:tr w:rsidR="0011506D" w:rsidRPr="003F3781" w14:paraId="229B7552" w14:textId="77777777" w:rsidTr="00AF1FA1">
        <w:trPr>
          <w:trHeight w:val="1598"/>
        </w:trPr>
        <w:tc>
          <w:tcPr>
            <w:tcW w:w="529" w:type="pct"/>
            <w:textDirection w:val="btLr"/>
            <w:hideMark/>
          </w:tcPr>
          <w:p w14:paraId="19AE0D11" w14:textId="77777777" w:rsidR="0011506D" w:rsidRPr="003F3781" w:rsidRDefault="0011506D" w:rsidP="0011506D">
            <w:pPr>
              <w:jc w:val="center"/>
              <w:rPr>
                <w:rFonts w:ascii="Arial" w:eastAsia="Times New Roman" w:hAnsi="Arial" w:cs="Arial"/>
                <w:b/>
                <w:bCs/>
                <w:color w:val="000000"/>
                <w:sz w:val="20"/>
                <w:szCs w:val="20"/>
              </w:rPr>
            </w:pPr>
            <w:r w:rsidRPr="003F3781">
              <w:rPr>
                <w:rFonts w:ascii="Arial" w:eastAsia="Times New Roman" w:hAnsi="Arial" w:cs="Arial"/>
                <w:b/>
                <w:bCs/>
                <w:color w:val="000000"/>
                <w:sz w:val="20"/>
                <w:szCs w:val="20"/>
              </w:rPr>
              <w:lastRenderedPageBreak/>
              <w:t>Crop</w:t>
            </w:r>
          </w:p>
        </w:tc>
        <w:tc>
          <w:tcPr>
            <w:tcW w:w="669" w:type="pct"/>
            <w:textDirection w:val="btLr"/>
            <w:hideMark/>
          </w:tcPr>
          <w:p w14:paraId="45380B3C" w14:textId="77777777" w:rsidR="006D6626"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 xml:space="preserve">Cucumber </w:t>
            </w:r>
          </w:p>
          <w:p w14:paraId="1213D045"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w:t>
            </w:r>
            <w:r w:rsidRPr="003F3781">
              <w:rPr>
                <w:rFonts w:ascii="Arial" w:eastAsia="Times New Roman" w:hAnsi="Arial" w:cs="Arial"/>
                <w:i/>
                <w:iCs/>
                <w:color w:val="000000"/>
                <w:sz w:val="20"/>
                <w:szCs w:val="20"/>
              </w:rPr>
              <w:t>Cucumis sativus</w:t>
            </w:r>
            <w:r w:rsidRPr="003F3781">
              <w:rPr>
                <w:rFonts w:ascii="Arial" w:eastAsia="Times New Roman" w:hAnsi="Arial" w:cs="Arial"/>
                <w:color w:val="000000"/>
                <w:sz w:val="20"/>
                <w:szCs w:val="20"/>
              </w:rPr>
              <w:t>)</w:t>
            </w:r>
          </w:p>
        </w:tc>
        <w:tc>
          <w:tcPr>
            <w:tcW w:w="667" w:type="pct"/>
            <w:textDirection w:val="btLr"/>
            <w:hideMark/>
          </w:tcPr>
          <w:p w14:paraId="1D29A7E2"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Tomato (</w:t>
            </w:r>
            <w:r w:rsidRPr="003F3781">
              <w:rPr>
                <w:rFonts w:ascii="Arial" w:eastAsia="Times New Roman" w:hAnsi="Arial" w:cs="Arial"/>
                <w:i/>
                <w:iCs/>
                <w:color w:val="000000"/>
                <w:sz w:val="20"/>
                <w:szCs w:val="20"/>
              </w:rPr>
              <w:t xml:space="preserve">Solanum </w:t>
            </w:r>
            <w:proofErr w:type="spellStart"/>
            <w:r w:rsidRPr="003F3781">
              <w:rPr>
                <w:rFonts w:ascii="Arial" w:eastAsia="Times New Roman" w:hAnsi="Arial" w:cs="Arial"/>
                <w:i/>
                <w:iCs/>
                <w:color w:val="000000"/>
                <w:sz w:val="20"/>
                <w:szCs w:val="20"/>
              </w:rPr>
              <w:t>lycopersicum</w:t>
            </w:r>
            <w:proofErr w:type="spellEnd"/>
            <w:r w:rsidRPr="003F3781">
              <w:rPr>
                <w:rFonts w:ascii="Arial" w:eastAsia="Times New Roman" w:hAnsi="Arial" w:cs="Arial"/>
                <w:color w:val="000000"/>
                <w:sz w:val="20"/>
                <w:szCs w:val="20"/>
              </w:rPr>
              <w:t>)</w:t>
            </w:r>
          </w:p>
        </w:tc>
        <w:tc>
          <w:tcPr>
            <w:tcW w:w="533" w:type="pct"/>
            <w:textDirection w:val="btLr"/>
            <w:hideMark/>
          </w:tcPr>
          <w:p w14:paraId="621A4125"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Tomato</w:t>
            </w:r>
            <w:r w:rsidR="006D6626" w:rsidRPr="003F3781">
              <w:rPr>
                <w:rFonts w:ascii="Arial" w:eastAsia="Times New Roman" w:hAnsi="Arial" w:cs="Arial"/>
                <w:color w:val="000000"/>
                <w:sz w:val="20"/>
                <w:szCs w:val="20"/>
              </w:rPr>
              <w:t xml:space="preserve"> (</w:t>
            </w:r>
            <w:r w:rsidR="006D6626" w:rsidRPr="003F3781">
              <w:rPr>
                <w:rFonts w:ascii="Arial" w:eastAsia="Times New Roman" w:hAnsi="Arial" w:cs="Arial"/>
                <w:i/>
                <w:iCs/>
                <w:color w:val="000000"/>
                <w:sz w:val="20"/>
                <w:szCs w:val="20"/>
              </w:rPr>
              <w:t xml:space="preserve">Solanum </w:t>
            </w:r>
            <w:proofErr w:type="spellStart"/>
            <w:r w:rsidR="006D6626" w:rsidRPr="003F3781">
              <w:rPr>
                <w:rFonts w:ascii="Arial" w:eastAsia="Times New Roman" w:hAnsi="Arial" w:cs="Arial"/>
                <w:i/>
                <w:iCs/>
                <w:color w:val="000000"/>
                <w:sz w:val="20"/>
                <w:szCs w:val="20"/>
              </w:rPr>
              <w:t>lycopersicum</w:t>
            </w:r>
            <w:proofErr w:type="spellEnd"/>
            <w:r w:rsidR="006D6626" w:rsidRPr="003F3781">
              <w:rPr>
                <w:rFonts w:ascii="Arial" w:eastAsia="Times New Roman" w:hAnsi="Arial" w:cs="Arial"/>
                <w:color w:val="000000"/>
                <w:sz w:val="20"/>
                <w:szCs w:val="20"/>
              </w:rPr>
              <w:t>)</w:t>
            </w:r>
          </w:p>
        </w:tc>
        <w:tc>
          <w:tcPr>
            <w:tcW w:w="534" w:type="pct"/>
            <w:textDirection w:val="btLr"/>
            <w:hideMark/>
          </w:tcPr>
          <w:p w14:paraId="2442238D"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Tomato</w:t>
            </w:r>
            <w:r w:rsidR="006D6626" w:rsidRPr="003F3781">
              <w:rPr>
                <w:rFonts w:ascii="Arial" w:eastAsia="Times New Roman" w:hAnsi="Arial" w:cs="Arial"/>
                <w:color w:val="000000"/>
                <w:sz w:val="20"/>
                <w:szCs w:val="20"/>
              </w:rPr>
              <w:t xml:space="preserve"> (</w:t>
            </w:r>
            <w:r w:rsidR="006D6626" w:rsidRPr="003F3781">
              <w:rPr>
                <w:rFonts w:ascii="Arial" w:eastAsia="Times New Roman" w:hAnsi="Arial" w:cs="Arial"/>
                <w:i/>
                <w:iCs/>
                <w:color w:val="000000"/>
                <w:sz w:val="20"/>
                <w:szCs w:val="20"/>
              </w:rPr>
              <w:t xml:space="preserve">Solanum </w:t>
            </w:r>
            <w:proofErr w:type="spellStart"/>
            <w:r w:rsidR="006D6626" w:rsidRPr="003F3781">
              <w:rPr>
                <w:rFonts w:ascii="Arial" w:eastAsia="Times New Roman" w:hAnsi="Arial" w:cs="Arial"/>
                <w:i/>
                <w:iCs/>
                <w:color w:val="000000"/>
                <w:sz w:val="20"/>
                <w:szCs w:val="20"/>
              </w:rPr>
              <w:t>lycopersicum</w:t>
            </w:r>
            <w:proofErr w:type="spellEnd"/>
            <w:r w:rsidR="006D6626" w:rsidRPr="003F3781">
              <w:rPr>
                <w:rFonts w:ascii="Arial" w:eastAsia="Times New Roman" w:hAnsi="Arial" w:cs="Arial"/>
                <w:color w:val="000000"/>
                <w:sz w:val="20"/>
                <w:szCs w:val="20"/>
              </w:rPr>
              <w:t>)</w:t>
            </w:r>
          </w:p>
        </w:tc>
        <w:tc>
          <w:tcPr>
            <w:tcW w:w="468" w:type="pct"/>
            <w:textDirection w:val="btLr"/>
            <w:hideMark/>
          </w:tcPr>
          <w:p w14:paraId="185A9C69" w14:textId="77777777" w:rsidR="006D6626"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 xml:space="preserve">Banana </w:t>
            </w:r>
          </w:p>
          <w:p w14:paraId="672F26DC"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w:t>
            </w:r>
            <w:r w:rsidRPr="003F3781">
              <w:rPr>
                <w:rFonts w:ascii="Arial" w:eastAsia="Times New Roman" w:hAnsi="Arial" w:cs="Arial"/>
                <w:i/>
                <w:iCs/>
                <w:color w:val="000000"/>
                <w:sz w:val="20"/>
                <w:szCs w:val="20"/>
              </w:rPr>
              <w:t>Musa paradisiaca</w:t>
            </w:r>
            <w:r w:rsidRPr="003F3781">
              <w:rPr>
                <w:rFonts w:ascii="Arial" w:eastAsia="Times New Roman" w:hAnsi="Arial" w:cs="Arial"/>
                <w:color w:val="000000"/>
                <w:sz w:val="20"/>
                <w:szCs w:val="20"/>
              </w:rPr>
              <w:t>)</w:t>
            </w:r>
          </w:p>
        </w:tc>
        <w:tc>
          <w:tcPr>
            <w:tcW w:w="467" w:type="pct"/>
            <w:textDirection w:val="btLr"/>
            <w:hideMark/>
          </w:tcPr>
          <w:p w14:paraId="16F2A10A" w14:textId="77777777" w:rsidR="006D6626"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 xml:space="preserve">Cotton </w:t>
            </w:r>
          </w:p>
          <w:p w14:paraId="7518AB4F"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w:t>
            </w:r>
            <w:r w:rsidRPr="003F3781">
              <w:rPr>
                <w:rFonts w:ascii="Arial" w:eastAsia="Times New Roman" w:hAnsi="Arial" w:cs="Arial"/>
                <w:i/>
                <w:iCs/>
                <w:color w:val="000000"/>
                <w:sz w:val="20"/>
                <w:szCs w:val="20"/>
              </w:rPr>
              <w:t xml:space="preserve">Gossypium </w:t>
            </w:r>
            <w:r w:rsidRPr="003F3781">
              <w:rPr>
                <w:rFonts w:ascii="Arial" w:eastAsia="Times New Roman" w:hAnsi="Arial" w:cs="Arial"/>
                <w:color w:val="000000"/>
                <w:sz w:val="20"/>
                <w:szCs w:val="20"/>
              </w:rPr>
              <w:t>spp.)</w:t>
            </w:r>
          </w:p>
        </w:tc>
        <w:tc>
          <w:tcPr>
            <w:tcW w:w="533" w:type="pct"/>
            <w:textDirection w:val="btLr"/>
            <w:hideMark/>
          </w:tcPr>
          <w:p w14:paraId="4E70FC1F" w14:textId="77777777" w:rsidR="006D6626"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 xml:space="preserve">Wheat </w:t>
            </w:r>
          </w:p>
          <w:p w14:paraId="5F850601"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w:t>
            </w:r>
            <w:r w:rsidRPr="003F3781">
              <w:rPr>
                <w:rFonts w:ascii="Arial" w:eastAsia="Times New Roman" w:hAnsi="Arial" w:cs="Arial"/>
                <w:i/>
                <w:iCs/>
                <w:color w:val="000000"/>
                <w:sz w:val="20"/>
                <w:szCs w:val="20"/>
              </w:rPr>
              <w:t>Triticum aestivum</w:t>
            </w:r>
            <w:r w:rsidRPr="003F3781">
              <w:rPr>
                <w:rFonts w:ascii="Arial" w:eastAsia="Times New Roman" w:hAnsi="Arial" w:cs="Arial"/>
                <w:color w:val="000000"/>
                <w:sz w:val="20"/>
                <w:szCs w:val="20"/>
              </w:rPr>
              <w:t>)</w:t>
            </w:r>
          </w:p>
        </w:tc>
        <w:tc>
          <w:tcPr>
            <w:tcW w:w="600" w:type="pct"/>
            <w:textDirection w:val="btLr"/>
            <w:hideMark/>
          </w:tcPr>
          <w:p w14:paraId="0D443EEA" w14:textId="77777777" w:rsidR="006D6626"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i/>
                <w:iCs/>
                <w:color w:val="000000"/>
                <w:sz w:val="20"/>
                <w:szCs w:val="20"/>
              </w:rPr>
              <w:t xml:space="preserve">Arabidopsis thaliana </w:t>
            </w:r>
          </w:p>
          <w:p w14:paraId="0E2E55BA" w14:textId="77777777" w:rsidR="0011506D" w:rsidRPr="003F3781" w:rsidRDefault="0011506D" w:rsidP="0011506D">
            <w:pPr>
              <w:jc w:val="center"/>
              <w:rPr>
                <w:rFonts w:ascii="Arial" w:eastAsia="Times New Roman" w:hAnsi="Arial" w:cs="Arial"/>
                <w:color w:val="000000"/>
                <w:sz w:val="20"/>
                <w:szCs w:val="20"/>
              </w:rPr>
            </w:pPr>
            <w:r w:rsidRPr="003F3781">
              <w:rPr>
                <w:rFonts w:ascii="Arial" w:eastAsia="Times New Roman" w:hAnsi="Arial" w:cs="Arial"/>
                <w:color w:val="000000"/>
                <w:sz w:val="20"/>
                <w:szCs w:val="20"/>
              </w:rPr>
              <w:t>(leaf)</w:t>
            </w:r>
          </w:p>
        </w:tc>
      </w:tr>
    </w:tbl>
    <w:p w14:paraId="40F09FD5" w14:textId="77777777" w:rsidR="00500FF1" w:rsidRPr="003F3781" w:rsidRDefault="00500FF1" w:rsidP="00D53715">
      <w:pPr>
        <w:spacing w:after="200" w:line="276" w:lineRule="auto"/>
        <w:jc w:val="both"/>
        <w:rPr>
          <w:rFonts w:ascii="Arial" w:hAnsi="Arial" w:cs="Arial"/>
          <w:sz w:val="24"/>
          <w:szCs w:val="24"/>
        </w:rPr>
      </w:pPr>
    </w:p>
    <w:p w14:paraId="6A308E6F" w14:textId="77777777" w:rsidR="00D53715" w:rsidRPr="003F3781" w:rsidRDefault="00D53715" w:rsidP="00D53715">
      <w:pPr>
        <w:spacing w:after="200" w:line="276" w:lineRule="auto"/>
        <w:jc w:val="both"/>
        <w:rPr>
          <w:rFonts w:ascii="Arial" w:hAnsi="Arial" w:cs="Arial"/>
          <w:sz w:val="24"/>
          <w:szCs w:val="24"/>
        </w:rPr>
      </w:pPr>
      <w:r w:rsidRPr="003F3781">
        <w:rPr>
          <w:rFonts w:ascii="Arial" w:hAnsi="Arial" w:cs="Arial"/>
          <w:sz w:val="24"/>
          <w:szCs w:val="24"/>
        </w:rPr>
        <w:t>Consistent with the earlier emphasis on distinguishing evidence levels, Table 4 explicitly separates laboratory/</w:t>
      </w:r>
      <w:r w:rsidRPr="003F3781">
        <w:rPr>
          <w:rFonts w:ascii="Arial" w:hAnsi="Arial" w:cs="Arial"/>
          <w:i/>
          <w:iCs/>
          <w:sz w:val="24"/>
          <w:szCs w:val="24"/>
        </w:rPr>
        <w:t>in vitro</w:t>
      </w:r>
      <w:r w:rsidRPr="003F3781">
        <w:rPr>
          <w:rFonts w:ascii="Arial" w:hAnsi="Arial" w:cs="Arial"/>
          <w:sz w:val="24"/>
          <w:szCs w:val="24"/>
        </w:rPr>
        <w:t>, greenhouse/controlled-environment and field-validated evidence for each example; the general pattern across the table is that mechanistic and greenhouse-scale evidence for microbiome-mediated disease suppression is now extensive and increasingly rigorous, whereas multi-season, multi-site field validation remains the exception rather than the rule. This pattern directly motivates the challenges discussed in Section 13 and the precision-management agenda discussed in Section 14.</w:t>
      </w:r>
    </w:p>
    <w:p w14:paraId="63D53348" w14:textId="77777777" w:rsidR="009B6F65" w:rsidRPr="003F3781" w:rsidRDefault="00F13D81" w:rsidP="00F13D81">
      <w:pPr>
        <w:spacing w:after="200" w:line="276" w:lineRule="auto"/>
        <w:rPr>
          <w:rFonts w:ascii="Arial" w:hAnsi="Arial" w:cs="Arial"/>
          <w:b/>
          <w:bCs/>
          <w:sz w:val="24"/>
          <w:szCs w:val="24"/>
        </w:rPr>
      </w:pPr>
      <w:proofErr w:type="gramStart"/>
      <w:r w:rsidRPr="003F3781">
        <w:rPr>
          <w:rFonts w:ascii="Arial" w:hAnsi="Arial" w:cs="Arial"/>
          <w:b/>
          <w:bCs/>
          <w:sz w:val="24"/>
          <w:szCs w:val="24"/>
        </w:rPr>
        <w:t>12 .</w:t>
      </w:r>
      <w:proofErr w:type="gramEnd"/>
      <w:r w:rsidRPr="003F3781">
        <w:rPr>
          <w:rFonts w:ascii="Arial" w:hAnsi="Arial" w:cs="Arial"/>
          <w:b/>
          <w:bCs/>
          <w:sz w:val="24"/>
          <w:szCs w:val="24"/>
        </w:rPr>
        <w:t xml:space="preserve"> FROM BIOCONTROL AGENTS TO MICROBIAL COMMUNITIES: A CRITICAL COMPARISON</w:t>
      </w:r>
    </w:p>
    <w:p w14:paraId="051D2DC6" w14:textId="77777777" w:rsidR="00964AD5" w:rsidRPr="003F3781" w:rsidRDefault="00964AD5" w:rsidP="00964AD5">
      <w:pPr>
        <w:spacing w:after="200" w:line="276" w:lineRule="auto"/>
        <w:jc w:val="both"/>
        <w:rPr>
          <w:rFonts w:ascii="Arial" w:hAnsi="Arial" w:cs="Arial"/>
          <w:sz w:val="24"/>
          <w:szCs w:val="24"/>
        </w:rPr>
      </w:pPr>
      <w:r w:rsidRPr="003F3781">
        <w:rPr>
          <w:rFonts w:ascii="Arial" w:hAnsi="Arial" w:cs="Arial"/>
          <w:sz w:val="24"/>
          <w:szCs w:val="24"/>
        </w:rPr>
        <w:tab/>
        <w:t>Traditional biocontrol operates on a simple causal chain: a single microbial strain is selected for antagonism against a specific target pathogen, formulated and applied, with efficacy attributed directly to that strain's known mechanism of action. Microbiome-based biocontrol substitutes a more complex, and in principle more robust, causal chain: a microbial community is assembled or promoted; ecological interactions within that community (functional redundancy, cross-feeding, niche occupation) generate emergent suppressive capacity; and pathogen suppression, together with broader plant resilience, follows from the community's collective, rather than any single member's, activity.</w:t>
      </w:r>
    </w:p>
    <w:p w14:paraId="4B71A586" w14:textId="77777777" w:rsidR="00964AD5" w:rsidRPr="003F3781" w:rsidRDefault="00964AD5" w:rsidP="00964AD5">
      <w:pPr>
        <w:spacing w:after="200" w:line="276" w:lineRule="auto"/>
        <w:jc w:val="both"/>
        <w:rPr>
          <w:rFonts w:ascii="Arial" w:hAnsi="Arial" w:cs="Arial"/>
          <w:sz w:val="24"/>
          <w:szCs w:val="24"/>
        </w:rPr>
      </w:pPr>
      <w:r w:rsidRPr="003F3781">
        <w:rPr>
          <w:rFonts w:ascii="Arial" w:hAnsi="Arial" w:cs="Arial"/>
          <w:sz w:val="24"/>
          <w:szCs w:val="24"/>
        </w:rPr>
        <w:t xml:space="preserve">The claimed advantage of the community-based approach is genuine but conditional rather than absolute. Functional redundancy should, in principle, make community-level suppression more robust to environmental variability than single-strain biocontrol, because the loss or underperformance of any one member can in theory be compensated by others performing an overlapping function; the consistently stronger and more broad-spectrum protection observed for essentially all tested </w:t>
      </w:r>
      <w:proofErr w:type="spellStart"/>
      <w:r w:rsidRPr="003F3781">
        <w:rPr>
          <w:rFonts w:ascii="Arial" w:hAnsi="Arial" w:cs="Arial"/>
          <w:sz w:val="24"/>
          <w:szCs w:val="24"/>
        </w:rPr>
        <w:t>SynCom</w:t>
      </w:r>
      <w:proofErr w:type="spellEnd"/>
      <w:r w:rsidRPr="003F3781">
        <w:rPr>
          <w:rFonts w:ascii="Arial" w:hAnsi="Arial" w:cs="Arial"/>
          <w:sz w:val="24"/>
          <w:szCs w:val="24"/>
        </w:rPr>
        <w:t xml:space="preserve"> formulations relative to single bacterial isolates in the </w:t>
      </w:r>
      <w:proofErr w:type="spellStart"/>
      <w:r w:rsidRPr="003F3781">
        <w:rPr>
          <w:rFonts w:ascii="Arial" w:hAnsi="Arial" w:cs="Arial"/>
          <w:sz w:val="24"/>
          <w:szCs w:val="24"/>
        </w:rPr>
        <w:t>Minchev</w:t>
      </w:r>
      <w:proofErr w:type="spellEnd"/>
      <w:r w:rsidRPr="003F3781">
        <w:rPr>
          <w:rFonts w:ascii="Arial" w:hAnsi="Arial" w:cs="Arial"/>
          <w:sz w:val="24"/>
          <w:szCs w:val="24"/>
        </w:rPr>
        <w:t xml:space="preserve"> </w:t>
      </w:r>
      <w:r w:rsidR="00587082" w:rsidRPr="003F3781">
        <w:rPr>
          <w:rFonts w:ascii="Arial" w:hAnsi="Arial" w:cs="Arial"/>
          <w:i/>
          <w:iCs/>
          <w:sz w:val="24"/>
          <w:szCs w:val="24"/>
        </w:rPr>
        <w:t>et al.</w:t>
      </w:r>
      <w:r w:rsidRPr="003F3781">
        <w:rPr>
          <w:rFonts w:ascii="Arial" w:hAnsi="Arial" w:cs="Arial"/>
          <w:sz w:val="24"/>
          <w:szCs w:val="24"/>
        </w:rPr>
        <w:t xml:space="preserve"> (2021) tomato study is a clear demonstration of this principle operating in practice. However, this advantage is only realised if the assembled community actually establishes and maintains functional redundancy under field conditions</w:t>
      </w:r>
      <w:r w:rsidR="00FA730F" w:rsidRPr="003F3781">
        <w:rPr>
          <w:rFonts w:ascii="Arial" w:hAnsi="Arial" w:cs="Arial"/>
          <w:sz w:val="24"/>
          <w:szCs w:val="24"/>
        </w:rPr>
        <w:t>,</w:t>
      </w:r>
      <w:r w:rsidRPr="003F3781">
        <w:rPr>
          <w:rFonts w:ascii="Arial" w:hAnsi="Arial" w:cs="Arial"/>
          <w:sz w:val="24"/>
          <w:szCs w:val="24"/>
        </w:rPr>
        <w:t xml:space="preserve"> precisely the outcome shown in Section 10 to be unreliable. A poorly designed or poorly persisting </w:t>
      </w:r>
      <w:proofErr w:type="spellStart"/>
      <w:r w:rsidRPr="003F3781">
        <w:rPr>
          <w:rFonts w:ascii="Arial" w:hAnsi="Arial" w:cs="Arial"/>
          <w:sz w:val="24"/>
          <w:szCs w:val="24"/>
        </w:rPr>
        <w:t>SynCom</w:t>
      </w:r>
      <w:proofErr w:type="spellEnd"/>
      <w:r w:rsidRPr="003F3781">
        <w:rPr>
          <w:rFonts w:ascii="Arial" w:hAnsi="Arial" w:cs="Arial"/>
          <w:sz w:val="24"/>
          <w:szCs w:val="24"/>
        </w:rPr>
        <w:t xml:space="preserve"> does not automatically outperform a well-established single strain; it may in fact underperform it, since a community with several competing, non-persisting members can experience worse net colonisation than a single, well-adapted strain occupying the same niche without internal competition.</w:t>
      </w:r>
    </w:p>
    <w:p w14:paraId="61E7E00B" w14:textId="77777777" w:rsidR="00964AD5" w:rsidRPr="003F3781" w:rsidRDefault="00964AD5" w:rsidP="00964AD5">
      <w:pPr>
        <w:spacing w:after="200" w:line="276" w:lineRule="auto"/>
        <w:jc w:val="both"/>
        <w:rPr>
          <w:rFonts w:ascii="Arial" w:hAnsi="Arial" w:cs="Arial"/>
          <w:sz w:val="24"/>
          <w:szCs w:val="24"/>
        </w:rPr>
      </w:pPr>
      <w:r w:rsidRPr="003F3781">
        <w:rPr>
          <w:rFonts w:ascii="Arial" w:hAnsi="Arial" w:cs="Arial"/>
          <w:sz w:val="24"/>
          <w:szCs w:val="24"/>
        </w:rPr>
        <w:t xml:space="preserve">A further, less frequently acknowledged limitation of the community framing is diagnostic and regulatory complexity. Attributing an observed field failure or success to a specific mechanism, or predicting performance in a new field site, is substantially harder for a multi-member community than for a single characterised strain because interactions among members, and between members and the resident community, introduce combinatorial complexity that single-strain biocontrol does not face. Regulatory frameworks built around single-active-ingredient biocontrol products are, </w:t>
      </w:r>
      <w:r w:rsidRPr="003F3781">
        <w:rPr>
          <w:rFonts w:ascii="Arial" w:hAnsi="Arial" w:cs="Arial"/>
          <w:sz w:val="24"/>
          <w:szCs w:val="24"/>
        </w:rPr>
        <w:lastRenderedPageBreak/>
        <w:t>correspondingly, poorly matched to multi-strain or cross-kingdom SynCom products, contributing to the standardisation and commercialisation barriers discussed in Sections 10 and 13.</w:t>
      </w:r>
    </w:p>
    <w:p w14:paraId="178AE216" w14:textId="77777777" w:rsidR="005B6316" w:rsidRPr="003F3781" w:rsidRDefault="00964AD5" w:rsidP="00964AD5">
      <w:pPr>
        <w:spacing w:after="200" w:line="276" w:lineRule="auto"/>
        <w:jc w:val="both"/>
        <w:rPr>
          <w:rFonts w:ascii="Arial" w:hAnsi="Arial" w:cs="Arial"/>
          <w:sz w:val="24"/>
          <w:szCs w:val="24"/>
        </w:rPr>
      </w:pPr>
      <w:r w:rsidRPr="003F3781">
        <w:rPr>
          <w:rFonts w:ascii="Arial" w:hAnsi="Arial" w:cs="Arial"/>
          <w:sz w:val="24"/>
          <w:szCs w:val="24"/>
        </w:rPr>
        <w:t>Our assessment, on the weight of current evidence, is that microbiome-based approaches do offer a genuine mechanistic advantage over single-strain biocontrol in principle, and demonstrate this advantage reliably under controlled conditions, but do not yet reliably overcome the field-performance limitations of single-strain biocontrol in practice, because the same ecological instability that limits single-strain establishment (competition with, and disruption by, the resident community; environmental variability) also limits the establishment of a synthetic community as a whole, and introduces additional failure modes (niche overlap among introduced members, evolutionary drift within the introduced community) that single-strain biocontrol does not face. The transition from single organisms to communities changes the nature of the ecological challenge; it does not, on current evidence, eliminate it</w:t>
      </w:r>
      <w:r w:rsidR="005B6316" w:rsidRPr="003F3781">
        <w:rPr>
          <w:rFonts w:ascii="Arial" w:hAnsi="Arial" w:cs="Arial"/>
          <w:sz w:val="24"/>
          <w:szCs w:val="24"/>
        </w:rPr>
        <w:t>.</w:t>
      </w:r>
    </w:p>
    <w:p w14:paraId="46102289" w14:textId="77777777" w:rsidR="00670522" w:rsidRPr="003F3781" w:rsidRDefault="00F13D81" w:rsidP="00964AD5">
      <w:pPr>
        <w:spacing w:after="200" w:line="276" w:lineRule="auto"/>
        <w:jc w:val="both"/>
        <w:rPr>
          <w:rFonts w:ascii="Arial" w:hAnsi="Arial" w:cs="Arial"/>
          <w:sz w:val="24"/>
          <w:szCs w:val="24"/>
        </w:rPr>
      </w:pPr>
      <w:r w:rsidRPr="003F3781">
        <w:rPr>
          <w:rFonts w:ascii="Arial" w:hAnsi="Arial" w:cs="Arial"/>
          <w:b/>
          <w:bCs/>
          <w:sz w:val="24"/>
          <w:szCs w:val="24"/>
        </w:rPr>
        <w:t>13. CHALLENGES IN MICROBIOME REPROGRAMMING</w:t>
      </w:r>
    </w:p>
    <w:p w14:paraId="7409B29D" w14:textId="77777777" w:rsidR="007634E8" w:rsidRPr="003F3781" w:rsidRDefault="00B64B3F" w:rsidP="007634E8">
      <w:pPr>
        <w:spacing w:after="200" w:line="276" w:lineRule="auto"/>
        <w:jc w:val="both"/>
        <w:rPr>
          <w:rFonts w:ascii="Arial" w:hAnsi="Arial" w:cs="Arial"/>
          <w:sz w:val="24"/>
          <w:szCs w:val="24"/>
        </w:rPr>
      </w:pPr>
      <w:r w:rsidRPr="003F3781">
        <w:rPr>
          <w:rFonts w:ascii="Arial" w:hAnsi="Arial" w:cs="Arial"/>
          <w:sz w:val="24"/>
          <w:szCs w:val="24"/>
        </w:rPr>
        <w:tab/>
      </w:r>
      <w:r w:rsidR="007634E8" w:rsidRPr="003F3781">
        <w:rPr>
          <w:rFonts w:ascii="Arial" w:hAnsi="Arial" w:cs="Arial"/>
          <w:sz w:val="24"/>
          <w:szCs w:val="24"/>
        </w:rPr>
        <w:t xml:space="preserve">A rigorous account of this field requires equal attention to its constraints. Environmental variability and soil heterogeneity mean that a community optimised for one soil type, climate or management regime frequently underperforms in another, and this variability interacts with, rather than simply adding to, host genotype effects, since the same introduced community can behave differently in genetically distinct host backgrounds even under otherwise identical soil and climate conditions (Trivedi </w:t>
      </w:r>
      <w:r w:rsidR="00587082" w:rsidRPr="003F3781">
        <w:rPr>
          <w:rFonts w:ascii="Arial" w:hAnsi="Arial" w:cs="Arial"/>
          <w:i/>
          <w:iCs/>
          <w:sz w:val="24"/>
          <w:szCs w:val="24"/>
        </w:rPr>
        <w:t>et al.</w:t>
      </w:r>
      <w:r w:rsidR="007634E8" w:rsidRPr="003F3781">
        <w:rPr>
          <w:rFonts w:ascii="Arial" w:hAnsi="Arial" w:cs="Arial"/>
          <w:sz w:val="24"/>
          <w:szCs w:val="24"/>
        </w:rPr>
        <w:t xml:space="preserve">, 2022; Shayanthan </w:t>
      </w:r>
      <w:r w:rsidR="00587082" w:rsidRPr="003F3781">
        <w:rPr>
          <w:rFonts w:ascii="Arial" w:hAnsi="Arial" w:cs="Arial"/>
          <w:i/>
          <w:iCs/>
          <w:sz w:val="24"/>
          <w:szCs w:val="24"/>
        </w:rPr>
        <w:t>et al.</w:t>
      </w:r>
      <w:r w:rsidR="007634E8" w:rsidRPr="003F3781">
        <w:rPr>
          <w:rFonts w:ascii="Arial" w:hAnsi="Arial" w:cs="Arial"/>
          <w:sz w:val="24"/>
          <w:szCs w:val="24"/>
        </w:rPr>
        <w:t xml:space="preserve">, 2022). Microbial competition and colonisation failure, discussed at length in Section 10, remain the proximate cause of most documented laboratory-to-field performance losses, compounded by ecological instability arising from evolutionary drift and horizontal gene transfer within introduced populations over a single growing season (Berhanu </w:t>
      </w:r>
      <w:r w:rsidR="00587082" w:rsidRPr="003F3781">
        <w:rPr>
          <w:rFonts w:ascii="Arial" w:hAnsi="Arial" w:cs="Arial"/>
          <w:i/>
          <w:iCs/>
          <w:sz w:val="24"/>
          <w:szCs w:val="24"/>
        </w:rPr>
        <w:t>et al.</w:t>
      </w:r>
      <w:r w:rsidR="007634E8" w:rsidRPr="003F3781">
        <w:rPr>
          <w:rFonts w:ascii="Arial" w:hAnsi="Arial" w:cs="Arial"/>
          <w:sz w:val="24"/>
          <w:szCs w:val="24"/>
        </w:rPr>
        <w:t>, 2021). Context dependency is pervasive rather than exceptional: the same microbial taxon or consortium can be protective, neutral or actively detrimental depending on host genotype, pathogen identity and environmental stress level, as illustrated by the arbuscular-mycorrhiza-increased-susceptibility example in Section 5 and the field-versus-greenhouse network divergence in Section 2.</w:t>
      </w:r>
    </w:p>
    <w:p w14:paraId="331630DD" w14:textId="77777777" w:rsidR="00A74223" w:rsidRPr="003F3781" w:rsidRDefault="00EB2426" w:rsidP="00A74223">
      <w:pPr>
        <w:spacing w:after="200" w:line="276" w:lineRule="auto"/>
        <w:jc w:val="both"/>
        <w:rPr>
          <w:rFonts w:ascii="Arial" w:hAnsi="Arial" w:cs="Arial"/>
          <w:sz w:val="24"/>
          <w:szCs w:val="24"/>
        </w:rPr>
      </w:pPr>
      <w:r w:rsidRPr="003F3781">
        <w:rPr>
          <w:rFonts w:ascii="Arial" w:hAnsi="Arial" w:cs="Arial"/>
          <w:sz w:val="24"/>
          <w:szCs w:val="24"/>
        </w:rPr>
        <w:tab/>
        <w:t xml:space="preserve">Formulation, shelf-life and delivery constitute an underappreciated practical bottleneck: a microbial community that is ecologically sound on paper is of limited value if it cannot survive storage, transport and field application in a viable, functionally intact state, and compatibility among co-formulated strains (avoiding mutual antagonism during storage, not only in the field) adds a further layer of formulation difficulty specific to multi-strain products. Non-target effects and ecological risk are genuine and insufficiently quantified concerns. Introduction of engineered or non-native microbial consortia into open agricultural ecosystems carries a documented, if generally low-probability, risk of native biodiversity displacement, unintended horizontal gene transfer to resident populations and disruption of existing trophic interactions (Sharma &amp; Bora, 2025; Folorunso </w:t>
      </w:r>
      <w:r w:rsidRPr="003F3781">
        <w:rPr>
          <w:rFonts w:ascii="Arial" w:hAnsi="Arial" w:cs="Arial"/>
          <w:i/>
          <w:iCs/>
          <w:sz w:val="24"/>
          <w:szCs w:val="24"/>
        </w:rPr>
        <w:t>et al.</w:t>
      </w:r>
      <w:r w:rsidRPr="003F3781">
        <w:rPr>
          <w:rFonts w:ascii="Arial" w:hAnsi="Arial" w:cs="Arial"/>
          <w:sz w:val="24"/>
          <w:szCs w:val="24"/>
        </w:rPr>
        <w:t xml:space="preserve">, 2026). Scalability and cost present a further barrier distinct from ecological performance: manufacturing multi-strain, and particularly cross-kingdom, inoculants at a cost and level of reliability competitive with synthetic agrochemicals remains difficult, and this economic barrier operates independently of, and in addition to, the biological barriers already discussed. Regulatory and standardisation gaps compound all of the above: bioinoculant regulatory frameworks differ substantially across jurisdictions, few offer clear guidance specifically for multi-strain synthetic products, and the absence of standardised efficacy, biosafety and persistence testing protocols makes cross-study comparison, and therefore cumulative field-readiness assessment, difficult (Cui </w:t>
      </w:r>
      <w:r w:rsidRPr="003F3781">
        <w:rPr>
          <w:rFonts w:ascii="Arial" w:hAnsi="Arial" w:cs="Arial"/>
          <w:i/>
          <w:iCs/>
          <w:sz w:val="24"/>
          <w:szCs w:val="24"/>
        </w:rPr>
        <w:lastRenderedPageBreak/>
        <w:t>et al.</w:t>
      </w:r>
      <w:r w:rsidRPr="003F3781">
        <w:rPr>
          <w:rFonts w:ascii="Arial" w:hAnsi="Arial" w:cs="Arial"/>
          <w:sz w:val="24"/>
          <w:szCs w:val="24"/>
        </w:rPr>
        <w:t xml:space="preserve">, 2021; Pradhan </w:t>
      </w:r>
      <w:r w:rsidRPr="003F3781">
        <w:rPr>
          <w:rFonts w:ascii="Arial" w:hAnsi="Arial" w:cs="Arial"/>
          <w:i/>
          <w:iCs/>
          <w:sz w:val="24"/>
          <w:szCs w:val="24"/>
        </w:rPr>
        <w:t>et al.</w:t>
      </w:r>
      <w:r w:rsidRPr="003F3781">
        <w:rPr>
          <w:rFonts w:ascii="Arial" w:hAnsi="Arial" w:cs="Arial"/>
          <w:sz w:val="24"/>
          <w:szCs w:val="24"/>
        </w:rPr>
        <w:t xml:space="preserve">, 2022). Finally, the difficulty of translating omics discoveries into field applications is not merely a matter of insufficient data but reflects a genuine scientific gap: predictive models trained on one crop-pathogen-soil system show limited demonstrated transferability to new systems, and the computational and bioinformatic expertise required to build and interpret such models remains a limiting resource in much of the applied agricultural research community (Ngomle </w:t>
      </w:r>
      <w:r w:rsidRPr="003F3781">
        <w:rPr>
          <w:rFonts w:ascii="Arial" w:hAnsi="Arial" w:cs="Arial"/>
          <w:i/>
          <w:iCs/>
          <w:sz w:val="24"/>
          <w:szCs w:val="24"/>
        </w:rPr>
        <w:t>et al.</w:t>
      </w:r>
      <w:r w:rsidRPr="003F3781">
        <w:rPr>
          <w:rFonts w:ascii="Arial" w:hAnsi="Arial" w:cs="Arial"/>
          <w:sz w:val="24"/>
          <w:szCs w:val="24"/>
        </w:rPr>
        <w:t>, 2025). Taken together, these challenges indicate that microbiome reprogramming is best understood, at its current stage of development, as a maturing experimental science with a small number of field-proven applications, rather than as a broadly field-ready alternative to chemical disease management; this assessment is consistent with, rather than contradictory to, the substantial mechanistic progress documented throughout Sections 3 through 11.</w:t>
      </w:r>
    </w:p>
    <w:p w14:paraId="755D63A0" w14:textId="77777777" w:rsidR="00A74223" w:rsidRPr="003F3781" w:rsidRDefault="00F13D81" w:rsidP="00A74223">
      <w:pPr>
        <w:spacing w:after="200" w:line="276" w:lineRule="auto"/>
        <w:jc w:val="both"/>
        <w:rPr>
          <w:rFonts w:ascii="Arial" w:hAnsi="Arial" w:cs="Arial"/>
          <w:sz w:val="24"/>
          <w:szCs w:val="24"/>
        </w:rPr>
      </w:pPr>
      <w:r w:rsidRPr="003F3781">
        <w:rPr>
          <w:rFonts w:ascii="Arial" w:hAnsi="Arial" w:cs="Arial"/>
          <w:b/>
          <w:bCs/>
          <w:sz w:val="24"/>
          <w:szCs w:val="24"/>
        </w:rPr>
        <w:t>14. TOWARD PRECISION MICROBIOME MANAGEMENT</w:t>
      </w:r>
    </w:p>
    <w:p w14:paraId="1AC3ED0F" w14:textId="77777777" w:rsidR="00164993" w:rsidRPr="003F3781" w:rsidRDefault="00164993" w:rsidP="00164993">
      <w:pPr>
        <w:spacing w:after="200" w:line="276" w:lineRule="auto"/>
        <w:jc w:val="both"/>
        <w:rPr>
          <w:rFonts w:ascii="Arial" w:hAnsi="Arial" w:cs="Arial"/>
          <w:sz w:val="24"/>
          <w:szCs w:val="24"/>
        </w:rPr>
      </w:pPr>
      <w:r w:rsidRPr="003F3781">
        <w:rPr>
          <w:rFonts w:ascii="Arial" w:hAnsi="Arial" w:cs="Arial"/>
          <w:sz w:val="24"/>
          <w:szCs w:val="24"/>
        </w:rPr>
        <w:tab/>
        <w:t xml:space="preserve">The trajectory implied by the evidence reviewed above points toward a transition from a “one microbe-one pathogen” model, inherited directly from single-active-ingredient agrochemical logic, toward context-specific microbiome management, in which the intervention is matched to the particular soil, crop genotype, climate and pathogen pressure profile of a given field rather than deployed as a uniform product. Several converging strands of emerging work point in this direction, though we emphasise that most remain experimental or early-stage rather than field-proven. Predictive microbiome models, built from multi-omics and network data, aim to forecast which community configuration is likely to be both stable and protective in a given environment before field deployment, reducing reliance on trial-and-error field testing (Baranwal </w:t>
      </w:r>
      <w:r w:rsidR="00587082" w:rsidRPr="003F3781">
        <w:rPr>
          <w:rFonts w:ascii="Arial" w:hAnsi="Arial" w:cs="Arial"/>
          <w:i/>
          <w:iCs/>
          <w:sz w:val="24"/>
          <w:szCs w:val="24"/>
        </w:rPr>
        <w:t>et al.</w:t>
      </w:r>
      <w:r w:rsidRPr="003F3781">
        <w:rPr>
          <w:rFonts w:ascii="Arial" w:hAnsi="Arial" w:cs="Arial"/>
          <w:sz w:val="24"/>
          <w:szCs w:val="24"/>
        </w:rPr>
        <w:t xml:space="preserve">, 2022). Microbiome-informed crop breeding extends the host-mediated approaches of Section 8.1 by using microbiome recruitment capacity as an explicit breeding selection criterion, rather than as an incidental by-product of selection for other traits. AI-assisted microbial community design, building on the machine-learning applications discussed in Section 9, aims to move </w:t>
      </w:r>
      <w:proofErr w:type="spellStart"/>
      <w:r w:rsidRPr="003F3781">
        <w:rPr>
          <w:rFonts w:ascii="Arial" w:hAnsi="Arial" w:cs="Arial"/>
          <w:sz w:val="24"/>
          <w:szCs w:val="24"/>
        </w:rPr>
        <w:t>SynCom</w:t>
      </w:r>
      <w:proofErr w:type="spellEnd"/>
      <w:r w:rsidRPr="003F3781">
        <w:rPr>
          <w:rFonts w:ascii="Arial" w:hAnsi="Arial" w:cs="Arial"/>
          <w:sz w:val="24"/>
          <w:szCs w:val="24"/>
        </w:rPr>
        <w:t xml:space="preserve"> assembly from expert-curated selection toward data-driven optimisation across large strain libraries and interaction datasets. Disease forecasting systems, already used operationally in some conventional integrated pest management programmes, could in principle be coupled with microbiome-based interventions to time preventive community reinforcement ahead of predicted disease pressure windows, though we are not aware of well-documented field implementations of this specific combination at the time of writing.</w:t>
      </w:r>
    </w:p>
    <w:p w14:paraId="696A1CB5" w14:textId="77777777" w:rsidR="00DD0A23" w:rsidRPr="003F3781" w:rsidRDefault="00423193" w:rsidP="00DD0A23">
      <w:pPr>
        <w:spacing w:after="200" w:line="276" w:lineRule="auto"/>
        <w:jc w:val="both"/>
        <w:rPr>
          <w:rFonts w:ascii="Arial" w:hAnsi="Arial" w:cs="Arial"/>
          <w:sz w:val="24"/>
          <w:szCs w:val="24"/>
        </w:rPr>
      </w:pPr>
      <w:r w:rsidRPr="003F3781">
        <w:rPr>
          <w:rFonts w:ascii="Arial" w:hAnsi="Arial" w:cs="Arial"/>
          <w:sz w:val="24"/>
          <w:szCs w:val="24"/>
        </w:rPr>
        <w:tab/>
        <w:t>We treat all of these directions as promising but experimental rather than established, and explicitly caution against the inference, sometimes present in more promotional secondary literature, that precision microbiome engineering is close to displacing conventional disease management at scale. The core translational bottleneck identified in Sections 10 and 13, namely unreliable field persistence and performance of engineered communities, has not yet been solved by any of the precision tools described here; rather, these tools represent plausible routes towards eventually solving it by making community design more evidence-based and by narrowing the search space of candidate interventions before field trials. Whether that promise translates into field-reliable, farmer-adoptable technology within the coming decade, as some optimistic projections suggest, remains genuinely uncertain and should be represented as such rather than as an inevitability.</w:t>
      </w:r>
    </w:p>
    <w:p w14:paraId="26DC37CD" w14:textId="77777777" w:rsidR="00DD0A23" w:rsidRPr="003F3781" w:rsidRDefault="00F13D81" w:rsidP="00DD0A23">
      <w:pPr>
        <w:spacing w:after="200" w:line="276" w:lineRule="auto"/>
        <w:jc w:val="both"/>
        <w:rPr>
          <w:rFonts w:ascii="Arial" w:hAnsi="Arial" w:cs="Arial"/>
          <w:sz w:val="24"/>
          <w:szCs w:val="24"/>
        </w:rPr>
      </w:pPr>
      <w:r w:rsidRPr="003F3781">
        <w:rPr>
          <w:rFonts w:ascii="Arial" w:hAnsi="Arial" w:cs="Arial"/>
          <w:b/>
          <w:bCs/>
          <w:sz w:val="24"/>
          <w:szCs w:val="24"/>
        </w:rPr>
        <w:t>15. FUTURE RESEARCH PRIORITIES</w:t>
      </w:r>
    </w:p>
    <w:p w14:paraId="69558A76" w14:textId="77777777" w:rsidR="00FD5D9A" w:rsidRPr="003F3781" w:rsidRDefault="007D2E79" w:rsidP="00FD5D9A">
      <w:pPr>
        <w:spacing w:after="200" w:line="276" w:lineRule="auto"/>
        <w:jc w:val="both"/>
        <w:rPr>
          <w:rFonts w:ascii="Arial" w:hAnsi="Arial" w:cs="Arial"/>
          <w:sz w:val="24"/>
          <w:szCs w:val="24"/>
        </w:rPr>
      </w:pPr>
      <w:r w:rsidRPr="003F3781">
        <w:rPr>
          <w:rFonts w:ascii="Arial" w:hAnsi="Arial" w:cs="Arial"/>
          <w:sz w:val="24"/>
          <w:szCs w:val="24"/>
        </w:rPr>
        <w:tab/>
        <w:t xml:space="preserve">Building directly on the gaps identified across Sections 3, 6, 10 and 13, we identify the following specific research priorities rather than generic calls for more research. First, distinguishing </w:t>
      </w:r>
      <w:r w:rsidRPr="003F3781">
        <w:rPr>
          <w:rFonts w:ascii="Arial" w:hAnsi="Arial" w:cs="Arial"/>
          <w:sz w:val="24"/>
          <w:szCs w:val="24"/>
        </w:rPr>
        <w:lastRenderedPageBreak/>
        <w:t>causal from correlative microbial taxa in disease suppression requires wider adoption of manipulative experimental designs, targeted removal, gnotobiotic reconstruction, and reciprocal transplantation in place of the amplicon-sequencing correlation studies that still dominate the descriptive literature (Section 3). Second, understanding the ecological rules governing community stability and assembly, including why niche overlap among introduced strains so often undermines SynCom persistence while niche overlap with the target pathogen enhances suppression, is needed to move SynCom design from largely empirical trial-and-error towards predictive ecological engineering (Sections 3, 10). Third, systematic study of plant genotype × microbiome interaction effects is needed to determine how generalisable any given reprogramming strategy is across host genetic backgrounds, rather than assuming portability from the single genotype in which a strategy was first validated (Sections 5, 13). Fourth, linking specific microbial genes and gene clusters (siderophore compatibility profiles, NRPS/PKS clusters, ISR-eliciting determinants) directly to demonstrated suppressive function, rather than to taxonomic identity alone, would substantially strengthen the presence-to-function transition discussed in Section 3. Fifth, establishing standardised benchmarks and reporting protocols for SynCom construction, testing and field-performance reporting is a precondition for meaningful cross-study synthesis and regulatory harmonisation (Section 13). Sixth, long-term, multi-season, multi-site ecological assessment of engineered or transplanted microbial communities, tracking not only disease outcome but also non-target ecological effects and eventual community fate, remains rare relative to the number of short-term efficacy studies and is necessary to responsibly evaluate the ecological-risk concerns raised in Section 13. We restrict this list to gaps directly identifiable from the literature synthesised in this review, in keeping with the requirement that research priorities be evidence-grounded rather than aspirational.</w:t>
      </w:r>
    </w:p>
    <w:p w14:paraId="11ADCCA7" w14:textId="77777777" w:rsidR="00FD5D9A" w:rsidRPr="003F3781" w:rsidRDefault="000C16CB" w:rsidP="00FD5D9A">
      <w:pPr>
        <w:spacing w:after="200" w:line="276" w:lineRule="auto"/>
        <w:jc w:val="both"/>
        <w:rPr>
          <w:rFonts w:ascii="Arial" w:hAnsi="Arial" w:cs="Arial"/>
          <w:sz w:val="24"/>
          <w:szCs w:val="24"/>
        </w:rPr>
      </w:pPr>
      <w:r w:rsidRPr="003F3781">
        <w:rPr>
          <w:rFonts w:ascii="Arial" w:hAnsi="Arial" w:cs="Arial"/>
          <w:b/>
          <w:bCs/>
          <w:sz w:val="24"/>
          <w:szCs w:val="24"/>
        </w:rPr>
        <w:t>16. CONCLUSION</w:t>
      </w:r>
    </w:p>
    <w:p w14:paraId="5390D8D7" w14:textId="77777777" w:rsidR="00A53925" w:rsidRPr="003F3781" w:rsidRDefault="00A53925" w:rsidP="00A53925">
      <w:pPr>
        <w:spacing w:after="200" w:line="276" w:lineRule="auto"/>
        <w:jc w:val="both"/>
        <w:rPr>
          <w:rFonts w:ascii="Arial" w:hAnsi="Arial" w:cs="Arial"/>
          <w:sz w:val="24"/>
          <w:szCs w:val="24"/>
        </w:rPr>
      </w:pPr>
      <w:r w:rsidRPr="003F3781">
        <w:rPr>
          <w:rFonts w:ascii="Arial" w:hAnsi="Arial" w:cs="Arial"/>
          <w:sz w:val="24"/>
          <w:szCs w:val="24"/>
        </w:rPr>
        <w:tab/>
        <w:t xml:space="preserve">This review has traced a conceptual progression from the architecture of the plant microbiome, through the transition in emphasis from microbial presence to microbial function, to the mechanisms and reciprocal dynamics of microbiome-mediated disease suppression, and finally to the strategies, tools and constraints associated with deliberately reprogramming plant-associated microbial communities. Across this progression, a consistent pattern </w:t>
      </w:r>
      <w:r w:rsidR="00DF1AB5" w:rsidRPr="003F3781">
        <w:rPr>
          <w:rFonts w:ascii="Arial" w:hAnsi="Arial" w:cs="Arial"/>
          <w:sz w:val="24"/>
          <w:szCs w:val="24"/>
        </w:rPr>
        <w:t>emerges:</w:t>
      </w:r>
      <w:r w:rsidRPr="003F3781">
        <w:rPr>
          <w:rFonts w:ascii="Arial" w:hAnsi="Arial" w:cs="Arial"/>
          <w:sz w:val="24"/>
          <w:szCs w:val="24"/>
        </w:rPr>
        <w:t xml:space="preserve"> mechanistic understanding of how microbiomes contribute to disease resistance has advanced substantially and, in several well-characterised systems (root-exudate-mediated recruitment, disease-suppressive-soil transfer, keystone-taxon-informed </w:t>
      </w:r>
      <w:proofErr w:type="spellStart"/>
      <w:r w:rsidRPr="003F3781">
        <w:rPr>
          <w:rFonts w:ascii="Arial" w:hAnsi="Arial" w:cs="Arial"/>
          <w:sz w:val="24"/>
          <w:szCs w:val="24"/>
        </w:rPr>
        <w:t>SynCom</w:t>
      </w:r>
      <w:proofErr w:type="spellEnd"/>
      <w:r w:rsidRPr="003F3781">
        <w:rPr>
          <w:rFonts w:ascii="Arial" w:hAnsi="Arial" w:cs="Arial"/>
          <w:sz w:val="24"/>
          <w:szCs w:val="24"/>
        </w:rPr>
        <w:t xml:space="preserve"> design), rests on genuinely causal or strongly functional evidence rather than correlation alone. What has not yet been achieved, on the weight of current evidence, is reliable translation of that understanding into field-deployable interventions that perform consistently across the environmental and genetic variability of real agricultural systems.</w:t>
      </w:r>
    </w:p>
    <w:p w14:paraId="76DB9674" w14:textId="77777777" w:rsidR="008F3B73" w:rsidRPr="003F3781" w:rsidRDefault="00A53925" w:rsidP="008F3B73">
      <w:pPr>
        <w:spacing w:after="200" w:line="276" w:lineRule="auto"/>
        <w:jc w:val="both"/>
        <w:rPr>
          <w:rFonts w:ascii="Arial" w:hAnsi="Arial" w:cs="Arial"/>
          <w:sz w:val="24"/>
          <w:szCs w:val="24"/>
        </w:rPr>
      </w:pPr>
      <w:r w:rsidRPr="003F3781">
        <w:rPr>
          <w:rFonts w:ascii="Arial" w:hAnsi="Arial" w:cs="Arial"/>
          <w:sz w:val="24"/>
          <w:szCs w:val="24"/>
        </w:rPr>
        <w:t xml:space="preserve">The future of sustainable disease management is therefore unlikely to depend on identifying a single microbial substitute for chemical inputs, in the way that single-strain biocontrol implicitly hoped to. It will more plausibly depend on the field's capacity to understand, assemble and manage functionally redundant, context-adapted microbial communities informed by keystone-taxon ecology, guided by omics and computational tools, and validated across the multi-season, multi-site field conditions that have so far been the exception rather than the rule in this literature. We deliberately avoid the claim that microbiome engineering will replace pesticides; the evidence reviewed here supports a more modest, but still consequential, conclusion: microbiome reprogramming is a scientifically maturing and mechanistically well-grounded strategy. It already works reliably under controlled conditions, has to date been field-proven in a genuinely narrower set of systems than the volume of laboratory </w:t>
      </w:r>
      <w:r w:rsidRPr="003F3781">
        <w:rPr>
          <w:rFonts w:ascii="Arial" w:hAnsi="Arial" w:cs="Arial"/>
          <w:sz w:val="24"/>
          <w:szCs w:val="24"/>
        </w:rPr>
        <w:lastRenderedPageBreak/>
        <w:t>literature might suggest, and represents one of the more promising, evidence-based routes towards reducing agriculture's dependence on chemical disease control, provided that its remaining ecological, technical and regulatory constraints are addressed with the same rigour that has characterised the mechanistic research reviewed throughout this article.</w:t>
      </w:r>
    </w:p>
    <w:p w14:paraId="6127E4FD" w14:textId="77777777" w:rsidR="008F3B73" w:rsidRPr="003F3781" w:rsidRDefault="0041346E" w:rsidP="008F3B73">
      <w:pPr>
        <w:spacing w:after="200" w:line="276" w:lineRule="auto"/>
        <w:jc w:val="both"/>
        <w:rPr>
          <w:rFonts w:ascii="Arial" w:hAnsi="Arial" w:cs="Arial"/>
          <w:b/>
          <w:bCs/>
          <w:sz w:val="24"/>
          <w:szCs w:val="24"/>
        </w:rPr>
      </w:pPr>
      <w:r w:rsidRPr="003F3781">
        <w:rPr>
          <w:rFonts w:ascii="Arial" w:hAnsi="Arial" w:cs="Arial"/>
          <w:b/>
          <w:bCs/>
          <w:sz w:val="24"/>
          <w:szCs w:val="24"/>
        </w:rPr>
        <w:t>17. NOVELTY OF THIS REVIEW</w:t>
      </w:r>
    </w:p>
    <w:p w14:paraId="528899B2" w14:textId="1BEA3D5A" w:rsidR="00277E8D" w:rsidRDefault="00277E8D" w:rsidP="00277E8D">
      <w:pPr>
        <w:spacing w:after="200" w:line="276" w:lineRule="auto"/>
        <w:jc w:val="both"/>
        <w:rPr>
          <w:rFonts w:ascii="Arial" w:hAnsi="Arial" w:cs="Arial"/>
          <w:sz w:val="24"/>
          <w:szCs w:val="24"/>
        </w:rPr>
      </w:pPr>
      <w:r w:rsidRPr="003F3781">
        <w:rPr>
          <w:rFonts w:ascii="Arial" w:hAnsi="Arial" w:cs="Arial"/>
          <w:sz w:val="24"/>
          <w:szCs w:val="24"/>
        </w:rPr>
        <w:tab/>
        <w:t>Existing reviews in this space tend to fall into one of several categories: comprehensive but largely descriptive plant-microbiome surveys organised by compartment (rhizosphere, phyllosphere, endosphere); disease-suppressive-soil reviews focused specifically on soil-borne pathogens; biocontrol-agent reviews organised by crop or pathogen; or SynCom-specific technical reviews aimed at a microbial ecology audience. This review's intended contribution is to organise the literature explicitly around the conceptual progression from microbiome assembly to reprogrammed resilience, to apply a consistent, explicit evidentiary standard distinguishing correlation, functional demonstration and causal proof across mechanistic, ecological and applied sections alike, and to use that standard to identify specifically where field-readiness claims in the secondary literature outpace the primary evidence, most notably in the gap between greenhouse-validated SynCom performance and multi-season field persistence. We note candidly where this novelty argument is weaker. The individual mechanistic building blocks synthesised here, including root-exudate recruitment, ISR, disease-suppressive soils and SynCom design principles, are each already the subject of excellent, more narrowly focused primary reviews, several of which are cited throughout this article; this review's contribution is integrative and evaluative rather than the reporting of new primary data or the discovery of previously unrecognised mechanisms. Readers seeking exhaustive mechanistic detail on any single pillar (for example, the biochemistry of ISR signalling or the bioinformatics of co-occurrence network construction) should treat the more specialised primary reviews cited in each section as the authoritative source, with this review serving as a conceptual map connecting them.</w:t>
      </w:r>
      <w:r w:rsidR="003F3781">
        <w:rPr>
          <w:rFonts w:ascii="Arial" w:hAnsi="Arial" w:cs="Arial"/>
          <w:sz w:val="24"/>
          <w:szCs w:val="24"/>
        </w:rPr>
        <w:t xml:space="preserve"> </w:t>
      </w:r>
    </w:p>
    <w:p w14:paraId="35B20740" w14:textId="77777777" w:rsidR="003F3781" w:rsidRDefault="003F3781" w:rsidP="00277E8D">
      <w:pPr>
        <w:spacing w:after="200" w:line="276" w:lineRule="auto"/>
        <w:jc w:val="both"/>
        <w:rPr>
          <w:rFonts w:ascii="Arial" w:hAnsi="Arial" w:cs="Arial"/>
          <w:sz w:val="24"/>
          <w:szCs w:val="24"/>
        </w:rPr>
      </w:pPr>
    </w:p>
    <w:p w14:paraId="0D817FD1" w14:textId="257447F0" w:rsidR="003F3781" w:rsidRPr="003F3781" w:rsidRDefault="003F3781" w:rsidP="003F3781">
      <w:pPr>
        <w:spacing w:before="100" w:beforeAutospacing="1" w:after="100" w:afterAutospacing="1"/>
        <w:outlineLvl w:val="1"/>
        <w:rPr>
          <w:rFonts w:ascii="Times New Roman" w:eastAsia="Times New Roman" w:hAnsi="Times New Roman" w:cs="Times New Roman"/>
          <w:b/>
          <w:bCs/>
          <w:sz w:val="36"/>
          <w:szCs w:val="36"/>
          <w:lang w:val="en-US" w:eastAsia="en-US" w:bidi="ar-SA"/>
        </w:rPr>
      </w:pPr>
      <w:r w:rsidRPr="003F3781">
        <w:rPr>
          <w:rFonts w:ascii="Times New Roman" w:eastAsia="Times New Roman" w:hAnsi="Times New Roman" w:cs="Times New Roman"/>
          <w:b/>
          <w:bCs/>
          <w:sz w:val="36"/>
          <w:szCs w:val="36"/>
          <w:lang w:val="en-US" w:eastAsia="en-US" w:bidi="ar-SA"/>
        </w:rPr>
        <w:t>Limitations</w:t>
      </w:r>
    </w:p>
    <w:p w14:paraId="3C112914" w14:textId="5D845590" w:rsidR="003F3781" w:rsidRPr="003F3781" w:rsidRDefault="003F3781" w:rsidP="003F3781">
      <w:pPr>
        <w:spacing w:before="100" w:beforeAutospacing="1" w:after="100" w:afterAutospacing="1"/>
        <w:rPr>
          <w:rFonts w:ascii="Times New Roman" w:eastAsia="Times New Roman" w:hAnsi="Times New Roman" w:cs="Times New Roman"/>
          <w:sz w:val="24"/>
          <w:szCs w:val="24"/>
          <w:lang w:val="en-US" w:eastAsia="en-US" w:bidi="ar-SA"/>
        </w:rPr>
      </w:pPr>
      <w:r w:rsidRPr="003F3781">
        <w:rPr>
          <w:rFonts w:ascii="Times New Roman" w:eastAsia="Times New Roman" w:hAnsi="Times New Roman" w:cs="Times New Roman"/>
          <w:sz w:val="24"/>
          <w:szCs w:val="24"/>
          <w:lang w:val="en-US" w:eastAsia="en-US" w:bidi="ar-SA"/>
        </w:rPr>
        <w:t>This review is limited by the uneven maturity of evidence across plant–microbiome systems. Many studies remain correlative or are restricted to laboratory and greenhouse conditions, while multi-season and multi-site field validation is comparatively scarce. Differences in host genotype, soil properties, pathogen identity, management practice and analytical methods also constrain cross-study comparison</w:t>
      </w:r>
      <w:r>
        <w:rPr>
          <w:rFonts w:ascii="Times New Roman" w:eastAsia="Times New Roman" w:hAnsi="Times New Roman" w:cs="Times New Roman"/>
          <w:sz w:val="24"/>
          <w:szCs w:val="24"/>
          <w:lang w:val="en-US" w:eastAsia="en-US" w:bidi="ar-SA"/>
        </w:rPr>
        <w:t xml:space="preserve">. </w:t>
      </w:r>
    </w:p>
    <w:p w14:paraId="15520E2A" w14:textId="77777777" w:rsidR="003F3781" w:rsidRPr="003F3781" w:rsidRDefault="003F3781" w:rsidP="00277E8D">
      <w:pPr>
        <w:spacing w:after="200" w:line="276" w:lineRule="auto"/>
        <w:jc w:val="both"/>
        <w:rPr>
          <w:rFonts w:ascii="Arial" w:hAnsi="Arial" w:cs="Arial"/>
          <w:sz w:val="24"/>
          <w:szCs w:val="24"/>
        </w:rPr>
      </w:pPr>
    </w:p>
    <w:p w14:paraId="5D7D2F0F" w14:textId="77777777" w:rsidR="005F1B72" w:rsidRPr="003F3781" w:rsidRDefault="005F1B72" w:rsidP="00277E8D">
      <w:pPr>
        <w:spacing w:after="200" w:line="276" w:lineRule="auto"/>
        <w:jc w:val="both"/>
        <w:rPr>
          <w:rFonts w:ascii="Arial" w:hAnsi="Arial" w:cs="Arial"/>
          <w:b/>
          <w:bCs/>
          <w:sz w:val="24"/>
          <w:szCs w:val="24"/>
        </w:rPr>
      </w:pPr>
      <w:r w:rsidRPr="003F3781">
        <w:rPr>
          <w:rFonts w:ascii="Arial" w:hAnsi="Arial" w:cs="Arial"/>
          <w:b/>
          <w:bCs/>
          <w:sz w:val="24"/>
          <w:szCs w:val="24"/>
        </w:rPr>
        <w:t>COMPETING INTERESTS</w:t>
      </w:r>
    </w:p>
    <w:p w14:paraId="268333C8" w14:textId="77777777" w:rsidR="008F3B73" w:rsidRPr="003F3781" w:rsidRDefault="006F0D16" w:rsidP="008F3B73">
      <w:pPr>
        <w:spacing w:after="200" w:line="276" w:lineRule="auto"/>
        <w:jc w:val="both"/>
        <w:rPr>
          <w:rFonts w:ascii="Arial" w:hAnsi="Arial" w:cs="Arial"/>
          <w:sz w:val="24"/>
          <w:szCs w:val="24"/>
        </w:rPr>
      </w:pPr>
      <w:r w:rsidRPr="003F3781">
        <w:rPr>
          <w:rFonts w:ascii="Arial" w:hAnsi="Arial" w:cs="Arial"/>
          <w:sz w:val="24"/>
          <w:szCs w:val="24"/>
        </w:rPr>
        <w:t>The authors</w:t>
      </w:r>
      <w:r w:rsidR="006D60DA" w:rsidRPr="003F3781">
        <w:rPr>
          <w:rFonts w:ascii="Arial" w:hAnsi="Arial" w:cs="Arial"/>
          <w:sz w:val="24"/>
          <w:szCs w:val="24"/>
        </w:rPr>
        <w:t xml:space="preserve"> have declared that no competing interests exist.</w:t>
      </w:r>
    </w:p>
    <w:p w14:paraId="126657A0" w14:textId="77777777" w:rsidR="006E3474" w:rsidRPr="003F3781" w:rsidRDefault="006E3474" w:rsidP="006E3474">
      <w:pPr>
        <w:rPr>
          <w:rFonts w:ascii="Times New Roman" w:hAnsi="Times New Roman" w:cs="Times New Roman"/>
          <w:b/>
        </w:rPr>
      </w:pPr>
      <w:r w:rsidRPr="003F3781">
        <w:rPr>
          <w:rFonts w:ascii="Times New Roman" w:hAnsi="Times New Roman" w:cs="Times New Roman"/>
          <w:b/>
        </w:rPr>
        <w:t>Declaration of AI Use</w:t>
      </w:r>
    </w:p>
    <w:p w14:paraId="7B3C520A" w14:textId="77777777" w:rsidR="006E3474" w:rsidRPr="003F3781" w:rsidRDefault="006E3474" w:rsidP="006E3474">
      <w:pPr>
        <w:rPr>
          <w:rFonts w:ascii="Times New Roman" w:hAnsi="Times New Roman" w:cs="Times New Roman"/>
          <w:b/>
        </w:rPr>
      </w:pPr>
    </w:p>
    <w:p w14:paraId="54243D52" w14:textId="77777777" w:rsidR="006E3474" w:rsidRPr="003F3781" w:rsidRDefault="006E3474" w:rsidP="006E3474">
      <w:pPr>
        <w:rPr>
          <w:rFonts w:ascii="Times New Roman" w:hAnsi="Times New Roman" w:cs="Times New Roman"/>
          <w:b/>
        </w:rPr>
      </w:pPr>
    </w:p>
    <w:p w14:paraId="0D515E04" w14:textId="77777777" w:rsidR="006E3474" w:rsidRPr="003F3781" w:rsidRDefault="006E3474" w:rsidP="006E3474">
      <w:pPr>
        <w:rPr>
          <w:rFonts w:ascii="Times New Roman" w:hAnsi="Times New Roman" w:cs="Times New Roman"/>
          <w:b/>
        </w:rPr>
      </w:pPr>
    </w:p>
    <w:p w14:paraId="05907029" w14:textId="77777777" w:rsidR="006E3474" w:rsidRPr="003F3781" w:rsidRDefault="006E3474" w:rsidP="006E3474">
      <w:pPr>
        <w:rPr>
          <w:rFonts w:ascii="Arial" w:hAnsi="Arial" w:cs="Arial"/>
          <w:sz w:val="20"/>
          <w:szCs w:val="20"/>
        </w:rPr>
      </w:pPr>
      <w:r w:rsidRPr="003F3781">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112B8AEC" w14:textId="77777777" w:rsidR="006E3474" w:rsidRPr="003F3781" w:rsidRDefault="006E3474" w:rsidP="008F3B73">
      <w:pPr>
        <w:spacing w:after="200" w:line="276" w:lineRule="auto"/>
        <w:jc w:val="both"/>
        <w:rPr>
          <w:rFonts w:ascii="Arial" w:hAnsi="Arial" w:cs="Arial"/>
          <w:sz w:val="24"/>
          <w:szCs w:val="24"/>
        </w:rPr>
      </w:pPr>
    </w:p>
    <w:p w14:paraId="4E7D31C9" w14:textId="77777777" w:rsidR="00B65D7D" w:rsidRDefault="00C20429" w:rsidP="00A53925">
      <w:pPr>
        <w:spacing w:after="200" w:line="276" w:lineRule="auto"/>
        <w:jc w:val="both"/>
        <w:rPr>
          <w:rFonts w:ascii="Arial" w:hAnsi="Arial" w:cs="Arial"/>
          <w:b/>
          <w:bCs/>
          <w:color w:val="000000" w:themeColor="text1"/>
        </w:rPr>
      </w:pPr>
      <w:r w:rsidRPr="003F3781">
        <w:rPr>
          <w:rFonts w:ascii="Arial" w:hAnsi="Arial" w:cs="Arial"/>
          <w:b/>
          <w:bCs/>
          <w:color w:val="000000" w:themeColor="text1"/>
        </w:rPr>
        <w:t>REFERENCES.</w:t>
      </w:r>
    </w:p>
    <w:p w14:paraId="5A487C59"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Ali, S. A. M., Sayyed, R. Z., Mir, M. I., Khan, M. Y., Hameeda, B., </w:t>
      </w:r>
      <w:proofErr w:type="spellStart"/>
      <w:r w:rsidRPr="00153BBA">
        <w:rPr>
          <w:rFonts w:ascii="Times New Roman" w:eastAsia="Times New Roman" w:hAnsi="Times New Roman" w:cs="Times New Roman"/>
          <w:sz w:val="24"/>
          <w:szCs w:val="24"/>
          <w:lang w:val="en-US" w:eastAsia="en-US" w:bidi="ar-SA"/>
        </w:rPr>
        <w:t>Alkhanani</w:t>
      </w:r>
      <w:proofErr w:type="spellEnd"/>
      <w:r w:rsidRPr="00153BBA">
        <w:rPr>
          <w:rFonts w:ascii="Times New Roman" w:eastAsia="Times New Roman" w:hAnsi="Times New Roman" w:cs="Times New Roman"/>
          <w:sz w:val="24"/>
          <w:szCs w:val="24"/>
          <w:lang w:val="en-US" w:eastAsia="en-US" w:bidi="ar-SA"/>
        </w:rPr>
        <w:t>, M. F., Haque, S., Al-</w:t>
      </w:r>
      <w:proofErr w:type="spellStart"/>
      <w:r w:rsidRPr="00153BBA">
        <w:rPr>
          <w:rFonts w:ascii="Times New Roman" w:eastAsia="Times New Roman" w:hAnsi="Times New Roman" w:cs="Times New Roman"/>
          <w:sz w:val="24"/>
          <w:szCs w:val="24"/>
          <w:lang w:val="en-US" w:eastAsia="en-US" w:bidi="ar-SA"/>
        </w:rPr>
        <w:t>Tawaha</w:t>
      </w:r>
      <w:proofErr w:type="spellEnd"/>
      <w:r w:rsidRPr="00153BBA">
        <w:rPr>
          <w:rFonts w:ascii="Times New Roman" w:eastAsia="Times New Roman" w:hAnsi="Times New Roman" w:cs="Times New Roman"/>
          <w:sz w:val="24"/>
          <w:szCs w:val="24"/>
          <w:lang w:val="en-US" w:eastAsia="en-US" w:bidi="ar-SA"/>
        </w:rPr>
        <w:t xml:space="preserve">, A. R. M., &amp; </w:t>
      </w:r>
      <w:proofErr w:type="spellStart"/>
      <w:r w:rsidRPr="00153BBA">
        <w:rPr>
          <w:rFonts w:ascii="Times New Roman" w:eastAsia="Times New Roman" w:hAnsi="Times New Roman" w:cs="Times New Roman"/>
          <w:sz w:val="24"/>
          <w:szCs w:val="24"/>
          <w:lang w:val="en-US" w:eastAsia="en-US" w:bidi="ar-SA"/>
        </w:rPr>
        <w:t>Poczai</w:t>
      </w:r>
      <w:proofErr w:type="spellEnd"/>
      <w:r w:rsidRPr="00153BBA">
        <w:rPr>
          <w:rFonts w:ascii="Times New Roman" w:eastAsia="Times New Roman" w:hAnsi="Times New Roman" w:cs="Times New Roman"/>
          <w:sz w:val="24"/>
          <w:szCs w:val="24"/>
          <w:lang w:val="en-US" w:eastAsia="en-US" w:bidi="ar-SA"/>
        </w:rPr>
        <w:t xml:space="preserve">, P. (2022). Induction of systemic resistance in maize and antibiofilm activity of </w:t>
      </w:r>
      <w:proofErr w:type="spellStart"/>
      <w:r w:rsidRPr="00153BBA">
        <w:rPr>
          <w:rFonts w:ascii="Times New Roman" w:eastAsia="Times New Roman" w:hAnsi="Times New Roman" w:cs="Times New Roman"/>
          <w:sz w:val="24"/>
          <w:szCs w:val="24"/>
          <w:lang w:val="en-US" w:eastAsia="en-US" w:bidi="ar-SA"/>
        </w:rPr>
        <w:t>surfactin</w:t>
      </w:r>
      <w:proofErr w:type="spellEnd"/>
      <w:r w:rsidRPr="00153BBA">
        <w:rPr>
          <w:rFonts w:ascii="Times New Roman" w:eastAsia="Times New Roman" w:hAnsi="Times New Roman" w:cs="Times New Roman"/>
          <w:sz w:val="24"/>
          <w:szCs w:val="24"/>
          <w:lang w:val="en-US" w:eastAsia="en-US" w:bidi="ar-SA"/>
        </w:rPr>
        <w:t xml:space="preserve"> from </w:t>
      </w:r>
      <w:r w:rsidRPr="00153BBA">
        <w:rPr>
          <w:rFonts w:ascii="Times New Roman" w:eastAsia="Times New Roman" w:hAnsi="Times New Roman" w:cs="Times New Roman"/>
          <w:i/>
          <w:iCs/>
          <w:sz w:val="24"/>
          <w:szCs w:val="24"/>
          <w:lang w:val="en-US" w:eastAsia="en-US" w:bidi="ar-SA"/>
        </w:rPr>
        <w:t xml:space="preserve">Bacillus </w:t>
      </w:r>
      <w:proofErr w:type="spellStart"/>
      <w:r w:rsidRPr="00153BBA">
        <w:rPr>
          <w:rFonts w:ascii="Times New Roman" w:eastAsia="Times New Roman" w:hAnsi="Times New Roman" w:cs="Times New Roman"/>
          <w:i/>
          <w:iCs/>
          <w:sz w:val="24"/>
          <w:szCs w:val="24"/>
          <w:lang w:val="en-US" w:eastAsia="en-US" w:bidi="ar-SA"/>
        </w:rPr>
        <w:t>velezensis</w:t>
      </w:r>
      <w:proofErr w:type="spellEnd"/>
      <w:r w:rsidRPr="00153BBA">
        <w:rPr>
          <w:rFonts w:ascii="Times New Roman" w:eastAsia="Times New Roman" w:hAnsi="Times New Roman" w:cs="Times New Roman"/>
          <w:sz w:val="24"/>
          <w:szCs w:val="24"/>
          <w:lang w:val="en-US" w:eastAsia="en-US" w:bidi="ar-SA"/>
        </w:rPr>
        <w:t xml:space="preserve"> MS20. </w:t>
      </w:r>
      <w:r w:rsidRPr="00153BBA">
        <w:rPr>
          <w:rFonts w:ascii="Times New Roman" w:eastAsia="Times New Roman" w:hAnsi="Times New Roman" w:cs="Times New Roman"/>
          <w:i/>
          <w:iCs/>
          <w:sz w:val="24"/>
          <w:szCs w:val="24"/>
          <w:lang w:val="en-US" w:eastAsia="en-US" w:bidi="ar-SA"/>
        </w:rPr>
        <w:t>Frontiers in Microbiology, 13</w:t>
      </w:r>
      <w:r w:rsidRPr="00153BBA">
        <w:rPr>
          <w:rFonts w:ascii="Times New Roman" w:eastAsia="Times New Roman" w:hAnsi="Times New Roman" w:cs="Times New Roman"/>
          <w:sz w:val="24"/>
          <w:szCs w:val="24"/>
          <w:lang w:val="en-US" w:eastAsia="en-US" w:bidi="ar-SA"/>
        </w:rPr>
        <w:t xml:space="preserve">, Article 879739. </w:t>
      </w:r>
      <w:hyperlink r:id="rId8" w:history="1">
        <w:r w:rsidRPr="00153BBA">
          <w:rPr>
            <w:rFonts w:ascii="Times New Roman" w:eastAsia="Times New Roman" w:hAnsi="Times New Roman" w:cs="Times New Roman"/>
            <w:color w:val="0000FF"/>
            <w:sz w:val="24"/>
            <w:szCs w:val="24"/>
            <w:u w:val="single"/>
            <w:lang w:val="en-US" w:eastAsia="en-US" w:bidi="ar-SA"/>
          </w:rPr>
          <w:t>https://doi.org/10.3389/fmicb.2022.879739</w:t>
        </w:r>
      </w:hyperlink>
    </w:p>
    <w:p w14:paraId="29D756FF"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Ali, S., Tyagi, A., &amp; Bae, H. (2023). Plant microbiome: An ocean of possibilities for improving disease resistance in plants. </w:t>
      </w:r>
      <w:r w:rsidRPr="00153BBA">
        <w:rPr>
          <w:rFonts w:ascii="Times New Roman" w:eastAsia="Times New Roman" w:hAnsi="Times New Roman" w:cs="Times New Roman"/>
          <w:i/>
          <w:iCs/>
          <w:sz w:val="24"/>
          <w:szCs w:val="24"/>
          <w:lang w:val="en-US" w:eastAsia="en-US" w:bidi="ar-SA"/>
        </w:rPr>
        <w:t>Microorganisms, 11</w:t>
      </w:r>
      <w:r w:rsidRPr="00153BBA">
        <w:rPr>
          <w:rFonts w:ascii="Times New Roman" w:eastAsia="Times New Roman" w:hAnsi="Times New Roman" w:cs="Times New Roman"/>
          <w:sz w:val="24"/>
          <w:szCs w:val="24"/>
          <w:lang w:val="en-US" w:eastAsia="en-US" w:bidi="ar-SA"/>
        </w:rPr>
        <w:t xml:space="preserve">(2), Article 392. </w:t>
      </w:r>
      <w:hyperlink r:id="rId9" w:history="1">
        <w:r w:rsidRPr="00153BBA">
          <w:rPr>
            <w:rFonts w:ascii="Times New Roman" w:eastAsia="Times New Roman" w:hAnsi="Times New Roman" w:cs="Times New Roman"/>
            <w:color w:val="0000FF"/>
            <w:sz w:val="24"/>
            <w:szCs w:val="24"/>
            <w:u w:val="single"/>
            <w:lang w:val="en-US" w:eastAsia="en-US" w:bidi="ar-SA"/>
          </w:rPr>
          <w:t>https://doi.org/10.3390/microorganisms11020392</w:t>
        </w:r>
      </w:hyperlink>
    </w:p>
    <w:p w14:paraId="4531475C"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Ardanov, P., </w:t>
      </w:r>
      <w:proofErr w:type="spellStart"/>
      <w:r w:rsidRPr="00153BBA">
        <w:rPr>
          <w:rFonts w:ascii="Times New Roman" w:eastAsia="Times New Roman" w:hAnsi="Times New Roman" w:cs="Times New Roman"/>
          <w:sz w:val="24"/>
          <w:szCs w:val="24"/>
          <w:lang w:val="en-US" w:eastAsia="en-US" w:bidi="ar-SA"/>
        </w:rPr>
        <w:t>Sessitsch</w:t>
      </w:r>
      <w:proofErr w:type="spellEnd"/>
      <w:r w:rsidRPr="00153BBA">
        <w:rPr>
          <w:rFonts w:ascii="Times New Roman" w:eastAsia="Times New Roman" w:hAnsi="Times New Roman" w:cs="Times New Roman"/>
          <w:sz w:val="24"/>
          <w:szCs w:val="24"/>
          <w:lang w:val="en-US" w:eastAsia="en-US" w:bidi="ar-SA"/>
        </w:rPr>
        <w:t xml:space="preserve">, A., Häggman, H., </w:t>
      </w:r>
      <w:proofErr w:type="spellStart"/>
      <w:r w:rsidRPr="00153BBA">
        <w:rPr>
          <w:rFonts w:ascii="Times New Roman" w:eastAsia="Times New Roman" w:hAnsi="Times New Roman" w:cs="Times New Roman"/>
          <w:sz w:val="24"/>
          <w:szCs w:val="24"/>
          <w:lang w:val="en-US" w:eastAsia="en-US" w:bidi="ar-SA"/>
        </w:rPr>
        <w:t>Kozyrovska</w:t>
      </w:r>
      <w:proofErr w:type="spellEnd"/>
      <w:r w:rsidRPr="00153BBA">
        <w:rPr>
          <w:rFonts w:ascii="Times New Roman" w:eastAsia="Times New Roman" w:hAnsi="Times New Roman" w:cs="Times New Roman"/>
          <w:sz w:val="24"/>
          <w:szCs w:val="24"/>
          <w:lang w:val="en-US" w:eastAsia="en-US" w:bidi="ar-SA"/>
        </w:rPr>
        <w:t xml:space="preserve">, N., &amp; </w:t>
      </w:r>
      <w:proofErr w:type="spellStart"/>
      <w:r w:rsidRPr="00153BBA">
        <w:rPr>
          <w:rFonts w:ascii="Times New Roman" w:eastAsia="Times New Roman" w:hAnsi="Times New Roman" w:cs="Times New Roman"/>
          <w:sz w:val="24"/>
          <w:szCs w:val="24"/>
          <w:lang w:val="en-US" w:eastAsia="en-US" w:bidi="ar-SA"/>
        </w:rPr>
        <w:t>Pirttilä</w:t>
      </w:r>
      <w:proofErr w:type="spellEnd"/>
      <w:r w:rsidRPr="00153BBA">
        <w:rPr>
          <w:rFonts w:ascii="Times New Roman" w:eastAsia="Times New Roman" w:hAnsi="Times New Roman" w:cs="Times New Roman"/>
          <w:sz w:val="24"/>
          <w:szCs w:val="24"/>
          <w:lang w:val="en-US" w:eastAsia="en-US" w:bidi="ar-SA"/>
        </w:rPr>
        <w:t xml:space="preserve">, A. M. (2012). </w:t>
      </w:r>
      <w:proofErr w:type="spellStart"/>
      <w:r w:rsidRPr="00153BBA">
        <w:rPr>
          <w:rFonts w:ascii="Times New Roman" w:eastAsia="Times New Roman" w:hAnsi="Times New Roman" w:cs="Times New Roman"/>
          <w:i/>
          <w:iCs/>
          <w:sz w:val="24"/>
          <w:szCs w:val="24"/>
          <w:lang w:val="en-US" w:eastAsia="en-US" w:bidi="ar-SA"/>
        </w:rPr>
        <w:t>Methylobacterium</w:t>
      </w:r>
      <w:proofErr w:type="spellEnd"/>
      <w:r w:rsidRPr="00153BBA">
        <w:rPr>
          <w:rFonts w:ascii="Times New Roman" w:eastAsia="Times New Roman" w:hAnsi="Times New Roman" w:cs="Times New Roman"/>
          <w:sz w:val="24"/>
          <w:szCs w:val="24"/>
          <w:lang w:val="en-US" w:eastAsia="en-US" w:bidi="ar-SA"/>
        </w:rPr>
        <w:t xml:space="preserve">-induced endophyte community changes correspond with protection of plants against pathogen attack. </w:t>
      </w:r>
      <w:r w:rsidRPr="00153BBA">
        <w:rPr>
          <w:rFonts w:ascii="Times New Roman" w:eastAsia="Times New Roman" w:hAnsi="Times New Roman" w:cs="Times New Roman"/>
          <w:i/>
          <w:iCs/>
          <w:sz w:val="24"/>
          <w:szCs w:val="24"/>
          <w:lang w:val="en-US" w:eastAsia="en-US" w:bidi="ar-SA"/>
        </w:rPr>
        <w:t>PLOS ONE, 7</w:t>
      </w:r>
      <w:r w:rsidRPr="00153BBA">
        <w:rPr>
          <w:rFonts w:ascii="Times New Roman" w:eastAsia="Times New Roman" w:hAnsi="Times New Roman" w:cs="Times New Roman"/>
          <w:sz w:val="24"/>
          <w:szCs w:val="24"/>
          <w:lang w:val="en-US" w:eastAsia="en-US" w:bidi="ar-SA"/>
        </w:rPr>
        <w:t xml:space="preserve">(10), Article e46802. </w:t>
      </w:r>
      <w:hyperlink r:id="rId10" w:history="1">
        <w:r w:rsidRPr="00153BBA">
          <w:rPr>
            <w:rFonts w:ascii="Times New Roman" w:eastAsia="Times New Roman" w:hAnsi="Times New Roman" w:cs="Times New Roman"/>
            <w:color w:val="0000FF"/>
            <w:sz w:val="24"/>
            <w:szCs w:val="24"/>
            <w:u w:val="single"/>
            <w:lang w:val="en-US" w:eastAsia="en-US" w:bidi="ar-SA"/>
          </w:rPr>
          <w:t>https://doi.org/10.1371/journal.pone.0046802</w:t>
        </w:r>
      </w:hyperlink>
    </w:p>
    <w:p w14:paraId="0E8B5C48"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Bakker, P. A. H. M., Pieterse, C. M. J., de Jonge, R., &amp; Berendsen, R. L. (2018). The soil-borne legacy. </w:t>
      </w:r>
      <w:r w:rsidRPr="00153BBA">
        <w:rPr>
          <w:rFonts w:ascii="Times New Roman" w:eastAsia="Times New Roman" w:hAnsi="Times New Roman" w:cs="Times New Roman"/>
          <w:i/>
          <w:iCs/>
          <w:sz w:val="24"/>
          <w:szCs w:val="24"/>
          <w:lang w:val="en-US" w:eastAsia="en-US" w:bidi="ar-SA"/>
        </w:rPr>
        <w:t>Cell, 172</w:t>
      </w:r>
      <w:r w:rsidRPr="00153BBA">
        <w:rPr>
          <w:rFonts w:ascii="Times New Roman" w:eastAsia="Times New Roman" w:hAnsi="Times New Roman" w:cs="Times New Roman"/>
          <w:sz w:val="24"/>
          <w:szCs w:val="24"/>
          <w:lang w:val="en-US" w:eastAsia="en-US" w:bidi="ar-SA"/>
        </w:rPr>
        <w:t xml:space="preserve">(6), 1178–1180. </w:t>
      </w:r>
      <w:hyperlink r:id="rId11" w:history="1">
        <w:r w:rsidRPr="00153BBA">
          <w:rPr>
            <w:rFonts w:ascii="Times New Roman" w:eastAsia="Times New Roman" w:hAnsi="Times New Roman" w:cs="Times New Roman"/>
            <w:color w:val="0000FF"/>
            <w:sz w:val="24"/>
            <w:szCs w:val="24"/>
            <w:u w:val="single"/>
            <w:lang w:val="en-US" w:eastAsia="en-US" w:bidi="ar-SA"/>
          </w:rPr>
          <w:t>https://doi.org/10.1016/j.cell.2018.02.024</w:t>
        </w:r>
      </w:hyperlink>
    </w:p>
    <w:p w14:paraId="135FF10E"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Baranwal, M., Clark, R. L., Thompson, J., Sun, Z., Hero, A. O., &amp; Venturelli, O. S. (2022). Recurrent neural networks enable design of multifunctional synthetic human gut microbiome dynamics. </w:t>
      </w:r>
      <w:proofErr w:type="spellStart"/>
      <w:r w:rsidRPr="00153BBA">
        <w:rPr>
          <w:rFonts w:ascii="Times New Roman" w:eastAsia="Times New Roman" w:hAnsi="Times New Roman" w:cs="Times New Roman"/>
          <w:i/>
          <w:iCs/>
          <w:sz w:val="24"/>
          <w:szCs w:val="24"/>
          <w:lang w:val="en-US" w:eastAsia="en-US" w:bidi="ar-SA"/>
        </w:rPr>
        <w:t>eLife</w:t>
      </w:r>
      <w:proofErr w:type="spellEnd"/>
      <w:r w:rsidRPr="00153BBA">
        <w:rPr>
          <w:rFonts w:ascii="Times New Roman" w:eastAsia="Times New Roman" w:hAnsi="Times New Roman" w:cs="Times New Roman"/>
          <w:i/>
          <w:iCs/>
          <w:sz w:val="24"/>
          <w:szCs w:val="24"/>
          <w:lang w:val="en-US" w:eastAsia="en-US" w:bidi="ar-SA"/>
        </w:rPr>
        <w:t>, 11</w:t>
      </w:r>
      <w:r w:rsidRPr="00153BBA">
        <w:rPr>
          <w:rFonts w:ascii="Times New Roman" w:eastAsia="Times New Roman" w:hAnsi="Times New Roman" w:cs="Times New Roman"/>
          <w:sz w:val="24"/>
          <w:szCs w:val="24"/>
          <w:lang w:val="en-US" w:eastAsia="en-US" w:bidi="ar-SA"/>
        </w:rPr>
        <w:t xml:space="preserve">, Article e73870. </w:t>
      </w:r>
      <w:hyperlink r:id="rId12" w:history="1">
        <w:r w:rsidRPr="00153BBA">
          <w:rPr>
            <w:rFonts w:ascii="Times New Roman" w:eastAsia="Times New Roman" w:hAnsi="Times New Roman" w:cs="Times New Roman"/>
            <w:color w:val="0000FF"/>
            <w:sz w:val="24"/>
            <w:szCs w:val="24"/>
            <w:u w:val="single"/>
            <w:lang w:val="en-US" w:eastAsia="en-US" w:bidi="ar-SA"/>
          </w:rPr>
          <w:t>https://doi.org/10.7554/eLife.73870</w:t>
        </w:r>
      </w:hyperlink>
    </w:p>
    <w:p w14:paraId="62AF50B8"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Berendsen, R. L., </w:t>
      </w:r>
      <w:proofErr w:type="spellStart"/>
      <w:r w:rsidRPr="00153BBA">
        <w:rPr>
          <w:rFonts w:ascii="Times New Roman" w:eastAsia="Times New Roman" w:hAnsi="Times New Roman" w:cs="Times New Roman"/>
          <w:sz w:val="24"/>
          <w:szCs w:val="24"/>
          <w:lang w:val="en-US" w:eastAsia="en-US" w:bidi="ar-SA"/>
        </w:rPr>
        <w:t>Vismans</w:t>
      </w:r>
      <w:proofErr w:type="spellEnd"/>
      <w:r w:rsidRPr="00153BBA">
        <w:rPr>
          <w:rFonts w:ascii="Times New Roman" w:eastAsia="Times New Roman" w:hAnsi="Times New Roman" w:cs="Times New Roman"/>
          <w:sz w:val="24"/>
          <w:szCs w:val="24"/>
          <w:lang w:val="en-US" w:eastAsia="en-US" w:bidi="ar-SA"/>
        </w:rPr>
        <w:t xml:space="preserve">, G., Yu, K., Song, Y., de Jonge, R., Burgman, W. P., Burmølle, M., Herschend, J., Bakker, P. A. H. M., &amp; Pieterse, C. M. J. (2018). Disease-induced assemblage of a plant-beneficial bacterial consortium. </w:t>
      </w:r>
      <w:r w:rsidRPr="00153BBA">
        <w:rPr>
          <w:rFonts w:ascii="Times New Roman" w:eastAsia="Times New Roman" w:hAnsi="Times New Roman" w:cs="Times New Roman"/>
          <w:i/>
          <w:iCs/>
          <w:sz w:val="24"/>
          <w:szCs w:val="24"/>
          <w:lang w:val="en-US" w:eastAsia="en-US" w:bidi="ar-SA"/>
        </w:rPr>
        <w:t>The ISME Journal, 12</w:t>
      </w:r>
      <w:r w:rsidRPr="00153BBA">
        <w:rPr>
          <w:rFonts w:ascii="Times New Roman" w:eastAsia="Times New Roman" w:hAnsi="Times New Roman" w:cs="Times New Roman"/>
          <w:sz w:val="24"/>
          <w:szCs w:val="24"/>
          <w:lang w:val="en-US" w:eastAsia="en-US" w:bidi="ar-SA"/>
        </w:rPr>
        <w:t xml:space="preserve">(6), 1496–1507. </w:t>
      </w:r>
      <w:hyperlink r:id="rId13" w:history="1">
        <w:r w:rsidRPr="00153BBA">
          <w:rPr>
            <w:rFonts w:ascii="Times New Roman" w:eastAsia="Times New Roman" w:hAnsi="Times New Roman" w:cs="Times New Roman"/>
            <w:color w:val="0000FF"/>
            <w:sz w:val="24"/>
            <w:szCs w:val="24"/>
            <w:u w:val="single"/>
            <w:lang w:val="en-US" w:eastAsia="en-US" w:bidi="ar-SA"/>
          </w:rPr>
          <w:t>https://doi.org/10.1038/s41396-018-0093-1</w:t>
        </w:r>
      </w:hyperlink>
    </w:p>
    <w:p w14:paraId="7AB88A3E"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Berhanu, G., </w:t>
      </w:r>
      <w:proofErr w:type="spellStart"/>
      <w:r w:rsidRPr="00153BBA">
        <w:rPr>
          <w:rFonts w:ascii="Times New Roman" w:eastAsia="Times New Roman" w:hAnsi="Times New Roman" w:cs="Times New Roman"/>
          <w:sz w:val="24"/>
          <w:szCs w:val="24"/>
          <w:lang w:val="en-US" w:eastAsia="en-US" w:bidi="ar-SA"/>
        </w:rPr>
        <w:t>Godishala</w:t>
      </w:r>
      <w:proofErr w:type="spellEnd"/>
      <w:r w:rsidRPr="00153BBA">
        <w:rPr>
          <w:rFonts w:ascii="Times New Roman" w:eastAsia="Times New Roman" w:hAnsi="Times New Roman" w:cs="Times New Roman"/>
          <w:sz w:val="24"/>
          <w:szCs w:val="24"/>
          <w:lang w:val="en-US" w:eastAsia="en-US" w:bidi="ar-SA"/>
        </w:rPr>
        <w:t xml:space="preserve">, V., &amp; Kandi, V. (2021). Microbiome engineering and its applications: A rapid review. </w:t>
      </w:r>
      <w:r w:rsidRPr="00153BBA">
        <w:rPr>
          <w:rFonts w:ascii="Times New Roman" w:eastAsia="Times New Roman" w:hAnsi="Times New Roman" w:cs="Times New Roman"/>
          <w:i/>
          <w:iCs/>
          <w:sz w:val="24"/>
          <w:szCs w:val="24"/>
          <w:lang w:val="en-US" w:eastAsia="en-US" w:bidi="ar-SA"/>
        </w:rPr>
        <w:t>Applied Ecology and Environmental Sciences, 9</w:t>
      </w:r>
      <w:r w:rsidRPr="00153BBA">
        <w:rPr>
          <w:rFonts w:ascii="Times New Roman" w:eastAsia="Times New Roman" w:hAnsi="Times New Roman" w:cs="Times New Roman"/>
          <w:sz w:val="24"/>
          <w:szCs w:val="24"/>
          <w:lang w:val="en-US" w:eastAsia="en-US" w:bidi="ar-SA"/>
        </w:rPr>
        <w:t xml:space="preserve">(10), 865–872. </w:t>
      </w:r>
      <w:hyperlink r:id="rId14" w:history="1">
        <w:r w:rsidRPr="00153BBA">
          <w:rPr>
            <w:rFonts w:ascii="Times New Roman" w:eastAsia="Times New Roman" w:hAnsi="Times New Roman" w:cs="Times New Roman"/>
            <w:color w:val="0000FF"/>
            <w:sz w:val="24"/>
            <w:szCs w:val="24"/>
            <w:u w:val="single"/>
            <w:lang w:val="en-US" w:eastAsia="en-US" w:bidi="ar-SA"/>
          </w:rPr>
          <w:t>https://doi.org/10.12691/aees-9-10-3</w:t>
        </w:r>
      </w:hyperlink>
    </w:p>
    <w:p w14:paraId="149C5FD7"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Berry, D., &amp; Widder, S. (2014). Deciphering microbial interactions and detecting keystone species with co-occurrence networks. </w:t>
      </w:r>
      <w:r w:rsidRPr="00153BBA">
        <w:rPr>
          <w:rFonts w:ascii="Times New Roman" w:eastAsia="Times New Roman" w:hAnsi="Times New Roman" w:cs="Times New Roman"/>
          <w:i/>
          <w:iCs/>
          <w:sz w:val="24"/>
          <w:szCs w:val="24"/>
          <w:lang w:val="en-US" w:eastAsia="en-US" w:bidi="ar-SA"/>
        </w:rPr>
        <w:t>Frontiers in Microbiology, 5</w:t>
      </w:r>
      <w:r w:rsidRPr="00153BBA">
        <w:rPr>
          <w:rFonts w:ascii="Times New Roman" w:eastAsia="Times New Roman" w:hAnsi="Times New Roman" w:cs="Times New Roman"/>
          <w:sz w:val="24"/>
          <w:szCs w:val="24"/>
          <w:lang w:val="en-US" w:eastAsia="en-US" w:bidi="ar-SA"/>
        </w:rPr>
        <w:t xml:space="preserve">, Article 219. </w:t>
      </w:r>
      <w:hyperlink r:id="rId15" w:history="1">
        <w:r w:rsidRPr="00153BBA">
          <w:rPr>
            <w:rFonts w:ascii="Times New Roman" w:eastAsia="Times New Roman" w:hAnsi="Times New Roman" w:cs="Times New Roman"/>
            <w:color w:val="0000FF"/>
            <w:sz w:val="24"/>
            <w:szCs w:val="24"/>
            <w:u w:val="single"/>
            <w:lang w:val="en-US" w:eastAsia="en-US" w:bidi="ar-SA"/>
          </w:rPr>
          <w:t>https://doi.org/10.3389/fmicb.2014.00219</w:t>
        </w:r>
      </w:hyperlink>
    </w:p>
    <w:p w14:paraId="4E158390"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Carrión, V. J., Perez-Jaramillo, J., Cordovez, V., Tracanna, V., de Hollander, M., Ruiz-Buck, D., Mendes, L. W., van </w:t>
      </w:r>
      <w:proofErr w:type="spellStart"/>
      <w:r w:rsidRPr="00153BBA">
        <w:rPr>
          <w:rFonts w:ascii="Times New Roman" w:eastAsia="Times New Roman" w:hAnsi="Times New Roman" w:cs="Times New Roman"/>
          <w:sz w:val="24"/>
          <w:szCs w:val="24"/>
          <w:lang w:val="en-US" w:eastAsia="en-US" w:bidi="ar-SA"/>
        </w:rPr>
        <w:t>Ijcken</w:t>
      </w:r>
      <w:proofErr w:type="spellEnd"/>
      <w:r w:rsidRPr="00153BBA">
        <w:rPr>
          <w:rFonts w:ascii="Times New Roman" w:eastAsia="Times New Roman" w:hAnsi="Times New Roman" w:cs="Times New Roman"/>
          <w:sz w:val="24"/>
          <w:szCs w:val="24"/>
          <w:lang w:val="en-US" w:eastAsia="en-US" w:bidi="ar-SA"/>
        </w:rPr>
        <w:t xml:space="preserve">, W. F. J., Gomez-Exposito, R., Elsayed, S. S., Mohanraju, P., Arifah, A., van der Oost, J., Paulson, J. N., Mendes, R., van Wezel, G. P., Medema, M. H., &amp; Raaijmakers, J. M. (2019). Pathogen-induced activation of disease-suppressive functions in the endophytic root microbiome. </w:t>
      </w:r>
      <w:r w:rsidRPr="00153BBA">
        <w:rPr>
          <w:rFonts w:ascii="Times New Roman" w:eastAsia="Times New Roman" w:hAnsi="Times New Roman" w:cs="Times New Roman"/>
          <w:i/>
          <w:iCs/>
          <w:sz w:val="24"/>
          <w:szCs w:val="24"/>
          <w:lang w:val="en-US" w:eastAsia="en-US" w:bidi="ar-SA"/>
        </w:rPr>
        <w:t>Science, 366</w:t>
      </w:r>
      <w:r w:rsidRPr="00153BBA">
        <w:rPr>
          <w:rFonts w:ascii="Times New Roman" w:eastAsia="Times New Roman" w:hAnsi="Times New Roman" w:cs="Times New Roman"/>
          <w:sz w:val="24"/>
          <w:szCs w:val="24"/>
          <w:lang w:val="en-US" w:eastAsia="en-US" w:bidi="ar-SA"/>
        </w:rPr>
        <w:t xml:space="preserve">(6465), 606–612. </w:t>
      </w:r>
      <w:hyperlink r:id="rId16" w:history="1">
        <w:r w:rsidRPr="00153BBA">
          <w:rPr>
            <w:rFonts w:ascii="Times New Roman" w:eastAsia="Times New Roman" w:hAnsi="Times New Roman" w:cs="Times New Roman"/>
            <w:color w:val="0000FF"/>
            <w:sz w:val="24"/>
            <w:szCs w:val="24"/>
            <w:u w:val="single"/>
            <w:lang w:val="en-US" w:eastAsia="en-US" w:bidi="ar-SA"/>
          </w:rPr>
          <w:t>https://doi.org/10.1126/science.aaw9285</w:t>
        </w:r>
      </w:hyperlink>
    </w:p>
    <w:p w14:paraId="2A64F797"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Cha, J.-Y., Han, S., Hong, H.-J., Cho, H., Kim, D., Kwon, Y., Kwon, S.-K., </w:t>
      </w:r>
      <w:proofErr w:type="spellStart"/>
      <w:r w:rsidRPr="00153BBA">
        <w:rPr>
          <w:rFonts w:ascii="Times New Roman" w:eastAsia="Times New Roman" w:hAnsi="Times New Roman" w:cs="Times New Roman"/>
          <w:sz w:val="24"/>
          <w:szCs w:val="24"/>
          <w:lang w:val="en-US" w:eastAsia="en-US" w:bidi="ar-SA"/>
        </w:rPr>
        <w:t>Crüsemann</w:t>
      </w:r>
      <w:proofErr w:type="spellEnd"/>
      <w:r w:rsidRPr="00153BBA">
        <w:rPr>
          <w:rFonts w:ascii="Times New Roman" w:eastAsia="Times New Roman" w:hAnsi="Times New Roman" w:cs="Times New Roman"/>
          <w:sz w:val="24"/>
          <w:szCs w:val="24"/>
          <w:lang w:val="en-US" w:eastAsia="en-US" w:bidi="ar-SA"/>
        </w:rPr>
        <w:t xml:space="preserve">, M., Lee, Y. B., Kim, J. F., Giaever, G., </w:t>
      </w:r>
      <w:proofErr w:type="spellStart"/>
      <w:r w:rsidRPr="00153BBA">
        <w:rPr>
          <w:rFonts w:ascii="Times New Roman" w:eastAsia="Times New Roman" w:hAnsi="Times New Roman" w:cs="Times New Roman"/>
          <w:sz w:val="24"/>
          <w:szCs w:val="24"/>
          <w:lang w:val="en-US" w:eastAsia="en-US" w:bidi="ar-SA"/>
        </w:rPr>
        <w:t>Nislow</w:t>
      </w:r>
      <w:proofErr w:type="spellEnd"/>
      <w:r w:rsidRPr="00153BBA">
        <w:rPr>
          <w:rFonts w:ascii="Times New Roman" w:eastAsia="Times New Roman" w:hAnsi="Times New Roman" w:cs="Times New Roman"/>
          <w:sz w:val="24"/>
          <w:szCs w:val="24"/>
          <w:lang w:val="en-US" w:eastAsia="en-US" w:bidi="ar-SA"/>
        </w:rPr>
        <w:t xml:space="preserve">, C., Moore, B. S., Thomashow, L. S., Weller, D. M., &amp; Kwak, Y.-S. (2016). Microbial and biochemical basis of a </w:t>
      </w:r>
      <w:r w:rsidRPr="00153BBA">
        <w:rPr>
          <w:rFonts w:ascii="Times New Roman" w:eastAsia="Times New Roman" w:hAnsi="Times New Roman" w:cs="Times New Roman"/>
          <w:i/>
          <w:iCs/>
          <w:sz w:val="24"/>
          <w:szCs w:val="24"/>
          <w:lang w:val="en-US" w:eastAsia="en-US" w:bidi="ar-SA"/>
        </w:rPr>
        <w:t>Fusarium</w:t>
      </w:r>
      <w:r w:rsidRPr="00153BBA">
        <w:rPr>
          <w:rFonts w:ascii="Times New Roman" w:eastAsia="Times New Roman" w:hAnsi="Times New Roman" w:cs="Times New Roman"/>
          <w:sz w:val="24"/>
          <w:szCs w:val="24"/>
          <w:lang w:val="en-US" w:eastAsia="en-US" w:bidi="ar-SA"/>
        </w:rPr>
        <w:t xml:space="preserve"> wilt-suppressive soil. </w:t>
      </w:r>
      <w:r w:rsidRPr="00153BBA">
        <w:rPr>
          <w:rFonts w:ascii="Times New Roman" w:eastAsia="Times New Roman" w:hAnsi="Times New Roman" w:cs="Times New Roman"/>
          <w:i/>
          <w:iCs/>
          <w:sz w:val="24"/>
          <w:szCs w:val="24"/>
          <w:lang w:val="en-US" w:eastAsia="en-US" w:bidi="ar-SA"/>
        </w:rPr>
        <w:t>The ISME Journal, 10</w:t>
      </w:r>
      <w:r w:rsidRPr="00153BBA">
        <w:rPr>
          <w:rFonts w:ascii="Times New Roman" w:eastAsia="Times New Roman" w:hAnsi="Times New Roman" w:cs="Times New Roman"/>
          <w:sz w:val="24"/>
          <w:szCs w:val="24"/>
          <w:lang w:val="en-US" w:eastAsia="en-US" w:bidi="ar-SA"/>
        </w:rPr>
        <w:t xml:space="preserve">(1), 119–129. </w:t>
      </w:r>
      <w:hyperlink r:id="rId17" w:history="1">
        <w:r w:rsidRPr="00153BBA">
          <w:rPr>
            <w:rFonts w:ascii="Times New Roman" w:eastAsia="Times New Roman" w:hAnsi="Times New Roman" w:cs="Times New Roman"/>
            <w:color w:val="0000FF"/>
            <w:sz w:val="24"/>
            <w:szCs w:val="24"/>
            <w:u w:val="single"/>
            <w:lang w:val="en-US" w:eastAsia="en-US" w:bidi="ar-SA"/>
          </w:rPr>
          <w:t>https://doi.org/10.1038/ismej.2015.95</w:t>
        </w:r>
      </w:hyperlink>
    </w:p>
    <w:p w14:paraId="7E7B323F"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Chapelle, E., Mendes, R., Bakker, P. A. H. M., &amp; Raaijmakers, J. M. (2016). Fungal invasion of the rhizosphere microbiome. </w:t>
      </w:r>
      <w:r w:rsidRPr="00153BBA">
        <w:rPr>
          <w:rFonts w:ascii="Times New Roman" w:eastAsia="Times New Roman" w:hAnsi="Times New Roman" w:cs="Times New Roman"/>
          <w:i/>
          <w:iCs/>
          <w:sz w:val="24"/>
          <w:szCs w:val="24"/>
          <w:lang w:val="en-US" w:eastAsia="en-US" w:bidi="ar-SA"/>
        </w:rPr>
        <w:t>The ISME Journal, 10</w:t>
      </w:r>
      <w:r w:rsidRPr="00153BBA">
        <w:rPr>
          <w:rFonts w:ascii="Times New Roman" w:eastAsia="Times New Roman" w:hAnsi="Times New Roman" w:cs="Times New Roman"/>
          <w:sz w:val="24"/>
          <w:szCs w:val="24"/>
          <w:lang w:val="en-US" w:eastAsia="en-US" w:bidi="ar-SA"/>
        </w:rPr>
        <w:t xml:space="preserve">(1), 265–268. </w:t>
      </w:r>
      <w:hyperlink r:id="rId18" w:history="1">
        <w:r w:rsidRPr="00153BBA">
          <w:rPr>
            <w:rFonts w:ascii="Times New Roman" w:eastAsia="Times New Roman" w:hAnsi="Times New Roman" w:cs="Times New Roman"/>
            <w:color w:val="0000FF"/>
            <w:sz w:val="24"/>
            <w:szCs w:val="24"/>
            <w:u w:val="single"/>
            <w:lang w:val="en-US" w:eastAsia="en-US" w:bidi="ar-SA"/>
          </w:rPr>
          <w:t>https://doi.org/10.1038/ismej.2015.82</w:t>
        </w:r>
      </w:hyperlink>
    </w:p>
    <w:p w14:paraId="57438549"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Chet, I., &amp; Inbar, J. (1994). Biological control of fungal pathogens. </w:t>
      </w:r>
      <w:r w:rsidRPr="00153BBA">
        <w:rPr>
          <w:rFonts w:ascii="Times New Roman" w:eastAsia="Times New Roman" w:hAnsi="Times New Roman" w:cs="Times New Roman"/>
          <w:i/>
          <w:iCs/>
          <w:sz w:val="24"/>
          <w:szCs w:val="24"/>
          <w:lang w:val="en-US" w:eastAsia="en-US" w:bidi="ar-SA"/>
        </w:rPr>
        <w:t>Applied Biochemistry and Biotechnology, 48</w:t>
      </w:r>
      <w:r w:rsidRPr="00153BBA">
        <w:rPr>
          <w:rFonts w:ascii="Times New Roman" w:eastAsia="Times New Roman" w:hAnsi="Times New Roman" w:cs="Times New Roman"/>
          <w:sz w:val="24"/>
          <w:szCs w:val="24"/>
          <w:lang w:val="en-US" w:eastAsia="en-US" w:bidi="ar-SA"/>
        </w:rPr>
        <w:t xml:space="preserve">(1), 37–43. </w:t>
      </w:r>
      <w:hyperlink r:id="rId19" w:history="1">
        <w:r w:rsidRPr="00153BBA">
          <w:rPr>
            <w:rFonts w:ascii="Times New Roman" w:eastAsia="Times New Roman" w:hAnsi="Times New Roman" w:cs="Times New Roman"/>
            <w:color w:val="0000FF"/>
            <w:sz w:val="24"/>
            <w:szCs w:val="24"/>
            <w:u w:val="single"/>
            <w:lang w:val="en-US" w:eastAsia="en-US" w:bidi="ar-SA"/>
          </w:rPr>
          <w:t>https://doi.org/10.1007/BF02825358</w:t>
        </w:r>
      </w:hyperlink>
    </w:p>
    <w:p w14:paraId="545D18A9"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Cui, W., Marsland, R., III, &amp; Mehta, P. (2021). Diverse communities behave like typical random ecosystems. </w:t>
      </w:r>
      <w:r w:rsidRPr="00153BBA">
        <w:rPr>
          <w:rFonts w:ascii="Times New Roman" w:eastAsia="Times New Roman" w:hAnsi="Times New Roman" w:cs="Times New Roman"/>
          <w:i/>
          <w:iCs/>
          <w:sz w:val="24"/>
          <w:szCs w:val="24"/>
          <w:lang w:val="en-US" w:eastAsia="en-US" w:bidi="ar-SA"/>
        </w:rPr>
        <w:t>Physical Review E, 104</w:t>
      </w:r>
      <w:r w:rsidRPr="00153BBA">
        <w:rPr>
          <w:rFonts w:ascii="Times New Roman" w:eastAsia="Times New Roman" w:hAnsi="Times New Roman" w:cs="Times New Roman"/>
          <w:sz w:val="24"/>
          <w:szCs w:val="24"/>
          <w:lang w:val="en-US" w:eastAsia="en-US" w:bidi="ar-SA"/>
        </w:rPr>
        <w:t xml:space="preserve">(3), Article 034416. </w:t>
      </w:r>
      <w:hyperlink r:id="rId20" w:history="1">
        <w:r w:rsidRPr="00153BBA">
          <w:rPr>
            <w:rFonts w:ascii="Times New Roman" w:eastAsia="Times New Roman" w:hAnsi="Times New Roman" w:cs="Times New Roman"/>
            <w:color w:val="0000FF"/>
            <w:sz w:val="24"/>
            <w:szCs w:val="24"/>
            <w:u w:val="single"/>
            <w:lang w:val="en-US" w:eastAsia="en-US" w:bidi="ar-SA"/>
          </w:rPr>
          <w:t>https://doi.org/10.1103/PhysRevE.104.034416</w:t>
        </w:r>
      </w:hyperlink>
    </w:p>
    <w:p w14:paraId="1287EEC1"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lastRenderedPageBreak/>
        <w:t>Culbreath, A. K., Rodríguez-</w:t>
      </w:r>
      <w:proofErr w:type="spellStart"/>
      <w:r w:rsidRPr="00153BBA">
        <w:rPr>
          <w:rFonts w:ascii="Times New Roman" w:eastAsia="Times New Roman" w:hAnsi="Times New Roman" w:cs="Times New Roman"/>
          <w:sz w:val="24"/>
          <w:szCs w:val="24"/>
          <w:lang w:val="en-US" w:eastAsia="en-US" w:bidi="ar-SA"/>
        </w:rPr>
        <w:t>Kábana</w:t>
      </w:r>
      <w:proofErr w:type="spellEnd"/>
      <w:r w:rsidRPr="00153BBA">
        <w:rPr>
          <w:rFonts w:ascii="Times New Roman" w:eastAsia="Times New Roman" w:hAnsi="Times New Roman" w:cs="Times New Roman"/>
          <w:sz w:val="24"/>
          <w:szCs w:val="24"/>
          <w:lang w:val="en-US" w:eastAsia="en-US" w:bidi="ar-SA"/>
        </w:rPr>
        <w:t xml:space="preserve">, R., &amp; Morgan-Jones, G. (1985). The use of </w:t>
      </w:r>
      <w:proofErr w:type="spellStart"/>
      <w:r w:rsidRPr="00153BBA">
        <w:rPr>
          <w:rFonts w:ascii="Times New Roman" w:eastAsia="Times New Roman" w:hAnsi="Times New Roman" w:cs="Times New Roman"/>
          <w:sz w:val="24"/>
          <w:szCs w:val="24"/>
          <w:lang w:val="en-US" w:eastAsia="en-US" w:bidi="ar-SA"/>
        </w:rPr>
        <w:t>hemicellulosic</w:t>
      </w:r>
      <w:proofErr w:type="spellEnd"/>
      <w:r w:rsidRPr="00153BBA">
        <w:rPr>
          <w:rFonts w:ascii="Times New Roman" w:eastAsia="Times New Roman" w:hAnsi="Times New Roman" w:cs="Times New Roman"/>
          <w:sz w:val="24"/>
          <w:szCs w:val="24"/>
          <w:lang w:val="en-US" w:eastAsia="en-US" w:bidi="ar-SA"/>
        </w:rPr>
        <w:t xml:space="preserve"> waste matter for reduction of the phytotoxic effects of chitin and control of root-knot nematodes. </w:t>
      </w:r>
      <w:proofErr w:type="spellStart"/>
      <w:r w:rsidRPr="00153BBA">
        <w:rPr>
          <w:rFonts w:ascii="Times New Roman" w:eastAsia="Times New Roman" w:hAnsi="Times New Roman" w:cs="Times New Roman"/>
          <w:i/>
          <w:iCs/>
          <w:sz w:val="24"/>
          <w:szCs w:val="24"/>
          <w:lang w:val="en-US" w:eastAsia="en-US" w:bidi="ar-SA"/>
        </w:rPr>
        <w:t>Nematropica</w:t>
      </w:r>
      <w:proofErr w:type="spellEnd"/>
      <w:r w:rsidRPr="00153BBA">
        <w:rPr>
          <w:rFonts w:ascii="Times New Roman" w:eastAsia="Times New Roman" w:hAnsi="Times New Roman" w:cs="Times New Roman"/>
          <w:i/>
          <w:iCs/>
          <w:sz w:val="24"/>
          <w:szCs w:val="24"/>
          <w:lang w:val="en-US" w:eastAsia="en-US" w:bidi="ar-SA"/>
        </w:rPr>
        <w:t>, 15</w:t>
      </w:r>
      <w:r w:rsidRPr="00153BBA">
        <w:rPr>
          <w:rFonts w:ascii="Times New Roman" w:eastAsia="Times New Roman" w:hAnsi="Times New Roman" w:cs="Times New Roman"/>
          <w:sz w:val="24"/>
          <w:szCs w:val="24"/>
          <w:lang w:val="en-US" w:eastAsia="en-US" w:bidi="ar-SA"/>
        </w:rPr>
        <w:t xml:space="preserve">(1), 49–75. </w:t>
      </w:r>
      <w:hyperlink r:id="rId21" w:history="1">
        <w:r w:rsidRPr="00153BBA">
          <w:rPr>
            <w:rFonts w:ascii="Times New Roman" w:eastAsia="Times New Roman" w:hAnsi="Times New Roman" w:cs="Times New Roman"/>
            <w:color w:val="0000FF"/>
            <w:sz w:val="24"/>
            <w:szCs w:val="24"/>
            <w:u w:val="single"/>
            <w:lang w:val="en-US" w:eastAsia="en-US" w:bidi="ar-SA"/>
          </w:rPr>
          <w:t>https://agris.fao.org/search/en/providers/125814/records/694275c7f2f3b9724406900f</w:t>
        </w:r>
      </w:hyperlink>
    </w:p>
    <w:p w14:paraId="03DF100C"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Delgado-Baquerizo, M., Singh, B. K., Liu, Y.-R., Sáez-Sandino, T., </w:t>
      </w:r>
      <w:proofErr w:type="spellStart"/>
      <w:r w:rsidRPr="00153BBA">
        <w:rPr>
          <w:rFonts w:ascii="Times New Roman" w:eastAsia="Times New Roman" w:hAnsi="Times New Roman" w:cs="Times New Roman"/>
          <w:sz w:val="24"/>
          <w:szCs w:val="24"/>
          <w:lang w:val="en-US" w:eastAsia="en-US" w:bidi="ar-SA"/>
        </w:rPr>
        <w:t>Coleine</w:t>
      </w:r>
      <w:proofErr w:type="spellEnd"/>
      <w:r w:rsidRPr="00153BBA">
        <w:rPr>
          <w:rFonts w:ascii="Times New Roman" w:eastAsia="Times New Roman" w:hAnsi="Times New Roman" w:cs="Times New Roman"/>
          <w:sz w:val="24"/>
          <w:szCs w:val="24"/>
          <w:lang w:val="en-US" w:eastAsia="en-US" w:bidi="ar-SA"/>
        </w:rPr>
        <w:t xml:space="preserve">, C., Muñoz-Rojas, M., Bastida, F., &amp; Trivedi, P. (2025). Integrating ecological and evolutionary frameworks for </w:t>
      </w:r>
      <w:proofErr w:type="spellStart"/>
      <w:r w:rsidRPr="00153BBA">
        <w:rPr>
          <w:rFonts w:ascii="Times New Roman" w:eastAsia="Times New Roman" w:hAnsi="Times New Roman" w:cs="Times New Roman"/>
          <w:sz w:val="24"/>
          <w:szCs w:val="24"/>
          <w:lang w:val="en-US" w:eastAsia="en-US" w:bidi="ar-SA"/>
        </w:rPr>
        <w:t>SynCom</w:t>
      </w:r>
      <w:proofErr w:type="spellEnd"/>
      <w:r w:rsidRPr="00153BBA">
        <w:rPr>
          <w:rFonts w:ascii="Times New Roman" w:eastAsia="Times New Roman" w:hAnsi="Times New Roman" w:cs="Times New Roman"/>
          <w:sz w:val="24"/>
          <w:szCs w:val="24"/>
          <w:lang w:val="en-US" w:eastAsia="en-US" w:bidi="ar-SA"/>
        </w:rPr>
        <w:t xml:space="preserve"> success. </w:t>
      </w:r>
      <w:r w:rsidRPr="00153BBA">
        <w:rPr>
          <w:rFonts w:ascii="Times New Roman" w:eastAsia="Times New Roman" w:hAnsi="Times New Roman" w:cs="Times New Roman"/>
          <w:i/>
          <w:iCs/>
          <w:sz w:val="24"/>
          <w:szCs w:val="24"/>
          <w:lang w:val="en-US" w:eastAsia="en-US" w:bidi="ar-SA"/>
        </w:rPr>
        <w:t>New Phytologist, 246</w:t>
      </w:r>
      <w:r w:rsidRPr="00153BBA">
        <w:rPr>
          <w:rFonts w:ascii="Times New Roman" w:eastAsia="Times New Roman" w:hAnsi="Times New Roman" w:cs="Times New Roman"/>
          <w:sz w:val="24"/>
          <w:szCs w:val="24"/>
          <w:lang w:val="en-US" w:eastAsia="en-US" w:bidi="ar-SA"/>
        </w:rPr>
        <w:t xml:space="preserve">(5), 1922–1933. </w:t>
      </w:r>
      <w:hyperlink r:id="rId22" w:history="1">
        <w:r w:rsidRPr="00153BBA">
          <w:rPr>
            <w:rFonts w:ascii="Times New Roman" w:eastAsia="Times New Roman" w:hAnsi="Times New Roman" w:cs="Times New Roman"/>
            <w:color w:val="0000FF"/>
            <w:sz w:val="24"/>
            <w:szCs w:val="24"/>
            <w:u w:val="single"/>
            <w:lang w:val="en-US" w:eastAsia="en-US" w:bidi="ar-SA"/>
          </w:rPr>
          <w:t>https://doi.org/10.1111/nph.70112</w:t>
        </w:r>
      </w:hyperlink>
    </w:p>
    <w:p w14:paraId="1F775D1A"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Dewey, F. M., Wong, Y. L., Seery, R., Hollins, T. W., &amp; Gurr, S. J. (1999). Bacteria associated with </w:t>
      </w:r>
      <w:proofErr w:type="spellStart"/>
      <w:r w:rsidRPr="00153BBA">
        <w:rPr>
          <w:rFonts w:ascii="Times New Roman" w:eastAsia="Times New Roman" w:hAnsi="Times New Roman" w:cs="Times New Roman"/>
          <w:i/>
          <w:iCs/>
          <w:sz w:val="24"/>
          <w:szCs w:val="24"/>
          <w:lang w:val="en-US" w:eastAsia="en-US" w:bidi="ar-SA"/>
        </w:rPr>
        <w:t>Stagonospora</w:t>
      </w:r>
      <w:proofErr w:type="spellEnd"/>
      <w:r w:rsidRPr="00153BBA">
        <w:rPr>
          <w:rFonts w:ascii="Times New Roman" w:eastAsia="Times New Roman" w:hAnsi="Times New Roman" w:cs="Times New Roman"/>
          <w:i/>
          <w:iCs/>
          <w:sz w:val="24"/>
          <w:szCs w:val="24"/>
          <w:lang w:val="en-US" w:eastAsia="en-US" w:bidi="ar-SA"/>
        </w:rPr>
        <w:t xml:space="preserve"> (Septoria) </w:t>
      </w:r>
      <w:proofErr w:type="spellStart"/>
      <w:r w:rsidRPr="00153BBA">
        <w:rPr>
          <w:rFonts w:ascii="Times New Roman" w:eastAsia="Times New Roman" w:hAnsi="Times New Roman" w:cs="Times New Roman"/>
          <w:i/>
          <w:iCs/>
          <w:sz w:val="24"/>
          <w:szCs w:val="24"/>
          <w:lang w:val="en-US" w:eastAsia="en-US" w:bidi="ar-SA"/>
        </w:rPr>
        <w:t>nodorum</w:t>
      </w:r>
      <w:proofErr w:type="spellEnd"/>
      <w:r w:rsidRPr="00153BBA">
        <w:rPr>
          <w:rFonts w:ascii="Times New Roman" w:eastAsia="Times New Roman" w:hAnsi="Times New Roman" w:cs="Times New Roman"/>
          <w:sz w:val="24"/>
          <w:szCs w:val="24"/>
          <w:lang w:val="en-US" w:eastAsia="en-US" w:bidi="ar-SA"/>
        </w:rPr>
        <w:t xml:space="preserve"> increase pathogenicity of the fungus. </w:t>
      </w:r>
      <w:r w:rsidRPr="00153BBA">
        <w:rPr>
          <w:rFonts w:ascii="Times New Roman" w:eastAsia="Times New Roman" w:hAnsi="Times New Roman" w:cs="Times New Roman"/>
          <w:i/>
          <w:iCs/>
          <w:sz w:val="24"/>
          <w:szCs w:val="24"/>
          <w:lang w:val="en-US" w:eastAsia="en-US" w:bidi="ar-SA"/>
        </w:rPr>
        <w:t>New Phytologist, 144</w:t>
      </w:r>
      <w:r w:rsidRPr="00153BBA">
        <w:rPr>
          <w:rFonts w:ascii="Times New Roman" w:eastAsia="Times New Roman" w:hAnsi="Times New Roman" w:cs="Times New Roman"/>
          <w:sz w:val="24"/>
          <w:szCs w:val="24"/>
          <w:lang w:val="en-US" w:eastAsia="en-US" w:bidi="ar-SA"/>
        </w:rPr>
        <w:t xml:space="preserve">(3), 489–497. </w:t>
      </w:r>
      <w:hyperlink r:id="rId23" w:history="1">
        <w:r w:rsidRPr="00153BBA">
          <w:rPr>
            <w:rFonts w:ascii="Times New Roman" w:eastAsia="Times New Roman" w:hAnsi="Times New Roman" w:cs="Times New Roman"/>
            <w:color w:val="0000FF"/>
            <w:sz w:val="24"/>
            <w:szCs w:val="24"/>
            <w:u w:val="single"/>
            <w:lang w:val="en-US" w:eastAsia="en-US" w:bidi="ar-SA"/>
          </w:rPr>
          <w:t>https://doi.org/10.1046/j.1469-8137.1999.00542.x</w:t>
        </w:r>
      </w:hyperlink>
    </w:p>
    <w:p w14:paraId="413B5F86"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Du, Y., Han, X., &amp; Tsuda, K. (2025). Microbiome-mediated plant disease resistance: Recent advances and future directions. </w:t>
      </w:r>
      <w:r w:rsidRPr="00153BBA">
        <w:rPr>
          <w:rFonts w:ascii="Times New Roman" w:eastAsia="Times New Roman" w:hAnsi="Times New Roman" w:cs="Times New Roman"/>
          <w:i/>
          <w:iCs/>
          <w:sz w:val="24"/>
          <w:szCs w:val="24"/>
          <w:lang w:val="en-US" w:eastAsia="en-US" w:bidi="ar-SA"/>
        </w:rPr>
        <w:t>Journal of General Plant Pathology, 91</w:t>
      </w:r>
      <w:r w:rsidRPr="00153BBA">
        <w:rPr>
          <w:rFonts w:ascii="Times New Roman" w:eastAsia="Times New Roman" w:hAnsi="Times New Roman" w:cs="Times New Roman"/>
          <w:sz w:val="24"/>
          <w:szCs w:val="24"/>
          <w:lang w:val="en-US" w:eastAsia="en-US" w:bidi="ar-SA"/>
        </w:rPr>
        <w:t xml:space="preserve">, 1–17. </w:t>
      </w:r>
      <w:hyperlink r:id="rId24" w:history="1">
        <w:r w:rsidRPr="00153BBA">
          <w:rPr>
            <w:rFonts w:ascii="Times New Roman" w:eastAsia="Times New Roman" w:hAnsi="Times New Roman" w:cs="Times New Roman"/>
            <w:color w:val="0000FF"/>
            <w:sz w:val="24"/>
            <w:szCs w:val="24"/>
            <w:u w:val="single"/>
            <w:lang w:val="en-US" w:eastAsia="en-US" w:bidi="ar-SA"/>
          </w:rPr>
          <w:t>https://doi.org/10.1007/s10327-024-01204-1</w:t>
        </w:r>
      </w:hyperlink>
    </w:p>
    <w:p w14:paraId="1DCC708C"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Dyer, S., Weir, R., Cox, D., </w:t>
      </w:r>
      <w:proofErr w:type="spellStart"/>
      <w:r w:rsidRPr="00153BBA">
        <w:rPr>
          <w:rFonts w:ascii="Times New Roman" w:eastAsia="Times New Roman" w:hAnsi="Times New Roman" w:cs="Times New Roman"/>
          <w:sz w:val="24"/>
          <w:szCs w:val="24"/>
          <w:lang w:val="en-US" w:eastAsia="en-US" w:bidi="ar-SA"/>
        </w:rPr>
        <w:t>Cheseto</w:t>
      </w:r>
      <w:proofErr w:type="spellEnd"/>
      <w:r w:rsidRPr="00153BBA">
        <w:rPr>
          <w:rFonts w:ascii="Times New Roman" w:eastAsia="Times New Roman" w:hAnsi="Times New Roman" w:cs="Times New Roman"/>
          <w:sz w:val="24"/>
          <w:szCs w:val="24"/>
          <w:lang w:val="en-US" w:eastAsia="en-US" w:bidi="ar-SA"/>
        </w:rPr>
        <w:t xml:space="preserve">, X., Torto, B., &amp; Dalzell, J. J. (2019). Ethylene response factor (ERF) genes modulate plant root exudate composition and the attraction of plant parasitic nematodes. </w:t>
      </w:r>
      <w:r w:rsidRPr="00153BBA">
        <w:rPr>
          <w:rFonts w:ascii="Times New Roman" w:eastAsia="Times New Roman" w:hAnsi="Times New Roman" w:cs="Times New Roman"/>
          <w:i/>
          <w:iCs/>
          <w:sz w:val="24"/>
          <w:szCs w:val="24"/>
          <w:lang w:val="en-US" w:eastAsia="en-US" w:bidi="ar-SA"/>
        </w:rPr>
        <w:t>International Journal for Parasitology, 49</w:t>
      </w:r>
      <w:r w:rsidRPr="00153BBA">
        <w:rPr>
          <w:rFonts w:ascii="Times New Roman" w:eastAsia="Times New Roman" w:hAnsi="Times New Roman" w:cs="Times New Roman"/>
          <w:sz w:val="24"/>
          <w:szCs w:val="24"/>
          <w:lang w:val="en-US" w:eastAsia="en-US" w:bidi="ar-SA"/>
        </w:rPr>
        <w:t xml:space="preserve">(13–14), 999–1003. </w:t>
      </w:r>
      <w:hyperlink r:id="rId25" w:history="1">
        <w:r w:rsidRPr="00153BBA">
          <w:rPr>
            <w:rFonts w:ascii="Times New Roman" w:eastAsia="Times New Roman" w:hAnsi="Times New Roman" w:cs="Times New Roman"/>
            <w:color w:val="0000FF"/>
            <w:sz w:val="24"/>
            <w:szCs w:val="24"/>
            <w:u w:val="single"/>
            <w:lang w:val="en-US" w:eastAsia="en-US" w:bidi="ar-SA"/>
          </w:rPr>
          <w:t>https://doi.org/10.1016/j.ijpara.2019.09.001</w:t>
        </w:r>
      </w:hyperlink>
    </w:p>
    <w:p w14:paraId="47066EAB"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proofErr w:type="spellStart"/>
      <w:r w:rsidRPr="00153BBA">
        <w:rPr>
          <w:rFonts w:ascii="Times New Roman" w:eastAsia="Times New Roman" w:hAnsi="Times New Roman" w:cs="Times New Roman"/>
          <w:sz w:val="24"/>
          <w:szCs w:val="24"/>
          <w:lang w:val="en-US" w:eastAsia="en-US" w:bidi="ar-SA"/>
        </w:rPr>
        <w:t>Egamberdieva</w:t>
      </w:r>
      <w:proofErr w:type="spellEnd"/>
      <w:r w:rsidRPr="00153BBA">
        <w:rPr>
          <w:rFonts w:ascii="Times New Roman" w:eastAsia="Times New Roman" w:hAnsi="Times New Roman" w:cs="Times New Roman"/>
          <w:sz w:val="24"/>
          <w:szCs w:val="24"/>
          <w:lang w:val="en-US" w:eastAsia="en-US" w:bidi="ar-SA"/>
        </w:rPr>
        <w:t xml:space="preserve">, D., Kamilova, F., Validov, S., </w:t>
      </w:r>
      <w:proofErr w:type="spellStart"/>
      <w:r w:rsidRPr="00153BBA">
        <w:rPr>
          <w:rFonts w:ascii="Times New Roman" w:eastAsia="Times New Roman" w:hAnsi="Times New Roman" w:cs="Times New Roman"/>
          <w:sz w:val="24"/>
          <w:szCs w:val="24"/>
          <w:lang w:val="en-US" w:eastAsia="en-US" w:bidi="ar-SA"/>
        </w:rPr>
        <w:t>Gafurova</w:t>
      </w:r>
      <w:proofErr w:type="spellEnd"/>
      <w:r w:rsidRPr="00153BBA">
        <w:rPr>
          <w:rFonts w:ascii="Times New Roman" w:eastAsia="Times New Roman" w:hAnsi="Times New Roman" w:cs="Times New Roman"/>
          <w:sz w:val="24"/>
          <w:szCs w:val="24"/>
          <w:lang w:val="en-US" w:eastAsia="en-US" w:bidi="ar-SA"/>
        </w:rPr>
        <w:t xml:space="preserve">, L., </w:t>
      </w:r>
      <w:proofErr w:type="spellStart"/>
      <w:r w:rsidRPr="00153BBA">
        <w:rPr>
          <w:rFonts w:ascii="Times New Roman" w:eastAsia="Times New Roman" w:hAnsi="Times New Roman" w:cs="Times New Roman"/>
          <w:sz w:val="24"/>
          <w:szCs w:val="24"/>
          <w:lang w:val="en-US" w:eastAsia="en-US" w:bidi="ar-SA"/>
        </w:rPr>
        <w:t>Kucharova</w:t>
      </w:r>
      <w:proofErr w:type="spellEnd"/>
      <w:r w:rsidRPr="00153BBA">
        <w:rPr>
          <w:rFonts w:ascii="Times New Roman" w:eastAsia="Times New Roman" w:hAnsi="Times New Roman" w:cs="Times New Roman"/>
          <w:sz w:val="24"/>
          <w:szCs w:val="24"/>
          <w:lang w:val="en-US" w:eastAsia="en-US" w:bidi="ar-SA"/>
        </w:rPr>
        <w:t xml:space="preserve">, Z., &amp; </w:t>
      </w:r>
      <w:proofErr w:type="spellStart"/>
      <w:r w:rsidRPr="00153BBA">
        <w:rPr>
          <w:rFonts w:ascii="Times New Roman" w:eastAsia="Times New Roman" w:hAnsi="Times New Roman" w:cs="Times New Roman"/>
          <w:sz w:val="24"/>
          <w:szCs w:val="24"/>
          <w:lang w:val="en-US" w:eastAsia="en-US" w:bidi="ar-SA"/>
        </w:rPr>
        <w:t>Lugtenberg</w:t>
      </w:r>
      <w:proofErr w:type="spellEnd"/>
      <w:r w:rsidRPr="00153BBA">
        <w:rPr>
          <w:rFonts w:ascii="Times New Roman" w:eastAsia="Times New Roman" w:hAnsi="Times New Roman" w:cs="Times New Roman"/>
          <w:sz w:val="24"/>
          <w:szCs w:val="24"/>
          <w:lang w:val="en-US" w:eastAsia="en-US" w:bidi="ar-SA"/>
        </w:rPr>
        <w:t xml:space="preserve">, B. (2008). High incidence of plant growth-stimulating bacteria associated with the rhizosphere of wheat grown on </w:t>
      </w:r>
      <w:proofErr w:type="spellStart"/>
      <w:r w:rsidRPr="00153BBA">
        <w:rPr>
          <w:rFonts w:ascii="Times New Roman" w:eastAsia="Times New Roman" w:hAnsi="Times New Roman" w:cs="Times New Roman"/>
          <w:sz w:val="24"/>
          <w:szCs w:val="24"/>
          <w:lang w:val="en-US" w:eastAsia="en-US" w:bidi="ar-SA"/>
        </w:rPr>
        <w:t>salinated</w:t>
      </w:r>
      <w:proofErr w:type="spellEnd"/>
      <w:r w:rsidRPr="00153BBA">
        <w:rPr>
          <w:rFonts w:ascii="Times New Roman" w:eastAsia="Times New Roman" w:hAnsi="Times New Roman" w:cs="Times New Roman"/>
          <w:sz w:val="24"/>
          <w:szCs w:val="24"/>
          <w:lang w:val="en-US" w:eastAsia="en-US" w:bidi="ar-SA"/>
        </w:rPr>
        <w:t xml:space="preserve"> soil in Uzbekistan. </w:t>
      </w:r>
      <w:r w:rsidRPr="00153BBA">
        <w:rPr>
          <w:rFonts w:ascii="Times New Roman" w:eastAsia="Times New Roman" w:hAnsi="Times New Roman" w:cs="Times New Roman"/>
          <w:i/>
          <w:iCs/>
          <w:sz w:val="24"/>
          <w:szCs w:val="24"/>
          <w:lang w:val="en-US" w:eastAsia="en-US" w:bidi="ar-SA"/>
        </w:rPr>
        <w:t>Environmental Microbiology, 10</w:t>
      </w:r>
      <w:r w:rsidRPr="00153BBA">
        <w:rPr>
          <w:rFonts w:ascii="Times New Roman" w:eastAsia="Times New Roman" w:hAnsi="Times New Roman" w:cs="Times New Roman"/>
          <w:sz w:val="24"/>
          <w:szCs w:val="24"/>
          <w:lang w:val="en-US" w:eastAsia="en-US" w:bidi="ar-SA"/>
        </w:rPr>
        <w:t xml:space="preserve">(1), 1–9. </w:t>
      </w:r>
      <w:hyperlink r:id="rId26" w:history="1">
        <w:r w:rsidRPr="00153BBA">
          <w:rPr>
            <w:rFonts w:ascii="Times New Roman" w:eastAsia="Times New Roman" w:hAnsi="Times New Roman" w:cs="Times New Roman"/>
            <w:color w:val="0000FF"/>
            <w:sz w:val="24"/>
            <w:szCs w:val="24"/>
            <w:u w:val="single"/>
            <w:lang w:val="en-US" w:eastAsia="en-US" w:bidi="ar-SA"/>
          </w:rPr>
          <w:t>https://doi.org/10.1111/j.1462-2920.2007.01424.x</w:t>
        </w:r>
      </w:hyperlink>
    </w:p>
    <w:p w14:paraId="5CD07EB8"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Emmenegger, B., Massoni, J., Pestalozzi, C. M., </w:t>
      </w:r>
      <w:proofErr w:type="spellStart"/>
      <w:r w:rsidRPr="00153BBA">
        <w:rPr>
          <w:rFonts w:ascii="Times New Roman" w:eastAsia="Times New Roman" w:hAnsi="Times New Roman" w:cs="Times New Roman"/>
          <w:sz w:val="24"/>
          <w:szCs w:val="24"/>
          <w:lang w:val="en-US" w:eastAsia="en-US" w:bidi="ar-SA"/>
        </w:rPr>
        <w:t>Bortfeld</w:t>
      </w:r>
      <w:proofErr w:type="spellEnd"/>
      <w:r w:rsidRPr="00153BBA">
        <w:rPr>
          <w:rFonts w:ascii="Times New Roman" w:eastAsia="Times New Roman" w:hAnsi="Times New Roman" w:cs="Times New Roman"/>
          <w:sz w:val="24"/>
          <w:szCs w:val="24"/>
          <w:lang w:val="en-US" w:eastAsia="en-US" w:bidi="ar-SA"/>
        </w:rPr>
        <w:t xml:space="preserve">-Miller, M., Maier, B. A., &amp; Vorholt, J. A. (2023). Identifying microbiota community patterns important for plant protection using synthetic communities and machine learning. </w:t>
      </w:r>
      <w:r w:rsidRPr="00153BBA">
        <w:rPr>
          <w:rFonts w:ascii="Times New Roman" w:eastAsia="Times New Roman" w:hAnsi="Times New Roman" w:cs="Times New Roman"/>
          <w:i/>
          <w:iCs/>
          <w:sz w:val="24"/>
          <w:szCs w:val="24"/>
          <w:lang w:val="en-US" w:eastAsia="en-US" w:bidi="ar-SA"/>
        </w:rPr>
        <w:t>Nature Communications, 14</w:t>
      </w:r>
      <w:r w:rsidRPr="00153BBA">
        <w:rPr>
          <w:rFonts w:ascii="Times New Roman" w:eastAsia="Times New Roman" w:hAnsi="Times New Roman" w:cs="Times New Roman"/>
          <w:sz w:val="24"/>
          <w:szCs w:val="24"/>
          <w:lang w:val="en-US" w:eastAsia="en-US" w:bidi="ar-SA"/>
        </w:rPr>
        <w:t xml:space="preserve">(1), Article 7983. </w:t>
      </w:r>
      <w:hyperlink r:id="rId27" w:history="1">
        <w:r w:rsidRPr="00153BBA">
          <w:rPr>
            <w:rFonts w:ascii="Times New Roman" w:eastAsia="Times New Roman" w:hAnsi="Times New Roman" w:cs="Times New Roman"/>
            <w:color w:val="0000FF"/>
            <w:sz w:val="24"/>
            <w:szCs w:val="24"/>
            <w:u w:val="single"/>
            <w:lang w:val="en-US" w:eastAsia="en-US" w:bidi="ar-SA"/>
          </w:rPr>
          <w:t>https://doi.org/10.1038/s41467-023-43793-z</w:t>
        </w:r>
      </w:hyperlink>
    </w:p>
    <w:p w14:paraId="459A4890"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Folorunso, T. R., </w:t>
      </w:r>
      <w:proofErr w:type="spellStart"/>
      <w:r w:rsidRPr="00153BBA">
        <w:rPr>
          <w:rFonts w:ascii="Times New Roman" w:eastAsia="Times New Roman" w:hAnsi="Times New Roman" w:cs="Times New Roman"/>
          <w:sz w:val="24"/>
          <w:szCs w:val="24"/>
          <w:lang w:val="en-US" w:eastAsia="en-US" w:bidi="ar-SA"/>
        </w:rPr>
        <w:t>Akwabeng</w:t>
      </w:r>
      <w:proofErr w:type="spellEnd"/>
      <w:r w:rsidRPr="00153BBA">
        <w:rPr>
          <w:rFonts w:ascii="Times New Roman" w:eastAsia="Times New Roman" w:hAnsi="Times New Roman" w:cs="Times New Roman"/>
          <w:sz w:val="24"/>
          <w:szCs w:val="24"/>
          <w:lang w:val="en-US" w:eastAsia="en-US" w:bidi="ar-SA"/>
        </w:rPr>
        <w:t xml:space="preserve">, P. M., Rowaiye, A. B., </w:t>
      </w:r>
      <w:proofErr w:type="spellStart"/>
      <w:r w:rsidRPr="00153BBA">
        <w:rPr>
          <w:rFonts w:ascii="Times New Roman" w:eastAsia="Times New Roman" w:hAnsi="Times New Roman" w:cs="Times New Roman"/>
          <w:sz w:val="24"/>
          <w:szCs w:val="24"/>
          <w:lang w:val="en-US" w:eastAsia="en-US" w:bidi="ar-SA"/>
        </w:rPr>
        <w:t>Iduu</w:t>
      </w:r>
      <w:proofErr w:type="spellEnd"/>
      <w:r w:rsidRPr="00153BBA">
        <w:rPr>
          <w:rFonts w:ascii="Times New Roman" w:eastAsia="Times New Roman" w:hAnsi="Times New Roman" w:cs="Times New Roman"/>
          <w:sz w:val="24"/>
          <w:szCs w:val="24"/>
          <w:lang w:val="en-US" w:eastAsia="en-US" w:bidi="ar-SA"/>
        </w:rPr>
        <w:t xml:space="preserve">, N. V., &amp; Bur, D. (2026). High-throughput design of defined microbial consortia for crop protection. </w:t>
      </w:r>
      <w:r w:rsidRPr="00153BBA">
        <w:rPr>
          <w:rFonts w:ascii="Times New Roman" w:eastAsia="Times New Roman" w:hAnsi="Times New Roman" w:cs="Times New Roman"/>
          <w:i/>
          <w:iCs/>
          <w:sz w:val="24"/>
          <w:szCs w:val="24"/>
          <w:lang w:val="en-US" w:eastAsia="en-US" w:bidi="ar-SA"/>
        </w:rPr>
        <w:t>Annals of Botany, 137</w:t>
      </w:r>
      <w:r w:rsidRPr="00153BBA">
        <w:rPr>
          <w:rFonts w:ascii="Times New Roman" w:eastAsia="Times New Roman" w:hAnsi="Times New Roman" w:cs="Times New Roman"/>
          <w:sz w:val="24"/>
          <w:szCs w:val="24"/>
          <w:lang w:val="en-US" w:eastAsia="en-US" w:bidi="ar-SA"/>
        </w:rPr>
        <w:t xml:space="preserve">(5), 1141–1155. </w:t>
      </w:r>
      <w:hyperlink r:id="rId28" w:history="1">
        <w:r w:rsidRPr="00153BBA">
          <w:rPr>
            <w:rFonts w:ascii="Times New Roman" w:eastAsia="Times New Roman" w:hAnsi="Times New Roman" w:cs="Times New Roman"/>
            <w:color w:val="0000FF"/>
            <w:sz w:val="24"/>
            <w:szCs w:val="24"/>
            <w:u w:val="single"/>
            <w:lang w:val="en-US" w:eastAsia="en-US" w:bidi="ar-SA"/>
          </w:rPr>
          <w:t>https://doi.org/10.1093/aob/mcag002</w:t>
        </w:r>
      </w:hyperlink>
    </w:p>
    <w:p w14:paraId="4ADE8F7C"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Fu, R., Feng, H., Dini-</w:t>
      </w:r>
      <w:proofErr w:type="spellStart"/>
      <w:r w:rsidRPr="00153BBA">
        <w:rPr>
          <w:rFonts w:ascii="Times New Roman" w:eastAsia="Times New Roman" w:hAnsi="Times New Roman" w:cs="Times New Roman"/>
          <w:sz w:val="24"/>
          <w:szCs w:val="24"/>
          <w:lang w:val="en-US" w:eastAsia="en-US" w:bidi="ar-SA"/>
        </w:rPr>
        <w:t>Andreote</w:t>
      </w:r>
      <w:proofErr w:type="spellEnd"/>
      <w:r w:rsidRPr="00153BBA">
        <w:rPr>
          <w:rFonts w:ascii="Times New Roman" w:eastAsia="Times New Roman" w:hAnsi="Times New Roman" w:cs="Times New Roman"/>
          <w:sz w:val="24"/>
          <w:szCs w:val="24"/>
          <w:lang w:val="en-US" w:eastAsia="en-US" w:bidi="ar-SA"/>
        </w:rPr>
        <w:t xml:space="preserve">, F., Wang, Z., Bo, C., Cao, W., Yang, K., Liu, M., Yang, T., Shen, Q., Xu, Y., &amp; Wei, Z. (2021). Modulation of the tomato rhizosphere microbiome via changes in root exudation mediated by the ethylene receptor NR. </w:t>
      </w:r>
      <w:r w:rsidRPr="00153BBA">
        <w:rPr>
          <w:rFonts w:ascii="Times New Roman" w:eastAsia="Times New Roman" w:hAnsi="Times New Roman" w:cs="Times New Roman"/>
          <w:i/>
          <w:iCs/>
          <w:sz w:val="24"/>
          <w:szCs w:val="24"/>
          <w:lang w:val="en-US" w:eastAsia="en-US" w:bidi="ar-SA"/>
        </w:rPr>
        <w:t>Microorganisms, 9</w:t>
      </w:r>
      <w:r w:rsidRPr="00153BBA">
        <w:rPr>
          <w:rFonts w:ascii="Times New Roman" w:eastAsia="Times New Roman" w:hAnsi="Times New Roman" w:cs="Times New Roman"/>
          <w:sz w:val="24"/>
          <w:szCs w:val="24"/>
          <w:lang w:val="en-US" w:eastAsia="en-US" w:bidi="ar-SA"/>
        </w:rPr>
        <w:t xml:space="preserve">(12), Article 2456. </w:t>
      </w:r>
      <w:hyperlink r:id="rId29" w:history="1">
        <w:r w:rsidRPr="00153BBA">
          <w:rPr>
            <w:rFonts w:ascii="Times New Roman" w:eastAsia="Times New Roman" w:hAnsi="Times New Roman" w:cs="Times New Roman"/>
            <w:color w:val="0000FF"/>
            <w:sz w:val="24"/>
            <w:szCs w:val="24"/>
            <w:u w:val="single"/>
            <w:lang w:val="en-US" w:eastAsia="en-US" w:bidi="ar-SA"/>
          </w:rPr>
          <w:t>https://doi.org/10.3390/microorganisms9122456</w:t>
        </w:r>
      </w:hyperlink>
    </w:p>
    <w:p w14:paraId="57335359"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proofErr w:type="spellStart"/>
      <w:r w:rsidRPr="00153BBA">
        <w:rPr>
          <w:rFonts w:ascii="Times New Roman" w:eastAsia="Times New Roman" w:hAnsi="Times New Roman" w:cs="Times New Roman"/>
          <w:sz w:val="24"/>
          <w:szCs w:val="24"/>
          <w:lang w:val="en-US" w:eastAsia="en-US" w:bidi="ar-SA"/>
        </w:rPr>
        <w:t>Getzke</w:t>
      </w:r>
      <w:proofErr w:type="spellEnd"/>
      <w:r w:rsidRPr="00153BBA">
        <w:rPr>
          <w:rFonts w:ascii="Times New Roman" w:eastAsia="Times New Roman" w:hAnsi="Times New Roman" w:cs="Times New Roman"/>
          <w:sz w:val="24"/>
          <w:szCs w:val="24"/>
          <w:lang w:val="en-US" w:eastAsia="en-US" w:bidi="ar-SA"/>
        </w:rPr>
        <w:t xml:space="preserve">, F., Hassani, M. A., </w:t>
      </w:r>
      <w:proofErr w:type="spellStart"/>
      <w:r w:rsidRPr="00153BBA">
        <w:rPr>
          <w:rFonts w:ascii="Times New Roman" w:eastAsia="Times New Roman" w:hAnsi="Times New Roman" w:cs="Times New Roman"/>
          <w:sz w:val="24"/>
          <w:szCs w:val="24"/>
          <w:lang w:val="en-US" w:eastAsia="en-US" w:bidi="ar-SA"/>
        </w:rPr>
        <w:t>Crüsemann</w:t>
      </w:r>
      <w:proofErr w:type="spellEnd"/>
      <w:r w:rsidRPr="00153BBA">
        <w:rPr>
          <w:rFonts w:ascii="Times New Roman" w:eastAsia="Times New Roman" w:hAnsi="Times New Roman" w:cs="Times New Roman"/>
          <w:sz w:val="24"/>
          <w:szCs w:val="24"/>
          <w:lang w:val="en-US" w:eastAsia="en-US" w:bidi="ar-SA"/>
        </w:rPr>
        <w:t xml:space="preserve">, M., </w:t>
      </w:r>
      <w:proofErr w:type="spellStart"/>
      <w:r w:rsidRPr="00153BBA">
        <w:rPr>
          <w:rFonts w:ascii="Times New Roman" w:eastAsia="Times New Roman" w:hAnsi="Times New Roman" w:cs="Times New Roman"/>
          <w:sz w:val="24"/>
          <w:szCs w:val="24"/>
          <w:lang w:val="en-US" w:eastAsia="en-US" w:bidi="ar-SA"/>
        </w:rPr>
        <w:t>Malisic</w:t>
      </w:r>
      <w:proofErr w:type="spellEnd"/>
      <w:r w:rsidRPr="00153BBA">
        <w:rPr>
          <w:rFonts w:ascii="Times New Roman" w:eastAsia="Times New Roman" w:hAnsi="Times New Roman" w:cs="Times New Roman"/>
          <w:sz w:val="24"/>
          <w:szCs w:val="24"/>
          <w:lang w:val="en-US" w:eastAsia="en-US" w:bidi="ar-SA"/>
        </w:rPr>
        <w:t xml:space="preserve">, M., Zhang, P., Ishigaki, Y., </w:t>
      </w:r>
      <w:proofErr w:type="spellStart"/>
      <w:r w:rsidRPr="00153BBA">
        <w:rPr>
          <w:rFonts w:ascii="Times New Roman" w:eastAsia="Times New Roman" w:hAnsi="Times New Roman" w:cs="Times New Roman"/>
          <w:sz w:val="24"/>
          <w:szCs w:val="24"/>
          <w:lang w:val="en-US" w:eastAsia="en-US" w:bidi="ar-SA"/>
        </w:rPr>
        <w:t>Böhringer</w:t>
      </w:r>
      <w:proofErr w:type="spellEnd"/>
      <w:r w:rsidRPr="00153BBA">
        <w:rPr>
          <w:rFonts w:ascii="Times New Roman" w:eastAsia="Times New Roman" w:hAnsi="Times New Roman" w:cs="Times New Roman"/>
          <w:sz w:val="24"/>
          <w:szCs w:val="24"/>
          <w:lang w:val="en-US" w:eastAsia="en-US" w:bidi="ar-SA"/>
        </w:rPr>
        <w:t xml:space="preserve">, N., Jiménez Fernández, A., Wang, L., Ordon, J., Ma, K.-W., </w:t>
      </w:r>
      <w:proofErr w:type="spellStart"/>
      <w:r w:rsidRPr="00153BBA">
        <w:rPr>
          <w:rFonts w:ascii="Times New Roman" w:eastAsia="Times New Roman" w:hAnsi="Times New Roman" w:cs="Times New Roman"/>
          <w:sz w:val="24"/>
          <w:szCs w:val="24"/>
          <w:lang w:val="en-US" w:eastAsia="en-US" w:bidi="ar-SA"/>
        </w:rPr>
        <w:t>Thiergart</w:t>
      </w:r>
      <w:proofErr w:type="spellEnd"/>
      <w:r w:rsidRPr="00153BBA">
        <w:rPr>
          <w:rFonts w:ascii="Times New Roman" w:eastAsia="Times New Roman" w:hAnsi="Times New Roman" w:cs="Times New Roman"/>
          <w:sz w:val="24"/>
          <w:szCs w:val="24"/>
          <w:lang w:val="en-US" w:eastAsia="en-US" w:bidi="ar-SA"/>
        </w:rPr>
        <w:t xml:space="preserve">, T., Harbort, C. J., Wesseler, H., Miyauchi, S., Garrido-Oter, R., </w:t>
      </w:r>
      <w:proofErr w:type="spellStart"/>
      <w:r w:rsidRPr="00153BBA">
        <w:rPr>
          <w:rFonts w:ascii="Times New Roman" w:eastAsia="Times New Roman" w:hAnsi="Times New Roman" w:cs="Times New Roman"/>
          <w:sz w:val="24"/>
          <w:szCs w:val="24"/>
          <w:lang w:val="en-US" w:eastAsia="en-US" w:bidi="ar-SA"/>
        </w:rPr>
        <w:t>Shirasu</w:t>
      </w:r>
      <w:proofErr w:type="spellEnd"/>
      <w:r w:rsidRPr="00153BBA">
        <w:rPr>
          <w:rFonts w:ascii="Times New Roman" w:eastAsia="Times New Roman" w:hAnsi="Times New Roman" w:cs="Times New Roman"/>
          <w:sz w:val="24"/>
          <w:szCs w:val="24"/>
          <w:lang w:val="en-US" w:eastAsia="en-US" w:bidi="ar-SA"/>
        </w:rPr>
        <w:t xml:space="preserve">, K., Schäberle, T. F., </w:t>
      </w:r>
      <w:proofErr w:type="spellStart"/>
      <w:r w:rsidRPr="00153BBA">
        <w:rPr>
          <w:rFonts w:ascii="Times New Roman" w:eastAsia="Times New Roman" w:hAnsi="Times New Roman" w:cs="Times New Roman"/>
          <w:sz w:val="24"/>
          <w:szCs w:val="24"/>
          <w:lang w:val="en-US" w:eastAsia="en-US" w:bidi="ar-SA"/>
        </w:rPr>
        <w:t>Hacquard</w:t>
      </w:r>
      <w:proofErr w:type="spellEnd"/>
      <w:r w:rsidRPr="00153BBA">
        <w:rPr>
          <w:rFonts w:ascii="Times New Roman" w:eastAsia="Times New Roman" w:hAnsi="Times New Roman" w:cs="Times New Roman"/>
          <w:sz w:val="24"/>
          <w:szCs w:val="24"/>
          <w:lang w:val="en-US" w:eastAsia="en-US" w:bidi="ar-SA"/>
        </w:rPr>
        <w:t xml:space="preserve">, S., &amp; Schulze-Lefert, P. (2023). </w:t>
      </w:r>
      <w:proofErr w:type="spellStart"/>
      <w:r w:rsidRPr="00153BBA">
        <w:rPr>
          <w:rFonts w:ascii="Times New Roman" w:eastAsia="Times New Roman" w:hAnsi="Times New Roman" w:cs="Times New Roman"/>
          <w:sz w:val="24"/>
          <w:szCs w:val="24"/>
          <w:lang w:val="en-US" w:eastAsia="en-US" w:bidi="ar-SA"/>
        </w:rPr>
        <w:t>Cofunctioning</w:t>
      </w:r>
      <w:proofErr w:type="spellEnd"/>
      <w:r w:rsidRPr="00153BBA">
        <w:rPr>
          <w:rFonts w:ascii="Times New Roman" w:eastAsia="Times New Roman" w:hAnsi="Times New Roman" w:cs="Times New Roman"/>
          <w:sz w:val="24"/>
          <w:szCs w:val="24"/>
          <w:lang w:val="en-US" w:eastAsia="en-US" w:bidi="ar-SA"/>
        </w:rPr>
        <w:t xml:space="preserve"> of bacterial </w:t>
      </w:r>
      <w:proofErr w:type="spellStart"/>
      <w:r w:rsidRPr="00153BBA">
        <w:rPr>
          <w:rFonts w:ascii="Times New Roman" w:eastAsia="Times New Roman" w:hAnsi="Times New Roman" w:cs="Times New Roman"/>
          <w:sz w:val="24"/>
          <w:szCs w:val="24"/>
          <w:lang w:val="en-US" w:eastAsia="en-US" w:bidi="ar-SA"/>
        </w:rPr>
        <w:t>exometabolites</w:t>
      </w:r>
      <w:proofErr w:type="spellEnd"/>
      <w:r w:rsidRPr="00153BBA">
        <w:rPr>
          <w:rFonts w:ascii="Times New Roman" w:eastAsia="Times New Roman" w:hAnsi="Times New Roman" w:cs="Times New Roman"/>
          <w:sz w:val="24"/>
          <w:szCs w:val="24"/>
          <w:lang w:val="en-US" w:eastAsia="en-US" w:bidi="ar-SA"/>
        </w:rPr>
        <w:t xml:space="preserve"> drives root microbiota establishment. </w:t>
      </w:r>
      <w:r w:rsidRPr="00153BBA">
        <w:rPr>
          <w:rFonts w:ascii="Times New Roman" w:eastAsia="Times New Roman" w:hAnsi="Times New Roman" w:cs="Times New Roman"/>
          <w:i/>
          <w:iCs/>
          <w:sz w:val="24"/>
          <w:szCs w:val="24"/>
          <w:lang w:val="en-US" w:eastAsia="en-US" w:bidi="ar-SA"/>
        </w:rPr>
        <w:t>Proceedings of the National Academy of Sciences of the United States of America, 120</w:t>
      </w:r>
      <w:r w:rsidRPr="00153BBA">
        <w:rPr>
          <w:rFonts w:ascii="Times New Roman" w:eastAsia="Times New Roman" w:hAnsi="Times New Roman" w:cs="Times New Roman"/>
          <w:sz w:val="24"/>
          <w:szCs w:val="24"/>
          <w:lang w:val="en-US" w:eastAsia="en-US" w:bidi="ar-SA"/>
        </w:rPr>
        <w:t xml:space="preserve">(15), Article e2221508120. </w:t>
      </w:r>
      <w:hyperlink r:id="rId30" w:history="1">
        <w:r w:rsidRPr="00153BBA">
          <w:rPr>
            <w:rFonts w:ascii="Times New Roman" w:eastAsia="Times New Roman" w:hAnsi="Times New Roman" w:cs="Times New Roman"/>
            <w:color w:val="0000FF"/>
            <w:sz w:val="24"/>
            <w:szCs w:val="24"/>
            <w:u w:val="single"/>
            <w:lang w:val="en-US" w:eastAsia="en-US" w:bidi="ar-SA"/>
          </w:rPr>
          <w:t>https://doi.org/10.1073/pnas.2221508120</w:t>
        </w:r>
      </w:hyperlink>
    </w:p>
    <w:p w14:paraId="67116C39"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proofErr w:type="spellStart"/>
      <w:r w:rsidRPr="00153BBA">
        <w:rPr>
          <w:rFonts w:ascii="Times New Roman" w:eastAsia="Times New Roman" w:hAnsi="Times New Roman" w:cs="Times New Roman"/>
          <w:sz w:val="24"/>
          <w:szCs w:val="24"/>
          <w:lang w:val="en-US" w:eastAsia="en-US" w:bidi="ar-SA"/>
        </w:rPr>
        <w:t>Goberna</w:t>
      </w:r>
      <w:proofErr w:type="spellEnd"/>
      <w:r w:rsidRPr="00153BBA">
        <w:rPr>
          <w:rFonts w:ascii="Times New Roman" w:eastAsia="Times New Roman" w:hAnsi="Times New Roman" w:cs="Times New Roman"/>
          <w:sz w:val="24"/>
          <w:szCs w:val="24"/>
          <w:lang w:val="en-US" w:eastAsia="en-US" w:bidi="ar-SA"/>
        </w:rPr>
        <w:t xml:space="preserve">, M., &amp; Verdú, M. (2022). Cautionary notes on the use of co-occurrence networks in soil ecology. </w:t>
      </w:r>
      <w:r w:rsidRPr="00153BBA">
        <w:rPr>
          <w:rFonts w:ascii="Times New Roman" w:eastAsia="Times New Roman" w:hAnsi="Times New Roman" w:cs="Times New Roman"/>
          <w:i/>
          <w:iCs/>
          <w:sz w:val="24"/>
          <w:szCs w:val="24"/>
          <w:lang w:val="en-US" w:eastAsia="en-US" w:bidi="ar-SA"/>
        </w:rPr>
        <w:t>Soil Biology and Biochemistry, 166</w:t>
      </w:r>
      <w:r w:rsidRPr="00153BBA">
        <w:rPr>
          <w:rFonts w:ascii="Times New Roman" w:eastAsia="Times New Roman" w:hAnsi="Times New Roman" w:cs="Times New Roman"/>
          <w:sz w:val="24"/>
          <w:szCs w:val="24"/>
          <w:lang w:val="en-US" w:eastAsia="en-US" w:bidi="ar-SA"/>
        </w:rPr>
        <w:t xml:space="preserve">, Article 108534. </w:t>
      </w:r>
      <w:hyperlink r:id="rId31" w:history="1">
        <w:r w:rsidRPr="00153BBA">
          <w:rPr>
            <w:rFonts w:ascii="Times New Roman" w:eastAsia="Times New Roman" w:hAnsi="Times New Roman" w:cs="Times New Roman"/>
            <w:color w:val="0000FF"/>
            <w:sz w:val="24"/>
            <w:szCs w:val="24"/>
            <w:u w:val="single"/>
            <w:lang w:val="en-US" w:eastAsia="en-US" w:bidi="ar-SA"/>
          </w:rPr>
          <w:t>https://doi.org/10.1016/j.soilbio.2021.108534</w:t>
        </w:r>
      </w:hyperlink>
    </w:p>
    <w:p w14:paraId="2271C051"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Goossens, P., </w:t>
      </w:r>
      <w:proofErr w:type="spellStart"/>
      <w:r w:rsidRPr="00153BBA">
        <w:rPr>
          <w:rFonts w:ascii="Times New Roman" w:eastAsia="Times New Roman" w:hAnsi="Times New Roman" w:cs="Times New Roman"/>
          <w:sz w:val="24"/>
          <w:szCs w:val="24"/>
          <w:lang w:val="en-US" w:eastAsia="en-US" w:bidi="ar-SA"/>
        </w:rPr>
        <w:t>Spooren</w:t>
      </w:r>
      <w:proofErr w:type="spellEnd"/>
      <w:r w:rsidRPr="00153BBA">
        <w:rPr>
          <w:rFonts w:ascii="Times New Roman" w:eastAsia="Times New Roman" w:hAnsi="Times New Roman" w:cs="Times New Roman"/>
          <w:sz w:val="24"/>
          <w:szCs w:val="24"/>
          <w:lang w:val="en-US" w:eastAsia="en-US" w:bidi="ar-SA"/>
        </w:rPr>
        <w:t xml:space="preserve">, J., Baremans, K. C. M., Andel, A., Lapin, D., </w:t>
      </w:r>
      <w:proofErr w:type="spellStart"/>
      <w:r w:rsidRPr="00153BBA">
        <w:rPr>
          <w:rFonts w:ascii="Times New Roman" w:eastAsia="Times New Roman" w:hAnsi="Times New Roman" w:cs="Times New Roman"/>
          <w:sz w:val="24"/>
          <w:szCs w:val="24"/>
          <w:lang w:val="en-US" w:eastAsia="en-US" w:bidi="ar-SA"/>
        </w:rPr>
        <w:t>Echobardo</w:t>
      </w:r>
      <w:proofErr w:type="spellEnd"/>
      <w:r w:rsidRPr="00153BBA">
        <w:rPr>
          <w:rFonts w:ascii="Times New Roman" w:eastAsia="Times New Roman" w:hAnsi="Times New Roman" w:cs="Times New Roman"/>
          <w:sz w:val="24"/>
          <w:szCs w:val="24"/>
          <w:lang w:val="en-US" w:eastAsia="en-US" w:bidi="ar-SA"/>
        </w:rPr>
        <w:t xml:space="preserve">, N., Pieterse, C. M. J., Van den Ackerveken, G., &amp; Berendsen, R. L. (2023). Obligate biotroph downy mildew consistently induces near-identical protective microbiomes in </w:t>
      </w:r>
      <w:r w:rsidRPr="00153BBA">
        <w:rPr>
          <w:rFonts w:ascii="Times New Roman" w:eastAsia="Times New Roman" w:hAnsi="Times New Roman" w:cs="Times New Roman"/>
          <w:i/>
          <w:iCs/>
          <w:sz w:val="24"/>
          <w:szCs w:val="24"/>
          <w:lang w:val="en-US" w:eastAsia="en-US" w:bidi="ar-SA"/>
        </w:rPr>
        <w:t>Arabidopsis thaliana</w:t>
      </w:r>
      <w:r w:rsidRPr="00153BBA">
        <w:rPr>
          <w:rFonts w:ascii="Times New Roman" w:eastAsia="Times New Roman" w:hAnsi="Times New Roman" w:cs="Times New Roman"/>
          <w:sz w:val="24"/>
          <w:szCs w:val="24"/>
          <w:lang w:val="en-US" w:eastAsia="en-US" w:bidi="ar-SA"/>
        </w:rPr>
        <w:t xml:space="preserve">. </w:t>
      </w:r>
      <w:r w:rsidRPr="00153BBA">
        <w:rPr>
          <w:rFonts w:ascii="Times New Roman" w:eastAsia="Times New Roman" w:hAnsi="Times New Roman" w:cs="Times New Roman"/>
          <w:i/>
          <w:iCs/>
          <w:sz w:val="24"/>
          <w:szCs w:val="24"/>
          <w:lang w:val="en-US" w:eastAsia="en-US" w:bidi="ar-SA"/>
        </w:rPr>
        <w:t>Nature Microbiology, 8</w:t>
      </w:r>
      <w:r w:rsidRPr="00153BBA">
        <w:rPr>
          <w:rFonts w:ascii="Times New Roman" w:eastAsia="Times New Roman" w:hAnsi="Times New Roman" w:cs="Times New Roman"/>
          <w:sz w:val="24"/>
          <w:szCs w:val="24"/>
          <w:lang w:val="en-US" w:eastAsia="en-US" w:bidi="ar-SA"/>
        </w:rPr>
        <w:t xml:space="preserve">(12), 2349–2364. </w:t>
      </w:r>
      <w:hyperlink r:id="rId32" w:history="1">
        <w:r w:rsidRPr="00153BBA">
          <w:rPr>
            <w:rFonts w:ascii="Times New Roman" w:eastAsia="Times New Roman" w:hAnsi="Times New Roman" w:cs="Times New Roman"/>
            <w:color w:val="0000FF"/>
            <w:sz w:val="24"/>
            <w:szCs w:val="24"/>
            <w:u w:val="single"/>
            <w:lang w:val="en-US" w:eastAsia="en-US" w:bidi="ar-SA"/>
          </w:rPr>
          <w:t>https://doi.org/10.1038/s41564-023-01502-y</w:t>
        </w:r>
      </w:hyperlink>
    </w:p>
    <w:p w14:paraId="00EBB5B4"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proofErr w:type="spellStart"/>
      <w:r w:rsidRPr="00153BBA">
        <w:rPr>
          <w:rFonts w:ascii="Times New Roman" w:eastAsia="Times New Roman" w:hAnsi="Times New Roman" w:cs="Times New Roman"/>
          <w:sz w:val="24"/>
          <w:szCs w:val="24"/>
          <w:lang w:val="en-US" w:eastAsia="en-US" w:bidi="ar-SA"/>
        </w:rPr>
        <w:lastRenderedPageBreak/>
        <w:t>Hardoim</w:t>
      </w:r>
      <w:proofErr w:type="spellEnd"/>
      <w:r w:rsidRPr="00153BBA">
        <w:rPr>
          <w:rFonts w:ascii="Times New Roman" w:eastAsia="Times New Roman" w:hAnsi="Times New Roman" w:cs="Times New Roman"/>
          <w:sz w:val="24"/>
          <w:szCs w:val="24"/>
          <w:lang w:val="en-US" w:eastAsia="en-US" w:bidi="ar-SA"/>
        </w:rPr>
        <w:t xml:space="preserve">, P. R., van Overbeek, L. S., Berg, G., </w:t>
      </w:r>
      <w:proofErr w:type="spellStart"/>
      <w:r w:rsidRPr="00153BBA">
        <w:rPr>
          <w:rFonts w:ascii="Times New Roman" w:eastAsia="Times New Roman" w:hAnsi="Times New Roman" w:cs="Times New Roman"/>
          <w:sz w:val="24"/>
          <w:szCs w:val="24"/>
          <w:lang w:val="en-US" w:eastAsia="en-US" w:bidi="ar-SA"/>
        </w:rPr>
        <w:t>Pirttilä</w:t>
      </w:r>
      <w:proofErr w:type="spellEnd"/>
      <w:r w:rsidRPr="00153BBA">
        <w:rPr>
          <w:rFonts w:ascii="Times New Roman" w:eastAsia="Times New Roman" w:hAnsi="Times New Roman" w:cs="Times New Roman"/>
          <w:sz w:val="24"/>
          <w:szCs w:val="24"/>
          <w:lang w:val="en-US" w:eastAsia="en-US" w:bidi="ar-SA"/>
        </w:rPr>
        <w:t xml:space="preserve">, A. M., </w:t>
      </w:r>
      <w:proofErr w:type="spellStart"/>
      <w:r w:rsidRPr="00153BBA">
        <w:rPr>
          <w:rFonts w:ascii="Times New Roman" w:eastAsia="Times New Roman" w:hAnsi="Times New Roman" w:cs="Times New Roman"/>
          <w:sz w:val="24"/>
          <w:szCs w:val="24"/>
          <w:lang w:val="en-US" w:eastAsia="en-US" w:bidi="ar-SA"/>
        </w:rPr>
        <w:t>Compant</w:t>
      </w:r>
      <w:proofErr w:type="spellEnd"/>
      <w:r w:rsidRPr="00153BBA">
        <w:rPr>
          <w:rFonts w:ascii="Times New Roman" w:eastAsia="Times New Roman" w:hAnsi="Times New Roman" w:cs="Times New Roman"/>
          <w:sz w:val="24"/>
          <w:szCs w:val="24"/>
          <w:lang w:val="en-US" w:eastAsia="en-US" w:bidi="ar-SA"/>
        </w:rPr>
        <w:t xml:space="preserve">, S., Campisano, A., Döring, M., &amp; </w:t>
      </w:r>
      <w:proofErr w:type="spellStart"/>
      <w:r w:rsidRPr="00153BBA">
        <w:rPr>
          <w:rFonts w:ascii="Times New Roman" w:eastAsia="Times New Roman" w:hAnsi="Times New Roman" w:cs="Times New Roman"/>
          <w:sz w:val="24"/>
          <w:szCs w:val="24"/>
          <w:lang w:val="en-US" w:eastAsia="en-US" w:bidi="ar-SA"/>
        </w:rPr>
        <w:t>Sessitsch</w:t>
      </w:r>
      <w:proofErr w:type="spellEnd"/>
      <w:r w:rsidRPr="00153BBA">
        <w:rPr>
          <w:rFonts w:ascii="Times New Roman" w:eastAsia="Times New Roman" w:hAnsi="Times New Roman" w:cs="Times New Roman"/>
          <w:sz w:val="24"/>
          <w:szCs w:val="24"/>
          <w:lang w:val="en-US" w:eastAsia="en-US" w:bidi="ar-SA"/>
        </w:rPr>
        <w:t xml:space="preserve">, A. (2015). The hidden world within plants: Ecological and evolutionary considerations for defining functioning of microbial endophytes. </w:t>
      </w:r>
      <w:r w:rsidRPr="00153BBA">
        <w:rPr>
          <w:rFonts w:ascii="Times New Roman" w:eastAsia="Times New Roman" w:hAnsi="Times New Roman" w:cs="Times New Roman"/>
          <w:i/>
          <w:iCs/>
          <w:sz w:val="24"/>
          <w:szCs w:val="24"/>
          <w:lang w:val="en-US" w:eastAsia="en-US" w:bidi="ar-SA"/>
        </w:rPr>
        <w:t>Microbiology and Molecular Biology Reviews, 79</w:t>
      </w:r>
      <w:r w:rsidRPr="00153BBA">
        <w:rPr>
          <w:rFonts w:ascii="Times New Roman" w:eastAsia="Times New Roman" w:hAnsi="Times New Roman" w:cs="Times New Roman"/>
          <w:sz w:val="24"/>
          <w:szCs w:val="24"/>
          <w:lang w:val="en-US" w:eastAsia="en-US" w:bidi="ar-SA"/>
        </w:rPr>
        <w:t xml:space="preserve">(3), 293–320. </w:t>
      </w:r>
      <w:hyperlink r:id="rId33" w:history="1">
        <w:r w:rsidRPr="00153BBA">
          <w:rPr>
            <w:rFonts w:ascii="Times New Roman" w:eastAsia="Times New Roman" w:hAnsi="Times New Roman" w:cs="Times New Roman"/>
            <w:color w:val="0000FF"/>
            <w:sz w:val="24"/>
            <w:szCs w:val="24"/>
            <w:u w:val="single"/>
            <w:lang w:val="en-US" w:eastAsia="en-US" w:bidi="ar-SA"/>
          </w:rPr>
          <w:t>https://doi.org/10.1128/MMBR.00050-14</w:t>
        </w:r>
      </w:hyperlink>
    </w:p>
    <w:p w14:paraId="6DA6586F"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Hu, L., Robert, C. A. M., Cadot, S., Zhang, X., Ye, M., Li, B., Manzo, D., </w:t>
      </w:r>
      <w:proofErr w:type="spellStart"/>
      <w:r w:rsidRPr="00153BBA">
        <w:rPr>
          <w:rFonts w:ascii="Times New Roman" w:eastAsia="Times New Roman" w:hAnsi="Times New Roman" w:cs="Times New Roman"/>
          <w:sz w:val="24"/>
          <w:szCs w:val="24"/>
          <w:lang w:val="en-US" w:eastAsia="en-US" w:bidi="ar-SA"/>
        </w:rPr>
        <w:t>Chervet</w:t>
      </w:r>
      <w:proofErr w:type="spellEnd"/>
      <w:r w:rsidRPr="00153BBA">
        <w:rPr>
          <w:rFonts w:ascii="Times New Roman" w:eastAsia="Times New Roman" w:hAnsi="Times New Roman" w:cs="Times New Roman"/>
          <w:sz w:val="24"/>
          <w:szCs w:val="24"/>
          <w:lang w:val="en-US" w:eastAsia="en-US" w:bidi="ar-SA"/>
        </w:rPr>
        <w:t xml:space="preserve">, N., Steinger, T., van der Heijden, M. G. A., </w:t>
      </w:r>
      <w:proofErr w:type="spellStart"/>
      <w:r w:rsidRPr="00153BBA">
        <w:rPr>
          <w:rFonts w:ascii="Times New Roman" w:eastAsia="Times New Roman" w:hAnsi="Times New Roman" w:cs="Times New Roman"/>
          <w:sz w:val="24"/>
          <w:szCs w:val="24"/>
          <w:lang w:val="en-US" w:eastAsia="en-US" w:bidi="ar-SA"/>
        </w:rPr>
        <w:t>Schlaeppi</w:t>
      </w:r>
      <w:proofErr w:type="spellEnd"/>
      <w:r w:rsidRPr="00153BBA">
        <w:rPr>
          <w:rFonts w:ascii="Times New Roman" w:eastAsia="Times New Roman" w:hAnsi="Times New Roman" w:cs="Times New Roman"/>
          <w:sz w:val="24"/>
          <w:szCs w:val="24"/>
          <w:lang w:val="en-US" w:eastAsia="en-US" w:bidi="ar-SA"/>
        </w:rPr>
        <w:t xml:space="preserve">, K., &amp; Erb, M. (2018). Root exudate metabolites drive plant-soil feedbacks on growth and defense by shaping the rhizosphere microbiota. </w:t>
      </w:r>
      <w:r w:rsidRPr="00153BBA">
        <w:rPr>
          <w:rFonts w:ascii="Times New Roman" w:eastAsia="Times New Roman" w:hAnsi="Times New Roman" w:cs="Times New Roman"/>
          <w:i/>
          <w:iCs/>
          <w:sz w:val="24"/>
          <w:szCs w:val="24"/>
          <w:lang w:val="en-US" w:eastAsia="en-US" w:bidi="ar-SA"/>
        </w:rPr>
        <w:t>Nature Communications, 9</w:t>
      </w:r>
      <w:r w:rsidRPr="00153BBA">
        <w:rPr>
          <w:rFonts w:ascii="Times New Roman" w:eastAsia="Times New Roman" w:hAnsi="Times New Roman" w:cs="Times New Roman"/>
          <w:sz w:val="24"/>
          <w:szCs w:val="24"/>
          <w:lang w:val="en-US" w:eastAsia="en-US" w:bidi="ar-SA"/>
        </w:rPr>
        <w:t xml:space="preserve">(1), Article 2738. </w:t>
      </w:r>
      <w:hyperlink r:id="rId34" w:history="1">
        <w:r w:rsidRPr="00153BBA">
          <w:rPr>
            <w:rFonts w:ascii="Times New Roman" w:eastAsia="Times New Roman" w:hAnsi="Times New Roman" w:cs="Times New Roman"/>
            <w:color w:val="0000FF"/>
            <w:sz w:val="24"/>
            <w:szCs w:val="24"/>
            <w:u w:val="single"/>
            <w:lang w:val="en-US" w:eastAsia="en-US" w:bidi="ar-SA"/>
          </w:rPr>
          <w:t>https://doi.org/10.1038/s41467-018-05122-7</w:t>
        </w:r>
      </w:hyperlink>
    </w:p>
    <w:p w14:paraId="219B9450"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Kimotho, R. N., &amp; Maina, S. (2024). Unraveling plant–microbe interactions: Can integrated omics approaches offer concrete answers? </w:t>
      </w:r>
      <w:r w:rsidRPr="00153BBA">
        <w:rPr>
          <w:rFonts w:ascii="Times New Roman" w:eastAsia="Times New Roman" w:hAnsi="Times New Roman" w:cs="Times New Roman"/>
          <w:i/>
          <w:iCs/>
          <w:sz w:val="24"/>
          <w:szCs w:val="24"/>
          <w:lang w:val="en-US" w:eastAsia="en-US" w:bidi="ar-SA"/>
        </w:rPr>
        <w:t>Journal of Experimental Botany, 75</w:t>
      </w:r>
      <w:r w:rsidRPr="00153BBA">
        <w:rPr>
          <w:rFonts w:ascii="Times New Roman" w:eastAsia="Times New Roman" w:hAnsi="Times New Roman" w:cs="Times New Roman"/>
          <w:sz w:val="24"/>
          <w:szCs w:val="24"/>
          <w:lang w:val="en-US" w:eastAsia="en-US" w:bidi="ar-SA"/>
        </w:rPr>
        <w:t xml:space="preserve">(5), 1289–1313. </w:t>
      </w:r>
      <w:hyperlink r:id="rId35" w:history="1">
        <w:r w:rsidRPr="00153BBA">
          <w:rPr>
            <w:rFonts w:ascii="Times New Roman" w:eastAsia="Times New Roman" w:hAnsi="Times New Roman" w:cs="Times New Roman"/>
            <w:color w:val="0000FF"/>
            <w:sz w:val="24"/>
            <w:szCs w:val="24"/>
            <w:u w:val="single"/>
            <w:lang w:val="en-US" w:eastAsia="en-US" w:bidi="ar-SA"/>
          </w:rPr>
          <w:t>https://doi.org/10.1093/jxb/erad448</w:t>
        </w:r>
      </w:hyperlink>
    </w:p>
    <w:p w14:paraId="689574FC"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Kwak, M.-J., Kong, H. G., Choi, K., Kwon, S.-K., Song, J. Y., Lee, J., Lee, P. A., Choi, S. Y., Seo, M., Lee, H. J., Jung, E. J., Park, H., Roy, N., Kim, H., Lee, M. M., Rubin, E. M., Lee, S.-W., &amp; Kim, J. F. (2018). Rhizosphere microbiome structure alters to enable wilt resistance in tomato. </w:t>
      </w:r>
      <w:r w:rsidRPr="00153BBA">
        <w:rPr>
          <w:rFonts w:ascii="Times New Roman" w:eastAsia="Times New Roman" w:hAnsi="Times New Roman" w:cs="Times New Roman"/>
          <w:i/>
          <w:iCs/>
          <w:sz w:val="24"/>
          <w:szCs w:val="24"/>
          <w:lang w:val="en-US" w:eastAsia="en-US" w:bidi="ar-SA"/>
        </w:rPr>
        <w:t>Nature Biotechnology, 36</w:t>
      </w:r>
      <w:r w:rsidRPr="00153BBA">
        <w:rPr>
          <w:rFonts w:ascii="Times New Roman" w:eastAsia="Times New Roman" w:hAnsi="Times New Roman" w:cs="Times New Roman"/>
          <w:sz w:val="24"/>
          <w:szCs w:val="24"/>
          <w:lang w:val="en-US" w:eastAsia="en-US" w:bidi="ar-SA"/>
        </w:rPr>
        <w:t xml:space="preserve">, 1100–1109. </w:t>
      </w:r>
      <w:hyperlink r:id="rId36" w:history="1">
        <w:r w:rsidRPr="00153BBA">
          <w:rPr>
            <w:rFonts w:ascii="Times New Roman" w:eastAsia="Times New Roman" w:hAnsi="Times New Roman" w:cs="Times New Roman"/>
            <w:color w:val="0000FF"/>
            <w:sz w:val="24"/>
            <w:szCs w:val="24"/>
            <w:u w:val="single"/>
            <w:lang w:val="en-US" w:eastAsia="en-US" w:bidi="ar-SA"/>
          </w:rPr>
          <w:t>https://doi.org/10.1038/nbt.4232</w:t>
        </w:r>
      </w:hyperlink>
    </w:p>
    <w:p w14:paraId="48B5E307"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proofErr w:type="spellStart"/>
      <w:r w:rsidRPr="00153BBA">
        <w:rPr>
          <w:rFonts w:ascii="Times New Roman" w:eastAsia="Times New Roman" w:hAnsi="Times New Roman" w:cs="Times New Roman"/>
          <w:sz w:val="24"/>
          <w:szCs w:val="24"/>
          <w:lang w:val="en-US" w:eastAsia="en-US" w:bidi="ar-SA"/>
        </w:rPr>
        <w:t>Legein</w:t>
      </w:r>
      <w:proofErr w:type="spellEnd"/>
      <w:r w:rsidRPr="00153BBA">
        <w:rPr>
          <w:rFonts w:ascii="Times New Roman" w:eastAsia="Times New Roman" w:hAnsi="Times New Roman" w:cs="Times New Roman"/>
          <w:sz w:val="24"/>
          <w:szCs w:val="24"/>
          <w:lang w:val="en-US" w:eastAsia="en-US" w:bidi="ar-SA"/>
        </w:rPr>
        <w:t xml:space="preserve">, M., Smets, W., </w:t>
      </w:r>
      <w:proofErr w:type="spellStart"/>
      <w:r w:rsidRPr="00153BBA">
        <w:rPr>
          <w:rFonts w:ascii="Times New Roman" w:eastAsia="Times New Roman" w:hAnsi="Times New Roman" w:cs="Times New Roman"/>
          <w:sz w:val="24"/>
          <w:szCs w:val="24"/>
          <w:lang w:val="en-US" w:eastAsia="en-US" w:bidi="ar-SA"/>
        </w:rPr>
        <w:t>Vandenheuvel</w:t>
      </w:r>
      <w:proofErr w:type="spellEnd"/>
      <w:r w:rsidRPr="00153BBA">
        <w:rPr>
          <w:rFonts w:ascii="Times New Roman" w:eastAsia="Times New Roman" w:hAnsi="Times New Roman" w:cs="Times New Roman"/>
          <w:sz w:val="24"/>
          <w:szCs w:val="24"/>
          <w:lang w:val="en-US" w:eastAsia="en-US" w:bidi="ar-SA"/>
        </w:rPr>
        <w:t xml:space="preserve">, D., Eilers, T., Muyshondt, B., Prinsen, E., Samson, R., &amp; </w:t>
      </w:r>
      <w:proofErr w:type="spellStart"/>
      <w:r w:rsidRPr="00153BBA">
        <w:rPr>
          <w:rFonts w:ascii="Times New Roman" w:eastAsia="Times New Roman" w:hAnsi="Times New Roman" w:cs="Times New Roman"/>
          <w:sz w:val="24"/>
          <w:szCs w:val="24"/>
          <w:lang w:val="en-US" w:eastAsia="en-US" w:bidi="ar-SA"/>
        </w:rPr>
        <w:t>Lebeer</w:t>
      </w:r>
      <w:proofErr w:type="spellEnd"/>
      <w:r w:rsidRPr="00153BBA">
        <w:rPr>
          <w:rFonts w:ascii="Times New Roman" w:eastAsia="Times New Roman" w:hAnsi="Times New Roman" w:cs="Times New Roman"/>
          <w:sz w:val="24"/>
          <w:szCs w:val="24"/>
          <w:lang w:val="en-US" w:eastAsia="en-US" w:bidi="ar-SA"/>
        </w:rPr>
        <w:t xml:space="preserve">, S. (2020). Modes of action of microbial biocontrol in the </w:t>
      </w:r>
      <w:proofErr w:type="spellStart"/>
      <w:r w:rsidRPr="00153BBA">
        <w:rPr>
          <w:rFonts w:ascii="Times New Roman" w:eastAsia="Times New Roman" w:hAnsi="Times New Roman" w:cs="Times New Roman"/>
          <w:sz w:val="24"/>
          <w:szCs w:val="24"/>
          <w:lang w:val="en-US" w:eastAsia="en-US" w:bidi="ar-SA"/>
        </w:rPr>
        <w:t>phyllosphere</w:t>
      </w:r>
      <w:proofErr w:type="spellEnd"/>
      <w:r w:rsidRPr="00153BBA">
        <w:rPr>
          <w:rFonts w:ascii="Times New Roman" w:eastAsia="Times New Roman" w:hAnsi="Times New Roman" w:cs="Times New Roman"/>
          <w:sz w:val="24"/>
          <w:szCs w:val="24"/>
          <w:lang w:val="en-US" w:eastAsia="en-US" w:bidi="ar-SA"/>
        </w:rPr>
        <w:t xml:space="preserve">. </w:t>
      </w:r>
      <w:r w:rsidRPr="00153BBA">
        <w:rPr>
          <w:rFonts w:ascii="Times New Roman" w:eastAsia="Times New Roman" w:hAnsi="Times New Roman" w:cs="Times New Roman"/>
          <w:i/>
          <w:iCs/>
          <w:sz w:val="24"/>
          <w:szCs w:val="24"/>
          <w:lang w:val="en-US" w:eastAsia="en-US" w:bidi="ar-SA"/>
        </w:rPr>
        <w:t>Frontiers in Microbiology, 11</w:t>
      </w:r>
      <w:r w:rsidRPr="00153BBA">
        <w:rPr>
          <w:rFonts w:ascii="Times New Roman" w:eastAsia="Times New Roman" w:hAnsi="Times New Roman" w:cs="Times New Roman"/>
          <w:sz w:val="24"/>
          <w:szCs w:val="24"/>
          <w:lang w:val="en-US" w:eastAsia="en-US" w:bidi="ar-SA"/>
        </w:rPr>
        <w:t xml:space="preserve">, Article 1619. </w:t>
      </w:r>
      <w:hyperlink r:id="rId37" w:history="1">
        <w:r w:rsidRPr="00153BBA">
          <w:rPr>
            <w:rFonts w:ascii="Times New Roman" w:eastAsia="Times New Roman" w:hAnsi="Times New Roman" w:cs="Times New Roman"/>
            <w:color w:val="0000FF"/>
            <w:sz w:val="24"/>
            <w:szCs w:val="24"/>
            <w:u w:val="single"/>
            <w:lang w:val="en-US" w:eastAsia="en-US" w:bidi="ar-SA"/>
          </w:rPr>
          <w:t>https://doi.org/10.3389/fmicb.2020.01619</w:t>
        </w:r>
      </w:hyperlink>
    </w:p>
    <w:p w14:paraId="04D36A93"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Li, M., Pommier, T., Yin, Y., Wang, J., Gu, S., </w:t>
      </w:r>
      <w:proofErr w:type="spellStart"/>
      <w:r w:rsidRPr="00153BBA">
        <w:rPr>
          <w:rFonts w:ascii="Times New Roman" w:eastAsia="Times New Roman" w:hAnsi="Times New Roman" w:cs="Times New Roman"/>
          <w:sz w:val="24"/>
          <w:szCs w:val="24"/>
          <w:lang w:val="en-US" w:eastAsia="en-US" w:bidi="ar-SA"/>
        </w:rPr>
        <w:t>Jousset</w:t>
      </w:r>
      <w:proofErr w:type="spellEnd"/>
      <w:r w:rsidRPr="00153BBA">
        <w:rPr>
          <w:rFonts w:ascii="Times New Roman" w:eastAsia="Times New Roman" w:hAnsi="Times New Roman" w:cs="Times New Roman"/>
          <w:sz w:val="24"/>
          <w:szCs w:val="24"/>
          <w:lang w:val="en-US" w:eastAsia="en-US" w:bidi="ar-SA"/>
        </w:rPr>
        <w:t xml:space="preserve">, A., </w:t>
      </w:r>
      <w:proofErr w:type="spellStart"/>
      <w:r w:rsidRPr="00153BBA">
        <w:rPr>
          <w:rFonts w:ascii="Times New Roman" w:eastAsia="Times New Roman" w:hAnsi="Times New Roman" w:cs="Times New Roman"/>
          <w:sz w:val="24"/>
          <w:szCs w:val="24"/>
          <w:lang w:val="en-US" w:eastAsia="en-US" w:bidi="ar-SA"/>
        </w:rPr>
        <w:t>Keuskamp</w:t>
      </w:r>
      <w:proofErr w:type="spellEnd"/>
      <w:r w:rsidRPr="00153BBA">
        <w:rPr>
          <w:rFonts w:ascii="Times New Roman" w:eastAsia="Times New Roman" w:hAnsi="Times New Roman" w:cs="Times New Roman"/>
          <w:sz w:val="24"/>
          <w:szCs w:val="24"/>
          <w:lang w:val="en-US" w:eastAsia="en-US" w:bidi="ar-SA"/>
        </w:rPr>
        <w:t xml:space="preserve">, J., Wang, H., Wei, Z., Xu, Y., Shen, Q., &amp; Kowalchuk, G. A. (2022). Indirect reduction of </w:t>
      </w:r>
      <w:proofErr w:type="spellStart"/>
      <w:r w:rsidRPr="00153BBA">
        <w:rPr>
          <w:rFonts w:ascii="Times New Roman" w:eastAsia="Times New Roman" w:hAnsi="Times New Roman" w:cs="Times New Roman"/>
          <w:i/>
          <w:iCs/>
          <w:sz w:val="24"/>
          <w:szCs w:val="24"/>
          <w:lang w:val="en-US" w:eastAsia="en-US" w:bidi="ar-SA"/>
        </w:rPr>
        <w:t>Ralstonia</w:t>
      </w:r>
      <w:proofErr w:type="spellEnd"/>
      <w:r w:rsidRPr="00153BBA">
        <w:rPr>
          <w:rFonts w:ascii="Times New Roman" w:eastAsia="Times New Roman" w:hAnsi="Times New Roman" w:cs="Times New Roman"/>
          <w:i/>
          <w:iCs/>
          <w:sz w:val="24"/>
          <w:szCs w:val="24"/>
          <w:lang w:val="en-US" w:eastAsia="en-US" w:bidi="ar-SA"/>
        </w:rPr>
        <w:t xml:space="preserve"> solanacearum</w:t>
      </w:r>
      <w:r w:rsidRPr="00153BBA">
        <w:rPr>
          <w:rFonts w:ascii="Times New Roman" w:eastAsia="Times New Roman" w:hAnsi="Times New Roman" w:cs="Times New Roman"/>
          <w:sz w:val="24"/>
          <w:szCs w:val="24"/>
          <w:lang w:val="en-US" w:eastAsia="en-US" w:bidi="ar-SA"/>
        </w:rPr>
        <w:t xml:space="preserve"> via pathogen helper inhibition. </w:t>
      </w:r>
      <w:r w:rsidRPr="00153BBA">
        <w:rPr>
          <w:rFonts w:ascii="Times New Roman" w:eastAsia="Times New Roman" w:hAnsi="Times New Roman" w:cs="Times New Roman"/>
          <w:i/>
          <w:iCs/>
          <w:sz w:val="24"/>
          <w:szCs w:val="24"/>
          <w:lang w:val="en-US" w:eastAsia="en-US" w:bidi="ar-SA"/>
        </w:rPr>
        <w:t>The ISME Journal, 16</w:t>
      </w:r>
      <w:r w:rsidRPr="00153BBA">
        <w:rPr>
          <w:rFonts w:ascii="Times New Roman" w:eastAsia="Times New Roman" w:hAnsi="Times New Roman" w:cs="Times New Roman"/>
          <w:sz w:val="24"/>
          <w:szCs w:val="24"/>
          <w:lang w:val="en-US" w:eastAsia="en-US" w:bidi="ar-SA"/>
        </w:rPr>
        <w:t xml:space="preserve">(3), 868–875. </w:t>
      </w:r>
      <w:hyperlink r:id="rId38" w:history="1">
        <w:r w:rsidRPr="00153BBA">
          <w:rPr>
            <w:rFonts w:ascii="Times New Roman" w:eastAsia="Times New Roman" w:hAnsi="Times New Roman" w:cs="Times New Roman"/>
            <w:color w:val="0000FF"/>
            <w:sz w:val="24"/>
            <w:szCs w:val="24"/>
            <w:u w:val="single"/>
            <w:lang w:val="en-US" w:eastAsia="en-US" w:bidi="ar-SA"/>
          </w:rPr>
          <w:t>https://doi.org/10.1038/s41396-021-01126-2</w:t>
        </w:r>
      </w:hyperlink>
    </w:p>
    <w:p w14:paraId="3DAC3383"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Liu, Y., Chen, L., Wu, G., Feng, H., Zhang, G., Shen, Q., &amp; Zhang, R. (2017). Identification of root-secreted compounds involved in the communication between cucumber, the beneficial </w:t>
      </w:r>
      <w:r w:rsidRPr="00153BBA">
        <w:rPr>
          <w:rFonts w:ascii="Times New Roman" w:eastAsia="Times New Roman" w:hAnsi="Times New Roman" w:cs="Times New Roman"/>
          <w:i/>
          <w:iCs/>
          <w:sz w:val="24"/>
          <w:szCs w:val="24"/>
          <w:lang w:val="en-US" w:eastAsia="en-US" w:bidi="ar-SA"/>
        </w:rPr>
        <w:t xml:space="preserve">Bacillus </w:t>
      </w:r>
      <w:proofErr w:type="spellStart"/>
      <w:r w:rsidRPr="00153BBA">
        <w:rPr>
          <w:rFonts w:ascii="Times New Roman" w:eastAsia="Times New Roman" w:hAnsi="Times New Roman" w:cs="Times New Roman"/>
          <w:i/>
          <w:iCs/>
          <w:sz w:val="24"/>
          <w:szCs w:val="24"/>
          <w:lang w:val="en-US" w:eastAsia="en-US" w:bidi="ar-SA"/>
        </w:rPr>
        <w:t>amyloliquefaciens</w:t>
      </w:r>
      <w:proofErr w:type="spellEnd"/>
      <w:r w:rsidRPr="00153BBA">
        <w:rPr>
          <w:rFonts w:ascii="Times New Roman" w:eastAsia="Times New Roman" w:hAnsi="Times New Roman" w:cs="Times New Roman"/>
          <w:sz w:val="24"/>
          <w:szCs w:val="24"/>
          <w:lang w:val="en-US" w:eastAsia="en-US" w:bidi="ar-SA"/>
        </w:rPr>
        <w:t xml:space="preserve">, and the soil-borne pathogen </w:t>
      </w:r>
      <w:r w:rsidRPr="00153BBA">
        <w:rPr>
          <w:rFonts w:ascii="Times New Roman" w:eastAsia="Times New Roman" w:hAnsi="Times New Roman" w:cs="Times New Roman"/>
          <w:i/>
          <w:iCs/>
          <w:sz w:val="24"/>
          <w:szCs w:val="24"/>
          <w:lang w:val="en-US" w:eastAsia="en-US" w:bidi="ar-SA"/>
        </w:rPr>
        <w:t xml:space="preserve">Fusarium </w:t>
      </w:r>
      <w:proofErr w:type="spellStart"/>
      <w:r w:rsidRPr="00153BBA">
        <w:rPr>
          <w:rFonts w:ascii="Times New Roman" w:eastAsia="Times New Roman" w:hAnsi="Times New Roman" w:cs="Times New Roman"/>
          <w:i/>
          <w:iCs/>
          <w:sz w:val="24"/>
          <w:szCs w:val="24"/>
          <w:lang w:val="en-US" w:eastAsia="en-US" w:bidi="ar-SA"/>
        </w:rPr>
        <w:t>oxysporum</w:t>
      </w:r>
      <w:proofErr w:type="spellEnd"/>
      <w:r w:rsidRPr="00153BBA">
        <w:rPr>
          <w:rFonts w:ascii="Times New Roman" w:eastAsia="Times New Roman" w:hAnsi="Times New Roman" w:cs="Times New Roman"/>
          <w:sz w:val="24"/>
          <w:szCs w:val="24"/>
          <w:lang w:val="en-US" w:eastAsia="en-US" w:bidi="ar-SA"/>
        </w:rPr>
        <w:t xml:space="preserve">. </w:t>
      </w:r>
      <w:r w:rsidRPr="00153BBA">
        <w:rPr>
          <w:rFonts w:ascii="Times New Roman" w:eastAsia="Times New Roman" w:hAnsi="Times New Roman" w:cs="Times New Roman"/>
          <w:i/>
          <w:iCs/>
          <w:sz w:val="24"/>
          <w:szCs w:val="24"/>
          <w:lang w:val="en-US" w:eastAsia="en-US" w:bidi="ar-SA"/>
        </w:rPr>
        <w:t>Molecular Plant-Microbe Interactions, 30</w:t>
      </w:r>
      <w:r w:rsidRPr="00153BBA">
        <w:rPr>
          <w:rFonts w:ascii="Times New Roman" w:eastAsia="Times New Roman" w:hAnsi="Times New Roman" w:cs="Times New Roman"/>
          <w:sz w:val="24"/>
          <w:szCs w:val="24"/>
          <w:lang w:val="en-US" w:eastAsia="en-US" w:bidi="ar-SA"/>
        </w:rPr>
        <w:t xml:space="preserve">(1), 53–62. </w:t>
      </w:r>
      <w:hyperlink r:id="rId39" w:history="1">
        <w:r w:rsidRPr="00153BBA">
          <w:rPr>
            <w:rFonts w:ascii="Times New Roman" w:eastAsia="Times New Roman" w:hAnsi="Times New Roman" w:cs="Times New Roman"/>
            <w:color w:val="0000FF"/>
            <w:sz w:val="24"/>
            <w:szCs w:val="24"/>
            <w:u w:val="single"/>
            <w:lang w:val="en-US" w:eastAsia="en-US" w:bidi="ar-SA"/>
          </w:rPr>
          <w:t>https://doi.org/10.1094/MPMI-07-16-0131-R</w:t>
        </w:r>
      </w:hyperlink>
    </w:p>
    <w:p w14:paraId="12410594"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Liu, Y., Feng, X., Gao, P., Li, Y., Christensen, M. J., &amp; Duan, T. (2018). Arbuscular mycorrhiza fungi increased the susceptibility of </w:t>
      </w:r>
      <w:r w:rsidRPr="00153BBA">
        <w:rPr>
          <w:rFonts w:ascii="Times New Roman" w:eastAsia="Times New Roman" w:hAnsi="Times New Roman" w:cs="Times New Roman"/>
          <w:i/>
          <w:iCs/>
          <w:sz w:val="24"/>
          <w:szCs w:val="24"/>
          <w:lang w:val="en-US" w:eastAsia="en-US" w:bidi="ar-SA"/>
        </w:rPr>
        <w:t xml:space="preserve">Astragalus </w:t>
      </w:r>
      <w:proofErr w:type="spellStart"/>
      <w:r w:rsidRPr="00153BBA">
        <w:rPr>
          <w:rFonts w:ascii="Times New Roman" w:eastAsia="Times New Roman" w:hAnsi="Times New Roman" w:cs="Times New Roman"/>
          <w:i/>
          <w:iCs/>
          <w:sz w:val="24"/>
          <w:szCs w:val="24"/>
          <w:lang w:val="en-US" w:eastAsia="en-US" w:bidi="ar-SA"/>
        </w:rPr>
        <w:t>adsurgens</w:t>
      </w:r>
      <w:proofErr w:type="spellEnd"/>
      <w:r w:rsidRPr="00153BBA">
        <w:rPr>
          <w:rFonts w:ascii="Times New Roman" w:eastAsia="Times New Roman" w:hAnsi="Times New Roman" w:cs="Times New Roman"/>
          <w:sz w:val="24"/>
          <w:szCs w:val="24"/>
          <w:lang w:val="en-US" w:eastAsia="en-US" w:bidi="ar-SA"/>
        </w:rPr>
        <w:t xml:space="preserve"> to powdery mildew caused by </w:t>
      </w:r>
      <w:r w:rsidRPr="00153BBA">
        <w:rPr>
          <w:rFonts w:ascii="Times New Roman" w:eastAsia="Times New Roman" w:hAnsi="Times New Roman" w:cs="Times New Roman"/>
          <w:i/>
          <w:iCs/>
          <w:sz w:val="24"/>
          <w:szCs w:val="24"/>
          <w:lang w:val="en-US" w:eastAsia="en-US" w:bidi="ar-SA"/>
        </w:rPr>
        <w:t xml:space="preserve">Erysiphe </w:t>
      </w:r>
      <w:proofErr w:type="spellStart"/>
      <w:r w:rsidRPr="00153BBA">
        <w:rPr>
          <w:rFonts w:ascii="Times New Roman" w:eastAsia="Times New Roman" w:hAnsi="Times New Roman" w:cs="Times New Roman"/>
          <w:i/>
          <w:iCs/>
          <w:sz w:val="24"/>
          <w:szCs w:val="24"/>
          <w:lang w:val="en-US" w:eastAsia="en-US" w:bidi="ar-SA"/>
        </w:rPr>
        <w:t>pisi</w:t>
      </w:r>
      <w:proofErr w:type="spellEnd"/>
      <w:r w:rsidRPr="00153BBA">
        <w:rPr>
          <w:rFonts w:ascii="Times New Roman" w:eastAsia="Times New Roman" w:hAnsi="Times New Roman" w:cs="Times New Roman"/>
          <w:sz w:val="24"/>
          <w:szCs w:val="24"/>
          <w:lang w:val="en-US" w:eastAsia="en-US" w:bidi="ar-SA"/>
        </w:rPr>
        <w:t xml:space="preserve">. </w:t>
      </w:r>
      <w:r w:rsidRPr="00153BBA">
        <w:rPr>
          <w:rFonts w:ascii="Times New Roman" w:eastAsia="Times New Roman" w:hAnsi="Times New Roman" w:cs="Times New Roman"/>
          <w:i/>
          <w:iCs/>
          <w:sz w:val="24"/>
          <w:szCs w:val="24"/>
          <w:lang w:val="en-US" w:eastAsia="en-US" w:bidi="ar-SA"/>
        </w:rPr>
        <w:t>Mycology, 9</w:t>
      </w:r>
      <w:r w:rsidRPr="00153BBA">
        <w:rPr>
          <w:rFonts w:ascii="Times New Roman" w:eastAsia="Times New Roman" w:hAnsi="Times New Roman" w:cs="Times New Roman"/>
          <w:sz w:val="24"/>
          <w:szCs w:val="24"/>
          <w:lang w:val="en-US" w:eastAsia="en-US" w:bidi="ar-SA"/>
        </w:rPr>
        <w:t xml:space="preserve">(3), 223–232. </w:t>
      </w:r>
      <w:hyperlink r:id="rId40" w:history="1">
        <w:r w:rsidRPr="00153BBA">
          <w:rPr>
            <w:rFonts w:ascii="Times New Roman" w:eastAsia="Times New Roman" w:hAnsi="Times New Roman" w:cs="Times New Roman"/>
            <w:color w:val="0000FF"/>
            <w:sz w:val="24"/>
            <w:szCs w:val="24"/>
            <w:u w:val="single"/>
            <w:lang w:val="en-US" w:eastAsia="en-US" w:bidi="ar-SA"/>
          </w:rPr>
          <w:t>https://doi.org/10.1080/21501203.2018.1477849</w:t>
        </w:r>
      </w:hyperlink>
    </w:p>
    <w:p w14:paraId="637FC233"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Liu, Y., Zhang, N., Qiu, M., Feng, H., Vivanco, J. M., Shen, Q., &amp; Zhang, R. (2014). Enhanced rhizosphere colonization of beneficial </w:t>
      </w:r>
      <w:r w:rsidRPr="00153BBA">
        <w:rPr>
          <w:rFonts w:ascii="Times New Roman" w:eastAsia="Times New Roman" w:hAnsi="Times New Roman" w:cs="Times New Roman"/>
          <w:i/>
          <w:iCs/>
          <w:sz w:val="24"/>
          <w:szCs w:val="24"/>
          <w:lang w:val="en-US" w:eastAsia="en-US" w:bidi="ar-SA"/>
        </w:rPr>
        <w:t xml:space="preserve">Bacillus </w:t>
      </w:r>
      <w:proofErr w:type="spellStart"/>
      <w:r w:rsidRPr="00153BBA">
        <w:rPr>
          <w:rFonts w:ascii="Times New Roman" w:eastAsia="Times New Roman" w:hAnsi="Times New Roman" w:cs="Times New Roman"/>
          <w:i/>
          <w:iCs/>
          <w:sz w:val="24"/>
          <w:szCs w:val="24"/>
          <w:lang w:val="en-US" w:eastAsia="en-US" w:bidi="ar-SA"/>
        </w:rPr>
        <w:t>amyloliquefaciens</w:t>
      </w:r>
      <w:proofErr w:type="spellEnd"/>
      <w:r w:rsidRPr="00153BBA">
        <w:rPr>
          <w:rFonts w:ascii="Times New Roman" w:eastAsia="Times New Roman" w:hAnsi="Times New Roman" w:cs="Times New Roman"/>
          <w:sz w:val="24"/>
          <w:szCs w:val="24"/>
          <w:lang w:val="en-US" w:eastAsia="en-US" w:bidi="ar-SA"/>
        </w:rPr>
        <w:t xml:space="preserve"> SQR9 by pathogen infection. </w:t>
      </w:r>
      <w:r w:rsidRPr="00153BBA">
        <w:rPr>
          <w:rFonts w:ascii="Times New Roman" w:eastAsia="Times New Roman" w:hAnsi="Times New Roman" w:cs="Times New Roman"/>
          <w:i/>
          <w:iCs/>
          <w:sz w:val="24"/>
          <w:szCs w:val="24"/>
          <w:lang w:val="en-US" w:eastAsia="en-US" w:bidi="ar-SA"/>
        </w:rPr>
        <w:t>FEMS Microbiology Letters, 353</w:t>
      </w:r>
      <w:r w:rsidRPr="00153BBA">
        <w:rPr>
          <w:rFonts w:ascii="Times New Roman" w:eastAsia="Times New Roman" w:hAnsi="Times New Roman" w:cs="Times New Roman"/>
          <w:sz w:val="24"/>
          <w:szCs w:val="24"/>
          <w:lang w:val="en-US" w:eastAsia="en-US" w:bidi="ar-SA"/>
        </w:rPr>
        <w:t xml:space="preserve">(1), 49–56. </w:t>
      </w:r>
      <w:hyperlink r:id="rId41" w:history="1">
        <w:r w:rsidRPr="00153BBA">
          <w:rPr>
            <w:rFonts w:ascii="Times New Roman" w:eastAsia="Times New Roman" w:hAnsi="Times New Roman" w:cs="Times New Roman"/>
            <w:color w:val="0000FF"/>
            <w:sz w:val="24"/>
            <w:szCs w:val="24"/>
            <w:u w:val="single"/>
            <w:lang w:val="en-US" w:eastAsia="en-US" w:bidi="ar-SA"/>
          </w:rPr>
          <w:t>https://doi.org/10.1111/1574-6968.12406</w:t>
        </w:r>
      </w:hyperlink>
    </w:p>
    <w:p w14:paraId="374A0AA6"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Loria, R., </w:t>
      </w:r>
      <w:proofErr w:type="spellStart"/>
      <w:r w:rsidRPr="00153BBA">
        <w:rPr>
          <w:rFonts w:ascii="Times New Roman" w:eastAsia="Times New Roman" w:hAnsi="Times New Roman" w:cs="Times New Roman"/>
          <w:sz w:val="24"/>
          <w:szCs w:val="24"/>
          <w:lang w:val="en-US" w:eastAsia="en-US" w:bidi="ar-SA"/>
        </w:rPr>
        <w:t>Bukhalid</w:t>
      </w:r>
      <w:proofErr w:type="spellEnd"/>
      <w:r w:rsidRPr="00153BBA">
        <w:rPr>
          <w:rFonts w:ascii="Times New Roman" w:eastAsia="Times New Roman" w:hAnsi="Times New Roman" w:cs="Times New Roman"/>
          <w:sz w:val="24"/>
          <w:szCs w:val="24"/>
          <w:lang w:val="en-US" w:eastAsia="en-US" w:bidi="ar-SA"/>
        </w:rPr>
        <w:t xml:space="preserve">, R. A., Fry, B. A., &amp; King, R. R. (1997). Plant pathogenicity in the genus </w:t>
      </w:r>
      <w:r w:rsidRPr="00153BBA">
        <w:rPr>
          <w:rFonts w:ascii="Times New Roman" w:eastAsia="Times New Roman" w:hAnsi="Times New Roman" w:cs="Times New Roman"/>
          <w:i/>
          <w:iCs/>
          <w:sz w:val="24"/>
          <w:szCs w:val="24"/>
          <w:lang w:val="en-US" w:eastAsia="en-US" w:bidi="ar-SA"/>
        </w:rPr>
        <w:t>Streptomyces</w:t>
      </w:r>
      <w:r w:rsidRPr="00153BBA">
        <w:rPr>
          <w:rFonts w:ascii="Times New Roman" w:eastAsia="Times New Roman" w:hAnsi="Times New Roman" w:cs="Times New Roman"/>
          <w:sz w:val="24"/>
          <w:szCs w:val="24"/>
          <w:lang w:val="en-US" w:eastAsia="en-US" w:bidi="ar-SA"/>
        </w:rPr>
        <w:t xml:space="preserve">. </w:t>
      </w:r>
      <w:r w:rsidRPr="00153BBA">
        <w:rPr>
          <w:rFonts w:ascii="Times New Roman" w:eastAsia="Times New Roman" w:hAnsi="Times New Roman" w:cs="Times New Roman"/>
          <w:i/>
          <w:iCs/>
          <w:sz w:val="24"/>
          <w:szCs w:val="24"/>
          <w:lang w:val="en-US" w:eastAsia="en-US" w:bidi="ar-SA"/>
        </w:rPr>
        <w:t>Plant Disease, 81</w:t>
      </w:r>
      <w:r w:rsidRPr="00153BBA">
        <w:rPr>
          <w:rFonts w:ascii="Times New Roman" w:eastAsia="Times New Roman" w:hAnsi="Times New Roman" w:cs="Times New Roman"/>
          <w:sz w:val="24"/>
          <w:szCs w:val="24"/>
          <w:lang w:val="en-US" w:eastAsia="en-US" w:bidi="ar-SA"/>
        </w:rPr>
        <w:t xml:space="preserve">(8), 836–846. </w:t>
      </w:r>
      <w:hyperlink r:id="rId42" w:history="1">
        <w:r w:rsidRPr="00153BBA">
          <w:rPr>
            <w:rFonts w:ascii="Times New Roman" w:eastAsia="Times New Roman" w:hAnsi="Times New Roman" w:cs="Times New Roman"/>
            <w:color w:val="0000FF"/>
            <w:sz w:val="24"/>
            <w:szCs w:val="24"/>
            <w:u w:val="single"/>
            <w:lang w:val="en-US" w:eastAsia="en-US" w:bidi="ar-SA"/>
          </w:rPr>
          <w:t>https://doi.org/10.1094/PDIS.1997.81.8.836</w:t>
        </w:r>
      </w:hyperlink>
    </w:p>
    <w:p w14:paraId="2E876044" w14:textId="3EB71D5C"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Mendes, L. W., Raaijmakers, J. M., de Hollander, M., Mendes, R., &amp; Tsai, S. M. (2018). Influence of resistance breeding in common bean on rhizosphere microbiome composition and function. </w:t>
      </w:r>
      <w:r w:rsidRPr="00153BBA">
        <w:rPr>
          <w:rFonts w:ascii="Times New Roman" w:eastAsia="Times New Roman" w:hAnsi="Times New Roman" w:cs="Times New Roman"/>
          <w:i/>
          <w:iCs/>
          <w:sz w:val="24"/>
          <w:szCs w:val="24"/>
          <w:lang w:val="en-US" w:eastAsia="en-US" w:bidi="ar-SA"/>
        </w:rPr>
        <w:t>The ISME Journal, 12</w:t>
      </w:r>
      <w:r w:rsidRPr="00153BBA">
        <w:rPr>
          <w:rFonts w:ascii="Times New Roman" w:eastAsia="Times New Roman" w:hAnsi="Times New Roman" w:cs="Times New Roman"/>
          <w:sz w:val="24"/>
          <w:szCs w:val="24"/>
          <w:lang w:val="en-US" w:eastAsia="en-US" w:bidi="ar-SA"/>
        </w:rPr>
        <w:t xml:space="preserve">(1), 212–224. </w:t>
      </w:r>
      <w:hyperlink r:id="rId43" w:history="1">
        <w:r w:rsidRPr="00153BBA">
          <w:rPr>
            <w:rFonts w:ascii="Times New Roman" w:eastAsia="Times New Roman" w:hAnsi="Times New Roman" w:cs="Times New Roman"/>
            <w:color w:val="0000FF"/>
            <w:sz w:val="24"/>
            <w:szCs w:val="24"/>
            <w:u w:val="single"/>
            <w:lang w:val="en-US" w:eastAsia="en-US" w:bidi="ar-SA"/>
          </w:rPr>
          <w:t>https://doi.org/10.1038/ismej.2017.158</w:t>
        </w:r>
      </w:hyperlink>
      <w:r w:rsidRPr="00153BBA">
        <w:rPr>
          <w:rFonts w:ascii="Times New Roman" w:eastAsia="Times New Roman" w:hAnsi="Times New Roman" w:cs="Times New Roman"/>
          <w:sz w:val="24"/>
          <w:szCs w:val="24"/>
          <w:lang w:val="en-US" w:eastAsia="en-US" w:bidi="ar-SA"/>
        </w:rPr>
        <w:br/>
      </w:r>
    </w:p>
    <w:p w14:paraId="1A84E201"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Mendes, R., </w:t>
      </w:r>
      <w:proofErr w:type="spellStart"/>
      <w:r w:rsidRPr="00153BBA">
        <w:rPr>
          <w:rFonts w:ascii="Times New Roman" w:eastAsia="Times New Roman" w:hAnsi="Times New Roman" w:cs="Times New Roman"/>
          <w:sz w:val="24"/>
          <w:szCs w:val="24"/>
          <w:lang w:val="en-US" w:eastAsia="en-US" w:bidi="ar-SA"/>
        </w:rPr>
        <w:t>Kruijt</w:t>
      </w:r>
      <w:proofErr w:type="spellEnd"/>
      <w:r w:rsidRPr="00153BBA">
        <w:rPr>
          <w:rFonts w:ascii="Times New Roman" w:eastAsia="Times New Roman" w:hAnsi="Times New Roman" w:cs="Times New Roman"/>
          <w:sz w:val="24"/>
          <w:szCs w:val="24"/>
          <w:lang w:val="en-US" w:eastAsia="en-US" w:bidi="ar-SA"/>
        </w:rPr>
        <w:t xml:space="preserve">, M., de Bruijn, I., Dekkers, E., van der Voort, M., Schneider, J. H. M., Piceno, Y. M., DeSantis, T. Z., Andersen, G. L., Bakker, P. A. H. M., &amp; Raaijmakers, J. M. (2011). Deciphering the rhizosphere microbiome for disease-suppressive bacteria. </w:t>
      </w:r>
      <w:r w:rsidRPr="00153BBA">
        <w:rPr>
          <w:rFonts w:ascii="Times New Roman" w:eastAsia="Times New Roman" w:hAnsi="Times New Roman" w:cs="Times New Roman"/>
          <w:i/>
          <w:iCs/>
          <w:sz w:val="24"/>
          <w:szCs w:val="24"/>
          <w:lang w:val="en-US" w:eastAsia="en-US" w:bidi="ar-SA"/>
        </w:rPr>
        <w:t>Science, 332</w:t>
      </w:r>
      <w:r w:rsidRPr="00153BBA">
        <w:rPr>
          <w:rFonts w:ascii="Times New Roman" w:eastAsia="Times New Roman" w:hAnsi="Times New Roman" w:cs="Times New Roman"/>
          <w:sz w:val="24"/>
          <w:szCs w:val="24"/>
          <w:lang w:val="en-US" w:eastAsia="en-US" w:bidi="ar-SA"/>
        </w:rPr>
        <w:t xml:space="preserve">(6033), 1097–1100. </w:t>
      </w:r>
      <w:hyperlink r:id="rId44" w:history="1">
        <w:r w:rsidRPr="00153BBA">
          <w:rPr>
            <w:rFonts w:ascii="Times New Roman" w:eastAsia="Times New Roman" w:hAnsi="Times New Roman" w:cs="Times New Roman"/>
            <w:color w:val="0000FF"/>
            <w:sz w:val="24"/>
            <w:szCs w:val="24"/>
            <w:u w:val="single"/>
            <w:lang w:val="en-US" w:eastAsia="en-US" w:bidi="ar-SA"/>
          </w:rPr>
          <w:t>https://doi.org/10.1126/science.1203980</w:t>
        </w:r>
      </w:hyperlink>
    </w:p>
    <w:p w14:paraId="76DEF6E8"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lastRenderedPageBreak/>
        <w:t xml:space="preserve">Minchev, Z., Kostenko, O., Soler, R., &amp; Pozo, M. J. (2021). Microbial consortia for effective biocontrol of root and foliar diseases in tomato. </w:t>
      </w:r>
      <w:r w:rsidRPr="00153BBA">
        <w:rPr>
          <w:rFonts w:ascii="Times New Roman" w:eastAsia="Times New Roman" w:hAnsi="Times New Roman" w:cs="Times New Roman"/>
          <w:i/>
          <w:iCs/>
          <w:sz w:val="24"/>
          <w:szCs w:val="24"/>
          <w:lang w:val="en-US" w:eastAsia="en-US" w:bidi="ar-SA"/>
        </w:rPr>
        <w:t>Frontiers in Plant Science, 12</w:t>
      </w:r>
      <w:r w:rsidRPr="00153BBA">
        <w:rPr>
          <w:rFonts w:ascii="Times New Roman" w:eastAsia="Times New Roman" w:hAnsi="Times New Roman" w:cs="Times New Roman"/>
          <w:sz w:val="24"/>
          <w:szCs w:val="24"/>
          <w:lang w:val="en-US" w:eastAsia="en-US" w:bidi="ar-SA"/>
        </w:rPr>
        <w:t xml:space="preserve">, Article 756368. </w:t>
      </w:r>
      <w:hyperlink r:id="rId45" w:history="1">
        <w:r w:rsidRPr="00153BBA">
          <w:rPr>
            <w:rFonts w:ascii="Times New Roman" w:eastAsia="Times New Roman" w:hAnsi="Times New Roman" w:cs="Times New Roman"/>
            <w:color w:val="0000FF"/>
            <w:sz w:val="24"/>
            <w:szCs w:val="24"/>
            <w:u w:val="single"/>
            <w:lang w:val="en-US" w:eastAsia="en-US" w:bidi="ar-SA"/>
          </w:rPr>
          <w:t>https://doi.org/10.3389/fpls.2021.756368</w:t>
        </w:r>
      </w:hyperlink>
    </w:p>
    <w:p w14:paraId="62B32B79"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Mohanan, A., Nigam, R., </w:t>
      </w:r>
      <w:proofErr w:type="spellStart"/>
      <w:r w:rsidRPr="00153BBA">
        <w:rPr>
          <w:rFonts w:ascii="Times New Roman" w:eastAsia="Times New Roman" w:hAnsi="Times New Roman" w:cs="Times New Roman"/>
          <w:sz w:val="24"/>
          <w:szCs w:val="24"/>
          <w:lang w:val="en-US" w:eastAsia="en-US" w:bidi="ar-SA"/>
        </w:rPr>
        <w:t>Yeliya</w:t>
      </w:r>
      <w:proofErr w:type="spellEnd"/>
      <w:r w:rsidRPr="00153BBA">
        <w:rPr>
          <w:rFonts w:ascii="Times New Roman" w:eastAsia="Times New Roman" w:hAnsi="Times New Roman" w:cs="Times New Roman"/>
          <w:sz w:val="24"/>
          <w:szCs w:val="24"/>
          <w:lang w:val="en-US" w:eastAsia="en-US" w:bidi="ar-SA"/>
        </w:rPr>
        <w:t xml:space="preserve">, P., Daniel, G. R., Devi, N. O., Sahu, R., Mohapatra, D., &amp; Sahoo, L. (2025). The role of plant microbiomes in suppressing soilborne pathogens: A review. </w:t>
      </w:r>
      <w:r w:rsidRPr="00153BBA">
        <w:rPr>
          <w:rFonts w:ascii="Times New Roman" w:eastAsia="Times New Roman" w:hAnsi="Times New Roman" w:cs="Times New Roman"/>
          <w:i/>
          <w:iCs/>
          <w:sz w:val="24"/>
          <w:szCs w:val="24"/>
          <w:lang w:val="en-US" w:eastAsia="en-US" w:bidi="ar-SA"/>
        </w:rPr>
        <w:t>Journal of Advances in Microbiology, 25</w:t>
      </w:r>
      <w:r w:rsidRPr="00153BBA">
        <w:rPr>
          <w:rFonts w:ascii="Times New Roman" w:eastAsia="Times New Roman" w:hAnsi="Times New Roman" w:cs="Times New Roman"/>
          <w:sz w:val="24"/>
          <w:szCs w:val="24"/>
          <w:lang w:val="en-US" w:eastAsia="en-US" w:bidi="ar-SA"/>
        </w:rPr>
        <w:t xml:space="preserve">(5), 160–178. </w:t>
      </w:r>
      <w:hyperlink r:id="rId46" w:history="1">
        <w:r w:rsidRPr="00153BBA">
          <w:rPr>
            <w:rFonts w:ascii="Times New Roman" w:eastAsia="Times New Roman" w:hAnsi="Times New Roman" w:cs="Times New Roman"/>
            <w:color w:val="0000FF"/>
            <w:sz w:val="24"/>
            <w:szCs w:val="24"/>
            <w:u w:val="single"/>
            <w:lang w:val="en-US" w:eastAsia="en-US" w:bidi="ar-SA"/>
          </w:rPr>
          <w:t>https://doi.org/10.9734/jamb/2025/v25i5942</w:t>
        </w:r>
      </w:hyperlink>
    </w:p>
    <w:p w14:paraId="0E97B147"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Neal, A. L., Ahmad, S., Gordon-Weeks, R., &amp; Ton, J. (2012). Benzoxazinoids in root exudates of maize attract </w:t>
      </w:r>
      <w:r w:rsidRPr="00153BBA">
        <w:rPr>
          <w:rFonts w:ascii="Times New Roman" w:eastAsia="Times New Roman" w:hAnsi="Times New Roman" w:cs="Times New Roman"/>
          <w:i/>
          <w:iCs/>
          <w:sz w:val="24"/>
          <w:szCs w:val="24"/>
          <w:lang w:val="en-US" w:eastAsia="en-US" w:bidi="ar-SA"/>
        </w:rPr>
        <w:t>Pseudomonas putida</w:t>
      </w:r>
      <w:r w:rsidRPr="00153BBA">
        <w:rPr>
          <w:rFonts w:ascii="Times New Roman" w:eastAsia="Times New Roman" w:hAnsi="Times New Roman" w:cs="Times New Roman"/>
          <w:sz w:val="24"/>
          <w:szCs w:val="24"/>
          <w:lang w:val="en-US" w:eastAsia="en-US" w:bidi="ar-SA"/>
        </w:rPr>
        <w:t xml:space="preserve"> to the rhizosphere. </w:t>
      </w:r>
      <w:r w:rsidRPr="00153BBA">
        <w:rPr>
          <w:rFonts w:ascii="Times New Roman" w:eastAsia="Times New Roman" w:hAnsi="Times New Roman" w:cs="Times New Roman"/>
          <w:i/>
          <w:iCs/>
          <w:sz w:val="24"/>
          <w:szCs w:val="24"/>
          <w:lang w:val="en-US" w:eastAsia="en-US" w:bidi="ar-SA"/>
        </w:rPr>
        <w:t>PLOS ONE, 7</w:t>
      </w:r>
      <w:r w:rsidRPr="00153BBA">
        <w:rPr>
          <w:rFonts w:ascii="Times New Roman" w:eastAsia="Times New Roman" w:hAnsi="Times New Roman" w:cs="Times New Roman"/>
          <w:sz w:val="24"/>
          <w:szCs w:val="24"/>
          <w:lang w:val="en-US" w:eastAsia="en-US" w:bidi="ar-SA"/>
        </w:rPr>
        <w:t xml:space="preserve">(4), Article e35498. </w:t>
      </w:r>
      <w:hyperlink r:id="rId47" w:history="1">
        <w:r w:rsidRPr="00153BBA">
          <w:rPr>
            <w:rFonts w:ascii="Times New Roman" w:eastAsia="Times New Roman" w:hAnsi="Times New Roman" w:cs="Times New Roman"/>
            <w:color w:val="0000FF"/>
            <w:sz w:val="24"/>
            <w:szCs w:val="24"/>
            <w:u w:val="single"/>
            <w:lang w:val="en-US" w:eastAsia="en-US" w:bidi="ar-SA"/>
          </w:rPr>
          <w:t>https://doi.org/10.1371/journal.pone.0035498</w:t>
        </w:r>
      </w:hyperlink>
    </w:p>
    <w:p w14:paraId="6C78AEFB"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proofErr w:type="spellStart"/>
      <w:r w:rsidRPr="00153BBA">
        <w:rPr>
          <w:rFonts w:ascii="Times New Roman" w:eastAsia="Times New Roman" w:hAnsi="Times New Roman" w:cs="Times New Roman"/>
          <w:sz w:val="24"/>
          <w:szCs w:val="24"/>
          <w:lang w:val="en-US" w:eastAsia="en-US" w:bidi="ar-SA"/>
        </w:rPr>
        <w:t>Ngomle</w:t>
      </w:r>
      <w:proofErr w:type="spellEnd"/>
      <w:r w:rsidRPr="00153BBA">
        <w:rPr>
          <w:rFonts w:ascii="Times New Roman" w:eastAsia="Times New Roman" w:hAnsi="Times New Roman" w:cs="Times New Roman"/>
          <w:sz w:val="24"/>
          <w:szCs w:val="24"/>
          <w:lang w:val="en-US" w:eastAsia="en-US" w:bidi="ar-SA"/>
        </w:rPr>
        <w:t xml:space="preserve">, S., Haokip, S. W., Singh, Y. D., Sheikh, K. A., Singh, S. R., &amp; </w:t>
      </w:r>
      <w:proofErr w:type="spellStart"/>
      <w:r w:rsidRPr="00153BBA">
        <w:rPr>
          <w:rFonts w:ascii="Times New Roman" w:eastAsia="Times New Roman" w:hAnsi="Times New Roman" w:cs="Times New Roman"/>
          <w:sz w:val="24"/>
          <w:szCs w:val="24"/>
          <w:lang w:val="en-US" w:eastAsia="en-US" w:bidi="ar-SA"/>
        </w:rPr>
        <w:t>Katare</w:t>
      </w:r>
      <w:proofErr w:type="spellEnd"/>
      <w:r w:rsidRPr="00153BBA">
        <w:rPr>
          <w:rFonts w:ascii="Times New Roman" w:eastAsia="Times New Roman" w:hAnsi="Times New Roman" w:cs="Times New Roman"/>
          <w:sz w:val="24"/>
          <w:szCs w:val="24"/>
          <w:lang w:val="en-US" w:eastAsia="en-US" w:bidi="ar-SA"/>
        </w:rPr>
        <w:t xml:space="preserve">, M. B. (2025). Omics approaches in plant disease management: An insightful review. </w:t>
      </w:r>
      <w:r w:rsidRPr="00153BBA">
        <w:rPr>
          <w:rFonts w:ascii="Times New Roman" w:eastAsia="Times New Roman" w:hAnsi="Times New Roman" w:cs="Times New Roman"/>
          <w:i/>
          <w:iCs/>
          <w:sz w:val="24"/>
          <w:szCs w:val="24"/>
          <w:lang w:val="en-US" w:eastAsia="en-US" w:bidi="ar-SA"/>
        </w:rPr>
        <w:t>Physiological and Molecular Plant Pathology, 140</w:t>
      </w:r>
      <w:r w:rsidRPr="00153BBA">
        <w:rPr>
          <w:rFonts w:ascii="Times New Roman" w:eastAsia="Times New Roman" w:hAnsi="Times New Roman" w:cs="Times New Roman"/>
          <w:sz w:val="24"/>
          <w:szCs w:val="24"/>
          <w:lang w:val="en-US" w:eastAsia="en-US" w:bidi="ar-SA"/>
        </w:rPr>
        <w:t xml:space="preserve">, Article 102916. </w:t>
      </w:r>
      <w:hyperlink r:id="rId48" w:history="1">
        <w:r w:rsidRPr="00153BBA">
          <w:rPr>
            <w:rFonts w:ascii="Times New Roman" w:eastAsia="Times New Roman" w:hAnsi="Times New Roman" w:cs="Times New Roman"/>
            <w:color w:val="0000FF"/>
            <w:sz w:val="24"/>
            <w:szCs w:val="24"/>
            <w:u w:val="single"/>
            <w:lang w:val="en-US" w:eastAsia="en-US" w:bidi="ar-SA"/>
          </w:rPr>
          <w:t>https://doi.org/10.1016/j.pmpp.2025.102916</w:t>
        </w:r>
      </w:hyperlink>
    </w:p>
    <w:p w14:paraId="6CDDCA3E" w14:textId="706DC8A4"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Niehus, R., Picot, A., Oliveira, N. M., </w:t>
      </w:r>
      <w:proofErr w:type="spellStart"/>
      <w:r w:rsidRPr="00153BBA">
        <w:rPr>
          <w:rFonts w:ascii="Times New Roman" w:eastAsia="Times New Roman" w:hAnsi="Times New Roman" w:cs="Times New Roman"/>
          <w:sz w:val="24"/>
          <w:szCs w:val="24"/>
          <w:lang w:val="en-US" w:eastAsia="en-US" w:bidi="ar-SA"/>
        </w:rPr>
        <w:t>Mitri</w:t>
      </w:r>
      <w:proofErr w:type="spellEnd"/>
      <w:r w:rsidRPr="00153BBA">
        <w:rPr>
          <w:rFonts w:ascii="Times New Roman" w:eastAsia="Times New Roman" w:hAnsi="Times New Roman" w:cs="Times New Roman"/>
          <w:sz w:val="24"/>
          <w:szCs w:val="24"/>
          <w:lang w:val="en-US" w:eastAsia="en-US" w:bidi="ar-SA"/>
        </w:rPr>
        <w:t xml:space="preserve">, S., &amp; Foster, K. R. (2017). The evolution of siderophore production as a competitive trait. </w:t>
      </w:r>
      <w:r w:rsidRPr="00153BBA">
        <w:rPr>
          <w:rFonts w:ascii="Times New Roman" w:eastAsia="Times New Roman" w:hAnsi="Times New Roman" w:cs="Times New Roman"/>
          <w:i/>
          <w:iCs/>
          <w:sz w:val="24"/>
          <w:szCs w:val="24"/>
          <w:lang w:val="en-US" w:eastAsia="en-US" w:bidi="ar-SA"/>
        </w:rPr>
        <w:t>Evolution, 71</w:t>
      </w:r>
      <w:r w:rsidRPr="00153BBA">
        <w:rPr>
          <w:rFonts w:ascii="Times New Roman" w:eastAsia="Times New Roman" w:hAnsi="Times New Roman" w:cs="Times New Roman"/>
          <w:sz w:val="24"/>
          <w:szCs w:val="24"/>
          <w:lang w:val="en-US" w:eastAsia="en-US" w:bidi="ar-SA"/>
        </w:rPr>
        <w:t xml:space="preserve">(6), 1443–1455. </w:t>
      </w:r>
      <w:hyperlink r:id="rId49" w:history="1">
        <w:r w:rsidRPr="00153BBA">
          <w:rPr>
            <w:rFonts w:ascii="Times New Roman" w:eastAsia="Times New Roman" w:hAnsi="Times New Roman" w:cs="Times New Roman"/>
            <w:color w:val="0000FF"/>
            <w:sz w:val="24"/>
            <w:szCs w:val="24"/>
            <w:u w:val="single"/>
            <w:lang w:val="en-US" w:eastAsia="en-US" w:bidi="ar-SA"/>
          </w:rPr>
          <w:t>https://doi.org/10.1111/evo.13230</w:t>
        </w:r>
      </w:hyperlink>
      <w:r w:rsidRPr="00153BBA">
        <w:rPr>
          <w:rFonts w:ascii="Times New Roman" w:eastAsia="Times New Roman" w:hAnsi="Times New Roman" w:cs="Times New Roman"/>
          <w:sz w:val="24"/>
          <w:szCs w:val="24"/>
          <w:lang w:val="en-US" w:eastAsia="en-US" w:bidi="ar-SA"/>
        </w:rPr>
        <w:br/>
      </w:r>
    </w:p>
    <w:p w14:paraId="13A49E7E"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proofErr w:type="spellStart"/>
      <w:r w:rsidRPr="00153BBA">
        <w:rPr>
          <w:rFonts w:ascii="Times New Roman" w:eastAsia="Times New Roman" w:hAnsi="Times New Roman" w:cs="Times New Roman"/>
          <w:sz w:val="24"/>
          <w:szCs w:val="24"/>
          <w:lang w:val="en-US" w:eastAsia="en-US" w:bidi="ar-SA"/>
        </w:rPr>
        <w:t>Nobori</w:t>
      </w:r>
      <w:proofErr w:type="spellEnd"/>
      <w:r w:rsidRPr="00153BBA">
        <w:rPr>
          <w:rFonts w:ascii="Times New Roman" w:eastAsia="Times New Roman" w:hAnsi="Times New Roman" w:cs="Times New Roman"/>
          <w:sz w:val="24"/>
          <w:szCs w:val="24"/>
          <w:lang w:val="en-US" w:eastAsia="en-US" w:bidi="ar-SA"/>
        </w:rPr>
        <w:t xml:space="preserve">, T., Cao, Y., </w:t>
      </w:r>
      <w:proofErr w:type="spellStart"/>
      <w:r w:rsidRPr="00153BBA">
        <w:rPr>
          <w:rFonts w:ascii="Times New Roman" w:eastAsia="Times New Roman" w:hAnsi="Times New Roman" w:cs="Times New Roman"/>
          <w:sz w:val="24"/>
          <w:szCs w:val="24"/>
          <w:lang w:val="en-US" w:eastAsia="en-US" w:bidi="ar-SA"/>
        </w:rPr>
        <w:t>Entila</w:t>
      </w:r>
      <w:proofErr w:type="spellEnd"/>
      <w:r w:rsidRPr="00153BBA">
        <w:rPr>
          <w:rFonts w:ascii="Times New Roman" w:eastAsia="Times New Roman" w:hAnsi="Times New Roman" w:cs="Times New Roman"/>
          <w:sz w:val="24"/>
          <w:szCs w:val="24"/>
          <w:lang w:val="en-US" w:eastAsia="en-US" w:bidi="ar-SA"/>
        </w:rPr>
        <w:t xml:space="preserve">, F., Dahms, E., Tsuda, Y., Garrido-Oter, R., &amp; Tsuda, K. (2022). Dissecting the </w:t>
      </w:r>
      <w:proofErr w:type="spellStart"/>
      <w:r w:rsidRPr="00153BBA">
        <w:rPr>
          <w:rFonts w:ascii="Times New Roman" w:eastAsia="Times New Roman" w:hAnsi="Times New Roman" w:cs="Times New Roman"/>
          <w:sz w:val="24"/>
          <w:szCs w:val="24"/>
          <w:lang w:val="en-US" w:eastAsia="en-US" w:bidi="ar-SA"/>
        </w:rPr>
        <w:t>cotranscriptome</w:t>
      </w:r>
      <w:proofErr w:type="spellEnd"/>
      <w:r w:rsidRPr="00153BBA">
        <w:rPr>
          <w:rFonts w:ascii="Times New Roman" w:eastAsia="Times New Roman" w:hAnsi="Times New Roman" w:cs="Times New Roman"/>
          <w:sz w:val="24"/>
          <w:szCs w:val="24"/>
          <w:lang w:val="en-US" w:eastAsia="en-US" w:bidi="ar-SA"/>
        </w:rPr>
        <w:t xml:space="preserve"> landscape of plants and their microbiota. </w:t>
      </w:r>
      <w:r w:rsidRPr="00153BBA">
        <w:rPr>
          <w:rFonts w:ascii="Times New Roman" w:eastAsia="Times New Roman" w:hAnsi="Times New Roman" w:cs="Times New Roman"/>
          <w:i/>
          <w:iCs/>
          <w:sz w:val="24"/>
          <w:szCs w:val="24"/>
          <w:lang w:val="en-US" w:eastAsia="en-US" w:bidi="ar-SA"/>
        </w:rPr>
        <w:t>EMBO Reports, 23</w:t>
      </w:r>
      <w:r w:rsidRPr="00153BBA">
        <w:rPr>
          <w:rFonts w:ascii="Times New Roman" w:eastAsia="Times New Roman" w:hAnsi="Times New Roman" w:cs="Times New Roman"/>
          <w:sz w:val="24"/>
          <w:szCs w:val="24"/>
          <w:lang w:val="en-US" w:eastAsia="en-US" w:bidi="ar-SA"/>
        </w:rPr>
        <w:t xml:space="preserve">(12), Article e55380. </w:t>
      </w:r>
      <w:hyperlink r:id="rId50" w:history="1">
        <w:r w:rsidRPr="00153BBA">
          <w:rPr>
            <w:rFonts w:ascii="Times New Roman" w:eastAsia="Times New Roman" w:hAnsi="Times New Roman" w:cs="Times New Roman"/>
            <w:color w:val="0000FF"/>
            <w:sz w:val="24"/>
            <w:szCs w:val="24"/>
            <w:u w:val="single"/>
            <w:lang w:val="en-US" w:eastAsia="en-US" w:bidi="ar-SA"/>
          </w:rPr>
          <w:t>https://doi.org/10.15252/embr.202255380</w:t>
        </w:r>
      </w:hyperlink>
    </w:p>
    <w:p w14:paraId="2D6105E4"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Noman, M., Ahmed, T., Ijaz, U., Shahid, M., Azizullah, Li, D., Manzoor, I., &amp; Song, F. (2021). Plant-microbiome crosstalk: Dawning from composition and assembly of microbial community to improvement of disease resilience in plants. </w:t>
      </w:r>
      <w:r w:rsidRPr="00153BBA">
        <w:rPr>
          <w:rFonts w:ascii="Times New Roman" w:eastAsia="Times New Roman" w:hAnsi="Times New Roman" w:cs="Times New Roman"/>
          <w:i/>
          <w:iCs/>
          <w:sz w:val="24"/>
          <w:szCs w:val="24"/>
          <w:lang w:val="en-US" w:eastAsia="en-US" w:bidi="ar-SA"/>
        </w:rPr>
        <w:t>International Journal of Molecular Sciences, 22</w:t>
      </w:r>
      <w:r w:rsidRPr="00153BBA">
        <w:rPr>
          <w:rFonts w:ascii="Times New Roman" w:eastAsia="Times New Roman" w:hAnsi="Times New Roman" w:cs="Times New Roman"/>
          <w:sz w:val="24"/>
          <w:szCs w:val="24"/>
          <w:lang w:val="en-US" w:eastAsia="en-US" w:bidi="ar-SA"/>
        </w:rPr>
        <w:t xml:space="preserve">(13), Article 6852. </w:t>
      </w:r>
      <w:hyperlink r:id="rId51" w:history="1">
        <w:r w:rsidRPr="00153BBA">
          <w:rPr>
            <w:rFonts w:ascii="Times New Roman" w:eastAsia="Times New Roman" w:hAnsi="Times New Roman" w:cs="Times New Roman"/>
            <w:color w:val="0000FF"/>
            <w:sz w:val="24"/>
            <w:szCs w:val="24"/>
            <w:u w:val="single"/>
            <w:lang w:val="en-US" w:eastAsia="en-US" w:bidi="ar-SA"/>
          </w:rPr>
          <w:t>https://doi.org/10.3390/ijms22136852</w:t>
        </w:r>
      </w:hyperlink>
    </w:p>
    <w:p w14:paraId="7E2BC58E"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Paasch, B. C., Sohrabi, R., Kremer, J. M., Nomura, K., Cheng, Y. T., Martz, J., </w:t>
      </w:r>
      <w:proofErr w:type="spellStart"/>
      <w:r w:rsidRPr="00153BBA">
        <w:rPr>
          <w:rFonts w:ascii="Times New Roman" w:eastAsia="Times New Roman" w:hAnsi="Times New Roman" w:cs="Times New Roman"/>
          <w:sz w:val="24"/>
          <w:szCs w:val="24"/>
          <w:lang w:val="en-US" w:eastAsia="en-US" w:bidi="ar-SA"/>
        </w:rPr>
        <w:t>Kvitko</w:t>
      </w:r>
      <w:proofErr w:type="spellEnd"/>
      <w:r w:rsidRPr="00153BBA">
        <w:rPr>
          <w:rFonts w:ascii="Times New Roman" w:eastAsia="Times New Roman" w:hAnsi="Times New Roman" w:cs="Times New Roman"/>
          <w:sz w:val="24"/>
          <w:szCs w:val="24"/>
          <w:lang w:val="en-US" w:eastAsia="en-US" w:bidi="ar-SA"/>
        </w:rPr>
        <w:t xml:space="preserve">, B., Tiedje, J. M., &amp; He, S. Y. (2023). A critical role of a </w:t>
      </w:r>
      <w:proofErr w:type="spellStart"/>
      <w:r w:rsidRPr="00153BBA">
        <w:rPr>
          <w:rFonts w:ascii="Times New Roman" w:eastAsia="Times New Roman" w:hAnsi="Times New Roman" w:cs="Times New Roman"/>
          <w:sz w:val="24"/>
          <w:szCs w:val="24"/>
          <w:lang w:val="en-US" w:eastAsia="en-US" w:bidi="ar-SA"/>
        </w:rPr>
        <w:t>eubiotic</w:t>
      </w:r>
      <w:proofErr w:type="spellEnd"/>
      <w:r w:rsidRPr="00153BBA">
        <w:rPr>
          <w:rFonts w:ascii="Times New Roman" w:eastAsia="Times New Roman" w:hAnsi="Times New Roman" w:cs="Times New Roman"/>
          <w:sz w:val="24"/>
          <w:szCs w:val="24"/>
          <w:lang w:val="en-US" w:eastAsia="en-US" w:bidi="ar-SA"/>
        </w:rPr>
        <w:t xml:space="preserve"> microbiota in gating proper immunocompetence in </w:t>
      </w:r>
      <w:r w:rsidRPr="00153BBA">
        <w:rPr>
          <w:rFonts w:ascii="Times New Roman" w:eastAsia="Times New Roman" w:hAnsi="Times New Roman" w:cs="Times New Roman"/>
          <w:i/>
          <w:iCs/>
          <w:sz w:val="24"/>
          <w:szCs w:val="24"/>
          <w:lang w:val="en-US" w:eastAsia="en-US" w:bidi="ar-SA"/>
        </w:rPr>
        <w:t>Arabidopsis</w:t>
      </w:r>
      <w:r w:rsidRPr="00153BBA">
        <w:rPr>
          <w:rFonts w:ascii="Times New Roman" w:eastAsia="Times New Roman" w:hAnsi="Times New Roman" w:cs="Times New Roman"/>
          <w:sz w:val="24"/>
          <w:szCs w:val="24"/>
          <w:lang w:val="en-US" w:eastAsia="en-US" w:bidi="ar-SA"/>
        </w:rPr>
        <w:t xml:space="preserve">. </w:t>
      </w:r>
      <w:r w:rsidRPr="00153BBA">
        <w:rPr>
          <w:rFonts w:ascii="Times New Roman" w:eastAsia="Times New Roman" w:hAnsi="Times New Roman" w:cs="Times New Roman"/>
          <w:i/>
          <w:iCs/>
          <w:sz w:val="24"/>
          <w:szCs w:val="24"/>
          <w:lang w:val="en-US" w:eastAsia="en-US" w:bidi="ar-SA"/>
        </w:rPr>
        <w:t>Nature Plants, 9</w:t>
      </w:r>
      <w:r w:rsidRPr="00153BBA">
        <w:rPr>
          <w:rFonts w:ascii="Times New Roman" w:eastAsia="Times New Roman" w:hAnsi="Times New Roman" w:cs="Times New Roman"/>
          <w:sz w:val="24"/>
          <w:szCs w:val="24"/>
          <w:lang w:val="en-US" w:eastAsia="en-US" w:bidi="ar-SA"/>
        </w:rPr>
        <w:t xml:space="preserve">(9), 1468–1480. </w:t>
      </w:r>
      <w:hyperlink r:id="rId52" w:history="1">
        <w:r w:rsidRPr="00153BBA">
          <w:rPr>
            <w:rFonts w:ascii="Times New Roman" w:eastAsia="Times New Roman" w:hAnsi="Times New Roman" w:cs="Times New Roman"/>
            <w:color w:val="0000FF"/>
            <w:sz w:val="24"/>
            <w:szCs w:val="24"/>
            <w:u w:val="single"/>
            <w:lang w:val="en-US" w:eastAsia="en-US" w:bidi="ar-SA"/>
          </w:rPr>
          <w:t>https://doi.org/10.1038/s41477-023-01501-1</w:t>
        </w:r>
      </w:hyperlink>
    </w:p>
    <w:p w14:paraId="7046CE98" w14:textId="4551DBE5"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Pieterse, C. M. J., </w:t>
      </w:r>
      <w:proofErr w:type="spellStart"/>
      <w:r w:rsidRPr="00153BBA">
        <w:rPr>
          <w:rFonts w:ascii="Times New Roman" w:eastAsia="Times New Roman" w:hAnsi="Times New Roman" w:cs="Times New Roman"/>
          <w:sz w:val="24"/>
          <w:szCs w:val="24"/>
          <w:lang w:val="en-US" w:eastAsia="en-US" w:bidi="ar-SA"/>
        </w:rPr>
        <w:t>Zamioudis</w:t>
      </w:r>
      <w:proofErr w:type="spellEnd"/>
      <w:r w:rsidRPr="00153BBA">
        <w:rPr>
          <w:rFonts w:ascii="Times New Roman" w:eastAsia="Times New Roman" w:hAnsi="Times New Roman" w:cs="Times New Roman"/>
          <w:sz w:val="24"/>
          <w:szCs w:val="24"/>
          <w:lang w:val="en-US" w:eastAsia="en-US" w:bidi="ar-SA"/>
        </w:rPr>
        <w:t xml:space="preserve">, C., Berendsen, R. L., Weller, D. M., van Wees, S. C. M., &amp; Bakker, P. A. H. M. (2014). Induced systemic resistance by beneficial microbes. </w:t>
      </w:r>
      <w:r w:rsidRPr="00153BBA">
        <w:rPr>
          <w:rFonts w:ascii="Times New Roman" w:eastAsia="Times New Roman" w:hAnsi="Times New Roman" w:cs="Times New Roman"/>
          <w:i/>
          <w:iCs/>
          <w:sz w:val="24"/>
          <w:szCs w:val="24"/>
          <w:lang w:val="en-US" w:eastAsia="en-US" w:bidi="ar-SA"/>
        </w:rPr>
        <w:t>Annual Review of Phytopathology, 52</w:t>
      </w:r>
      <w:r w:rsidRPr="00153BBA">
        <w:rPr>
          <w:rFonts w:ascii="Times New Roman" w:eastAsia="Times New Roman" w:hAnsi="Times New Roman" w:cs="Times New Roman"/>
          <w:sz w:val="24"/>
          <w:szCs w:val="24"/>
          <w:lang w:val="en-US" w:eastAsia="en-US" w:bidi="ar-SA"/>
        </w:rPr>
        <w:t xml:space="preserve">, 347–375. </w:t>
      </w:r>
      <w:hyperlink r:id="rId53" w:history="1">
        <w:r w:rsidRPr="00153BBA">
          <w:rPr>
            <w:rFonts w:ascii="Times New Roman" w:eastAsia="Times New Roman" w:hAnsi="Times New Roman" w:cs="Times New Roman"/>
            <w:color w:val="0000FF"/>
            <w:sz w:val="24"/>
            <w:szCs w:val="24"/>
            <w:u w:val="single"/>
            <w:lang w:val="en-US" w:eastAsia="en-US" w:bidi="ar-SA"/>
          </w:rPr>
          <w:t>https://doi.org/10.1146/annurev-phyto-082712-102340</w:t>
        </w:r>
      </w:hyperlink>
      <w:r w:rsidRPr="00153BBA">
        <w:rPr>
          <w:rFonts w:ascii="Times New Roman" w:eastAsia="Times New Roman" w:hAnsi="Times New Roman" w:cs="Times New Roman"/>
          <w:sz w:val="24"/>
          <w:szCs w:val="24"/>
          <w:lang w:val="en-US" w:eastAsia="en-US" w:bidi="ar-SA"/>
        </w:rPr>
        <w:br/>
      </w:r>
    </w:p>
    <w:p w14:paraId="6770A0B7"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Pradhan, S., Tyagi, R., &amp; Sharma, S. (2022). Combating biotic stresses in plants by synthetic microbial communities: Principles, applications and challenges. </w:t>
      </w:r>
      <w:r w:rsidRPr="00153BBA">
        <w:rPr>
          <w:rFonts w:ascii="Times New Roman" w:eastAsia="Times New Roman" w:hAnsi="Times New Roman" w:cs="Times New Roman"/>
          <w:i/>
          <w:iCs/>
          <w:sz w:val="24"/>
          <w:szCs w:val="24"/>
          <w:lang w:val="en-US" w:eastAsia="en-US" w:bidi="ar-SA"/>
        </w:rPr>
        <w:t>Journal of Applied Microbiology, 133</w:t>
      </w:r>
      <w:r w:rsidRPr="00153BBA">
        <w:rPr>
          <w:rFonts w:ascii="Times New Roman" w:eastAsia="Times New Roman" w:hAnsi="Times New Roman" w:cs="Times New Roman"/>
          <w:sz w:val="24"/>
          <w:szCs w:val="24"/>
          <w:lang w:val="en-US" w:eastAsia="en-US" w:bidi="ar-SA"/>
        </w:rPr>
        <w:t xml:space="preserve">(5), 2742–2759. </w:t>
      </w:r>
      <w:hyperlink r:id="rId54" w:history="1">
        <w:r w:rsidRPr="00153BBA">
          <w:rPr>
            <w:rFonts w:ascii="Times New Roman" w:eastAsia="Times New Roman" w:hAnsi="Times New Roman" w:cs="Times New Roman"/>
            <w:color w:val="0000FF"/>
            <w:sz w:val="24"/>
            <w:szCs w:val="24"/>
            <w:u w:val="single"/>
            <w:lang w:val="en-US" w:eastAsia="en-US" w:bidi="ar-SA"/>
          </w:rPr>
          <w:t>https://doi.org/10.1111/jam.15799</w:t>
        </w:r>
      </w:hyperlink>
    </w:p>
    <w:p w14:paraId="66D2844A"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proofErr w:type="spellStart"/>
      <w:r w:rsidRPr="00153BBA">
        <w:rPr>
          <w:rFonts w:ascii="Times New Roman" w:eastAsia="Times New Roman" w:hAnsi="Times New Roman" w:cs="Times New Roman"/>
          <w:sz w:val="24"/>
          <w:szCs w:val="24"/>
          <w:lang w:val="en-US" w:eastAsia="en-US" w:bidi="ar-SA"/>
        </w:rPr>
        <w:t>Prigigallo</w:t>
      </w:r>
      <w:proofErr w:type="spellEnd"/>
      <w:r w:rsidRPr="00153BBA">
        <w:rPr>
          <w:rFonts w:ascii="Times New Roman" w:eastAsia="Times New Roman" w:hAnsi="Times New Roman" w:cs="Times New Roman"/>
          <w:sz w:val="24"/>
          <w:szCs w:val="24"/>
          <w:lang w:val="en-US" w:eastAsia="en-US" w:bidi="ar-SA"/>
        </w:rPr>
        <w:t xml:space="preserve">, M. I., Gómez-Lama </w:t>
      </w:r>
      <w:proofErr w:type="spellStart"/>
      <w:r w:rsidRPr="00153BBA">
        <w:rPr>
          <w:rFonts w:ascii="Times New Roman" w:eastAsia="Times New Roman" w:hAnsi="Times New Roman" w:cs="Times New Roman"/>
          <w:sz w:val="24"/>
          <w:szCs w:val="24"/>
          <w:lang w:val="en-US" w:eastAsia="en-US" w:bidi="ar-SA"/>
        </w:rPr>
        <w:t>Cabanás</w:t>
      </w:r>
      <w:proofErr w:type="spellEnd"/>
      <w:r w:rsidRPr="00153BBA">
        <w:rPr>
          <w:rFonts w:ascii="Times New Roman" w:eastAsia="Times New Roman" w:hAnsi="Times New Roman" w:cs="Times New Roman"/>
          <w:sz w:val="24"/>
          <w:szCs w:val="24"/>
          <w:lang w:val="en-US" w:eastAsia="en-US" w:bidi="ar-SA"/>
        </w:rPr>
        <w:t xml:space="preserve">, C., Mercado-Blanco, J., &amp; </w:t>
      </w:r>
      <w:proofErr w:type="spellStart"/>
      <w:r w:rsidRPr="00153BBA">
        <w:rPr>
          <w:rFonts w:ascii="Times New Roman" w:eastAsia="Times New Roman" w:hAnsi="Times New Roman" w:cs="Times New Roman"/>
          <w:sz w:val="24"/>
          <w:szCs w:val="24"/>
          <w:lang w:val="en-US" w:eastAsia="en-US" w:bidi="ar-SA"/>
        </w:rPr>
        <w:t>Bubici</w:t>
      </w:r>
      <w:proofErr w:type="spellEnd"/>
      <w:r w:rsidRPr="00153BBA">
        <w:rPr>
          <w:rFonts w:ascii="Times New Roman" w:eastAsia="Times New Roman" w:hAnsi="Times New Roman" w:cs="Times New Roman"/>
          <w:sz w:val="24"/>
          <w:szCs w:val="24"/>
          <w:lang w:val="en-US" w:eastAsia="en-US" w:bidi="ar-SA"/>
        </w:rPr>
        <w:t xml:space="preserve">, G. (2022). Designing a synthetic microbial community devoted to biological control: The case study of Fusarium wilt of banana. </w:t>
      </w:r>
      <w:r w:rsidRPr="00153BBA">
        <w:rPr>
          <w:rFonts w:ascii="Times New Roman" w:eastAsia="Times New Roman" w:hAnsi="Times New Roman" w:cs="Times New Roman"/>
          <w:i/>
          <w:iCs/>
          <w:sz w:val="24"/>
          <w:szCs w:val="24"/>
          <w:lang w:val="en-US" w:eastAsia="en-US" w:bidi="ar-SA"/>
        </w:rPr>
        <w:t>Frontiers in Microbiology, 13</w:t>
      </w:r>
      <w:r w:rsidRPr="00153BBA">
        <w:rPr>
          <w:rFonts w:ascii="Times New Roman" w:eastAsia="Times New Roman" w:hAnsi="Times New Roman" w:cs="Times New Roman"/>
          <w:sz w:val="24"/>
          <w:szCs w:val="24"/>
          <w:lang w:val="en-US" w:eastAsia="en-US" w:bidi="ar-SA"/>
        </w:rPr>
        <w:t xml:space="preserve">, Article 967885. </w:t>
      </w:r>
      <w:hyperlink r:id="rId55" w:history="1">
        <w:r w:rsidRPr="00153BBA">
          <w:rPr>
            <w:rFonts w:ascii="Times New Roman" w:eastAsia="Times New Roman" w:hAnsi="Times New Roman" w:cs="Times New Roman"/>
            <w:color w:val="0000FF"/>
            <w:sz w:val="24"/>
            <w:szCs w:val="24"/>
            <w:u w:val="single"/>
            <w:lang w:val="en-US" w:eastAsia="en-US" w:bidi="ar-SA"/>
          </w:rPr>
          <w:t>https://doi.org/10.3389/fmicb.2022.967885</w:t>
        </w:r>
      </w:hyperlink>
    </w:p>
    <w:p w14:paraId="3529F5BB"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Rolfe, S. A., Griffiths, J., &amp; Ton, J. (2019). Crying out for help with root exudates: Adaptive mechanisms by which stressed plants assemble health-promoting soil microbiomes. </w:t>
      </w:r>
      <w:r w:rsidRPr="00153BBA">
        <w:rPr>
          <w:rFonts w:ascii="Times New Roman" w:eastAsia="Times New Roman" w:hAnsi="Times New Roman" w:cs="Times New Roman"/>
          <w:i/>
          <w:iCs/>
          <w:sz w:val="24"/>
          <w:szCs w:val="24"/>
          <w:lang w:val="en-US" w:eastAsia="en-US" w:bidi="ar-SA"/>
        </w:rPr>
        <w:t>Current Opinion in Microbiology, 49</w:t>
      </w:r>
      <w:r w:rsidRPr="00153BBA">
        <w:rPr>
          <w:rFonts w:ascii="Times New Roman" w:eastAsia="Times New Roman" w:hAnsi="Times New Roman" w:cs="Times New Roman"/>
          <w:sz w:val="24"/>
          <w:szCs w:val="24"/>
          <w:lang w:val="en-US" w:eastAsia="en-US" w:bidi="ar-SA"/>
        </w:rPr>
        <w:t xml:space="preserve">, 73–82. </w:t>
      </w:r>
      <w:hyperlink r:id="rId56" w:history="1">
        <w:r w:rsidRPr="00153BBA">
          <w:rPr>
            <w:rFonts w:ascii="Times New Roman" w:eastAsia="Times New Roman" w:hAnsi="Times New Roman" w:cs="Times New Roman"/>
            <w:color w:val="0000FF"/>
            <w:sz w:val="24"/>
            <w:szCs w:val="24"/>
            <w:u w:val="single"/>
            <w:lang w:val="en-US" w:eastAsia="en-US" w:bidi="ar-SA"/>
          </w:rPr>
          <w:t>https://doi.org/10.1016/j.mib.2019.10.003</w:t>
        </w:r>
      </w:hyperlink>
    </w:p>
    <w:p w14:paraId="25C4E186"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proofErr w:type="spellStart"/>
      <w:r w:rsidRPr="00153BBA">
        <w:rPr>
          <w:rFonts w:ascii="Times New Roman" w:eastAsia="Times New Roman" w:hAnsi="Times New Roman" w:cs="Times New Roman"/>
          <w:sz w:val="24"/>
          <w:szCs w:val="24"/>
          <w:lang w:val="en-US" w:eastAsia="en-US" w:bidi="ar-SA"/>
        </w:rPr>
        <w:t>Rudrappa</w:t>
      </w:r>
      <w:proofErr w:type="spellEnd"/>
      <w:r w:rsidRPr="00153BBA">
        <w:rPr>
          <w:rFonts w:ascii="Times New Roman" w:eastAsia="Times New Roman" w:hAnsi="Times New Roman" w:cs="Times New Roman"/>
          <w:sz w:val="24"/>
          <w:szCs w:val="24"/>
          <w:lang w:val="en-US" w:eastAsia="en-US" w:bidi="ar-SA"/>
        </w:rPr>
        <w:t xml:space="preserve">, T., </w:t>
      </w:r>
      <w:proofErr w:type="spellStart"/>
      <w:r w:rsidRPr="00153BBA">
        <w:rPr>
          <w:rFonts w:ascii="Times New Roman" w:eastAsia="Times New Roman" w:hAnsi="Times New Roman" w:cs="Times New Roman"/>
          <w:sz w:val="24"/>
          <w:szCs w:val="24"/>
          <w:lang w:val="en-US" w:eastAsia="en-US" w:bidi="ar-SA"/>
        </w:rPr>
        <w:t>Czymmek</w:t>
      </w:r>
      <w:proofErr w:type="spellEnd"/>
      <w:r w:rsidRPr="00153BBA">
        <w:rPr>
          <w:rFonts w:ascii="Times New Roman" w:eastAsia="Times New Roman" w:hAnsi="Times New Roman" w:cs="Times New Roman"/>
          <w:sz w:val="24"/>
          <w:szCs w:val="24"/>
          <w:lang w:val="en-US" w:eastAsia="en-US" w:bidi="ar-SA"/>
        </w:rPr>
        <w:t xml:space="preserve">, K. J., Paré, P. W., &amp; Bais, H. P. (2008). Root-secreted malic acid recruits beneficial soil bacteria. </w:t>
      </w:r>
      <w:r w:rsidRPr="00153BBA">
        <w:rPr>
          <w:rFonts w:ascii="Times New Roman" w:eastAsia="Times New Roman" w:hAnsi="Times New Roman" w:cs="Times New Roman"/>
          <w:i/>
          <w:iCs/>
          <w:sz w:val="24"/>
          <w:szCs w:val="24"/>
          <w:lang w:val="en-US" w:eastAsia="en-US" w:bidi="ar-SA"/>
        </w:rPr>
        <w:t>Plant Physiology, 148</w:t>
      </w:r>
      <w:r w:rsidRPr="00153BBA">
        <w:rPr>
          <w:rFonts w:ascii="Times New Roman" w:eastAsia="Times New Roman" w:hAnsi="Times New Roman" w:cs="Times New Roman"/>
          <w:sz w:val="24"/>
          <w:szCs w:val="24"/>
          <w:lang w:val="en-US" w:eastAsia="en-US" w:bidi="ar-SA"/>
        </w:rPr>
        <w:t xml:space="preserve">(3), 1547–1556. </w:t>
      </w:r>
      <w:hyperlink r:id="rId57" w:history="1">
        <w:r w:rsidRPr="00153BBA">
          <w:rPr>
            <w:rFonts w:ascii="Times New Roman" w:eastAsia="Times New Roman" w:hAnsi="Times New Roman" w:cs="Times New Roman"/>
            <w:color w:val="0000FF"/>
            <w:sz w:val="24"/>
            <w:szCs w:val="24"/>
            <w:u w:val="single"/>
            <w:lang w:val="en-US" w:eastAsia="en-US" w:bidi="ar-SA"/>
          </w:rPr>
          <w:t>https://doi.org/10.1104/pp.108.127613</w:t>
        </w:r>
      </w:hyperlink>
    </w:p>
    <w:p w14:paraId="0D0C9C50"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lastRenderedPageBreak/>
        <w:t xml:space="preserve">Samreen, T., Naveed, M., Nazir, M. Z., Asghar, H. N., Khan, M. I., Zahir, Z. A., Kanwal, S., Jeevan, B., Sharma, D., Meena, V. S., Meena, S. K., Sarkar, D., Devika, O. S., Parihar, M., &amp; Choudhary, M. (2021). Seed associated bacterial and fungal endophytes: Diversity, life cycle, transmission, and application potential. </w:t>
      </w:r>
      <w:r w:rsidRPr="00153BBA">
        <w:rPr>
          <w:rFonts w:ascii="Times New Roman" w:eastAsia="Times New Roman" w:hAnsi="Times New Roman" w:cs="Times New Roman"/>
          <w:i/>
          <w:iCs/>
          <w:sz w:val="24"/>
          <w:szCs w:val="24"/>
          <w:lang w:val="en-US" w:eastAsia="en-US" w:bidi="ar-SA"/>
        </w:rPr>
        <w:t>Applied Soil Ecology, 168</w:t>
      </w:r>
      <w:r w:rsidRPr="00153BBA">
        <w:rPr>
          <w:rFonts w:ascii="Times New Roman" w:eastAsia="Times New Roman" w:hAnsi="Times New Roman" w:cs="Times New Roman"/>
          <w:sz w:val="24"/>
          <w:szCs w:val="24"/>
          <w:lang w:val="en-US" w:eastAsia="en-US" w:bidi="ar-SA"/>
        </w:rPr>
        <w:t xml:space="preserve">, Article 104191. </w:t>
      </w:r>
      <w:hyperlink r:id="rId58" w:history="1">
        <w:r w:rsidRPr="00153BBA">
          <w:rPr>
            <w:rFonts w:ascii="Times New Roman" w:eastAsia="Times New Roman" w:hAnsi="Times New Roman" w:cs="Times New Roman"/>
            <w:color w:val="0000FF"/>
            <w:sz w:val="24"/>
            <w:szCs w:val="24"/>
            <w:u w:val="single"/>
            <w:lang w:val="en-US" w:eastAsia="en-US" w:bidi="ar-SA"/>
          </w:rPr>
          <w:t>https://doi.org/10.1016/j.apsoil.2021.104191</w:t>
        </w:r>
      </w:hyperlink>
    </w:p>
    <w:p w14:paraId="37D5593E"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Sarver, E., González-Morelo, K. J., Christensen, K. G., Lefevers, H. M., &amp; Corbin, K. R. (2025). </w:t>
      </w:r>
      <w:proofErr w:type="spellStart"/>
      <w:r w:rsidRPr="00153BBA">
        <w:rPr>
          <w:rFonts w:ascii="Times New Roman" w:eastAsia="Times New Roman" w:hAnsi="Times New Roman" w:cs="Times New Roman"/>
          <w:sz w:val="24"/>
          <w:szCs w:val="24"/>
          <w:lang w:val="en-US" w:eastAsia="en-US" w:bidi="ar-SA"/>
        </w:rPr>
        <w:t>Phyllosphere</w:t>
      </w:r>
      <w:proofErr w:type="spellEnd"/>
      <w:r w:rsidRPr="00153BBA">
        <w:rPr>
          <w:rFonts w:ascii="Times New Roman" w:eastAsia="Times New Roman" w:hAnsi="Times New Roman" w:cs="Times New Roman"/>
          <w:sz w:val="24"/>
          <w:szCs w:val="24"/>
          <w:lang w:val="en-US" w:eastAsia="en-US" w:bidi="ar-SA"/>
        </w:rPr>
        <w:t xml:space="preserve"> synthetic microbial communities: A new frontier in plant protection. </w:t>
      </w:r>
      <w:r w:rsidRPr="00153BBA">
        <w:rPr>
          <w:rFonts w:ascii="Times New Roman" w:eastAsia="Times New Roman" w:hAnsi="Times New Roman" w:cs="Times New Roman"/>
          <w:i/>
          <w:iCs/>
          <w:sz w:val="24"/>
          <w:szCs w:val="24"/>
          <w:lang w:val="en-US" w:eastAsia="en-US" w:bidi="ar-SA"/>
        </w:rPr>
        <w:t>BMC Plant Biology, 25</w:t>
      </w:r>
      <w:r w:rsidRPr="00153BBA">
        <w:rPr>
          <w:rFonts w:ascii="Times New Roman" w:eastAsia="Times New Roman" w:hAnsi="Times New Roman" w:cs="Times New Roman"/>
          <w:sz w:val="24"/>
          <w:szCs w:val="24"/>
          <w:lang w:val="en-US" w:eastAsia="en-US" w:bidi="ar-SA"/>
        </w:rPr>
        <w:t xml:space="preserve">, Article 949. </w:t>
      </w:r>
      <w:hyperlink r:id="rId59" w:history="1">
        <w:r w:rsidRPr="00153BBA">
          <w:rPr>
            <w:rFonts w:ascii="Times New Roman" w:eastAsia="Times New Roman" w:hAnsi="Times New Roman" w:cs="Times New Roman"/>
            <w:color w:val="0000FF"/>
            <w:sz w:val="24"/>
            <w:szCs w:val="24"/>
            <w:u w:val="single"/>
            <w:lang w:val="en-US" w:eastAsia="en-US" w:bidi="ar-SA"/>
          </w:rPr>
          <w:t>https://doi.org/10.1186/s12870-025-06935-7</w:t>
        </w:r>
      </w:hyperlink>
    </w:p>
    <w:p w14:paraId="0ECD7180"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Sasse, J., </w:t>
      </w:r>
      <w:proofErr w:type="spellStart"/>
      <w:r w:rsidRPr="00153BBA">
        <w:rPr>
          <w:rFonts w:ascii="Times New Roman" w:eastAsia="Times New Roman" w:hAnsi="Times New Roman" w:cs="Times New Roman"/>
          <w:sz w:val="24"/>
          <w:szCs w:val="24"/>
          <w:lang w:val="en-US" w:eastAsia="en-US" w:bidi="ar-SA"/>
        </w:rPr>
        <w:t>Martinoia</w:t>
      </w:r>
      <w:proofErr w:type="spellEnd"/>
      <w:r w:rsidRPr="00153BBA">
        <w:rPr>
          <w:rFonts w:ascii="Times New Roman" w:eastAsia="Times New Roman" w:hAnsi="Times New Roman" w:cs="Times New Roman"/>
          <w:sz w:val="24"/>
          <w:szCs w:val="24"/>
          <w:lang w:val="en-US" w:eastAsia="en-US" w:bidi="ar-SA"/>
        </w:rPr>
        <w:t xml:space="preserve">, E., &amp; Northen, T. (2018). Feed your friends: Do plant exudates shape the root microbiome? </w:t>
      </w:r>
      <w:r w:rsidRPr="00153BBA">
        <w:rPr>
          <w:rFonts w:ascii="Times New Roman" w:eastAsia="Times New Roman" w:hAnsi="Times New Roman" w:cs="Times New Roman"/>
          <w:i/>
          <w:iCs/>
          <w:sz w:val="24"/>
          <w:szCs w:val="24"/>
          <w:lang w:val="en-US" w:eastAsia="en-US" w:bidi="ar-SA"/>
        </w:rPr>
        <w:t>Trends in Plant Science, 23</w:t>
      </w:r>
      <w:r w:rsidRPr="00153BBA">
        <w:rPr>
          <w:rFonts w:ascii="Times New Roman" w:eastAsia="Times New Roman" w:hAnsi="Times New Roman" w:cs="Times New Roman"/>
          <w:sz w:val="24"/>
          <w:szCs w:val="24"/>
          <w:lang w:val="en-US" w:eastAsia="en-US" w:bidi="ar-SA"/>
        </w:rPr>
        <w:t xml:space="preserve">(1), 25–41. </w:t>
      </w:r>
      <w:hyperlink r:id="rId60" w:history="1">
        <w:r w:rsidRPr="00153BBA">
          <w:rPr>
            <w:rFonts w:ascii="Times New Roman" w:eastAsia="Times New Roman" w:hAnsi="Times New Roman" w:cs="Times New Roman"/>
            <w:color w:val="0000FF"/>
            <w:sz w:val="24"/>
            <w:szCs w:val="24"/>
            <w:u w:val="single"/>
            <w:lang w:val="en-US" w:eastAsia="en-US" w:bidi="ar-SA"/>
          </w:rPr>
          <w:t>https://doi.org/10.1016/j.tplants.2017.09.003</w:t>
        </w:r>
      </w:hyperlink>
    </w:p>
    <w:p w14:paraId="7A87E408"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Schulz-Bohm, K., Gerards, S., Hundscheid, M., </w:t>
      </w:r>
      <w:proofErr w:type="spellStart"/>
      <w:r w:rsidRPr="00153BBA">
        <w:rPr>
          <w:rFonts w:ascii="Times New Roman" w:eastAsia="Times New Roman" w:hAnsi="Times New Roman" w:cs="Times New Roman"/>
          <w:sz w:val="24"/>
          <w:szCs w:val="24"/>
          <w:lang w:val="en-US" w:eastAsia="en-US" w:bidi="ar-SA"/>
        </w:rPr>
        <w:t>Melenhorst</w:t>
      </w:r>
      <w:proofErr w:type="spellEnd"/>
      <w:r w:rsidRPr="00153BBA">
        <w:rPr>
          <w:rFonts w:ascii="Times New Roman" w:eastAsia="Times New Roman" w:hAnsi="Times New Roman" w:cs="Times New Roman"/>
          <w:sz w:val="24"/>
          <w:szCs w:val="24"/>
          <w:lang w:val="en-US" w:eastAsia="en-US" w:bidi="ar-SA"/>
        </w:rPr>
        <w:t xml:space="preserve">, J., de Boer, W., &amp; </w:t>
      </w:r>
      <w:proofErr w:type="spellStart"/>
      <w:r w:rsidRPr="00153BBA">
        <w:rPr>
          <w:rFonts w:ascii="Times New Roman" w:eastAsia="Times New Roman" w:hAnsi="Times New Roman" w:cs="Times New Roman"/>
          <w:sz w:val="24"/>
          <w:szCs w:val="24"/>
          <w:lang w:val="en-US" w:eastAsia="en-US" w:bidi="ar-SA"/>
        </w:rPr>
        <w:t>Garbeva</w:t>
      </w:r>
      <w:proofErr w:type="spellEnd"/>
      <w:r w:rsidRPr="00153BBA">
        <w:rPr>
          <w:rFonts w:ascii="Times New Roman" w:eastAsia="Times New Roman" w:hAnsi="Times New Roman" w:cs="Times New Roman"/>
          <w:sz w:val="24"/>
          <w:szCs w:val="24"/>
          <w:lang w:val="en-US" w:eastAsia="en-US" w:bidi="ar-SA"/>
        </w:rPr>
        <w:t xml:space="preserve">, P. (2018). Calling from distance: Attraction of soil bacteria by plant root volatiles. </w:t>
      </w:r>
      <w:r w:rsidRPr="00153BBA">
        <w:rPr>
          <w:rFonts w:ascii="Times New Roman" w:eastAsia="Times New Roman" w:hAnsi="Times New Roman" w:cs="Times New Roman"/>
          <w:i/>
          <w:iCs/>
          <w:sz w:val="24"/>
          <w:szCs w:val="24"/>
          <w:lang w:val="en-US" w:eastAsia="en-US" w:bidi="ar-SA"/>
        </w:rPr>
        <w:t>The ISME Journal, 12</w:t>
      </w:r>
      <w:r w:rsidRPr="00153BBA">
        <w:rPr>
          <w:rFonts w:ascii="Times New Roman" w:eastAsia="Times New Roman" w:hAnsi="Times New Roman" w:cs="Times New Roman"/>
          <w:sz w:val="24"/>
          <w:szCs w:val="24"/>
          <w:lang w:val="en-US" w:eastAsia="en-US" w:bidi="ar-SA"/>
        </w:rPr>
        <w:t xml:space="preserve">(5), 1252–1262. </w:t>
      </w:r>
      <w:hyperlink r:id="rId61" w:history="1">
        <w:r w:rsidRPr="00153BBA">
          <w:rPr>
            <w:rFonts w:ascii="Times New Roman" w:eastAsia="Times New Roman" w:hAnsi="Times New Roman" w:cs="Times New Roman"/>
            <w:color w:val="0000FF"/>
            <w:sz w:val="24"/>
            <w:szCs w:val="24"/>
            <w:u w:val="single"/>
            <w:lang w:val="en-US" w:eastAsia="en-US" w:bidi="ar-SA"/>
          </w:rPr>
          <w:t>https://doi.org/10.1038/s41396-017-0035-3</w:t>
        </w:r>
      </w:hyperlink>
    </w:p>
    <w:p w14:paraId="4A441160"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Sharma, A., &amp; Bora, P. (2025). Engineering synthetic microbial communities to restructure the </w:t>
      </w:r>
      <w:proofErr w:type="spellStart"/>
      <w:r w:rsidRPr="00153BBA">
        <w:rPr>
          <w:rFonts w:ascii="Times New Roman" w:eastAsia="Times New Roman" w:hAnsi="Times New Roman" w:cs="Times New Roman"/>
          <w:sz w:val="24"/>
          <w:szCs w:val="24"/>
          <w:lang w:val="en-US" w:eastAsia="en-US" w:bidi="ar-SA"/>
        </w:rPr>
        <w:t>phytobiome</w:t>
      </w:r>
      <w:proofErr w:type="spellEnd"/>
      <w:r w:rsidRPr="00153BBA">
        <w:rPr>
          <w:rFonts w:ascii="Times New Roman" w:eastAsia="Times New Roman" w:hAnsi="Times New Roman" w:cs="Times New Roman"/>
          <w:sz w:val="24"/>
          <w:szCs w:val="24"/>
          <w:lang w:val="en-US" w:eastAsia="en-US" w:bidi="ar-SA"/>
        </w:rPr>
        <w:t xml:space="preserve"> for plant health and productivity. </w:t>
      </w:r>
      <w:r w:rsidRPr="00153BBA">
        <w:rPr>
          <w:rFonts w:ascii="Times New Roman" w:eastAsia="Times New Roman" w:hAnsi="Times New Roman" w:cs="Times New Roman"/>
          <w:i/>
          <w:iCs/>
          <w:sz w:val="24"/>
          <w:szCs w:val="24"/>
          <w:lang w:val="en-US" w:eastAsia="en-US" w:bidi="ar-SA"/>
        </w:rPr>
        <w:t>World Journal of Microbiology and Biotechnology, 41</w:t>
      </w:r>
      <w:r w:rsidRPr="00153BBA">
        <w:rPr>
          <w:rFonts w:ascii="Times New Roman" w:eastAsia="Times New Roman" w:hAnsi="Times New Roman" w:cs="Times New Roman"/>
          <w:sz w:val="24"/>
          <w:szCs w:val="24"/>
          <w:lang w:val="en-US" w:eastAsia="en-US" w:bidi="ar-SA"/>
        </w:rPr>
        <w:t xml:space="preserve">(7), Article 228. </w:t>
      </w:r>
      <w:hyperlink r:id="rId62" w:history="1">
        <w:r w:rsidRPr="00153BBA">
          <w:rPr>
            <w:rFonts w:ascii="Times New Roman" w:eastAsia="Times New Roman" w:hAnsi="Times New Roman" w:cs="Times New Roman"/>
            <w:color w:val="0000FF"/>
            <w:sz w:val="24"/>
            <w:szCs w:val="24"/>
            <w:u w:val="single"/>
            <w:lang w:val="en-US" w:eastAsia="en-US" w:bidi="ar-SA"/>
          </w:rPr>
          <w:t>https://doi.org/10.1007/s11274-025-04460-1</w:t>
        </w:r>
      </w:hyperlink>
    </w:p>
    <w:p w14:paraId="305B5D21"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Shayanthan, A., Ordoñez, P. A. C., &amp; </w:t>
      </w:r>
      <w:proofErr w:type="spellStart"/>
      <w:r w:rsidRPr="00153BBA">
        <w:rPr>
          <w:rFonts w:ascii="Times New Roman" w:eastAsia="Times New Roman" w:hAnsi="Times New Roman" w:cs="Times New Roman"/>
          <w:sz w:val="24"/>
          <w:szCs w:val="24"/>
          <w:lang w:val="en-US" w:eastAsia="en-US" w:bidi="ar-SA"/>
        </w:rPr>
        <w:t>Oresnik</w:t>
      </w:r>
      <w:proofErr w:type="spellEnd"/>
      <w:r w:rsidRPr="00153BBA">
        <w:rPr>
          <w:rFonts w:ascii="Times New Roman" w:eastAsia="Times New Roman" w:hAnsi="Times New Roman" w:cs="Times New Roman"/>
          <w:sz w:val="24"/>
          <w:szCs w:val="24"/>
          <w:lang w:val="en-US" w:eastAsia="en-US" w:bidi="ar-SA"/>
        </w:rPr>
        <w:t>, I. J. (2022). The role of synthetic microbial communities (</w:t>
      </w:r>
      <w:proofErr w:type="spellStart"/>
      <w:r w:rsidRPr="00153BBA">
        <w:rPr>
          <w:rFonts w:ascii="Times New Roman" w:eastAsia="Times New Roman" w:hAnsi="Times New Roman" w:cs="Times New Roman"/>
          <w:sz w:val="24"/>
          <w:szCs w:val="24"/>
          <w:lang w:val="en-US" w:eastAsia="en-US" w:bidi="ar-SA"/>
        </w:rPr>
        <w:t>SynCom</w:t>
      </w:r>
      <w:proofErr w:type="spellEnd"/>
      <w:r w:rsidRPr="00153BBA">
        <w:rPr>
          <w:rFonts w:ascii="Times New Roman" w:eastAsia="Times New Roman" w:hAnsi="Times New Roman" w:cs="Times New Roman"/>
          <w:sz w:val="24"/>
          <w:szCs w:val="24"/>
          <w:lang w:val="en-US" w:eastAsia="en-US" w:bidi="ar-SA"/>
        </w:rPr>
        <w:t xml:space="preserve">) in sustainable agriculture. </w:t>
      </w:r>
      <w:r w:rsidRPr="00153BBA">
        <w:rPr>
          <w:rFonts w:ascii="Times New Roman" w:eastAsia="Times New Roman" w:hAnsi="Times New Roman" w:cs="Times New Roman"/>
          <w:i/>
          <w:iCs/>
          <w:sz w:val="24"/>
          <w:szCs w:val="24"/>
          <w:lang w:val="en-US" w:eastAsia="en-US" w:bidi="ar-SA"/>
        </w:rPr>
        <w:t>Frontiers in Agronomy, 4</w:t>
      </w:r>
      <w:r w:rsidRPr="00153BBA">
        <w:rPr>
          <w:rFonts w:ascii="Times New Roman" w:eastAsia="Times New Roman" w:hAnsi="Times New Roman" w:cs="Times New Roman"/>
          <w:sz w:val="24"/>
          <w:szCs w:val="24"/>
          <w:lang w:val="en-US" w:eastAsia="en-US" w:bidi="ar-SA"/>
        </w:rPr>
        <w:t xml:space="preserve">, Article 896307. </w:t>
      </w:r>
      <w:hyperlink r:id="rId63" w:history="1">
        <w:r w:rsidRPr="00153BBA">
          <w:rPr>
            <w:rFonts w:ascii="Times New Roman" w:eastAsia="Times New Roman" w:hAnsi="Times New Roman" w:cs="Times New Roman"/>
            <w:color w:val="0000FF"/>
            <w:sz w:val="24"/>
            <w:szCs w:val="24"/>
            <w:u w:val="single"/>
            <w:lang w:val="en-US" w:eastAsia="en-US" w:bidi="ar-SA"/>
          </w:rPr>
          <w:t>https://doi.org/10.3389/fagro.2022.896307</w:t>
        </w:r>
      </w:hyperlink>
    </w:p>
    <w:p w14:paraId="3C1078E1"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Song, C., Jin, K., &amp; Raaijmakers, J. M. (2021). Designing a home for beneficial plant microbiomes. </w:t>
      </w:r>
      <w:r w:rsidRPr="00153BBA">
        <w:rPr>
          <w:rFonts w:ascii="Times New Roman" w:eastAsia="Times New Roman" w:hAnsi="Times New Roman" w:cs="Times New Roman"/>
          <w:i/>
          <w:iCs/>
          <w:sz w:val="24"/>
          <w:szCs w:val="24"/>
          <w:lang w:val="en-US" w:eastAsia="en-US" w:bidi="ar-SA"/>
        </w:rPr>
        <w:t>Current Opinion in Plant Biology, 62</w:t>
      </w:r>
      <w:r w:rsidRPr="00153BBA">
        <w:rPr>
          <w:rFonts w:ascii="Times New Roman" w:eastAsia="Times New Roman" w:hAnsi="Times New Roman" w:cs="Times New Roman"/>
          <w:sz w:val="24"/>
          <w:szCs w:val="24"/>
          <w:lang w:val="en-US" w:eastAsia="en-US" w:bidi="ar-SA"/>
        </w:rPr>
        <w:t xml:space="preserve">, Article 102025. </w:t>
      </w:r>
      <w:hyperlink r:id="rId64" w:history="1">
        <w:r w:rsidRPr="00153BBA">
          <w:rPr>
            <w:rFonts w:ascii="Times New Roman" w:eastAsia="Times New Roman" w:hAnsi="Times New Roman" w:cs="Times New Roman"/>
            <w:color w:val="0000FF"/>
            <w:sz w:val="24"/>
            <w:szCs w:val="24"/>
            <w:u w:val="single"/>
            <w:lang w:val="en-US" w:eastAsia="en-US" w:bidi="ar-SA"/>
          </w:rPr>
          <w:t>https://doi.org/10.1016/j.pbi.2021.102025</w:t>
        </w:r>
      </w:hyperlink>
    </w:p>
    <w:p w14:paraId="5EFA2AED"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proofErr w:type="spellStart"/>
      <w:r w:rsidRPr="00153BBA">
        <w:rPr>
          <w:rFonts w:ascii="Times New Roman" w:eastAsia="Times New Roman" w:hAnsi="Times New Roman" w:cs="Times New Roman"/>
          <w:sz w:val="24"/>
          <w:szCs w:val="24"/>
          <w:lang w:val="en-US" w:eastAsia="en-US" w:bidi="ar-SA"/>
        </w:rPr>
        <w:t>Spooren</w:t>
      </w:r>
      <w:proofErr w:type="spellEnd"/>
      <w:r w:rsidRPr="00153BBA">
        <w:rPr>
          <w:rFonts w:ascii="Times New Roman" w:eastAsia="Times New Roman" w:hAnsi="Times New Roman" w:cs="Times New Roman"/>
          <w:sz w:val="24"/>
          <w:szCs w:val="24"/>
          <w:lang w:val="en-US" w:eastAsia="en-US" w:bidi="ar-SA"/>
        </w:rPr>
        <w:t xml:space="preserve">, J., van </w:t>
      </w:r>
      <w:proofErr w:type="spellStart"/>
      <w:r w:rsidRPr="00153BBA">
        <w:rPr>
          <w:rFonts w:ascii="Times New Roman" w:eastAsia="Times New Roman" w:hAnsi="Times New Roman" w:cs="Times New Roman"/>
          <w:sz w:val="24"/>
          <w:szCs w:val="24"/>
          <w:lang w:val="en-US" w:eastAsia="en-US" w:bidi="ar-SA"/>
        </w:rPr>
        <w:t>Bentum</w:t>
      </w:r>
      <w:proofErr w:type="spellEnd"/>
      <w:r w:rsidRPr="00153BBA">
        <w:rPr>
          <w:rFonts w:ascii="Times New Roman" w:eastAsia="Times New Roman" w:hAnsi="Times New Roman" w:cs="Times New Roman"/>
          <w:sz w:val="24"/>
          <w:szCs w:val="24"/>
          <w:lang w:val="en-US" w:eastAsia="en-US" w:bidi="ar-SA"/>
        </w:rPr>
        <w:t xml:space="preserve">, S., Thomashow, L. S., Pieterse, C. M. J., Weller, D. M., &amp; Berendsen, R. L. (2024). Plant-driven assembly of disease-suppressive soil microbiomes. </w:t>
      </w:r>
      <w:r w:rsidRPr="00153BBA">
        <w:rPr>
          <w:rFonts w:ascii="Times New Roman" w:eastAsia="Times New Roman" w:hAnsi="Times New Roman" w:cs="Times New Roman"/>
          <w:i/>
          <w:iCs/>
          <w:sz w:val="24"/>
          <w:szCs w:val="24"/>
          <w:lang w:val="en-US" w:eastAsia="en-US" w:bidi="ar-SA"/>
        </w:rPr>
        <w:t>Annual Review of Phytopathology, 62</w:t>
      </w:r>
      <w:r w:rsidRPr="00153BBA">
        <w:rPr>
          <w:rFonts w:ascii="Times New Roman" w:eastAsia="Times New Roman" w:hAnsi="Times New Roman" w:cs="Times New Roman"/>
          <w:sz w:val="24"/>
          <w:szCs w:val="24"/>
          <w:lang w:val="en-US" w:eastAsia="en-US" w:bidi="ar-SA"/>
        </w:rPr>
        <w:t xml:space="preserve">(1), 1–30. </w:t>
      </w:r>
      <w:hyperlink r:id="rId65" w:history="1">
        <w:r w:rsidRPr="00153BBA">
          <w:rPr>
            <w:rFonts w:ascii="Times New Roman" w:eastAsia="Times New Roman" w:hAnsi="Times New Roman" w:cs="Times New Roman"/>
            <w:color w:val="0000FF"/>
            <w:sz w:val="24"/>
            <w:szCs w:val="24"/>
            <w:u w:val="single"/>
            <w:lang w:val="en-US" w:eastAsia="en-US" w:bidi="ar-SA"/>
          </w:rPr>
          <w:t>https://doi.org/10.1146/annurev-phyto-021622-100127</w:t>
        </w:r>
      </w:hyperlink>
    </w:p>
    <w:p w14:paraId="3E4DA21C"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proofErr w:type="spellStart"/>
      <w:r w:rsidRPr="00153BBA">
        <w:rPr>
          <w:rFonts w:ascii="Times New Roman" w:eastAsia="Times New Roman" w:hAnsi="Times New Roman" w:cs="Times New Roman"/>
          <w:sz w:val="24"/>
          <w:szCs w:val="24"/>
          <w:lang w:val="en-US" w:eastAsia="en-US" w:bidi="ar-SA"/>
        </w:rPr>
        <w:t>Stringlis</w:t>
      </w:r>
      <w:proofErr w:type="spellEnd"/>
      <w:r w:rsidRPr="00153BBA">
        <w:rPr>
          <w:rFonts w:ascii="Times New Roman" w:eastAsia="Times New Roman" w:hAnsi="Times New Roman" w:cs="Times New Roman"/>
          <w:sz w:val="24"/>
          <w:szCs w:val="24"/>
          <w:lang w:val="en-US" w:eastAsia="en-US" w:bidi="ar-SA"/>
        </w:rPr>
        <w:t xml:space="preserve">, I. A., Yu, K., </w:t>
      </w:r>
      <w:proofErr w:type="spellStart"/>
      <w:r w:rsidRPr="00153BBA">
        <w:rPr>
          <w:rFonts w:ascii="Times New Roman" w:eastAsia="Times New Roman" w:hAnsi="Times New Roman" w:cs="Times New Roman"/>
          <w:sz w:val="24"/>
          <w:szCs w:val="24"/>
          <w:lang w:val="en-US" w:eastAsia="en-US" w:bidi="ar-SA"/>
        </w:rPr>
        <w:t>Feussner</w:t>
      </w:r>
      <w:proofErr w:type="spellEnd"/>
      <w:r w:rsidRPr="00153BBA">
        <w:rPr>
          <w:rFonts w:ascii="Times New Roman" w:eastAsia="Times New Roman" w:hAnsi="Times New Roman" w:cs="Times New Roman"/>
          <w:sz w:val="24"/>
          <w:szCs w:val="24"/>
          <w:lang w:val="en-US" w:eastAsia="en-US" w:bidi="ar-SA"/>
        </w:rPr>
        <w:t xml:space="preserve">, K., de Jonge, R., Van </w:t>
      </w:r>
      <w:proofErr w:type="spellStart"/>
      <w:r w:rsidRPr="00153BBA">
        <w:rPr>
          <w:rFonts w:ascii="Times New Roman" w:eastAsia="Times New Roman" w:hAnsi="Times New Roman" w:cs="Times New Roman"/>
          <w:sz w:val="24"/>
          <w:szCs w:val="24"/>
          <w:lang w:val="en-US" w:eastAsia="en-US" w:bidi="ar-SA"/>
        </w:rPr>
        <w:t>Bentum</w:t>
      </w:r>
      <w:proofErr w:type="spellEnd"/>
      <w:r w:rsidRPr="00153BBA">
        <w:rPr>
          <w:rFonts w:ascii="Times New Roman" w:eastAsia="Times New Roman" w:hAnsi="Times New Roman" w:cs="Times New Roman"/>
          <w:sz w:val="24"/>
          <w:szCs w:val="24"/>
          <w:lang w:val="en-US" w:eastAsia="en-US" w:bidi="ar-SA"/>
        </w:rPr>
        <w:t xml:space="preserve">, S., Van Verk, M. C., Berendsen, R. L., Bakker, P. A. H. M., Feussner, I., &amp; Pieterse, C. M. J. (2018). MYB72-dependent coumarin exudation shapes root microbiome assembly to promote plant health. </w:t>
      </w:r>
      <w:r w:rsidRPr="00153BBA">
        <w:rPr>
          <w:rFonts w:ascii="Times New Roman" w:eastAsia="Times New Roman" w:hAnsi="Times New Roman" w:cs="Times New Roman"/>
          <w:i/>
          <w:iCs/>
          <w:sz w:val="24"/>
          <w:szCs w:val="24"/>
          <w:lang w:val="en-US" w:eastAsia="en-US" w:bidi="ar-SA"/>
        </w:rPr>
        <w:t>Proceedings of the National Academy of Sciences of the United States of America, 115</w:t>
      </w:r>
      <w:r w:rsidRPr="00153BBA">
        <w:rPr>
          <w:rFonts w:ascii="Times New Roman" w:eastAsia="Times New Roman" w:hAnsi="Times New Roman" w:cs="Times New Roman"/>
          <w:sz w:val="24"/>
          <w:szCs w:val="24"/>
          <w:lang w:val="en-US" w:eastAsia="en-US" w:bidi="ar-SA"/>
        </w:rPr>
        <w:t xml:space="preserve">(22), E5213–E5222. </w:t>
      </w:r>
      <w:hyperlink r:id="rId66" w:history="1">
        <w:r w:rsidRPr="00153BBA">
          <w:rPr>
            <w:rFonts w:ascii="Times New Roman" w:eastAsia="Times New Roman" w:hAnsi="Times New Roman" w:cs="Times New Roman"/>
            <w:color w:val="0000FF"/>
            <w:sz w:val="24"/>
            <w:szCs w:val="24"/>
            <w:u w:val="single"/>
            <w:lang w:val="en-US" w:eastAsia="en-US" w:bidi="ar-SA"/>
          </w:rPr>
          <w:t>https://doi.org/10.1073/pnas.1722335115</w:t>
        </w:r>
      </w:hyperlink>
    </w:p>
    <w:p w14:paraId="4350E81C"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Suresh, G., Sharma, P., </w:t>
      </w:r>
      <w:proofErr w:type="spellStart"/>
      <w:r w:rsidRPr="00153BBA">
        <w:rPr>
          <w:rFonts w:ascii="Times New Roman" w:eastAsia="Times New Roman" w:hAnsi="Times New Roman" w:cs="Times New Roman"/>
          <w:sz w:val="24"/>
          <w:szCs w:val="24"/>
          <w:lang w:val="en-US" w:eastAsia="en-US" w:bidi="ar-SA"/>
        </w:rPr>
        <w:t>Dadrwal</w:t>
      </w:r>
      <w:proofErr w:type="spellEnd"/>
      <w:r w:rsidRPr="00153BBA">
        <w:rPr>
          <w:rFonts w:ascii="Times New Roman" w:eastAsia="Times New Roman" w:hAnsi="Times New Roman" w:cs="Times New Roman"/>
          <w:sz w:val="24"/>
          <w:szCs w:val="24"/>
          <w:lang w:val="en-US" w:eastAsia="en-US" w:bidi="ar-SA"/>
        </w:rPr>
        <w:t xml:space="preserve">, B. K., Jat, R. K., Singh, V. P., Kumar, M., Kumari, A., &amp; Teja, M. S. V. R. (2025). Biochemical interactions in the rhizosphere: Roles of root exudates, flavonoids and phytoalexins in plant-microbe communication. </w:t>
      </w:r>
      <w:r w:rsidRPr="00153BBA">
        <w:rPr>
          <w:rFonts w:ascii="Times New Roman" w:eastAsia="Times New Roman" w:hAnsi="Times New Roman" w:cs="Times New Roman"/>
          <w:i/>
          <w:iCs/>
          <w:sz w:val="24"/>
          <w:szCs w:val="24"/>
          <w:lang w:val="en-US" w:eastAsia="en-US" w:bidi="ar-SA"/>
        </w:rPr>
        <w:t>Plant Cell Biotechnology and Molecular Biology, 26</w:t>
      </w:r>
      <w:r w:rsidRPr="00153BBA">
        <w:rPr>
          <w:rFonts w:ascii="Times New Roman" w:eastAsia="Times New Roman" w:hAnsi="Times New Roman" w:cs="Times New Roman"/>
          <w:sz w:val="24"/>
          <w:szCs w:val="24"/>
          <w:lang w:val="en-US" w:eastAsia="en-US" w:bidi="ar-SA"/>
        </w:rPr>
        <w:t xml:space="preserve">(9–10), 270–279. </w:t>
      </w:r>
      <w:hyperlink r:id="rId67" w:history="1">
        <w:r w:rsidRPr="00153BBA">
          <w:rPr>
            <w:rFonts w:ascii="Times New Roman" w:eastAsia="Times New Roman" w:hAnsi="Times New Roman" w:cs="Times New Roman"/>
            <w:color w:val="0000FF"/>
            <w:sz w:val="24"/>
            <w:szCs w:val="24"/>
            <w:u w:val="single"/>
            <w:lang w:val="en-US" w:eastAsia="en-US" w:bidi="ar-SA"/>
          </w:rPr>
          <w:t>https://doi.org/10.56557/pcbmb/2025/v26i9-109828</w:t>
        </w:r>
      </w:hyperlink>
    </w:p>
    <w:p w14:paraId="11E54F25"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Syed, S., </w:t>
      </w:r>
      <w:proofErr w:type="spellStart"/>
      <w:r w:rsidRPr="00153BBA">
        <w:rPr>
          <w:rFonts w:ascii="Times New Roman" w:eastAsia="Times New Roman" w:hAnsi="Times New Roman" w:cs="Times New Roman"/>
          <w:sz w:val="24"/>
          <w:szCs w:val="24"/>
          <w:lang w:val="en-US" w:eastAsia="en-US" w:bidi="ar-SA"/>
        </w:rPr>
        <w:t>Tollamadugu</w:t>
      </w:r>
      <w:proofErr w:type="spellEnd"/>
      <w:r w:rsidRPr="00153BBA">
        <w:rPr>
          <w:rFonts w:ascii="Times New Roman" w:eastAsia="Times New Roman" w:hAnsi="Times New Roman" w:cs="Times New Roman"/>
          <w:sz w:val="24"/>
          <w:szCs w:val="24"/>
          <w:lang w:val="en-US" w:eastAsia="en-US" w:bidi="ar-SA"/>
        </w:rPr>
        <w:t xml:space="preserve">, N. V. K. V. P., &amp; Lian, B. (2020). </w:t>
      </w:r>
      <w:r w:rsidRPr="00153BBA">
        <w:rPr>
          <w:rFonts w:ascii="Times New Roman" w:eastAsia="Times New Roman" w:hAnsi="Times New Roman" w:cs="Times New Roman"/>
          <w:i/>
          <w:iCs/>
          <w:sz w:val="24"/>
          <w:szCs w:val="24"/>
          <w:lang w:val="en-US" w:eastAsia="en-US" w:bidi="ar-SA"/>
        </w:rPr>
        <w:t>Aspergillus</w:t>
      </w:r>
      <w:r w:rsidRPr="00153BBA">
        <w:rPr>
          <w:rFonts w:ascii="Times New Roman" w:eastAsia="Times New Roman" w:hAnsi="Times New Roman" w:cs="Times New Roman"/>
          <w:sz w:val="24"/>
          <w:szCs w:val="24"/>
          <w:lang w:val="en-US" w:eastAsia="en-US" w:bidi="ar-SA"/>
        </w:rPr>
        <w:t xml:space="preserve"> and </w:t>
      </w:r>
      <w:r w:rsidRPr="00153BBA">
        <w:rPr>
          <w:rFonts w:ascii="Times New Roman" w:eastAsia="Times New Roman" w:hAnsi="Times New Roman" w:cs="Times New Roman"/>
          <w:i/>
          <w:iCs/>
          <w:sz w:val="24"/>
          <w:szCs w:val="24"/>
          <w:lang w:val="en-US" w:eastAsia="en-US" w:bidi="ar-SA"/>
        </w:rPr>
        <w:t>Fusarium</w:t>
      </w:r>
      <w:r w:rsidRPr="00153BBA">
        <w:rPr>
          <w:rFonts w:ascii="Times New Roman" w:eastAsia="Times New Roman" w:hAnsi="Times New Roman" w:cs="Times New Roman"/>
          <w:sz w:val="24"/>
          <w:szCs w:val="24"/>
          <w:lang w:val="en-US" w:eastAsia="en-US" w:bidi="ar-SA"/>
        </w:rPr>
        <w:t xml:space="preserve"> control in the early stages of </w:t>
      </w:r>
      <w:r w:rsidRPr="00153BBA">
        <w:rPr>
          <w:rFonts w:ascii="Times New Roman" w:eastAsia="Times New Roman" w:hAnsi="Times New Roman" w:cs="Times New Roman"/>
          <w:i/>
          <w:iCs/>
          <w:sz w:val="24"/>
          <w:szCs w:val="24"/>
          <w:lang w:val="en-US" w:eastAsia="en-US" w:bidi="ar-SA"/>
        </w:rPr>
        <w:t>Arachis hypogaea</w:t>
      </w:r>
      <w:r w:rsidRPr="00153BBA">
        <w:rPr>
          <w:rFonts w:ascii="Times New Roman" w:eastAsia="Times New Roman" w:hAnsi="Times New Roman" w:cs="Times New Roman"/>
          <w:sz w:val="24"/>
          <w:szCs w:val="24"/>
          <w:lang w:val="en-US" w:eastAsia="en-US" w:bidi="ar-SA"/>
        </w:rPr>
        <w:t xml:space="preserve"> (groundnut crop) by plant growth-promoting rhizobacteria (PGPR) consortium. </w:t>
      </w:r>
      <w:r w:rsidRPr="00153BBA">
        <w:rPr>
          <w:rFonts w:ascii="Times New Roman" w:eastAsia="Times New Roman" w:hAnsi="Times New Roman" w:cs="Times New Roman"/>
          <w:i/>
          <w:iCs/>
          <w:sz w:val="24"/>
          <w:szCs w:val="24"/>
          <w:lang w:val="en-US" w:eastAsia="en-US" w:bidi="ar-SA"/>
        </w:rPr>
        <w:t>Microbiological Research, 240</w:t>
      </w:r>
      <w:r w:rsidRPr="00153BBA">
        <w:rPr>
          <w:rFonts w:ascii="Times New Roman" w:eastAsia="Times New Roman" w:hAnsi="Times New Roman" w:cs="Times New Roman"/>
          <w:sz w:val="24"/>
          <w:szCs w:val="24"/>
          <w:lang w:val="en-US" w:eastAsia="en-US" w:bidi="ar-SA"/>
        </w:rPr>
        <w:t xml:space="preserve">, Article 126562. </w:t>
      </w:r>
      <w:hyperlink r:id="rId68" w:history="1">
        <w:r w:rsidRPr="00153BBA">
          <w:rPr>
            <w:rFonts w:ascii="Times New Roman" w:eastAsia="Times New Roman" w:hAnsi="Times New Roman" w:cs="Times New Roman"/>
            <w:color w:val="0000FF"/>
            <w:sz w:val="24"/>
            <w:szCs w:val="24"/>
            <w:u w:val="single"/>
            <w:lang w:val="en-US" w:eastAsia="en-US" w:bidi="ar-SA"/>
          </w:rPr>
          <w:t>https://doi.org/10.1016/j.micres.2020.126562</w:t>
        </w:r>
      </w:hyperlink>
    </w:p>
    <w:p w14:paraId="2519F12B"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Trivedi, P., Batista, B. D., </w:t>
      </w:r>
      <w:proofErr w:type="spellStart"/>
      <w:r w:rsidRPr="00153BBA">
        <w:rPr>
          <w:rFonts w:ascii="Times New Roman" w:eastAsia="Times New Roman" w:hAnsi="Times New Roman" w:cs="Times New Roman"/>
          <w:sz w:val="24"/>
          <w:szCs w:val="24"/>
          <w:lang w:val="en-US" w:eastAsia="en-US" w:bidi="ar-SA"/>
        </w:rPr>
        <w:t>Bazany</w:t>
      </w:r>
      <w:proofErr w:type="spellEnd"/>
      <w:r w:rsidRPr="00153BBA">
        <w:rPr>
          <w:rFonts w:ascii="Times New Roman" w:eastAsia="Times New Roman" w:hAnsi="Times New Roman" w:cs="Times New Roman"/>
          <w:sz w:val="24"/>
          <w:szCs w:val="24"/>
          <w:lang w:val="en-US" w:eastAsia="en-US" w:bidi="ar-SA"/>
        </w:rPr>
        <w:t xml:space="preserve">, K. E., &amp; Singh, B. K. (2022). Plant–microbiome interactions under a changing world: Responses, consequences and perspectives. </w:t>
      </w:r>
      <w:r w:rsidRPr="00153BBA">
        <w:rPr>
          <w:rFonts w:ascii="Times New Roman" w:eastAsia="Times New Roman" w:hAnsi="Times New Roman" w:cs="Times New Roman"/>
          <w:i/>
          <w:iCs/>
          <w:sz w:val="24"/>
          <w:szCs w:val="24"/>
          <w:lang w:val="en-US" w:eastAsia="en-US" w:bidi="ar-SA"/>
        </w:rPr>
        <w:t>New Phytologist, 234</w:t>
      </w:r>
      <w:r w:rsidRPr="00153BBA">
        <w:rPr>
          <w:rFonts w:ascii="Times New Roman" w:eastAsia="Times New Roman" w:hAnsi="Times New Roman" w:cs="Times New Roman"/>
          <w:sz w:val="24"/>
          <w:szCs w:val="24"/>
          <w:lang w:val="en-US" w:eastAsia="en-US" w:bidi="ar-SA"/>
        </w:rPr>
        <w:t xml:space="preserve">(6), 1951–1959. </w:t>
      </w:r>
      <w:hyperlink r:id="rId69" w:history="1">
        <w:r w:rsidRPr="00153BBA">
          <w:rPr>
            <w:rFonts w:ascii="Times New Roman" w:eastAsia="Times New Roman" w:hAnsi="Times New Roman" w:cs="Times New Roman"/>
            <w:color w:val="0000FF"/>
            <w:sz w:val="24"/>
            <w:szCs w:val="24"/>
            <w:u w:val="single"/>
            <w:lang w:val="en-US" w:eastAsia="en-US" w:bidi="ar-SA"/>
          </w:rPr>
          <w:t>https://doi.org/10.1111/nph.18016</w:t>
        </w:r>
      </w:hyperlink>
    </w:p>
    <w:p w14:paraId="6F45D755"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Trivedi, P., Leach, J. E., </w:t>
      </w:r>
      <w:proofErr w:type="spellStart"/>
      <w:r w:rsidRPr="00153BBA">
        <w:rPr>
          <w:rFonts w:ascii="Times New Roman" w:eastAsia="Times New Roman" w:hAnsi="Times New Roman" w:cs="Times New Roman"/>
          <w:sz w:val="24"/>
          <w:szCs w:val="24"/>
          <w:lang w:val="en-US" w:eastAsia="en-US" w:bidi="ar-SA"/>
        </w:rPr>
        <w:t>Tringe</w:t>
      </w:r>
      <w:proofErr w:type="spellEnd"/>
      <w:r w:rsidRPr="00153BBA">
        <w:rPr>
          <w:rFonts w:ascii="Times New Roman" w:eastAsia="Times New Roman" w:hAnsi="Times New Roman" w:cs="Times New Roman"/>
          <w:sz w:val="24"/>
          <w:szCs w:val="24"/>
          <w:lang w:val="en-US" w:eastAsia="en-US" w:bidi="ar-SA"/>
        </w:rPr>
        <w:t xml:space="preserve">, S. G., Sa, T., &amp; Singh, B. K. (2020). Plant–microbiome interactions: From community assembly to plant health. </w:t>
      </w:r>
      <w:r w:rsidRPr="00153BBA">
        <w:rPr>
          <w:rFonts w:ascii="Times New Roman" w:eastAsia="Times New Roman" w:hAnsi="Times New Roman" w:cs="Times New Roman"/>
          <w:i/>
          <w:iCs/>
          <w:sz w:val="24"/>
          <w:szCs w:val="24"/>
          <w:lang w:val="en-US" w:eastAsia="en-US" w:bidi="ar-SA"/>
        </w:rPr>
        <w:t>Nature Reviews Microbiology, 18</w:t>
      </w:r>
      <w:r w:rsidRPr="00153BBA">
        <w:rPr>
          <w:rFonts w:ascii="Times New Roman" w:eastAsia="Times New Roman" w:hAnsi="Times New Roman" w:cs="Times New Roman"/>
          <w:sz w:val="24"/>
          <w:szCs w:val="24"/>
          <w:lang w:val="en-US" w:eastAsia="en-US" w:bidi="ar-SA"/>
        </w:rPr>
        <w:t xml:space="preserve">, 607–621. </w:t>
      </w:r>
      <w:hyperlink r:id="rId70" w:history="1">
        <w:r w:rsidRPr="00153BBA">
          <w:rPr>
            <w:rFonts w:ascii="Times New Roman" w:eastAsia="Times New Roman" w:hAnsi="Times New Roman" w:cs="Times New Roman"/>
            <w:color w:val="0000FF"/>
            <w:sz w:val="24"/>
            <w:szCs w:val="24"/>
            <w:u w:val="single"/>
            <w:lang w:val="en-US" w:eastAsia="en-US" w:bidi="ar-SA"/>
          </w:rPr>
          <w:t>https://doi.org/10.1038/s41579-020-0412-1</w:t>
        </w:r>
      </w:hyperlink>
    </w:p>
    <w:p w14:paraId="6562DA7A"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lastRenderedPageBreak/>
        <w:t xml:space="preserve">Vives-Peris, V., de Ollas, C., Gómez-Cadenas, A., &amp; Pérez-Clemente, R. M. (2020). Root exudates: From plant to rhizosphere and beyond. </w:t>
      </w:r>
      <w:r w:rsidRPr="00153BBA">
        <w:rPr>
          <w:rFonts w:ascii="Times New Roman" w:eastAsia="Times New Roman" w:hAnsi="Times New Roman" w:cs="Times New Roman"/>
          <w:i/>
          <w:iCs/>
          <w:sz w:val="24"/>
          <w:szCs w:val="24"/>
          <w:lang w:val="en-US" w:eastAsia="en-US" w:bidi="ar-SA"/>
        </w:rPr>
        <w:t>Plant Cell Reports, 39</w:t>
      </w:r>
      <w:r w:rsidRPr="00153BBA">
        <w:rPr>
          <w:rFonts w:ascii="Times New Roman" w:eastAsia="Times New Roman" w:hAnsi="Times New Roman" w:cs="Times New Roman"/>
          <w:sz w:val="24"/>
          <w:szCs w:val="24"/>
          <w:lang w:val="en-US" w:eastAsia="en-US" w:bidi="ar-SA"/>
        </w:rPr>
        <w:t xml:space="preserve">(1), 3–17. </w:t>
      </w:r>
      <w:hyperlink r:id="rId71" w:history="1">
        <w:r w:rsidRPr="00153BBA">
          <w:rPr>
            <w:rFonts w:ascii="Times New Roman" w:eastAsia="Times New Roman" w:hAnsi="Times New Roman" w:cs="Times New Roman"/>
            <w:color w:val="0000FF"/>
            <w:sz w:val="24"/>
            <w:szCs w:val="24"/>
            <w:u w:val="single"/>
            <w:lang w:val="en-US" w:eastAsia="en-US" w:bidi="ar-SA"/>
          </w:rPr>
          <w:t>https://doi.org/10.1007/s00299-019-02447-5</w:t>
        </w:r>
      </w:hyperlink>
    </w:p>
    <w:p w14:paraId="1C646B3D"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Vogel, C. M., Potthoff, D. B., Schäfer, M., </w:t>
      </w:r>
      <w:proofErr w:type="spellStart"/>
      <w:r w:rsidRPr="00153BBA">
        <w:rPr>
          <w:rFonts w:ascii="Times New Roman" w:eastAsia="Times New Roman" w:hAnsi="Times New Roman" w:cs="Times New Roman"/>
          <w:sz w:val="24"/>
          <w:szCs w:val="24"/>
          <w:lang w:val="en-US" w:eastAsia="en-US" w:bidi="ar-SA"/>
        </w:rPr>
        <w:t>Barandun</w:t>
      </w:r>
      <w:proofErr w:type="spellEnd"/>
      <w:r w:rsidRPr="00153BBA">
        <w:rPr>
          <w:rFonts w:ascii="Times New Roman" w:eastAsia="Times New Roman" w:hAnsi="Times New Roman" w:cs="Times New Roman"/>
          <w:sz w:val="24"/>
          <w:szCs w:val="24"/>
          <w:lang w:val="en-US" w:eastAsia="en-US" w:bidi="ar-SA"/>
        </w:rPr>
        <w:t xml:space="preserve">, N., &amp; Vorholt, J. A. (2021). Protective role of the </w:t>
      </w:r>
      <w:r w:rsidRPr="00153BBA">
        <w:rPr>
          <w:rFonts w:ascii="Times New Roman" w:eastAsia="Times New Roman" w:hAnsi="Times New Roman" w:cs="Times New Roman"/>
          <w:i/>
          <w:iCs/>
          <w:sz w:val="24"/>
          <w:szCs w:val="24"/>
          <w:lang w:val="en-US" w:eastAsia="en-US" w:bidi="ar-SA"/>
        </w:rPr>
        <w:t>Arabidopsis</w:t>
      </w:r>
      <w:r w:rsidRPr="00153BBA">
        <w:rPr>
          <w:rFonts w:ascii="Times New Roman" w:eastAsia="Times New Roman" w:hAnsi="Times New Roman" w:cs="Times New Roman"/>
          <w:sz w:val="24"/>
          <w:szCs w:val="24"/>
          <w:lang w:val="en-US" w:eastAsia="en-US" w:bidi="ar-SA"/>
        </w:rPr>
        <w:t xml:space="preserve"> leaf microbiota against a bacterial pathogen. </w:t>
      </w:r>
      <w:r w:rsidRPr="00153BBA">
        <w:rPr>
          <w:rFonts w:ascii="Times New Roman" w:eastAsia="Times New Roman" w:hAnsi="Times New Roman" w:cs="Times New Roman"/>
          <w:i/>
          <w:iCs/>
          <w:sz w:val="24"/>
          <w:szCs w:val="24"/>
          <w:lang w:val="en-US" w:eastAsia="en-US" w:bidi="ar-SA"/>
        </w:rPr>
        <w:t>Nature Microbiology, 6</w:t>
      </w:r>
      <w:r w:rsidRPr="00153BBA">
        <w:rPr>
          <w:rFonts w:ascii="Times New Roman" w:eastAsia="Times New Roman" w:hAnsi="Times New Roman" w:cs="Times New Roman"/>
          <w:sz w:val="24"/>
          <w:szCs w:val="24"/>
          <w:lang w:val="en-US" w:eastAsia="en-US" w:bidi="ar-SA"/>
        </w:rPr>
        <w:t xml:space="preserve">, 1537–1548. </w:t>
      </w:r>
      <w:hyperlink r:id="rId72" w:history="1">
        <w:r w:rsidRPr="00153BBA">
          <w:rPr>
            <w:rFonts w:ascii="Times New Roman" w:eastAsia="Times New Roman" w:hAnsi="Times New Roman" w:cs="Times New Roman"/>
            <w:color w:val="0000FF"/>
            <w:sz w:val="24"/>
            <w:szCs w:val="24"/>
            <w:u w:val="single"/>
            <w:lang w:val="en-US" w:eastAsia="en-US" w:bidi="ar-SA"/>
          </w:rPr>
          <w:t>https://doi.org/10.1038/s41564-021-00997-7</w:t>
        </w:r>
      </w:hyperlink>
    </w:p>
    <w:p w14:paraId="5372D2BC"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Wei, Z., Yang, T., Friman, V.-P., Xu, Y., Shen, Q., &amp; </w:t>
      </w:r>
      <w:proofErr w:type="spellStart"/>
      <w:r w:rsidRPr="00153BBA">
        <w:rPr>
          <w:rFonts w:ascii="Times New Roman" w:eastAsia="Times New Roman" w:hAnsi="Times New Roman" w:cs="Times New Roman"/>
          <w:sz w:val="24"/>
          <w:szCs w:val="24"/>
          <w:lang w:val="en-US" w:eastAsia="en-US" w:bidi="ar-SA"/>
        </w:rPr>
        <w:t>Jousset</w:t>
      </w:r>
      <w:proofErr w:type="spellEnd"/>
      <w:r w:rsidRPr="00153BBA">
        <w:rPr>
          <w:rFonts w:ascii="Times New Roman" w:eastAsia="Times New Roman" w:hAnsi="Times New Roman" w:cs="Times New Roman"/>
          <w:sz w:val="24"/>
          <w:szCs w:val="24"/>
          <w:lang w:val="en-US" w:eastAsia="en-US" w:bidi="ar-SA"/>
        </w:rPr>
        <w:t xml:space="preserve">, A. (2015). Trophic network architecture of root-associated bacterial communities determines pathogen invasion and plant health. </w:t>
      </w:r>
      <w:r w:rsidRPr="00153BBA">
        <w:rPr>
          <w:rFonts w:ascii="Times New Roman" w:eastAsia="Times New Roman" w:hAnsi="Times New Roman" w:cs="Times New Roman"/>
          <w:i/>
          <w:iCs/>
          <w:sz w:val="24"/>
          <w:szCs w:val="24"/>
          <w:lang w:val="en-US" w:eastAsia="en-US" w:bidi="ar-SA"/>
        </w:rPr>
        <w:t>Nature Communications, 6</w:t>
      </w:r>
      <w:r w:rsidRPr="00153BBA">
        <w:rPr>
          <w:rFonts w:ascii="Times New Roman" w:eastAsia="Times New Roman" w:hAnsi="Times New Roman" w:cs="Times New Roman"/>
          <w:sz w:val="24"/>
          <w:szCs w:val="24"/>
          <w:lang w:val="en-US" w:eastAsia="en-US" w:bidi="ar-SA"/>
        </w:rPr>
        <w:t xml:space="preserve">, Article 8413. </w:t>
      </w:r>
      <w:hyperlink r:id="rId73" w:history="1">
        <w:r w:rsidRPr="00153BBA">
          <w:rPr>
            <w:rFonts w:ascii="Times New Roman" w:eastAsia="Times New Roman" w:hAnsi="Times New Roman" w:cs="Times New Roman"/>
            <w:color w:val="0000FF"/>
            <w:sz w:val="24"/>
            <w:szCs w:val="24"/>
            <w:u w:val="single"/>
            <w:lang w:val="en-US" w:eastAsia="en-US" w:bidi="ar-SA"/>
          </w:rPr>
          <w:t>https://doi.org/10.1038/ncomms9413</w:t>
        </w:r>
      </w:hyperlink>
    </w:p>
    <w:p w14:paraId="770B4C63" w14:textId="20ED2930"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Wu, C.-D., Fan, Y.-B., Chen, X., Cao, J.-W., Ye, J.-Y., Feng, M.-L., Liu, X.-X., Sun, W.-J., Liu, R.-N., &amp; Wang, A.-Y. (2024). Analysis of endophytic bacterial diversity in seeds of different genotypes of cotton and the suppression of </w:t>
      </w:r>
      <w:r w:rsidRPr="00153BBA">
        <w:rPr>
          <w:rFonts w:ascii="Times New Roman" w:eastAsia="Times New Roman" w:hAnsi="Times New Roman" w:cs="Times New Roman"/>
          <w:i/>
          <w:iCs/>
          <w:sz w:val="24"/>
          <w:szCs w:val="24"/>
          <w:lang w:val="en-US" w:eastAsia="en-US" w:bidi="ar-SA"/>
        </w:rPr>
        <w:t>Verticillium</w:t>
      </w:r>
      <w:r w:rsidRPr="00153BBA">
        <w:rPr>
          <w:rFonts w:ascii="Times New Roman" w:eastAsia="Times New Roman" w:hAnsi="Times New Roman" w:cs="Times New Roman"/>
          <w:sz w:val="24"/>
          <w:szCs w:val="24"/>
          <w:lang w:val="en-US" w:eastAsia="en-US" w:bidi="ar-SA"/>
        </w:rPr>
        <w:t xml:space="preserve"> wilt pathogen infection by a synthetic microbial community. </w:t>
      </w:r>
      <w:r w:rsidRPr="00153BBA">
        <w:rPr>
          <w:rFonts w:ascii="Times New Roman" w:eastAsia="Times New Roman" w:hAnsi="Times New Roman" w:cs="Times New Roman"/>
          <w:i/>
          <w:iCs/>
          <w:sz w:val="24"/>
          <w:szCs w:val="24"/>
          <w:lang w:val="en-US" w:eastAsia="en-US" w:bidi="ar-SA"/>
        </w:rPr>
        <w:t>BMC Plant Biology, 24</w:t>
      </w:r>
      <w:r w:rsidRPr="00153BBA">
        <w:rPr>
          <w:rFonts w:ascii="Times New Roman" w:eastAsia="Times New Roman" w:hAnsi="Times New Roman" w:cs="Times New Roman"/>
          <w:sz w:val="24"/>
          <w:szCs w:val="24"/>
          <w:lang w:val="en-US" w:eastAsia="en-US" w:bidi="ar-SA"/>
        </w:rPr>
        <w:t xml:space="preserve">, Article 263. </w:t>
      </w:r>
      <w:hyperlink r:id="rId74" w:history="1">
        <w:r w:rsidRPr="00153BBA">
          <w:rPr>
            <w:rFonts w:ascii="Times New Roman" w:eastAsia="Times New Roman" w:hAnsi="Times New Roman" w:cs="Times New Roman"/>
            <w:color w:val="0000FF"/>
            <w:sz w:val="24"/>
            <w:szCs w:val="24"/>
            <w:u w:val="single"/>
            <w:lang w:val="en-US" w:eastAsia="en-US" w:bidi="ar-SA"/>
          </w:rPr>
          <w:t>https://doi.org/10.1186/s12870-024-04910-2</w:t>
        </w:r>
      </w:hyperlink>
      <w:r w:rsidRPr="00153BBA">
        <w:rPr>
          <w:rFonts w:ascii="Times New Roman" w:eastAsia="Times New Roman" w:hAnsi="Times New Roman" w:cs="Times New Roman"/>
          <w:sz w:val="24"/>
          <w:szCs w:val="24"/>
          <w:lang w:val="en-US" w:eastAsia="en-US" w:bidi="ar-SA"/>
        </w:rPr>
        <w:br/>
      </w:r>
    </w:p>
    <w:p w14:paraId="077E66DB"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Yang, K., Fu, R., Feng, H., Jiang, G., Finkel, O., Sun, T., Liu, M., Huang, B., Li, S., Wang, X., Yang, T., Wang, Y., Wang, S., Xu, Y., Shen, Q., Friman, V.-P., </w:t>
      </w:r>
      <w:proofErr w:type="spellStart"/>
      <w:r w:rsidRPr="00153BBA">
        <w:rPr>
          <w:rFonts w:ascii="Times New Roman" w:eastAsia="Times New Roman" w:hAnsi="Times New Roman" w:cs="Times New Roman"/>
          <w:sz w:val="24"/>
          <w:szCs w:val="24"/>
          <w:lang w:val="en-US" w:eastAsia="en-US" w:bidi="ar-SA"/>
        </w:rPr>
        <w:t>Jousset</w:t>
      </w:r>
      <w:proofErr w:type="spellEnd"/>
      <w:r w:rsidRPr="00153BBA">
        <w:rPr>
          <w:rFonts w:ascii="Times New Roman" w:eastAsia="Times New Roman" w:hAnsi="Times New Roman" w:cs="Times New Roman"/>
          <w:sz w:val="24"/>
          <w:szCs w:val="24"/>
          <w:lang w:val="en-US" w:eastAsia="en-US" w:bidi="ar-SA"/>
        </w:rPr>
        <w:t xml:space="preserve">, A., &amp; Wei, Z. (2023). RIN enhances plant disease resistance via root exudate-mediated assembly of disease-suppressive rhizosphere microbiota. </w:t>
      </w:r>
      <w:r w:rsidRPr="00153BBA">
        <w:rPr>
          <w:rFonts w:ascii="Times New Roman" w:eastAsia="Times New Roman" w:hAnsi="Times New Roman" w:cs="Times New Roman"/>
          <w:i/>
          <w:iCs/>
          <w:sz w:val="24"/>
          <w:szCs w:val="24"/>
          <w:lang w:val="en-US" w:eastAsia="en-US" w:bidi="ar-SA"/>
        </w:rPr>
        <w:t>Molecular Plant, 16</w:t>
      </w:r>
      <w:r w:rsidRPr="00153BBA">
        <w:rPr>
          <w:rFonts w:ascii="Times New Roman" w:eastAsia="Times New Roman" w:hAnsi="Times New Roman" w:cs="Times New Roman"/>
          <w:sz w:val="24"/>
          <w:szCs w:val="24"/>
          <w:lang w:val="en-US" w:eastAsia="en-US" w:bidi="ar-SA"/>
        </w:rPr>
        <w:t xml:space="preserve">(9), 1379–1395. </w:t>
      </w:r>
      <w:hyperlink r:id="rId75" w:history="1">
        <w:r w:rsidRPr="00153BBA">
          <w:rPr>
            <w:rFonts w:ascii="Times New Roman" w:eastAsia="Times New Roman" w:hAnsi="Times New Roman" w:cs="Times New Roman"/>
            <w:color w:val="0000FF"/>
            <w:sz w:val="24"/>
            <w:szCs w:val="24"/>
            <w:u w:val="single"/>
            <w:lang w:val="en-US" w:eastAsia="en-US" w:bidi="ar-SA"/>
          </w:rPr>
          <w:t>https://doi.org/10.1016/j.molp.2023.08.004</w:t>
        </w:r>
      </w:hyperlink>
    </w:p>
    <w:p w14:paraId="173CA0D3"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Yin, C., Hagerty, C. H., &amp; Paulitz, T. C. (2022). Synthetic microbial consortia derived from rhizosphere soil protect wheat against a soilborne fungal pathogen. </w:t>
      </w:r>
      <w:r w:rsidRPr="00153BBA">
        <w:rPr>
          <w:rFonts w:ascii="Times New Roman" w:eastAsia="Times New Roman" w:hAnsi="Times New Roman" w:cs="Times New Roman"/>
          <w:i/>
          <w:iCs/>
          <w:sz w:val="24"/>
          <w:szCs w:val="24"/>
          <w:lang w:val="en-US" w:eastAsia="en-US" w:bidi="ar-SA"/>
        </w:rPr>
        <w:t>Frontiers in Microbiology, 13</w:t>
      </w:r>
      <w:r w:rsidRPr="00153BBA">
        <w:rPr>
          <w:rFonts w:ascii="Times New Roman" w:eastAsia="Times New Roman" w:hAnsi="Times New Roman" w:cs="Times New Roman"/>
          <w:sz w:val="24"/>
          <w:szCs w:val="24"/>
          <w:lang w:val="en-US" w:eastAsia="en-US" w:bidi="ar-SA"/>
        </w:rPr>
        <w:t xml:space="preserve">, Article 908981. </w:t>
      </w:r>
      <w:hyperlink r:id="rId76" w:history="1">
        <w:r w:rsidRPr="00153BBA">
          <w:rPr>
            <w:rFonts w:ascii="Times New Roman" w:eastAsia="Times New Roman" w:hAnsi="Times New Roman" w:cs="Times New Roman"/>
            <w:color w:val="0000FF"/>
            <w:sz w:val="24"/>
            <w:szCs w:val="24"/>
            <w:u w:val="single"/>
            <w:lang w:val="en-US" w:eastAsia="en-US" w:bidi="ar-SA"/>
          </w:rPr>
          <w:t>https://doi.org/10.3389/fmicb.2022.908981</w:t>
        </w:r>
      </w:hyperlink>
    </w:p>
    <w:p w14:paraId="0BF27A26"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Zahoor, A., Arshad, U., Niaz, Z., Shafique, M. S., Sarwar, N., &amp; Jabran, M. (2024). Reshaping the plant microbiomes for sustainable disease management. </w:t>
      </w:r>
      <w:r w:rsidRPr="00153BBA">
        <w:rPr>
          <w:rFonts w:ascii="Times New Roman" w:eastAsia="Times New Roman" w:hAnsi="Times New Roman" w:cs="Times New Roman"/>
          <w:i/>
          <w:iCs/>
          <w:sz w:val="24"/>
          <w:szCs w:val="24"/>
          <w:lang w:val="en-US" w:eastAsia="en-US" w:bidi="ar-SA"/>
        </w:rPr>
        <w:t>Integrative Plant Biotechnology, 2</w:t>
      </w:r>
      <w:r w:rsidRPr="00153BBA">
        <w:rPr>
          <w:rFonts w:ascii="Times New Roman" w:eastAsia="Times New Roman" w:hAnsi="Times New Roman" w:cs="Times New Roman"/>
          <w:sz w:val="24"/>
          <w:szCs w:val="24"/>
          <w:lang w:val="en-US" w:eastAsia="en-US" w:bidi="ar-SA"/>
        </w:rPr>
        <w:t xml:space="preserve">(1), 63–76. </w:t>
      </w:r>
      <w:hyperlink r:id="rId77" w:history="1">
        <w:r w:rsidRPr="00153BBA">
          <w:rPr>
            <w:rFonts w:ascii="Times New Roman" w:eastAsia="Times New Roman" w:hAnsi="Times New Roman" w:cs="Times New Roman"/>
            <w:color w:val="0000FF"/>
            <w:sz w:val="24"/>
            <w:szCs w:val="24"/>
            <w:u w:val="single"/>
            <w:lang w:val="en-US" w:eastAsia="en-US" w:bidi="ar-SA"/>
          </w:rPr>
          <w:t>https://doi.org/10.55627/pbiotech.002.01.0786</w:t>
        </w:r>
      </w:hyperlink>
    </w:p>
    <w:p w14:paraId="7044BFD2"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Zhang, J., Liu, Y.-X., Guo, X., Qin, Y., Garrido-Oter, R., Schulze-Lefert, P., &amp; Bai, Y. (2021). High-throughput cultivation and identification of bacteria from the plant root microbiota. </w:t>
      </w:r>
      <w:r w:rsidRPr="00153BBA">
        <w:rPr>
          <w:rFonts w:ascii="Times New Roman" w:eastAsia="Times New Roman" w:hAnsi="Times New Roman" w:cs="Times New Roman"/>
          <w:i/>
          <w:iCs/>
          <w:sz w:val="24"/>
          <w:szCs w:val="24"/>
          <w:lang w:val="en-US" w:eastAsia="en-US" w:bidi="ar-SA"/>
        </w:rPr>
        <w:t>Nature Protocols, 16</w:t>
      </w:r>
      <w:r w:rsidRPr="00153BBA">
        <w:rPr>
          <w:rFonts w:ascii="Times New Roman" w:eastAsia="Times New Roman" w:hAnsi="Times New Roman" w:cs="Times New Roman"/>
          <w:sz w:val="24"/>
          <w:szCs w:val="24"/>
          <w:lang w:val="en-US" w:eastAsia="en-US" w:bidi="ar-SA"/>
        </w:rPr>
        <w:t xml:space="preserve">(2), 988–1012. </w:t>
      </w:r>
      <w:hyperlink r:id="rId78" w:history="1">
        <w:r w:rsidRPr="00153BBA">
          <w:rPr>
            <w:rFonts w:ascii="Times New Roman" w:eastAsia="Times New Roman" w:hAnsi="Times New Roman" w:cs="Times New Roman"/>
            <w:color w:val="0000FF"/>
            <w:sz w:val="24"/>
            <w:szCs w:val="24"/>
            <w:u w:val="single"/>
            <w:lang w:val="en-US" w:eastAsia="en-US" w:bidi="ar-SA"/>
          </w:rPr>
          <w:t>https://doi.org/10.1038/s41596-020-00444-7</w:t>
        </w:r>
      </w:hyperlink>
    </w:p>
    <w:p w14:paraId="187FC816"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Zhang, W. (2024). Strategic engineering of synthetic microbial communities (</w:t>
      </w:r>
      <w:proofErr w:type="spellStart"/>
      <w:r w:rsidRPr="00153BBA">
        <w:rPr>
          <w:rFonts w:ascii="Times New Roman" w:eastAsia="Times New Roman" w:hAnsi="Times New Roman" w:cs="Times New Roman"/>
          <w:sz w:val="24"/>
          <w:szCs w:val="24"/>
          <w:lang w:val="en-US" w:eastAsia="en-US" w:bidi="ar-SA"/>
        </w:rPr>
        <w:t>SynComs</w:t>
      </w:r>
      <w:proofErr w:type="spellEnd"/>
      <w:r w:rsidRPr="00153BBA">
        <w:rPr>
          <w:rFonts w:ascii="Times New Roman" w:eastAsia="Times New Roman" w:hAnsi="Times New Roman" w:cs="Times New Roman"/>
          <w:sz w:val="24"/>
          <w:szCs w:val="24"/>
          <w:lang w:val="en-US" w:eastAsia="en-US" w:bidi="ar-SA"/>
        </w:rPr>
        <w:t xml:space="preserve">) for optimizing plant health and yield in agriculture. </w:t>
      </w:r>
      <w:r w:rsidRPr="00153BBA">
        <w:rPr>
          <w:rFonts w:ascii="Times New Roman" w:eastAsia="Times New Roman" w:hAnsi="Times New Roman" w:cs="Times New Roman"/>
          <w:i/>
          <w:iCs/>
          <w:sz w:val="24"/>
          <w:szCs w:val="24"/>
          <w:lang w:val="en-US" w:eastAsia="en-US" w:bidi="ar-SA"/>
        </w:rPr>
        <w:t>Molecular Microbiology Research, 14</w:t>
      </w:r>
      <w:r w:rsidRPr="00153BBA">
        <w:rPr>
          <w:rFonts w:ascii="Times New Roman" w:eastAsia="Times New Roman" w:hAnsi="Times New Roman" w:cs="Times New Roman"/>
          <w:sz w:val="24"/>
          <w:szCs w:val="24"/>
          <w:lang w:val="en-US" w:eastAsia="en-US" w:bidi="ar-SA"/>
        </w:rPr>
        <w:t xml:space="preserve">(3), 124–130. </w:t>
      </w:r>
      <w:hyperlink r:id="rId79" w:history="1">
        <w:r w:rsidRPr="00153BBA">
          <w:rPr>
            <w:rFonts w:ascii="Times New Roman" w:eastAsia="Times New Roman" w:hAnsi="Times New Roman" w:cs="Times New Roman"/>
            <w:color w:val="0000FF"/>
            <w:sz w:val="24"/>
            <w:szCs w:val="24"/>
            <w:u w:val="single"/>
            <w:lang w:val="en-US" w:eastAsia="en-US" w:bidi="ar-SA"/>
          </w:rPr>
          <w:t>https://doi.org/10.5376/mmr.2024.14.0014</w:t>
        </w:r>
      </w:hyperlink>
    </w:p>
    <w:p w14:paraId="792BC3F0" w14:textId="77777777" w:rsidR="00153BBA" w:rsidRPr="00153BBA" w:rsidRDefault="00153BBA" w:rsidP="00153BBA">
      <w:pPr>
        <w:spacing w:before="100" w:beforeAutospacing="1" w:after="100" w:afterAutospacing="1"/>
        <w:rPr>
          <w:rFonts w:ascii="Times New Roman" w:eastAsia="Times New Roman" w:hAnsi="Times New Roman" w:cs="Times New Roman"/>
          <w:sz w:val="24"/>
          <w:szCs w:val="24"/>
          <w:lang w:val="en-US" w:eastAsia="en-US" w:bidi="ar-SA"/>
        </w:rPr>
      </w:pPr>
      <w:r w:rsidRPr="00153BBA">
        <w:rPr>
          <w:rFonts w:ascii="Times New Roman" w:eastAsia="Times New Roman" w:hAnsi="Times New Roman" w:cs="Times New Roman"/>
          <w:sz w:val="24"/>
          <w:szCs w:val="24"/>
          <w:lang w:val="en-US" w:eastAsia="en-US" w:bidi="ar-SA"/>
        </w:rPr>
        <w:t xml:space="preserve">Zhou, X., Wang, J., Liu, F., Liang, J., Zhao, P., Tsui, C. K. M., &amp; Cai, L. (2022). Cross-kingdom synthetic microbiota supports tomato suppression of </w:t>
      </w:r>
      <w:r w:rsidRPr="00153BBA">
        <w:rPr>
          <w:rFonts w:ascii="Times New Roman" w:eastAsia="Times New Roman" w:hAnsi="Times New Roman" w:cs="Times New Roman"/>
          <w:i/>
          <w:iCs/>
          <w:sz w:val="24"/>
          <w:szCs w:val="24"/>
          <w:lang w:val="en-US" w:eastAsia="en-US" w:bidi="ar-SA"/>
        </w:rPr>
        <w:t>Fusarium</w:t>
      </w:r>
      <w:r w:rsidRPr="00153BBA">
        <w:rPr>
          <w:rFonts w:ascii="Times New Roman" w:eastAsia="Times New Roman" w:hAnsi="Times New Roman" w:cs="Times New Roman"/>
          <w:sz w:val="24"/>
          <w:szCs w:val="24"/>
          <w:lang w:val="en-US" w:eastAsia="en-US" w:bidi="ar-SA"/>
        </w:rPr>
        <w:t xml:space="preserve"> wilt disease. </w:t>
      </w:r>
      <w:r w:rsidRPr="00153BBA">
        <w:rPr>
          <w:rFonts w:ascii="Times New Roman" w:eastAsia="Times New Roman" w:hAnsi="Times New Roman" w:cs="Times New Roman"/>
          <w:i/>
          <w:iCs/>
          <w:sz w:val="24"/>
          <w:szCs w:val="24"/>
          <w:lang w:val="en-US" w:eastAsia="en-US" w:bidi="ar-SA"/>
        </w:rPr>
        <w:t>Nature Communications, 13</w:t>
      </w:r>
      <w:r w:rsidRPr="00153BBA">
        <w:rPr>
          <w:rFonts w:ascii="Times New Roman" w:eastAsia="Times New Roman" w:hAnsi="Times New Roman" w:cs="Times New Roman"/>
          <w:sz w:val="24"/>
          <w:szCs w:val="24"/>
          <w:lang w:val="en-US" w:eastAsia="en-US" w:bidi="ar-SA"/>
        </w:rPr>
        <w:t xml:space="preserve">(1), Article 7890. </w:t>
      </w:r>
      <w:hyperlink r:id="rId80" w:history="1">
        <w:r w:rsidRPr="00153BBA">
          <w:rPr>
            <w:rFonts w:ascii="Times New Roman" w:eastAsia="Times New Roman" w:hAnsi="Times New Roman" w:cs="Times New Roman"/>
            <w:color w:val="0000FF"/>
            <w:sz w:val="24"/>
            <w:szCs w:val="24"/>
            <w:u w:val="single"/>
            <w:lang w:val="en-US" w:eastAsia="en-US" w:bidi="ar-SA"/>
          </w:rPr>
          <w:t>https://doi.org/10.1038/s41467-022-35452-6</w:t>
        </w:r>
      </w:hyperlink>
    </w:p>
    <w:p w14:paraId="4D4A88EE" w14:textId="77777777" w:rsidR="00153BBA" w:rsidRPr="003F3781" w:rsidRDefault="00153BBA" w:rsidP="00A53925">
      <w:pPr>
        <w:spacing w:after="200" w:line="276" w:lineRule="auto"/>
        <w:jc w:val="both"/>
        <w:rPr>
          <w:rFonts w:ascii="Arial" w:hAnsi="Arial" w:cs="Arial"/>
          <w:b/>
          <w:bCs/>
          <w:color w:val="000000" w:themeColor="text1"/>
        </w:rPr>
      </w:pPr>
    </w:p>
    <w:sectPr w:rsidR="00153BBA" w:rsidRPr="003F3781" w:rsidSect="00390D00">
      <w:headerReference w:type="even" r:id="rId81"/>
      <w:headerReference w:type="default" r:id="rId82"/>
      <w:footerReference w:type="even" r:id="rId83"/>
      <w:footerReference w:type="default" r:id="rId84"/>
      <w:headerReference w:type="first" r:id="rId85"/>
      <w:footerReference w:type="first" r:id="rId8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486E0" w14:textId="77777777" w:rsidR="001722F0" w:rsidRDefault="001722F0" w:rsidP="0011506D">
      <w:r>
        <w:separator/>
      </w:r>
    </w:p>
  </w:endnote>
  <w:endnote w:type="continuationSeparator" w:id="0">
    <w:p w14:paraId="13537383" w14:textId="77777777" w:rsidR="001722F0" w:rsidRDefault="001722F0" w:rsidP="00115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FDFF6" w14:textId="77777777" w:rsidR="00EA3EC7" w:rsidRDefault="00EA3E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D5A2" w14:textId="77777777" w:rsidR="00EA3EC7" w:rsidRDefault="00EA3E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D2B99" w14:textId="77777777" w:rsidR="00EA3EC7" w:rsidRDefault="00EA3E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6626B6" w14:textId="77777777" w:rsidR="001722F0" w:rsidRDefault="001722F0" w:rsidP="0011506D">
      <w:r>
        <w:separator/>
      </w:r>
    </w:p>
  </w:footnote>
  <w:footnote w:type="continuationSeparator" w:id="0">
    <w:p w14:paraId="56F1CC18" w14:textId="77777777" w:rsidR="001722F0" w:rsidRDefault="001722F0" w:rsidP="00115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4C571" w14:textId="77777777" w:rsidR="00EA3EC7" w:rsidRDefault="00000000">
    <w:pPr>
      <w:pStyle w:val="Header"/>
    </w:pPr>
    <w:r>
      <w:rPr>
        <w:noProof/>
      </w:rPr>
      <w:pict w14:anchorId="202FFEB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8146047" o:spid="_x0000_s1026" type="#_x0000_t136" style="position:absolute;margin-left:0;margin-top:0;width:621.2pt;height:116.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1F84D" w14:textId="77777777" w:rsidR="00EA3EC7" w:rsidRDefault="00000000">
    <w:pPr>
      <w:pStyle w:val="Header"/>
    </w:pPr>
    <w:r>
      <w:rPr>
        <w:noProof/>
      </w:rPr>
      <w:pict w14:anchorId="4C6E5A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8146048" o:spid="_x0000_s1027" type="#_x0000_t136" style="position:absolute;margin-left:0;margin-top:0;width:621.2pt;height:116.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C33E1" w14:textId="77777777" w:rsidR="00EA3EC7" w:rsidRDefault="00000000">
    <w:pPr>
      <w:pStyle w:val="Header"/>
    </w:pPr>
    <w:r>
      <w:rPr>
        <w:noProof/>
      </w:rPr>
      <w:pict w14:anchorId="0EF3CA4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8146046" o:spid="_x0000_s1025" type="#_x0000_t136" style="position:absolute;margin-left:0;margin-top:0;width:621.2pt;height:116.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30E9"/>
    <w:multiLevelType w:val="multilevel"/>
    <w:tmpl w:val="17149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7B4ACA"/>
    <w:multiLevelType w:val="multilevel"/>
    <w:tmpl w:val="E466B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D66EBD"/>
    <w:multiLevelType w:val="multilevel"/>
    <w:tmpl w:val="40847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2E76FB"/>
    <w:multiLevelType w:val="multilevel"/>
    <w:tmpl w:val="B658E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3A49D1"/>
    <w:multiLevelType w:val="multilevel"/>
    <w:tmpl w:val="1E424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CF2E79"/>
    <w:multiLevelType w:val="multilevel"/>
    <w:tmpl w:val="1C568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7B211A"/>
    <w:multiLevelType w:val="multilevel"/>
    <w:tmpl w:val="0F208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331CF7"/>
    <w:multiLevelType w:val="multilevel"/>
    <w:tmpl w:val="CCAA0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A77680"/>
    <w:multiLevelType w:val="multilevel"/>
    <w:tmpl w:val="A9466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5D1290"/>
    <w:multiLevelType w:val="multilevel"/>
    <w:tmpl w:val="83D4E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3C343A1"/>
    <w:multiLevelType w:val="multilevel"/>
    <w:tmpl w:val="662AE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E722F45"/>
    <w:multiLevelType w:val="multilevel"/>
    <w:tmpl w:val="6B96E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0D659BB"/>
    <w:multiLevelType w:val="multilevel"/>
    <w:tmpl w:val="529E0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0A58F9"/>
    <w:multiLevelType w:val="hybridMultilevel"/>
    <w:tmpl w:val="0B308F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BCF06D1"/>
    <w:multiLevelType w:val="multilevel"/>
    <w:tmpl w:val="5BF07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2439375">
    <w:abstractNumId w:val="14"/>
  </w:num>
  <w:num w:numId="2" w16cid:durableId="722560657">
    <w:abstractNumId w:val="8"/>
  </w:num>
  <w:num w:numId="3" w16cid:durableId="600407701">
    <w:abstractNumId w:val="9"/>
  </w:num>
  <w:num w:numId="4" w16cid:durableId="196358953">
    <w:abstractNumId w:val="2"/>
  </w:num>
  <w:num w:numId="5" w16cid:durableId="1160346672">
    <w:abstractNumId w:val="6"/>
  </w:num>
  <w:num w:numId="6" w16cid:durableId="1380477144">
    <w:abstractNumId w:val="0"/>
  </w:num>
  <w:num w:numId="7" w16cid:durableId="989597165">
    <w:abstractNumId w:val="10"/>
  </w:num>
  <w:num w:numId="8" w16cid:durableId="699354199">
    <w:abstractNumId w:val="1"/>
  </w:num>
  <w:num w:numId="9" w16cid:durableId="1757238679">
    <w:abstractNumId w:val="3"/>
  </w:num>
  <w:num w:numId="10" w16cid:durableId="1626958008">
    <w:abstractNumId w:val="5"/>
  </w:num>
  <w:num w:numId="11" w16cid:durableId="968248101">
    <w:abstractNumId w:val="11"/>
  </w:num>
  <w:num w:numId="12" w16cid:durableId="1455174637">
    <w:abstractNumId w:val="4"/>
  </w:num>
  <w:num w:numId="13" w16cid:durableId="400837049">
    <w:abstractNumId w:val="12"/>
  </w:num>
  <w:num w:numId="14" w16cid:durableId="1330909820">
    <w:abstractNumId w:val="7"/>
  </w:num>
  <w:num w:numId="15" w16cid:durableId="26909366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9BD"/>
    <w:rsid w:val="00000A77"/>
    <w:rsid w:val="000031D5"/>
    <w:rsid w:val="00010D9E"/>
    <w:rsid w:val="00011C35"/>
    <w:rsid w:val="00020EFA"/>
    <w:rsid w:val="0002446A"/>
    <w:rsid w:val="000259F6"/>
    <w:rsid w:val="00025BD4"/>
    <w:rsid w:val="000322BE"/>
    <w:rsid w:val="00032614"/>
    <w:rsid w:val="00032BEF"/>
    <w:rsid w:val="00041D22"/>
    <w:rsid w:val="00045C75"/>
    <w:rsid w:val="000461F6"/>
    <w:rsid w:val="00053A89"/>
    <w:rsid w:val="000561F7"/>
    <w:rsid w:val="000562B9"/>
    <w:rsid w:val="000774E2"/>
    <w:rsid w:val="0008007A"/>
    <w:rsid w:val="00082876"/>
    <w:rsid w:val="00094041"/>
    <w:rsid w:val="000A5066"/>
    <w:rsid w:val="000B02C1"/>
    <w:rsid w:val="000B0AD7"/>
    <w:rsid w:val="000B6DFD"/>
    <w:rsid w:val="000C16CB"/>
    <w:rsid w:val="000C304E"/>
    <w:rsid w:val="000C4A55"/>
    <w:rsid w:val="000C5FFA"/>
    <w:rsid w:val="000E0871"/>
    <w:rsid w:val="000E0CD8"/>
    <w:rsid w:val="000E15F2"/>
    <w:rsid w:val="000E5556"/>
    <w:rsid w:val="000F36DD"/>
    <w:rsid w:val="00100449"/>
    <w:rsid w:val="00104C60"/>
    <w:rsid w:val="00105991"/>
    <w:rsid w:val="0011506D"/>
    <w:rsid w:val="00120D5D"/>
    <w:rsid w:val="00127BD8"/>
    <w:rsid w:val="001327AB"/>
    <w:rsid w:val="0013453D"/>
    <w:rsid w:val="00143887"/>
    <w:rsid w:val="00143CED"/>
    <w:rsid w:val="0014415D"/>
    <w:rsid w:val="00144CD4"/>
    <w:rsid w:val="00151481"/>
    <w:rsid w:val="00153BBA"/>
    <w:rsid w:val="001548A9"/>
    <w:rsid w:val="00162C3B"/>
    <w:rsid w:val="001631D1"/>
    <w:rsid w:val="00164993"/>
    <w:rsid w:val="001722F0"/>
    <w:rsid w:val="00172BE1"/>
    <w:rsid w:val="001953A5"/>
    <w:rsid w:val="001B036B"/>
    <w:rsid w:val="001B6D3F"/>
    <w:rsid w:val="001C165D"/>
    <w:rsid w:val="001C392F"/>
    <w:rsid w:val="001C4384"/>
    <w:rsid w:val="001C48B2"/>
    <w:rsid w:val="001F1525"/>
    <w:rsid w:val="001F2C15"/>
    <w:rsid w:val="001F341A"/>
    <w:rsid w:val="001F651E"/>
    <w:rsid w:val="0021577F"/>
    <w:rsid w:val="00227577"/>
    <w:rsid w:val="00234A84"/>
    <w:rsid w:val="002374DF"/>
    <w:rsid w:val="00243B95"/>
    <w:rsid w:val="00250000"/>
    <w:rsid w:val="002505C4"/>
    <w:rsid w:val="00266391"/>
    <w:rsid w:val="00271893"/>
    <w:rsid w:val="0027469B"/>
    <w:rsid w:val="00277E8D"/>
    <w:rsid w:val="0029325F"/>
    <w:rsid w:val="002A26A7"/>
    <w:rsid w:val="002A2F65"/>
    <w:rsid w:val="002B566C"/>
    <w:rsid w:val="002C04D3"/>
    <w:rsid w:val="002C5855"/>
    <w:rsid w:val="002D7177"/>
    <w:rsid w:val="002D734B"/>
    <w:rsid w:val="002E0128"/>
    <w:rsid w:val="002E1E2D"/>
    <w:rsid w:val="002E33FE"/>
    <w:rsid w:val="002E6878"/>
    <w:rsid w:val="002F416F"/>
    <w:rsid w:val="002F695E"/>
    <w:rsid w:val="00301B46"/>
    <w:rsid w:val="00305DEE"/>
    <w:rsid w:val="00310193"/>
    <w:rsid w:val="00313406"/>
    <w:rsid w:val="00321F0B"/>
    <w:rsid w:val="0033043A"/>
    <w:rsid w:val="003304D9"/>
    <w:rsid w:val="0033339D"/>
    <w:rsid w:val="0033767D"/>
    <w:rsid w:val="0034039E"/>
    <w:rsid w:val="00343A01"/>
    <w:rsid w:val="00344F45"/>
    <w:rsid w:val="0035381B"/>
    <w:rsid w:val="0036607F"/>
    <w:rsid w:val="003742F3"/>
    <w:rsid w:val="00377104"/>
    <w:rsid w:val="003855EA"/>
    <w:rsid w:val="00385680"/>
    <w:rsid w:val="00387AC6"/>
    <w:rsid w:val="00390D00"/>
    <w:rsid w:val="00396CD6"/>
    <w:rsid w:val="003A1EB3"/>
    <w:rsid w:val="003A220F"/>
    <w:rsid w:val="003B1D81"/>
    <w:rsid w:val="003B3046"/>
    <w:rsid w:val="003B42F7"/>
    <w:rsid w:val="003C0A9A"/>
    <w:rsid w:val="003C7B5F"/>
    <w:rsid w:val="003D26A2"/>
    <w:rsid w:val="003E3CDC"/>
    <w:rsid w:val="003E4D50"/>
    <w:rsid w:val="003F2B2D"/>
    <w:rsid w:val="003F3781"/>
    <w:rsid w:val="003F734C"/>
    <w:rsid w:val="00404F43"/>
    <w:rsid w:val="0041346E"/>
    <w:rsid w:val="0041683D"/>
    <w:rsid w:val="00420CB6"/>
    <w:rsid w:val="00421FC2"/>
    <w:rsid w:val="0042297D"/>
    <w:rsid w:val="00422AA7"/>
    <w:rsid w:val="00423193"/>
    <w:rsid w:val="00425011"/>
    <w:rsid w:val="004272B1"/>
    <w:rsid w:val="00437C52"/>
    <w:rsid w:val="00462DD2"/>
    <w:rsid w:val="004665E7"/>
    <w:rsid w:val="00467AD8"/>
    <w:rsid w:val="004750C9"/>
    <w:rsid w:val="00481E26"/>
    <w:rsid w:val="00483B17"/>
    <w:rsid w:val="004B5CA0"/>
    <w:rsid w:val="004B68A9"/>
    <w:rsid w:val="004C0A1A"/>
    <w:rsid w:val="004C0B6F"/>
    <w:rsid w:val="004D20BD"/>
    <w:rsid w:val="004E39F1"/>
    <w:rsid w:val="004F0D91"/>
    <w:rsid w:val="00500FF1"/>
    <w:rsid w:val="005017F8"/>
    <w:rsid w:val="00513ABF"/>
    <w:rsid w:val="005159BD"/>
    <w:rsid w:val="0051700F"/>
    <w:rsid w:val="005241BC"/>
    <w:rsid w:val="0053180D"/>
    <w:rsid w:val="00532026"/>
    <w:rsid w:val="00544A7C"/>
    <w:rsid w:val="00560011"/>
    <w:rsid w:val="00561863"/>
    <w:rsid w:val="005625CF"/>
    <w:rsid w:val="005659BB"/>
    <w:rsid w:val="00566B14"/>
    <w:rsid w:val="00587082"/>
    <w:rsid w:val="005A102C"/>
    <w:rsid w:val="005A6736"/>
    <w:rsid w:val="005B6316"/>
    <w:rsid w:val="005B7F83"/>
    <w:rsid w:val="005C13AC"/>
    <w:rsid w:val="005D5283"/>
    <w:rsid w:val="005D7C6C"/>
    <w:rsid w:val="005F1B72"/>
    <w:rsid w:val="005F48FB"/>
    <w:rsid w:val="00600747"/>
    <w:rsid w:val="00602294"/>
    <w:rsid w:val="00602B00"/>
    <w:rsid w:val="00604E26"/>
    <w:rsid w:val="00615974"/>
    <w:rsid w:val="006174D2"/>
    <w:rsid w:val="00621C98"/>
    <w:rsid w:val="00627BB4"/>
    <w:rsid w:val="00630C6B"/>
    <w:rsid w:val="00643FCE"/>
    <w:rsid w:val="00656382"/>
    <w:rsid w:val="006613CA"/>
    <w:rsid w:val="00670522"/>
    <w:rsid w:val="00670DAA"/>
    <w:rsid w:val="00672323"/>
    <w:rsid w:val="006822CA"/>
    <w:rsid w:val="00690F36"/>
    <w:rsid w:val="006B0588"/>
    <w:rsid w:val="006B27F4"/>
    <w:rsid w:val="006C2253"/>
    <w:rsid w:val="006C3D36"/>
    <w:rsid w:val="006D146E"/>
    <w:rsid w:val="006D28FC"/>
    <w:rsid w:val="006D5E13"/>
    <w:rsid w:val="006D60DA"/>
    <w:rsid w:val="006D6626"/>
    <w:rsid w:val="006E0155"/>
    <w:rsid w:val="006E0B84"/>
    <w:rsid w:val="006E3474"/>
    <w:rsid w:val="006E4756"/>
    <w:rsid w:val="006E558F"/>
    <w:rsid w:val="006F0D16"/>
    <w:rsid w:val="006F5430"/>
    <w:rsid w:val="006F75E6"/>
    <w:rsid w:val="00700D84"/>
    <w:rsid w:val="0070346D"/>
    <w:rsid w:val="00707454"/>
    <w:rsid w:val="0071069A"/>
    <w:rsid w:val="0071225F"/>
    <w:rsid w:val="00712FE2"/>
    <w:rsid w:val="0071538E"/>
    <w:rsid w:val="00745B41"/>
    <w:rsid w:val="00746634"/>
    <w:rsid w:val="007478DD"/>
    <w:rsid w:val="007634E8"/>
    <w:rsid w:val="007743B3"/>
    <w:rsid w:val="00777AB5"/>
    <w:rsid w:val="00780116"/>
    <w:rsid w:val="00795CF6"/>
    <w:rsid w:val="00796139"/>
    <w:rsid w:val="007B204F"/>
    <w:rsid w:val="007D2169"/>
    <w:rsid w:val="007D2E79"/>
    <w:rsid w:val="007D786A"/>
    <w:rsid w:val="007E6B96"/>
    <w:rsid w:val="007F268A"/>
    <w:rsid w:val="007F3F1A"/>
    <w:rsid w:val="007F5FFC"/>
    <w:rsid w:val="00805122"/>
    <w:rsid w:val="00810452"/>
    <w:rsid w:val="008220F0"/>
    <w:rsid w:val="00827398"/>
    <w:rsid w:val="008315E4"/>
    <w:rsid w:val="008414F4"/>
    <w:rsid w:val="00861C11"/>
    <w:rsid w:val="0086419E"/>
    <w:rsid w:val="008704FF"/>
    <w:rsid w:val="00883DBB"/>
    <w:rsid w:val="0088481B"/>
    <w:rsid w:val="008968BF"/>
    <w:rsid w:val="00896CA9"/>
    <w:rsid w:val="008A0374"/>
    <w:rsid w:val="008B250E"/>
    <w:rsid w:val="008C4D42"/>
    <w:rsid w:val="008D190D"/>
    <w:rsid w:val="008D4D14"/>
    <w:rsid w:val="008E2FB9"/>
    <w:rsid w:val="008E3369"/>
    <w:rsid w:val="008E41AE"/>
    <w:rsid w:val="008F3B73"/>
    <w:rsid w:val="008F7133"/>
    <w:rsid w:val="00900458"/>
    <w:rsid w:val="00912289"/>
    <w:rsid w:val="009130D2"/>
    <w:rsid w:val="00917931"/>
    <w:rsid w:val="0092412B"/>
    <w:rsid w:val="00925CFA"/>
    <w:rsid w:val="00926083"/>
    <w:rsid w:val="009267E7"/>
    <w:rsid w:val="00933BEC"/>
    <w:rsid w:val="00960105"/>
    <w:rsid w:val="0096426E"/>
    <w:rsid w:val="00964AD5"/>
    <w:rsid w:val="00966E3F"/>
    <w:rsid w:val="00977311"/>
    <w:rsid w:val="00984A59"/>
    <w:rsid w:val="00992520"/>
    <w:rsid w:val="00994808"/>
    <w:rsid w:val="00997542"/>
    <w:rsid w:val="00997952"/>
    <w:rsid w:val="009A0045"/>
    <w:rsid w:val="009A20C8"/>
    <w:rsid w:val="009A3D81"/>
    <w:rsid w:val="009B2D8D"/>
    <w:rsid w:val="009B326B"/>
    <w:rsid w:val="009B387E"/>
    <w:rsid w:val="009B6F65"/>
    <w:rsid w:val="009C5063"/>
    <w:rsid w:val="009C5465"/>
    <w:rsid w:val="009D16EF"/>
    <w:rsid w:val="009D2A6C"/>
    <w:rsid w:val="009D44D8"/>
    <w:rsid w:val="009E5698"/>
    <w:rsid w:val="009E5A7B"/>
    <w:rsid w:val="009E672F"/>
    <w:rsid w:val="009F4C2E"/>
    <w:rsid w:val="00A00548"/>
    <w:rsid w:val="00A03622"/>
    <w:rsid w:val="00A10B3A"/>
    <w:rsid w:val="00A133C5"/>
    <w:rsid w:val="00A20BD3"/>
    <w:rsid w:val="00A26AAD"/>
    <w:rsid w:val="00A3139E"/>
    <w:rsid w:val="00A36359"/>
    <w:rsid w:val="00A473A7"/>
    <w:rsid w:val="00A53925"/>
    <w:rsid w:val="00A575F5"/>
    <w:rsid w:val="00A60585"/>
    <w:rsid w:val="00A74223"/>
    <w:rsid w:val="00A7626F"/>
    <w:rsid w:val="00A811F6"/>
    <w:rsid w:val="00A84FAD"/>
    <w:rsid w:val="00A875F6"/>
    <w:rsid w:val="00AB6F24"/>
    <w:rsid w:val="00AC6AAD"/>
    <w:rsid w:val="00AC7293"/>
    <w:rsid w:val="00AD48D7"/>
    <w:rsid w:val="00AD6181"/>
    <w:rsid w:val="00AF1FA1"/>
    <w:rsid w:val="00AF3CD7"/>
    <w:rsid w:val="00AF4574"/>
    <w:rsid w:val="00B01923"/>
    <w:rsid w:val="00B10CB2"/>
    <w:rsid w:val="00B17B54"/>
    <w:rsid w:val="00B20CE5"/>
    <w:rsid w:val="00B21C68"/>
    <w:rsid w:val="00B2360D"/>
    <w:rsid w:val="00B42BFF"/>
    <w:rsid w:val="00B45274"/>
    <w:rsid w:val="00B61B51"/>
    <w:rsid w:val="00B6389F"/>
    <w:rsid w:val="00B64B3F"/>
    <w:rsid w:val="00B65D7D"/>
    <w:rsid w:val="00B702AC"/>
    <w:rsid w:val="00B935AA"/>
    <w:rsid w:val="00BA34A2"/>
    <w:rsid w:val="00BA6E51"/>
    <w:rsid w:val="00BB0D9C"/>
    <w:rsid w:val="00BB5E88"/>
    <w:rsid w:val="00BB66DD"/>
    <w:rsid w:val="00BB77EB"/>
    <w:rsid w:val="00BC251B"/>
    <w:rsid w:val="00BC5128"/>
    <w:rsid w:val="00BD40B6"/>
    <w:rsid w:val="00BD5D48"/>
    <w:rsid w:val="00BD660F"/>
    <w:rsid w:val="00BD7C51"/>
    <w:rsid w:val="00BF1567"/>
    <w:rsid w:val="00C115C8"/>
    <w:rsid w:val="00C20429"/>
    <w:rsid w:val="00C30621"/>
    <w:rsid w:val="00C3725F"/>
    <w:rsid w:val="00C42624"/>
    <w:rsid w:val="00C5051B"/>
    <w:rsid w:val="00C55642"/>
    <w:rsid w:val="00C62107"/>
    <w:rsid w:val="00C62BC0"/>
    <w:rsid w:val="00C62EDA"/>
    <w:rsid w:val="00C74303"/>
    <w:rsid w:val="00C75034"/>
    <w:rsid w:val="00C77D70"/>
    <w:rsid w:val="00C8480B"/>
    <w:rsid w:val="00C91EB0"/>
    <w:rsid w:val="00C96B07"/>
    <w:rsid w:val="00C9762B"/>
    <w:rsid w:val="00CA620F"/>
    <w:rsid w:val="00CB1A35"/>
    <w:rsid w:val="00CB5328"/>
    <w:rsid w:val="00CC1686"/>
    <w:rsid w:val="00CC7053"/>
    <w:rsid w:val="00CD3A06"/>
    <w:rsid w:val="00CD4872"/>
    <w:rsid w:val="00CE22B1"/>
    <w:rsid w:val="00D15086"/>
    <w:rsid w:val="00D213EF"/>
    <w:rsid w:val="00D26B6D"/>
    <w:rsid w:val="00D3612A"/>
    <w:rsid w:val="00D36270"/>
    <w:rsid w:val="00D5268E"/>
    <w:rsid w:val="00D53715"/>
    <w:rsid w:val="00D54FE7"/>
    <w:rsid w:val="00D65FCC"/>
    <w:rsid w:val="00D7194E"/>
    <w:rsid w:val="00D80823"/>
    <w:rsid w:val="00D858EC"/>
    <w:rsid w:val="00D92919"/>
    <w:rsid w:val="00D9298E"/>
    <w:rsid w:val="00DA0291"/>
    <w:rsid w:val="00DB2BF4"/>
    <w:rsid w:val="00DB52D1"/>
    <w:rsid w:val="00DB6EA8"/>
    <w:rsid w:val="00DC3D9C"/>
    <w:rsid w:val="00DD0A23"/>
    <w:rsid w:val="00DD2D53"/>
    <w:rsid w:val="00DE326B"/>
    <w:rsid w:val="00DF0403"/>
    <w:rsid w:val="00DF1820"/>
    <w:rsid w:val="00DF1AB5"/>
    <w:rsid w:val="00DF6245"/>
    <w:rsid w:val="00E15619"/>
    <w:rsid w:val="00E1668D"/>
    <w:rsid w:val="00E1714D"/>
    <w:rsid w:val="00E21E4C"/>
    <w:rsid w:val="00E23E86"/>
    <w:rsid w:val="00E24477"/>
    <w:rsid w:val="00E25739"/>
    <w:rsid w:val="00E26AAA"/>
    <w:rsid w:val="00E326E5"/>
    <w:rsid w:val="00E3357C"/>
    <w:rsid w:val="00E346ED"/>
    <w:rsid w:val="00E34927"/>
    <w:rsid w:val="00E34E93"/>
    <w:rsid w:val="00E41AD0"/>
    <w:rsid w:val="00E42EE0"/>
    <w:rsid w:val="00E478C3"/>
    <w:rsid w:val="00E574B0"/>
    <w:rsid w:val="00E57F61"/>
    <w:rsid w:val="00E67016"/>
    <w:rsid w:val="00E67E46"/>
    <w:rsid w:val="00E779AF"/>
    <w:rsid w:val="00E810F8"/>
    <w:rsid w:val="00E86F9B"/>
    <w:rsid w:val="00E878FB"/>
    <w:rsid w:val="00E978F2"/>
    <w:rsid w:val="00EA3EC7"/>
    <w:rsid w:val="00EA5E28"/>
    <w:rsid w:val="00EA7207"/>
    <w:rsid w:val="00EB0888"/>
    <w:rsid w:val="00EB10AB"/>
    <w:rsid w:val="00EB2426"/>
    <w:rsid w:val="00EB413E"/>
    <w:rsid w:val="00EB7059"/>
    <w:rsid w:val="00EC033C"/>
    <w:rsid w:val="00EC199B"/>
    <w:rsid w:val="00EC7D5B"/>
    <w:rsid w:val="00ED18A4"/>
    <w:rsid w:val="00ED32B4"/>
    <w:rsid w:val="00ED4096"/>
    <w:rsid w:val="00EF0A0A"/>
    <w:rsid w:val="00F02F92"/>
    <w:rsid w:val="00F13D81"/>
    <w:rsid w:val="00F25C85"/>
    <w:rsid w:val="00F25E1E"/>
    <w:rsid w:val="00F51B2E"/>
    <w:rsid w:val="00F51D9B"/>
    <w:rsid w:val="00F56C8B"/>
    <w:rsid w:val="00F624D5"/>
    <w:rsid w:val="00F673CE"/>
    <w:rsid w:val="00F70060"/>
    <w:rsid w:val="00F764C3"/>
    <w:rsid w:val="00F83D5C"/>
    <w:rsid w:val="00F879B6"/>
    <w:rsid w:val="00F9016C"/>
    <w:rsid w:val="00F938F1"/>
    <w:rsid w:val="00FA39BC"/>
    <w:rsid w:val="00FA66C4"/>
    <w:rsid w:val="00FA730F"/>
    <w:rsid w:val="00FB0B55"/>
    <w:rsid w:val="00FB4586"/>
    <w:rsid w:val="00FB75BC"/>
    <w:rsid w:val="00FB7679"/>
    <w:rsid w:val="00FC22AE"/>
    <w:rsid w:val="00FC3260"/>
    <w:rsid w:val="00FC3C9F"/>
    <w:rsid w:val="00FC76A4"/>
    <w:rsid w:val="00FD5D9A"/>
    <w:rsid w:val="00FE7DF1"/>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4DA7B"/>
  <w15:chartTrackingRefBased/>
  <w15:docId w15:val="{E5FF12D4-6B1E-456C-A20A-82E20D0F1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4C3"/>
    <w:pPr>
      <w:spacing w:after="0" w:line="240" w:lineRule="auto"/>
    </w:pPr>
    <w:rPr>
      <w:rFonts w:ascii="Calibri" w:eastAsia="Calibri" w:hAnsi="Calibri" w:cs="Calibri"/>
      <w:kern w:val="0"/>
      <w:lang w:eastAsia="en-IN" w:bidi="hi-IN"/>
      <w14:ligatures w14:val="none"/>
    </w:rPr>
  </w:style>
  <w:style w:type="paragraph" w:styleId="Heading1">
    <w:name w:val="heading 1"/>
    <w:basedOn w:val="Normal"/>
    <w:next w:val="Normal"/>
    <w:link w:val="Heading1Char"/>
    <w:uiPriority w:val="9"/>
    <w:qFormat/>
    <w:rsid w:val="005159BD"/>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bidi="ar-SA"/>
      <w14:ligatures w14:val="standardContextual"/>
    </w:rPr>
  </w:style>
  <w:style w:type="paragraph" w:styleId="Heading2">
    <w:name w:val="heading 2"/>
    <w:basedOn w:val="Normal"/>
    <w:next w:val="Normal"/>
    <w:link w:val="Heading2Char"/>
    <w:uiPriority w:val="9"/>
    <w:semiHidden/>
    <w:unhideWhenUsed/>
    <w:qFormat/>
    <w:rsid w:val="005159BD"/>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bidi="ar-SA"/>
      <w14:ligatures w14:val="standardContextual"/>
    </w:rPr>
  </w:style>
  <w:style w:type="paragraph" w:styleId="Heading3">
    <w:name w:val="heading 3"/>
    <w:basedOn w:val="Normal"/>
    <w:next w:val="Normal"/>
    <w:link w:val="Heading3Char"/>
    <w:uiPriority w:val="9"/>
    <w:semiHidden/>
    <w:unhideWhenUsed/>
    <w:qFormat/>
    <w:rsid w:val="005159BD"/>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bidi="ar-SA"/>
      <w14:ligatures w14:val="standardContextual"/>
    </w:rPr>
  </w:style>
  <w:style w:type="paragraph" w:styleId="Heading4">
    <w:name w:val="heading 4"/>
    <w:basedOn w:val="Normal"/>
    <w:next w:val="Normal"/>
    <w:link w:val="Heading4Char"/>
    <w:uiPriority w:val="9"/>
    <w:semiHidden/>
    <w:unhideWhenUsed/>
    <w:qFormat/>
    <w:rsid w:val="005159BD"/>
    <w:pPr>
      <w:keepNext/>
      <w:keepLines/>
      <w:spacing w:before="80" w:after="40" w:line="259" w:lineRule="auto"/>
      <w:outlineLvl w:val="3"/>
    </w:pPr>
    <w:rPr>
      <w:rFonts w:asciiTheme="minorHAnsi" w:eastAsiaTheme="majorEastAsia" w:hAnsiTheme="minorHAnsi" w:cstheme="majorBidi"/>
      <w:i/>
      <w:iCs/>
      <w:color w:val="2F5496" w:themeColor="accent1" w:themeShade="BF"/>
      <w:kern w:val="2"/>
      <w:lang w:eastAsia="en-US" w:bidi="ar-SA"/>
      <w14:ligatures w14:val="standardContextual"/>
    </w:rPr>
  </w:style>
  <w:style w:type="paragraph" w:styleId="Heading5">
    <w:name w:val="heading 5"/>
    <w:basedOn w:val="Normal"/>
    <w:next w:val="Normal"/>
    <w:link w:val="Heading5Char"/>
    <w:uiPriority w:val="9"/>
    <w:semiHidden/>
    <w:unhideWhenUsed/>
    <w:qFormat/>
    <w:rsid w:val="005159BD"/>
    <w:pPr>
      <w:keepNext/>
      <w:keepLines/>
      <w:spacing w:before="80" w:after="40" w:line="259" w:lineRule="auto"/>
      <w:outlineLvl w:val="4"/>
    </w:pPr>
    <w:rPr>
      <w:rFonts w:asciiTheme="minorHAnsi" w:eastAsiaTheme="majorEastAsia" w:hAnsiTheme="minorHAnsi" w:cstheme="majorBidi"/>
      <w:color w:val="2F5496" w:themeColor="accent1" w:themeShade="BF"/>
      <w:kern w:val="2"/>
      <w:lang w:eastAsia="en-US" w:bidi="ar-SA"/>
      <w14:ligatures w14:val="standardContextual"/>
    </w:rPr>
  </w:style>
  <w:style w:type="paragraph" w:styleId="Heading6">
    <w:name w:val="heading 6"/>
    <w:basedOn w:val="Normal"/>
    <w:next w:val="Normal"/>
    <w:link w:val="Heading6Char"/>
    <w:uiPriority w:val="9"/>
    <w:semiHidden/>
    <w:unhideWhenUsed/>
    <w:qFormat/>
    <w:rsid w:val="005159BD"/>
    <w:pPr>
      <w:keepNext/>
      <w:keepLines/>
      <w:spacing w:before="40" w:line="259" w:lineRule="auto"/>
      <w:outlineLvl w:val="5"/>
    </w:pPr>
    <w:rPr>
      <w:rFonts w:asciiTheme="minorHAnsi" w:eastAsiaTheme="majorEastAsia" w:hAnsiTheme="minorHAnsi" w:cstheme="majorBidi"/>
      <w:i/>
      <w:iCs/>
      <w:color w:val="595959" w:themeColor="text1" w:themeTint="A6"/>
      <w:kern w:val="2"/>
      <w:lang w:eastAsia="en-US" w:bidi="ar-SA"/>
      <w14:ligatures w14:val="standardContextual"/>
    </w:rPr>
  </w:style>
  <w:style w:type="paragraph" w:styleId="Heading7">
    <w:name w:val="heading 7"/>
    <w:basedOn w:val="Normal"/>
    <w:next w:val="Normal"/>
    <w:link w:val="Heading7Char"/>
    <w:uiPriority w:val="9"/>
    <w:semiHidden/>
    <w:unhideWhenUsed/>
    <w:qFormat/>
    <w:rsid w:val="005159BD"/>
    <w:pPr>
      <w:keepNext/>
      <w:keepLines/>
      <w:spacing w:before="40" w:line="259" w:lineRule="auto"/>
      <w:outlineLvl w:val="6"/>
    </w:pPr>
    <w:rPr>
      <w:rFonts w:asciiTheme="minorHAnsi" w:eastAsiaTheme="majorEastAsia" w:hAnsiTheme="minorHAnsi" w:cstheme="majorBidi"/>
      <w:color w:val="595959" w:themeColor="text1" w:themeTint="A6"/>
      <w:kern w:val="2"/>
      <w:lang w:eastAsia="en-US" w:bidi="ar-SA"/>
      <w14:ligatures w14:val="standardContextual"/>
    </w:rPr>
  </w:style>
  <w:style w:type="paragraph" w:styleId="Heading8">
    <w:name w:val="heading 8"/>
    <w:basedOn w:val="Normal"/>
    <w:next w:val="Normal"/>
    <w:link w:val="Heading8Char"/>
    <w:uiPriority w:val="9"/>
    <w:semiHidden/>
    <w:unhideWhenUsed/>
    <w:qFormat/>
    <w:rsid w:val="005159BD"/>
    <w:pPr>
      <w:keepNext/>
      <w:keepLines/>
      <w:spacing w:line="259" w:lineRule="auto"/>
      <w:outlineLvl w:val="7"/>
    </w:pPr>
    <w:rPr>
      <w:rFonts w:asciiTheme="minorHAnsi" w:eastAsiaTheme="majorEastAsia" w:hAnsiTheme="minorHAnsi" w:cstheme="majorBidi"/>
      <w:i/>
      <w:iCs/>
      <w:color w:val="272727" w:themeColor="text1" w:themeTint="D8"/>
      <w:kern w:val="2"/>
      <w:lang w:eastAsia="en-US" w:bidi="ar-SA"/>
      <w14:ligatures w14:val="standardContextual"/>
    </w:rPr>
  </w:style>
  <w:style w:type="paragraph" w:styleId="Heading9">
    <w:name w:val="heading 9"/>
    <w:basedOn w:val="Normal"/>
    <w:next w:val="Normal"/>
    <w:link w:val="Heading9Char"/>
    <w:uiPriority w:val="9"/>
    <w:semiHidden/>
    <w:unhideWhenUsed/>
    <w:qFormat/>
    <w:rsid w:val="005159BD"/>
    <w:pPr>
      <w:keepNext/>
      <w:keepLines/>
      <w:spacing w:line="259" w:lineRule="auto"/>
      <w:outlineLvl w:val="8"/>
    </w:pPr>
    <w:rPr>
      <w:rFonts w:asciiTheme="minorHAnsi" w:eastAsiaTheme="majorEastAsia" w:hAnsiTheme="minorHAnsi" w:cstheme="majorBidi"/>
      <w:color w:val="272727" w:themeColor="text1" w:themeTint="D8"/>
      <w:kern w:val="2"/>
      <w:lang w:eastAsia="en-US" w:bidi="ar-SA"/>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59B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159B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159B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159B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159B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159B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59B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59B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59BD"/>
    <w:rPr>
      <w:rFonts w:eastAsiaTheme="majorEastAsia" w:cstheme="majorBidi"/>
      <w:color w:val="272727" w:themeColor="text1" w:themeTint="D8"/>
    </w:rPr>
  </w:style>
  <w:style w:type="paragraph" w:styleId="Title">
    <w:name w:val="Title"/>
    <w:basedOn w:val="Normal"/>
    <w:next w:val="Normal"/>
    <w:link w:val="TitleChar"/>
    <w:uiPriority w:val="10"/>
    <w:qFormat/>
    <w:rsid w:val="005159BD"/>
    <w:pPr>
      <w:spacing w:after="80"/>
      <w:contextualSpacing/>
    </w:pPr>
    <w:rPr>
      <w:rFonts w:asciiTheme="majorHAnsi" w:eastAsiaTheme="majorEastAsia" w:hAnsiTheme="majorHAnsi" w:cstheme="majorBidi"/>
      <w:spacing w:val="-10"/>
      <w:kern w:val="28"/>
      <w:sz w:val="56"/>
      <w:szCs w:val="56"/>
      <w:lang w:eastAsia="en-US" w:bidi="ar-SA"/>
      <w14:ligatures w14:val="standardContextual"/>
    </w:rPr>
  </w:style>
  <w:style w:type="character" w:customStyle="1" w:styleId="TitleChar">
    <w:name w:val="Title Char"/>
    <w:basedOn w:val="DefaultParagraphFont"/>
    <w:link w:val="Title"/>
    <w:uiPriority w:val="10"/>
    <w:rsid w:val="005159B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59BD"/>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bidi="ar-SA"/>
      <w14:ligatures w14:val="standardContextual"/>
    </w:rPr>
  </w:style>
  <w:style w:type="character" w:customStyle="1" w:styleId="SubtitleChar">
    <w:name w:val="Subtitle Char"/>
    <w:basedOn w:val="DefaultParagraphFont"/>
    <w:link w:val="Subtitle"/>
    <w:uiPriority w:val="11"/>
    <w:rsid w:val="005159B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59BD"/>
    <w:pPr>
      <w:spacing w:before="160" w:after="160" w:line="259" w:lineRule="auto"/>
      <w:jc w:val="center"/>
    </w:pPr>
    <w:rPr>
      <w:rFonts w:asciiTheme="minorHAnsi" w:eastAsiaTheme="minorHAnsi" w:hAnsiTheme="minorHAnsi" w:cstheme="minorBidi"/>
      <w:i/>
      <w:iCs/>
      <w:color w:val="404040" w:themeColor="text1" w:themeTint="BF"/>
      <w:kern w:val="2"/>
      <w:lang w:eastAsia="en-US" w:bidi="ar-SA"/>
      <w14:ligatures w14:val="standardContextual"/>
    </w:rPr>
  </w:style>
  <w:style w:type="character" w:customStyle="1" w:styleId="QuoteChar">
    <w:name w:val="Quote Char"/>
    <w:basedOn w:val="DefaultParagraphFont"/>
    <w:link w:val="Quote"/>
    <w:uiPriority w:val="29"/>
    <w:rsid w:val="005159BD"/>
    <w:rPr>
      <w:i/>
      <w:iCs/>
      <w:color w:val="404040" w:themeColor="text1" w:themeTint="BF"/>
    </w:rPr>
  </w:style>
  <w:style w:type="paragraph" w:styleId="ListParagraph">
    <w:name w:val="List Paragraph"/>
    <w:basedOn w:val="Normal"/>
    <w:uiPriority w:val="34"/>
    <w:qFormat/>
    <w:rsid w:val="005159BD"/>
    <w:pPr>
      <w:spacing w:after="160" w:line="259" w:lineRule="auto"/>
      <w:ind w:left="720"/>
      <w:contextualSpacing/>
    </w:pPr>
    <w:rPr>
      <w:rFonts w:asciiTheme="minorHAnsi" w:eastAsiaTheme="minorHAnsi" w:hAnsiTheme="minorHAnsi" w:cstheme="minorBidi"/>
      <w:kern w:val="2"/>
      <w:lang w:eastAsia="en-US" w:bidi="ar-SA"/>
      <w14:ligatures w14:val="standardContextual"/>
    </w:rPr>
  </w:style>
  <w:style w:type="character" w:styleId="IntenseEmphasis">
    <w:name w:val="Intense Emphasis"/>
    <w:basedOn w:val="DefaultParagraphFont"/>
    <w:uiPriority w:val="21"/>
    <w:qFormat/>
    <w:rsid w:val="005159BD"/>
    <w:rPr>
      <w:i/>
      <w:iCs/>
      <w:color w:val="2F5496" w:themeColor="accent1" w:themeShade="BF"/>
    </w:rPr>
  </w:style>
  <w:style w:type="paragraph" w:styleId="IntenseQuote">
    <w:name w:val="Intense Quote"/>
    <w:basedOn w:val="Normal"/>
    <w:next w:val="Normal"/>
    <w:link w:val="IntenseQuoteChar"/>
    <w:uiPriority w:val="30"/>
    <w:qFormat/>
    <w:rsid w:val="005159BD"/>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lang w:eastAsia="en-US" w:bidi="ar-SA"/>
      <w14:ligatures w14:val="standardContextual"/>
    </w:rPr>
  </w:style>
  <w:style w:type="character" w:customStyle="1" w:styleId="IntenseQuoteChar">
    <w:name w:val="Intense Quote Char"/>
    <w:basedOn w:val="DefaultParagraphFont"/>
    <w:link w:val="IntenseQuote"/>
    <w:uiPriority w:val="30"/>
    <w:rsid w:val="005159BD"/>
    <w:rPr>
      <w:i/>
      <w:iCs/>
      <w:color w:val="2F5496" w:themeColor="accent1" w:themeShade="BF"/>
    </w:rPr>
  </w:style>
  <w:style w:type="character" w:styleId="IntenseReference">
    <w:name w:val="Intense Reference"/>
    <w:basedOn w:val="DefaultParagraphFont"/>
    <w:uiPriority w:val="32"/>
    <w:qFormat/>
    <w:rsid w:val="005159BD"/>
    <w:rPr>
      <w:b/>
      <w:bCs/>
      <w:smallCaps/>
      <w:color w:val="2F5496" w:themeColor="accent1" w:themeShade="BF"/>
      <w:spacing w:val="5"/>
    </w:rPr>
  </w:style>
  <w:style w:type="table" w:styleId="TableGrid">
    <w:name w:val="Table Grid"/>
    <w:basedOn w:val="TableNormal"/>
    <w:uiPriority w:val="39"/>
    <w:rsid w:val="00BB66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E478C3"/>
    <w:pPr>
      <w:spacing w:after="200"/>
    </w:pPr>
    <w:rPr>
      <w:rFonts w:cs="Mangal"/>
      <w:i/>
      <w:iCs/>
      <w:color w:val="44546A" w:themeColor="text2"/>
      <w:sz w:val="18"/>
      <w:szCs w:val="16"/>
    </w:rPr>
  </w:style>
  <w:style w:type="paragraph" w:styleId="NormalWeb">
    <w:name w:val="Normal (Web)"/>
    <w:basedOn w:val="Normal"/>
    <w:uiPriority w:val="99"/>
    <w:semiHidden/>
    <w:unhideWhenUsed/>
    <w:rsid w:val="00DF1820"/>
    <w:rPr>
      <w:rFonts w:ascii="Times New Roman" w:hAnsi="Times New Roman" w:cs="Mangal"/>
      <w:sz w:val="24"/>
      <w:szCs w:val="21"/>
    </w:rPr>
  </w:style>
  <w:style w:type="paragraph" w:styleId="Header">
    <w:name w:val="header"/>
    <w:basedOn w:val="Normal"/>
    <w:link w:val="HeaderChar"/>
    <w:uiPriority w:val="99"/>
    <w:unhideWhenUsed/>
    <w:rsid w:val="0011506D"/>
    <w:pPr>
      <w:tabs>
        <w:tab w:val="center" w:pos="4513"/>
        <w:tab w:val="right" w:pos="9026"/>
      </w:tabs>
    </w:pPr>
    <w:rPr>
      <w:rFonts w:cs="Mangal"/>
      <w:szCs w:val="20"/>
    </w:rPr>
  </w:style>
  <w:style w:type="character" w:customStyle="1" w:styleId="HeaderChar">
    <w:name w:val="Header Char"/>
    <w:basedOn w:val="DefaultParagraphFont"/>
    <w:link w:val="Header"/>
    <w:uiPriority w:val="99"/>
    <w:rsid w:val="0011506D"/>
    <w:rPr>
      <w:rFonts w:ascii="Calibri" w:eastAsia="Calibri" w:hAnsi="Calibri" w:cs="Mangal"/>
      <w:kern w:val="0"/>
      <w:szCs w:val="20"/>
      <w:lang w:eastAsia="en-IN" w:bidi="hi-IN"/>
      <w14:ligatures w14:val="none"/>
    </w:rPr>
  </w:style>
  <w:style w:type="paragraph" w:styleId="Footer">
    <w:name w:val="footer"/>
    <w:basedOn w:val="Normal"/>
    <w:link w:val="FooterChar"/>
    <w:uiPriority w:val="99"/>
    <w:unhideWhenUsed/>
    <w:rsid w:val="0011506D"/>
    <w:pPr>
      <w:tabs>
        <w:tab w:val="center" w:pos="4513"/>
        <w:tab w:val="right" w:pos="9026"/>
      </w:tabs>
    </w:pPr>
    <w:rPr>
      <w:rFonts w:cs="Mangal"/>
      <w:szCs w:val="20"/>
    </w:rPr>
  </w:style>
  <w:style w:type="character" w:customStyle="1" w:styleId="FooterChar">
    <w:name w:val="Footer Char"/>
    <w:basedOn w:val="DefaultParagraphFont"/>
    <w:link w:val="Footer"/>
    <w:uiPriority w:val="99"/>
    <w:rsid w:val="0011506D"/>
    <w:rPr>
      <w:rFonts w:ascii="Calibri" w:eastAsia="Calibri" w:hAnsi="Calibri" w:cs="Mangal"/>
      <w:kern w:val="0"/>
      <w:szCs w:val="20"/>
      <w:lang w:eastAsia="en-IN" w:bidi="hi-IN"/>
      <w14:ligatures w14:val="none"/>
    </w:rPr>
  </w:style>
  <w:style w:type="character" w:styleId="Hyperlink">
    <w:name w:val="Hyperlink"/>
    <w:basedOn w:val="DefaultParagraphFont"/>
    <w:uiPriority w:val="99"/>
    <w:unhideWhenUsed/>
    <w:rsid w:val="008E41AE"/>
    <w:rPr>
      <w:color w:val="0563C1" w:themeColor="hyperlink"/>
      <w:u w:val="single"/>
    </w:rPr>
  </w:style>
  <w:style w:type="character" w:styleId="UnresolvedMention">
    <w:name w:val="Unresolved Mention"/>
    <w:basedOn w:val="DefaultParagraphFont"/>
    <w:uiPriority w:val="99"/>
    <w:semiHidden/>
    <w:unhideWhenUsed/>
    <w:rsid w:val="008E41AE"/>
    <w:rPr>
      <w:color w:val="605E5C"/>
      <w:shd w:val="clear" w:color="auto" w:fill="E1DFDD"/>
    </w:rPr>
  </w:style>
  <w:style w:type="character" w:styleId="FollowedHyperlink">
    <w:name w:val="FollowedHyperlink"/>
    <w:basedOn w:val="DefaultParagraphFont"/>
    <w:uiPriority w:val="99"/>
    <w:semiHidden/>
    <w:unhideWhenUsed/>
    <w:rsid w:val="0042297D"/>
    <w:rPr>
      <w:color w:val="954F72" w:themeColor="followedHyperlink"/>
      <w:u w:val="single"/>
    </w:rPr>
  </w:style>
  <w:style w:type="paragraph" w:customStyle="1" w:styleId="Author">
    <w:name w:val="Author"/>
    <w:basedOn w:val="Normal"/>
    <w:rsid w:val="00F51D9B"/>
    <w:pPr>
      <w:spacing w:line="280" w:lineRule="exact"/>
      <w:jc w:val="right"/>
    </w:pPr>
    <w:rPr>
      <w:rFonts w:ascii="Helvetica" w:eastAsia="Times New Roman" w:hAnsi="Helvetica" w:cs="Times New Roman"/>
      <w:b/>
      <w:sz w:val="24"/>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doi.org/10.1111/j.1462-2920.2007.01424.x" TargetMode="External"/><Relationship Id="rId21" Type="http://schemas.openxmlformats.org/officeDocument/2006/relationships/hyperlink" Target="https://agris.fao.org/search/en/providers/125814/records/694275c7f2f3b9724406900f" TargetMode="External"/><Relationship Id="rId42" Type="http://schemas.openxmlformats.org/officeDocument/2006/relationships/hyperlink" Target="https://doi.org/10.1094/PDIS.1997.81.8.836" TargetMode="External"/><Relationship Id="rId47" Type="http://schemas.openxmlformats.org/officeDocument/2006/relationships/hyperlink" Target="https://doi.org/10.1371/journal.pone.0035498" TargetMode="External"/><Relationship Id="rId63" Type="http://schemas.openxmlformats.org/officeDocument/2006/relationships/hyperlink" Target="https://doi.org/10.3389/fagro.2022.896307" TargetMode="External"/><Relationship Id="rId68" Type="http://schemas.openxmlformats.org/officeDocument/2006/relationships/hyperlink" Target="https://doi.org/10.1016/j.micres.2020.126562" TargetMode="External"/><Relationship Id="rId84" Type="http://schemas.openxmlformats.org/officeDocument/2006/relationships/footer" Target="footer2.xml"/><Relationship Id="rId16" Type="http://schemas.openxmlformats.org/officeDocument/2006/relationships/hyperlink" Target="https://doi.org/10.1126/science.aaw9285" TargetMode="External"/><Relationship Id="rId11" Type="http://schemas.openxmlformats.org/officeDocument/2006/relationships/hyperlink" Target="https://doi.org/10.1016/j.cell.2018.02.024" TargetMode="External"/><Relationship Id="rId32" Type="http://schemas.openxmlformats.org/officeDocument/2006/relationships/hyperlink" Target="https://doi.org/10.1038/s41564-023-01502-y" TargetMode="External"/><Relationship Id="rId37" Type="http://schemas.openxmlformats.org/officeDocument/2006/relationships/hyperlink" Target="https://doi.org/10.3389/fmicb.2020.01619" TargetMode="External"/><Relationship Id="rId53" Type="http://schemas.openxmlformats.org/officeDocument/2006/relationships/hyperlink" Target="https://doi.org/10.1146/annurev-phyto-082712-102340" TargetMode="External"/><Relationship Id="rId58" Type="http://schemas.openxmlformats.org/officeDocument/2006/relationships/hyperlink" Target="https://doi.org/10.1016/j.apsoil.2021.104191" TargetMode="External"/><Relationship Id="rId74" Type="http://schemas.openxmlformats.org/officeDocument/2006/relationships/hyperlink" Target="https://doi.org/10.1186/s12870-024-04910-2" TargetMode="External"/><Relationship Id="rId79" Type="http://schemas.openxmlformats.org/officeDocument/2006/relationships/hyperlink" Target="https://doi.org/10.5376/mmr.2024.14.0014" TargetMode="External"/><Relationship Id="rId5" Type="http://schemas.openxmlformats.org/officeDocument/2006/relationships/webSettings" Target="webSettings.xml"/><Relationship Id="rId19" Type="http://schemas.openxmlformats.org/officeDocument/2006/relationships/hyperlink" Target="https://doi.org/10.1007/BF02825358" TargetMode="External"/><Relationship Id="rId14" Type="http://schemas.openxmlformats.org/officeDocument/2006/relationships/hyperlink" Target="https://doi.org/10.12691/aees-9-10-3" TargetMode="External"/><Relationship Id="rId22" Type="http://schemas.openxmlformats.org/officeDocument/2006/relationships/hyperlink" Target="https://doi.org/10.1111/nph.70112" TargetMode="External"/><Relationship Id="rId27" Type="http://schemas.openxmlformats.org/officeDocument/2006/relationships/hyperlink" Target="https://doi.org/10.1038/s41467-023-43793-z" TargetMode="External"/><Relationship Id="rId30" Type="http://schemas.openxmlformats.org/officeDocument/2006/relationships/hyperlink" Target="https://doi.org/10.1073/pnas.2221508120" TargetMode="External"/><Relationship Id="rId35" Type="http://schemas.openxmlformats.org/officeDocument/2006/relationships/hyperlink" Target="https://doi.org/10.1093/jxb/erad448" TargetMode="External"/><Relationship Id="rId43" Type="http://schemas.openxmlformats.org/officeDocument/2006/relationships/hyperlink" Target="https://doi.org/10.1038/ismej.2017.158" TargetMode="External"/><Relationship Id="rId48" Type="http://schemas.openxmlformats.org/officeDocument/2006/relationships/hyperlink" Target="https://doi.org/10.1016/j.pmpp.2025.102916" TargetMode="External"/><Relationship Id="rId56" Type="http://schemas.openxmlformats.org/officeDocument/2006/relationships/hyperlink" Target="https://doi.org/10.1016/j.mib.2019.10.003" TargetMode="External"/><Relationship Id="rId64" Type="http://schemas.openxmlformats.org/officeDocument/2006/relationships/hyperlink" Target="https://doi.org/10.1016/j.pbi.2021.102025" TargetMode="External"/><Relationship Id="rId69" Type="http://schemas.openxmlformats.org/officeDocument/2006/relationships/hyperlink" Target="https://doi.org/10.1111/nph.18016" TargetMode="External"/><Relationship Id="rId77" Type="http://schemas.openxmlformats.org/officeDocument/2006/relationships/hyperlink" Target="https://doi.org/10.55627/pbiotech.002.01.0786" TargetMode="External"/><Relationship Id="rId8" Type="http://schemas.openxmlformats.org/officeDocument/2006/relationships/hyperlink" Target="https://doi.org/10.3389/fmicb.2022.879739" TargetMode="External"/><Relationship Id="rId51" Type="http://schemas.openxmlformats.org/officeDocument/2006/relationships/hyperlink" Target="https://doi.org/10.3390/ijms22136852" TargetMode="External"/><Relationship Id="rId72" Type="http://schemas.openxmlformats.org/officeDocument/2006/relationships/hyperlink" Target="https://doi.org/10.1038/s41564-021-00997-7" TargetMode="External"/><Relationship Id="rId80" Type="http://schemas.openxmlformats.org/officeDocument/2006/relationships/hyperlink" Target="https://doi.org/10.1038/s41467-022-35452-6" TargetMode="External"/><Relationship Id="rId85" Type="http://schemas.openxmlformats.org/officeDocument/2006/relationships/header" Target="header3.xml"/><Relationship Id="rId3" Type="http://schemas.openxmlformats.org/officeDocument/2006/relationships/styles" Target="styles.xml"/><Relationship Id="rId12" Type="http://schemas.openxmlformats.org/officeDocument/2006/relationships/hyperlink" Target="https://doi.org/10.7554/eLife.73870" TargetMode="External"/><Relationship Id="rId17" Type="http://schemas.openxmlformats.org/officeDocument/2006/relationships/hyperlink" Target="https://doi.org/10.1038/ismej.2015.95" TargetMode="External"/><Relationship Id="rId25" Type="http://schemas.openxmlformats.org/officeDocument/2006/relationships/hyperlink" Target="https://doi.org/10.1016/j.ijpara.2019.09.001" TargetMode="External"/><Relationship Id="rId33" Type="http://schemas.openxmlformats.org/officeDocument/2006/relationships/hyperlink" Target="https://doi.org/10.1128/MMBR.00050-14" TargetMode="External"/><Relationship Id="rId38" Type="http://schemas.openxmlformats.org/officeDocument/2006/relationships/hyperlink" Target="https://doi.org/10.1038/s41396-021-01126-2" TargetMode="External"/><Relationship Id="rId46" Type="http://schemas.openxmlformats.org/officeDocument/2006/relationships/hyperlink" Target="https://doi.org/10.9734/jamb/2025/v25i5942" TargetMode="External"/><Relationship Id="rId59" Type="http://schemas.openxmlformats.org/officeDocument/2006/relationships/hyperlink" Target="https://doi.org/10.1186/s12870-025-06935-7" TargetMode="External"/><Relationship Id="rId67" Type="http://schemas.openxmlformats.org/officeDocument/2006/relationships/hyperlink" Target="https://doi.org/10.56557/pcbmb/2025/v26i9-109828" TargetMode="External"/><Relationship Id="rId20" Type="http://schemas.openxmlformats.org/officeDocument/2006/relationships/hyperlink" Target="https://doi.org/10.1103/PhysRevE.104.034416" TargetMode="External"/><Relationship Id="rId41" Type="http://schemas.openxmlformats.org/officeDocument/2006/relationships/hyperlink" Target="https://doi.org/10.1111/1574-6968.12406" TargetMode="External"/><Relationship Id="rId54" Type="http://schemas.openxmlformats.org/officeDocument/2006/relationships/hyperlink" Target="https://doi.org/10.1111/jam.15799" TargetMode="External"/><Relationship Id="rId62" Type="http://schemas.openxmlformats.org/officeDocument/2006/relationships/hyperlink" Target="https://doi.org/10.1007/s11274-025-04460-1" TargetMode="External"/><Relationship Id="rId70" Type="http://schemas.openxmlformats.org/officeDocument/2006/relationships/hyperlink" Target="https://doi.org/10.1038/s41579-020-0412-1" TargetMode="External"/><Relationship Id="rId75" Type="http://schemas.openxmlformats.org/officeDocument/2006/relationships/hyperlink" Target="https://doi.org/10.1016/j.molp.2023.08.004" TargetMode="External"/><Relationship Id="rId83" Type="http://schemas.openxmlformats.org/officeDocument/2006/relationships/footer" Target="footer1.xm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3389/fmicb.2014.00219" TargetMode="External"/><Relationship Id="rId23" Type="http://schemas.openxmlformats.org/officeDocument/2006/relationships/hyperlink" Target="https://doi.org/10.1046/j.1469-8137.1999.00542.x" TargetMode="External"/><Relationship Id="rId28" Type="http://schemas.openxmlformats.org/officeDocument/2006/relationships/hyperlink" Target="https://doi.org/10.1093/aob/mcag002" TargetMode="External"/><Relationship Id="rId36" Type="http://schemas.openxmlformats.org/officeDocument/2006/relationships/hyperlink" Target="https://doi.org/10.1038/nbt.4232" TargetMode="External"/><Relationship Id="rId49" Type="http://schemas.openxmlformats.org/officeDocument/2006/relationships/hyperlink" Target="https://doi.org/10.1111/evo.13230" TargetMode="External"/><Relationship Id="rId57" Type="http://schemas.openxmlformats.org/officeDocument/2006/relationships/hyperlink" Target="https://doi.org/10.1104/pp.108.127613" TargetMode="External"/><Relationship Id="rId10" Type="http://schemas.openxmlformats.org/officeDocument/2006/relationships/hyperlink" Target="https://doi.org/10.1371/journal.pone.0046802" TargetMode="External"/><Relationship Id="rId31" Type="http://schemas.openxmlformats.org/officeDocument/2006/relationships/hyperlink" Target="https://doi.org/10.1016/j.soilbio.2021.108534" TargetMode="External"/><Relationship Id="rId44" Type="http://schemas.openxmlformats.org/officeDocument/2006/relationships/hyperlink" Target="https://doi.org/10.1126/science.1203980" TargetMode="External"/><Relationship Id="rId52" Type="http://schemas.openxmlformats.org/officeDocument/2006/relationships/hyperlink" Target="https://doi.org/10.1038/s41477-023-01501-1" TargetMode="External"/><Relationship Id="rId60" Type="http://schemas.openxmlformats.org/officeDocument/2006/relationships/hyperlink" Target="https://doi.org/10.1016/j.tplants.2017.09.003" TargetMode="External"/><Relationship Id="rId65" Type="http://schemas.openxmlformats.org/officeDocument/2006/relationships/hyperlink" Target="https://doi.org/10.1146/annurev-phyto-021622-100127" TargetMode="External"/><Relationship Id="rId73" Type="http://schemas.openxmlformats.org/officeDocument/2006/relationships/hyperlink" Target="https://doi.org/10.1038/ncomms9413" TargetMode="External"/><Relationship Id="rId78" Type="http://schemas.openxmlformats.org/officeDocument/2006/relationships/hyperlink" Target="https://doi.org/10.1038/s41596-020-00444-7" TargetMode="External"/><Relationship Id="rId81" Type="http://schemas.openxmlformats.org/officeDocument/2006/relationships/header" Target="header1.xml"/><Relationship Id="rId86"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doi.org/10.3390/microorganisms11020392" TargetMode="External"/><Relationship Id="rId13" Type="http://schemas.openxmlformats.org/officeDocument/2006/relationships/hyperlink" Target="https://doi.org/10.1038/s41396-018-0093-1" TargetMode="External"/><Relationship Id="rId18" Type="http://schemas.openxmlformats.org/officeDocument/2006/relationships/hyperlink" Target="https://doi.org/10.1038/ismej.2015.82" TargetMode="External"/><Relationship Id="rId39" Type="http://schemas.openxmlformats.org/officeDocument/2006/relationships/hyperlink" Target="https://doi.org/10.1094/MPMI-07-16-0131-R" TargetMode="External"/><Relationship Id="rId34" Type="http://schemas.openxmlformats.org/officeDocument/2006/relationships/hyperlink" Target="https://doi.org/10.1038/s41467-018-05122-7" TargetMode="External"/><Relationship Id="rId50" Type="http://schemas.openxmlformats.org/officeDocument/2006/relationships/hyperlink" Target="https://doi.org/10.15252/embr.202255380" TargetMode="External"/><Relationship Id="rId55" Type="http://schemas.openxmlformats.org/officeDocument/2006/relationships/hyperlink" Target="https://doi.org/10.3389/fmicb.2022.967885" TargetMode="External"/><Relationship Id="rId76" Type="http://schemas.openxmlformats.org/officeDocument/2006/relationships/hyperlink" Target="https://doi.org/10.3389/fmicb.2022.908981" TargetMode="External"/><Relationship Id="rId7" Type="http://schemas.openxmlformats.org/officeDocument/2006/relationships/endnotes" Target="endnotes.xml"/><Relationship Id="rId71" Type="http://schemas.openxmlformats.org/officeDocument/2006/relationships/hyperlink" Target="https://doi.org/10.1007/s00299-019-02447-5" TargetMode="External"/><Relationship Id="rId2" Type="http://schemas.openxmlformats.org/officeDocument/2006/relationships/numbering" Target="numbering.xml"/><Relationship Id="rId29" Type="http://schemas.openxmlformats.org/officeDocument/2006/relationships/hyperlink" Target="https://doi.org/10.3390/microorganisms9122456" TargetMode="External"/><Relationship Id="rId24" Type="http://schemas.openxmlformats.org/officeDocument/2006/relationships/hyperlink" Target="https://doi.org/10.1007/s10327-024-01204-1" TargetMode="External"/><Relationship Id="rId40" Type="http://schemas.openxmlformats.org/officeDocument/2006/relationships/hyperlink" Target="https://doi.org/10.1080/21501203.2018.1477849" TargetMode="External"/><Relationship Id="rId45" Type="http://schemas.openxmlformats.org/officeDocument/2006/relationships/hyperlink" Target="https://doi.org/10.3389/fpls.2021.756368" TargetMode="External"/><Relationship Id="rId66" Type="http://schemas.openxmlformats.org/officeDocument/2006/relationships/hyperlink" Target="https://doi.org/10.1073/pnas.1722335115" TargetMode="External"/><Relationship Id="rId87" Type="http://schemas.openxmlformats.org/officeDocument/2006/relationships/fontTable" Target="fontTable.xml"/><Relationship Id="rId61" Type="http://schemas.openxmlformats.org/officeDocument/2006/relationships/hyperlink" Target="https://doi.org/10.1038/s41396-017-0035-3" TargetMode="External"/><Relationship Id="rId8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962B8-390B-43C3-8EF3-8B7A1D7E4D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3513</TotalTime>
  <Pages>28</Pages>
  <Words>15817</Words>
  <Characters>90157</Characters>
  <Application>Microsoft Office Word</Application>
  <DocSecurity>0</DocSecurity>
  <Lines>751</Lines>
  <Paragraphs>211</Paragraphs>
  <ScaleCrop>false</ScaleCrop>
  <Company/>
  <LinksUpToDate>false</LinksUpToDate>
  <CharactersWithSpaces>105763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RABIRANJAN SETHI</dc:creator>
  <cp:keywords/>
  <dc:description/>
  <cp:lastModifiedBy>SDI 1087</cp:lastModifiedBy>
  <cp:revision>426</cp:revision>
  <dcterms:created xsi:type="dcterms:W3CDTF">2026-08-23T15:34:00Z</dcterms:created>
  <dcterms:modified xsi:type="dcterms:W3CDTF">2026-10-07T09:54:00Z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44089481-c83c-4e39-a968-83e8409abdee</vt:lpwstr>
  </property>
</Properties>
</file>