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6FDB" w14:textId="77777777" w:rsidR="00EF3558" w:rsidRPr="00A757FB" w:rsidRDefault="00EF3558" w:rsidP="00254311">
      <w:pPr>
        <w:spacing w:line="360" w:lineRule="auto"/>
        <w:jc w:val="center"/>
        <w:rPr>
          <w:b/>
          <w:sz w:val="24"/>
          <w:szCs w:val="24"/>
        </w:rPr>
      </w:pPr>
      <w:r w:rsidRPr="00A757FB">
        <w:rPr>
          <w:b/>
          <w:sz w:val="24"/>
          <w:szCs w:val="24"/>
        </w:rPr>
        <w:t>EFFECT OF FEED FORTIFIED WITH COOKED, UNCOOKED, AND GRILLED GROUNDNUT SEEDS (</w:t>
      </w:r>
      <w:r w:rsidR="00504618" w:rsidRPr="00A757FB">
        <w:rPr>
          <w:b/>
          <w:i/>
          <w:sz w:val="24"/>
          <w:szCs w:val="24"/>
        </w:rPr>
        <w:t>ARACHIS HYPOGAEA</w:t>
      </w:r>
      <w:r w:rsidRPr="00A757FB">
        <w:rPr>
          <w:b/>
          <w:sz w:val="24"/>
          <w:szCs w:val="24"/>
        </w:rPr>
        <w:t>) ON LIPID PROFILE OF WISTAR RATS</w:t>
      </w:r>
    </w:p>
    <w:p w14:paraId="35A81554" w14:textId="77777777" w:rsidR="00EF3558" w:rsidRDefault="00EF3558" w:rsidP="00EF3558">
      <w:pPr>
        <w:pStyle w:val="BodyText"/>
        <w:spacing w:line="360" w:lineRule="auto"/>
        <w:ind w:right="552"/>
        <w:jc w:val="both"/>
        <w:rPr>
          <w:b/>
          <w:sz w:val="24"/>
          <w:szCs w:val="24"/>
        </w:rPr>
      </w:pPr>
    </w:p>
    <w:p w14:paraId="0C46F928" w14:textId="77777777" w:rsidR="006F6886" w:rsidRPr="00A757FB" w:rsidRDefault="006F6886" w:rsidP="00EF3558">
      <w:pPr>
        <w:pStyle w:val="BodyText"/>
        <w:spacing w:line="360" w:lineRule="auto"/>
        <w:ind w:right="552"/>
        <w:jc w:val="both"/>
        <w:rPr>
          <w:b/>
          <w:sz w:val="24"/>
          <w:szCs w:val="24"/>
        </w:rPr>
      </w:pPr>
    </w:p>
    <w:p w14:paraId="19D12B81" w14:textId="77777777" w:rsidR="00EF3558" w:rsidRPr="00A757FB" w:rsidRDefault="00EF3558" w:rsidP="00EF3558">
      <w:pPr>
        <w:pStyle w:val="BodyText"/>
        <w:spacing w:line="360" w:lineRule="auto"/>
        <w:ind w:right="552"/>
        <w:jc w:val="both"/>
        <w:rPr>
          <w:b/>
          <w:sz w:val="24"/>
          <w:szCs w:val="24"/>
        </w:rPr>
      </w:pPr>
      <w:r w:rsidRPr="00A757FB">
        <w:rPr>
          <w:b/>
          <w:sz w:val="24"/>
          <w:szCs w:val="24"/>
        </w:rPr>
        <w:t>ABSTRACT</w:t>
      </w:r>
    </w:p>
    <w:p w14:paraId="087EC1A4" w14:textId="77777777" w:rsidR="006941C9" w:rsidRPr="00A757FB" w:rsidRDefault="006941C9" w:rsidP="006941C9">
      <w:pPr>
        <w:jc w:val="both"/>
        <w:rPr>
          <w:rFonts w:eastAsia="Times New Roman"/>
          <w:sz w:val="24"/>
          <w:szCs w:val="24"/>
          <w:lang w:eastAsia="zh-CN"/>
        </w:rPr>
      </w:pPr>
      <w:r>
        <w:rPr>
          <w:rFonts w:eastAsia="Times New Roman"/>
          <w:sz w:val="24"/>
          <w:szCs w:val="24"/>
          <w:lang w:eastAsia="zh-CN"/>
        </w:rPr>
        <w:t>Diet contribut</w:t>
      </w:r>
      <w:r>
        <w:rPr>
          <w:rFonts w:eastAsia="Times New Roman"/>
          <w:sz w:val="24"/>
          <w:szCs w:val="24"/>
          <w:highlight w:val="yellow"/>
          <w:lang w:eastAsia="zh-CN"/>
        </w:rPr>
        <w:t>es</w:t>
      </w:r>
      <w:r>
        <w:rPr>
          <w:rFonts w:eastAsia="Times New Roman"/>
          <w:sz w:val="24"/>
          <w:szCs w:val="24"/>
          <w:lang w:eastAsia="zh-CN"/>
        </w:rPr>
        <w:t xml:space="preserve"> to cardiovascular function </w:t>
      </w:r>
      <w:r>
        <w:rPr>
          <w:rFonts w:eastAsia="Times New Roman"/>
          <w:sz w:val="24"/>
          <w:szCs w:val="24"/>
          <w:highlight w:val="yellow"/>
          <w:lang w:eastAsia="zh-CN"/>
        </w:rPr>
        <w:t>by</w:t>
      </w:r>
      <w:r>
        <w:rPr>
          <w:rFonts w:eastAsia="Times New Roman"/>
          <w:sz w:val="24"/>
          <w:szCs w:val="24"/>
          <w:lang w:eastAsia="zh-CN"/>
        </w:rPr>
        <w:t xml:space="preserve"> regulat</w:t>
      </w:r>
      <w:r>
        <w:rPr>
          <w:rFonts w:eastAsia="Times New Roman"/>
          <w:sz w:val="24"/>
          <w:szCs w:val="24"/>
          <w:highlight w:val="yellow"/>
          <w:lang w:eastAsia="zh-CN"/>
        </w:rPr>
        <w:t>i</w:t>
      </w:r>
      <w:r>
        <w:rPr>
          <w:rFonts w:eastAsia="Times New Roman"/>
          <w:sz w:val="24"/>
          <w:szCs w:val="24"/>
          <w:lang w:eastAsia="zh-CN"/>
        </w:rPr>
        <w:t>n</w:t>
      </w:r>
      <w:r>
        <w:rPr>
          <w:rFonts w:eastAsia="Times New Roman"/>
          <w:sz w:val="24"/>
          <w:szCs w:val="24"/>
          <w:highlight w:val="yellow"/>
          <w:lang w:eastAsia="zh-CN"/>
        </w:rPr>
        <w:t>g</w:t>
      </w:r>
      <w:r>
        <w:rPr>
          <w:rFonts w:eastAsia="Times New Roman"/>
          <w:sz w:val="24"/>
          <w:szCs w:val="24"/>
          <w:lang w:eastAsia="zh-CN"/>
        </w:rPr>
        <w:t xml:space="preserve"> blood lipid and lipoprotei</w:t>
      </w:r>
      <w:r>
        <w:rPr>
          <w:rFonts w:eastAsia="Times New Roman"/>
          <w:sz w:val="24"/>
          <w:szCs w:val="24"/>
          <w:highlight w:val="yellow"/>
          <w:lang w:eastAsia="zh-CN"/>
        </w:rPr>
        <w:t>n concentratio</w:t>
      </w:r>
      <w:r>
        <w:rPr>
          <w:rFonts w:eastAsia="Times New Roman"/>
          <w:sz w:val="24"/>
          <w:szCs w:val="24"/>
          <w:lang w:eastAsia="zh-CN"/>
        </w:rPr>
        <w:t>ns. This study investigated the effects of diets fortified with cooked, uncooked, and grilled groundnut (</w:t>
      </w:r>
      <w:r>
        <w:rPr>
          <w:rFonts w:eastAsia="Times New Roman"/>
          <w:i/>
          <w:iCs/>
          <w:sz w:val="24"/>
          <w:szCs w:val="24"/>
          <w:lang w:eastAsia="zh-CN"/>
        </w:rPr>
        <w:t>A. hypogaea</w:t>
      </w:r>
      <w:r>
        <w:rPr>
          <w:rFonts w:eastAsia="Times New Roman"/>
          <w:sz w:val="24"/>
          <w:szCs w:val="24"/>
          <w:lang w:eastAsia="zh-CN"/>
        </w:rPr>
        <w:t>) seeds on the serum lipid profile of Wistar rats. Thirty-five (35) rats were randomly a</w:t>
      </w:r>
      <w:r>
        <w:rPr>
          <w:rFonts w:eastAsia="Times New Roman"/>
          <w:sz w:val="24"/>
          <w:szCs w:val="24"/>
          <w:highlight w:val="yellow"/>
          <w:lang w:eastAsia="zh-CN"/>
        </w:rPr>
        <w:t>llocat</w:t>
      </w:r>
      <w:r>
        <w:rPr>
          <w:rFonts w:eastAsia="Times New Roman"/>
          <w:sz w:val="24"/>
          <w:szCs w:val="24"/>
          <w:lang w:eastAsia="zh-CN"/>
        </w:rPr>
        <w:t>ed to seven (7) groups (A</w:t>
      </w:r>
      <w:r>
        <w:rPr>
          <w:rFonts w:eastAsia="Times New Roman"/>
          <w:sz w:val="24"/>
          <w:szCs w:val="24"/>
          <w:highlight w:val="yellow"/>
          <w:lang w:eastAsia="zh-CN"/>
        </w:rPr>
        <w:t>–</w:t>
      </w:r>
      <w:r>
        <w:rPr>
          <w:rFonts w:eastAsia="Times New Roman"/>
          <w:sz w:val="24"/>
          <w:szCs w:val="24"/>
          <w:lang w:eastAsia="zh-CN"/>
        </w:rPr>
        <w:t xml:space="preserve">G), with five (5) rats per group. </w:t>
      </w:r>
      <w:r>
        <w:rPr>
          <w:rFonts w:eastAsia="Times New Roman"/>
          <w:sz w:val="24"/>
          <w:szCs w:val="24"/>
          <w:highlight w:val="yellow"/>
          <w:lang w:eastAsia="zh-CN"/>
        </w:rPr>
        <w:t>R</w:t>
      </w:r>
      <w:r>
        <w:rPr>
          <w:rFonts w:eastAsia="Times New Roman"/>
          <w:sz w:val="24"/>
          <w:szCs w:val="24"/>
          <w:lang w:eastAsia="zh-CN"/>
        </w:rPr>
        <w:t xml:space="preserve">ats in group A </w:t>
      </w:r>
      <w:r>
        <w:rPr>
          <w:rFonts w:eastAsia="Times New Roman"/>
          <w:sz w:val="24"/>
          <w:szCs w:val="24"/>
          <w:highlight w:val="yellow"/>
          <w:lang w:eastAsia="zh-CN"/>
        </w:rPr>
        <w:t>s</w:t>
      </w:r>
      <w:r>
        <w:rPr>
          <w:rFonts w:eastAsia="Times New Roman"/>
          <w:sz w:val="24"/>
          <w:szCs w:val="24"/>
          <w:lang w:eastAsia="zh-CN"/>
        </w:rPr>
        <w:t>er</w:t>
      </w:r>
      <w:r>
        <w:rPr>
          <w:rFonts w:eastAsia="Times New Roman"/>
          <w:sz w:val="24"/>
          <w:szCs w:val="24"/>
          <w:highlight w:val="yellow"/>
          <w:lang w:eastAsia="zh-CN"/>
        </w:rPr>
        <w:t>v</w:t>
      </w:r>
      <w:r>
        <w:rPr>
          <w:rFonts w:eastAsia="Times New Roman"/>
          <w:sz w:val="24"/>
          <w:szCs w:val="24"/>
          <w:lang w:eastAsia="zh-CN"/>
        </w:rPr>
        <w:t>ed as normal controls (NC), while groups B</w:t>
      </w:r>
      <w:r>
        <w:rPr>
          <w:rFonts w:eastAsia="Times New Roman"/>
          <w:sz w:val="24"/>
          <w:szCs w:val="24"/>
          <w:highlight w:val="yellow"/>
          <w:lang w:eastAsia="zh-CN"/>
        </w:rPr>
        <w:t>–</w:t>
      </w:r>
      <w:r>
        <w:rPr>
          <w:rFonts w:eastAsia="Times New Roman"/>
          <w:sz w:val="24"/>
          <w:szCs w:val="24"/>
          <w:lang w:eastAsia="zh-CN"/>
        </w:rPr>
        <w:t>G re</w:t>
      </w:r>
      <w:r>
        <w:rPr>
          <w:rFonts w:eastAsia="Times New Roman"/>
          <w:sz w:val="24"/>
          <w:szCs w:val="24"/>
          <w:highlight w:val="yellow"/>
          <w:lang w:eastAsia="zh-CN"/>
        </w:rPr>
        <w:t>ce</w:t>
      </w:r>
      <w:r>
        <w:rPr>
          <w:rFonts w:eastAsia="Times New Roman"/>
          <w:sz w:val="24"/>
          <w:szCs w:val="24"/>
          <w:lang w:eastAsia="zh-CN"/>
        </w:rPr>
        <w:t>i</w:t>
      </w:r>
      <w:r>
        <w:rPr>
          <w:rFonts w:eastAsia="Times New Roman"/>
          <w:sz w:val="24"/>
          <w:szCs w:val="24"/>
          <w:highlight w:val="yellow"/>
          <w:lang w:eastAsia="zh-CN"/>
        </w:rPr>
        <w:t>v</w:t>
      </w:r>
      <w:r>
        <w:rPr>
          <w:rFonts w:eastAsia="Times New Roman"/>
          <w:sz w:val="24"/>
          <w:szCs w:val="24"/>
          <w:lang w:eastAsia="zh-CN"/>
        </w:rPr>
        <w:t>ed diets contain</w:t>
      </w:r>
      <w:r>
        <w:rPr>
          <w:rFonts w:eastAsia="Times New Roman"/>
          <w:sz w:val="24"/>
          <w:szCs w:val="24"/>
          <w:highlight w:val="yellow"/>
          <w:lang w:eastAsia="zh-CN"/>
        </w:rPr>
        <w:t>ing</w:t>
      </w:r>
      <w:r>
        <w:rPr>
          <w:rFonts w:eastAsia="Times New Roman"/>
          <w:sz w:val="24"/>
          <w:szCs w:val="24"/>
          <w:lang w:eastAsia="zh-CN"/>
        </w:rPr>
        <w:t xml:space="preserve"> a mixture of standard feed and processed groundnut seeds for a period of 28 days. Serum lipid profile data were </w:t>
      </w:r>
      <w:proofErr w:type="spellStart"/>
      <w:r>
        <w:rPr>
          <w:rFonts w:eastAsia="Times New Roman"/>
          <w:sz w:val="24"/>
          <w:szCs w:val="24"/>
          <w:lang w:eastAsia="zh-CN"/>
        </w:rPr>
        <w:t>analy</w:t>
      </w:r>
      <w:r>
        <w:rPr>
          <w:rFonts w:eastAsia="Times New Roman"/>
          <w:sz w:val="24"/>
          <w:szCs w:val="24"/>
          <w:highlight w:val="yellow"/>
          <w:lang w:eastAsia="zh-CN"/>
        </w:rPr>
        <w:t>s</w:t>
      </w:r>
      <w:r>
        <w:rPr>
          <w:rFonts w:eastAsia="Times New Roman"/>
          <w:sz w:val="24"/>
          <w:szCs w:val="24"/>
          <w:lang w:eastAsia="zh-CN"/>
        </w:rPr>
        <w:t>ed</w:t>
      </w:r>
      <w:proofErr w:type="spellEnd"/>
      <w:r>
        <w:rPr>
          <w:rFonts w:eastAsia="Times New Roman"/>
          <w:sz w:val="24"/>
          <w:szCs w:val="24"/>
          <w:lang w:eastAsia="zh-CN"/>
        </w:rPr>
        <w:t xml:space="preserve"> using standard analytical procedures, and the results were reported as </w:t>
      </w:r>
      <w:r>
        <w:rPr>
          <w:rFonts w:eastAsia="Times New Roman"/>
          <w:sz w:val="24"/>
          <w:szCs w:val="24"/>
          <w:highlight w:val="yellow"/>
          <w:lang w:eastAsia="zh-CN"/>
        </w:rPr>
        <w:t>m</w:t>
      </w:r>
      <w:r>
        <w:rPr>
          <w:rFonts w:eastAsia="Times New Roman"/>
          <w:sz w:val="24"/>
          <w:szCs w:val="24"/>
          <w:lang w:eastAsia="zh-CN"/>
        </w:rPr>
        <w:t xml:space="preserve">ean ± </w:t>
      </w:r>
      <w:r>
        <w:rPr>
          <w:rFonts w:eastAsia="Times New Roman"/>
          <w:sz w:val="24"/>
          <w:szCs w:val="24"/>
          <w:highlight w:val="yellow"/>
          <w:lang w:eastAsia="zh-CN"/>
        </w:rPr>
        <w:t>s</w:t>
      </w:r>
      <w:r>
        <w:rPr>
          <w:rFonts w:eastAsia="Times New Roman"/>
          <w:sz w:val="24"/>
          <w:szCs w:val="24"/>
          <w:lang w:eastAsia="zh-CN"/>
        </w:rPr>
        <w:t xml:space="preserve">tandard </w:t>
      </w:r>
      <w:r>
        <w:rPr>
          <w:rFonts w:eastAsia="Times New Roman"/>
          <w:sz w:val="24"/>
          <w:szCs w:val="24"/>
          <w:highlight w:val="yellow"/>
          <w:lang w:eastAsia="zh-CN"/>
        </w:rPr>
        <w:t>e</w:t>
      </w:r>
      <w:r>
        <w:rPr>
          <w:rFonts w:eastAsia="Times New Roman"/>
          <w:sz w:val="24"/>
          <w:szCs w:val="24"/>
          <w:lang w:eastAsia="zh-CN"/>
        </w:rPr>
        <w:t xml:space="preserve">rror of the </w:t>
      </w:r>
      <w:r>
        <w:rPr>
          <w:rFonts w:eastAsia="Times New Roman"/>
          <w:sz w:val="24"/>
          <w:szCs w:val="24"/>
          <w:highlight w:val="yellow"/>
          <w:lang w:eastAsia="zh-CN"/>
        </w:rPr>
        <w:t>m</w:t>
      </w:r>
      <w:r>
        <w:rPr>
          <w:rFonts w:eastAsia="Times New Roman"/>
          <w:sz w:val="24"/>
          <w:szCs w:val="24"/>
          <w:lang w:eastAsia="zh-CN"/>
        </w:rPr>
        <w:t>ean (SEM). The total cholesterol (TC) was significantly higher (</w:t>
      </w:r>
      <w:r>
        <w:rPr>
          <w:rFonts w:eastAsia="Times New Roman"/>
          <w:i/>
          <w:iCs/>
          <w:sz w:val="24"/>
          <w:szCs w:val="24"/>
          <w:lang w:eastAsia="zh-CN"/>
        </w:rPr>
        <w:t>P</w:t>
      </w:r>
      <w:r>
        <w:rPr>
          <w:rFonts w:eastAsia="Times New Roman"/>
          <w:sz w:val="24"/>
          <w:szCs w:val="24"/>
          <w:lang w:eastAsia="zh-CN"/>
        </w:rPr>
        <w:t>&lt;0.05) in rats fed 50% cooked groundnut (650.82 ± 81.84 mg/dL) and 50% grilled groundnut (643.03 ± 88.95 mg/dL) than in the normal control group (455.96 ± 38.91 mg/dL). In addition, high-density lipoprotein cholesterol (HDL-C) was also significantly higher (</w:t>
      </w:r>
      <w:r>
        <w:rPr>
          <w:rFonts w:eastAsia="Times New Roman"/>
          <w:i/>
          <w:iCs/>
          <w:sz w:val="24"/>
          <w:szCs w:val="24"/>
          <w:lang w:eastAsia="zh-CN"/>
        </w:rPr>
        <w:t>P</w:t>
      </w:r>
      <w:r>
        <w:rPr>
          <w:rFonts w:eastAsia="Times New Roman"/>
          <w:sz w:val="24"/>
          <w:szCs w:val="24"/>
          <w:lang w:eastAsia="zh-CN"/>
        </w:rPr>
        <w:t>&lt;0.05) in rats that were fed 30% cooked groundnut (74.38 ± 2.79 mg/dL) and 50% uncooked groundnut (77.84 ± 7.06 mg/dL) than in the normal control group (65.49 ± 0.88 mg/dL). However, no significant differences</w:t>
      </w:r>
      <w:r>
        <w:rPr>
          <w:rFonts w:eastAsia="Times New Roman"/>
          <w:sz w:val="24"/>
          <w:szCs w:val="24"/>
          <w:highlight w:val="yellow"/>
          <w:lang w:eastAsia="zh-CN"/>
        </w:rPr>
        <w:t xml:space="preserve"> were</w:t>
      </w:r>
      <w:r>
        <w:rPr>
          <w:rFonts w:eastAsia="Times New Roman"/>
          <w:sz w:val="24"/>
          <w:szCs w:val="24"/>
          <w:lang w:eastAsia="zh-CN"/>
        </w:rPr>
        <w:t xml:space="preserve"> observed in triglyceride, low-density lipoprotein cholesterol (LDL-C), and very-low-density lipoprotein cholesterol (VLDL-C) levels among the different groups of rats. </w:t>
      </w:r>
      <w:r>
        <w:rPr>
          <w:sz w:val="24"/>
          <w:szCs w:val="24"/>
        </w:rPr>
        <w:t>Groundnut supplementation affected some of the serum lipid parameters, with the highest HDL-C levels observed in rats fed diets containing 30% and 50% uncooked groundnut. In contrast, total cholesterol increased significantly in the groups receiving 50% cooked and grilled groundnut. These findings suggest that the effects of groundnut on lipid profiles may depend on the processing method and inclusion level. Further studies are needed to establish their implications for cardiovascular health.</w:t>
      </w:r>
    </w:p>
    <w:p w14:paraId="47B6EDBD" w14:textId="77777777" w:rsidR="00B85338" w:rsidRPr="00B85338" w:rsidRDefault="00EF3558" w:rsidP="00B85338">
      <w:pPr>
        <w:pStyle w:val="NoSpacing"/>
        <w:jc w:val="both"/>
        <w:rPr>
          <w:bCs/>
        </w:rPr>
      </w:pPr>
      <w:r w:rsidRPr="00A757FB">
        <w:rPr>
          <w:b/>
          <w:bCs/>
          <w:sz w:val="24"/>
          <w:szCs w:val="24"/>
        </w:rPr>
        <w:t xml:space="preserve">Keywords: </w:t>
      </w:r>
      <w:r w:rsidR="00B85338" w:rsidRPr="00B85338">
        <w:rPr>
          <w:bCs/>
        </w:rPr>
        <w:t xml:space="preserve">Groundnut; </w:t>
      </w:r>
      <w:r w:rsidR="00B85338" w:rsidRPr="00B85338">
        <w:rPr>
          <w:bCs/>
          <w:i/>
          <w:iCs/>
        </w:rPr>
        <w:t>Arachis hypogaea</w:t>
      </w:r>
      <w:r w:rsidR="00B85338" w:rsidRPr="00B85338">
        <w:rPr>
          <w:bCs/>
        </w:rPr>
        <w:t>; Wistar rats; serum lipid profile; total cholesterol; high-density lipoprotein cholesterol; low-density lipoprotein cholesterol; triglycerides; thermal processing; dietary fortification.</w:t>
      </w:r>
    </w:p>
    <w:p w14:paraId="42455ACE" w14:textId="4FCB5203" w:rsidR="00EF3558" w:rsidRPr="00A757FB" w:rsidRDefault="00EF3558" w:rsidP="00EF3558">
      <w:pPr>
        <w:pStyle w:val="NoSpacing"/>
        <w:jc w:val="both"/>
        <w:rPr>
          <w:bCs/>
          <w:sz w:val="24"/>
          <w:szCs w:val="24"/>
        </w:rPr>
      </w:pPr>
    </w:p>
    <w:p w14:paraId="79B96F78" w14:textId="77777777" w:rsidR="00EF3558" w:rsidRPr="003048FC" w:rsidRDefault="00EF3558" w:rsidP="003048FC">
      <w:pPr>
        <w:pStyle w:val="ListParagraph"/>
        <w:numPr>
          <w:ilvl w:val="0"/>
          <w:numId w:val="2"/>
        </w:numPr>
        <w:spacing w:line="360" w:lineRule="auto"/>
        <w:ind w:left="360"/>
        <w:jc w:val="both"/>
        <w:rPr>
          <w:b/>
          <w:sz w:val="24"/>
          <w:szCs w:val="24"/>
        </w:rPr>
      </w:pPr>
      <w:r w:rsidRPr="003048FC">
        <w:rPr>
          <w:b/>
          <w:sz w:val="24"/>
          <w:szCs w:val="24"/>
        </w:rPr>
        <w:t>INTRODUCTION</w:t>
      </w:r>
    </w:p>
    <w:p w14:paraId="59F64F3F" w14:textId="34675683" w:rsidR="00367DFA" w:rsidRPr="00A757FB" w:rsidRDefault="00367DFA" w:rsidP="00EF3558">
      <w:pPr>
        <w:spacing w:line="360" w:lineRule="auto"/>
        <w:jc w:val="both"/>
        <w:rPr>
          <w:rFonts w:eastAsia="Times New Roman"/>
          <w:sz w:val="24"/>
          <w:szCs w:val="24"/>
          <w:lang w:eastAsia="zh-CN"/>
        </w:rPr>
      </w:pPr>
      <w:r>
        <w:rPr>
          <w:rFonts w:eastAsia="Times New Roman"/>
          <w:sz w:val="24"/>
          <w:szCs w:val="24"/>
          <w:lang w:eastAsia="zh-CN"/>
        </w:rPr>
        <w:t xml:space="preserve">Cardiovascular disease (CVD) has placed substantial health-related burdens on economies </w:t>
      </w:r>
      <w:r>
        <w:rPr>
          <w:rFonts w:eastAsia="Times New Roman"/>
          <w:sz w:val="24"/>
          <w:szCs w:val="24"/>
          <w:highlight w:val="yellow"/>
          <w:lang w:eastAsia="zh-CN"/>
        </w:rPr>
        <w:t>wo</w:t>
      </w:r>
      <w:r>
        <w:rPr>
          <w:rFonts w:eastAsia="Times New Roman"/>
          <w:sz w:val="24"/>
          <w:szCs w:val="24"/>
          <w:lang w:eastAsia="zh-CN"/>
        </w:rPr>
        <w:t>rl</w:t>
      </w:r>
      <w:r>
        <w:rPr>
          <w:rFonts w:eastAsia="Times New Roman"/>
          <w:sz w:val="24"/>
          <w:szCs w:val="24"/>
          <w:highlight w:val="yellow"/>
          <w:lang w:eastAsia="zh-CN"/>
        </w:rPr>
        <w:t>dwid</w:t>
      </w:r>
      <w:r>
        <w:rPr>
          <w:rFonts w:eastAsia="Times New Roman"/>
          <w:sz w:val="24"/>
          <w:szCs w:val="24"/>
          <w:lang w:eastAsia="zh-CN"/>
        </w:rPr>
        <w:t>e (</w:t>
      </w:r>
      <w:r>
        <w:rPr>
          <w:rFonts w:eastAsia="Times New Roman"/>
          <w:sz w:val="24"/>
          <w:szCs w:val="24"/>
          <w:highlight w:val="yellow"/>
          <w:lang w:eastAsia="zh-CN"/>
        </w:rPr>
        <w:t xml:space="preserve">GBD 2019 Diseases and Injuries </w:t>
      </w:r>
      <w:r>
        <w:rPr>
          <w:rFonts w:eastAsia="Times New Roman"/>
          <w:sz w:val="24"/>
          <w:szCs w:val="24"/>
          <w:lang w:eastAsia="zh-CN"/>
        </w:rPr>
        <w:t xml:space="preserve">Collaborators, 2020; Mensah </w:t>
      </w:r>
      <w:r>
        <w:rPr>
          <w:rFonts w:eastAsia="Times New Roman"/>
          <w:i/>
          <w:iCs/>
          <w:sz w:val="24"/>
          <w:szCs w:val="24"/>
          <w:lang w:eastAsia="zh-CN"/>
        </w:rPr>
        <w:t>et al</w:t>
      </w:r>
      <w:r>
        <w:rPr>
          <w:rFonts w:eastAsia="Times New Roman"/>
          <w:sz w:val="24"/>
          <w:szCs w:val="24"/>
          <w:lang w:eastAsia="zh-CN"/>
        </w:rPr>
        <w:t>., 2019). Cardiovascular disease (CVD), especially coronary heart disease (CHD) and stroke, constitutes the foremost cause of mortality and enduring disability globally (</w:t>
      </w:r>
      <w:r w:rsidR="005B7A98" w:rsidRPr="005B7A98">
        <w:rPr>
          <w:rFonts w:eastAsia="Times New Roman"/>
          <w:sz w:val="24"/>
          <w:szCs w:val="24"/>
          <w:lang w:eastAsia="zh-CN"/>
        </w:rPr>
        <w:t>GBD 2017 Causes of Death Collaborators</w:t>
      </w:r>
      <w:r>
        <w:rPr>
          <w:rFonts w:eastAsia="Times New Roman"/>
          <w:sz w:val="24"/>
          <w:szCs w:val="24"/>
          <w:lang w:eastAsia="zh-CN"/>
        </w:rPr>
        <w:t xml:space="preserve">, 2018). The timely identification and management of cardiovascular disease are </w:t>
      </w:r>
      <w:r>
        <w:rPr>
          <w:rFonts w:eastAsia="Times New Roman"/>
          <w:sz w:val="24"/>
          <w:szCs w:val="24"/>
          <w:lang w:eastAsia="zh-CN"/>
        </w:rPr>
        <w:lastRenderedPageBreak/>
        <w:t xml:space="preserve">essential for patient survival and sustained health. As reported in the Global Burden of Disease study, CVD cases and fatalities rose markedly from 1990 to 2019 (Roth </w:t>
      </w:r>
      <w:r>
        <w:rPr>
          <w:rFonts w:eastAsia="Times New Roman"/>
          <w:i/>
          <w:iCs/>
          <w:sz w:val="24"/>
          <w:szCs w:val="24"/>
          <w:lang w:eastAsia="zh-CN"/>
        </w:rPr>
        <w:t>et al</w:t>
      </w:r>
      <w:r>
        <w:rPr>
          <w:rFonts w:eastAsia="Times New Roman"/>
          <w:sz w:val="24"/>
          <w:szCs w:val="24"/>
          <w:lang w:eastAsia="zh-CN"/>
        </w:rPr>
        <w:t xml:space="preserve">., 2020). </w:t>
      </w:r>
      <w:r>
        <w:rPr>
          <w:rFonts w:eastAsia="Times New Roman"/>
          <w:sz w:val="24"/>
          <w:szCs w:val="24"/>
          <w:highlight w:val="yellow"/>
          <w:lang w:eastAsia="zh-CN"/>
        </w:rPr>
        <w:t>Mos</w:t>
      </w:r>
      <w:r>
        <w:rPr>
          <w:rFonts w:eastAsia="Times New Roman"/>
          <w:sz w:val="24"/>
          <w:szCs w:val="24"/>
          <w:lang w:eastAsia="zh-CN"/>
        </w:rPr>
        <w:t xml:space="preserve">t of these fatalities (80%) took place in low- and middle-income countries (LMICs) (Yusuf </w:t>
      </w:r>
      <w:r>
        <w:rPr>
          <w:rFonts w:eastAsia="Times New Roman"/>
          <w:i/>
          <w:iCs/>
          <w:sz w:val="24"/>
          <w:szCs w:val="24"/>
          <w:lang w:eastAsia="zh-CN"/>
        </w:rPr>
        <w:t>et al</w:t>
      </w:r>
      <w:r>
        <w:rPr>
          <w:rFonts w:eastAsia="Times New Roman"/>
          <w:sz w:val="24"/>
          <w:szCs w:val="24"/>
          <w:lang w:eastAsia="zh-CN"/>
        </w:rPr>
        <w:t xml:space="preserve">., 2020). Dietary interventions designed to lower blood cholesterol concentrations and modify blood lipoprotein concentrations are essential to the early detection and treatment of CVD. Groundnuts constitute the most extensively consumed nut globally and are progressively recognized as a functional food and protein extender. </w:t>
      </w:r>
      <w:r>
        <w:rPr>
          <w:rFonts w:eastAsia="Times New Roman"/>
          <w:sz w:val="24"/>
          <w:szCs w:val="24"/>
          <w:highlight w:val="yellow"/>
          <w:lang w:eastAsia="zh-CN"/>
        </w:rPr>
        <w:t>Groundnu</w:t>
      </w:r>
      <w:r>
        <w:rPr>
          <w:rFonts w:eastAsia="Times New Roman"/>
          <w:sz w:val="24"/>
          <w:szCs w:val="24"/>
          <w:lang w:eastAsia="zh-CN"/>
        </w:rPr>
        <w:t>t (</w:t>
      </w:r>
      <w:r>
        <w:rPr>
          <w:rFonts w:eastAsia="Times New Roman"/>
          <w:i/>
          <w:iCs/>
          <w:sz w:val="24"/>
          <w:szCs w:val="24"/>
          <w:lang w:eastAsia="zh-CN"/>
        </w:rPr>
        <w:t xml:space="preserve">Arachis hypogaea </w:t>
      </w:r>
      <w:r>
        <w:rPr>
          <w:rFonts w:eastAsia="Times New Roman"/>
          <w:sz w:val="24"/>
          <w:szCs w:val="24"/>
          <w:lang w:eastAsia="zh-CN"/>
        </w:rPr>
        <w:t>L.) represents an inexpensive and significant source of plant protein. Groundnuts (</w:t>
      </w:r>
      <w:r>
        <w:rPr>
          <w:rFonts w:eastAsia="Times New Roman"/>
          <w:i/>
          <w:iCs/>
          <w:sz w:val="24"/>
          <w:szCs w:val="24"/>
          <w:lang w:eastAsia="zh-CN"/>
        </w:rPr>
        <w:t xml:space="preserve">Arachis hypogaea </w:t>
      </w:r>
      <w:r>
        <w:rPr>
          <w:rFonts w:eastAsia="Times New Roman"/>
          <w:sz w:val="24"/>
          <w:szCs w:val="24"/>
          <w:lang w:eastAsia="zh-CN"/>
        </w:rPr>
        <w:t xml:space="preserve">L.) are legumes originating in South America that have </w:t>
      </w:r>
      <w:r>
        <w:rPr>
          <w:rFonts w:eastAsia="Times New Roman"/>
          <w:sz w:val="24"/>
          <w:szCs w:val="24"/>
          <w:highlight w:val="yellow"/>
          <w:lang w:eastAsia="zh-CN"/>
        </w:rPr>
        <w:t>sp</w:t>
      </w:r>
      <w:r>
        <w:rPr>
          <w:rFonts w:eastAsia="Times New Roman"/>
          <w:sz w:val="24"/>
          <w:szCs w:val="24"/>
          <w:lang w:eastAsia="zh-CN"/>
        </w:rPr>
        <w:t xml:space="preserve">read worldwide (Hammons </w:t>
      </w:r>
      <w:r>
        <w:rPr>
          <w:rFonts w:eastAsia="Times New Roman"/>
          <w:i/>
          <w:iCs/>
          <w:sz w:val="24"/>
          <w:szCs w:val="24"/>
          <w:lang w:eastAsia="zh-CN"/>
        </w:rPr>
        <w:t>et al</w:t>
      </w:r>
      <w:r>
        <w:rPr>
          <w:rFonts w:eastAsia="Times New Roman"/>
          <w:sz w:val="24"/>
          <w:szCs w:val="24"/>
          <w:lang w:eastAsia="zh-CN"/>
        </w:rPr>
        <w:t>., 2016). Groundnut seeds serve as a substantial source of lipids, protein, and fatty acids for human consumption. With the exception of lysine, groundnut protein is comparatively abundant in the amino acids required for children's growth. Roasted groundnuts provide an excellent source of folate, niacin, and vitamin E, although they are likewise deficient in calcium, iron, vitamin A, vitamin C, and minerals.</w:t>
      </w:r>
    </w:p>
    <w:p w14:paraId="2C426243" w14:textId="5E12A00D" w:rsidR="00691681" w:rsidRPr="003147F2" w:rsidRDefault="00367DFA">
      <w:pPr>
        <w:spacing w:line="360" w:lineRule="auto"/>
        <w:ind w:right="540"/>
        <w:jc w:val="both"/>
        <w:rPr>
          <w:rFonts w:eastAsia="Times New Roman"/>
          <w:sz w:val="24"/>
          <w:szCs w:val="24"/>
          <w:lang w:eastAsia="zh-CN"/>
        </w:rPr>
      </w:pPr>
      <w:r>
        <w:rPr>
          <w:rFonts w:eastAsia="Times New Roman"/>
          <w:sz w:val="24"/>
          <w:szCs w:val="24"/>
          <w:lang w:eastAsia="zh-CN"/>
        </w:rPr>
        <w:t xml:space="preserve">Moreover, Yeh </w:t>
      </w:r>
      <w:r>
        <w:rPr>
          <w:rFonts w:eastAsia="Times New Roman"/>
          <w:i/>
          <w:iCs/>
          <w:sz w:val="24"/>
          <w:szCs w:val="24"/>
          <w:lang w:eastAsia="zh-CN"/>
        </w:rPr>
        <w:t>et al</w:t>
      </w:r>
      <w:r>
        <w:rPr>
          <w:rFonts w:eastAsia="Times New Roman"/>
          <w:sz w:val="24"/>
          <w:szCs w:val="24"/>
          <w:lang w:eastAsia="zh-CN"/>
        </w:rPr>
        <w:t>. (2002) demonstrated that roasting and blanching, processing techniques frequently applied to groundnuts, led to the degradation of considerable quantities of B-complex vitamins. The skin, or inner shell, of groundnuts constitutes an abundant source of dietary fiber and natural antioxidants capable of scavenging free radicals. As a result, the nutritional value of the paste is enhanced when the inner shell is incorporated into the butter (</w:t>
      </w:r>
      <w:r w:rsidR="005B7A98" w:rsidRPr="005B7A98">
        <w:rPr>
          <w:rFonts w:eastAsia="Times New Roman"/>
          <w:sz w:val="24"/>
          <w:szCs w:val="24"/>
          <w:lang w:eastAsia="zh-CN"/>
        </w:rPr>
        <w:t>Ma</w:t>
      </w:r>
      <w:r w:rsidR="005B7A98" w:rsidRPr="005B7A98">
        <w:rPr>
          <w:rFonts w:eastAsia="Times New Roman"/>
          <w:sz w:val="24"/>
          <w:szCs w:val="24"/>
          <w:lang w:eastAsia="zh-CN"/>
        </w:rPr>
        <w:t xml:space="preserve"> </w:t>
      </w:r>
      <w:r>
        <w:rPr>
          <w:rFonts w:eastAsia="Times New Roman"/>
          <w:i/>
          <w:iCs/>
          <w:sz w:val="24"/>
          <w:szCs w:val="24"/>
          <w:lang w:eastAsia="zh-CN"/>
        </w:rPr>
        <w:t>et al</w:t>
      </w:r>
      <w:r>
        <w:rPr>
          <w:rFonts w:eastAsia="Times New Roman"/>
          <w:sz w:val="24"/>
          <w:szCs w:val="24"/>
          <w:lang w:eastAsia="zh-CN"/>
        </w:rPr>
        <w:t>., 201</w:t>
      </w:r>
      <w:r w:rsidR="005B7A98">
        <w:rPr>
          <w:rFonts w:eastAsia="Times New Roman"/>
          <w:sz w:val="24"/>
          <w:szCs w:val="24"/>
          <w:lang w:eastAsia="zh-CN"/>
        </w:rPr>
        <w:t>3</w:t>
      </w:r>
      <w:r>
        <w:rPr>
          <w:rFonts w:eastAsia="Times New Roman"/>
          <w:sz w:val="24"/>
          <w:szCs w:val="24"/>
          <w:lang w:eastAsia="zh-CN"/>
        </w:rPr>
        <w:t xml:space="preserve">). As reported by Arya </w:t>
      </w:r>
      <w:r>
        <w:rPr>
          <w:rFonts w:eastAsia="Times New Roman"/>
          <w:i/>
          <w:iCs/>
          <w:sz w:val="24"/>
          <w:szCs w:val="24"/>
          <w:lang w:eastAsia="zh-CN"/>
        </w:rPr>
        <w:t>et al</w:t>
      </w:r>
      <w:r>
        <w:rPr>
          <w:rFonts w:eastAsia="Times New Roman"/>
          <w:sz w:val="24"/>
          <w:szCs w:val="24"/>
          <w:lang w:eastAsia="zh-CN"/>
        </w:rPr>
        <w:t>. (2016), the resveratrol concentration of groundnut butter is approximately three times greater than that of roasted groundnuts with their skin and is similar to that of grape juice. Groundnuts have been consumed worldwide in numerous forms, such as raw, boiled, oil-extracted, paste, roasted (snack), in energy bars and sweets, and combine</w:t>
      </w:r>
      <w:r>
        <w:rPr>
          <w:rFonts w:eastAsia="Times New Roman"/>
          <w:sz w:val="24"/>
          <w:szCs w:val="24"/>
          <w:highlight w:val="yellow"/>
          <w:lang w:eastAsia="zh-CN"/>
        </w:rPr>
        <w:t>d</w:t>
      </w:r>
      <w:r>
        <w:rPr>
          <w:rFonts w:eastAsia="Times New Roman"/>
          <w:sz w:val="24"/>
          <w:szCs w:val="24"/>
          <w:lang w:eastAsia="zh-CN"/>
        </w:rPr>
        <w:t xml:space="preserve"> with other snacks (</w:t>
      </w:r>
      <w:proofErr w:type="spellStart"/>
      <w:r>
        <w:rPr>
          <w:rFonts w:eastAsia="Times New Roman"/>
          <w:sz w:val="24"/>
          <w:szCs w:val="24"/>
          <w:lang w:eastAsia="zh-CN"/>
        </w:rPr>
        <w:t>Settaluri</w:t>
      </w:r>
      <w:proofErr w:type="spellEnd"/>
      <w:r>
        <w:rPr>
          <w:rFonts w:eastAsia="Times New Roman"/>
          <w:sz w:val="24"/>
          <w:szCs w:val="24"/>
          <w:lang w:eastAsia="zh-CN"/>
        </w:rPr>
        <w:t xml:space="preserve"> </w:t>
      </w:r>
      <w:r>
        <w:rPr>
          <w:rFonts w:eastAsia="Times New Roman"/>
          <w:i/>
          <w:iCs/>
          <w:sz w:val="24"/>
          <w:szCs w:val="24"/>
          <w:lang w:eastAsia="zh-CN"/>
        </w:rPr>
        <w:t>et al</w:t>
      </w:r>
      <w:r>
        <w:rPr>
          <w:rFonts w:eastAsia="Times New Roman"/>
          <w:sz w:val="24"/>
          <w:szCs w:val="24"/>
          <w:lang w:eastAsia="zh-CN"/>
        </w:rPr>
        <w:t xml:space="preserve">., 2012). Groundnuts possess a high fat content (48.75 g/100 g), yet they also contain a small amount of saturated fatty acids (6.43 g/100 g) and a large amount of unsaturated fatty acids (40.45 g/100 g) (Davis and Dean, 2016). Protein is the second most abundant nutrient in groundnuts. Depending on the study, </w:t>
      </w:r>
      <w:r>
        <w:rPr>
          <w:rFonts w:eastAsia="Times New Roman"/>
          <w:sz w:val="24"/>
          <w:szCs w:val="24"/>
          <w:highlight w:val="yellow"/>
          <w:lang w:eastAsia="zh-CN"/>
        </w:rPr>
        <w:t>groundnut prote</w:t>
      </w:r>
      <w:r>
        <w:rPr>
          <w:rFonts w:eastAsia="Times New Roman"/>
          <w:sz w:val="24"/>
          <w:szCs w:val="24"/>
          <w:lang w:eastAsia="zh-CN"/>
        </w:rPr>
        <w:t>i</w:t>
      </w:r>
      <w:r>
        <w:rPr>
          <w:rFonts w:eastAsia="Times New Roman"/>
          <w:sz w:val="24"/>
          <w:szCs w:val="24"/>
          <w:highlight w:val="yellow"/>
          <w:lang w:eastAsia="zh-CN"/>
        </w:rPr>
        <w:t>n</w:t>
      </w:r>
      <w:r>
        <w:rPr>
          <w:rFonts w:eastAsia="Times New Roman"/>
          <w:sz w:val="24"/>
          <w:szCs w:val="24"/>
          <w:lang w:eastAsia="zh-CN"/>
        </w:rPr>
        <w:t xml:space="preserve"> may contain lysine, methionine, or threonine as the limiting amino acid (Venkatachalam and Sathe, 2006</w:t>
      </w:r>
      <w:r w:rsidRPr="003147F2">
        <w:rPr>
          <w:rFonts w:eastAsia="Times New Roman"/>
          <w:sz w:val="24"/>
          <w:szCs w:val="24"/>
          <w:lang w:eastAsia="zh-CN"/>
        </w:rPr>
        <w:t xml:space="preserve">). </w:t>
      </w:r>
      <w:r w:rsidRPr="003147F2">
        <w:rPr>
          <w:highlight w:val="yellow"/>
        </w:rPr>
        <w:t>Studies of peanut-derived food materials have documented processing-related differences in composition: roasting was associated with changes in the phenolic and antioxidant properties of peanut flour and oilcake flour (</w:t>
      </w:r>
      <w:proofErr w:type="spellStart"/>
      <w:r w:rsidRPr="003147F2">
        <w:rPr>
          <w:highlight w:val="yellow"/>
        </w:rPr>
        <w:t>Lakhlifi</w:t>
      </w:r>
      <w:proofErr w:type="spellEnd"/>
      <w:r w:rsidRPr="003147F2">
        <w:rPr>
          <w:highlight w:val="yellow"/>
        </w:rPr>
        <w:t xml:space="preserve"> El Idrissi et al., 2024), while radio-frequency roasting conditions affected quality characteristics of extracted peanut oil (Peng et al., 2025).</w:t>
      </w:r>
    </w:p>
    <w:p w14:paraId="36B013AA" w14:textId="6E756D63" w:rsidR="00691681" w:rsidRPr="003147F2" w:rsidRDefault="00367DFA">
      <w:pPr>
        <w:spacing w:line="360" w:lineRule="auto"/>
        <w:ind w:right="540"/>
        <w:jc w:val="both"/>
        <w:rPr>
          <w:rFonts w:eastAsia="Times New Roman"/>
          <w:bCs/>
          <w:sz w:val="24"/>
          <w:szCs w:val="24"/>
          <w:lang w:eastAsia="zh-CN"/>
        </w:rPr>
      </w:pPr>
      <w:r>
        <w:rPr>
          <w:rFonts w:eastAsia="Times New Roman"/>
          <w:sz w:val="24"/>
          <w:szCs w:val="24"/>
          <w:lang w:eastAsia="zh-CN"/>
        </w:rPr>
        <w:lastRenderedPageBreak/>
        <w:t xml:space="preserve">Groundnuts have attracted attention as a functional food (Francisco </w:t>
      </w:r>
      <w:r>
        <w:rPr>
          <w:rFonts w:eastAsia="Times New Roman"/>
          <w:sz w:val="24"/>
          <w:szCs w:val="24"/>
          <w:highlight w:val="yellow"/>
          <w:lang w:eastAsia="zh-CN"/>
        </w:rPr>
        <w:t>&amp;</w:t>
      </w:r>
      <w:r>
        <w:rPr>
          <w:rFonts w:eastAsia="Times New Roman"/>
          <w:sz w:val="24"/>
          <w:szCs w:val="24"/>
          <w:lang w:eastAsia="zh-CN"/>
        </w:rPr>
        <w:t xml:space="preserve"> Resurreccion, 2008), since studies indicate that their consumption may improve cardiometabolic biomarkers and overall cardiovascular disease (Lokko </w:t>
      </w:r>
      <w:r>
        <w:rPr>
          <w:rFonts w:eastAsia="Times New Roman"/>
          <w:i/>
          <w:iCs/>
          <w:sz w:val="24"/>
          <w:szCs w:val="24"/>
          <w:lang w:eastAsia="zh-CN"/>
        </w:rPr>
        <w:t>et al</w:t>
      </w:r>
      <w:r>
        <w:rPr>
          <w:rFonts w:eastAsia="Times New Roman"/>
          <w:sz w:val="24"/>
          <w:szCs w:val="24"/>
          <w:lang w:eastAsia="zh-CN"/>
        </w:rPr>
        <w:t xml:space="preserve">., 2007; Reis </w:t>
      </w:r>
      <w:r>
        <w:rPr>
          <w:rFonts w:eastAsia="Times New Roman"/>
          <w:i/>
          <w:iCs/>
          <w:sz w:val="24"/>
          <w:szCs w:val="24"/>
          <w:lang w:eastAsia="zh-CN"/>
        </w:rPr>
        <w:t>et al</w:t>
      </w:r>
      <w:r>
        <w:rPr>
          <w:rFonts w:eastAsia="Times New Roman"/>
          <w:sz w:val="24"/>
          <w:szCs w:val="24"/>
          <w:lang w:eastAsia="zh-CN"/>
        </w:rPr>
        <w:t xml:space="preserve">., 2013; Barbour </w:t>
      </w:r>
      <w:r>
        <w:rPr>
          <w:rFonts w:eastAsia="Times New Roman"/>
          <w:i/>
          <w:iCs/>
          <w:sz w:val="24"/>
          <w:szCs w:val="24"/>
          <w:lang w:eastAsia="zh-CN"/>
        </w:rPr>
        <w:t>et al</w:t>
      </w:r>
      <w:r>
        <w:rPr>
          <w:rFonts w:eastAsia="Times New Roman"/>
          <w:sz w:val="24"/>
          <w:szCs w:val="24"/>
          <w:lang w:eastAsia="zh-CN"/>
        </w:rPr>
        <w:t xml:space="preserve">., 2015). Groundnuts contain bioactive compounds, including phytosterols, phenolic compounds, stilbenes, lignans, and </w:t>
      </w:r>
      <w:proofErr w:type="spellStart"/>
      <w:r>
        <w:rPr>
          <w:rFonts w:eastAsia="Times New Roman"/>
          <w:sz w:val="24"/>
          <w:szCs w:val="24"/>
          <w:lang w:eastAsia="zh-CN"/>
        </w:rPr>
        <w:t>isoflavonoids</w:t>
      </w:r>
      <w:proofErr w:type="spellEnd"/>
      <w:r>
        <w:rPr>
          <w:rFonts w:eastAsia="Times New Roman"/>
          <w:sz w:val="24"/>
          <w:szCs w:val="24"/>
          <w:lang w:eastAsia="zh-CN"/>
        </w:rPr>
        <w:t xml:space="preserve">, which have been associated with several diseases (Jung </w:t>
      </w:r>
      <w:r>
        <w:rPr>
          <w:rFonts w:eastAsia="Times New Roman"/>
          <w:i/>
          <w:iCs/>
          <w:sz w:val="24"/>
          <w:szCs w:val="24"/>
          <w:lang w:eastAsia="zh-CN"/>
        </w:rPr>
        <w:t>et al</w:t>
      </w:r>
      <w:r>
        <w:rPr>
          <w:rFonts w:eastAsia="Times New Roman"/>
          <w:sz w:val="24"/>
          <w:szCs w:val="24"/>
          <w:lang w:eastAsia="zh-CN"/>
        </w:rPr>
        <w:t xml:space="preserve">., 2020). Among these, phytosterols, or plant sterol and stanol esters, are naturally present in the plant's cell membrane. Owing to their structural similarity, they compete with bodily cholesterol for absorption </w:t>
      </w:r>
      <w:r>
        <w:rPr>
          <w:rFonts w:eastAsia="Times New Roman"/>
          <w:sz w:val="24"/>
          <w:szCs w:val="24"/>
          <w:highlight w:val="yellow"/>
          <w:lang w:eastAsia="zh-CN"/>
        </w:rPr>
        <w:t>in</w:t>
      </w:r>
      <w:r>
        <w:rPr>
          <w:rFonts w:eastAsia="Times New Roman"/>
          <w:sz w:val="24"/>
          <w:szCs w:val="24"/>
          <w:lang w:eastAsia="zh-CN"/>
        </w:rPr>
        <w:t xml:space="preserve"> the digestive tract </w:t>
      </w:r>
      <w:r>
        <w:rPr>
          <w:rFonts w:eastAsia="Times New Roman"/>
          <w:sz w:val="24"/>
          <w:szCs w:val="24"/>
          <w:highlight w:val="yellow"/>
          <w:lang w:eastAsia="zh-CN"/>
        </w:rPr>
        <w:t>aft</w:t>
      </w:r>
      <w:r>
        <w:rPr>
          <w:rFonts w:eastAsia="Times New Roman"/>
          <w:sz w:val="24"/>
          <w:szCs w:val="24"/>
          <w:lang w:eastAsia="zh-CN"/>
        </w:rPr>
        <w:t>e</w:t>
      </w:r>
      <w:r>
        <w:rPr>
          <w:rFonts w:eastAsia="Times New Roman"/>
          <w:sz w:val="24"/>
          <w:szCs w:val="24"/>
          <w:highlight w:val="yellow"/>
          <w:lang w:eastAsia="zh-CN"/>
        </w:rPr>
        <w:t>r</w:t>
      </w:r>
      <w:r>
        <w:rPr>
          <w:rFonts w:eastAsia="Times New Roman"/>
          <w:sz w:val="24"/>
          <w:szCs w:val="24"/>
          <w:lang w:eastAsia="zh-CN"/>
        </w:rPr>
        <w:t xml:space="preserve"> ingest</w:t>
      </w:r>
      <w:r>
        <w:rPr>
          <w:rFonts w:eastAsia="Times New Roman"/>
          <w:sz w:val="24"/>
          <w:szCs w:val="24"/>
          <w:highlight w:val="yellow"/>
          <w:lang w:eastAsia="zh-CN"/>
        </w:rPr>
        <w:t>ion</w:t>
      </w:r>
      <w:r>
        <w:rPr>
          <w:rFonts w:eastAsia="Times New Roman"/>
          <w:sz w:val="24"/>
          <w:szCs w:val="24"/>
          <w:lang w:eastAsia="zh-CN"/>
        </w:rPr>
        <w:t xml:space="preserve">. </w:t>
      </w:r>
      <w:r>
        <w:rPr>
          <w:rFonts w:eastAsia="Times New Roman"/>
          <w:sz w:val="24"/>
          <w:szCs w:val="24"/>
          <w:highlight w:val="yellow"/>
          <w:lang w:eastAsia="zh-CN"/>
        </w:rPr>
        <w:t>Consequ</w:t>
      </w:r>
      <w:r>
        <w:rPr>
          <w:rFonts w:eastAsia="Times New Roman"/>
          <w:sz w:val="24"/>
          <w:szCs w:val="24"/>
          <w:lang w:eastAsia="zh-CN"/>
        </w:rPr>
        <w:t>en</w:t>
      </w:r>
      <w:r>
        <w:rPr>
          <w:rFonts w:eastAsia="Times New Roman"/>
          <w:sz w:val="24"/>
          <w:szCs w:val="24"/>
          <w:highlight w:val="yellow"/>
          <w:lang w:eastAsia="zh-CN"/>
        </w:rPr>
        <w:t>tly</w:t>
      </w:r>
      <w:r>
        <w:rPr>
          <w:rFonts w:eastAsia="Times New Roman"/>
          <w:sz w:val="24"/>
          <w:szCs w:val="24"/>
          <w:lang w:eastAsia="zh-CN"/>
        </w:rPr>
        <w:t xml:space="preserve">, the inhibition of cholesterol absorption results in a decrease in blood cholesterol content. Therefore, phytosterols are able to reduce the risk of cardiovascular disease (CVD) and improve blood lipid profiles (Arya </w:t>
      </w:r>
      <w:r>
        <w:rPr>
          <w:rFonts w:eastAsia="Times New Roman"/>
          <w:i/>
          <w:iCs/>
          <w:sz w:val="24"/>
          <w:szCs w:val="24"/>
          <w:lang w:eastAsia="zh-CN"/>
        </w:rPr>
        <w:t>et al</w:t>
      </w:r>
      <w:r>
        <w:rPr>
          <w:rFonts w:eastAsia="Times New Roman"/>
          <w:sz w:val="24"/>
          <w:szCs w:val="24"/>
          <w:lang w:eastAsia="zh-CN"/>
        </w:rPr>
        <w:t xml:space="preserve">., 2016). </w:t>
      </w:r>
      <w:r w:rsidRPr="003147F2">
        <w:rPr>
          <w:bCs/>
          <w:highlight w:val="yellow"/>
        </w:rPr>
        <w:t>In a separate Wistar-rat experiment, administration of peanut oil extract was associated with changes in measured serum lipid fractions, although these findings cannot be assumed to apply to diets containing differently processed whole seeds (</w:t>
      </w:r>
      <w:proofErr w:type="spellStart"/>
      <w:r w:rsidRPr="003147F2">
        <w:rPr>
          <w:bCs/>
          <w:highlight w:val="yellow"/>
        </w:rPr>
        <w:t>Chinko</w:t>
      </w:r>
      <w:proofErr w:type="spellEnd"/>
      <w:r w:rsidRPr="003147F2">
        <w:rPr>
          <w:bCs/>
          <w:highlight w:val="yellow"/>
        </w:rPr>
        <w:t xml:space="preserve"> et al., 2026). A recent human intervention and case-cohort analysis also identified changes in circulating lipid species following peanut-fat exposure, without establishing an association between the resulting lipid signature and cardiovascular disease incidence (Domínguez-López et al., 2026).</w:t>
      </w:r>
    </w:p>
    <w:p w14:paraId="3FC53E00" w14:textId="29F2705E" w:rsidR="00691681" w:rsidRPr="003147F2" w:rsidRDefault="00FF048D">
      <w:pPr>
        <w:spacing w:line="360" w:lineRule="auto"/>
        <w:ind w:right="540"/>
        <w:jc w:val="both"/>
        <w:rPr>
          <w:rFonts w:eastAsia="Times New Roman"/>
          <w:bCs/>
          <w:sz w:val="24"/>
          <w:szCs w:val="24"/>
          <w:lang w:eastAsia="zh-CN"/>
        </w:rPr>
      </w:pPr>
      <w:r>
        <w:rPr>
          <w:rFonts w:eastAsia="Times New Roman"/>
          <w:sz w:val="24"/>
          <w:szCs w:val="24"/>
          <w:highlight w:val="yellow"/>
          <w:lang w:eastAsia="zh-CN"/>
        </w:rPr>
        <w:t xml:space="preserve">According to an updated meta-analysis of 113 </w:t>
      </w:r>
      <w:proofErr w:type="spellStart"/>
      <w:r>
        <w:rPr>
          <w:rFonts w:eastAsia="Times New Roman"/>
          <w:sz w:val="24"/>
          <w:szCs w:val="24"/>
          <w:highlight w:val="yellow"/>
          <w:lang w:eastAsia="zh-CN"/>
        </w:rPr>
        <w:t>randomised</w:t>
      </w:r>
      <w:proofErr w:type="spellEnd"/>
      <w:r>
        <w:rPr>
          <w:rFonts w:eastAsia="Times New Roman"/>
          <w:sz w:val="24"/>
          <w:szCs w:val="24"/>
          <w:highlight w:val="yellow"/>
          <w:lang w:eastAsia="zh-CN"/>
        </w:rPr>
        <w:t xml:space="preserve"> trials (Nishi </w:t>
      </w:r>
      <w:r>
        <w:rPr>
          <w:rFonts w:eastAsia="Times New Roman"/>
          <w:i/>
          <w:iCs/>
          <w:sz w:val="24"/>
          <w:szCs w:val="24"/>
          <w:highlight w:val="yellow"/>
          <w:lang w:eastAsia="zh-CN"/>
        </w:rPr>
        <w:t>et al</w:t>
      </w:r>
      <w:r>
        <w:rPr>
          <w:rFonts w:eastAsia="Times New Roman"/>
          <w:sz w:val="24"/>
          <w:szCs w:val="24"/>
          <w:highlight w:val="yellow"/>
          <w:lang w:eastAsia="zh-CN"/>
        </w:rPr>
        <w:t xml:space="preserve">., 2025), eating nuts at a median of about 45 g per day was shown to moderately reduce total and LDL cholesterol and slightly lower triglycerides, while HDL cholesterol showed no noticeable change. An in-depth review of clinical studies found that nut processing did not change blood lipid responses, highlighting the value of examining how different cooking methods behave under controlled conditions (Guasch-Ferré </w:t>
      </w:r>
      <w:r>
        <w:rPr>
          <w:rFonts w:eastAsia="Times New Roman"/>
          <w:i/>
          <w:iCs/>
          <w:sz w:val="24"/>
          <w:szCs w:val="24"/>
          <w:highlight w:val="yellow"/>
          <w:lang w:eastAsia="zh-CN"/>
        </w:rPr>
        <w:t>et al</w:t>
      </w:r>
      <w:r>
        <w:rPr>
          <w:rFonts w:eastAsia="Times New Roman"/>
          <w:sz w:val="24"/>
          <w:szCs w:val="24"/>
          <w:highlight w:val="yellow"/>
          <w:lang w:eastAsia="zh-CN"/>
        </w:rPr>
        <w:t xml:space="preserve">., 2023). This issue matters because processing modifies the seeds themselves, and boiling changed the fatty acid and free amino acid composition of peanuts more than roasting did (Zhang </w:t>
      </w:r>
      <w:r>
        <w:rPr>
          <w:rFonts w:eastAsia="Times New Roman"/>
          <w:i/>
          <w:iCs/>
          <w:sz w:val="24"/>
          <w:szCs w:val="24"/>
          <w:highlight w:val="yellow"/>
          <w:lang w:eastAsia="zh-CN"/>
        </w:rPr>
        <w:t>et al</w:t>
      </w:r>
      <w:r>
        <w:rPr>
          <w:rFonts w:eastAsia="Times New Roman"/>
          <w:sz w:val="24"/>
          <w:szCs w:val="24"/>
          <w:highlight w:val="yellow"/>
          <w:lang w:eastAsia="zh-CN"/>
        </w:rPr>
        <w:t>., 2024). As a result, both how groundnuts are prepared and how much is eaten may influence their lipid effect.</w:t>
      </w:r>
      <w:r>
        <w:rPr>
          <w:rFonts w:eastAsia="Times New Roman"/>
          <w:sz w:val="24"/>
          <w:szCs w:val="24"/>
          <w:lang w:eastAsia="zh-CN"/>
        </w:rPr>
        <w:t xml:space="preserve"> </w:t>
      </w:r>
      <w:r w:rsidRPr="003147F2">
        <w:rPr>
          <w:bCs/>
          <w:highlight w:val="yellow"/>
        </w:rPr>
        <w:t>Experimental analyses of groundnut oil subjected to repeated frying have demonstrated changes in lipid-oxidation indices (Saha et al., 2026); however, these results do not directly describe groundnut seeds prepared using the cooking and grilling methods investigated in the present study.</w:t>
      </w:r>
    </w:p>
    <w:p w14:paraId="0CE865D6" w14:textId="77777777" w:rsidR="00691681" w:rsidRDefault="00000000">
      <w:pPr>
        <w:spacing w:line="360" w:lineRule="auto"/>
        <w:ind w:right="540"/>
        <w:jc w:val="both"/>
        <w:rPr>
          <w:rFonts w:eastAsia="Times New Roman"/>
          <w:sz w:val="24"/>
          <w:szCs w:val="24"/>
          <w:lang w:eastAsia="zh-CN"/>
        </w:rPr>
      </w:pPr>
      <w:r>
        <w:rPr>
          <w:b/>
          <w:highlight w:val="yellow"/>
        </w:rPr>
        <w:t>The literature considered above does not directly compare cooked, uncooked, and grilled groundnut seeds at the dietary inclusion levels used in the present experiment. The comparative responses of individual serum lipid parameters to these preparations therefore remain a specific question for this rat model.</w:t>
      </w:r>
    </w:p>
    <w:p w14:paraId="4A97826E" w14:textId="77777777" w:rsidR="00EF3558" w:rsidRPr="00A757FB" w:rsidRDefault="00367DFA" w:rsidP="00EF3558">
      <w:pPr>
        <w:spacing w:line="360" w:lineRule="auto"/>
        <w:ind w:right="540"/>
        <w:jc w:val="both"/>
        <w:rPr>
          <w:rFonts w:eastAsia="Times New Roman"/>
          <w:sz w:val="24"/>
          <w:szCs w:val="24"/>
          <w:lang w:eastAsia="zh-CN"/>
        </w:rPr>
      </w:pPr>
      <w:r>
        <w:rPr>
          <w:rFonts w:eastAsia="Times New Roman"/>
          <w:sz w:val="24"/>
          <w:szCs w:val="24"/>
          <w:lang w:eastAsia="zh-CN"/>
        </w:rPr>
        <w:lastRenderedPageBreak/>
        <w:t xml:space="preserve">CVDs constitute the leading cause of morbidity and mortality globally, with </w:t>
      </w:r>
      <w:proofErr w:type="spellStart"/>
      <w:r>
        <w:rPr>
          <w:rFonts w:eastAsia="Times New Roman"/>
          <w:sz w:val="24"/>
          <w:szCs w:val="24"/>
          <w:lang w:eastAsia="zh-CN"/>
        </w:rPr>
        <w:t>dyslipid</w:t>
      </w:r>
      <w:r>
        <w:rPr>
          <w:rFonts w:eastAsia="Times New Roman"/>
          <w:sz w:val="24"/>
          <w:szCs w:val="24"/>
          <w:highlight w:val="yellow"/>
          <w:lang w:eastAsia="zh-CN"/>
        </w:rPr>
        <w:t>a</w:t>
      </w:r>
      <w:r>
        <w:rPr>
          <w:rFonts w:eastAsia="Times New Roman"/>
          <w:sz w:val="24"/>
          <w:szCs w:val="24"/>
          <w:lang w:eastAsia="zh-CN"/>
        </w:rPr>
        <w:t>emia</w:t>
      </w:r>
      <w:proofErr w:type="spellEnd"/>
      <w:r>
        <w:rPr>
          <w:rFonts w:eastAsia="Times New Roman"/>
          <w:sz w:val="24"/>
          <w:szCs w:val="24"/>
          <w:lang w:eastAsia="zh-CN"/>
        </w:rPr>
        <w:t xml:space="preserve"> representing a principal risk factor. Current dietary interventions are subject to limitations, and cost-effective, nutrient-dense alternatives are required. </w:t>
      </w:r>
      <w:r>
        <w:rPr>
          <w:rFonts w:eastAsia="Times New Roman"/>
          <w:i/>
          <w:iCs/>
          <w:sz w:val="24"/>
          <w:szCs w:val="24"/>
          <w:lang w:eastAsia="zh-CN"/>
        </w:rPr>
        <w:t>A. hypogaea</w:t>
      </w:r>
      <w:r>
        <w:rPr>
          <w:rFonts w:eastAsia="Times New Roman"/>
          <w:sz w:val="24"/>
          <w:szCs w:val="24"/>
          <w:lang w:eastAsia="zh-CN"/>
        </w:rPr>
        <w:t xml:space="preserve">, which is rich in healthy fats and proteins and widely consumed in Africa, possesses potential health benefits. Nevertheless, its effects on lipid profiles remain uncertain. To address this issue, the present study examines the impact of a diet supplemented with processed (cooked, uncooked, and grilled) </w:t>
      </w:r>
      <w:r>
        <w:rPr>
          <w:rFonts w:eastAsia="Times New Roman"/>
          <w:i/>
          <w:iCs/>
          <w:sz w:val="24"/>
          <w:szCs w:val="24"/>
          <w:lang w:eastAsia="zh-CN"/>
        </w:rPr>
        <w:t>groundnut</w:t>
      </w:r>
      <w:r>
        <w:rPr>
          <w:rFonts w:eastAsia="Times New Roman"/>
          <w:sz w:val="24"/>
          <w:szCs w:val="24"/>
          <w:lang w:eastAsia="zh-CN"/>
        </w:rPr>
        <w:t xml:space="preserve"> seeds on lipid profile parameters in Wistar albino rats.</w:t>
      </w:r>
    </w:p>
    <w:p w14:paraId="31739EF0" w14:textId="77777777" w:rsidR="00EF3558" w:rsidRPr="003048FC" w:rsidRDefault="00EF3558" w:rsidP="003048FC">
      <w:pPr>
        <w:pStyle w:val="ListParagraph"/>
        <w:numPr>
          <w:ilvl w:val="0"/>
          <w:numId w:val="2"/>
        </w:numPr>
        <w:spacing w:line="360" w:lineRule="auto"/>
        <w:ind w:left="360" w:right="540"/>
        <w:jc w:val="both"/>
        <w:rPr>
          <w:b/>
          <w:sz w:val="24"/>
          <w:szCs w:val="24"/>
        </w:rPr>
      </w:pPr>
      <w:r w:rsidRPr="003048FC">
        <w:rPr>
          <w:b/>
          <w:sz w:val="24"/>
          <w:szCs w:val="24"/>
        </w:rPr>
        <w:t>METHODS</w:t>
      </w:r>
    </w:p>
    <w:p w14:paraId="3BA52305" w14:textId="77777777" w:rsidR="00EF3558" w:rsidRPr="00A757FB" w:rsidRDefault="003048FC" w:rsidP="00EF3558">
      <w:pPr>
        <w:tabs>
          <w:tab w:val="left" w:pos="9360"/>
        </w:tabs>
        <w:spacing w:line="360" w:lineRule="auto"/>
        <w:jc w:val="both"/>
        <w:rPr>
          <w:sz w:val="24"/>
          <w:szCs w:val="24"/>
        </w:rPr>
      </w:pPr>
      <w:r>
        <w:rPr>
          <w:b/>
          <w:sz w:val="24"/>
          <w:szCs w:val="24"/>
        </w:rPr>
        <w:t>2.1 Sample Collection and Identification:</w:t>
      </w:r>
      <w:r>
        <w:rPr>
          <w:sz w:val="24"/>
          <w:szCs w:val="24"/>
        </w:rPr>
        <w:t xml:space="preserve"> The groundnut seeds used </w:t>
      </w:r>
      <w:r>
        <w:rPr>
          <w:sz w:val="24"/>
          <w:szCs w:val="24"/>
          <w:highlight w:val="yellow"/>
        </w:rPr>
        <w:t>in</w:t>
      </w:r>
      <w:r>
        <w:rPr>
          <w:sz w:val="24"/>
          <w:szCs w:val="24"/>
        </w:rPr>
        <w:t xml:space="preserve"> this study were purchased from Eke </w:t>
      </w:r>
      <w:proofErr w:type="spellStart"/>
      <w:r>
        <w:rPr>
          <w:sz w:val="24"/>
          <w:szCs w:val="24"/>
        </w:rPr>
        <w:t>Awka</w:t>
      </w:r>
      <w:proofErr w:type="spellEnd"/>
      <w:r>
        <w:rPr>
          <w:sz w:val="24"/>
          <w:szCs w:val="24"/>
        </w:rPr>
        <w:t xml:space="preserve"> Market, </w:t>
      </w:r>
      <w:proofErr w:type="spellStart"/>
      <w:r>
        <w:rPr>
          <w:sz w:val="24"/>
          <w:szCs w:val="24"/>
        </w:rPr>
        <w:t>Awka</w:t>
      </w:r>
      <w:proofErr w:type="spellEnd"/>
      <w:r>
        <w:rPr>
          <w:sz w:val="24"/>
          <w:szCs w:val="24"/>
        </w:rPr>
        <w:t xml:space="preserve"> South Local Government Area, Anambra State, Nigeria. The sample was identified by a taxonomist in the Department of Botany, Faculty of Biosciences, Nnamdi Azikiwe University, </w:t>
      </w:r>
      <w:proofErr w:type="spellStart"/>
      <w:r>
        <w:rPr>
          <w:sz w:val="24"/>
          <w:szCs w:val="24"/>
        </w:rPr>
        <w:t>Awka</w:t>
      </w:r>
      <w:proofErr w:type="spellEnd"/>
      <w:r>
        <w:rPr>
          <w:sz w:val="24"/>
          <w:szCs w:val="24"/>
        </w:rPr>
        <w:t xml:space="preserve">. The voucher number deposited in the herbarium of Nnamdi Azikiwe University, </w:t>
      </w:r>
      <w:proofErr w:type="spellStart"/>
      <w:r>
        <w:rPr>
          <w:sz w:val="24"/>
          <w:szCs w:val="24"/>
        </w:rPr>
        <w:t>Awka</w:t>
      </w:r>
      <w:proofErr w:type="spellEnd"/>
      <w:r>
        <w:rPr>
          <w:sz w:val="24"/>
          <w:szCs w:val="24"/>
        </w:rPr>
        <w:t xml:space="preserve"> is NAUH14</w:t>
      </w:r>
      <w:r>
        <w:rPr>
          <w:sz w:val="24"/>
          <w:szCs w:val="24"/>
          <w:vertAlign w:val="superscript"/>
        </w:rPr>
        <w:t>A</w:t>
      </w:r>
      <w:r>
        <w:rPr>
          <w:sz w:val="24"/>
          <w:szCs w:val="24"/>
        </w:rPr>
        <w:t>.</w:t>
      </w:r>
    </w:p>
    <w:p w14:paraId="493D5BBF" w14:textId="77777777" w:rsidR="00EF3558" w:rsidRPr="00A757FB" w:rsidRDefault="003048FC" w:rsidP="00EF3558">
      <w:pPr>
        <w:tabs>
          <w:tab w:val="left" w:pos="9360"/>
        </w:tabs>
        <w:spacing w:line="360" w:lineRule="auto"/>
        <w:jc w:val="both"/>
        <w:rPr>
          <w:sz w:val="24"/>
          <w:szCs w:val="24"/>
        </w:rPr>
      </w:pPr>
      <w:r>
        <w:rPr>
          <w:b/>
          <w:sz w:val="24"/>
          <w:szCs w:val="24"/>
        </w:rPr>
        <w:t>2.2 Processing of Sample:</w:t>
      </w:r>
      <w:r>
        <w:rPr>
          <w:sz w:val="24"/>
          <w:szCs w:val="24"/>
        </w:rPr>
        <w:t xml:space="preserve"> The groundnuts wer</w:t>
      </w:r>
      <w:r>
        <w:rPr>
          <w:sz w:val="24"/>
          <w:szCs w:val="24"/>
          <w:highlight w:val="yellow"/>
        </w:rPr>
        <w:t>e</w:t>
      </w:r>
      <w:r>
        <w:rPr>
          <w:sz w:val="24"/>
          <w:szCs w:val="24"/>
        </w:rPr>
        <w:t xml:space="preserve"> washed and deshelled to </w:t>
      </w:r>
      <w:r>
        <w:rPr>
          <w:sz w:val="24"/>
          <w:szCs w:val="24"/>
          <w:highlight w:val="yellow"/>
        </w:rPr>
        <w:t>ob</w:t>
      </w:r>
      <w:r>
        <w:rPr>
          <w:sz w:val="24"/>
          <w:szCs w:val="24"/>
        </w:rPr>
        <w:t>t</w:t>
      </w:r>
      <w:r>
        <w:rPr>
          <w:sz w:val="24"/>
          <w:szCs w:val="24"/>
          <w:highlight w:val="yellow"/>
        </w:rPr>
        <w:t>ain</w:t>
      </w:r>
      <w:r>
        <w:rPr>
          <w:sz w:val="24"/>
          <w:szCs w:val="24"/>
        </w:rPr>
        <w:t xml:space="preserve"> the seed</w:t>
      </w:r>
      <w:r>
        <w:rPr>
          <w:sz w:val="24"/>
          <w:szCs w:val="24"/>
          <w:highlight w:val="yellow"/>
        </w:rPr>
        <w:t>s</w:t>
      </w:r>
      <w:r>
        <w:rPr>
          <w:sz w:val="24"/>
          <w:szCs w:val="24"/>
        </w:rPr>
        <w:t>, after which the groundnut seeds were divided into three portions for processing.</w:t>
      </w:r>
    </w:p>
    <w:p w14:paraId="51F57B90" w14:textId="77777777" w:rsidR="00EF3558" w:rsidRPr="00A757FB" w:rsidRDefault="003048FC" w:rsidP="00EF3558">
      <w:pPr>
        <w:tabs>
          <w:tab w:val="left" w:pos="9360"/>
        </w:tabs>
        <w:spacing w:line="360" w:lineRule="auto"/>
        <w:jc w:val="both"/>
        <w:rPr>
          <w:sz w:val="24"/>
          <w:szCs w:val="24"/>
        </w:rPr>
      </w:pPr>
      <w:r>
        <w:rPr>
          <w:b/>
          <w:sz w:val="24"/>
          <w:szCs w:val="24"/>
        </w:rPr>
        <w:t>2.2.1 Grilled Groundnut:</w:t>
      </w:r>
      <w:r>
        <w:rPr>
          <w:sz w:val="24"/>
          <w:szCs w:val="24"/>
        </w:rPr>
        <w:t xml:space="preserve"> The first portion of the groundnut seeds was grilled on a frying pan containing sandy soil using a kerosene stove. The heated seeds were left to cool, then separated from the chaff of the pods and pulverized using </w:t>
      </w:r>
      <w:r>
        <w:rPr>
          <w:spacing w:val="1"/>
          <w:sz w:val="24"/>
          <w:szCs w:val="24"/>
        </w:rPr>
        <w:t xml:space="preserve">a </w:t>
      </w:r>
      <w:r>
        <w:rPr>
          <w:sz w:val="24"/>
          <w:szCs w:val="24"/>
        </w:rPr>
        <w:t>corona manual grinding machine. The powdered grilled groundnut was stored inside a well-label</w:t>
      </w:r>
      <w:r>
        <w:rPr>
          <w:sz w:val="24"/>
          <w:szCs w:val="24"/>
          <w:highlight w:val="yellow"/>
        </w:rPr>
        <w:t>l</w:t>
      </w:r>
      <w:r>
        <w:rPr>
          <w:sz w:val="24"/>
          <w:szCs w:val="24"/>
        </w:rPr>
        <w:t>ed airtight plastic container until use.</w:t>
      </w:r>
    </w:p>
    <w:p w14:paraId="51922099" w14:textId="77777777" w:rsidR="00EF3558" w:rsidRPr="00A757FB" w:rsidRDefault="003048FC" w:rsidP="00EF3558">
      <w:pPr>
        <w:tabs>
          <w:tab w:val="left" w:pos="9360"/>
        </w:tabs>
        <w:spacing w:line="360" w:lineRule="auto"/>
        <w:jc w:val="both"/>
        <w:rPr>
          <w:sz w:val="24"/>
          <w:szCs w:val="24"/>
        </w:rPr>
      </w:pPr>
      <w:r>
        <w:rPr>
          <w:b/>
          <w:sz w:val="24"/>
          <w:szCs w:val="24"/>
        </w:rPr>
        <w:t>2.2.2 Cooked Groundnut:</w:t>
      </w:r>
      <w:r>
        <w:rPr>
          <w:sz w:val="24"/>
          <w:szCs w:val="24"/>
        </w:rPr>
        <w:t xml:space="preserve"> The second portion of the groundnut seeds w</w:t>
      </w:r>
      <w:r>
        <w:rPr>
          <w:sz w:val="24"/>
          <w:szCs w:val="24"/>
          <w:highlight w:val="yellow"/>
        </w:rPr>
        <w:t>ere</w:t>
      </w:r>
      <w:r>
        <w:rPr>
          <w:sz w:val="24"/>
          <w:szCs w:val="24"/>
        </w:rPr>
        <w:t xml:space="preserve"> cooked using a kerosene stove in a pot containing water for 45 minutes until t</w:t>
      </w:r>
      <w:r>
        <w:rPr>
          <w:sz w:val="24"/>
          <w:szCs w:val="24"/>
          <w:highlight w:val="yellow"/>
        </w:rPr>
        <w:t>hey</w:t>
      </w:r>
      <w:r>
        <w:rPr>
          <w:sz w:val="24"/>
          <w:szCs w:val="24"/>
        </w:rPr>
        <w:t xml:space="preserve"> w</w:t>
      </w:r>
      <w:r>
        <w:rPr>
          <w:sz w:val="24"/>
          <w:szCs w:val="24"/>
          <w:highlight w:val="yellow"/>
        </w:rPr>
        <w:t>ere</w:t>
      </w:r>
      <w:r>
        <w:rPr>
          <w:sz w:val="24"/>
          <w:szCs w:val="24"/>
        </w:rPr>
        <w:t xml:space="preserve"> soft and edible for consumption. Next, the cooked groundnut seeds were dried at room temperature and pulverized using a corona manual grinding machine; the dried and powdered cooked groundnut was stored inside a well-label</w:t>
      </w:r>
      <w:r>
        <w:rPr>
          <w:sz w:val="24"/>
          <w:szCs w:val="24"/>
          <w:highlight w:val="yellow"/>
        </w:rPr>
        <w:t>l</w:t>
      </w:r>
      <w:r>
        <w:rPr>
          <w:sz w:val="24"/>
          <w:szCs w:val="24"/>
        </w:rPr>
        <w:t>ed airtight plastic container until use.</w:t>
      </w:r>
    </w:p>
    <w:p w14:paraId="6DF96CE3" w14:textId="77777777" w:rsidR="00EF3558" w:rsidRPr="00A757FB" w:rsidRDefault="003048FC" w:rsidP="00EF3558">
      <w:pPr>
        <w:pStyle w:val="BodyText"/>
        <w:tabs>
          <w:tab w:val="left" w:pos="9360"/>
        </w:tabs>
        <w:spacing w:line="360" w:lineRule="auto"/>
        <w:jc w:val="both"/>
        <w:rPr>
          <w:sz w:val="24"/>
          <w:szCs w:val="24"/>
        </w:rPr>
      </w:pPr>
      <w:r>
        <w:rPr>
          <w:b/>
          <w:sz w:val="24"/>
          <w:szCs w:val="24"/>
        </w:rPr>
        <w:t>2.2.3 Uncooked Groundnut:</w:t>
      </w:r>
      <w:r>
        <w:rPr>
          <w:sz w:val="24"/>
          <w:szCs w:val="24"/>
        </w:rPr>
        <w:t xml:space="preserve"> The third portion of the groundnut seeds was chopped into smaller pieces and air-dried for 10 days (one week and three days) at room temperature. Next, the nuts were pulverized using a corona manual grinding machine, and the powdered uncooked groundnut was stored inside a well-label</w:t>
      </w:r>
      <w:r>
        <w:rPr>
          <w:sz w:val="24"/>
          <w:szCs w:val="24"/>
          <w:highlight w:val="yellow"/>
        </w:rPr>
        <w:t>l</w:t>
      </w:r>
      <w:r>
        <w:rPr>
          <w:sz w:val="24"/>
          <w:szCs w:val="24"/>
        </w:rPr>
        <w:t>ed airtight plastic container until use.</w:t>
      </w:r>
    </w:p>
    <w:p w14:paraId="14D34278" w14:textId="77777777" w:rsidR="00EF3558" w:rsidRPr="00A757FB" w:rsidRDefault="00EF3558" w:rsidP="00EF3558">
      <w:pPr>
        <w:tabs>
          <w:tab w:val="left" w:pos="9360"/>
        </w:tabs>
        <w:spacing w:line="360" w:lineRule="auto"/>
        <w:jc w:val="both"/>
        <w:rPr>
          <w:sz w:val="24"/>
          <w:szCs w:val="24"/>
        </w:rPr>
      </w:pPr>
    </w:p>
    <w:p w14:paraId="07A9AEC5" w14:textId="77777777" w:rsidR="006A28D4" w:rsidRPr="00A757FB" w:rsidRDefault="003048FC" w:rsidP="006A28D4">
      <w:pPr>
        <w:tabs>
          <w:tab w:val="left" w:pos="9360"/>
        </w:tabs>
        <w:spacing w:line="360" w:lineRule="auto"/>
        <w:jc w:val="both"/>
        <w:rPr>
          <w:sz w:val="24"/>
          <w:szCs w:val="24"/>
        </w:rPr>
      </w:pPr>
      <w:r>
        <w:rPr>
          <w:b/>
          <w:sz w:val="24"/>
          <w:szCs w:val="24"/>
        </w:rPr>
        <w:lastRenderedPageBreak/>
        <w:t>2.3 Composition of the Rat Feed:</w:t>
      </w:r>
      <w:r>
        <w:rPr>
          <w:sz w:val="24"/>
          <w:szCs w:val="24"/>
        </w:rPr>
        <w:t xml:space="preserve"> The</w:t>
      </w:r>
      <w:r>
        <w:rPr>
          <w:spacing w:val="1"/>
          <w:sz w:val="24"/>
          <w:szCs w:val="24"/>
        </w:rPr>
        <w:t xml:space="preserve"> standard </w:t>
      </w:r>
      <w:r>
        <w:rPr>
          <w:sz w:val="24"/>
          <w:szCs w:val="24"/>
        </w:rPr>
        <w:t xml:space="preserve">feed given to the rats was purchased from a feed dealer in </w:t>
      </w:r>
      <w:proofErr w:type="spellStart"/>
      <w:r>
        <w:rPr>
          <w:sz w:val="24"/>
          <w:szCs w:val="24"/>
        </w:rPr>
        <w:t>Awka</w:t>
      </w:r>
      <w:proofErr w:type="spellEnd"/>
      <w:r>
        <w:rPr>
          <w:sz w:val="24"/>
          <w:szCs w:val="24"/>
        </w:rPr>
        <w:t>. The ingredients used t</w:t>
      </w:r>
      <w:r>
        <w:rPr>
          <w:sz w:val="24"/>
          <w:szCs w:val="24"/>
          <w:highlight w:val="yellow"/>
        </w:rPr>
        <w:t>o</w:t>
      </w:r>
      <w:r>
        <w:rPr>
          <w:sz w:val="24"/>
          <w:szCs w:val="24"/>
        </w:rPr>
        <w:t xml:space="preserve"> compound the standard feed include</w:t>
      </w:r>
      <w:r>
        <w:rPr>
          <w:sz w:val="24"/>
          <w:szCs w:val="24"/>
          <w:highlight w:val="yellow"/>
        </w:rPr>
        <w:t>d</w:t>
      </w:r>
      <w:r>
        <w:rPr>
          <w:sz w:val="24"/>
          <w:szCs w:val="24"/>
        </w:rPr>
        <w:t xml:space="preserve"> grains and cereals, vegetables, protein meals, vitamins, minerals, essential amino acids, anti-toxins, and enzymes. The composition of the ingredients is as follows: Oil (6%), Protein (16%), </w:t>
      </w:r>
      <w:proofErr w:type="spellStart"/>
      <w:r>
        <w:rPr>
          <w:sz w:val="24"/>
          <w:szCs w:val="24"/>
        </w:rPr>
        <w:t>Fibre</w:t>
      </w:r>
      <w:proofErr w:type="spellEnd"/>
      <w:r>
        <w:rPr>
          <w:sz w:val="24"/>
          <w:szCs w:val="24"/>
        </w:rPr>
        <w:t xml:space="preserve"> (7%), Ash (10%), Calcium (0.95%), and Phosphorus (0.65%). </w:t>
      </w:r>
    </w:p>
    <w:p w14:paraId="13A25F63" w14:textId="77777777" w:rsidR="00EF3558" w:rsidRPr="00A757FB" w:rsidRDefault="00EF3558" w:rsidP="00EF3558">
      <w:pPr>
        <w:tabs>
          <w:tab w:val="left" w:pos="9360"/>
        </w:tabs>
        <w:spacing w:line="360" w:lineRule="auto"/>
        <w:jc w:val="both"/>
        <w:rPr>
          <w:sz w:val="24"/>
          <w:szCs w:val="24"/>
        </w:rPr>
      </w:pPr>
      <w:r>
        <w:rPr>
          <w:sz w:val="24"/>
          <w:szCs w:val="24"/>
        </w:rPr>
        <w:t xml:space="preserve">The feed was supplemented with processed groundnut (grilled, uncooked, and cooked) in the following percentages (30%, 50%, and 70%). Using an analytical weighing balance, the feed and </w:t>
      </w:r>
      <w:r>
        <w:rPr>
          <w:sz w:val="24"/>
          <w:szCs w:val="24"/>
          <w:highlight w:val="yellow"/>
        </w:rPr>
        <w:t xml:space="preserve">the </w:t>
      </w:r>
      <w:r>
        <w:rPr>
          <w:sz w:val="24"/>
          <w:szCs w:val="24"/>
        </w:rPr>
        <w:t>respective groundnut</w:t>
      </w:r>
      <w:r>
        <w:rPr>
          <w:sz w:val="24"/>
          <w:szCs w:val="24"/>
          <w:highlight w:val="yellow"/>
        </w:rPr>
        <w:t xml:space="preserve"> portion</w:t>
      </w:r>
      <w:r>
        <w:rPr>
          <w:sz w:val="24"/>
          <w:szCs w:val="24"/>
        </w:rPr>
        <w:t xml:space="preserve">s were </w:t>
      </w:r>
      <w:r>
        <w:rPr>
          <w:sz w:val="24"/>
          <w:szCs w:val="24"/>
          <w:highlight w:val="yellow"/>
        </w:rPr>
        <w:t>w</w:t>
      </w:r>
      <w:r>
        <w:rPr>
          <w:sz w:val="24"/>
          <w:szCs w:val="24"/>
        </w:rPr>
        <w:t>e</w:t>
      </w:r>
      <w:r>
        <w:rPr>
          <w:sz w:val="24"/>
          <w:szCs w:val="24"/>
          <w:highlight w:val="yellow"/>
        </w:rPr>
        <w:t>ig</w:t>
      </w:r>
      <w:r>
        <w:rPr>
          <w:sz w:val="24"/>
          <w:szCs w:val="24"/>
        </w:rPr>
        <w:t xml:space="preserve">hed. These formulations were repeated until </w:t>
      </w:r>
      <w:r>
        <w:rPr>
          <w:sz w:val="24"/>
          <w:szCs w:val="24"/>
          <w:highlight w:val="yellow"/>
        </w:rPr>
        <w:t>suffici</w:t>
      </w:r>
      <w:r>
        <w:rPr>
          <w:sz w:val="24"/>
          <w:szCs w:val="24"/>
        </w:rPr>
        <w:t>en</w:t>
      </w:r>
      <w:r>
        <w:rPr>
          <w:sz w:val="24"/>
          <w:szCs w:val="24"/>
          <w:highlight w:val="yellow"/>
        </w:rPr>
        <w:t>t</w:t>
      </w:r>
      <w:r>
        <w:rPr>
          <w:sz w:val="24"/>
          <w:szCs w:val="24"/>
        </w:rPr>
        <w:t xml:space="preserve"> feed </w:t>
      </w:r>
      <w:r>
        <w:rPr>
          <w:sz w:val="24"/>
          <w:szCs w:val="24"/>
          <w:highlight w:val="yellow"/>
        </w:rPr>
        <w:t>h</w:t>
      </w:r>
      <w:r>
        <w:rPr>
          <w:sz w:val="24"/>
          <w:szCs w:val="24"/>
        </w:rPr>
        <w:t>a</w:t>
      </w:r>
      <w:r>
        <w:rPr>
          <w:sz w:val="24"/>
          <w:szCs w:val="24"/>
          <w:highlight w:val="yellow"/>
        </w:rPr>
        <w:t>d been</w:t>
      </w:r>
      <w:r>
        <w:rPr>
          <w:sz w:val="24"/>
          <w:szCs w:val="24"/>
        </w:rPr>
        <w:t xml:space="preserve"> prepared for 28 days (4 weeks).</w:t>
      </w:r>
    </w:p>
    <w:p w14:paraId="573205B2" w14:textId="77777777" w:rsidR="00EF3558" w:rsidRPr="00A757FB" w:rsidRDefault="003048FC" w:rsidP="00EF3558">
      <w:pPr>
        <w:tabs>
          <w:tab w:val="left" w:pos="9360"/>
        </w:tabs>
        <w:spacing w:line="360" w:lineRule="auto"/>
        <w:jc w:val="both"/>
        <w:rPr>
          <w:sz w:val="24"/>
          <w:szCs w:val="24"/>
        </w:rPr>
      </w:pPr>
      <w:r>
        <w:rPr>
          <w:b/>
          <w:sz w:val="24"/>
          <w:szCs w:val="24"/>
        </w:rPr>
        <w:t>2.4 Study Design:</w:t>
      </w:r>
      <w:r>
        <w:rPr>
          <w:sz w:val="24"/>
          <w:szCs w:val="24"/>
        </w:rPr>
        <w:t xml:space="preserve"> A total of thirty-five</w:t>
      </w:r>
      <w:r>
        <w:rPr>
          <w:spacing w:val="-3"/>
          <w:sz w:val="24"/>
          <w:szCs w:val="24"/>
        </w:rPr>
        <w:t xml:space="preserve"> (35) </w:t>
      </w:r>
      <w:r>
        <w:rPr>
          <w:sz w:val="24"/>
          <w:szCs w:val="24"/>
        </w:rPr>
        <w:t xml:space="preserve">Wistar rats weighing between 140 g- 180 g were purchased from Chris Experimental Animal Farm and Research Laboratory, </w:t>
      </w:r>
      <w:proofErr w:type="spellStart"/>
      <w:r>
        <w:rPr>
          <w:sz w:val="24"/>
          <w:szCs w:val="24"/>
        </w:rPr>
        <w:t>Awka</w:t>
      </w:r>
      <w:proofErr w:type="spellEnd"/>
      <w:r>
        <w:rPr>
          <w:sz w:val="24"/>
          <w:szCs w:val="24"/>
        </w:rPr>
        <w:t xml:space="preserve">, Anambra State, and </w:t>
      </w:r>
      <w:r>
        <w:rPr>
          <w:sz w:val="24"/>
          <w:szCs w:val="24"/>
          <w:highlight w:val="yellow"/>
        </w:rPr>
        <w:t xml:space="preserve">were </w:t>
      </w:r>
      <w:r>
        <w:rPr>
          <w:sz w:val="24"/>
          <w:szCs w:val="24"/>
        </w:rPr>
        <w:t>random</w:t>
      </w:r>
      <w:r>
        <w:rPr>
          <w:sz w:val="24"/>
          <w:szCs w:val="24"/>
          <w:highlight w:val="yellow"/>
        </w:rPr>
        <w:t>ly allocat</w:t>
      </w:r>
      <w:r>
        <w:rPr>
          <w:sz w:val="24"/>
          <w:szCs w:val="24"/>
        </w:rPr>
        <w:t xml:space="preserve">ed to seven groups of five rats each for the study. They were allowed to </w:t>
      </w:r>
      <w:proofErr w:type="spellStart"/>
      <w:r>
        <w:rPr>
          <w:sz w:val="24"/>
          <w:szCs w:val="24"/>
        </w:rPr>
        <w:t>acclimati</w:t>
      </w:r>
      <w:r>
        <w:rPr>
          <w:sz w:val="24"/>
          <w:szCs w:val="24"/>
          <w:highlight w:val="yellow"/>
        </w:rPr>
        <w:t>s</w:t>
      </w:r>
      <w:r>
        <w:rPr>
          <w:sz w:val="24"/>
          <w:szCs w:val="24"/>
        </w:rPr>
        <w:t>e</w:t>
      </w:r>
      <w:proofErr w:type="spellEnd"/>
      <w:r>
        <w:rPr>
          <w:sz w:val="24"/>
          <w:szCs w:val="24"/>
          <w:highlight w:val="yellow"/>
        </w:rPr>
        <w:t xml:space="preserve"> and were</w:t>
      </w:r>
      <w:r>
        <w:rPr>
          <w:sz w:val="24"/>
          <w:szCs w:val="24"/>
        </w:rPr>
        <w:t xml:space="preserve"> maintained and housed in cages under standard environmental conditions (27°C ± 3°C, 12-hour light/dark cycle) in Chris Experimental Animal Farm and Research Laboratory, </w:t>
      </w:r>
      <w:proofErr w:type="spellStart"/>
      <w:r>
        <w:rPr>
          <w:sz w:val="24"/>
          <w:szCs w:val="24"/>
        </w:rPr>
        <w:t>Awka</w:t>
      </w:r>
      <w:proofErr w:type="spellEnd"/>
      <w:r>
        <w:rPr>
          <w:sz w:val="24"/>
          <w:szCs w:val="24"/>
        </w:rPr>
        <w:t>. The rats were weighed, marked, and p</w:t>
      </w:r>
      <w:r>
        <w:rPr>
          <w:sz w:val="24"/>
          <w:szCs w:val="24"/>
          <w:highlight w:val="yellow"/>
        </w:rPr>
        <w:t>laced</w:t>
      </w:r>
      <w:r>
        <w:rPr>
          <w:sz w:val="24"/>
          <w:szCs w:val="24"/>
        </w:rPr>
        <w:t xml:space="preserve"> in labe</w:t>
      </w:r>
      <w:r>
        <w:rPr>
          <w:sz w:val="24"/>
          <w:szCs w:val="24"/>
          <w:highlight w:val="yellow"/>
        </w:rPr>
        <w:t>l</w:t>
      </w:r>
      <w:r>
        <w:rPr>
          <w:sz w:val="24"/>
          <w:szCs w:val="24"/>
        </w:rPr>
        <w:t xml:space="preserve">led cages. </w:t>
      </w:r>
    </w:p>
    <w:p w14:paraId="3511685D" w14:textId="77777777" w:rsidR="00EF3558" w:rsidRPr="00A757FB" w:rsidRDefault="00EF3558" w:rsidP="00EF3558">
      <w:pPr>
        <w:tabs>
          <w:tab w:val="left" w:pos="9360"/>
        </w:tabs>
        <w:spacing w:line="360" w:lineRule="auto"/>
        <w:jc w:val="both"/>
        <w:rPr>
          <w:sz w:val="24"/>
          <w:szCs w:val="24"/>
        </w:rPr>
      </w:pPr>
      <w:r w:rsidRPr="00A757FB">
        <w:rPr>
          <w:sz w:val="24"/>
          <w:szCs w:val="24"/>
        </w:rPr>
        <w:t xml:space="preserve">The groupings were as follows: </w:t>
      </w:r>
    </w:p>
    <w:p w14:paraId="77DD846F" w14:textId="77777777" w:rsidR="00EF3558" w:rsidRPr="00A757FB" w:rsidRDefault="00EF3558" w:rsidP="00EF3558">
      <w:pPr>
        <w:pStyle w:val="NoSpacing"/>
        <w:spacing w:line="360" w:lineRule="auto"/>
        <w:jc w:val="both"/>
        <w:rPr>
          <w:sz w:val="24"/>
          <w:szCs w:val="24"/>
        </w:rPr>
      </w:pPr>
      <w:r w:rsidRPr="00A757FB">
        <w:rPr>
          <w:sz w:val="24"/>
          <w:szCs w:val="24"/>
        </w:rPr>
        <w:t xml:space="preserve">Group A – Normal Control </w:t>
      </w:r>
    </w:p>
    <w:p w14:paraId="082E8F90" w14:textId="77777777" w:rsidR="00EF3558" w:rsidRPr="00A757FB" w:rsidRDefault="00EF3558" w:rsidP="00EF3558">
      <w:pPr>
        <w:pStyle w:val="NoSpacing"/>
        <w:spacing w:line="360" w:lineRule="auto"/>
        <w:jc w:val="both"/>
        <w:rPr>
          <w:sz w:val="24"/>
          <w:szCs w:val="24"/>
        </w:rPr>
      </w:pPr>
      <w:r w:rsidRPr="00A757FB">
        <w:rPr>
          <w:sz w:val="24"/>
          <w:szCs w:val="24"/>
        </w:rPr>
        <w:t xml:space="preserve">Group B – 70% Standard Feed fortified with 30% cooked groundnut. </w:t>
      </w:r>
    </w:p>
    <w:p w14:paraId="7D4636E3" w14:textId="77777777" w:rsidR="00EF3558" w:rsidRPr="00A757FB" w:rsidRDefault="00EF3558" w:rsidP="00EF3558">
      <w:pPr>
        <w:pStyle w:val="NoSpacing"/>
        <w:spacing w:line="360" w:lineRule="auto"/>
        <w:jc w:val="both"/>
        <w:rPr>
          <w:sz w:val="24"/>
          <w:szCs w:val="24"/>
        </w:rPr>
      </w:pPr>
      <w:r w:rsidRPr="00A757FB">
        <w:rPr>
          <w:sz w:val="24"/>
          <w:szCs w:val="24"/>
        </w:rPr>
        <w:t xml:space="preserve">Group C – 70% Standard Feed fortified with 30% uncooked groundnut. </w:t>
      </w:r>
    </w:p>
    <w:p w14:paraId="09B4AFC9" w14:textId="77777777" w:rsidR="00EF3558" w:rsidRPr="00A757FB" w:rsidRDefault="00EF3558" w:rsidP="00EF3558">
      <w:pPr>
        <w:pStyle w:val="NoSpacing"/>
        <w:spacing w:line="360" w:lineRule="auto"/>
        <w:jc w:val="both"/>
        <w:rPr>
          <w:sz w:val="24"/>
          <w:szCs w:val="24"/>
        </w:rPr>
      </w:pPr>
      <w:r w:rsidRPr="00A757FB">
        <w:rPr>
          <w:sz w:val="24"/>
          <w:szCs w:val="24"/>
        </w:rPr>
        <w:t xml:space="preserve">Group D – 70% Standard Feed fortified with 30% grilled groundnut. </w:t>
      </w:r>
    </w:p>
    <w:p w14:paraId="73C8554F" w14:textId="77777777" w:rsidR="00EF3558" w:rsidRPr="00A757FB" w:rsidRDefault="00EF3558" w:rsidP="00EF3558">
      <w:pPr>
        <w:pStyle w:val="NoSpacing"/>
        <w:spacing w:line="360" w:lineRule="auto"/>
        <w:jc w:val="both"/>
        <w:rPr>
          <w:sz w:val="24"/>
          <w:szCs w:val="24"/>
        </w:rPr>
      </w:pPr>
      <w:r w:rsidRPr="00A757FB">
        <w:rPr>
          <w:sz w:val="24"/>
          <w:szCs w:val="24"/>
        </w:rPr>
        <w:t xml:space="preserve">Group E – 50% Standard Feed fortified with 50% cooked groundnut. </w:t>
      </w:r>
    </w:p>
    <w:p w14:paraId="677DA6BE" w14:textId="77777777" w:rsidR="00EF3558" w:rsidRPr="00A757FB" w:rsidRDefault="00EF3558" w:rsidP="00EF3558">
      <w:pPr>
        <w:pStyle w:val="NoSpacing"/>
        <w:spacing w:line="360" w:lineRule="auto"/>
        <w:jc w:val="both"/>
        <w:rPr>
          <w:sz w:val="24"/>
          <w:szCs w:val="24"/>
        </w:rPr>
      </w:pPr>
      <w:r w:rsidRPr="00A757FB">
        <w:rPr>
          <w:sz w:val="24"/>
          <w:szCs w:val="24"/>
        </w:rPr>
        <w:t xml:space="preserve">Group F – 50% Standard Feed fortified with 50% uncooked groundnut. </w:t>
      </w:r>
    </w:p>
    <w:p w14:paraId="5A72A85B" w14:textId="77777777" w:rsidR="00EF3558" w:rsidRPr="00A757FB" w:rsidRDefault="00EF3558" w:rsidP="00EF3558">
      <w:pPr>
        <w:pStyle w:val="NoSpacing"/>
        <w:spacing w:line="360" w:lineRule="auto"/>
        <w:jc w:val="both"/>
        <w:rPr>
          <w:sz w:val="24"/>
          <w:szCs w:val="24"/>
        </w:rPr>
      </w:pPr>
      <w:r w:rsidRPr="00A757FB">
        <w:rPr>
          <w:sz w:val="24"/>
          <w:szCs w:val="24"/>
        </w:rPr>
        <w:t xml:space="preserve">Group G – 50% Standard Feed fortified with 50% grilled groundnut. </w:t>
      </w:r>
    </w:p>
    <w:p w14:paraId="7BB18305" w14:textId="77777777" w:rsidR="00EF3558" w:rsidRPr="00A757FB" w:rsidRDefault="00EF3558" w:rsidP="00EF3558">
      <w:pPr>
        <w:tabs>
          <w:tab w:val="left" w:pos="9360"/>
        </w:tabs>
        <w:spacing w:line="360" w:lineRule="auto"/>
        <w:jc w:val="both"/>
        <w:rPr>
          <w:sz w:val="24"/>
          <w:szCs w:val="24"/>
        </w:rPr>
      </w:pPr>
    </w:p>
    <w:p w14:paraId="63FC6075" w14:textId="77777777" w:rsidR="00EF3558" w:rsidRPr="00A757FB" w:rsidRDefault="00EF3558" w:rsidP="00EF3558">
      <w:pPr>
        <w:tabs>
          <w:tab w:val="left" w:pos="9360"/>
        </w:tabs>
        <w:spacing w:line="360" w:lineRule="auto"/>
        <w:jc w:val="both"/>
        <w:rPr>
          <w:sz w:val="24"/>
          <w:szCs w:val="24"/>
        </w:rPr>
      </w:pPr>
      <w:r>
        <w:rPr>
          <w:b/>
          <w:sz w:val="24"/>
          <w:szCs w:val="24"/>
        </w:rPr>
        <w:t>Feeding of the Experimental Animals:</w:t>
      </w:r>
      <w:r>
        <w:rPr>
          <w:sz w:val="24"/>
          <w:szCs w:val="24"/>
        </w:rPr>
        <w:t xml:space="preserve"> The experimental animals were fed accordingly using the feed prepared for each group. The </w:t>
      </w:r>
      <w:r>
        <w:rPr>
          <w:sz w:val="24"/>
          <w:szCs w:val="24"/>
          <w:highlight w:val="yellow"/>
        </w:rPr>
        <w:t xml:space="preserve">rats were </w:t>
      </w:r>
      <w:r>
        <w:rPr>
          <w:sz w:val="24"/>
          <w:szCs w:val="24"/>
        </w:rPr>
        <w:t xml:space="preserve">fed for four (4) weeks, after which the rats were fasted and </w:t>
      </w:r>
      <w:proofErr w:type="spellStart"/>
      <w:r>
        <w:rPr>
          <w:sz w:val="24"/>
          <w:szCs w:val="24"/>
        </w:rPr>
        <w:t>an</w:t>
      </w:r>
      <w:r>
        <w:rPr>
          <w:sz w:val="24"/>
          <w:szCs w:val="24"/>
          <w:highlight w:val="yellow"/>
        </w:rPr>
        <w:t>a</w:t>
      </w:r>
      <w:r>
        <w:rPr>
          <w:sz w:val="24"/>
          <w:szCs w:val="24"/>
        </w:rPr>
        <w:t>estheti</w:t>
      </w:r>
      <w:r>
        <w:rPr>
          <w:sz w:val="24"/>
          <w:szCs w:val="24"/>
          <w:highlight w:val="yellow"/>
        </w:rPr>
        <w:t>s</w:t>
      </w:r>
      <w:r>
        <w:rPr>
          <w:sz w:val="24"/>
          <w:szCs w:val="24"/>
        </w:rPr>
        <w:t>ed</w:t>
      </w:r>
      <w:proofErr w:type="spellEnd"/>
      <w:r>
        <w:rPr>
          <w:sz w:val="24"/>
          <w:szCs w:val="24"/>
        </w:rPr>
        <w:t xml:space="preserve"> with ketamine 60-80 mg/kg + xylazine 5-10 mg/kg </w:t>
      </w:r>
      <w:proofErr w:type="spellStart"/>
      <w:r>
        <w:rPr>
          <w:sz w:val="24"/>
          <w:szCs w:val="24"/>
        </w:rPr>
        <w:t>i.p.</w:t>
      </w:r>
      <w:proofErr w:type="spellEnd"/>
      <w:r>
        <w:rPr>
          <w:sz w:val="24"/>
          <w:szCs w:val="24"/>
        </w:rPr>
        <w:t xml:space="preserve"> before blood collection. Blood was collected by cardiac puncture and p</w:t>
      </w:r>
      <w:r>
        <w:rPr>
          <w:sz w:val="24"/>
          <w:szCs w:val="24"/>
          <w:highlight w:val="yellow"/>
        </w:rPr>
        <w:t>laced</w:t>
      </w:r>
      <w:r>
        <w:rPr>
          <w:sz w:val="24"/>
          <w:szCs w:val="24"/>
        </w:rPr>
        <w:t xml:space="preserve"> in plain bottles for lipid profile analysis. The carcasses were properly disposed of by burying them.</w:t>
      </w:r>
    </w:p>
    <w:p w14:paraId="640D5C44" w14:textId="77777777" w:rsidR="001D68A0" w:rsidRDefault="003048FC" w:rsidP="00EF3558">
      <w:pPr>
        <w:tabs>
          <w:tab w:val="left" w:pos="9360"/>
        </w:tabs>
        <w:spacing w:line="360" w:lineRule="auto"/>
        <w:jc w:val="both"/>
        <w:rPr>
          <w:b/>
          <w:sz w:val="24"/>
          <w:szCs w:val="24"/>
        </w:rPr>
      </w:pPr>
      <w:r>
        <w:rPr>
          <w:b/>
          <w:sz w:val="24"/>
          <w:szCs w:val="24"/>
        </w:rPr>
        <w:lastRenderedPageBreak/>
        <w:t xml:space="preserve">2.5 </w:t>
      </w:r>
      <w:r w:rsidR="00EF3558" w:rsidRPr="00A757FB">
        <w:rPr>
          <w:b/>
          <w:sz w:val="24"/>
          <w:szCs w:val="24"/>
        </w:rPr>
        <w:t>Lipid Profile Determination</w:t>
      </w:r>
    </w:p>
    <w:p w14:paraId="6F998EE4" w14:textId="48278A22" w:rsidR="00EF3558" w:rsidRPr="00A757FB" w:rsidRDefault="00EF3558" w:rsidP="00EF3558">
      <w:pPr>
        <w:tabs>
          <w:tab w:val="left" w:pos="9360"/>
        </w:tabs>
        <w:spacing w:line="360" w:lineRule="auto"/>
        <w:jc w:val="both"/>
        <w:rPr>
          <w:sz w:val="24"/>
          <w:szCs w:val="24"/>
        </w:rPr>
      </w:pPr>
      <w:r>
        <w:rPr>
          <w:sz w:val="24"/>
          <w:szCs w:val="24"/>
        </w:rPr>
        <w:t xml:space="preserve">The lipid profile (Total Cholesterol, Triglycerides, High-Density Lipoprotein-cholesterol, Low-Density Lipoprotein-cholesterol, and Very Low-Density Lipoprotein-cholesterol) was determined using Randox test kits (Tietz </w:t>
      </w:r>
      <w:r>
        <w:rPr>
          <w:i/>
          <w:iCs/>
          <w:sz w:val="24"/>
          <w:szCs w:val="24"/>
        </w:rPr>
        <w:t>et al</w:t>
      </w:r>
      <w:r>
        <w:rPr>
          <w:i/>
          <w:sz w:val="24"/>
          <w:szCs w:val="24"/>
        </w:rPr>
        <w:t>.,</w:t>
      </w:r>
      <w:r>
        <w:rPr>
          <w:sz w:val="24"/>
          <w:szCs w:val="24"/>
        </w:rPr>
        <w:t xml:space="preserve"> 1990). Low-density lipoprotein-cholesterol (LDL-C) was calculated using the standard formula (</w:t>
      </w:r>
      <w:proofErr w:type="spellStart"/>
      <w:r>
        <w:rPr>
          <w:sz w:val="24"/>
          <w:szCs w:val="24"/>
        </w:rPr>
        <w:t>Friedewald</w:t>
      </w:r>
      <w:proofErr w:type="spellEnd"/>
      <w:r>
        <w:rPr>
          <w:sz w:val="24"/>
          <w:szCs w:val="24"/>
        </w:rPr>
        <w:t xml:space="preserve"> </w:t>
      </w:r>
      <w:r>
        <w:rPr>
          <w:i/>
          <w:iCs/>
          <w:sz w:val="24"/>
          <w:szCs w:val="24"/>
        </w:rPr>
        <w:t>et al</w:t>
      </w:r>
      <w:r>
        <w:rPr>
          <w:i/>
          <w:sz w:val="24"/>
          <w:szCs w:val="24"/>
        </w:rPr>
        <w:t>.,</w:t>
      </w:r>
      <w:r>
        <w:rPr>
          <w:sz w:val="24"/>
          <w:szCs w:val="24"/>
        </w:rPr>
        <w:t xml:space="preserve"> 1972). The procedure </w:t>
      </w:r>
      <w:r>
        <w:rPr>
          <w:sz w:val="24"/>
          <w:szCs w:val="24"/>
          <w:highlight w:val="yellow"/>
        </w:rPr>
        <w:t>follow</w:t>
      </w:r>
      <w:r>
        <w:rPr>
          <w:sz w:val="24"/>
          <w:szCs w:val="24"/>
        </w:rPr>
        <w:t xml:space="preserve">ed the manufacturer's instructions provided in the manual. </w:t>
      </w:r>
    </w:p>
    <w:p w14:paraId="710BBA22" w14:textId="77777777" w:rsidR="001D68A0" w:rsidRDefault="001D68A0" w:rsidP="00EF3558">
      <w:pPr>
        <w:tabs>
          <w:tab w:val="left" w:pos="9360"/>
        </w:tabs>
        <w:spacing w:line="360" w:lineRule="auto"/>
        <w:jc w:val="both"/>
        <w:rPr>
          <w:b/>
          <w:sz w:val="24"/>
          <w:szCs w:val="24"/>
        </w:rPr>
      </w:pPr>
      <w:r>
        <w:rPr>
          <w:b/>
          <w:sz w:val="24"/>
          <w:szCs w:val="24"/>
        </w:rPr>
        <w:t xml:space="preserve">2.6 </w:t>
      </w:r>
      <w:r w:rsidR="00EF3558" w:rsidRPr="00A757FB">
        <w:rPr>
          <w:b/>
          <w:sz w:val="24"/>
          <w:szCs w:val="24"/>
        </w:rPr>
        <w:t>Statistical Analysis</w:t>
      </w:r>
    </w:p>
    <w:p w14:paraId="69F0AD8C" w14:textId="77777777" w:rsidR="00E32BB0" w:rsidRPr="00A757FB" w:rsidRDefault="00EF3558" w:rsidP="00EF3558">
      <w:pPr>
        <w:tabs>
          <w:tab w:val="left" w:pos="9360"/>
        </w:tabs>
        <w:spacing w:line="360" w:lineRule="auto"/>
        <w:jc w:val="both"/>
        <w:rPr>
          <w:sz w:val="24"/>
          <w:szCs w:val="24"/>
        </w:rPr>
      </w:pPr>
      <w:r>
        <w:rPr>
          <w:sz w:val="24"/>
          <w:szCs w:val="24"/>
        </w:rPr>
        <w:t xml:space="preserve"> The data obtained from the experiments were expressed as mean ± SEM and </w:t>
      </w:r>
      <w:proofErr w:type="spellStart"/>
      <w:r>
        <w:rPr>
          <w:sz w:val="24"/>
          <w:szCs w:val="24"/>
        </w:rPr>
        <w:t>analy</w:t>
      </w:r>
      <w:r>
        <w:rPr>
          <w:sz w:val="24"/>
          <w:szCs w:val="24"/>
          <w:highlight w:val="yellow"/>
        </w:rPr>
        <w:t>s</w:t>
      </w:r>
      <w:r>
        <w:rPr>
          <w:sz w:val="24"/>
          <w:szCs w:val="24"/>
        </w:rPr>
        <w:t>ed</w:t>
      </w:r>
      <w:proofErr w:type="spellEnd"/>
      <w:r>
        <w:rPr>
          <w:sz w:val="24"/>
          <w:szCs w:val="24"/>
        </w:rPr>
        <w:t xml:space="preserve"> by one-way analysis of variance (ANOVA) followed by Dunnett's multiple comparison test. Statistical analyses were performed using GraphPad Prism, with statistical significance set at </w:t>
      </w:r>
      <w:r>
        <w:rPr>
          <w:i/>
          <w:iCs/>
          <w:sz w:val="24"/>
          <w:szCs w:val="24"/>
        </w:rPr>
        <w:t>P</w:t>
      </w:r>
      <w:r>
        <w:rPr>
          <w:sz w:val="24"/>
          <w:szCs w:val="24"/>
        </w:rPr>
        <w:t>&lt;0.05.</w:t>
      </w:r>
    </w:p>
    <w:p w14:paraId="513ED629" w14:textId="77777777" w:rsidR="00E32BB0" w:rsidRPr="00A757FB" w:rsidRDefault="00E32BB0" w:rsidP="00EF3558">
      <w:pPr>
        <w:tabs>
          <w:tab w:val="left" w:pos="9360"/>
        </w:tabs>
        <w:spacing w:line="360" w:lineRule="auto"/>
        <w:jc w:val="both"/>
        <w:rPr>
          <w:b/>
          <w:sz w:val="24"/>
          <w:szCs w:val="24"/>
        </w:rPr>
      </w:pPr>
    </w:p>
    <w:p w14:paraId="72AAB7DC" w14:textId="77777777" w:rsidR="00EF3558" w:rsidRPr="001D68A0" w:rsidRDefault="00EF3558" w:rsidP="001D68A0">
      <w:pPr>
        <w:pStyle w:val="ListParagraph"/>
        <w:numPr>
          <w:ilvl w:val="0"/>
          <w:numId w:val="2"/>
        </w:numPr>
        <w:tabs>
          <w:tab w:val="left" w:pos="9360"/>
        </w:tabs>
        <w:spacing w:line="360" w:lineRule="auto"/>
        <w:ind w:left="360"/>
        <w:jc w:val="both"/>
        <w:rPr>
          <w:b/>
          <w:sz w:val="24"/>
          <w:szCs w:val="24"/>
        </w:rPr>
      </w:pPr>
      <w:r w:rsidRPr="001D68A0">
        <w:rPr>
          <w:b/>
          <w:sz w:val="24"/>
          <w:szCs w:val="24"/>
        </w:rPr>
        <w:t xml:space="preserve">RESULTS </w:t>
      </w:r>
    </w:p>
    <w:p w14:paraId="1A5C7261" w14:textId="77777777" w:rsidR="00EF3558" w:rsidRPr="00A757FB" w:rsidRDefault="00EF3558" w:rsidP="00EF3558">
      <w:pPr>
        <w:pStyle w:val="BodyText"/>
        <w:spacing w:before="88" w:line="276" w:lineRule="auto"/>
        <w:jc w:val="both"/>
        <w:rPr>
          <w:sz w:val="24"/>
          <w:szCs w:val="24"/>
        </w:rPr>
      </w:pPr>
      <w:r>
        <w:rPr>
          <w:sz w:val="24"/>
          <w:szCs w:val="24"/>
        </w:rPr>
        <w:t xml:space="preserve">The concentrations of </w:t>
      </w:r>
      <w:r>
        <w:rPr>
          <w:sz w:val="24"/>
          <w:szCs w:val="24"/>
          <w:highlight w:val="yellow"/>
        </w:rPr>
        <w:t>t</w:t>
      </w:r>
      <w:r>
        <w:rPr>
          <w:sz w:val="24"/>
          <w:szCs w:val="24"/>
        </w:rPr>
        <w:t>otal cholesterol, HDL-C, triglycerides, LDL-C and VLDL-C are presented below.</w:t>
      </w:r>
    </w:p>
    <w:p w14:paraId="679CA5AA" w14:textId="77777777" w:rsidR="00EF3558" w:rsidRPr="00A757FB" w:rsidRDefault="00EF3558" w:rsidP="00EF3558">
      <w:pPr>
        <w:rPr>
          <w:sz w:val="24"/>
          <w:szCs w:val="24"/>
        </w:rPr>
      </w:pPr>
    </w:p>
    <w:p w14:paraId="7F8C4DF6" w14:textId="77777777" w:rsidR="001D68A0" w:rsidRPr="001D68A0" w:rsidRDefault="001D68A0" w:rsidP="00EF3558">
      <w:pPr>
        <w:jc w:val="both"/>
        <w:rPr>
          <w:b/>
          <w:bCs/>
          <w:sz w:val="24"/>
          <w:szCs w:val="24"/>
        </w:rPr>
      </w:pPr>
      <w:r w:rsidRPr="001D68A0">
        <w:rPr>
          <w:b/>
          <w:bCs/>
          <w:sz w:val="24"/>
          <w:szCs w:val="24"/>
        </w:rPr>
        <w:t xml:space="preserve">3.1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Total Cholesterol Concentration </w:t>
      </w:r>
      <w:r w:rsidR="00EF050E">
        <w:rPr>
          <w:b/>
          <w:bCs/>
          <w:sz w:val="24"/>
          <w:szCs w:val="24"/>
        </w:rPr>
        <w:t>o</w:t>
      </w:r>
      <w:r w:rsidR="00EF050E" w:rsidRPr="001D68A0">
        <w:rPr>
          <w:b/>
          <w:bCs/>
          <w:sz w:val="24"/>
          <w:szCs w:val="24"/>
        </w:rPr>
        <w:t xml:space="preserve">f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4497C317" w14:textId="77777777" w:rsidR="00EF3558" w:rsidRPr="00A757FB" w:rsidRDefault="00EF3558" w:rsidP="00EF3558">
      <w:pPr>
        <w:jc w:val="both"/>
        <w:rPr>
          <w:sz w:val="24"/>
          <w:szCs w:val="24"/>
        </w:rPr>
      </w:pPr>
      <w:r>
        <w:rPr>
          <w:sz w:val="24"/>
          <w:szCs w:val="24"/>
          <w:highlight w:val="yellow"/>
        </w:rPr>
        <w:t>Figur</w:t>
      </w:r>
      <w:r>
        <w:rPr>
          <w:sz w:val="24"/>
          <w:szCs w:val="24"/>
        </w:rPr>
        <w:t>e 1 show</w:t>
      </w:r>
      <w:r>
        <w:rPr>
          <w:sz w:val="24"/>
          <w:szCs w:val="24"/>
          <w:highlight w:val="yellow"/>
        </w:rPr>
        <w:t>s</w:t>
      </w:r>
      <w:r>
        <w:rPr>
          <w:sz w:val="24"/>
          <w:szCs w:val="24"/>
        </w:rPr>
        <w:t xml:space="preserve"> that there was no significant difference</w:t>
      </w:r>
      <w:r>
        <w:rPr>
          <w:sz w:val="24"/>
          <w:szCs w:val="24"/>
          <w:highlight w:val="yellow"/>
        </w:rPr>
        <w:t xml:space="preserve"> in total cholesterol</w:t>
      </w:r>
      <w:r>
        <w:rPr>
          <w:sz w:val="24"/>
          <w:szCs w:val="24"/>
        </w:rPr>
        <w:t xml:space="preserve"> (</w:t>
      </w:r>
      <w:r>
        <w:rPr>
          <w:i/>
          <w:iCs/>
          <w:sz w:val="24"/>
          <w:szCs w:val="24"/>
        </w:rPr>
        <w:t>P</w:t>
      </w:r>
      <w:r>
        <w:rPr>
          <w:sz w:val="24"/>
          <w:szCs w:val="24"/>
        </w:rPr>
        <w:t xml:space="preserve">&gt;0.05) in groups B, C, D, and F (70% standard feed fortified with 30% cooked </w:t>
      </w:r>
      <w:r>
        <w:rPr>
          <w:i/>
          <w:sz w:val="24"/>
          <w:szCs w:val="24"/>
        </w:rPr>
        <w:t xml:space="preserve">A. hypogaea </w:t>
      </w:r>
      <w:r>
        <w:rPr>
          <w:sz w:val="24"/>
          <w:szCs w:val="24"/>
        </w:rPr>
        <w:t xml:space="preserve">seeds, 70% standard feed fortified with 30% uncooked </w:t>
      </w:r>
      <w:r>
        <w:rPr>
          <w:i/>
          <w:sz w:val="24"/>
          <w:szCs w:val="24"/>
        </w:rPr>
        <w:t xml:space="preserve">A. hypogaea </w:t>
      </w:r>
      <w:r>
        <w:rPr>
          <w:sz w:val="24"/>
          <w:szCs w:val="24"/>
        </w:rPr>
        <w:t xml:space="preserve">seeds, 70% standard feed fortified with 30% grilled </w:t>
      </w:r>
      <w:r>
        <w:rPr>
          <w:i/>
          <w:sz w:val="24"/>
          <w:szCs w:val="24"/>
        </w:rPr>
        <w:t xml:space="preserve">A. hypogaea </w:t>
      </w:r>
      <w:r>
        <w:rPr>
          <w:sz w:val="24"/>
          <w:szCs w:val="24"/>
        </w:rPr>
        <w:t xml:space="preserve">seeds and 50% standard feed fortified with 50% uncooked </w:t>
      </w:r>
      <w:r>
        <w:rPr>
          <w:i/>
          <w:sz w:val="24"/>
          <w:szCs w:val="24"/>
        </w:rPr>
        <w:t xml:space="preserve">A. hypogaea </w:t>
      </w:r>
      <w:r>
        <w:rPr>
          <w:sz w:val="24"/>
          <w:szCs w:val="24"/>
        </w:rPr>
        <w:t>seeds respectively) compared with</w:t>
      </w:r>
      <w:r>
        <w:rPr>
          <w:sz w:val="24"/>
          <w:szCs w:val="24"/>
          <w:highlight w:val="yellow"/>
        </w:rPr>
        <w:t xml:space="preserve"> the</w:t>
      </w:r>
      <w:r>
        <w:rPr>
          <w:sz w:val="24"/>
          <w:szCs w:val="24"/>
        </w:rPr>
        <w:t xml:space="preserve"> normal control (group A). Groups E and G (50% standard feed fortified with 50% cooked </w:t>
      </w:r>
      <w:r>
        <w:rPr>
          <w:i/>
          <w:sz w:val="24"/>
          <w:szCs w:val="24"/>
        </w:rPr>
        <w:t xml:space="preserve">A. hypogaea </w:t>
      </w:r>
      <w:r>
        <w:rPr>
          <w:sz w:val="24"/>
          <w:szCs w:val="24"/>
        </w:rPr>
        <w:t xml:space="preserve">seeds and 50% standard feed fortified with 50% grilled </w:t>
      </w:r>
      <w:r>
        <w:rPr>
          <w:i/>
          <w:sz w:val="24"/>
          <w:szCs w:val="24"/>
        </w:rPr>
        <w:t xml:space="preserve">A. hypogaea </w:t>
      </w:r>
      <w:r>
        <w:rPr>
          <w:sz w:val="24"/>
          <w:szCs w:val="24"/>
        </w:rPr>
        <w:t>seeds, respectively) showed a significant increase (</w:t>
      </w:r>
      <w:r>
        <w:rPr>
          <w:i/>
          <w:iCs/>
          <w:sz w:val="24"/>
          <w:szCs w:val="24"/>
        </w:rPr>
        <w:t>P</w:t>
      </w:r>
      <w:r>
        <w:rPr>
          <w:sz w:val="24"/>
          <w:szCs w:val="24"/>
        </w:rPr>
        <w:t>&lt;0.05) compared with the normal control (Group A).</w:t>
      </w:r>
    </w:p>
    <w:p w14:paraId="0D24126A" w14:textId="77777777" w:rsidR="00EF3558" w:rsidRPr="00A757FB" w:rsidRDefault="00EF3558" w:rsidP="00EF3558">
      <w:pPr>
        <w:jc w:val="center"/>
        <w:rPr>
          <w:sz w:val="24"/>
          <w:szCs w:val="24"/>
        </w:rPr>
      </w:pPr>
      <w:r w:rsidRPr="00A757FB">
        <w:rPr>
          <w:noProof/>
          <w:sz w:val="24"/>
          <w:szCs w:val="24"/>
        </w:rPr>
        <w:lastRenderedPageBreak/>
        <mc:AlternateContent>
          <mc:Choice Requires="wps">
            <w:drawing>
              <wp:anchor distT="0" distB="0" distL="114300" distR="114300" simplePos="0" relativeHeight="251664384" behindDoc="0" locked="0" layoutInCell="1" allowOverlap="1" wp14:anchorId="4F518A24" wp14:editId="7E816964">
                <wp:simplePos x="0" y="0"/>
                <wp:positionH relativeFrom="column">
                  <wp:posOffset>4937760</wp:posOffset>
                </wp:positionH>
                <wp:positionV relativeFrom="paragraph">
                  <wp:posOffset>168349</wp:posOffset>
                </wp:positionV>
                <wp:extent cx="1816735" cy="753035"/>
                <wp:effectExtent l="0" t="0" r="0" b="9525"/>
                <wp:wrapNone/>
                <wp:docPr id="56919814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735" cy="753035"/>
                        </a:xfrm>
                        <a:prstGeom prst="rect">
                          <a:avLst/>
                        </a:prstGeom>
                        <a:solidFill>
                          <a:schemeClr val="lt1"/>
                        </a:solidFill>
                        <a:ln w="6350">
                          <a:noFill/>
                        </a:ln>
                      </wps:spPr>
                      <wps:txbx>
                        <w:txbxContent>
                          <w:p w14:paraId="27A7F2FE" w14:textId="77777777" w:rsidR="00EF3558" w:rsidRPr="008B2012" w:rsidRDefault="00EF3558" w:rsidP="00EF3558">
                            <w:pPr>
                              <w:pStyle w:val="NoSpacing"/>
                            </w:pPr>
                            <w:r w:rsidRPr="008B2012">
                              <w:rPr>
                                <w:b/>
                                <w:bCs/>
                              </w:rPr>
                              <w:t xml:space="preserve">SF:  </w:t>
                            </w:r>
                            <w:r w:rsidRPr="008B2012">
                              <w:t>Standard Feed</w:t>
                            </w:r>
                          </w:p>
                          <w:p w14:paraId="7121C98B" w14:textId="77777777" w:rsidR="00EF3558" w:rsidRPr="008B2012" w:rsidRDefault="00EF3558" w:rsidP="00EF3558">
                            <w:pPr>
                              <w:pStyle w:val="NoSpacing"/>
                            </w:pPr>
                            <w:r w:rsidRPr="008B2012">
                              <w:rPr>
                                <w:b/>
                                <w:bCs/>
                              </w:rPr>
                              <w:t>CG:</w:t>
                            </w:r>
                            <w:r>
                              <w:rPr>
                                <w:b/>
                                <w:bCs/>
                              </w:rPr>
                              <w:t xml:space="preserve"> </w:t>
                            </w:r>
                            <w:r w:rsidRPr="008B2012">
                              <w:t>Cooked Groundnut</w:t>
                            </w:r>
                          </w:p>
                          <w:p w14:paraId="383DE071"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38D82E23" w14:textId="77777777" w:rsidR="00EF3558" w:rsidRPr="008B2012" w:rsidRDefault="00EF3558" w:rsidP="00EF3558">
                            <w:pPr>
                              <w:pStyle w:val="NoSpacing"/>
                            </w:pPr>
                            <w:r w:rsidRPr="008B2012">
                              <w:rPr>
                                <w:b/>
                                <w:bCs/>
                              </w:rPr>
                              <w:t>GG:</w:t>
                            </w:r>
                            <w:r w:rsidRPr="008B2012">
                              <w:t xml:space="preserve"> Grilled Groundnut</w:t>
                            </w:r>
                          </w:p>
                          <w:p w14:paraId="586EBB72"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518A24" id="_x0000_t202" coordsize="21600,21600" o:spt="202" path="m,l,21600r21600,l21600,xe">
                <v:stroke joinstyle="miter"/>
                <v:path gradientshapeok="t" o:connecttype="rect"/>
              </v:shapetype>
              <v:shape id="Text Box 9" o:spid="_x0000_s1026" type="#_x0000_t202" style="position:absolute;left:0;text-align:left;margin-left:388.8pt;margin-top:13.25pt;width:143.05pt;height:5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" fillcolor="white [3201]" stroked="f" strokeweight=".5pt">
                <v:textbox>
                  <w:txbxContent>
                    <w:p w14:paraId="25FC953D" w14:textId="77777777" w:rsidR="00EF3558" w:rsidRPr="008B2012" w:rsidRDefault="00EF3558" w:rsidP="00EF3558">
                      <w:pPr>
                        <w:pStyle w:val="NoSpacing"/>
                      </w:pPr>
                      <w:r w:rsidRPr="008B2012">
                        <w:rPr>
                          <w:b/>
                          <w:bCs/>
                        </w:rPr>
                        <w:t xml:space="preserve">SF:  </w:t>
                      </w:r>
                      <w:r w:rsidRPr="008B2012">
                        <w:t>Standard Feed</w:t>
                      </w:r>
                    </w:p>
                    <w:p w14:paraId="65F6054C" w14:textId="77777777" w:rsidR="00EF3558" w:rsidRPr="008B2012" w:rsidRDefault="00EF3558" w:rsidP="00EF3558">
                      <w:pPr>
                        <w:pStyle w:val="NoSpacing"/>
                      </w:pPr>
                      <w:r w:rsidRPr="008B2012">
                        <w:rPr>
                          <w:b/>
                          <w:bCs/>
                        </w:rPr>
                        <w:t>CG:</w:t>
                      </w:r>
                      <w:r>
                        <w:rPr>
                          <w:b/>
                          <w:bCs/>
                        </w:rPr>
                        <w:t xml:space="preserve"> </w:t>
                      </w:r>
                      <w:r w:rsidRPr="008B2012">
                        <w:t>Cooked Groundnut</w:t>
                      </w:r>
                    </w:p>
                    <w:p w14:paraId="2A362108"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799E0360" w14:textId="77777777" w:rsidR="00EF3558" w:rsidRPr="008B2012" w:rsidRDefault="00EF3558" w:rsidP="00EF3558">
                      <w:pPr>
                        <w:pStyle w:val="NoSpacing"/>
                      </w:pPr>
                      <w:r w:rsidRPr="008B2012">
                        <w:rPr>
                          <w:b/>
                          <w:bCs/>
                        </w:rPr>
                        <w:t>GG:</w:t>
                      </w:r>
                      <w:r w:rsidRPr="008B2012">
                        <w:t xml:space="preserve"> Grilled Groundnut</w:t>
                      </w:r>
                    </w:p>
                    <w:p w14:paraId="3DF4610D" w14:textId="77777777" w:rsidR="00EF3558" w:rsidRDefault="00EF3558" w:rsidP="00EF3558"/>
                  </w:txbxContent>
                </v:textbox>
              </v:shape>
            </w:pict>
          </mc:Fallback>
        </mc:AlternateContent>
      </w:r>
      <w:r w:rsidRPr="00A757FB">
        <w:rPr>
          <w:sz w:val="24"/>
          <w:szCs w:val="24"/>
        </w:rPr>
        <w:object w:dxaOrig="5117" w:dyaOrig="5143" w14:anchorId="6D696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0.65pt;height:255.35pt" o:ole="">
            <v:imagedata r:id="rId7" o:title=""/>
          </v:shape>
          <o:OLEObject Type="Embed" ProgID="Prism10.Document" ShapeID="_x0000_i1025" DrawAspect="Content" ObjectID="_1854183252" r:id="rId8"/>
        </w:object>
      </w:r>
    </w:p>
    <w:p w14:paraId="3BE323CE" w14:textId="77777777" w:rsidR="00EF3558" w:rsidRPr="00A757FB" w:rsidRDefault="00EF3558" w:rsidP="00EF3558">
      <w:pPr>
        <w:pStyle w:val="BodyText"/>
        <w:spacing w:before="88" w:line="360" w:lineRule="auto"/>
        <w:ind w:left="500"/>
        <w:jc w:val="both"/>
        <w:rPr>
          <w:sz w:val="24"/>
          <w:szCs w:val="24"/>
        </w:rPr>
      </w:pPr>
      <w:r w:rsidRPr="00A757FB">
        <w:rPr>
          <w:b/>
          <w:sz w:val="24"/>
          <w:szCs w:val="24"/>
        </w:rPr>
        <w:t>Figure</w:t>
      </w:r>
      <w:r w:rsidR="00EE226A" w:rsidRPr="00A757FB">
        <w:rPr>
          <w:b/>
          <w:sz w:val="24"/>
          <w:szCs w:val="24"/>
        </w:rPr>
        <w:t xml:space="preserve"> </w:t>
      </w:r>
      <w:r w:rsidRPr="00A757FB">
        <w:rPr>
          <w:b/>
          <w:sz w:val="24"/>
          <w:szCs w:val="24"/>
        </w:rPr>
        <w:t xml:space="preserve">1: </w:t>
      </w:r>
      <w:r w:rsidRPr="00A757FB">
        <w:rPr>
          <w:sz w:val="24"/>
          <w:szCs w:val="24"/>
        </w:rPr>
        <w:t xml:space="preserve">Total cholesterol </w:t>
      </w:r>
      <w:r w:rsidR="00C61442" w:rsidRPr="00A757FB">
        <w:rPr>
          <w:sz w:val="24"/>
          <w:szCs w:val="24"/>
        </w:rPr>
        <w:t>concentration</w:t>
      </w:r>
      <w:r w:rsidRPr="00A757FB">
        <w:rPr>
          <w:sz w:val="24"/>
          <w:szCs w:val="24"/>
        </w:rPr>
        <w:t xml:space="preserve"> of Wistar albino rats fed </w:t>
      </w:r>
      <w:r w:rsidR="00651AB8" w:rsidRPr="00A757FB">
        <w:rPr>
          <w:sz w:val="24"/>
          <w:szCs w:val="24"/>
        </w:rPr>
        <w:t>feed</w:t>
      </w:r>
      <w:r w:rsidR="00EE226A" w:rsidRPr="00A757FB">
        <w:rPr>
          <w:sz w:val="24"/>
          <w:szCs w:val="24"/>
        </w:rPr>
        <w:t xml:space="preserve">s </w:t>
      </w:r>
      <w:r w:rsidR="0019775D" w:rsidRPr="00A757FB">
        <w:rPr>
          <w:sz w:val="24"/>
          <w:szCs w:val="24"/>
        </w:rPr>
        <w:t>fortifi</w:t>
      </w:r>
      <w:r w:rsidR="00EE226A" w:rsidRPr="00A757FB">
        <w:rPr>
          <w:sz w:val="24"/>
          <w:szCs w:val="24"/>
        </w:rPr>
        <w:t>ed</w:t>
      </w:r>
      <w:r w:rsidRPr="00A757FB">
        <w:rPr>
          <w:sz w:val="24"/>
          <w:szCs w:val="24"/>
        </w:rPr>
        <w:t xml:space="preserve"> with </w:t>
      </w:r>
      <w:r w:rsidR="006016E7"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13E171A0" w14:textId="77777777" w:rsidR="00EF3558" w:rsidRPr="00A757FB" w:rsidRDefault="00EF3558" w:rsidP="00EF3558">
      <w:pPr>
        <w:pStyle w:val="BodyText"/>
        <w:spacing w:before="88" w:line="360" w:lineRule="auto"/>
        <w:ind w:left="500"/>
        <w:jc w:val="both"/>
        <w:rPr>
          <w:sz w:val="24"/>
          <w:szCs w:val="24"/>
        </w:rPr>
      </w:pPr>
    </w:p>
    <w:p w14:paraId="4AD0CE28" w14:textId="77777777" w:rsidR="001D68A0" w:rsidRDefault="001D68A0" w:rsidP="001D68A0">
      <w:pPr>
        <w:pStyle w:val="BodyText"/>
        <w:spacing w:before="219" w:line="360" w:lineRule="auto"/>
        <w:ind w:right="556"/>
        <w:jc w:val="both"/>
        <w:rPr>
          <w:sz w:val="24"/>
          <w:szCs w:val="24"/>
        </w:rPr>
      </w:pPr>
      <w:r w:rsidRPr="001D68A0">
        <w:rPr>
          <w:b/>
          <w:bCs/>
          <w:sz w:val="24"/>
          <w:szCs w:val="24"/>
        </w:rPr>
        <w:t>3.</w:t>
      </w:r>
      <w:r>
        <w:rPr>
          <w:b/>
          <w:bCs/>
          <w:sz w:val="24"/>
          <w:szCs w:val="24"/>
        </w:rPr>
        <w:t>2</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High-Density Lipoprotein Concentration </w:t>
      </w:r>
      <w:r w:rsidR="00EF050E">
        <w:rPr>
          <w:b/>
          <w:bCs/>
          <w:sz w:val="24"/>
          <w:szCs w:val="24"/>
        </w:rPr>
        <w:t>i</w:t>
      </w:r>
      <w:r w:rsidR="00EF050E" w:rsidRPr="001D68A0">
        <w:rPr>
          <w:b/>
          <w:bCs/>
          <w:sz w:val="24"/>
          <w:szCs w:val="24"/>
        </w:rPr>
        <w:t xml:space="preserve">n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ypogaea</w:t>
      </w:r>
      <w:r w:rsidR="00EF050E" w:rsidRPr="001D68A0">
        <w:rPr>
          <w:i/>
          <w:iCs/>
          <w:sz w:val="24"/>
          <w:szCs w:val="24"/>
        </w:rPr>
        <w:t xml:space="preserve"> </w:t>
      </w:r>
      <w:r w:rsidR="00EF050E" w:rsidRPr="001D68A0">
        <w:rPr>
          <w:b/>
          <w:bCs/>
          <w:sz w:val="24"/>
          <w:szCs w:val="24"/>
        </w:rPr>
        <w:t>Seeds.</w:t>
      </w:r>
    </w:p>
    <w:p w14:paraId="4781B5DD" w14:textId="77777777" w:rsidR="00EF3558" w:rsidRPr="00A757FB" w:rsidRDefault="00EF3558" w:rsidP="00EF3558">
      <w:pPr>
        <w:pStyle w:val="BodyText"/>
        <w:spacing w:before="88" w:line="360" w:lineRule="auto"/>
        <w:jc w:val="both"/>
        <w:rPr>
          <w:sz w:val="24"/>
          <w:szCs w:val="24"/>
        </w:rPr>
      </w:pPr>
      <w:r>
        <w:rPr>
          <w:sz w:val="24"/>
          <w:szCs w:val="24"/>
        </w:rPr>
        <w:t xml:space="preserve">The </w:t>
      </w:r>
      <w:r>
        <w:rPr>
          <w:sz w:val="24"/>
          <w:szCs w:val="24"/>
          <w:highlight w:val="yellow"/>
        </w:rPr>
        <w:t>h</w:t>
      </w:r>
      <w:r>
        <w:rPr>
          <w:sz w:val="24"/>
          <w:szCs w:val="24"/>
        </w:rPr>
        <w:t>igh</w:t>
      </w:r>
      <w:r>
        <w:rPr>
          <w:sz w:val="24"/>
          <w:szCs w:val="24"/>
          <w:highlight w:val="yellow"/>
        </w:rPr>
        <w:t>-</w:t>
      </w:r>
      <w:r>
        <w:rPr>
          <w:sz w:val="24"/>
          <w:szCs w:val="24"/>
        </w:rPr>
        <w:t>density lipoprotein level (Fig. 2) showed that there was no significant difference (</w:t>
      </w:r>
      <w:r>
        <w:rPr>
          <w:i/>
          <w:iCs/>
          <w:sz w:val="24"/>
          <w:szCs w:val="24"/>
        </w:rPr>
        <w:t>P</w:t>
      </w:r>
      <w:r>
        <w:rPr>
          <w:sz w:val="24"/>
          <w:szCs w:val="24"/>
        </w:rPr>
        <w:t xml:space="preserve">&gt;0.05) in groups C, D, E, and G (70% standard feed fortified with 30% uncooked </w:t>
      </w:r>
      <w:r>
        <w:rPr>
          <w:i/>
          <w:sz w:val="24"/>
          <w:szCs w:val="24"/>
        </w:rPr>
        <w:t xml:space="preserve">A. hypogaea </w:t>
      </w:r>
      <w:r>
        <w:rPr>
          <w:sz w:val="24"/>
          <w:szCs w:val="24"/>
        </w:rPr>
        <w:t xml:space="preserve">seeds, 70% standard feed fortified with 30% grilled </w:t>
      </w:r>
      <w:r>
        <w:rPr>
          <w:i/>
          <w:sz w:val="24"/>
          <w:szCs w:val="24"/>
        </w:rPr>
        <w:t xml:space="preserve">A. hypogaea </w:t>
      </w:r>
      <w:r>
        <w:rPr>
          <w:sz w:val="24"/>
          <w:szCs w:val="24"/>
        </w:rPr>
        <w:t xml:space="preserve">seeds, 50% standard feed fortified with 50% cooked </w:t>
      </w:r>
      <w:r>
        <w:rPr>
          <w:i/>
          <w:sz w:val="24"/>
          <w:szCs w:val="24"/>
        </w:rPr>
        <w:t xml:space="preserve">A. hypogaea </w:t>
      </w:r>
      <w:r>
        <w:rPr>
          <w:sz w:val="24"/>
          <w:szCs w:val="24"/>
        </w:rPr>
        <w:t xml:space="preserve">seeds and 50% standard feed fortified with 50% grilled </w:t>
      </w:r>
      <w:r>
        <w:rPr>
          <w:i/>
          <w:sz w:val="24"/>
          <w:szCs w:val="24"/>
        </w:rPr>
        <w:t xml:space="preserve">A. hypogaea </w:t>
      </w:r>
      <w:r>
        <w:rPr>
          <w:sz w:val="24"/>
          <w:szCs w:val="24"/>
        </w:rPr>
        <w:t>seeds respectively)</w:t>
      </w:r>
      <w:r>
        <w:rPr>
          <w:sz w:val="24"/>
          <w:szCs w:val="24"/>
          <w:highlight w:val="yellow"/>
        </w:rPr>
        <w:t xml:space="preserve"> </w:t>
      </w:r>
      <w:r>
        <w:rPr>
          <w:sz w:val="24"/>
          <w:szCs w:val="24"/>
        </w:rPr>
        <w:t>when compared with</w:t>
      </w:r>
      <w:r>
        <w:rPr>
          <w:sz w:val="24"/>
          <w:szCs w:val="24"/>
          <w:highlight w:val="yellow"/>
        </w:rPr>
        <w:t xml:space="preserve"> the</w:t>
      </w:r>
      <w:r>
        <w:rPr>
          <w:sz w:val="24"/>
          <w:szCs w:val="24"/>
        </w:rPr>
        <w:t xml:space="preserve"> normal control (group A), whe</w:t>
      </w:r>
      <w:r>
        <w:rPr>
          <w:sz w:val="24"/>
          <w:szCs w:val="24"/>
          <w:highlight w:val="yellow"/>
        </w:rPr>
        <w:t>reas</w:t>
      </w:r>
      <w:r>
        <w:rPr>
          <w:sz w:val="24"/>
          <w:szCs w:val="24"/>
        </w:rPr>
        <w:t xml:space="preserve"> groups B and F (70% standard feed fortified with 30% cooked </w:t>
      </w:r>
      <w:r>
        <w:rPr>
          <w:i/>
          <w:sz w:val="24"/>
          <w:szCs w:val="24"/>
        </w:rPr>
        <w:t xml:space="preserve">A. hypogaea </w:t>
      </w:r>
      <w:r>
        <w:rPr>
          <w:sz w:val="24"/>
          <w:szCs w:val="24"/>
        </w:rPr>
        <w:t xml:space="preserve">seeds and 50% standard feed fortified with 50% </w:t>
      </w:r>
      <w:r>
        <w:rPr>
          <w:i/>
          <w:sz w:val="24"/>
          <w:szCs w:val="24"/>
        </w:rPr>
        <w:t xml:space="preserve">A. hypogaea </w:t>
      </w:r>
      <w:r>
        <w:rPr>
          <w:sz w:val="24"/>
          <w:szCs w:val="24"/>
        </w:rPr>
        <w:t>seeds respectively) showed a significant increase</w:t>
      </w:r>
      <w:r>
        <w:rPr>
          <w:i/>
          <w:iCs/>
          <w:sz w:val="24"/>
          <w:szCs w:val="24"/>
          <w:highlight w:val="yellow"/>
        </w:rPr>
        <w:t xml:space="preserve"> </w:t>
      </w:r>
      <w:r>
        <w:rPr>
          <w:i/>
          <w:iCs/>
          <w:sz w:val="24"/>
          <w:szCs w:val="24"/>
        </w:rPr>
        <w:t xml:space="preserve">(P&lt;0.05) </w:t>
      </w:r>
      <w:r>
        <w:rPr>
          <w:sz w:val="24"/>
          <w:szCs w:val="24"/>
        </w:rPr>
        <w:t>compared with</w:t>
      </w:r>
      <w:r>
        <w:rPr>
          <w:sz w:val="24"/>
          <w:szCs w:val="24"/>
          <w:highlight w:val="yellow"/>
        </w:rPr>
        <w:t xml:space="preserve"> the</w:t>
      </w:r>
      <w:r>
        <w:rPr>
          <w:sz w:val="24"/>
          <w:szCs w:val="24"/>
        </w:rPr>
        <w:t xml:space="preserve"> normal control (group A).</w:t>
      </w:r>
    </w:p>
    <w:p w14:paraId="562AB740" w14:textId="77777777" w:rsidR="00EF3558" w:rsidRPr="00A757FB" w:rsidRDefault="00EF3558" w:rsidP="00EF3558">
      <w:pPr>
        <w:pStyle w:val="BodyText"/>
        <w:spacing w:before="200" w:line="360" w:lineRule="auto"/>
        <w:ind w:left="500" w:right="554"/>
        <w:jc w:val="center"/>
        <w:rPr>
          <w:sz w:val="24"/>
          <w:szCs w:val="24"/>
        </w:rPr>
      </w:pPr>
      <w:r w:rsidRPr="00A757FB">
        <w:rPr>
          <w:noProof/>
          <w:sz w:val="24"/>
          <w:szCs w:val="24"/>
        </w:rPr>
        <w:lastRenderedPageBreak/>
        <mc:AlternateContent>
          <mc:Choice Requires="wps">
            <w:drawing>
              <wp:anchor distT="0" distB="0" distL="114300" distR="114300" simplePos="0" relativeHeight="251663360" behindDoc="0" locked="0" layoutInCell="1" allowOverlap="1" wp14:anchorId="1522B219" wp14:editId="6F173009">
                <wp:simplePos x="0" y="0"/>
                <wp:positionH relativeFrom="column">
                  <wp:posOffset>4923790</wp:posOffset>
                </wp:positionH>
                <wp:positionV relativeFrom="paragraph">
                  <wp:posOffset>388620</wp:posOffset>
                </wp:positionV>
                <wp:extent cx="1793875" cy="715010"/>
                <wp:effectExtent l="0" t="0" r="0" b="0"/>
                <wp:wrapNone/>
                <wp:docPr id="84818044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3875" cy="715010"/>
                        </a:xfrm>
                        <a:prstGeom prst="rect">
                          <a:avLst/>
                        </a:prstGeom>
                        <a:solidFill>
                          <a:schemeClr val="lt1"/>
                        </a:solidFill>
                        <a:ln w="6350">
                          <a:noFill/>
                        </a:ln>
                      </wps:spPr>
                      <wps:txbx>
                        <w:txbxContent>
                          <w:p w14:paraId="1D221640" w14:textId="77777777" w:rsidR="00EF3558" w:rsidRPr="008B2012" w:rsidRDefault="00EF3558" w:rsidP="00EF3558">
                            <w:pPr>
                              <w:pStyle w:val="NoSpacing"/>
                            </w:pPr>
                            <w:r w:rsidRPr="008B2012">
                              <w:rPr>
                                <w:b/>
                                <w:bCs/>
                              </w:rPr>
                              <w:t xml:space="preserve">SF:  </w:t>
                            </w:r>
                            <w:r w:rsidRPr="008B2012">
                              <w:t>Standard Feed</w:t>
                            </w:r>
                          </w:p>
                          <w:p w14:paraId="3FBC50AB" w14:textId="77777777" w:rsidR="00EF3558" w:rsidRPr="008B2012" w:rsidRDefault="00EF3558" w:rsidP="00EF3558">
                            <w:pPr>
                              <w:pStyle w:val="NoSpacing"/>
                            </w:pPr>
                            <w:r w:rsidRPr="008B2012">
                              <w:rPr>
                                <w:b/>
                                <w:bCs/>
                              </w:rPr>
                              <w:t>CG:</w:t>
                            </w:r>
                            <w:r>
                              <w:rPr>
                                <w:b/>
                                <w:bCs/>
                              </w:rPr>
                              <w:t xml:space="preserve"> </w:t>
                            </w:r>
                            <w:r w:rsidRPr="008B2012">
                              <w:t>Cooked Groundnut</w:t>
                            </w:r>
                          </w:p>
                          <w:p w14:paraId="366F8B89"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7048D152" w14:textId="77777777" w:rsidR="00EF3558" w:rsidRPr="008B2012" w:rsidRDefault="00EF3558" w:rsidP="00EF3558">
                            <w:pPr>
                              <w:pStyle w:val="NoSpacing"/>
                            </w:pPr>
                            <w:r w:rsidRPr="008B2012">
                              <w:rPr>
                                <w:b/>
                                <w:bCs/>
                              </w:rPr>
                              <w:t>GG:</w:t>
                            </w:r>
                            <w:r w:rsidRPr="008B2012">
                              <w:t xml:space="preserve"> Grilled Groundnut</w:t>
                            </w:r>
                          </w:p>
                          <w:p w14:paraId="34932CBA"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2B219" id="Text Box 7" o:spid="_x0000_s1027" type="#_x0000_t202" style="position:absolute;left:0;text-align:left;margin-left:387.7pt;margin-top:30.6pt;width:141.25pt;height:5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" fillcolor="white [3201]" stroked="f" strokeweight=".5pt">
                <v:textbox>
                  <w:txbxContent>
                    <w:p w14:paraId="11F9E2F8" w14:textId="77777777" w:rsidR="00EF3558" w:rsidRPr="008B2012" w:rsidRDefault="00EF3558" w:rsidP="00EF3558">
                      <w:pPr>
                        <w:pStyle w:val="NoSpacing"/>
                      </w:pPr>
                      <w:r w:rsidRPr="008B2012">
                        <w:rPr>
                          <w:b/>
                          <w:bCs/>
                        </w:rPr>
                        <w:t xml:space="preserve">SF:  </w:t>
                      </w:r>
                      <w:r w:rsidRPr="008B2012">
                        <w:t>Standard Feed</w:t>
                      </w:r>
                    </w:p>
                    <w:p w14:paraId="3A850428" w14:textId="77777777" w:rsidR="00EF3558" w:rsidRPr="008B2012" w:rsidRDefault="00EF3558" w:rsidP="00EF3558">
                      <w:pPr>
                        <w:pStyle w:val="NoSpacing"/>
                      </w:pPr>
                      <w:r w:rsidRPr="008B2012">
                        <w:rPr>
                          <w:b/>
                          <w:bCs/>
                        </w:rPr>
                        <w:t>CG:</w:t>
                      </w:r>
                      <w:r>
                        <w:rPr>
                          <w:b/>
                          <w:bCs/>
                        </w:rPr>
                        <w:t xml:space="preserve"> </w:t>
                      </w:r>
                      <w:r w:rsidRPr="008B2012">
                        <w:t>Cooked Groundnut</w:t>
                      </w:r>
                    </w:p>
                    <w:p w14:paraId="1BFD57FD"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61253623" w14:textId="77777777" w:rsidR="00EF3558" w:rsidRPr="008B2012" w:rsidRDefault="00EF3558" w:rsidP="00EF3558">
                      <w:pPr>
                        <w:pStyle w:val="NoSpacing"/>
                      </w:pPr>
                      <w:r w:rsidRPr="008B2012">
                        <w:rPr>
                          <w:b/>
                          <w:bCs/>
                        </w:rPr>
                        <w:t>GG:</w:t>
                      </w:r>
                      <w:r w:rsidRPr="008B2012">
                        <w:t xml:space="preserve"> Grilled Groundnut</w:t>
                      </w:r>
                    </w:p>
                    <w:p w14:paraId="6B9AC384" w14:textId="77777777" w:rsidR="00EF3558" w:rsidRDefault="00EF3558" w:rsidP="00EF3558"/>
                  </w:txbxContent>
                </v:textbox>
              </v:shape>
            </w:pict>
          </mc:Fallback>
        </mc:AlternateContent>
      </w:r>
      <w:r w:rsidRPr="00A757FB">
        <w:rPr>
          <w:sz w:val="24"/>
          <w:szCs w:val="24"/>
        </w:rPr>
        <w:object w:dxaOrig="5119" w:dyaOrig="5143" w14:anchorId="00F144CA">
          <v:shape id="_x0000_i1026" type="#_x0000_t75" style="width:319pt;height:255.35pt" o:ole="">
            <v:imagedata r:id="rId9" o:title=""/>
          </v:shape>
          <o:OLEObject Type="Embed" ProgID="Prism10.Document" ShapeID="_x0000_i1026" DrawAspect="Content" ObjectID="_1854183253" r:id="rId10"/>
        </w:object>
      </w:r>
    </w:p>
    <w:p w14:paraId="3FC4F588" w14:textId="77777777" w:rsidR="00EF3558" w:rsidRPr="00A757FB" w:rsidRDefault="00EF3558" w:rsidP="00EF3558">
      <w:pPr>
        <w:pStyle w:val="BodyText"/>
        <w:spacing w:before="219" w:line="360" w:lineRule="auto"/>
        <w:ind w:left="500" w:right="556"/>
        <w:jc w:val="both"/>
        <w:rPr>
          <w:sz w:val="24"/>
          <w:szCs w:val="24"/>
        </w:rPr>
      </w:pPr>
      <w:r w:rsidRPr="00A757FB">
        <w:rPr>
          <w:b/>
          <w:sz w:val="24"/>
          <w:szCs w:val="24"/>
        </w:rPr>
        <w:t xml:space="preserve">Figure 2: </w:t>
      </w:r>
      <w:r w:rsidRPr="00A757FB">
        <w:rPr>
          <w:sz w:val="24"/>
          <w:szCs w:val="24"/>
        </w:rPr>
        <w:t xml:space="preserve">High-density lipoprotein </w:t>
      </w:r>
      <w:r w:rsidR="00436316"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020C2FBD" w14:textId="77777777" w:rsidR="001D68A0" w:rsidRPr="001D68A0" w:rsidRDefault="001D68A0" w:rsidP="001D68A0">
      <w:pPr>
        <w:pStyle w:val="BodyText"/>
        <w:spacing w:before="89" w:line="360" w:lineRule="auto"/>
        <w:ind w:right="553"/>
        <w:jc w:val="both"/>
        <w:rPr>
          <w:b/>
          <w:bCs/>
          <w:sz w:val="24"/>
          <w:szCs w:val="24"/>
        </w:rPr>
      </w:pPr>
      <w:r w:rsidRPr="001D68A0">
        <w:rPr>
          <w:b/>
          <w:bCs/>
          <w:sz w:val="24"/>
          <w:szCs w:val="24"/>
        </w:rPr>
        <w:t>3.</w:t>
      </w:r>
      <w:r>
        <w:rPr>
          <w:b/>
          <w:bCs/>
          <w:sz w:val="24"/>
          <w:szCs w:val="24"/>
        </w:rPr>
        <w:t>3</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Triglyceride Concentration </w:t>
      </w:r>
      <w:r w:rsidR="00EF050E">
        <w:rPr>
          <w:b/>
          <w:bCs/>
          <w:sz w:val="24"/>
          <w:szCs w:val="24"/>
        </w:rPr>
        <w:t>i</w:t>
      </w:r>
      <w:r w:rsidR="00EF050E" w:rsidRPr="001D68A0">
        <w:rPr>
          <w:b/>
          <w:bCs/>
          <w:sz w:val="24"/>
          <w:szCs w:val="24"/>
        </w:rPr>
        <w:t xml:space="preserve">n </w:t>
      </w:r>
      <w:r w:rsidRPr="001D68A0">
        <w:rPr>
          <w:b/>
          <w:bCs/>
          <w:sz w:val="24"/>
          <w:szCs w:val="24"/>
        </w:rPr>
        <w:t xml:space="preserve">Wistar </w:t>
      </w:r>
      <w:r w:rsidR="00EF050E" w:rsidRPr="001D68A0">
        <w:rPr>
          <w:b/>
          <w:bCs/>
          <w:sz w:val="24"/>
          <w:szCs w:val="24"/>
        </w:rPr>
        <w:t xml:space="preserve">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28900428" w14:textId="77777777" w:rsidR="00EF3558" w:rsidRPr="00A757FB" w:rsidRDefault="00EF3558" w:rsidP="00EF3558">
      <w:pPr>
        <w:pStyle w:val="BodyText"/>
        <w:spacing w:before="200" w:line="360" w:lineRule="auto"/>
        <w:ind w:right="554"/>
        <w:jc w:val="both"/>
        <w:rPr>
          <w:bCs/>
          <w:sz w:val="24"/>
          <w:szCs w:val="24"/>
        </w:rPr>
      </w:pPr>
      <w:r>
        <w:rPr>
          <w:bCs/>
          <w:sz w:val="24"/>
          <w:szCs w:val="24"/>
        </w:rPr>
        <w:t>There was no significant difference (</w:t>
      </w:r>
      <w:r>
        <w:rPr>
          <w:bCs/>
          <w:i/>
          <w:iCs/>
          <w:sz w:val="24"/>
          <w:szCs w:val="24"/>
        </w:rPr>
        <w:t>P</w:t>
      </w:r>
      <w:r>
        <w:rPr>
          <w:bCs/>
          <w:sz w:val="24"/>
          <w:szCs w:val="24"/>
        </w:rPr>
        <w:t xml:space="preserve">&gt;0.05) in groups B, C, D, E, F, and G (70% standard feed fortified with 30% cooked </w:t>
      </w:r>
      <w:r>
        <w:rPr>
          <w:bCs/>
          <w:i/>
          <w:sz w:val="24"/>
          <w:szCs w:val="24"/>
        </w:rPr>
        <w:t xml:space="preserve">A. hypogaea </w:t>
      </w:r>
      <w:r>
        <w:rPr>
          <w:bCs/>
          <w:sz w:val="24"/>
          <w:szCs w:val="24"/>
        </w:rPr>
        <w:t xml:space="preserve">seeds, 70% standard feed fortified with 30% uncooked </w:t>
      </w:r>
      <w:r>
        <w:rPr>
          <w:bCs/>
          <w:i/>
          <w:sz w:val="24"/>
          <w:szCs w:val="24"/>
        </w:rPr>
        <w:t xml:space="preserve">A. hypogaea </w:t>
      </w:r>
      <w:r>
        <w:rPr>
          <w:bCs/>
          <w:sz w:val="24"/>
          <w:szCs w:val="24"/>
        </w:rPr>
        <w:t xml:space="preserve">seeds, 70% standard feed fortified with 30% grilled </w:t>
      </w:r>
      <w:r>
        <w:rPr>
          <w:bCs/>
          <w:i/>
          <w:sz w:val="24"/>
          <w:szCs w:val="24"/>
        </w:rPr>
        <w:t>A</w:t>
      </w:r>
      <w:r>
        <w:rPr>
          <w:bCs/>
          <w:i/>
          <w:sz w:val="24"/>
          <w:szCs w:val="24"/>
          <w:highlight w:val="yellow"/>
        </w:rPr>
        <w:t>.</w:t>
      </w:r>
      <w:r>
        <w:rPr>
          <w:bCs/>
          <w:i/>
          <w:sz w:val="24"/>
          <w:szCs w:val="24"/>
        </w:rPr>
        <w:t xml:space="preserve"> hypogaea </w:t>
      </w:r>
      <w:r>
        <w:rPr>
          <w:bCs/>
          <w:sz w:val="24"/>
          <w:szCs w:val="24"/>
        </w:rPr>
        <w:t xml:space="preserve">seeds, 50% standard feed fortified with 50% cooked </w:t>
      </w:r>
      <w:r>
        <w:rPr>
          <w:bCs/>
          <w:i/>
          <w:sz w:val="24"/>
          <w:szCs w:val="24"/>
        </w:rPr>
        <w:t xml:space="preserve">A. hypogaea </w:t>
      </w:r>
      <w:r>
        <w:rPr>
          <w:bCs/>
          <w:sz w:val="24"/>
          <w:szCs w:val="24"/>
        </w:rPr>
        <w:t xml:space="preserve">seeds, 50% standard feed fortified with 50% uncooked </w:t>
      </w:r>
      <w:r>
        <w:rPr>
          <w:bCs/>
          <w:i/>
          <w:sz w:val="24"/>
          <w:szCs w:val="24"/>
        </w:rPr>
        <w:t xml:space="preserve">A. hypogaea </w:t>
      </w:r>
      <w:r>
        <w:rPr>
          <w:bCs/>
          <w:sz w:val="24"/>
          <w:szCs w:val="24"/>
        </w:rPr>
        <w:t xml:space="preserve">seeds and 50% standard feed fortified with 50% grilled </w:t>
      </w:r>
      <w:r>
        <w:rPr>
          <w:bCs/>
          <w:i/>
          <w:sz w:val="24"/>
          <w:szCs w:val="24"/>
        </w:rPr>
        <w:t xml:space="preserve">A. hypogaea </w:t>
      </w:r>
      <w:r>
        <w:rPr>
          <w:bCs/>
          <w:sz w:val="24"/>
          <w:szCs w:val="24"/>
        </w:rPr>
        <w:t>seeds respectively), compared with</w:t>
      </w:r>
      <w:r>
        <w:rPr>
          <w:bCs/>
          <w:sz w:val="24"/>
          <w:szCs w:val="24"/>
          <w:highlight w:val="yellow"/>
        </w:rPr>
        <w:t xml:space="preserve"> the</w:t>
      </w:r>
      <w:r>
        <w:rPr>
          <w:bCs/>
          <w:sz w:val="24"/>
          <w:szCs w:val="24"/>
        </w:rPr>
        <w:t xml:space="preserve"> normal control (group A)</w:t>
      </w:r>
      <w:r>
        <w:rPr>
          <w:bCs/>
          <w:sz w:val="24"/>
          <w:szCs w:val="24"/>
          <w:highlight w:val="yellow"/>
        </w:rPr>
        <w:t>, as shown</w:t>
      </w:r>
      <w:r>
        <w:rPr>
          <w:bCs/>
          <w:sz w:val="24"/>
          <w:szCs w:val="24"/>
        </w:rPr>
        <w:t xml:space="preserve"> in </w:t>
      </w:r>
      <w:r>
        <w:rPr>
          <w:bCs/>
          <w:sz w:val="24"/>
          <w:szCs w:val="24"/>
          <w:highlight w:val="yellow"/>
        </w:rPr>
        <w:t>F</w:t>
      </w:r>
      <w:r>
        <w:rPr>
          <w:bCs/>
          <w:sz w:val="24"/>
          <w:szCs w:val="24"/>
        </w:rPr>
        <w:t>igure 3.</w:t>
      </w:r>
    </w:p>
    <w:p w14:paraId="37FC499A" w14:textId="77777777" w:rsidR="00EF3558" w:rsidRPr="00A757FB" w:rsidRDefault="00EF3558" w:rsidP="00EF3558">
      <w:pPr>
        <w:pStyle w:val="BodyText"/>
        <w:spacing w:before="200" w:line="360" w:lineRule="auto"/>
        <w:ind w:left="500" w:right="554"/>
        <w:jc w:val="both"/>
        <w:rPr>
          <w:sz w:val="24"/>
          <w:szCs w:val="24"/>
        </w:rPr>
      </w:pPr>
      <w:r w:rsidRPr="00A757FB">
        <w:rPr>
          <w:noProof/>
          <w:sz w:val="24"/>
          <w:szCs w:val="24"/>
        </w:rPr>
        <w:lastRenderedPageBreak/>
        <mc:AlternateContent>
          <mc:Choice Requires="wps">
            <w:drawing>
              <wp:anchor distT="0" distB="0" distL="114300" distR="114300" simplePos="0" relativeHeight="251662336" behindDoc="0" locked="0" layoutInCell="1" allowOverlap="1" wp14:anchorId="679AC9FF" wp14:editId="384417E0">
                <wp:simplePos x="0" y="0"/>
                <wp:positionH relativeFrom="column">
                  <wp:posOffset>4712970</wp:posOffset>
                </wp:positionH>
                <wp:positionV relativeFrom="paragraph">
                  <wp:posOffset>351790</wp:posOffset>
                </wp:positionV>
                <wp:extent cx="1887220" cy="715010"/>
                <wp:effectExtent l="0" t="0" r="0" b="0"/>
                <wp:wrapNone/>
                <wp:docPr id="13590097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7220" cy="715010"/>
                        </a:xfrm>
                        <a:prstGeom prst="rect">
                          <a:avLst/>
                        </a:prstGeom>
                        <a:solidFill>
                          <a:schemeClr val="lt1"/>
                        </a:solidFill>
                        <a:ln w="6350">
                          <a:noFill/>
                        </a:ln>
                      </wps:spPr>
                      <wps:txbx>
                        <w:txbxContent>
                          <w:p w14:paraId="46DD5506" w14:textId="77777777" w:rsidR="00EF3558" w:rsidRPr="008B2012" w:rsidRDefault="00EF3558" w:rsidP="00EF3558">
                            <w:pPr>
                              <w:pStyle w:val="NoSpacing"/>
                            </w:pPr>
                            <w:r w:rsidRPr="008B2012">
                              <w:rPr>
                                <w:b/>
                                <w:bCs/>
                              </w:rPr>
                              <w:t xml:space="preserve">SF:  </w:t>
                            </w:r>
                            <w:r w:rsidRPr="008B2012">
                              <w:t>Standard Feed</w:t>
                            </w:r>
                          </w:p>
                          <w:p w14:paraId="3413A691" w14:textId="77777777" w:rsidR="00EF3558" w:rsidRPr="008B2012" w:rsidRDefault="00EF3558" w:rsidP="00EF3558">
                            <w:pPr>
                              <w:pStyle w:val="NoSpacing"/>
                            </w:pPr>
                            <w:r w:rsidRPr="008B2012">
                              <w:rPr>
                                <w:b/>
                                <w:bCs/>
                              </w:rPr>
                              <w:t>CG:</w:t>
                            </w:r>
                            <w:r>
                              <w:rPr>
                                <w:b/>
                                <w:bCs/>
                              </w:rPr>
                              <w:t xml:space="preserve"> </w:t>
                            </w:r>
                            <w:r w:rsidRPr="008B2012">
                              <w:t>Cooked Groundnut</w:t>
                            </w:r>
                          </w:p>
                          <w:p w14:paraId="70E9C4EA"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533446B5" w14:textId="77777777" w:rsidR="00EF3558" w:rsidRPr="008B2012" w:rsidRDefault="00EF3558" w:rsidP="00EF3558">
                            <w:pPr>
                              <w:pStyle w:val="NoSpacing"/>
                            </w:pPr>
                            <w:r w:rsidRPr="008B2012">
                              <w:rPr>
                                <w:b/>
                                <w:bCs/>
                              </w:rPr>
                              <w:t>GG:</w:t>
                            </w:r>
                            <w:r w:rsidRPr="008B2012">
                              <w:t xml:space="preserve"> Grilled Groundnut</w:t>
                            </w:r>
                          </w:p>
                          <w:p w14:paraId="178977C8"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9AC9FF" id="Text Box 5" o:spid="_x0000_s1028" type="#_x0000_t202" style="position:absolute;left:0;text-align:left;margin-left:371.1pt;margin-top:27.7pt;width:148.6pt;height:5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" fillcolor="white [3201]" stroked="f" strokeweight=".5pt">
                <v:textbox>
                  <w:txbxContent>
                    <w:p w14:paraId="0A9C4787" w14:textId="77777777" w:rsidR="00EF3558" w:rsidRPr="008B2012" w:rsidRDefault="00EF3558" w:rsidP="00EF3558">
                      <w:pPr>
                        <w:pStyle w:val="NoSpacing"/>
                      </w:pPr>
                      <w:r w:rsidRPr="008B2012">
                        <w:rPr>
                          <w:b/>
                          <w:bCs/>
                        </w:rPr>
                        <w:t xml:space="preserve">SF:  </w:t>
                      </w:r>
                      <w:r w:rsidRPr="008B2012">
                        <w:t>Standard Feed</w:t>
                      </w:r>
                    </w:p>
                    <w:p w14:paraId="2870CF53" w14:textId="77777777" w:rsidR="00EF3558" w:rsidRPr="008B2012" w:rsidRDefault="00EF3558" w:rsidP="00EF3558">
                      <w:pPr>
                        <w:pStyle w:val="NoSpacing"/>
                      </w:pPr>
                      <w:r w:rsidRPr="008B2012">
                        <w:rPr>
                          <w:b/>
                          <w:bCs/>
                        </w:rPr>
                        <w:t>CG:</w:t>
                      </w:r>
                      <w:r>
                        <w:rPr>
                          <w:b/>
                          <w:bCs/>
                        </w:rPr>
                        <w:t xml:space="preserve"> </w:t>
                      </w:r>
                      <w:r w:rsidRPr="008B2012">
                        <w:t>Cooked Groundnut</w:t>
                      </w:r>
                    </w:p>
                    <w:p w14:paraId="0ACE6F5C"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2C92C57C" w14:textId="77777777" w:rsidR="00EF3558" w:rsidRPr="008B2012" w:rsidRDefault="00EF3558" w:rsidP="00EF3558">
                      <w:pPr>
                        <w:pStyle w:val="NoSpacing"/>
                      </w:pPr>
                      <w:r w:rsidRPr="008B2012">
                        <w:rPr>
                          <w:b/>
                          <w:bCs/>
                        </w:rPr>
                        <w:t>GG:</w:t>
                      </w:r>
                      <w:r w:rsidRPr="008B2012">
                        <w:t xml:space="preserve"> Grilled Groundnut</w:t>
                      </w:r>
                    </w:p>
                    <w:p w14:paraId="15AEEE35" w14:textId="77777777" w:rsidR="00EF3558" w:rsidRDefault="00EF3558" w:rsidP="00EF3558"/>
                  </w:txbxContent>
                </v:textbox>
              </v:shape>
            </w:pict>
          </mc:Fallback>
        </mc:AlternateContent>
      </w:r>
      <w:r w:rsidRPr="00A757FB">
        <w:rPr>
          <w:sz w:val="24"/>
          <w:szCs w:val="24"/>
        </w:rPr>
        <w:object w:dxaOrig="5249" w:dyaOrig="5143" w14:anchorId="42E8AEA8">
          <v:shape id="_x0000_i1027" type="#_x0000_t75" style="width:324pt;height:255.35pt" o:ole="">
            <v:imagedata r:id="rId11" o:title=""/>
          </v:shape>
          <o:OLEObject Type="Embed" ProgID="Prism10.Document" ShapeID="_x0000_i1027" DrawAspect="Content" ObjectID="_1854183254" r:id="rId12"/>
        </w:object>
      </w:r>
    </w:p>
    <w:p w14:paraId="64A065F8" w14:textId="77777777" w:rsidR="00EF3558" w:rsidRPr="00A757FB" w:rsidRDefault="00EF3558" w:rsidP="00EF3558">
      <w:pPr>
        <w:pStyle w:val="BodyText"/>
        <w:spacing w:before="89" w:line="360" w:lineRule="auto"/>
        <w:ind w:left="500" w:right="553"/>
        <w:jc w:val="both"/>
        <w:rPr>
          <w:sz w:val="24"/>
          <w:szCs w:val="24"/>
        </w:rPr>
      </w:pPr>
      <w:r w:rsidRPr="00A757FB">
        <w:rPr>
          <w:b/>
          <w:sz w:val="24"/>
          <w:szCs w:val="24"/>
        </w:rPr>
        <w:t xml:space="preserve">Figure 3: </w:t>
      </w:r>
      <w:r w:rsidRPr="00A757FB">
        <w:rPr>
          <w:sz w:val="24"/>
          <w:szCs w:val="24"/>
        </w:rPr>
        <w:t xml:space="preserve">Triglyceride </w:t>
      </w:r>
      <w:r w:rsidR="00436316"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E91186"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7874D0CE" w14:textId="77777777" w:rsidR="00E91186" w:rsidRPr="00A757FB" w:rsidRDefault="00E91186" w:rsidP="00EF3558">
      <w:pPr>
        <w:pStyle w:val="BodyText"/>
        <w:spacing w:before="89" w:line="360" w:lineRule="auto"/>
        <w:ind w:left="500" w:right="553"/>
        <w:jc w:val="both"/>
        <w:rPr>
          <w:sz w:val="24"/>
          <w:szCs w:val="24"/>
        </w:rPr>
      </w:pPr>
    </w:p>
    <w:p w14:paraId="347B5663" w14:textId="77777777" w:rsidR="001D68A0" w:rsidRPr="001D68A0" w:rsidRDefault="001D68A0" w:rsidP="001D68A0">
      <w:pPr>
        <w:pStyle w:val="BodyText"/>
        <w:spacing w:before="200" w:line="360" w:lineRule="auto"/>
        <w:ind w:right="560"/>
        <w:jc w:val="both"/>
        <w:rPr>
          <w:b/>
          <w:bCs/>
          <w:sz w:val="24"/>
          <w:szCs w:val="24"/>
        </w:rPr>
      </w:pPr>
      <w:r w:rsidRPr="001D68A0">
        <w:rPr>
          <w:b/>
          <w:bCs/>
          <w:sz w:val="24"/>
          <w:szCs w:val="24"/>
        </w:rPr>
        <w:t>3.</w:t>
      </w:r>
      <w:r>
        <w:rPr>
          <w:b/>
          <w:bCs/>
          <w:sz w:val="24"/>
          <w:szCs w:val="24"/>
        </w:rPr>
        <w:t>4</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w:t>
      </w:r>
      <w:r w:rsidRPr="001D68A0">
        <w:rPr>
          <w:b/>
          <w:bCs/>
          <w:sz w:val="24"/>
          <w:szCs w:val="24"/>
        </w:rPr>
        <w:t>Low</w:t>
      </w:r>
      <w:r w:rsidR="00EF050E" w:rsidRPr="001D68A0">
        <w:rPr>
          <w:b/>
          <w:bCs/>
          <w:sz w:val="24"/>
          <w:szCs w:val="24"/>
        </w:rPr>
        <w:t xml:space="preserve">-Density Lipoprotein Concentration </w:t>
      </w:r>
      <w:r w:rsidR="00EF050E">
        <w:rPr>
          <w:b/>
          <w:bCs/>
          <w:sz w:val="24"/>
          <w:szCs w:val="24"/>
        </w:rPr>
        <w:t>i</w:t>
      </w:r>
      <w:r w:rsidR="00EF050E" w:rsidRPr="001D68A0">
        <w:rPr>
          <w:b/>
          <w:bCs/>
          <w:sz w:val="24"/>
          <w:szCs w:val="24"/>
        </w:rPr>
        <w:t>n</w:t>
      </w:r>
      <w:r w:rsidR="00EF050E" w:rsidRPr="001D68A0">
        <w:rPr>
          <w:b/>
          <w:bCs/>
          <w:spacing w:val="1"/>
          <w:sz w:val="24"/>
          <w:szCs w:val="24"/>
        </w:rPr>
        <w:t xml:space="preserve"> </w:t>
      </w:r>
      <w:r w:rsidRPr="001D68A0">
        <w:rPr>
          <w:b/>
          <w:bCs/>
          <w:spacing w:val="1"/>
          <w:sz w:val="24"/>
          <w:szCs w:val="24"/>
        </w:rPr>
        <w:t>W</w:t>
      </w:r>
      <w:r w:rsidRPr="001D68A0">
        <w:rPr>
          <w:b/>
          <w:bCs/>
          <w:sz w:val="24"/>
          <w:szCs w:val="24"/>
        </w:rPr>
        <w:t xml:space="preserve">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7AADEF00" w14:textId="77777777" w:rsidR="001D68A0" w:rsidRDefault="001D68A0" w:rsidP="00EF3558">
      <w:pPr>
        <w:pStyle w:val="BodyText"/>
        <w:spacing w:before="89" w:line="360" w:lineRule="auto"/>
        <w:ind w:right="553"/>
        <w:jc w:val="both"/>
        <w:rPr>
          <w:sz w:val="24"/>
          <w:szCs w:val="24"/>
        </w:rPr>
      </w:pPr>
    </w:p>
    <w:p w14:paraId="7DB6C76F" w14:textId="77777777" w:rsidR="00EF3558" w:rsidRPr="00A757FB" w:rsidRDefault="00EF3558" w:rsidP="00EF3558">
      <w:pPr>
        <w:pStyle w:val="BodyText"/>
        <w:spacing w:before="89" w:line="360" w:lineRule="auto"/>
        <w:ind w:right="553"/>
        <w:jc w:val="both"/>
        <w:rPr>
          <w:sz w:val="24"/>
          <w:szCs w:val="24"/>
        </w:rPr>
      </w:pPr>
      <w:r>
        <w:rPr>
          <w:sz w:val="24"/>
          <w:szCs w:val="24"/>
        </w:rPr>
        <w:t>There was no significant difference (</w:t>
      </w:r>
      <w:r>
        <w:rPr>
          <w:i/>
          <w:iCs/>
          <w:sz w:val="24"/>
          <w:szCs w:val="24"/>
        </w:rPr>
        <w:t>P</w:t>
      </w:r>
      <w:r>
        <w:rPr>
          <w:sz w:val="24"/>
          <w:szCs w:val="24"/>
        </w:rPr>
        <w:t xml:space="preserve">&gt;0.05) in groups B, C, D, E, F, and G (70% standard feed fortified with 30% cooked </w:t>
      </w:r>
      <w:r>
        <w:rPr>
          <w:i/>
          <w:sz w:val="24"/>
          <w:szCs w:val="24"/>
        </w:rPr>
        <w:t xml:space="preserve">A. hypogaea </w:t>
      </w:r>
      <w:r>
        <w:rPr>
          <w:sz w:val="24"/>
          <w:szCs w:val="24"/>
        </w:rPr>
        <w:t xml:space="preserve">seeds, 70% standard feed fortified with 30% uncooked </w:t>
      </w:r>
      <w:r>
        <w:rPr>
          <w:i/>
          <w:sz w:val="24"/>
          <w:szCs w:val="24"/>
        </w:rPr>
        <w:t xml:space="preserve">A. hypogaea </w:t>
      </w:r>
      <w:r>
        <w:rPr>
          <w:sz w:val="24"/>
          <w:szCs w:val="24"/>
        </w:rPr>
        <w:t xml:space="preserve">seeds, 70% standard feed fortified with 30% grilled </w:t>
      </w:r>
      <w:r>
        <w:rPr>
          <w:i/>
          <w:sz w:val="24"/>
          <w:szCs w:val="24"/>
        </w:rPr>
        <w:t>A</w:t>
      </w:r>
      <w:r>
        <w:rPr>
          <w:i/>
          <w:sz w:val="24"/>
          <w:szCs w:val="24"/>
          <w:highlight w:val="yellow"/>
        </w:rPr>
        <w:t>.</w:t>
      </w:r>
      <w:r>
        <w:rPr>
          <w:i/>
          <w:sz w:val="24"/>
          <w:szCs w:val="24"/>
        </w:rPr>
        <w:t xml:space="preserve"> hypogaea </w:t>
      </w:r>
      <w:r>
        <w:rPr>
          <w:sz w:val="24"/>
          <w:szCs w:val="24"/>
        </w:rPr>
        <w:t xml:space="preserve">seeds, 50% standard feed fortified with 50% cooked </w:t>
      </w:r>
      <w:r>
        <w:rPr>
          <w:i/>
          <w:sz w:val="24"/>
          <w:szCs w:val="24"/>
        </w:rPr>
        <w:t xml:space="preserve">A. hypogaea </w:t>
      </w:r>
      <w:r>
        <w:rPr>
          <w:sz w:val="24"/>
          <w:szCs w:val="24"/>
        </w:rPr>
        <w:t xml:space="preserve">seeds, 50% standard feed fortified with 50% uncooked </w:t>
      </w:r>
      <w:r>
        <w:rPr>
          <w:i/>
          <w:sz w:val="24"/>
          <w:szCs w:val="24"/>
        </w:rPr>
        <w:t xml:space="preserve">A. hypogaea </w:t>
      </w:r>
      <w:r>
        <w:rPr>
          <w:sz w:val="24"/>
          <w:szCs w:val="24"/>
        </w:rPr>
        <w:t xml:space="preserve">seeds and 50% standard feed fortified with 50% grilled </w:t>
      </w:r>
      <w:r>
        <w:rPr>
          <w:i/>
          <w:sz w:val="24"/>
          <w:szCs w:val="24"/>
        </w:rPr>
        <w:t xml:space="preserve">A. hypogaea </w:t>
      </w:r>
      <w:r>
        <w:rPr>
          <w:sz w:val="24"/>
          <w:szCs w:val="24"/>
        </w:rPr>
        <w:t>seeds respectively), compared with</w:t>
      </w:r>
      <w:r>
        <w:rPr>
          <w:sz w:val="24"/>
          <w:szCs w:val="24"/>
          <w:highlight w:val="yellow"/>
        </w:rPr>
        <w:t xml:space="preserve"> the</w:t>
      </w:r>
      <w:r>
        <w:rPr>
          <w:sz w:val="24"/>
          <w:szCs w:val="24"/>
        </w:rPr>
        <w:t xml:space="preserve"> normal control (group A)</w:t>
      </w:r>
      <w:r>
        <w:rPr>
          <w:sz w:val="24"/>
          <w:szCs w:val="24"/>
          <w:highlight w:val="yellow"/>
        </w:rPr>
        <w:t>, as shown</w:t>
      </w:r>
      <w:r>
        <w:rPr>
          <w:sz w:val="24"/>
          <w:szCs w:val="24"/>
        </w:rPr>
        <w:t xml:space="preserve"> in </w:t>
      </w:r>
      <w:r>
        <w:rPr>
          <w:sz w:val="24"/>
          <w:szCs w:val="24"/>
          <w:highlight w:val="yellow"/>
        </w:rPr>
        <w:t>F</w:t>
      </w:r>
      <w:r>
        <w:rPr>
          <w:sz w:val="24"/>
          <w:szCs w:val="24"/>
        </w:rPr>
        <w:t>igure 4.</w:t>
      </w:r>
    </w:p>
    <w:p w14:paraId="680DF804" w14:textId="77777777" w:rsidR="00EF3558" w:rsidRPr="00A757FB" w:rsidRDefault="00EF3558" w:rsidP="00EF3558">
      <w:pPr>
        <w:pStyle w:val="BodyText"/>
        <w:spacing w:before="200" w:line="360" w:lineRule="auto"/>
        <w:ind w:left="500" w:right="560"/>
        <w:rPr>
          <w:sz w:val="24"/>
          <w:szCs w:val="24"/>
        </w:rPr>
      </w:pPr>
      <w:r w:rsidRPr="00A757FB">
        <w:rPr>
          <w:noProof/>
          <w:sz w:val="24"/>
          <w:szCs w:val="24"/>
        </w:rPr>
        <w:lastRenderedPageBreak/>
        <mc:AlternateContent>
          <mc:Choice Requires="wps">
            <w:drawing>
              <wp:anchor distT="0" distB="0" distL="114300" distR="114300" simplePos="0" relativeHeight="251661312" behindDoc="0" locked="0" layoutInCell="1" allowOverlap="1" wp14:anchorId="2754B6DB" wp14:editId="77F7B829">
                <wp:simplePos x="0" y="0"/>
                <wp:positionH relativeFrom="column">
                  <wp:posOffset>4806315</wp:posOffset>
                </wp:positionH>
                <wp:positionV relativeFrom="paragraph">
                  <wp:posOffset>246380</wp:posOffset>
                </wp:positionV>
                <wp:extent cx="1711325" cy="715010"/>
                <wp:effectExtent l="0" t="0" r="0" b="0"/>
                <wp:wrapNone/>
                <wp:docPr id="9319717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1325" cy="715010"/>
                        </a:xfrm>
                        <a:prstGeom prst="rect">
                          <a:avLst/>
                        </a:prstGeom>
                        <a:solidFill>
                          <a:schemeClr val="lt1"/>
                        </a:solidFill>
                        <a:ln w="6350">
                          <a:noFill/>
                        </a:ln>
                      </wps:spPr>
                      <wps:txbx>
                        <w:txbxContent>
                          <w:p w14:paraId="1003739B" w14:textId="77777777" w:rsidR="00EF3558" w:rsidRPr="008B2012" w:rsidRDefault="00EF3558" w:rsidP="00EF3558">
                            <w:pPr>
                              <w:pStyle w:val="NoSpacing"/>
                            </w:pPr>
                            <w:r w:rsidRPr="008B2012">
                              <w:rPr>
                                <w:b/>
                                <w:bCs/>
                              </w:rPr>
                              <w:t xml:space="preserve">SF:  </w:t>
                            </w:r>
                            <w:r w:rsidRPr="008B2012">
                              <w:t>Standard Feed</w:t>
                            </w:r>
                          </w:p>
                          <w:p w14:paraId="6F76AD5D" w14:textId="77777777" w:rsidR="00EF3558" w:rsidRPr="008B2012" w:rsidRDefault="00EF3558" w:rsidP="00EF3558">
                            <w:pPr>
                              <w:pStyle w:val="NoSpacing"/>
                            </w:pPr>
                            <w:r w:rsidRPr="008B2012">
                              <w:rPr>
                                <w:b/>
                                <w:bCs/>
                              </w:rPr>
                              <w:t>CG:</w:t>
                            </w:r>
                            <w:r>
                              <w:rPr>
                                <w:b/>
                                <w:bCs/>
                              </w:rPr>
                              <w:t xml:space="preserve"> </w:t>
                            </w:r>
                            <w:r w:rsidRPr="008B2012">
                              <w:t>Cooked Groundnut</w:t>
                            </w:r>
                          </w:p>
                          <w:p w14:paraId="36E5C17F"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273CF097" w14:textId="77777777" w:rsidR="00EF3558" w:rsidRPr="008B2012" w:rsidRDefault="00EF3558" w:rsidP="00EF3558">
                            <w:pPr>
                              <w:pStyle w:val="NoSpacing"/>
                            </w:pPr>
                            <w:r w:rsidRPr="008B2012">
                              <w:rPr>
                                <w:b/>
                                <w:bCs/>
                              </w:rPr>
                              <w:t>GG:</w:t>
                            </w:r>
                            <w:r w:rsidRPr="008B2012">
                              <w:t xml:space="preserve"> Grilled Groundnut</w:t>
                            </w:r>
                          </w:p>
                          <w:p w14:paraId="67E6A752"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4B6DB" id="Text Box 3" o:spid="_x0000_s1029" type="#_x0000_t202" style="position:absolute;left:0;text-align:left;margin-left:378.45pt;margin-top:19.4pt;width:134.75pt;height:5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" fillcolor="white [3201]" stroked="f" strokeweight=".5pt">
                <v:textbox>
                  <w:txbxContent>
                    <w:p w14:paraId="3F996EE8" w14:textId="77777777" w:rsidR="00EF3558" w:rsidRPr="008B2012" w:rsidRDefault="00EF3558" w:rsidP="00EF3558">
                      <w:pPr>
                        <w:pStyle w:val="NoSpacing"/>
                      </w:pPr>
                      <w:r w:rsidRPr="008B2012">
                        <w:rPr>
                          <w:b/>
                          <w:bCs/>
                        </w:rPr>
                        <w:t xml:space="preserve">SF:  </w:t>
                      </w:r>
                      <w:r w:rsidRPr="008B2012">
                        <w:t>Standard Feed</w:t>
                      </w:r>
                    </w:p>
                    <w:p w14:paraId="7C40A341" w14:textId="77777777" w:rsidR="00EF3558" w:rsidRPr="008B2012" w:rsidRDefault="00EF3558" w:rsidP="00EF3558">
                      <w:pPr>
                        <w:pStyle w:val="NoSpacing"/>
                      </w:pPr>
                      <w:r w:rsidRPr="008B2012">
                        <w:rPr>
                          <w:b/>
                          <w:bCs/>
                        </w:rPr>
                        <w:t>CG:</w:t>
                      </w:r>
                      <w:r>
                        <w:rPr>
                          <w:b/>
                          <w:bCs/>
                        </w:rPr>
                        <w:t xml:space="preserve"> </w:t>
                      </w:r>
                      <w:r w:rsidRPr="008B2012">
                        <w:t>Cooked Groundnut</w:t>
                      </w:r>
                    </w:p>
                    <w:p w14:paraId="56C3E0CF"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33944A21" w14:textId="77777777" w:rsidR="00EF3558" w:rsidRPr="008B2012" w:rsidRDefault="00EF3558" w:rsidP="00EF3558">
                      <w:pPr>
                        <w:pStyle w:val="NoSpacing"/>
                      </w:pPr>
                      <w:r w:rsidRPr="008B2012">
                        <w:rPr>
                          <w:b/>
                          <w:bCs/>
                        </w:rPr>
                        <w:t>GG:</w:t>
                      </w:r>
                      <w:r w:rsidRPr="008B2012">
                        <w:t xml:space="preserve"> Grilled Groundnut</w:t>
                      </w:r>
                    </w:p>
                    <w:p w14:paraId="5AECA12A" w14:textId="77777777" w:rsidR="00EF3558" w:rsidRDefault="00EF3558" w:rsidP="00EF3558"/>
                  </w:txbxContent>
                </v:textbox>
              </v:shape>
            </w:pict>
          </mc:Fallback>
        </mc:AlternateContent>
      </w:r>
      <w:r w:rsidR="00000000">
        <w:rPr>
          <w:noProof/>
          <w:sz w:val="24"/>
          <w:szCs w:val="24"/>
        </w:rPr>
        <w:object w:dxaOrig="5297" w:dyaOrig="5748" w14:anchorId="3463A2CD">
          <v:shape id="_x0000_s2050" type="#_x0000_t75" style="position:absolute;left:0;text-align:left;margin-left:71.1pt;margin-top:0;width:322.15pt;height:287.1pt;z-index:251658240;mso-position-horizontal-relative:text;mso-position-vertical-relative:text">
            <v:imagedata r:id="rId13" o:title=""/>
            <w10:wrap type="square" side="right"/>
          </v:shape>
          <o:OLEObject Type="Embed" ProgID="Prism10.Document" ShapeID="_x0000_s2050" DrawAspect="Content" ObjectID="_1854183256" r:id="rId14"/>
        </w:object>
      </w:r>
    </w:p>
    <w:p w14:paraId="7AF093AE" w14:textId="77777777" w:rsidR="00EF3558" w:rsidRPr="00A757FB" w:rsidRDefault="00EF3558" w:rsidP="00C61442">
      <w:pPr>
        <w:pStyle w:val="BodyText"/>
        <w:spacing w:before="200" w:line="360" w:lineRule="auto"/>
        <w:ind w:left="500" w:right="560"/>
        <w:jc w:val="both"/>
        <w:rPr>
          <w:sz w:val="24"/>
          <w:szCs w:val="24"/>
        </w:rPr>
      </w:pPr>
      <w:r w:rsidRPr="00A757FB">
        <w:rPr>
          <w:sz w:val="24"/>
          <w:szCs w:val="24"/>
        </w:rPr>
        <w:br w:type="textWrapping" w:clear="all"/>
      </w:r>
      <w:r w:rsidRPr="00A757FB">
        <w:rPr>
          <w:b/>
          <w:sz w:val="24"/>
          <w:szCs w:val="24"/>
        </w:rPr>
        <w:t xml:space="preserve">Figure 4: </w:t>
      </w:r>
      <w:r w:rsidRPr="00A757FB">
        <w:rPr>
          <w:sz w:val="24"/>
          <w:szCs w:val="24"/>
        </w:rPr>
        <w:t xml:space="preserve">Low-density lipoprotein </w:t>
      </w:r>
      <w:r w:rsidR="00C61442" w:rsidRPr="00A757FB">
        <w:rPr>
          <w:sz w:val="24"/>
          <w:szCs w:val="24"/>
        </w:rPr>
        <w:t>concentration</w:t>
      </w:r>
      <w:r w:rsidRPr="00A757FB">
        <w:rPr>
          <w:sz w:val="24"/>
          <w:szCs w:val="24"/>
        </w:rPr>
        <w:t xml:space="preserve"> </w:t>
      </w:r>
      <w:r w:rsidR="00E91186" w:rsidRPr="00A757FB">
        <w:rPr>
          <w:sz w:val="24"/>
          <w:szCs w:val="24"/>
        </w:rPr>
        <w:t>in</w:t>
      </w:r>
      <w:r w:rsidRPr="00A757FB">
        <w:rPr>
          <w:spacing w:val="1"/>
          <w:sz w:val="24"/>
          <w:szCs w:val="24"/>
        </w:rPr>
        <w:t xml:space="preserve"> W</w:t>
      </w:r>
      <w:r w:rsidRPr="00A757FB">
        <w:rPr>
          <w:sz w:val="24"/>
          <w:szCs w:val="24"/>
        </w:rPr>
        <w:t xml:space="preserve">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with</w:t>
      </w:r>
      <w:r w:rsidR="00E91186" w:rsidRPr="00A757FB">
        <w:rPr>
          <w:sz w:val="24"/>
          <w:szCs w:val="24"/>
        </w:rPr>
        <w:t xml:space="preserve"> different percentages</w:t>
      </w:r>
      <w:r w:rsidRPr="00A757FB">
        <w:rPr>
          <w:sz w:val="24"/>
          <w:szCs w:val="24"/>
        </w:rPr>
        <w:t xml:space="preserve"> </w:t>
      </w:r>
      <w:r w:rsidR="00E91186" w:rsidRPr="00A757FB">
        <w:rPr>
          <w:sz w:val="24"/>
          <w:szCs w:val="24"/>
        </w:rPr>
        <w:t xml:space="preserve">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7A5E7F6E" w14:textId="77777777" w:rsidR="00EF3558" w:rsidRPr="00A757FB" w:rsidRDefault="00EF3558" w:rsidP="00EF3558">
      <w:pPr>
        <w:pStyle w:val="BodyText"/>
        <w:spacing w:before="200" w:line="360" w:lineRule="auto"/>
        <w:ind w:left="500" w:right="560"/>
        <w:jc w:val="both"/>
        <w:rPr>
          <w:sz w:val="24"/>
          <w:szCs w:val="24"/>
        </w:rPr>
      </w:pPr>
    </w:p>
    <w:p w14:paraId="164B9DAB" w14:textId="77777777" w:rsidR="001D68A0" w:rsidRPr="001D68A0" w:rsidRDefault="001D68A0" w:rsidP="001D68A0">
      <w:pPr>
        <w:pStyle w:val="BodyText"/>
        <w:spacing w:before="89" w:line="360" w:lineRule="auto"/>
        <w:ind w:right="555"/>
        <w:jc w:val="both"/>
        <w:rPr>
          <w:b/>
          <w:bCs/>
          <w:sz w:val="24"/>
          <w:szCs w:val="24"/>
        </w:rPr>
      </w:pPr>
      <w:r w:rsidRPr="001D68A0">
        <w:rPr>
          <w:b/>
          <w:bCs/>
          <w:sz w:val="24"/>
          <w:szCs w:val="24"/>
        </w:rPr>
        <w:t>3.</w:t>
      </w:r>
      <w:r>
        <w:rPr>
          <w:b/>
          <w:bCs/>
          <w:sz w:val="24"/>
          <w:szCs w:val="24"/>
        </w:rPr>
        <w:t>5</w:t>
      </w:r>
      <w:r w:rsidRPr="001D68A0">
        <w:rPr>
          <w:b/>
          <w:bCs/>
          <w:sz w:val="24"/>
          <w:szCs w:val="24"/>
        </w:rPr>
        <w:t xml:space="preserve"> </w:t>
      </w:r>
      <w:r w:rsidR="00EF050E">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w:t>
      </w:r>
      <w:r w:rsidRPr="001D68A0">
        <w:rPr>
          <w:b/>
          <w:bCs/>
          <w:sz w:val="24"/>
          <w:szCs w:val="24"/>
        </w:rPr>
        <w:t xml:space="preserve">Very </w:t>
      </w:r>
      <w:r w:rsidR="00EF050E" w:rsidRPr="001D68A0">
        <w:rPr>
          <w:b/>
          <w:bCs/>
          <w:sz w:val="24"/>
          <w:szCs w:val="24"/>
        </w:rPr>
        <w:t xml:space="preserve">Low-Density Lipoprotein Concentration </w:t>
      </w:r>
      <w:r w:rsidR="00EF050E">
        <w:rPr>
          <w:b/>
          <w:bCs/>
          <w:sz w:val="24"/>
          <w:szCs w:val="24"/>
        </w:rPr>
        <w:t>in</w:t>
      </w:r>
      <w:r w:rsidR="00EF050E" w:rsidRPr="001D68A0">
        <w:rPr>
          <w:b/>
          <w:bCs/>
          <w:sz w:val="24"/>
          <w:szCs w:val="24"/>
        </w:rPr>
        <w:t xml:space="preserve">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and</w:t>
      </w:r>
      <w:r w:rsidR="00EF050E" w:rsidRPr="001D68A0">
        <w:rPr>
          <w:b/>
          <w:bCs/>
          <w:sz w:val="24"/>
          <w:szCs w:val="24"/>
        </w:rPr>
        <w:t xml:space="preserve">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6DEC6297" w14:textId="77777777" w:rsidR="00EF3558" w:rsidRPr="00A757FB" w:rsidRDefault="00EF3558" w:rsidP="00EF3558">
      <w:pPr>
        <w:pStyle w:val="BodyText"/>
        <w:spacing w:before="200" w:line="360" w:lineRule="auto"/>
        <w:ind w:right="560"/>
        <w:jc w:val="both"/>
        <w:rPr>
          <w:sz w:val="24"/>
          <w:szCs w:val="24"/>
        </w:rPr>
      </w:pPr>
      <w:r>
        <w:rPr>
          <w:sz w:val="24"/>
          <w:szCs w:val="24"/>
        </w:rPr>
        <w:t>There was no significant difference (</w:t>
      </w:r>
      <w:r>
        <w:rPr>
          <w:i/>
          <w:iCs/>
          <w:sz w:val="24"/>
          <w:szCs w:val="24"/>
        </w:rPr>
        <w:t>P</w:t>
      </w:r>
      <w:r>
        <w:rPr>
          <w:sz w:val="24"/>
          <w:szCs w:val="24"/>
        </w:rPr>
        <w:t xml:space="preserve">&gt;0.05) in groups B, C, D, E, F, and G (70% standard feed fortified with 30% cooked </w:t>
      </w:r>
      <w:r>
        <w:rPr>
          <w:i/>
          <w:sz w:val="24"/>
          <w:szCs w:val="24"/>
        </w:rPr>
        <w:t xml:space="preserve">A. hypogaea </w:t>
      </w:r>
      <w:r>
        <w:rPr>
          <w:sz w:val="24"/>
          <w:szCs w:val="24"/>
        </w:rPr>
        <w:t xml:space="preserve">seeds, 70% standard feed fortified with 30% uncooked </w:t>
      </w:r>
      <w:r>
        <w:rPr>
          <w:i/>
          <w:sz w:val="24"/>
          <w:szCs w:val="24"/>
        </w:rPr>
        <w:t xml:space="preserve">A. hypogaea </w:t>
      </w:r>
      <w:r>
        <w:rPr>
          <w:sz w:val="24"/>
          <w:szCs w:val="24"/>
        </w:rPr>
        <w:t xml:space="preserve">seeds, 70% standard feed fortified with 30% grilled </w:t>
      </w:r>
      <w:r>
        <w:rPr>
          <w:i/>
          <w:sz w:val="24"/>
          <w:szCs w:val="24"/>
        </w:rPr>
        <w:t>A</w:t>
      </w:r>
      <w:r>
        <w:rPr>
          <w:i/>
          <w:sz w:val="24"/>
          <w:szCs w:val="24"/>
          <w:highlight w:val="yellow"/>
        </w:rPr>
        <w:t>.</w:t>
      </w:r>
      <w:r>
        <w:rPr>
          <w:i/>
          <w:sz w:val="24"/>
          <w:szCs w:val="24"/>
        </w:rPr>
        <w:t xml:space="preserve"> hypogaea </w:t>
      </w:r>
      <w:r>
        <w:rPr>
          <w:sz w:val="24"/>
          <w:szCs w:val="24"/>
        </w:rPr>
        <w:t xml:space="preserve">seeds, 50% standard feed fortified with 50% cooked </w:t>
      </w:r>
      <w:r>
        <w:rPr>
          <w:i/>
          <w:sz w:val="24"/>
          <w:szCs w:val="24"/>
        </w:rPr>
        <w:t xml:space="preserve">A. hypogaea </w:t>
      </w:r>
      <w:r>
        <w:rPr>
          <w:sz w:val="24"/>
          <w:szCs w:val="24"/>
        </w:rPr>
        <w:t xml:space="preserve">seeds, 50% standard feed fortified with 50% uncooked </w:t>
      </w:r>
      <w:r>
        <w:rPr>
          <w:i/>
          <w:sz w:val="24"/>
          <w:szCs w:val="24"/>
        </w:rPr>
        <w:t xml:space="preserve">A. hypogaea </w:t>
      </w:r>
      <w:r>
        <w:rPr>
          <w:sz w:val="24"/>
          <w:szCs w:val="24"/>
        </w:rPr>
        <w:t>seeds and 50% standard feed fortified with 50%</w:t>
      </w:r>
      <w:r>
        <w:rPr>
          <w:i/>
          <w:sz w:val="24"/>
          <w:szCs w:val="24"/>
        </w:rPr>
        <w:t xml:space="preserve"> </w:t>
      </w:r>
      <w:r>
        <w:rPr>
          <w:i/>
          <w:sz w:val="24"/>
          <w:szCs w:val="24"/>
          <w:highlight w:val="yellow"/>
        </w:rPr>
        <w:t xml:space="preserve">A. </w:t>
      </w:r>
      <w:r>
        <w:rPr>
          <w:i/>
          <w:sz w:val="24"/>
          <w:szCs w:val="24"/>
        </w:rPr>
        <w:t xml:space="preserve">hypogaea </w:t>
      </w:r>
      <w:r>
        <w:rPr>
          <w:sz w:val="24"/>
          <w:szCs w:val="24"/>
        </w:rPr>
        <w:t>seeds respectively), compared with</w:t>
      </w:r>
      <w:r>
        <w:rPr>
          <w:sz w:val="24"/>
          <w:szCs w:val="24"/>
          <w:highlight w:val="yellow"/>
        </w:rPr>
        <w:t xml:space="preserve"> the</w:t>
      </w:r>
      <w:r>
        <w:rPr>
          <w:sz w:val="24"/>
          <w:szCs w:val="24"/>
        </w:rPr>
        <w:t xml:space="preserve"> normal control (group A)</w:t>
      </w:r>
      <w:r>
        <w:rPr>
          <w:sz w:val="24"/>
          <w:szCs w:val="24"/>
          <w:highlight w:val="yellow"/>
        </w:rPr>
        <w:t>, as shown</w:t>
      </w:r>
      <w:r>
        <w:rPr>
          <w:sz w:val="24"/>
          <w:szCs w:val="24"/>
        </w:rPr>
        <w:t xml:space="preserve"> in </w:t>
      </w:r>
      <w:r>
        <w:rPr>
          <w:sz w:val="24"/>
          <w:szCs w:val="24"/>
          <w:highlight w:val="yellow"/>
        </w:rPr>
        <w:t>F</w:t>
      </w:r>
      <w:r>
        <w:rPr>
          <w:sz w:val="24"/>
          <w:szCs w:val="24"/>
        </w:rPr>
        <w:t>igure 5.</w:t>
      </w:r>
    </w:p>
    <w:p w14:paraId="208F20E9" w14:textId="77777777" w:rsidR="00EF3558" w:rsidRPr="00A757FB" w:rsidRDefault="00EF3558" w:rsidP="00EF3558">
      <w:pPr>
        <w:pStyle w:val="BodyText"/>
        <w:spacing w:before="200" w:line="360" w:lineRule="auto"/>
        <w:ind w:left="500" w:right="560"/>
        <w:jc w:val="center"/>
        <w:rPr>
          <w:sz w:val="24"/>
          <w:szCs w:val="24"/>
        </w:rPr>
      </w:pPr>
      <w:r w:rsidRPr="00A757FB">
        <w:rPr>
          <w:noProof/>
          <w:sz w:val="24"/>
          <w:szCs w:val="24"/>
        </w:rPr>
        <w:lastRenderedPageBreak/>
        <mc:AlternateContent>
          <mc:Choice Requires="wps">
            <w:drawing>
              <wp:anchor distT="0" distB="0" distL="114300" distR="114300" simplePos="0" relativeHeight="251659264" behindDoc="0" locked="0" layoutInCell="1" allowOverlap="1" wp14:anchorId="7560FD78" wp14:editId="24E8D91C">
                <wp:simplePos x="0" y="0"/>
                <wp:positionH relativeFrom="column">
                  <wp:posOffset>4642485</wp:posOffset>
                </wp:positionH>
                <wp:positionV relativeFrom="paragraph">
                  <wp:posOffset>304800</wp:posOffset>
                </wp:positionV>
                <wp:extent cx="1699895" cy="750570"/>
                <wp:effectExtent l="0" t="0" r="0" b="0"/>
                <wp:wrapNone/>
                <wp:docPr id="15931234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750570"/>
                        </a:xfrm>
                        <a:prstGeom prst="rect">
                          <a:avLst/>
                        </a:prstGeom>
                        <a:solidFill>
                          <a:schemeClr val="lt1"/>
                        </a:solidFill>
                        <a:ln w="6350">
                          <a:noFill/>
                        </a:ln>
                      </wps:spPr>
                      <wps:txbx>
                        <w:txbxContent>
                          <w:p w14:paraId="774D6C69" w14:textId="77777777" w:rsidR="00EF3558" w:rsidRPr="008B2012" w:rsidRDefault="00EF3558" w:rsidP="00EF3558">
                            <w:pPr>
                              <w:pStyle w:val="NoSpacing"/>
                            </w:pPr>
                            <w:r w:rsidRPr="008B2012">
                              <w:rPr>
                                <w:b/>
                                <w:bCs/>
                              </w:rPr>
                              <w:t xml:space="preserve">SF:  </w:t>
                            </w:r>
                            <w:r w:rsidRPr="008B2012">
                              <w:t>Standard Feed</w:t>
                            </w:r>
                          </w:p>
                          <w:p w14:paraId="7044F100" w14:textId="77777777" w:rsidR="00EF3558" w:rsidRPr="008B2012" w:rsidRDefault="00EF3558" w:rsidP="00EF3558">
                            <w:pPr>
                              <w:pStyle w:val="NoSpacing"/>
                            </w:pPr>
                            <w:r w:rsidRPr="008B2012">
                              <w:rPr>
                                <w:b/>
                                <w:bCs/>
                              </w:rPr>
                              <w:t>CG:</w:t>
                            </w:r>
                            <w:r>
                              <w:rPr>
                                <w:b/>
                                <w:bCs/>
                              </w:rPr>
                              <w:t xml:space="preserve"> </w:t>
                            </w:r>
                            <w:r w:rsidRPr="008B2012">
                              <w:t>Cooked Groundnut</w:t>
                            </w:r>
                          </w:p>
                          <w:p w14:paraId="1FDE8CC1"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37CA966A" w14:textId="77777777" w:rsidR="00EF3558" w:rsidRPr="008B2012" w:rsidRDefault="00EF3558" w:rsidP="00EF3558">
                            <w:pPr>
                              <w:pStyle w:val="NoSpacing"/>
                            </w:pPr>
                            <w:r w:rsidRPr="008B2012">
                              <w:rPr>
                                <w:b/>
                                <w:bCs/>
                              </w:rPr>
                              <w:t>GG:</w:t>
                            </w:r>
                            <w:r w:rsidRPr="008B2012">
                              <w:t xml:space="preserve"> Grilled Groundnut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0FD78" id="Text Box 1" o:spid="_x0000_s1030" type="#_x0000_t202" style="position:absolute;left:0;text-align:left;margin-left:365.55pt;margin-top:24pt;width:133.85pt;height:5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" fillcolor="white [3201]" stroked="f" strokeweight=".5pt">
                <v:textbox>
                  <w:txbxContent>
                    <w:p w14:paraId="7EAEA4CD" w14:textId="77777777" w:rsidR="00EF3558" w:rsidRPr="008B2012" w:rsidRDefault="00EF3558" w:rsidP="00EF3558">
                      <w:pPr>
                        <w:pStyle w:val="NoSpacing"/>
                      </w:pPr>
                      <w:r w:rsidRPr="008B2012">
                        <w:rPr>
                          <w:b/>
                          <w:bCs/>
                        </w:rPr>
                        <w:t xml:space="preserve">SF:  </w:t>
                      </w:r>
                      <w:r w:rsidRPr="008B2012">
                        <w:t>Standard Feed</w:t>
                      </w:r>
                    </w:p>
                    <w:p w14:paraId="0CF54E7A" w14:textId="77777777" w:rsidR="00EF3558" w:rsidRPr="008B2012" w:rsidRDefault="00EF3558" w:rsidP="00EF3558">
                      <w:pPr>
                        <w:pStyle w:val="NoSpacing"/>
                      </w:pPr>
                      <w:r w:rsidRPr="008B2012">
                        <w:rPr>
                          <w:b/>
                          <w:bCs/>
                        </w:rPr>
                        <w:t>CG:</w:t>
                      </w:r>
                      <w:r>
                        <w:rPr>
                          <w:b/>
                          <w:bCs/>
                        </w:rPr>
                        <w:t xml:space="preserve"> </w:t>
                      </w:r>
                      <w:r w:rsidRPr="008B2012">
                        <w:t>Cooked Groundnut</w:t>
                      </w:r>
                    </w:p>
                    <w:p w14:paraId="39D0577E"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08B946F5" w14:textId="77777777" w:rsidR="00EF3558" w:rsidRPr="008B2012" w:rsidRDefault="00EF3558" w:rsidP="00EF3558">
                      <w:pPr>
                        <w:pStyle w:val="NoSpacing"/>
                      </w:pPr>
                      <w:r w:rsidRPr="008B2012">
                        <w:rPr>
                          <w:b/>
                          <w:bCs/>
                        </w:rPr>
                        <w:t>GG:</w:t>
                      </w:r>
                      <w:r w:rsidRPr="008B2012">
                        <w:t xml:space="preserve"> Grilled Groundnut</w:t>
                      </w:r>
                    </w:p>
                  </w:txbxContent>
                </v:textbox>
              </v:shape>
            </w:pict>
          </mc:Fallback>
        </mc:AlternateContent>
      </w:r>
      <w:r w:rsidRPr="00A757FB">
        <w:rPr>
          <w:sz w:val="24"/>
          <w:szCs w:val="24"/>
        </w:rPr>
        <w:object w:dxaOrig="5013" w:dyaOrig="5114" w14:anchorId="7381427D">
          <v:shape id="_x0000_i1029" type="#_x0000_t75" style="width:329pt;height:254.5pt" o:ole="">
            <v:imagedata r:id="rId15" o:title=""/>
          </v:shape>
          <o:OLEObject Type="Embed" ProgID="Prism10.Document" ShapeID="_x0000_i1029" DrawAspect="Content" ObjectID="_1854183255" r:id="rId16"/>
        </w:object>
      </w:r>
    </w:p>
    <w:p w14:paraId="2DEE4D68" w14:textId="77777777" w:rsidR="00EF3558" w:rsidRPr="00A757FB" w:rsidRDefault="00EF3558" w:rsidP="00EF3558">
      <w:pPr>
        <w:pStyle w:val="BodyText"/>
        <w:spacing w:before="89" w:line="360" w:lineRule="auto"/>
        <w:ind w:right="555"/>
        <w:jc w:val="both"/>
        <w:rPr>
          <w:sz w:val="24"/>
          <w:szCs w:val="24"/>
        </w:rPr>
      </w:pPr>
      <w:r w:rsidRPr="00A757FB">
        <w:rPr>
          <w:b/>
          <w:sz w:val="24"/>
          <w:szCs w:val="24"/>
        </w:rPr>
        <w:t>Figure 5:</w:t>
      </w:r>
      <w:r w:rsidRPr="00A757FB">
        <w:rPr>
          <w:sz w:val="24"/>
          <w:szCs w:val="24"/>
        </w:rPr>
        <w:t xml:space="preserve"> Very</w:t>
      </w:r>
      <w:r w:rsidR="00EA3C65">
        <w:rPr>
          <w:sz w:val="24"/>
          <w:szCs w:val="24"/>
        </w:rPr>
        <w:t>-</w:t>
      </w:r>
      <w:r w:rsidRPr="00A757FB">
        <w:rPr>
          <w:sz w:val="24"/>
          <w:szCs w:val="24"/>
        </w:rPr>
        <w:t xml:space="preserve">low-density lipoprotein </w:t>
      </w:r>
      <w:r w:rsidR="00C61442"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2A1C628E" w14:textId="77777777" w:rsidR="00E91186" w:rsidRPr="00A757FB" w:rsidRDefault="00E91186" w:rsidP="00EF3558">
      <w:pPr>
        <w:spacing w:line="360" w:lineRule="auto"/>
        <w:jc w:val="both"/>
        <w:rPr>
          <w:b/>
          <w:sz w:val="24"/>
          <w:szCs w:val="24"/>
        </w:rPr>
      </w:pPr>
    </w:p>
    <w:p w14:paraId="1DFD97E9" w14:textId="77777777" w:rsidR="00EF3558" w:rsidRPr="009F0201" w:rsidRDefault="00EF3558" w:rsidP="009F0201">
      <w:pPr>
        <w:pStyle w:val="ListParagraph"/>
        <w:numPr>
          <w:ilvl w:val="0"/>
          <w:numId w:val="2"/>
        </w:numPr>
        <w:spacing w:line="360" w:lineRule="auto"/>
        <w:ind w:left="360"/>
        <w:jc w:val="both"/>
        <w:rPr>
          <w:b/>
          <w:sz w:val="24"/>
          <w:szCs w:val="24"/>
        </w:rPr>
      </w:pPr>
      <w:r w:rsidRPr="009F0201">
        <w:rPr>
          <w:b/>
          <w:sz w:val="24"/>
          <w:szCs w:val="24"/>
        </w:rPr>
        <w:t>DISCUSSION</w:t>
      </w:r>
    </w:p>
    <w:p w14:paraId="24B99392" w14:textId="77777777" w:rsidR="006C5CFB" w:rsidRPr="00A757FB" w:rsidRDefault="006C5CFB" w:rsidP="006C5CFB">
      <w:pPr>
        <w:jc w:val="both"/>
        <w:rPr>
          <w:sz w:val="24"/>
          <w:szCs w:val="24"/>
        </w:rPr>
      </w:pPr>
      <w:r>
        <w:rPr>
          <w:sz w:val="24"/>
          <w:szCs w:val="24"/>
        </w:rPr>
        <w:t xml:space="preserve">This study examined the effects of feeding Wistar </w:t>
      </w:r>
      <w:proofErr w:type="gramStart"/>
      <w:r>
        <w:rPr>
          <w:sz w:val="24"/>
          <w:szCs w:val="24"/>
        </w:rPr>
        <w:t>rat</w:t>
      </w:r>
      <w:r>
        <w:rPr>
          <w:sz w:val="24"/>
          <w:szCs w:val="24"/>
          <w:highlight w:val="yellow"/>
        </w:rPr>
        <w:t>s</w:t>
      </w:r>
      <w:proofErr w:type="gramEnd"/>
      <w:r>
        <w:rPr>
          <w:sz w:val="24"/>
          <w:szCs w:val="24"/>
        </w:rPr>
        <w:t xml:space="preserve"> diets supplemented with uncooked, cooked, and grilled groundnut (</w:t>
      </w:r>
      <w:r>
        <w:rPr>
          <w:i/>
          <w:iCs/>
          <w:sz w:val="24"/>
          <w:szCs w:val="24"/>
        </w:rPr>
        <w:t>Arachis hypogaea</w:t>
      </w:r>
      <w:r>
        <w:rPr>
          <w:sz w:val="24"/>
          <w:szCs w:val="24"/>
        </w:rPr>
        <w:t xml:space="preserve">) seeds on their serum lipid profiles. The results showed that the response varied with the processing method and the proportion of groundnut included in the feed. The most notable changes were observed in high-density lipoprotein cholesterol (HDL-C) and total cholesterol (TC). HDL-C concentrations increased in all the groundnut-supplemented groups, with the highest value recorded in rats fed uncooked groundnuts, followed by those given cooked and grilled groundnuts. In contrast, total cholesterol increased significantly in the groups receiving diets containing 50% cooked and 50% grilled groundnuts. Triglyceride (TG), low-density lipoprotein cholesterol (LDL-C), and very-low-density lipoprotein cholesterol (VLDL-C) did not differ significantly among the groups. </w:t>
      </w:r>
    </w:p>
    <w:p w14:paraId="7E5F1E47" w14:textId="77777777" w:rsidR="006C5CFB" w:rsidRPr="00A757FB" w:rsidRDefault="006C5CFB" w:rsidP="006C5CFB">
      <w:pPr>
        <w:jc w:val="both"/>
        <w:rPr>
          <w:sz w:val="24"/>
          <w:szCs w:val="24"/>
        </w:rPr>
      </w:pPr>
      <w:r>
        <w:rPr>
          <w:sz w:val="24"/>
          <w:szCs w:val="24"/>
        </w:rPr>
        <w:t xml:space="preserve">These findings suggest that groundnut supplementation affected selected components of lipid metabolism rather than producing uniform changes across all the lipid parameters measured. The increase in HDL-C across the supplemented groups was one of the notable findings of this study. HDL plays an important role in reverse cholesterol transport, </w:t>
      </w:r>
      <w:r>
        <w:rPr>
          <w:sz w:val="24"/>
          <w:szCs w:val="24"/>
          <w:highlight w:val="yellow"/>
        </w:rPr>
        <w:t>by</w:t>
      </w:r>
      <w:r>
        <w:rPr>
          <w:sz w:val="24"/>
          <w:szCs w:val="24"/>
        </w:rPr>
        <w:t xml:space="preserve"> which cholesterol is transported from peripheral tissues towards the liver for further processing and elimination. Higher HDL-C concentrations are often associated with a more </w:t>
      </w:r>
      <w:proofErr w:type="spellStart"/>
      <w:r>
        <w:rPr>
          <w:sz w:val="24"/>
          <w:szCs w:val="24"/>
        </w:rPr>
        <w:t>favourable</w:t>
      </w:r>
      <w:proofErr w:type="spellEnd"/>
      <w:r>
        <w:rPr>
          <w:sz w:val="24"/>
          <w:szCs w:val="24"/>
        </w:rPr>
        <w:t xml:space="preserve"> lipid profile, although the concentration of HDL-C alone does not establish how effectively HDL functions or whether cardiovascular </w:t>
      </w:r>
      <w:r>
        <w:rPr>
          <w:sz w:val="24"/>
          <w:szCs w:val="24"/>
        </w:rPr>
        <w:lastRenderedPageBreak/>
        <w:t xml:space="preserve">protection has improved. As discussed by Houston </w:t>
      </w:r>
      <w:r>
        <w:rPr>
          <w:i/>
          <w:iCs/>
          <w:sz w:val="24"/>
          <w:szCs w:val="24"/>
        </w:rPr>
        <w:t>et al</w:t>
      </w:r>
      <w:r>
        <w:rPr>
          <w:sz w:val="24"/>
          <w:szCs w:val="24"/>
        </w:rPr>
        <w:t xml:space="preserve">. (2023), the relationship between dietary factors and lipid metabolism involves several interacting processes. </w:t>
      </w:r>
    </w:p>
    <w:p w14:paraId="22198C9F" w14:textId="77777777" w:rsidR="006C5CFB" w:rsidRPr="00A757FB" w:rsidRDefault="006C5CFB" w:rsidP="006C5CFB">
      <w:pPr>
        <w:jc w:val="both"/>
        <w:rPr>
          <w:sz w:val="24"/>
          <w:szCs w:val="24"/>
        </w:rPr>
      </w:pPr>
      <w:r>
        <w:rPr>
          <w:sz w:val="24"/>
          <w:szCs w:val="24"/>
        </w:rPr>
        <w:t xml:space="preserve">In the present study, the higher HDL-C concentrations suggest that groundnut supplementation may have influenced lipoprotein metabolism in the experimental animals. However, further measurements would be required to determine the biological significance of this response. The highest HDL-C concentration was recorded in the group fed uncooked groundnuts. One possible explanation is that the seeds retained more of their original lipid composition and certain heat-sensitive bioactive compounds because they had not been exposed to thermal processing. Groundnuts contain substantial amounts of unsaturated fatty acids, together with phytosterols, tocopherols, phenolic compounds, and other constituents that may influence lipid metabolism and oxidative processes. These components have been associated with the lipid-modulating properties of groundnuts (Houston </w:t>
      </w:r>
      <w:r>
        <w:rPr>
          <w:i/>
          <w:iCs/>
          <w:sz w:val="24"/>
          <w:szCs w:val="24"/>
        </w:rPr>
        <w:t>et al</w:t>
      </w:r>
      <w:r>
        <w:rPr>
          <w:sz w:val="24"/>
          <w:szCs w:val="24"/>
        </w:rPr>
        <w:t xml:space="preserve">., 2023). Heating can alter some of these constituents, although the extent of the changes depends on the processing conditions. It is therefore possible that differences in the composition of the uncooked and processed seeds contributed to the variation in HDL-C observed in this study. However, since the fatty acid profile, phytochemical composition and bioavailability of these compounds were not determined, this explanation remains a plausible interpretation rather than a confirmed mechanism. </w:t>
      </w:r>
    </w:p>
    <w:p w14:paraId="493468EF" w14:textId="77777777" w:rsidR="006C5CFB" w:rsidRPr="00A757FB" w:rsidRDefault="006C5CFB" w:rsidP="006C5CFB">
      <w:pPr>
        <w:jc w:val="both"/>
        <w:rPr>
          <w:sz w:val="24"/>
          <w:szCs w:val="24"/>
        </w:rPr>
      </w:pPr>
      <w:r w:rsidRPr="00A757FB">
        <w:rPr>
          <w:sz w:val="24"/>
          <w:szCs w:val="24"/>
        </w:rPr>
        <w:t>Rats fed cooked groundnuts also showed higher HDL-C concentrations than the control group. Cooking in water may affect the food matrix differently from grilling, particularly because the seeds are exposed to moisture rather than direct dry heat. These conditions can influence the stability, extractability</w:t>
      </w:r>
      <w:r w:rsidR="0072129E">
        <w:rPr>
          <w:sz w:val="24"/>
          <w:szCs w:val="24"/>
        </w:rPr>
        <w:t>,</w:t>
      </w:r>
      <w:r w:rsidRPr="00A757FB">
        <w:rPr>
          <w:sz w:val="24"/>
          <w:szCs w:val="24"/>
        </w:rPr>
        <w:t xml:space="preserve"> and availability of certain nutrients and phytochemicals. The presence of water may also affect the extent of oxidative changes during heating, although it does not eliminate the possibility of lipid oxidation. Zhang </w:t>
      </w:r>
      <w:r w:rsidR="005B5B4F" w:rsidRPr="005B5B4F">
        <w:rPr>
          <w:i/>
          <w:iCs/>
          <w:sz w:val="24"/>
          <w:szCs w:val="24"/>
        </w:rPr>
        <w:t>et al</w:t>
      </w:r>
      <w:r w:rsidRPr="00A757FB">
        <w:rPr>
          <w:sz w:val="24"/>
          <w:szCs w:val="24"/>
        </w:rPr>
        <w:t xml:space="preserve">. (2024) reported that processing methods such as boiling and roasting can produce differences in the nutritional composition and lipid quality of peanuts. The higher HDL-C observed in the cooked groundnut group may therefore reflect differences in the composition or availability of dietary constituents following processing. </w:t>
      </w:r>
    </w:p>
    <w:p w14:paraId="7AAA6300" w14:textId="77777777" w:rsidR="006C5CFB" w:rsidRPr="00A757FB" w:rsidRDefault="006C5CFB" w:rsidP="006C5CFB">
      <w:pPr>
        <w:jc w:val="both"/>
        <w:rPr>
          <w:sz w:val="24"/>
          <w:szCs w:val="24"/>
        </w:rPr>
      </w:pPr>
      <w:r w:rsidRPr="00A757FB">
        <w:rPr>
          <w:sz w:val="24"/>
          <w:szCs w:val="24"/>
        </w:rPr>
        <w:t xml:space="preserve">Nevertheless, the present study did not directly establish which components were responsible for the observed response. The grilled groundnut group also showed an increase in HDL-C, although the value was lower than those recorded in the uncooked and cooked groundnut groups. Grilling exposes groundnuts to dry heat, which can alter their lipid composition and other chemical constituents. Because groundnuts contain substantial amounts of unsaturated fatty acids, some of these lipids may undergo oxidation when exposed to heat and oxygen. Zhang </w:t>
      </w:r>
      <w:r w:rsidR="005B5B4F" w:rsidRPr="005B5B4F">
        <w:rPr>
          <w:i/>
          <w:iCs/>
          <w:sz w:val="24"/>
          <w:szCs w:val="24"/>
        </w:rPr>
        <w:t>et al</w:t>
      </w:r>
      <w:r w:rsidRPr="00A757FB">
        <w:rPr>
          <w:sz w:val="24"/>
          <w:szCs w:val="24"/>
        </w:rPr>
        <w:t xml:space="preserve">. (2022) reported that roasting and other high-temperature treatments can affect peanut lipid composition and promote the formation of lipid oxidation products. Such changes could influence the nutritional properties of the processed seeds and potentially affect their metabolic effects after consumption. However, because lipid oxidation products and fatty acid composition were not measured in the present study, it would be premature to attribute the lower HDL-C concentration in the grilled group directly to oxidative damage. </w:t>
      </w:r>
    </w:p>
    <w:p w14:paraId="75A4F075" w14:textId="77777777" w:rsidR="006C5CFB" w:rsidRPr="00A757FB" w:rsidRDefault="006C5CFB" w:rsidP="006C5CFB">
      <w:pPr>
        <w:jc w:val="both"/>
        <w:rPr>
          <w:sz w:val="24"/>
          <w:szCs w:val="24"/>
        </w:rPr>
      </w:pPr>
      <w:r w:rsidRPr="00A757FB">
        <w:rPr>
          <w:sz w:val="24"/>
          <w:szCs w:val="24"/>
        </w:rPr>
        <w:lastRenderedPageBreak/>
        <w:t>Other differences arising from processing, feed composition, or nutrient availability may also have contributed. Another important observation was the absence of significant differences in serum triglyceride concentrations among the experimental groups. Triglycerides are transported mainly in chylomicrons and VLDL particles, and their circulating concentrations are influenced by dietary fat intake, intestinal absorption, hepatic triglyceride synthesis, and the clearance of triglyceride-rich lipoproteins. The lack of a statistically significant difference suggests that the dietary treatments did not produce a detectable change in circulating triglyceride concentrations under the conditions of this experiment. This finding is consistent with the absence of significant differences in VLDL-C. However, a non</w:t>
      </w:r>
      <w:r w:rsidR="002C650A">
        <w:rPr>
          <w:sz w:val="24"/>
          <w:szCs w:val="24"/>
        </w:rPr>
        <w:t>-</w:t>
      </w:r>
      <w:r w:rsidRPr="00A757FB">
        <w:rPr>
          <w:sz w:val="24"/>
          <w:szCs w:val="24"/>
        </w:rPr>
        <w:t xml:space="preserve">significant result does not necessarily mean that the treatments had no biological effect, particularly where the study may have had limited statistical power to detect smaller differences. </w:t>
      </w:r>
    </w:p>
    <w:p w14:paraId="53A9A347" w14:textId="77777777" w:rsidR="006C5CFB" w:rsidRPr="00A757FB" w:rsidRDefault="006C5CFB" w:rsidP="006C5CFB">
      <w:pPr>
        <w:jc w:val="both"/>
        <w:rPr>
          <w:sz w:val="24"/>
          <w:szCs w:val="24"/>
        </w:rPr>
      </w:pPr>
      <w:r w:rsidRPr="00A757FB">
        <w:rPr>
          <w:sz w:val="24"/>
          <w:szCs w:val="24"/>
        </w:rPr>
        <w:t xml:space="preserve">The significant increase in total cholesterol observed in the groups fed diets containing 50% cooked and 50% grilled groundnuts deserves particular attention. This finding differs from reports of </w:t>
      </w:r>
      <w:proofErr w:type="spellStart"/>
      <w:r w:rsidRPr="00A757FB">
        <w:rPr>
          <w:sz w:val="24"/>
          <w:szCs w:val="24"/>
        </w:rPr>
        <w:t>favourable</w:t>
      </w:r>
      <w:proofErr w:type="spellEnd"/>
      <w:r w:rsidRPr="00A757FB">
        <w:rPr>
          <w:sz w:val="24"/>
          <w:szCs w:val="24"/>
        </w:rPr>
        <w:t xml:space="preserve"> changes in selected lipid parameters following peanut consumption, including reductions in total cholesterol and LDL-C (Houston </w:t>
      </w:r>
      <w:r w:rsidR="005B5B4F" w:rsidRPr="005B5B4F">
        <w:rPr>
          <w:i/>
          <w:iCs/>
          <w:sz w:val="24"/>
          <w:szCs w:val="24"/>
        </w:rPr>
        <w:t>et al</w:t>
      </w:r>
      <w:r w:rsidRPr="00A757FB">
        <w:rPr>
          <w:sz w:val="24"/>
          <w:szCs w:val="24"/>
        </w:rPr>
        <w:t>., 2023). The apparent difference may reflect variations in the amount of groundnut consumed, the composition of the experimental diets, the duration of feeding, the animal model</w:t>
      </w:r>
      <w:r w:rsidR="002C650A">
        <w:rPr>
          <w:sz w:val="24"/>
          <w:szCs w:val="24"/>
        </w:rPr>
        <w:t>,</w:t>
      </w:r>
      <w:r w:rsidRPr="00A757FB">
        <w:rPr>
          <w:sz w:val="24"/>
          <w:szCs w:val="24"/>
        </w:rPr>
        <w:t xml:space="preserve"> and the processing conditions. It is therefore important not to interpret the present result as evidence that groundnut consumption generally raises serum cholesterol. Rather, the findings suggest that the effects observed under the specific dietary conditions used in this experiment may differ from those reported in studies employing other levels of inclusion or dietary formulations. </w:t>
      </w:r>
    </w:p>
    <w:p w14:paraId="2DE9AE7D" w14:textId="77777777" w:rsidR="002C650A" w:rsidRDefault="006C5CFB" w:rsidP="006C5CFB">
      <w:pPr>
        <w:jc w:val="both"/>
        <w:rPr>
          <w:sz w:val="24"/>
          <w:szCs w:val="24"/>
        </w:rPr>
      </w:pPr>
      <w:r w:rsidRPr="00A757FB">
        <w:rPr>
          <w:sz w:val="24"/>
          <w:szCs w:val="24"/>
        </w:rPr>
        <w:t xml:space="preserve">The high proportion of groundnut incorporated into some of the experimental feeds may have contributed to the increase in total cholesterol. Groundnuts are energy-dense foods containing appreciable amounts of fat, and their inclusion at 50% of the feed represents a substantial dietary exposure. At this level, replacing a large proportion of the standard feed with groundnut could alter the overall energy density and balance of dietary macronutrients. These changes may influence cholesterol metabolism independently of the groundnut's individual bioactive compounds. For this reason, the nutrient composition of the experimental diets is important when interpreting the results. Information on total fat, saturated and unsaturated fatty acids, protein, carbohydrate and dietary </w:t>
      </w:r>
      <w:proofErr w:type="spellStart"/>
      <w:r w:rsidRPr="00A757FB">
        <w:rPr>
          <w:sz w:val="24"/>
          <w:szCs w:val="24"/>
        </w:rPr>
        <w:t>fibre</w:t>
      </w:r>
      <w:proofErr w:type="spellEnd"/>
      <w:r w:rsidRPr="00A757FB">
        <w:rPr>
          <w:sz w:val="24"/>
          <w:szCs w:val="24"/>
        </w:rPr>
        <w:t xml:space="preserve"> would help clarify whether the observed changes were associated with groundnut supplementation itself or with differences in the overall composition of the diets. </w:t>
      </w:r>
    </w:p>
    <w:p w14:paraId="78D7C720" w14:textId="77777777" w:rsidR="006C5CFB" w:rsidRPr="00A757FB" w:rsidRDefault="006C5CFB" w:rsidP="006C5CFB">
      <w:pPr>
        <w:jc w:val="both"/>
        <w:rPr>
          <w:sz w:val="24"/>
          <w:szCs w:val="24"/>
        </w:rPr>
      </w:pPr>
      <w:r w:rsidRPr="00A757FB">
        <w:rPr>
          <w:sz w:val="24"/>
          <w:szCs w:val="24"/>
        </w:rPr>
        <w:t xml:space="preserve">Processing-related changes in groundnut composition may also have contributed to the higher total cholesterol recorded in the cooked and grilled groups. Thermal treatment can influence fatty acid stability, the food matrix, and the concentrations of certain bioactive compounds. Under some conditions, heating may promote the oxidation of unsaturated fatty acids and the formation of secondary oxidation products (Zhang </w:t>
      </w:r>
      <w:r w:rsidR="005B5B4F" w:rsidRPr="005B5B4F">
        <w:rPr>
          <w:i/>
          <w:iCs/>
          <w:sz w:val="24"/>
          <w:szCs w:val="24"/>
        </w:rPr>
        <w:t>et al</w:t>
      </w:r>
      <w:r w:rsidRPr="00A757FB">
        <w:rPr>
          <w:sz w:val="24"/>
          <w:szCs w:val="24"/>
        </w:rPr>
        <w:t xml:space="preserve">., 2022). These changes could potentially affect the handling of dietary lipids by the liver and other tissues. Nevertheless, the relationship between processing and serum cholesterol is unlikely to be explained by a single mechanism. Since the fatty acid composition, phytosterol content, and lipid oxidation products of the groundnut samples </w:t>
      </w:r>
      <w:r w:rsidRPr="00A757FB">
        <w:rPr>
          <w:sz w:val="24"/>
          <w:szCs w:val="24"/>
        </w:rPr>
        <w:lastRenderedPageBreak/>
        <w:t xml:space="preserve">were not determined, the proposed explanation remains speculative. Direct analysis of these components would be necessary to establish whether processing-related compositional changes were associated with the cholesterol response observed in this study. </w:t>
      </w:r>
    </w:p>
    <w:p w14:paraId="08FF0F0A" w14:textId="77777777" w:rsidR="007349B3" w:rsidRDefault="006C5CFB" w:rsidP="006C5CFB">
      <w:pPr>
        <w:jc w:val="both"/>
        <w:rPr>
          <w:sz w:val="24"/>
          <w:szCs w:val="24"/>
        </w:rPr>
      </w:pPr>
      <w:r w:rsidRPr="00A757FB">
        <w:rPr>
          <w:sz w:val="24"/>
          <w:szCs w:val="24"/>
        </w:rPr>
        <w:t xml:space="preserve">Interestingly, the increase in total cholesterol in the cooked and grilled groundnut groups was not accompanied by a statistically significant increase in LDL-C. Since total cholesterol represents the cholesterol carried in different lipoprotein fractions, changes in HDL and other fractions may contribute to the overall concentration. The higher total cholesterol therefore cannot be attributed to increased LDL-C on the basis of the present results. However, the absence of a significant difference in LDL-C does not establish which fraction accounted for the increase in total cholesterol. </w:t>
      </w:r>
    </w:p>
    <w:p w14:paraId="3BF0A236" w14:textId="77777777" w:rsidR="006C5CFB" w:rsidRPr="00A757FB" w:rsidRDefault="006C5CFB" w:rsidP="006C5CFB">
      <w:pPr>
        <w:jc w:val="both"/>
        <w:rPr>
          <w:sz w:val="24"/>
          <w:szCs w:val="24"/>
        </w:rPr>
      </w:pPr>
      <w:r w:rsidRPr="00A757FB">
        <w:rPr>
          <w:sz w:val="24"/>
          <w:szCs w:val="24"/>
        </w:rPr>
        <w:t xml:space="preserve">The VLDL-C results provide further context for interpreting the lipid profile. VLDL particles are produced mainly by the liver and transport endogenous triglycerides through the circulation. The absence of significant differences in both VLDL-C and triglycerides suggests that the dietary treatments did not produce a detectable alteration in these measured components of triglyceride transport. Taken together, the findings indicate that the observed changes were selective, with the clearest differences occurring in HDL-C and total cholesterol rather than across all lipid parameters. Nevertheless, additional measurements of hepatic lipid metabolism and lipoprotein composition would be needed to determine the processes responsible for this pattern. </w:t>
      </w:r>
    </w:p>
    <w:p w14:paraId="198BD892" w14:textId="77777777" w:rsidR="006C5CFB" w:rsidRPr="00A757FB" w:rsidRDefault="006C5CFB" w:rsidP="006C5CFB">
      <w:pPr>
        <w:jc w:val="both"/>
        <w:rPr>
          <w:sz w:val="24"/>
          <w:szCs w:val="24"/>
        </w:rPr>
      </w:pPr>
      <w:r w:rsidRPr="00A757FB">
        <w:rPr>
          <w:sz w:val="24"/>
          <w:szCs w:val="24"/>
        </w:rPr>
        <w:t xml:space="preserve">Overall, the results suggest that the processing method and level of groundnut inclusion may be important considerations when evaluating the effects of groundnut supplementation on serum lipids. Uncooked groundnuts produced the highest HDL-C concentration, whereas diets containing 50% cooked or grilled groundnuts were associated with significantly higher total cholesterol. In contrast, triglyceride, LDL-C and VLDL-C concentrations did not differ significantly among the groups. These findings highlight the fact that changes in one lipid parameter do not necessarily occur alongside similar changes in others. They also show why the effects of dietary groundnut should be interpreted in the context of the amount consumed, the composition of the feed, and the method of processing. </w:t>
      </w:r>
    </w:p>
    <w:p w14:paraId="2500228C" w14:textId="77777777" w:rsidR="006C5CFB" w:rsidRDefault="006C5CFB" w:rsidP="006C5CFB">
      <w:pPr>
        <w:jc w:val="both"/>
        <w:rPr>
          <w:sz w:val="24"/>
          <w:szCs w:val="24"/>
        </w:rPr>
      </w:pPr>
      <w:r>
        <w:rPr>
          <w:sz w:val="24"/>
          <w:szCs w:val="24"/>
        </w:rPr>
        <w:t xml:space="preserve">Further research is needed to clarify the factors responsible for these responses. Analysis of the fatty acid profile, phytosterol and tocopherol contents, phenolic composition, and lipid oxidation products of uncooked, cooked, and grilled groundnuts would help determine how processing alters the composition of the seeds. Measuring hepatic enzymes involved in lipid metabolism, markers of oxidative stress and relevant histopathological changes could provide additional information about the biological processes underlying the observed lipid responses. It would also be useful to investigate graded levels of groundnut inclusion while maintaining nutritionally comparable experimental diets. Such an approach would help establish whether the effects depend on the amount consumed and provide a sound basis for assessing the relevance of the findings to human dietary practices. </w:t>
      </w:r>
      <w:r>
        <w:rPr>
          <w:sz w:val="24"/>
          <w:szCs w:val="24"/>
          <w:highlight w:val="yellow"/>
        </w:rPr>
        <w:t>Additionally, studies involving experimental periods longer than 28 days, appropriate human studies and additional inclusion levels are needed to establish the broader nutritional implications of these findings.</w:t>
      </w:r>
    </w:p>
    <w:p w14:paraId="113A0F9B" w14:textId="77777777" w:rsidR="007349B3" w:rsidRPr="00A757FB" w:rsidRDefault="007349B3" w:rsidP="006C5CFB">
      <w:pPr>
        <w:jc w:val="both"/>
        <w:rPr>
          <w:sz w:val="24"/>
          <w:szCs w:val="24"/>
        </w:rPr>
      </w:pPr>
    </w:p>
    <w:p w14:paraId="7B75705E" w14:textId="77777777" w:rsidR="006C5CFB" w:rsidRPr="009F0201" w:rsidRDefault="006C5CFB" w:rsidP="009F0201">
      <w:pPr>
        <w:pStyle w:val="ListParagraph"/>
        <w:numPr>
          <w:ilvl w:val="0"/>
          <w:numId w:val="2"/>
        </w:numPr>
        <w:ind w:left="360"/>
        <w:jc w:val="both"/>
        <w:rPr>
          <w:b/>
          <w:bCs/>
          <w:sz w:val="24"/>
          <w:szCs w:val="24"/>
        </w:rPr>
      </w:pPr>
      <w:r w:rsidRPr="009F0201">
        <w:rPr>
          <w:b/>
          <w:bCs/>
          <w:sz w:val="24"/>
          <w:szCs w:val="24"/>
        </w:rPr>
        <w:t xml:space="preserve">CONCLUSION </w:t>
      </w:r>
    </w:p>
    <w:p w14:paraId="083C6BC8" w14:textId="77777777" w:rsidR="003147F2" w:rsidRDefault="003147F2" w:rsidP="003147F2">
      <w:pPr>
        <w:pStyle w:val="NormalWeb"/>
      </w:pPr>
      <w:r>
        <w:t>This 28-day feeding experiment showed that diets fortified with differently processed groundnut seeds were associated with changes in selected serum lipid parameters in Wistar rats. Total cholesterol was significantly higher in the groups receiving diets containing 50% cooked or 50% grilled groundnut than in the control group. High-density lipoprotein cholesterol was significantly higher in the groups receiving 30% cooked or 50% uncooked groundnut. In contrast, no statistically significant differences were reported for triglycerides, low-density lipoprotein cholesterol or very-low-density lipoprotein cholesterol.</w:t>
      </w:r>
    </w:p>
    <w:p w14:paraId="10FF7CAD" w14:textId="77777777" w:rsidR="003147F2" w:rsidRDefault="003147F2" w:rsidP="003147F2">
      <w:pPr>
        <w:pStyle w:val="NormalWeb"/>
      </w:pPr>
      <w:r>
        <w:t>These findings indicate that the observed serum lipid responses were not uniform across the different processing methods and inclusion levels. The increase in HDL-C in particular groups should not be interpreted independently of the simultaneous observations for total cholesterol or as direct evidence of cardiovascular protection. Although processing-related differences in the composition of groundnut seeds may contribute to these responses, the experiment did not identify the responsible constituents or mechanisms. Further investigations using nutritionally comparable diets and additional biochemical measurements would help clarify the findings and their broader nutritional significance.</w:t>
      </w:r>
    </w:p>
    <w:p w14:paraId="67D286A7" w14:textId="77777777" w:rsidR="003147F2" w:rsidRPr="003147F2" w:rsidRDefault="003147F2" w:rsidP="003147F2">
      <w:pPr>
        <w:pStyle w:val="NormalWeb"/>
        <w:rPr>
          <w:b/>
          <w:bCs/>
        </w:rPr>
      </w:pPr>
      <w:r w:rsidRPr="003147F2">
        <w:rPr>
          <w:b/>
          <w:bCs/>
        </w:rPr>
        <w:t xml:space="preserve">Limitations </w:t>
      </w:r>
    </w:p>
    <w:p w14:paraId="3743110A" w14:textId="77777777" w:rsidR="003147F2" w:rsidRPr="003147F2" w:rsidRDefault="003147F2" w:rsidP="003147F2">
      <w:pPr>
        <w:pStyle w:val="NormalWeb"/>
      </w:pPr>
      <w:r w:rsidRPr="003147F2">
        <w:t>The study involved five rats per group and a 28-day feeding period, which limits the interpretation of smaller effects and longer-term responses. The analysis focused on serum lipid parameters and did not directly assess the fatty acid composition, phytochemical content or oxidation products of the processed groundnut seeds. Consequently, the observed differences cannot be attributed to particular seed constituents or biochemical mechanisms. As the findings were obtained from Wistar rats under the specified feeding conditions, their relevance to human dietary practices remains uncertain.</w:t>
      </w:r>
    </w:p>
    <w:p w14:paraId="156996C5" w14:textId="77777777" w:rsidR="003147F2" w:rsidRDefault="003147F2" w:rsidP="003147F2">
      <w:pPr>
        <w:pStyle w:val="NormalWeb"/>
      </w:pPr>
    </w:p>
    <w:p w14:paraId="299EF91A" w14:textId="77777777" w:rsidR="0052396E" w:rsidRPr="00A757FB" w:rsidRDefault="00C56A9B" w:rsidP="0052396E">
      <w:pPr>
        <w:spacing w:line="360" w:lineRule="auto"/>
        <w:jc w:val="both"/>
        <w:rPr>
          <w:b/>
          <w:bCs/>
          <w:sz w:val="24"/>
          <w:szCs w:val="24"/>
        </w:rPr>
      </w:pPr>
      <w:r w:rsidRPr="00A757FB">
        <w:rPr>
          <w:b/>
          <w:bCs/>
          <w:sz w:val="24"/>
          <w:szCs w:val="24"/>
        </w:rPr>
        <w:t>E</w:t>
      </w:r>
      <w:r w:rsidR="0052396E" w:rsidRPr="00A757FB">
        <w:rPr>
          <w:b/>
          <w:bCs/>
          <w:sz w:val="24"/>
          <w:szCs w:val="24"/>
        </w:rPr>
        <w:t xml:space="preserve">thical approval </w:t>
      </w:r>
    </w:p>
    <w:p w14:paraId="52C71171" w14:textId="77777777" w:rsidR="007F4EC4" w:rsidRDefault="007F4EC4" w:rsidP="007F4EC4">
      <w:pPr>
        <w:spacing w:line="360" w:lineRule="auto"/>
        <w:jc w:val="both"/>
        <w:rPr>
          <w:sz w:val="24"/>
          <w:szCs w:val="24"/>
        </w:rPr>
      </w:pPr>
      <w:r w:rsidRPr="007F4EC4">
        <w:rPr>
          <w:sz w:val="24"/>
          <w:szCs w:val="24"/>
        </w:rPr>
        <w:t>All authors hereby declare that “Principles of laboratory</w:t>
      </w:r>
      <w:r>
        <w:rPr>
          <w:sz w:val="24"/>
          <w:szCs w:val="24"/>
        </w:rPr>
        <w:t xml:space="preserve"> </w:t>
      </w:r>
      <w:r w:rsidRPr="007F4EC4">
        <w:rPr>
          <w:sz w:val="24"/>
          <w:szCs w:val="24"/>
        </w:rPr>
        <w:t>animal care” were followed. All experimental protocols</w:t>
      </w:r>
      <w:r>
        <w:rPr>
          <w:sz w:val="24"/>
          <w:szCs w:val="24"/>
        </w:rPr>
        <w:t xml:space="preserve"> </w:t>
      </w:r>
      <w:r w:rsidRPr="007F4EC4">
        <w:rPr>
          <w:sz w:val="24"/>
          <w:szCs w:val="24"/>
        </w:rPr>
        <w:t>were examined and approved by the Animal Research</w:t>
      </w:r>
      <w:r>
        <w:rPr>
          <w:sz w:val="24"/>
          <w:szCs w:val="24"/>
        </w:rPr>
        <w:t xml:space="preserve"> </w:t>
      </w:r>
      <w:r w:rsidRPr="007F4EC4">
        <w:rPr>
          <w:sz w:val="24"/>
          <w:szCs w:val="24"/>
        </w:rPr>
        <w:t xml:space="preserve">Ethics Committee of Nnamdi Azikiwe University, </w:t>
      </w:r>
      <w:proofErr w:type="spellStart"/>
      <w:r w:rsidRPr="007F4EC4">
        <w:rPr>
          <w:sz w:val="24"/>
          <w:szCs w:val="24"/>
        </w:rPr>
        <w:t>Awka</w:t>
      </w:r>
      <w:proofErr w:type="spellEnd"/>
      <w:r w:rsidRPr="007F4EC4">
        <w:rPr>
          <w:sz w:val="24"/>
          <w:szCs w:val="24"/>
        </w:rPr>
        <w:t>,</w:t>
      </w:r>
      <w:r>
        <w:rPr>
          <w:sz w:val="24"/>
          <w:szCs w:val="24"/>
        </w:rPr>
        <w:t xml:space="preserve"> </w:t>
      </w:r>
      <w:r w:rsidRPr="007F4EC4">
        <w:rPr>
          <w:sz w:val="24"/>
          <w:szCs w:val="24"/>
        </w:rPr>
        <w:t>Nigeria</w:t>
      </w:r>
      <w:r w:rsidR="000876AD">
        <w:rPr>
          <w:sz w:val="24"/>
          <w:szCs w:val="24"/>
        </w:rPr>
        <w:t>,</w:t>
      </w:r>
      <w:r w:rsidRPr="007F4EC4">
        <w:rPr>
          <w:sz w:val="24"/>
          <w:szCs w:val="24"/>
        </w:rPr>
        <w:t xml:space="preserve"> in line with the recommendations for Animal Care</w:t>
      </w:r>
      <w:r>
        <w:rPr>
          <w:sz w:val="24"/>
          <w:szCs w:val="24"/>
        </w:rPr>
        <w:t xml:space="preserve"> </w:t>
      </w:r>
      <w:r w:rsidRPr="007F4EC4">
        <w:rPr>
          <w:sz w:val="24"/>
          <w:szCs w:val="24"/>
        </w:rPr>
        <w:t>and Use in Research, Education and Testing (ACURET).</w:t>
      </w:r>
    </w:p>
    <w:p w14:paraId="39F50254" w14:textId="77777777" w:rsidR="00D25FC7" w:rsidRPr="00D25FC7" w:rsidRDefault="00D25FC7" w:rsidP="00D25FC7">
      <w:pPr>
        <w:spacing w:after="0" w:line="240" w:lineRule="auto"/>
        <w:rPr>
          <w:rFonts w:eastAsia="Calibri"/>
          <w:b/>
        </w:rPr>
      </w:pPr>
      <w:r w:rsidRPr="00D25FC7">
        <w:rPr>
          <w:rFonts w:eastAsia="Calibri"/>
          <w:b/>
        </w:rPr>
        <w:t>Declaration of AI Use</w:t>
      </w:r>
    </w:p>
    <w:p w14:paraId="07672809" w14:textId="77777777" w:rsidR="00D25FC7" w:rsidRPr="00D25FC7" w:rsidRDefault="00D25FC7" w:rsidP="00D25FC7">
      <w:pPr>
        <w:spacing w:after="0" w:line="240" w:lineRule="auto"/>
        <w:rPr>
          <w:rFonts w:eastAsia="Calibri"/>
          <w:b/>
        </w:rPr>
      </w:pPr>
    </w:p>
    <w:p w14:paraId="1B779ABE" w14:textId="77777777" w:rsidR="00D25FC7" w:rsidRPr="00D25FC7" w:rsidRDefault="00D25FC7" w:rsidP="00D25FC7">
      <w:pPr>
        <w:spacing w:after="0" w:line="240" w:lineRule="auto"/>
        <w:rPr>
          <w:rFonts w:eastAsia="Calibri"/>
          <w:b/>
        </w:rPr>
      </w:pPr>
    </w:p>
    <w:p w14:paraId="56782AB6" w14:textId="77777777" w:rsidR="00D25FC7" w:rsidRPr="00D25FC7" w:rsidRDefault="00D25FC7" w:rsidP="00D25FC7">
      <w:pPr>
        <w:spacing w:after="0" w:line="240" w:lineRule="auto"/>
        <w:rPr>
          <w:rFonts w:ascii="Arial" w:eastAsia="Calibri" w:hAnsi="Arial" w:cs="Arial"/>
          <w:sz w:val="20"/>
          <w:szCs w:val="20"/>
        </w:rPr>
      </w:pPr>
      <w:r w:rsidRPr="00D25FC7">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D25FC7">
        <w:rPr>
          <w:rFonts w:ascii="Arial" w:eastAsia="Calibri"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5B0B7117" w14:textId="77777777" w:rsidR="00D25FC7" w:rsidRDefault="00D25FC7" w:rsidP="007F4EC4">
      <w:pPr>
        <w:spacing w:line="360" w:lineRule="auto"/>
        <w:jc w:val="both"/>
        <w:rPr>
          <w:sz w:val="24"/>
          <w:szCs w:val="24"/>
        </w:rPr>
      </w:pPr>
    </w:p>
    <w:p w14:paraId="60FE6B8D" w14:textId="77777777" w:rsidR="003E199D" w:rsidRPr="00A757FB" w:rsidRDefault="003E199D" w:rsidP="003E199D">
      <w:pPr>
        <w:spacing w:line="360" w:lineRule="auto"/>
        <w:jc w:val="both"/>
        <w:rPr>
          <w:sz w:val="24"/>
          <w:szCs w:val="24"/>
        </w:rPr>
      </w:pPr>
      <w:r w:rsidRPr="00A757FB">
        <w:rPr>
          <w:b/>
          <w:bCs/>
          <w:sz w:val="24"/>
          <w:szCs w:val="24"/>
        </w:rPr>
        <w:t xml:space="preserve">Competing Interests </w:t>
      </w:r>
    </w:p>
    <w:p w14:paraId="1B70E527" w14:textId="77777777" w:rsidR="003E199D" w:rsidRPr="00A757FB" w:rsidRDefault="003E199D" w:rsidP="003E199D">
      <w:pPr>
        <w:spacing w:line="360" w:lineRule="auto"/>
        <w:jc w:val="both"/>
        <w:rPr>
          <w:sz w:val="24"/>
          <w:szCs w:val="24"/>
        </w:rPr>
      </w:pPr>
      <w:r w:rsidRPr="00A757FB">
        <w:rPr>
          <w:sz w:val="24"/>
          <w:szCs w:val="24"/>
        </w:rPr>
        <w:t xml:space="preserve">The authors have declared that no competing interests exist. </w:t>
      </w:r>
    </w:p>
    <w:p w14:paraId="5513D658" w14:textId="77777777" w:rsidR="00EF3558" w:rsidRPr="00A757FB" w:rsidRDefault="00EF3558" w:rsidP="00EF3558">
      <w:pPr>
        <w:spacing w:line="360" w:lineRule="auto"/>
        <w:jc w:val="both"/>
        <w:rPr>
          <w:b/>
          <w:sz w:val="24"/>
          <w:szCs w:val="24"/>
        </w:rPr>
      </w:pPr>
    </w:p>
    <w:p w14:paraId="7512CB40" w14:textId="77777777" w:rsidR="00EF3558" w:rsidRPr="00A757FB" w:rsidRDefault="00EF3558" w:rsidP="00EF3558">
      <w:pPr>
        <w:spacing w:line="360" w:lineRule="auto"/>
        <w:jc w:val="both"/>
        <w:rPr>
          <w:sz w:val="24"/>
          <w:szCs w:val="24"/>
        </w:rPr>
      </w:pPr>
      <w:r w:rsidRPr="00A757FB">
        <w:rPr>
          <w:b/>
          <w:sz w:val="24"/>
          <w:szCs w:val="24"/>
        </w:rPr>
        <w:t>REFERENCES</w:t>
      </w:r>
    </w:p>
    <w:p w14:paraId="1FD20B0D" w14:textId="77777777" w:rsidR="00172381" w:rsidRDefault="00172381">
      <w:pPr>
        <w:rPr>
          <w:sz w:val="24"/>
          <w:szCs w:val="24"/>
        </w:rPr>
      </w:pPr>
    </w:p>
    <w:p w14:paraId="76C5F51C"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Arya, S. S., Salve, A. R., &amp; Chauhan, S. (2016). Peanuts as functional food: A review. Journal of Food Science and Technology, 53(1), 31–41. </w:t>
      </w:r>
      <w:hyperlink r:id="rId17" w:history="1">
        <w:r w:rsidRPr="005B7A98">
          <w:rPr>
            <w:rFonts w:eastAsia="Times New Roman"/>
            <w:color w:val="0000FF"/>
            <w:sz w:val="24"/>
            <w:szCs w:val="24"/>
            <w:u w:val="single"/>
          </w:rPr>
          <w:t>https://doi.org/10.1007/s13197-015-2007-9</w:t>
        </w:r>
      </w:hyperlink>
    </w:p>
    <w:p w14:paraId="23592B22"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Barbour, J. A., Howe, P. R. C., Buckley, J. D., Bryan, J., &amp; Coates, A. M. (2015). Effect of 12 weeks high oleic peanut consumption on cardio-metabolic risk factors and body composition. Nutrients, 7(9), 7381–7398. </w:t>
      </w:r>
      <w:hyperlink r:id="rId18" w:history="1">
        <w:r w:rsidRPr="005B7A98">
          <w:rPr>
            <w:rFonts w:eastAsia="Times New Roman"/>
            <w:color w:val="0000FF"/>
            <w:sz w:val="24"/>
            <w:szCs w:val="24"/>
            <w:u w:val="single"/>
          </w:rPr>
          <w:t>https://doi.org/10.3390/nu7095343</w:t>
        </w:r>
      </w:hyperlink>
    </w:p>
    <w:p w14:paraId="2ED889D9"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Chinko, B. C., Joffa, P. P. K., </w:t>
      </w:r>
      <w:proofErr w:type="spellStart"/>
      <w:r w:rsidRPr="005B7A98">
        <w:rPr>
          <w:rFonts w:eastAsia="Times New Roman"/>
          <w:sz w:val="24"/>
          <w:szCs w:val="24"/>
        </w:rPr>
        <w:t>Ododo</w:t>
      </w:r>
      <w:proofErr w:type="spellEnd"/>
      <w:r w:rsidRPr="005B7A98">
        <w:rPr>
          <w:rFonts w:eastAsia="Times New Roman"/>
          <w:sz w:val="24"/>
          <w:szCs w:val="24"/>
        </w:rPr>
        <w:t xml:space="preserve">, A. G., </w:t>
      </w:r>
      <w:proofErr w:type="spellStart"/>
      <w:r w:rsidRPr="005B7A98">
        <w:rPr>
          <w:rFonts w:eastAsia="Times New Roman"/>
          <w:sz w:val="24"/>
          <w:szCs w:val="24"/>
        </w:rPr>
        <w:t>Igwedibia</w:t>
      </w:r>
      <w:proofErr w:type="spellEnd"/>
      <w:r w:rsidRPr="005B7A98">
        <w:rPr>
          <w:rFonts w:eastAsia="Times New Roman"/>
          <w:sz w:val="24"/>
          <w:szCs w:val="24"/>
        </w:rPr>
        <w:t xml:space="preserve">, P. C., Okeke, J. C., </w:t>
      </w:r>
      <w:proofErr w:type="spellStart"/>
      <w:r w:rsidRPr="005B7A98">
        <w:rPr>
          <w:rFonts w:eastAsia="Times New Roman"/>
          <w:sz w:val="24"/>
          <w:szCs w:val="24"/>
        </w:rPr>
        <w:t>Ukrakpo</w:t>
      </w:r>
      <w:proofErr w:type="spellEnd"/>
      <w:r w:rsidRPr="005B7A98">
        <w:rPr>
          <w:rFonts w:eastAsia="Times New Roman"/>
          <w:sz w:val="24"/>
          <w:szCs w:val="24"/>
        </w:rPr>
        <w:t xml:space="preserve">, O. S., </w:t>
      </w:r>
      <w:proofErr w:type="spellStart"/>
      <w:r w:rsidRPr="005B7A98">
        <w:rPr>
          <w:rFonts w:eastAsia="Times New Roman"/>
          <w:sz w:val="24"/>
          <w:szCs w:val="24"/>
        </w:rPr>
        <w:t>Ikete</w:t>
      </w:r>
      <w:proofErr w:type="spellEnd"/>
      <w:r w:rsidRPr="005B7A98">
        <w:rPr>
          <w:rFonts w:eastAsia="Times New Roman"/>
          <w:sz w:val="24"/>
          <w:szCs w:val="24"/>
        </w:rPr>
        <w:t xml:space="preserve">, P. W., Onuoha, O. G., Nath-Abraham, C., &amp; </w:t>
      </w:r>
      <w:proofErr w:type="spellStart"/>
      <w:r w:rsidRPr="005B7A98">
        <w:rPr>
          <w:rFonts w:eastAsia="Times New Roman"/>
          <w:sz w:val="24"/>
          <w:szCs w:val="24"/>
        </w:rPr>
        <w:t>Opurum</w:t>
      </w:r>
      <w:proofErr w:type="spellEnd"/>
      <w:r w:rsidRPr="005B7A98">
        <w:rPr>
          <w:rFonts w:eastAsia="Times New Roman"/>
          <w:sz w:val="24"/>
          <w:szCs w:val="24"/>
        </w:rPr>
        <w:t xml:space="preserve">, H. C. (2026). Arachis hypogaea (peanut) oil supplementation improves </w:t>
      </w:r>
      <w:proofErr w:type="spellStart"/>
      <w:r w:rsidRPr="005B7A98">
        <w:rPr>
          <w:rFonts w:eastAsia="Times New Roman"/>
          <w:sz w:val="24"/>
          <w:szCs w:val="24"/>
        </w:rPr>
        <w:t>haematological</w:t>
      </w:r>
      <w:proofErr w:type="spellEnd"/>
      <w:r w:rsidRPr="005B7A98">
        <w:rPr>
          <w:rFonts w:eastAsia="Times New Roman"/>
          <w:sz w:val="24"/>
          <w:szCs w:val="24"/>
        </w:rPr>
        <w:t xml:space="preserve"> and serum lipid profiles in male Wistar rats. Asian Hematology Research Journal, 9(2), 224–233. </w:t>
      </w:r>
      <w:hyperlink r:id="rId19" w:history="1">
        <w:r w:rsidRPr="005B7A98">
          <w:rPr>
            <w:rFonts w:eastAsia="Times New Roman"/>
            <w:color w:val="0000FF"/>
            <w:sz w:val="24"/>
            <w:szCs w:val="24"/>
            <w:u w:val="single"/>
          </w:rPr>
          <w:t>https://doi.org/10.9734/ahrj/2026/v9i2249</w:t>
        </w:r>
      </w:hyperlink>
    </w:p>
    <w:p w14:paraId="442D2326"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Davis, J. P., &amp; Dean, L. L. (2016). Peanut composition, flavor and nutrition. In H. T. Stalker &amp; R. F. Wilson (Eds.), Peanuts: Genetics, processing, and utilization (pp. 289–345). AOCS Press. </w:t>
      </w:r>
      <w:hyperlink r:id="rId20" w:history="1">
        <w:r w:rsidRPr="005B7A98">
          <w:rPr>
            <w:rFonts w:eastAsia="Times New Roman"/>
            <w:color w:val="0000FF"/>
            <w:sz w:val="24"/>
            <w:szCs w:val="24"/>
            <w:u w:val="single"/>
          </w:rPr>
          <w:t>https://doi.org/10.1016/B978-1-63067-038-2.00011-3</w:t>
        </w:r>
      </w:hyperlink>
    </w:p>
    <w:p w14:paraId="12AA3011"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Domínguez-López, I., Eichelmann, F., Parilli-Moser, I., Hurtado-Barroso, S., </w:t>
      </w:r>
      <w:proofErr w:type="spellStart"/>
      <w:r w:rsidRPr="005B7A98">
        <w:rPr>
          <w:rFonts w:eastAsia="Times New Roman"/>
          <w:sz w:val="24"/>
          <w:szCs w:val="24"/>
        </w:rPr>
        <w:t>Lamuela-Raventós</w:t>
      </w:r>
      <w:proofErr w:type="spellEnd"/>
      <w:r w:rsidRPr="005B7A98">
        <w:rPr>
          <w:rFonts w:eastAsia="Times New Roman"/>
          <w:sz w:val="24"/>
          <w:szCs w:val="24"/>
        </w:rPr>
        <w:t xml:space="preserve">, R. M., &amp; Schulze, M. B. (2026). Peanuts-derived plasma lipids and lower risk of type 2 diabetes: Association mediated by body mass index—An intervention and case-cohort study. The American Journal of Clinical Nutrition, 124(5), Article 101527. </w:t>
      </w:r>
      <w:hyperlink r:id="rId21" w:history="1">
        <w:r w:rsidRPr="005B7A98">
          <w:rPr>
            <w:rFonts w:eastAsia="Times New Roman"/>
            <w:color w:val="0000FF"/>
            <w:sz w:val="24"/>
            <w:szCs w:val="24"/>
            <w:u w:val="single"/>
          </w:rPr>
          <w:t>https://doi.org/10.1016/j.ajcnut.2026.101527</w:t>
        </w:r>
      </w:hyperlink>
    </w:p>
    <w:p w14:paraId="2602A5B0"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Francisco, M. L. L. D., &amp; Resurreccion, A. V. A. (2008). Functional components in peanuts. Critical Reviews in Food Science and Nutrition, 48(8), 715–746. </w:t>
      </w:r>
      <w:hyperlink r:id="rId22" w:history="1">
        <w:r w:rsidRPr="005B7A98">
          <w:rPr>
            <w:rFonts w:eastAsia="Times New Roman"/>
            <w:color w:val="0000FF"/>
            <w:sz w:val="24"/>
            <w:szCs w:val="24"/>
            <w:u w:val="single"/>
          </w:rPr>
          <w:t>https://doi.org/10.1080/10408390701640718</w:t>
        </w:r>
      </w:hyperlink>
    </w:p>
    <w:p w14:paraId="4E9B1C8A" w14:textId="77777777" w:rsidR="005B7A98" w:rsidRPr="005B7A98" w:rsidRDefault="005B7A98" w:rsidP="005B7A98">
      <w:pPr>
        <w:spacing w:before="100" w:beforeAutospacing="1" w:after="100" w:afterAutospacing="1" w:line="240" w:lineRule="auto"/>
        <w:rPr>
          <w:rFonts w:eastAsia="Times New Roman"/>
          <w:sz w:val="24"/>
          <w:szCs w:val="24"/>
        </w:rPr>
      </w:pPr>
      <w:proofErr w:type="spellStart"/>
      <w:r w:rsidRPr="005B7A98">
        <w:rPr>
          <w:rFonts w:eastAsia="Times New Roman"/>
          <w:sz w:val="24"/>
          <w:szCs w:val="24"/>
        </w:rPr>
        <w:t>Friedewald</w:t>
      </w:r>
      <w:proofErr w:type="spellEnd"/>
      <w:r w:rsidRPr="005B7A98">
        <w:rPr>
          <w:rFonts w:eastAsia="Times New Roman"/>
          <w:sz w:val="24"/>
          <w:szCs w:val="24"/>
        </w:rPr>
        <w:t xml:space="preserve">, W. T., Levy, R. I., &amp; Fredrickson, D. S. (1972). Estimation of the concentration of low-density lipoprotein cholesterol in plasma, without use of the preparative ultracentrifuge. Clinical Chemistry, 18(6), 499–502. </w:t>
      </w:r>
      <w:hyperlink r:id="rId23" w:history="1">
        <w:r w:rsidRPr="005B7A98">
          <w:rPr>
            <w:rFonts w:eastAsia="Times New Roman"/>
            <w:color w:val="0000FF"/>
            <w:sz w:val="24"/>
            <w:szCs w:val="24"/>
            <w:u w:val="single"/>
          </w:rPr>
          <w:t>https://doi.org/10.1093/clinchem/18.6.499</w:t>
        </w:r>
      </w:hyperlink>
    </w:p>
    <w:p w14:paraId="2FA2BE8A"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lastRenderedPageBreak/>
        <w:t xml:space="preserve">GBD 2017 Causes of Death Collaborators. (2018). Global, regional, and national age-sex-specific mortality for 282 causes of death in 195 countries and territories, 1980–2017: A systematic analysis for the Global Burden of Disease Study 2017. The Lancet, 392(10159), 1736–1788. </w:t>
      </w:r>
      <w:hyperlink r:id="rId24" w:history="1">
        <w:r w:rsidRPr="005B7A98">
          <w:rPr>
            <w:rFonts w:eastAsia="Times New Roman"/>
            <w:color w:val="0000FF"/>
            <w:sz w:val="24"/>
            <w:szCs w:val="24"/>
            <w:u w:val="single"/>
          </w:rPr>
          <w:t>https://doi.org/10.1016/S0140-6736(18)32203-7</w:t>
        </w:r>
      </w:hyperlink>
    </w:p>
    <w:p w14:paraId="5FB84855"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GBD 2019 Diseases and Injuries Collaborators. (2020). Global burden of 369 diseases and injuries in 204 countries and territories, 1990–2019: A systematic analysis for the Global Burden of Disease Study 2019. The Lancet, 396(10258), 1204–1222. </w:t>
      </w:r>
      <w:hyperlink r:id="rId25" w:history="1">
        <w:r w:rsidRPr="005B7A98">
          <w:rPr>
            <w:rFonts w:eastAsia="Times New Roman"/>
            <w:color w:val="0000FF"/>
            <w:sz w:val="24"/>
            <w:szCs w:val="24"/>
            <w:u w:val="single"/>
          </w:rPr>
          <w:t>https://doi.org/10.1016/S0140-6736(20)30925-9</w:t>
        </w:r>
      </w:hyperlink>
    </w:p>
    <w:p w14:paraId="3BBBC16A"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Guasch-Ferré, M., Tessier, A.-J., Petersen, K. S., Sapp, P. A., Tapsell, L. C., Salas-</w:t>
      </w:r>
      <w:proofErr w:type="spellStart"/>
      <w:r w:rsidRPr="005B7A98">
        <w:rPr>
          <w:rFonts w:eastAsia="Times New Roman"/>
          <w:sz w:val="24"/>
          <w:szCs w:val="24"/>
        </w:rPr>
        <w:t>Salvadó</w:t>
      </w:r>
      <w:proofErr w:type="spellEnd"/>
      <w:r w:rsidRPr="005B7A98">
        <w:rPr>
          <w:rFonts w:eastAsia="Times New Roman"/>
          <w:sz w:val="24"/>
          <w:szCs w:val="24"/>
        </w:rPr>
        <w:t xml:space="preserve">, J., Ros, E., &amp; Kris-Etherton, P. M. (2023). Effects of nut consumption on blood lipids and lipoproteins: A comprehensive literature update. Nutrients, 15(3), Article 596. </w:t>
      </w:r>
      <w:hyperlink r:id="rId26" w:history="1">
        <w:r w:rsidRPr="005B7A98">
          <w:rPr>
            <w:rFonts w:eastAsia="Times New Roman"/>
            <w:color w:val="0000FF"/>
            <w:sz w:val="24"/>
            <w:szCs w:val="24"/>
            <w:u w:val="single"/>
          </w:rPr>
          <w:t>https://doi.org/10.3390/nu15030596</w:t>
        </w:r>
      </w:hyperlink>
    </w:p>
    <w:p w14:paraId="2CF7E5DD"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Hammons, R. O., Herman, D., &amp; Stalker, H. T. (2016). Origin and early history of the peanut. In H. T. Stalker &amp; R. F. Wilson (Eds.), Peanuts: Genetics, processing, and utilization (pp. 1–26). AOCS Press. </w:t>
      </w:r>
      <w:hyperlink r:id="rId27" w:history="1">
        <w:r w:rsidRPr="005B7A98">
          <w:rPr>
            <w:rFonts w:eastAsia="Times New Roman"/>
            <w:color w:val="0000FF"/>
            <w:sz w:val="24"/>
            <w:szCs w:val="24"/>
            <w:u w:val="single"/>
          </w:rPr>
          <w:t>https://doi.org/10.1016/B978-1-63067-038-2.00001-0</w:t>
        </w:r>
      </w:hyperlink>
    </w:p>
    <w:p w14:paraId="3D3A0768"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Houston, L., Probst, Y. C., Singh, M. C., &amp; Neale, E. P. (2023). Tree nut and peanut consumption and risk of cardiovascular disease: A systematic review and meta-analysis of randomized controlled trials. Advances in Nutrition, 14(5), 1029–1049. </w:t>
      </w:r>
      <w:hyperlink r:id="rId28" w:history="1">
        <w:r w:rsidRPr="005B7A98">
          <w:rPr>
            <w:rFonts w:eastAsia="Times New Roman"/>
            <w:color w:val="0000FF"/>
            <w:sz w:val="24"/>
            <w:szCs w:val="24"/>
            <w:u w:val="single"/>
          </w:rPr>
          <w:t>https://doi.org/10.1016/j.advnut.2023.05.004</w:t>
        </w:r>
      </w:hyperlink>
    </w:p>
    <w:p w14:paraId="763AFC7E"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Jung, M., Kim, J., &amp; Ahn, S. M. (2020). Factors associated with frequency of peanut consumption in Korea: A national population-based study. Nutrients, 12(5), Article 1207. </w:t>
      </w:r>
      <w:hyperlink r:id="rId29" w:history="1">
        <w:r w:rsidRPr="005B7A98">
          <w:rPr>
            <w:rFonts w:eastAsia="Times New Roman"/>
            <w:color w:val="0000FF"/>
            <w:sz w:val="24"/>
            <w:szCs w:val="24"/>
            <w:u w:val="single"/>
          </w:rPr>
          <w:t>https://doi.org/10.3390/nu12051207</w:t>
        </w:r>
      </w:hyperlink>
    </w:p>
    <w:p w14:paraId="4FF55433" w14:textId="77777777" w:rsidR="005B7A98" w:rsidRPr="005B7A98" w:rsidRDefault="005B7A98" w:rsidP="005B7A98">
      <w:pPr>
        <w:spacing w:before="100" w:beforeAutospacing="1" w:after="100" w:afterAutospacing="1" w:line="240" w:lineRule="auto"/>
        <w:rPr>
          <w:rFonts w:eastAsia="Times New Roman"/>
          <w:sz w:val="24"/>
          <w:szCs w:val="24"/>
        </w:rPr>
      </w:pPr>
      <w:proofErr w:type="spellStart"/>
      <w:r w:rsidRPr="005B7A98">
        <w:rPr>
          <w:rFonts w:eastAsia="Times New Roman"/>
          <w:sz w:val="24"/>
          <w:szCs w:val="24"/>
        </w:rPr>
        <w:t>Lakhlifi</w:t>
      </w:r>
      <w:proofErr w:type="spellEnd"/>
      <w:r w:rsidRPr="005B7A98">
        <w:rPr>
          <w:rFonts w:eastAsia="Times New Roman"/>
          <w:sz w:val="24"/>
          <w:szCs w:val="24"/>
        </w:rPr>
        <w:t xml:space="preserve"> El Idrissi, Z., </w:t>
      </w:r>
      <w:proofErr w:type="spellStart"/>
      <w:r w:rsidRPr="005B7A98">
        <w:rPr>
          <w:rFonts w:eastAsia="Times New Roman"/>
          <w:sz w:val="24"/>
          <w:szCs w:val="24"/>
        </w:rPr>
        <w:t>Oubihi</w:t>
      </w:r>
      <w:proofErr w:type="spellEnd"/>
      <w:r w:rsidRPr="005B7A98">
        <w:rPr>
          <w:rFonts w:eastAsia="Times New Roman"/>
          <w:sz w:val="24"/>
          <w:szCs w:val="24"/>
        </w:rPr>
        <w:t xml:space="preserve">, A., </w:t>
      </w:r>
      <w:proofErr w:type="spellStart"/>
      <w:r w:rsidRPr="005B7A98">
        <w:rPr>
          <w:rFonts w:eastAsia="Times New Roman"/>
          <w:sz w:val="24"/>
          <w:szCs w:val="24"/>
        </w:rPr>
        <w:t>Ibourki</w:t>
      </w:r>
      <w:proofErr w:type="spellEnd"/>
      <w:r w:rsidRPr="005B7A98">
        <w:rPr>
          <w:rFonts w:eastAsia="Times New Roman"/>
          <w:sz w:val="24"/>
          <w:szCs w:val="24"/>
        </w:rPr>
        <w:t xml:space="preserve">, M., El </w:t>
      </w:r>
      <w:proofErr w:type="spellStart"/>
      <w:r w:rsidRPr="005B7A98">
        <w:rPr>
          <w:rFonts w:eastAsia="Times New Roman"/>
          <w:sz w:val="24"/>
          <w:szCs w:val="24"/>
        </w:rPr>
        <w:t>Youssfi</w:t>
      </w:r>
      <w:proofErr w:type="spellEnd"/>
      <w:r w:rsidRPr="005B7A98">
        <w:rPr>
          <w:rFonts w:eastAsia="Times New Roman"/>
          <w:sz w:val="24"/>
          <w:szCs w:val="24"/>
        </w:rPr>
        <w:t xml:space="preserve">, M., </w:t>
      </w:r>
      <w:proofErr w:type="spellStart"/>
      <w:r w:rsidRPr="005B7A98">
        <w:rPr>
          <w:rFonts w:eastAsia="Times New Roman"/>
          <w:sz w:val="24"/>
          <w:szCs w:val="24"/>
        </w:rPr>
        <w:t>Gharby</w:t>
      </w:r>
      <w:proofErr w:type="spellEnd"/>
      <w:r w:rsidRPr="005B7A98">
        <w:rPr>
          <w:rFonts w:eastAsia="Times New Roman"/>
          <w:sz w:val="24"/>
          <w:szCs w:val="24"/>
        </w:rPr>
        <w:t xml:space="preserve">, S., El </w:t>
      </w:r>
      <w:proofErr w:type="spellStart"/>
      <w:r w:rsidRPr="005B7A98">
        <w:rPr>
          <w:rFonts w:eastAsia="Times New Roman"/>
          <w:sz w:val="24"/>
          <w:szCs w:val="24"/>
        </w:rPr>
        <w:t>Guezzane</w:t>
      </w:r>
      <w:proofErr w:type="spellEnd"/>
      <w:r w:rsidRPr="005B7A98">
        <w:rPr>
          <w:rFonts w:eastAsia="Times New Roman"/>
          <w:sz w:val="24"/>
          <w:szCs w:val="24"/>
        </w:rPr>
        <w:t xml:space="preserve">, C., Ullah, R., Iqbal, Z., Goh, K. W., Gallo, M., </w:t>
      </w:r>
      <w:proofErr w:type="spellStart"/>
      <w:r w:rsidRPr="005B7A98">
        <w:rPr>
          <w:rFonts w:eastAsia="Times New Roman"/>
          <w:sz w:val="24"/>
          <w:szCs w:val="24"/>
        </w:rPr>
        <w:t>Bouyahya</w:t>
      </w:r>
      <w:proofErr w:type="spellEnd"/>
      <w:r w:rsidRPr="005B7A98">
        <w:rPr>
          <w:rFonts w:eastAsia="Times New Roman"/>
          <w:sz w:val="24"/>
          <w:szCs w:val="24"/>
        </w:rPr>
        <w:t xml:space="preserve">, A., </w:t>
      </w:r>
      <w:proofErr w:type="spellStart"/>
      <w:r w:rsidRPr="005B7A98">
        <w:rPr>
          <w:rFonts w:eastAsia="Times New Roman"/>
          <w:sz w:val="24"/>
          <w:szCs w:val="24"/>
        </w:rPr>
        <w:t>Harhar</w:t>
      </w:r>
      <w:proofErr w:type="spellEnd"/>
      <w:r w:rsidRPr="005B7A98">
        <w:rPr>
          <w:rFonts w:eastAsia="Times New Roman"/>
          <w:sz w:val="24"/>
          <w:szCs w:val="24"/>
        </w:rPr>
        <w:t xml:space="preserve">, H., &amp; </w:t>
      </w:r>
      <w:proofErr w:type="spellStart"/>
      <w:r w:rsidRPr="005B7A98">
        <w:rPr>
          <w:rFonts w:eastAsia="Times New Roman"/>
          <w:sz w:val="24"/>
          <w:szCs w:val="24"/>
        </w:rPr>
        <w:t>Tabyaoui</w:t>
      </w:r>
      <w:proofErr w:type="spellEnd"/>
      <w:r w:rsidRPr="005B7A98">
        <w:rPr>
          <w:rFonts w:eastAsia="Times New Roman"/>
          <w:sz w:val="24"/>
          <w:szCs w:val="24"/>
        </w:rPr>
        <w:t xml:space="preserve">, M. (2024). Peanut (Arachis hypogaea L.) flour and oilcake flour: Exploring the influence of roasting and varietal differences on proximal composition, elemental profiling, antimicrobial and antioxidant properties. Food Chemistry: X, 24, Article 101791. </w:t>
      </w:r>
      <w:hyperlink r:id="rId30" w:history="1">
        <w:r w:rsidRPr="005B7A98">
          <w:rPr>
            <w:rFonts w:eastAsia="Times New Roman"/>
            <w:color w:val="0000FF"/>
            <w:sz w:val="24"/>
            <w:szCs w:val="24"/>
            <w:u w:val="single"/>
          </w:rPr>
          <w:t>https://doi.org/10.1016/j.fochx.2024.101791</w:t>
        </w:r>
      </w:hyperlink>
    </w:p>
    <w:p w14:paraId="11AC0E0F"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Lokko, P., Lartey, A., Armar-</w:t>
      </w:r>
      <w:proofErr w:type="spellStart"/>
      <w:r w:rsidRPr="005B7A98">
        <w:rPr>
          <w:rFonts w:eastAsia="Times New Roman"/>
          <w:sz w:val="24"/>
          <w:szCs w:val="24"/>
        </w:rPr>
        <w:t>Klemesu</w:t>
      </w:r>
      <w:proofErr w:type="spellEnd"/>
      <w:r w:rsidRPr="005B7A98">
        <w:rPr>
          <w:rFonts w:eastAsia="Times New Roman"/>
          <w:sz w:val="24"/>
          <w:szCs w:val="24"/>
        </w:rPr>
        <w:t xml:space="preserve">, M., &amp; Mattes, R. D. (2007). Regular peanut consumption improves plasma lipid levels in healthy Ghanaians. International Journal of Food Sciences and Nutrition, 58(3), 190–200. </w:t>
      </w:r>
      <w:hyperlink r:id="rId31" w:history="1">
        <w:r w:rsidRPr="005B7A98">
          <w:rPr>
            <w:rFonts w:eastAsia="Times New Roman"/>
            <w:color w:val="0000FF"/>
            <w:sz w:val="24"/>
            <w:szCs w:val="24"/>
            <w:u w:val="single"/>
          </w:rPr>
          <w:t>https://doi.org/10.1080/09637480701198067</w:t>
        </w:r>
      </w:hyperlink>
    </w:p>
    <w:p w14:paraId="10A40DA6"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Ma, Y., Kerr, W. L., Cavender, G. A., Swanson, R. B., Hargrove, J. L., &amp; Pegg, R. B. (2013). Effect of peanut skin incorporation on the color, texture and total phenolics content of peanut butters. Journal of Food Process Engineering, 36(3), 316–328. </w:t>
      </w:r>
      <w:hyperlink r:id="rId32" w:history="1">
        <w:r w:rsidRPr="005B7A98">
          <w:rPr>
            <w:rFonts w:eastAsia="Times New Roman"/>
            <w:color w:val="0000FF"/>
            <w:sz w:val="24"/>
            <w:szCs w:val="24"/>
            <w:u w:val="single"/>
          </w:rPr>
          <w:t>https://doi.org/10.1111/j.1745-4530.2012.00693.x</w:t>
        </w:r>
      </w:hyperlink>
    </w:p>
    <w:p w14:paraId="20F6DE2D"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Mensah, G. A., Roth, G. A., &amp; Fuster, V. (2019). The global burden of cardiovascular diseases and risk factors: 2020 and beyond. Journal of the American College of Cardiology, 74(20), 2529–2532. </w:t>
      </w:r>
      <w:hyperlink r:id="rId33" w:history="1">
        <w:r w:rsidRPr="005B7A98">
          <w:rPr>
            <w:rFonts w:eastAsia="Times New Roman"/>
            <w:color w:val="0000FF"/>
            <w:sz w:val="24"/>
            <w:szCs w:val="24"/>
            <w:u w:val="single"/>
          </w:rPr>
          <w:t>https://doi.org/10.1016/j.jacc.2019.10.009</w:t>
        </w:r>
      </w:hyperlink>
    </w:p>
    <w:p w14:paraId="39B6296F"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lastRenderedPageBreak/>
        <w:t>Nishi, S. K., Paz-Graniel, I., Ni, J., Valle-Hita, C., Khoury, N., Garcia-</w:t>
      </w:r>
      <w:proofErr w:type="spellStart"/>
      <w:r w:rsidRPr="005B7A98">
        <w:rPr>
          <w:rFonts w:eastAsia="Times New Roman"/>
          <w:sz w:val="24"/>
          <w:szCs w:val="24"/>
        </w:rPr>
        <w:t>Gavilán</w:t>
      </w:r>
      <w:proofErr w:type="spellEnd"/>
      <w:r w:rsidRPr="005B7A98">
        <w:rPr>
          <w:rFonts w:eastAsia="Times New Roman"/>
          <w:sz w:val="24"/>
          <w:szCs w:val="24"/>
        </w:rPr>
        <w:t xml:space="preserve">, J. F., </w:t>
      </w:r>
      <w:proofErr w:type="spellStart"/>
      <w:r w:rsidRPr="005B7A98">
        <w:rPr>
          <w:rFonts w:eastAsia="Times New Roman"/>
          <w:sz w:val="24"/>
          <w:szCs w:val="24"/>
        </w:rPr>
        <w:t>Babio</w:t>
      </w:r>
      <w:proofErr w:type="spellEnd"/>
      <w:r w:rsidRPr="005B7A98">
        <w:rPr>
          <w:rFonts w:eastAsia="Times New Roman"/>
          <w:sz w:val="24"/>
          <w:szCs w:val="24"/>
        </w:rPr>
        <w:t>, N., &amp; Salas-</w:t>
      </w:r>
      <w:proofErr w:type="spellStart"/>
      <w:r w:rsidRPr="005B7A98">
        <w:rPr>
          <w:rFonts w:eastAsia="Times New Roman"/>
          <w:sz w:val="24"/>
          <w:szCs w:val="24"/>
        </w:rPr>
        <w:t>Salvadó</w:t>
      </w:r>
      <w:proofErr w:type="spellEnd"/>
      <w:r w:rsidRPr="005B7A98">
        <w:rPr>
          <w:rFonts w:eastAsia="Times New Roman"/>
          <w:sz w:val="24"/>
          <w:szCs w:val="24"/>
        </w:rPr>
        <w:t xml:space="preserve">, J. (2025). Effect of nut consumption on blood lipids: An updated systematic review and meta-analysis of randomized controlled trials. Nutrition, Metabolism and Cardiovascular Diseases, 35(5), Article 103771. </w:t>
      </w:r>
      <w:hyperlink r:id="rId34" w:history="1">
        <w:r w:rsidRPr="005B7A98">
          <w:rPr>
            <w:rFonts w:eastAsia="Times New Roman"/>
            <w:color w:val="0000FF"/>
            <w:sz w:val="24"/>
            <w:szCs w:val="24"/>
            <w:u w:val="single"/>
          </w:rPr>
          <w:t>https://doi.org/10.1016/j.numecd.2024.10.009</w:t>
        </w:r>
      </w:hyperlink>
    </w:p>
    <w:p w14:paraId="1C604CEF"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Peng, Z., Zhang, Y., Xu, C., Ai, Z., Zhang, A., &amp; Liu, Y. (2025). Effect of novel radio frequency roasting on color appearance, volatile compounds, fatty acid composition, and storage stability of peanut oil. Food Chemistry, 485, Article 144534. </w:t>
      </w:r>
      <w:hyperlink r:id="rId35" w:history="1">
        <w:r w:rsidRPr="005B7A98">
          <w:rPr>
            <w:rFonts w:eastAsia="Times New Roman"/>
            <w:color w:val="0000FF"/>
            <w:sz w:val="24"/>
            <w:szCs w:val="24"/>
            <w:u w:val="single"/>
          </w:rPr>
          <w:t>https://doi.org/10.1016/j.foodchem.2025.144534</w:t>
        </w:r>
      </w:hyperlink>
    </w:p>
    <w:p w14:paraId="35743CD9"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Reis, C. E. G., Ribeiro, D. N., Costa, N. M. B., Bressan, J., </w:t>
      </w:r>
      <w:proofErr w:type="spellStart"/>
      <w:r w:rsidRPr="005B7A98">
        <w:rPr>
          <w:rFonts w:eastAsia="Times New Roman"/>
          <w:sz w:val="24"/>
          <w:szCs w:val="24"/>
        </w:rPr>
        <w:t>Alfenas</w:t>
      </w:r>
      <w:proofErr w:type="spellEnd"/>
      <w:r w:rsidRPr="005B7A98">
        <w:rPr>
          <w:rFonts w:eastAsia="Times New Roman"/>
          <w:sz w:val="24"/>
          <w:szCs w:val="24"/>
        </w:rPr>
        <w:t xml:space="preserve">, R. C. G., &amp; Mattes, R. D. (2013). Acute and second-meal effects of peanuts on </w:t>
      </w:r>
      <w:proofErr w:type="spellStart"/>
      <w:r w:rsidRPr="005B7A98">
        <w:rPr>
          <w:rFonts w:eastAsia="Times New Roman"/>
          <w:sz w:val="24"/>
          <w:szCs w:val="24"/>
        </w:rPr>
        <w:t>glycaemic</w:t>
      </w:r>
      <w:proofErr w:type="spellEnd"/>
      <w:r w:rsidRPr="005B7A98">
        <w:rPr>
          <w:rFonts w:eastAsia="Times New Roman"/>
          <w:sz w:val="24"/>
          <w:szCs w:val="24"/>
        </w:rPr>
        <w:t xml:space="preserve"> response and appetite in obese women with high type 2 diabetes risk: A </w:t>
      </w:r>
      <w:proofErr w:type="spellStart"/>
      <w:r w:rsidRPr="005B7A98">
        <w:rPr>
          <w:rFonts w:eastAsia="Times New Roman"/>
          <w:sz w:val="24"/>
          <w:szCs w:val="24"/>
        </w:rPr>
        <w:t>randomised</w:t>
      </w:r>
      <w:proofErr w:type="spellEnd"/>
      <w:r w:rsidRPr="005B7A98">
        <w:rPr>
          <w:rFonts w:eastAsia="Times New Roman"/>
          <w:sz w:val="24"/>
          <w:szCs w:val="24"/>
        </w:rPr>
        <w:t xml:space="preserve"> cross-over clinical trial. British Journal of Nutrition, 109(11), 2015–2023. </w:t>
      </w:r>
      <w:hyperlink r:id="rId36" w:history="1">
        <w:r w:rsidRPr="005B7A98">
          <w:rPr>
            <w:rFonts w:eastAsia="Times New Roman"/>
            <w:color w:val="0000FF"/>
            <w:sz w:val="24"/>
            <w:szCs w:val="24"/>
            <w:u w:val="single"/>
          </w:rPr>
          <w:t>https://doi.org/10.1017/S0007114512004217</w:t>
        </w:r>
      </w:hyperlink>
    </w:p>
    <w:p w14:paraId="474F2A5F"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Roth, G. A., Mensah, G. A., Johnson, C. O., Addolorato, G., Ammirati, E., Baddour, L. M., </w:t>
      </w:r>
      <w:proofErr w:type="spellStart"/>
      <w:r w:rsidRPr="005B7A98">
        <w:rPr>
          <w:rFonts w:eastAsia="Times New Roman"/>
          <w:sz w:val="24"/>
          <w:szCs w:val="24"/>
        </w:rPr>
        <w:t>Barengo</w:t>
      </w:r>
      <w:proofErr w:type="spellEnd"/>
      <w:r w:rsidRPr="005B7A98">
        <w:rPr>
          <w:rFonts w:eastAsia="Times New Roman"/>
          <w:sz w:val="24"/>
          <w:szCs w:val="24"/>
        </w:rPr>
        <w:t xml:space="preserve">, N. C., Beaton, A. Z., Benjamin, E. J., Benziger, C. P., Bonny, A., Brauer, M., Brodmann, M., Cahill, T. J., Carapetis, J., Catapano, A. L., Chugh, S. S., Cooper, L. T., Coresh, J., . . . Fuster, V. (2020). Global burden of cardiovascular diseases and risk factors, 1990–2019: Update from the GBD 2019 study. Journal of the American College of Cardiology, 76(25), 2982–3021. </w:t>
      </w:r>
      <w:hyperlink r:id="rId37" w:history="1">
        <w:r w:rsidRPr="005B7A98">
          <w:rPr>
            <w:rFonts w:eastAsia="Times New Roman"/>
            <w:color w:val="0000FF"/>
            <w:sz w:val="24"/>
            <w:szCs w:val="24"/>
            <w:u w:val="single"/>
          </w:rPr>
          <w:t>https://doi.org/10.1016/j.jacc.2020.11.010</w:t>
        </w:r>
      </w:hyperlink>
    </w:p>
    <w:p w14:paraId="43195AAC"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Saha, M., Shankar, P., Mishra, A. R. K., &amp; Nanda, A. (2026). Comparative study on oxidative stability of mustard, groundnut, and coconut oils during repeated frying: Implications for Indian household cooking practices. Asian Journal of Current Research, 11(3), 326–340. </w:t>
      </w:r>
      <w:hyperlink r:id="rId38" w:history="1">
        <w:r w:rsidRPr="005B7A98">
          <w:rPr>
            <w:rFonts w:eastAsia="Times New Roman"/>
            <w:color w:val="0000FF"/>
            <w:sz w:val="24"/>
            <w:szCs w:val="24"/>
            <w:u w:val="single"/>
          </w:rPr>
          <w:t>https://doi.org/10.56557/ajocr/2026/v11i310952</w:t>
        </w:r>
      </w:hyperlink>
    </w:p>
    <w:p w14:paraId="3EB8625C" w14:textId="77777777" w:rsidR="005B7A98" w:rsidRPr="005B7A98" w:rsidRDefault="005B7A98" w:rsidP="005B7A98">
      <w:pPr>
        <w:spacing w:before="100" w:beforeAutospacing="1" w:after="100" w:afterAutospacing="1" w:line="240" w:lineRule="auto"/>
        <w:rPr>
          <w:rFonts w:eastAsia="Times New Roman"/>
          <w:sz w:val="24"/>
          <w:szCs w:val="24"/>
        </w:rPr>
      </w:pPr>
      <w:proofErr w:type="spellStart"/>
      <w:r w:rsidRPr="005B7A98">
        <w:rPr>
          <w:rFonts w:eastAsia="Times New Roman"/>
          <w:sz w:val="24"/>
          <w:szCs w:val="24"/>
        </w:rPr>
        <w:t>Settaluri</w:t>
      </w:r>
      <w:proofErr w:type="spellEnd"/>
      <w:r w:rsidRPr="005B7A98">
        <w:rPr>
          <w:rFonts w:eastAsia="Times New Roman"/>
          <w:sz w:val="24"/>
          <w:szCs w:val="24"/>
        </w:rPr>
        <w:t xml:space="preserve">, V. S., Kandala, C. V. K., Puppala, N., &amp; Sundaram, J. (2012). Peanuts and their nutritional aspects—A review. Food and Nutrition Sciences, 3(12), 1644–1650. </w:t>
      </w:r>
      <w:hyperlink r:id="rId39" w:history="1">
        <w:r w:rsidRPr="005B7A98">
          <w:rPr>
            <w:rFonts w:eastAsia="Times New Roman"/>
            <w:color w:val="0000FF"/>
            <w:sz w:val="24"/>
            <w:szCs w:val="24"/>
            <w:u w:val="single"/>
          </w:rPr>
          <w:t>https://doi.org/10.4236/fns.2012.312215</w:t>
        </w:r>
      </w:hyperlink>
    </w:p>
    <w:p w14:paraId="42A23026"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Tietz, N. W. (Ed.). (1990). Clinical guide to laboratory tests (2nd ed.). W. B. Saunders. </w:t>
      </w:r>
      <w:hyperlink r:id="rId40" w:history="1">
        <w:r w:rsidRPr="005B7A98">
          <w:rPr>
            <w:rFonts w:eastAsia="Times New Roman"/>
            <w:color w:val="0000FF"/>
            <w:sz w:val="24"/>
            <w:szCs w:val="24"/>
            <w:u w:val="single"/>
          </w:rPr>
          <w:t>https://searchworks.stanford.edu/view/L72102</w:t>
        </w:r>
      </w:hyperlink>
    </w:p>
    <w:p w14:paraId="5B2E2367"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Venkatachalam, M., &amp; Sathe, S. K. (2006). Chemical composition of selected edible nut seeds. Journal of Agricultural and Food Chemistry, 54(13), 4705–4714. </w:t>
      </w:r>
      <w:hyperlink r:id="rId41" w:history="1">
        <w:r w:rsidRPr="005B7A98">
          <w:rPr>
            <w:rFonts w:eastAsia="Times New Roman"/>
            <w:color w:val="0000FF"/>
            <w:sz w:val="24"/>
            <w:szCs w:val="24"/>
            <w:u w:val="single"/>
          </w:rPr>
          <w:t>https://doi.org/10.1021/jf0606959</w:t>
        </w:r>
      </w:hyperlink>
    </w:p>
    <w:p w14:paraId="141118C3"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Yeh, J. Y., Resurreccion, A. V. A., Phillips, R. D., &amp; Hung, Y. C. (2002). Overall acceptability and sensory profiles of peanut spreads fortified with protein, vitamins, and minerals. Journal of Food Science, 67(5), 1979–1985. </w:t>
      </w:r>
      <w:hyperlink r:id="rId42" w:history="1">
        <w:r w:rsidRPr="005B7A98">
          <w:rPr>
            <w:rFonts w:eastAsia="Times New Roman"/>
            <w:color w:val="0000FF"/>
            <w:sz w:val="24"/>
            <w:szCs w:val="24"/>
            <w:u w:val="single"/>
          </w:rPr>
          <w:t>https://doi.org/10.1111/j.1365-2621.2002.tb08756.x</w:t>
        </w:r>
      </w:hyperlink>
    </w:p>
    <w:p w14:paraId="6EEFAB5B"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Yusuf, S., Joseph, P., Rangarajan, S., Islam, S., Mente, A., Hystad, P., Brauer, M., Kutty, V. R., Gupta, R., Wielgosz, A., </w:t>
      </w:r>
      <w:proofErr w:type="spellStart"/>
      <w:r w:rsidRPr="005B7A98">
        <w:rPr>
          <w:rFonts w:eastAsia="Times New Roman"/>
          <w:sz w:val="24"/>
          <w:szCs w:val="24"/>
        </w:rPr>
        <w:t>AlHabib</w:t>
      </w:r>
      <w:proofErr w:type="spellEnd"/>
      <w:r w:rsidRPr="005B7A98">
        <w:rPr>
          <w:rFonts w:eastAsia="Times New Roman"/>
          <w:sz w:val="24"/>
          <w:szCs w:val="24"/>
        </w:rPr>
        <w:t xml:space="preserve">, K. F., Dans, A., Lopez-Jaramillo, P., </w:t>
      </w:r>
      <w:proofErr w:type="spellStart"/>
      <w:r w:rsidRPr="005B7A98">
        <w:rPr>
          <w:rFonts w:eastAsia="Times New Roman"/>
          <w:sz w:val="24"/>
          <w:szCs w:val="24"/>
        </w:rPr>
        <w:t>Avezum</w:t>
      </w:r>
      <w:proofErr w:type="spellEnd"/>
      <w:r w:rsidRPr="005B7A98">
        <w:rPr>
          <w:rFonts w:eastAsia="Times New Roman"/>
          <w:sz w:val="24"/>
          <w:szCs w:val="24"/>
        </w:rPr>
        <w:t>, A., Lanas, F., Oguz, A., Kruger, I. M., Diaz, R., Yusoff, K., . . . Dagenais, G. (2020). Modifiable risk factors, cardiovascular disease, and mortality in 155,722 individuals from 21 high-income, middle-</w:t>
      </w:r>
      <w:r w:rsidRPr="005B7A98">
        <w:rPr>
          <w:rFonts w:eastAsia="Times New Roman"/>
          <w:sz w:val="24"/>
          <w:szCs w:val="24"/>
        </w:rPr>
        <w:lastRenderedPageBreak/>
        <w:t xml:space="preserve">income, and low-income countries (PURE): A prospective cohort study. The Lancet, 395(10226), 795–808. </w:t>
      </w:r>
      <w:hyperlink r:id="rId43" w:history="1">
        <w:r w:rsidRPr="005B7A98">
          <w:rPr>
            <w:rFonts w:eastAsia="Times New Roman"/>
            <w:color w:val="0000FF"/>
            <w:sz w:val="24"/>
            <w:szCs w:val="24"/>
            <w:u w:val="single"/>
          </w:rPr>
          <w:t>https://doi.org/10.1016/S0140-6736(19)32008-2</w:t>
        </w:r>
      </w:hyperlink>
    </w:p>
    <w:p w14:paraId="7B8DBCF0"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Zhang, D., Guo, X., Wang, Q., Zhao, L., Sun, Q., Duan, X., Cao, Y., &amp; Sun, H. (2022). Investigation on lipid profile of peanut oil and changes during roasting by lipidomic approach. LWT, 154, Article 112594. </w:t>
      </w:r>
      <w:hyperlink r:id="rId44" w:history="1">
        <w:r w:rsidRPr="005B7A98">
          <w:rPr>
            <w:rFonts w:eastAsia="Times New Roman"/>
            <w:color w:val="0000FF"/>
            <w:sz w:val="24"/>
            <w:szCs w:val="24"/>
            <w:u w:val="single"/>
          </w:rPr>
          <w:t>https://doi.org/10.1016/j.lwt.2021.112594</w:t>
        </w:r>
      </w:hyperlink>
    </w:p>
    <w:p w14:paraId="07963F33" w14:textId="77777777" w:rsidR="005B7A98" w:rsidRPr="005B7A98" w:rsidRDefault="005B7A98" w:rsidP="005B7A98">
      <w:pPr>
        <w:spacing w:before="100" w:beforeAutospacing="1" w:after="100" w:afterAutospacing="1" w:line="240" w:lineRule="auto"/>
        <w:rPr>
          <w:rFonts w:eastAsia="Times New Roman"/>
          <w:sz w:val="24"/>
          <w:szCs w:val="24"/>
        </w:rPr>
      </w:pPr>
      <w:r w:rsidRPr="005B7A98">
        <w:rPr>
          <w:rFonts w:eastAsia="Times New Roman"/>
          <w:sz w:val="24"/>
          <w:szCs w:val="24"/>
        </w:rPr>
        <w:t xml:space="preserve">Zhang, Y., Zhu, W., Jin, Y., Xu, J., Zhou, W., Shen, T., Yang, A., Wu, Z., &amp; Chen, H. (2024). Effect of boiling and roasting treatments on the nutrients, lipid quality, and flavor of peanuts. Food Science &amp; Nutrition, 12(11), 9314–9324. </w:t>
      </w:r>
      <w:hyperlink r:id="rId45" w:history="1">
        <w:r w:rsidRPr="005B7A98">
          <w:rPr>
            <w:rFonts w:eastAsia="Times New Roman"/>
            <w:color w:val="0000FF"/>
            <w:sz w:val="24"/>
            <w:szCs w:val="24"/>
            <w:u w:val="single"/>
          </w:rPr>
          <w:t>https://doi.org/10.1002/fsn3.4509</w:t>
        </w:r>
      </w:hyperlink>
    </w:p>
    <w:p w14:paraId="72080B4A" w14:textId="77777777" w:rsidR="005B7A98" w:rsidRPr="00A757FB" w:rsidRDefault="005B7A98">
      <w:pPr>
        <w:rPr>
          <w:sz w:val="24"/>
          <w:szCs w:val="24"/>
        </w:rPr>
      </w:pPr>
    </w:p>
    <w:sectPr w:rsidR="005B7A98" w:rsidRPr="00A757FB" w:rsidSect="00EF3558">
      <w:headerReference w:type="even" r:id="rId46"/>
      <w:headerReference w:type="default" r:id="rId47"/>
      <w:footerReference w:type="even" r:id="rId48"/>
      <w:footerReference w:type="default" r:id="rId49"/>
      <w:headerReference w:type="first" r:id="rId50"/>
      <w:footerReference w:type="first" r:id="rId51"/>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B3E95" w14:textId="77777777" w:rsidR="00DB0CCF" w:rsidRDefault="00DB0CCF" w:rsidP="006F6886">
      <w:pPr>
        <w:spacing w:after="0" w:line="240" w:lineRule="auto"/>
      </w:pPr>
      <w:r>
        <w:separator/>
      </w:r>
    </w:p>
  </w:endnote>
  <w:endnote w:type="continuationSeparator" w:id="0">
    <w:p w14:paraId="07F86769" w14:textId="77777777" w:rsidR="00DB0CCF" w:rsidRDefault="00DB0CCF" w:rsidP="006F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ECAB" w14:textId="77777777" w:rsidR="006F6886" w:rsidRDefault="006F6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07F3" w14:textId="77777777" w:rsidR="006F6886" w:rsidRDefault="006F68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ADC0" w14:textId="77777777" w:rsidR="006F6886" w:rsidRDefault="006F6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1FFB2" w14:textId="77777777" w:rsidR="00DB0CCF" w:rsidRDefault="00DB0CCF" w:rsidP="006F6886">
      <w:pPr>
        <w:spacing w:after="0" w:line="240" w:lineRule="auto"/>
      </w:pPr>
      <w:r>
        <w:separator/>
      </w:r>
    </w:p>
  </w:footnote>
  <w:footnote w:type="continuationSeparator" w:id="0">
    <w:p w14:paraId="00E49879" w14:textId="77777777" w:rsidR="00DB0CCF" w:rsidRDefault="00DB0CCF" w:rsidP="006F6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6976" w14:textId="77777777" w:rsidR="006F6886" w:rsidRDefault="00000000">
    <w:pPr>
      <w:pStyle w:val="Header"/>
    </w:pPr>
    <w:r>
      <w:rPr>
        <w:noProof/>
      </w:rPr>
      <w:pict w14:anchorId="5F06CF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5EB6" w14:textId="77777777" w:rsidR="006F6886" w:rsidRDefault="00000000">
    <w:pPr>
      <w:pStyle w:val="Header"/>
    </w:pPr>
    <w:r>
      <w:rPr>
        <w:noProof/>
      </w:rPr>
      <w:pict w14:anchorId="0385F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9844" w14:textId="77777777" w:rsidR="006F6886" w:rsidRDefault="00000000">
    <w:pPr>
      <w:pStyle w:val="Header"/>
    </w:pPr>
    <w:r>
      <w:rPr>
        <w:noProof/>
      </w:rPr>
      <w:pict w14:anchorId="0B5BBC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93D45"/>
    <w:multiLevelType w:val="hybridMultilevel"/>
    <w:tmpl w:val="EC064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664C76"/>
    <w:multiLevelType w:val="multilevel"/>
    <w:tmpl w:val="4F664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9786289">
    <w:abstractNumId w:val="1"/>
  </w:num>
  <w:num w:numId="2" w16cid:durableId="31611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58"/>
    <w:rsid w:val="00044073"/>
    <w:rsid w:val="00051397"/>
    <w:rsid w:val="00057107"/>
    <w:rsid w:val="00065E84"/>
    <w:rsid w:val="000876AD"/>
    <w:rsid w:val="00116AB1"/>
    <w:rsid w:val="00123345"/>
    <w:rsid w:val="001505F4"/>
    <w:rsid w:val="001608E4"/>
    <w:rsid w:val="00172381"/>
    <w:rsid w:val="00187085"/>
    <w:rsid w:val="0019775D"/>
    <w:rsid w:val="001C044D"/>
    <w:rsid w:val="001D68A0"/>
    <w:rsid w:val="001E055F"/>
    <w:rsid w:val="0020110F"/>
    <w:rsid w:val="00254311"/>
    <w:rsid w:val="00256123"/>
    <w:rsid w:val="0027187A"/>
    <w:rsid w:val="002856A4"/>
    <w:rsid w:val="002B6E82"/>
    <w:rsid w:val="002C650A"/>
    <w:rsid w:val="002D1BC1"/>
    <w:rsid w:val="002E0E29"/>
    <w:rsid w:val="003048FC"/>
    <w:rsid w:val="003147F2"/>
    <w:rsid w:val="003231FC"/>
    <w:rsid w:val="00327744"/>
    <w:rsid w:val="00327AB2"/>
    <w:rsid w:val="003536A4"/>
    <w:rsid w:val="00367DFA"/>
    <w:rsid w:val="003D2B9F"/>
    <w:rsid w:val="003E11D9"/>
    <w:rsid w:val="003E199D"/>
    <w:rsid w:val="00436316"/>
    <w:rsid w:val="0046754A"/>
    <w:rsid w:val="00484BC7"/>
    <w:rsid w:val="004A3B5A"/>
    <w:rsid w:val="004B369B"/>
    <w:rsid w:val="004B7E2D"/>
    <w:rsid w:val="00500C60"/>
    <w:rsid w:val="00504618"/>
    <w:rsid w:val="0051347A"/>
    <w:rsid w:val="0052396E"/>
    <w:rsid w:val="00523BDF"/>
    <w:rsid w:val="005240E0"/>
    <w:rsid w:val="0053441A"/>
    <w:rsid w:val="005451CA"/>
    <w:rsid w:val="00563426"/>
    <w:rsid w:val="005B0B81"/>
    <w:rsid w:val="005B5B4F"/>
    <w:rsid w:val="005B7A98"/>
    <w:rsid w:val="005E40AD"/>
    <w:rsid w:val="006016E7"/>
    <w:rsid w:val="00611262"/>
    <w:rsid w:val="006142B1"/>
    <w:rsid w:val="00651AB8"/>
    <w:rsid w:val="00691681"/>
    <w:rsid w:val="006941C9"/>
    <w:rsid w:val="006A28D4"/>
    <w:rsid w:val="006C5CFB"/>
    <w:rsid w:val="006D7B02"/>
    <w:rsid w:val="006E01E0"/>
    <w:rsid w:val="006E03A4"/>
    <w:rsid w:val="006F2754"/>
    <w:rsid w:val="006F6443"/>
    <w:rsid w:val="006F6886"/>
    <w:rsid w:val="007157E2"/>
    <w:rsid w:val="0072129E"/>
    <w:rsid w:val="007277B4"/>
    <w:rsid w:val="007349B3"/>
    <w:rsid w:val="00735B48"/>
    <w:rsid w:val="00762069"/>
    <w:rsid w:val="007B2737"/>
    <w:rsid w:val="007E350D"/>
    <w:rsid w:val="007F4EC4"/>
    <w:rsid w:val="008136DB"/>
    <w:rsid w:val="00866FD1"/>
    <w:rsid w:val="008778E7"/>
    <w:rsid w:val="008B696D"/>
    <w:rsid w:val="008D2C7B"/>
    <w:rsid w:val="00900AE5"/>
    <w:rsid w:val="00914FE9"/>
    <w:rsid w:val="00973C11"/>
    <w:rsid w:val="00991587"/>
    <w:rsid w:val="009A41A3"/>
    <w:rsid w:val="009A5634"/>
    <w:rsid w:val="009B74C0"/>
    <w:rsid w:val="009F0201"/>
    <w:rsid w:val="00A22FAF"/>
    <w:rsid w:val="00A2565C"/>
    <w:rsid w:val="00A272BF"/>
    <w:rsid w:val="00A400AA"/>
    <w:rsid w:val="00A563A2"/>
    <w:rsid w:val="00A6481F"/>
    <w:rsid w:val="00A70F6C"/>
    <w:rsid w:val="00A757FB"/>
    <w:rsid w:val="00A81733"/>
    <w:rsid w:val="00A921DF"/>
    <w:rsid w:val="00AF5878"/>
    <w:rsid w:val="00B05323"/>
    <w:rsid w:val="00B253E2"/>
    <w:rsid w:val="00B3670F"/>
    <w:rsid w:val="00B5331F"/>
    <w:rsid w:val="00B85338"/>
    <w:rsid w:val="00B90B28"/>
    <w:rsid w:val="00B92114"/>
    <w:rsid w:val="00B94522"/>
    <w:rsid w:val="00BA2B3D"/>
    <w:rsid w:val="00BF4D13"/>
    <w:rsid w:val="00C3602F"/>
    <w:rsid w:val="00C4751A"/>
    <w:rsid w:val="00C519A4"/>
    <w:rsid w:val="00C5308E"/>
    <w:rsid w:val="00C56A9B"/>
    <w:rsid w:val="00C61442"/>
    <w:rsid w:val="00C737C6"/>
    <w:rsid w:val="00C773CB"/>
    <w:rsid w:val="00CB24C0"/>
    <w:rsid w:val="00CB39DD"/>
    <w:rsid w:val="00D25FC7"/>
    <w:rsid w:val="00D337C0"/>
    <w:rsid w:val="00D36226"/>
    <w:rsid w:val="00D6767C"/>
    <w:rsid w:val="00D82123"/>
    <w:rsid w:val="00D83974"/>
    <w:rsid w:val="00D86760"/>
    <w:rsid w:val="00DA3422"/>
    <w:rsid w:val="00DB0CCF"/>
    <w:rsid w:val="00DC0530"/>
    <w:rsid w:val="00DC238D"/>
    <w:rsid w:val="00DC6ADB"/>
    <w:rsid w:val="00DE6F40"/>
    <w:rsid w:val="00E24BD2"/>
    <w:rsid w:val="00E32BB0"/>
    <w:rsid w:val="00E7785A"/>
    <w:rsid w:val="00E91186"/>
    <w:rsid w:val="00EA3751"/>
    <w:rsid w:val="00EA3C65"/>
    <w:rsid w:val="00EB6918"/>
    <w:rsid w:val="00EC21AE"/>
    <w:rsid w:val="00EC52C5"/>
    <w:rsid w:val="00EE16CB"/>
    <w:rsid w:val="00EE226A"/>
    <w:rsid w:val="00EF050E"/>
    <w:rsid w:val="00EF3558"/>
    <w:rsid w:val="00EF50B4"/>
    <w:rsid w:val="00F0435A"/>
    <w:rsid w:val="00F23C04"/>
    <w:rsid w:val="00F40984"/>
    <w:rsid w:val="00F52054"/>
    <w:rsid w:val="00F87973"/>
    <w:rsid w:val="00FD3EF4"/>
    <w:rsid w:val="00FF0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AD03F2"/>
  <w15:chartTrackingRefBased/>
  <w15:docId w15:val="{F00D812B-9F92-4F71-B7B6-C86335A4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558"/>
    <w:pPr>
      <w:spacing w:after="200" w:line="276" w:lineRule="auto"/>
    </w:pPr>
    <w:rPr>
      <w:rFonts w:ascii="Times New Roman" w:eastAsia="SimSun" w:hAnsi="Times New Roman" w:cs="Times New Roman"/>
      <w:kern w:val="0"/>
      <w:sz w:val="22"/>
      <w:szCs w:val="22"/>
      <w14:ligatures w14:val="none"/>
    </w:rPr>
  </w:style>
  <w:style w:type="paragraph" w:styleId="Heading1">
    <w:name w:val="heading 1"/>
    <w:basedOn w:val="Normal"/>
    <w:next w:val="Normal"/>
    <w:link w:val="Heading1Char"/>
    <w:uiPriority w:val="1"/>
    <w:qFormat/>
    <w:rsid w:val="00EF355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F355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F355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F355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F355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F35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5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5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5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F355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F355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EF355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F355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F355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F3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558"/>
    <w:rPr>
      <w:rFonts w:eastAsiaTheme="majorEastAsia" w:cstheme="majorBidi"/>
      <w:color w:val="272727" w:themeColor="text1" w:themeTint="D8"/>
    </w:rPr>
  </w:style>
  <w:style w:type="paragraph" w:styleId="Title">
    <w:name w:val="Title"/>
    <w:basedOn w:val="Normal"/>
    <w:next w:val="Normal"/>
    <w:link w:val="TitleChar"/>
    <w:uiPriority w:val="10"/>
    <w:qFormat/>
    <w:rsid w:val="00EF3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5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558"/>
    <w:pPr>
      <w:spacing w:before="160"/>
      <w:jc w:val="center"/>
    </w:pPr>
    <w:rPr>
      <w:i/>
      <w:iCs/>
      <w:color w:val="404040" w:themeColor="text1" w:themeTint="BF"/>
    </w:rPr>
  </w:style>
  <w:style w:type="character" w:customStyle="1" w:styleId="QuoteChar">
    <w:name w:val="Quote Char"/>
    <w:basedOn w:val="DefaultParagraphFont"/>
    <w:link w:val="Quote"/>
    <w:uiPriority w:val="29"/>
    <w:rsid w:val="00EF3558"/>
    <w:rPr>
      <w:i/>
      <w:iCs/>
      <w:color w:val="404040" w:themeColor="text1" w:themeTint="BF"/>
    </w:rPr>
  </w:style>
  <w:style w:type="paragraph" w:styleId="ListParagraph">
    <w:name w:val="List Paragraph"/>
    <w:basedOn w:val="Normal"/>
    <w:uiPriority w:val="1"/>
    <w:qFormat/>
    <w:rsid w:val="00EF3558"/>
    <w:pPr>
      <w:ind w:left="720"/>
      <w:contextualSpacing/>
    </w:pPr>
  </w:style>
  <w:style w:type="character" w:styleId="IntenseEmphasis">
    <w:name w:val="Intense Emphasis"/>
    <w:basedOn w:val="DefaultParagraphFont"/>
    <w:uiPriority w:val="21"/>
    <w:qFormat/>
    <w:rsid w:val="00EF3558"/>
    <w:rPr>
      <w:i/>
      <w:iCs/>
      <w:color w:val="2E74B5" w:themeColor="accent1" w:themeShade="BF"/>
    </w:rPr>
  </w:style>
  <w:style w:type="paragraph" w:styleId="IntenseQuote">
    <w:name w:val="Intense Quote"/>
    <w:basedOn w:val="Normal"/>
    <w:next w:val="Normal"/>
    <w:link w:val="IntenseQuoteChar"/>
    <w:uiPriority w:val="30"/>
    <w:qFormat/>
    <w:rsid w:val="00EF355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F3558"/>
    <w:rPr>
      <w:i/>
      <w:iCs/>
      <w:color w:val="2E74B5" w:themeColor="accent1" w:themeShade="BF"/>
    </w:rPr>
  </w:style>
  <w:style w:type="character" w:styleId="IntenseReference">
    <w:name w:val="Intense Reference"/>
    <w:basedOn w:val="DefaultParagraphFont"/>
    <w:uiPriority w:val="32"/>
    <w:qFormat/>
    <w:rsid w:val="00EF3558"/>
    <w:rPr>
      <w:b/>
      <w:bCs/>
      <w:smallCaps/>
      <w:color w:val="2E74B5" w:themeColor="accent1" w:themeShade="BF"/>
      <w:spacing w:val="5"/>
    </w:rPr>
  </w:style>
  <w:style w:type="paragraph" w:styleId="BodyText">
    <w:name w:val="Body Text"/>
    <w:basedOn w:val="Normal"/>
    <w:link w:val="BodyTextChar"/>
    <w:uiPriority w:val="1"/>
    <w:qFormat/>
    <w:rsid w:val="00EF3558"/>
    <w:pPr>
      <w:widowControl w:val="0"/>
      <w:autoSpaceDE w:val="0"/>
      <w:autoSpaceDN w:val="0"/>
      <w:spacing w:after="0" w:line="240" w:lineRule="auto"/>
    </w:pPr>
    <w:rPr>
      <w:rFonts w:eastAsia="Times New Roman"/>
      <w:sz w:val="28"/>
      <w:szCs w:val="28"/>
    </w:rPr>
  </w:style>
  <w:style w:type="character" w:customStyle="1" w:styleId="BodyTextChar">
    <w:name w:val="Body Text Char"/>
    <w:basedOn w:val="DefaultParagraphFont"/>
    <w:link w:val="BodyText"/>
    <w:uiPriority w:val="1"/>
    <w:rsid w:val="00EF3558"/>
    <w:rPr>
      <w:rFonts w:ascii="Times New Roman" w:eastAsia="Times New Roman" w:hAnsi="Times New Roman" w:cs="Times New Roman"/>
      <w:kern w:val="0"/>
      <w:sz w:val="28"/>
      <w:szCs w:val="28"/>
      <w14:ligatures w14:val="none"/>
    </w:rPr>
  </w:style>
  <w:style w:type="character" w:styleId="Emphasis">
    <w:name w:val="Emphasis"/>
    <w:basedOn w:val="DefaultParagraphFont"/>
    <w:uiPriority w:val="20"/>
    <w:qFormat/>
    <w:rsid w:val="00EF3558"/>
    <w:rPr>
      <w:i/>
      <w:iCs/>
    </w:rPr>
  </w:style>
  <w:style w:type="paragraph" w:styleId="Footer">
    <w:name w:val="footer"/>
    <w:basedOn w:val="Normal"/>
    <w:link w:val="FooterChar"/>
    <w:uiPriority w:val="99"/>
    <w:unhideWhenUsed/>
    <w:rsid w:val="00EF3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558"/>
    <w:rPr>
      <w:rFonts w:ascii="Times New Roman" w:eastAsia="SimSun" w:hAnsi="Times New Roman" w:cs="Times New Roman"/>
      <w:kern w:val="0"/>
      <w:sz w:val="22"/>
      <w:szCs w:val="22"/>
      <w14:ligatures w14:val="none"/>
    </w:rPr>
  </w:style>
  <w:style w:type="paragraph" w:styleId="Header">
    <w:name w:val="header"/>
    <w:basedOn w:val="Normal"/>
    <w:link w:val="HeaderChar"/>
    <w:uiPriority w:val="99"/>
    <w:unhideWhenUsed/>
    <w:rsid w:val="00EF3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558"/>
    <w:rPr>
      <w:rFonts w:ascii="Times New Roman" w:eastAsia="SimSun" w:hAnsi="Times New Roman" w:cs="Times New Roman"/>
      <w:kern w:val="0"/>
      <w:sz w:val="22"/>
      <w:szCs w:val="22"/>
      <w14:ligatures w14:val="none"/>
    </w:rPr>
  </w:style>
  <w:style w:type="character" w:styleId="Hyperlink">
    <w:name w:val="Hyperlink"/>
    <w:basedOn w:val="DefaultParagraphFont"/>
    <w:uiPriority w:val="99"/>
    <w:unhideWhenUsed/>
    <w:rsid w:val="00EF3558"/>
    <w:rPr>
      <w:color w:val="0000FF"/>
      <w:u w:val="single"/>
    </w:rPr>
  </w:style>
  <w:style w:type="paragraph" w:styleId="NormalWeb">
    <w:name w:val="Normal (Web)"/>
    <w:basedOn w:val="Normal"/>
    <w:uiPriority w:val="99"/>
    <w:unhideWhenUsed/>
    <w:rsid w:val="00EF3558"/>
    <w:pPr>
      <w:spacing w:before="100" w:beforeAutospacing="1" w:after="100" w:afterAutospacing="1" w:line="240" w:lineRule="auto"/>
    </w:pPr>
    <w:rPr>
      <w:rFonts w:eastAsia="Times New Roman"/>
      <w:sz w:val="24"/>
      <w:szCs w:val="24"/>
    </w:rPr>
  </w:style>
  <w:style w:type="paragraph" w:customStyle="1" w:styleId="TableParagraph">
    <w:name w:val="Table Paragraph"/>
    <w:basedOn w:val="Normal"/>
    <w:uiPriority w:val="1"/>
    <w:qFormat/>
    <w:rsid w:val="00EF3558"/>
    <w:pPr>
      <w:widowControl w:val="0"/>
      <w:autoSpaceDE w:val="0"/>
      <w:autoSpaceDN w:val="0"/>
      <w:spacing w:after="0" w:line="240" w:lineRule="auto"/>
      <w:ind w:left="102"/>
    </w:pPr>
    <w:rPr>
      <w:rFonts w:eastAsia="Times New Roman"/>
    </w:rPr>
  </w:style>
  <w:style w:type="character" w:customStyle="1" w:styleId="anchor-text">
    <w:name w:val="anchor-text"/>
    <w:basedOn w:val="DefaultParagraphFont"/>
    <w:rsid w:val="00EF3558"/>
  </w:style>
  <w:style w:type="character" w:customStyle="1" w:styleId="ref-title">
    <w:name w:val="ref-title"/>
    <w:basedOn w:val="DefaultParagraphFont"/>
    <w:rsid w:val="00EF3558"/>
  </w:style>
  <w:style w:type="character" w:customStyle="1" w:styleId="ref-journal">
    <w:name w:val="ref-journal"/>
    <w:basedOn w:val="DefaultParagraphFont"/>
    <w:rsid w:val="00EF3558"/>
  </w:style>
  <w:style w:type="character" w:customStyle="1" w:styleId="ref-vol">
    <w:name w:val="ref-vol"/>
    <w:basedOn w:val="DefaultParagraphFont"/>
    <w:rsid w:val="00EF3558"/>
  </w:style>
  <w:style w:type="character" w:customStyle="1" w:styleId="html-italic">
    <w:name w:val="html-italic"/>
    <w:basedOn w:val="DefaultParagraphFont"/>
    <w:rsid w:val="00EF3558"/>
  </w:style>
  <w:style w:type="paragraph" w:styleId="NoSpacing">
    <w:name w:val="No Spacing"/>
    <w:uiPriority w:val="1"/>
    <w:qFormat/>
    <w:rsid w:val="00EF3558"/>
    <w:pPr>
      <w:spacing w:after="0" w:line="240" w:lineRule="auto"/>
    </w:pPr>
    <w:rPr>
      <w:rFonts w:ascii="Times New Roman" w:eastAsia="SimSun" w:hAnsi="Times New Roman" w:cs="Times New Roman"/>
      <w:kern w:val="0"/>
      <w:sz w:val="22"/>
      <w:szCs w:val="22"/>
      <w14:ligatures w14:val="none"/>
    </w:rPr>
  </w:style>
  <w:style w:type="character" w:customStyle="1" w:styleId="show-for-sr">
    <w:name w:val="show-for-sr"/>
    <w:basedOn w:val="DefaultParagraphFont"/>
    <w:rsid w:val="00EF3558"/>
  </w:style>
  <w:style w:type="character" w:customStyle="1" w:styleId="name">
    <w:name w:val="name"/>
    <w:basedOn w:val="DefaultParagraphFont"/>
    <w:rsid w:val="00EF3558"/>
  </w:style>
  <w:style w:type="character" w:customStyle="1" w:styleId="surname">
    <w:name w:val="surname"/>
    <w:basedOn w:val="DefaultParagraphFont"/>
    <w:rsid w:val="00EF3558"/>
  </w:style>
  <w:style w:type="character" w:customStyle="1" w:styleId="given-names">
    <w:name w:val="given-names"/>
    <w:basedOn w:val="DefaultParagraphFont"/>
    <w:rsid w:val="00EF3558"/>
  </w:style>
  <w:style w:type="character" w:customStyle="1" w:styleId="year">
    <w:name w:val="year"/>
    <w:basedOn w:val="DefaultParagraphFont"/>
    <w:rsid w:val="00EF3558"/>
  </w:style>
  <w:style w:type="character" w:customStyle="1" w:styleId="article-title">
    <w:name w:val="article-title"/>
    <w:basedOn w:val="DefaultParagraphFont"/>
    <w:rsid w:val="00EF3558"/>
  </w:style>
  <w:style w:type="character" w:customStyle="1" w:styleId="source">
    <w:name w:val="source"/>
    <w:basedOn w:val="DefaultParagraphFont"/>
    <w:rsid w:val="00EF3558"/>
  </w:style>
  <w:style w:type="character" w:customStyle="1" w:styleId="volume">
    <w:name w:val="volume"/>
    <w:basedOn w:val="DefaultParagraphFont"/>
    <w:rsid w:val="00EF3558"/>
  </w:style>
  <w:style w:type="character" w:customStyle="1" w:styleId="fpage">
    <w:name w:val="fpage"/>
    <w:basedOn w:val="DefaultParagraphFont"/>
    <w:rsid w:val="00EF3558"/>
  </w:style>
  <w:style w:type="character" w:customStyle="1" w:styleId="lpage">
    <w:name w:val="lpage"/>
    <w:basedOn w:val="DefaultParagraphFont"/>
    <w:rsid w:val="00EF3558"/>
  </w:style>
  <w:style w:type="character" w:customStyle="1" w:styleId="UnresolvedMention1">
    <w:name w:val="Unresolved Mention1"/>
    <w:basedOn w:val="DefaultParagraphFont"/>
    <w:uiPriority w:val="99"/>
    <w:semiHidden/>
    <w:unhideWhenUsed/>
    <w:rsid w:val="00EF3558"/>
    <w:rPr>
      <w:color w:val="605E5C"/>
      <w:shd w:val="clear" w:color="auto" w:fill="E1DFDD"/>
    </w:rPr>
  </w:style>
  <w:style w:type="character" w:styleId="CommentReference">
    <w:name w:val="annotation reference"/>
    <w:basedOn w:val="DefaultParagraphFont"/>
    <w:uiPriority w:val="99"/>
    <w:semiHidden/>
    <w:unhideWhenUsed/>
    <w:rsid w:val="00EF3558"/>
    <w:rPr>
      <w:sz w:val="16"/>
      <w:szCs w:val="16"/>
    </w:rPr>
  </w:style>
  <w:style w:type="paragraph" w:styleId="CommentText">
    <w:name w:val="annotation text"/>
    <w:basedOn w:val="Normal"/>
    <w:link w:val="CommentTextChar"/>
    <w:uiPriority w:val="99"/>
    <w:unhideWhenUsed/>
    <w:rsid w:val="00EF3558"/>
    <w:pPr>
      <w:spacing w:line="240" w:lineRule="auto"/>
    </w:pPr>
    <w:rPr>
      <w:sz w:val="20"/>
      <w:szCs w:val="20"/>
    </w:rPr>
  </w:style>
  <w:style w:type="character" w:customStyle="1" w:styleId="CommentTextChar">
    <w:name w:val="Comment Text Char"/>
    <w:basedOn w:val="DefaultParagraphFont"/>
    <w:link w:val="CommentText"/>
    <w:uiPriority w:val="99"/>
    <w:rsid w:val="00EF3558"/>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F3558"/>
    <w:rPr>
      <w:b/>
      <w:bCs/>
    </w:rPr>
  </w:style>
  <w:style w:type="character" w:customStyle="1" w:styleId="CommentSubjectChar">
    <w:name w:val="Comment Subject Char"/>
    <w:basedOn w:val="CommentTextChar"/>
    <w:link w:val="CommentSubject"/>
    <w:uiPriority w:val="99"/>
    <w:semiHidden/>
    <w:rsid w:val="00EF3558"/>
    <w:rPr>
      <w:rFonts w:ascii="Times New Roman" w:eastAsia="SimSu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EF3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558"/>
    <w:rPr>
      <w:rFonts w:ascii="Tahoma" w:eastAsia="SimSun" w:hAnsi="Tahoma" w:cs="Tahoma"/>
      <w:kern w:val="0"/>
      <w:sz w:val="16"/>
      <w:szCs w:val="16"/>
      <w14:ligatures w14:val="none"/>
    </w:rPr>
  </w:style>
  <w:style w:type="paragraph" w:styleId="Revision">
    <w:name w:val="Revision"/>
    <w:hidden/>
    <w:uiPriority w:val="99"/>
    <w:semiHidden/>
    <w:rsid w:val="00EF3558"/>
    <w:pPr>
      <w:spacing w:after="0" w:line="240" w:lineRule="auto"/>
    </w:pPr>
    <w:rPr>
      <w:rFonts w:ascii="Times New Roman" w:eastAsia="SimSun" w:hAnsi="Times New Roman" w:cs="Times New Roman"/>
      <w:kern w:val="0"/>
      <w:sz w:val="22"/>
      <w:szCs w:val="22"/>
      <w14:ligatures w14:val="none"/>
    </w:rPr>
  </w:style>
  <w:style w:type="character" w:styleId="UnresolvedMention">
    <w:name w:val="Unresolved Mention"/>
    <w:basedOn w:val="DefaultParagraphFont"/>
    <w:uiPriority w:val="99"/>
    <w:semiHidden/>
    <w:unhideWhenUsed/>
    <w:rsid w:val="007E350D"/>
    <w:rPr>
      <w:color w:val="605E5C"/>
      <w:shd w:val="clear" w:color="auto" w:fill="E1DFDD"/>
    </w:rPr>
  </w:style>
  <w:style w:type="character" w:styleId="FollowedHyperlink">
    <w:name w:val="FollowedHyperlink"/>
    <w:basedOn w:val="DefaultParagraphFont"/>
    <w:uiPriority w:val="99"/>
    <w:semiHidden/>
    <w:unhideWhenUsed/>
    <w:rsid w:val="00EA37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s://doi.org/10.3390/nu7095343?utm_source=chatgpt.com" TargetMode="External"/><Relationship Id="rId26" Type="http://schemas.openxmlformats.org/officeDocument/2006/relationships/hyperlink" Target="https://doi.org/10.3390/nu15030596?utm_source=chatgpt.com" TargetMode="External"/><Relationship Id="rId39" Type="http://schemas.openxmlformats.org/officeDocument/2006/relationships/hyperlink" Target="https://doi.org/10.4236/fns.2012.312215?utm_source=chatgpt.com" TargetMode="External"/><Relationship Id="rId21" Type="http://schemas.openxmlformats.org/officeDocument/2006/relationships/hyperlink" Target="https://doi.org/10.1016/j.ajcnut.2026.101527?utm_source=chatgpt.com" TargetMode="External"/><Relationship Id="rId34" Type="http://schemas.openxmlformats.org/officeDocument/2006/relationships/hyperlink" Target="https://doi.org/10.1016/j.numecd.2024.10.009?utm_source=chatgpt.com" TargetMode="External"/><Relationship Id="rId42" Type="http://schemas.openxmlformats.org/officeDocument/2006/relationships/hyperlink" Target="https://doi.org/10.1111/j.1365-2621.2002.tb08756.x?utm_source=chatgpt.com"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hyperlink" Target="https://doi.org/10.3390/nu12051207?utm_source=chatgpt.com" TargetMode="External"/><Relationship Id="rId11" Type="http://schemas.openxmlformats.org/officeDocument/2006/relationships/image" Target="media/image3.emf"/><Relationship Id="rId24" Type="http://schemas.openxmlformats.org/officeDocument/2006/relationships/hyperlink" Target="https://doi.org/10.1016/S0140-6736(18)32203-7?utm_source=chatgpt.com" TargetMode="External"/><Relationship Id="rId32" Type="http://schemas.openxmlformats.org/officeDocument/2006/relationships/hyperlink" Target="https://doi.org/10.1111/j.1745-4530.2012.00693.x?utm_source=chatgpt.com" TargetMode="External"/><Relationship Id="rId37" Type="http://schemas.openxmlformats.org/officeDocument/2006/relationships/hyperlink" Target="https://doi.org/10.1016/j.jacc.2020.11.010?utm_source=chatgpt.com" TargetMode="External"/><Relationship Id="rId40" Type="http://schemas.openxmlformats.org/officeDocument/2006/relationships/hyperlink" Target="https://searchworks.stanford.edu/view/L72102?utm_source=chatgpt.com" TargetMode="External"/><Relationship Id="rId45" Type="http://schemas.openxmlformats.org/officeDocument/2006/relationships/hyperlink" Target="https://doi.org/10.1002/fsn3.4509?utm_source=chatgpt.com"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oleObject" Target="embeddings/oleObject2.bin"/><Relationship Id="rId19" Type="http://schemas.openxmlformats.org/officeDocument/2006/relationships/hyperlink" Target="https://doi.org/10.9734/ahrj/2026/v9i2249?utm_source=chatgpt.com" TargetMode="External"/><Relationship Id="rId31" Type="http://schemas.openxmlformats.org/officeDocument/2006/relationships/hyperlink" Target="https://doi.org/10.1080/09637480701198067?utm_source=chatgpt.com" TargetMode="External"/><Relationship Id="rId44" Type="http://schemas.openxmlformats.org/officeDocument/2006/relationships/hyperlink" Target="https://doi.org/10.1016/j.lwt.2021.112594?utm_source=chatgpt.com"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hyperlink" Target="https://doi.org/10.1080/10408390701640718?utm_source=chatgpt.com" TargetMode="External"/><Relationship Id="rId27" Type="http://schemas.openxmlformats.org/officeDocument/2006/relationships/hyperlink" Target="https://doi.org/10.1016/B978-1-63067-038-2.00001-0?utm_source=chatgpt.com" TargetMode="External"/><Relationship Id="rId30" Type="http://schemas.openxmlformats.org/officeDocument/2006/relationships/hyperlink" Target="https://doi.org/10.1016/j.fochx.2024.101791?utm_source=chatgpt.com" TargetMode="External"/><Relationship Id="rId35" Type="http://schemas.openxmlformats.org/officeDocument/2006/relationships/hyperlink" Target="https://doi.org/10.1016/j.foodchem.2025.144534?utm_source=chatgpt.com" TargetMode="External"/><Relationship Id="rId43" Type="http://schemas.openxmlformats.org/officeDocument/2006/relationships/hyperlink" Target="https://doi.org/10.1016/S0140-6736(19)32008-2?utm_source=chatgpt.com" TargetMode="External"/><Relationship Id="rId48" Type="http://schemas.openxmlformats.org/officeDocument/2006/relationships/footer" Target="footer1.xml"/><Relationship Id="rId8" Type="http://schemas.openxmlformats.org/officeDocument/2006/relationships/oleObject" Target="embeddings/oleObject1.bin"/><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hyperlink" Target="https://doi.org/10.1007/s13197-015-2007-9?utm_source=chatgpt.com" TargetMode="External"/><Relationship Id="rId25" Type="http://schemas.openxmlformats.org/officeDocument/2006/relationships/hyperlink" Target="https://doi.org/10.1016/S0140-6736(20)30925-9?utm_source=chatgpt.com" TargetMode="External"/><Relationship Id="rId33" Type="http://schemas.openxmlformats.org/officeDocument/2006/relationships/hyperlink" Target="https://doi.org/10.1016/j.jacc.2019.10.009?utm_source=chatgpt.com" TargetMode="External"/><Relationship Id="rId38" Type="http://schemas.openxmlformats.org/officeDocument/2006/relationships/hyperlink" Target="https://doi.org/10.56557/ajocr/2026/v11i310952?utm_source=chatgpt.com" TargetMode="External"/><Relationship Id="rId46" Type="http://schemas.openxmlformats.org/officeDocument/2006/relationships/header" Target="header1.xml"/><Relationship Id="rId20" Type="http://schemas.openxmlformats.org/officeDocument/2006/relationships/hyperlink" Target="https://doi.org/10.1016/B978-1-63067-038-2.00011-3?utm_source=chatgpt.com" TargetMode="External"/><Relationship Id="rId41" Type="http://schemas.openxmlformats.org/officeDocument/2006/relationships/hyperlink" Target="https://doi.org/10.1021/jf0606959?utm_source=chatgpt.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emf"/><Relationship Id="rId23" Type="http://schemas.openxmlformats.org/officeDocument/2006/relationships/hyperlink" Target="https://doi.org/10.1093/clinchem/18.6.499?utm_source=chatgpt.com" TargetMode="External"/><Relationship Id="rId28" Type="http://schemas.openxmlformats.org/officeDocument/2006/relationships/hyperlink" Target="https://doi.org/10.1016/j.advnut.2023.05.004?utm_source=chatgpt.com" TargetMode="External"/><Relationship Id="rId36" Type="http://schemas.openxmlformats.org/officeDocument/2006/relationships/hyperlink" Target="https://doi.org/10.1017/S0007114512004217?utm_source=chatgpt.com"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19</Pages>
  <Words>6677</Words>
  <Characters>38064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eby iloanya</dc:creator>
  <cp:keywords/>
  <dc:description/>
  <cp:lastModifiedBy>SDI 1087</cp:lastModifiedBy>
  <cp:revision>14</cp:revision>
  <dcterms:created xsi:type="dcterms:W3CDTF">2026-10-15T14:37:00Z</dcterms:created>
  <dcterms:modified xsi:type="dcterms:W3CDTF">2026-10-22T08:38:00Z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720532dc-152b-485c-aeb1-1724300f638c</vt:lpwstr>
  </property>
</Properties>
</file>