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95AC0" w14:textId="77777777" w:rsidR="00D0036C" w:rsidRPr="006D641C" w:rsidRDefault="00D0036C" w:rsidP="00D0036C">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406B618D" w14:textId="77777777" w:rsidR="00F00104" w:rsidRDefault="00DA1A87" w:rsidP="00DA1A87">
      <w:pPr>
        <w:jc w:val="right"/>
        <w:rPr>
          <w:rFonts w:ascii="Arial" w:hAnsi="Arial" w:cs="Arial"/>
          <w:b/>
          <w:sz w:val="36"/>
          <w:szCs w:val="36"/>
        </w:rPr>
      </w:pPr>
      <w:r w:rsidRPr="00DA1A87">
        <w:rPr>
          <w:rFonts w:ascii="Arial" w:hAnsi="Arial" w:cs="Arial"/>
          <w:b/>
          <w:sz w:val="36"/>
          <w:szCs w:val="36"/>
        </w:rPr>
        <w:t xml:space="preserve">EFFECTS OF </w:t>
      </w:r>
      <w:r w:rsidRPr="00DA1A87">
        <w:rPr>
          <w:rFonts w:ascii="Arial" w:hAnsi="Arial" w:cs="Arial"/>
          <w:b/>
          <w:i/>
          <w:sz w:val="36"/>
          <w:szCs w:val="36"/>
        </w:rPr>
        <w:t>AMARANTHUS VIRIDIS</w:t>
      </w:r>
      <w:r w:rsidRPr="00DA1A87">
        <w:rPr>
          <w:rFonts w:ascii="Arial" w:hAnsi="Arial" w:cs="Arial"/>
          <w:b/>
          <w:sz w:val="36"/>
          <w:szCs w:val="36"/>
        </w:rPr>
        <w:t xml:space="preserve"> (</w:t>
      </w:r>
      <w:r w:rsidRPr="00DA1A87">
        <w:rPr>
          <w:rFonts w:ascii="Arial" w:hAnsi="Arial" w:cs="Arial"/>
          <w:b/>
          <w:i/>
          <w:sz w:val="36"/>
          <w:szCs w:val="36"/>
        </w:rPr>
        <w:t>ININE</w:t>
      </w:r>
      <w:r w:rsidRPr="00DA1A87">
        <w:rPr>
          <w:rFonts w:ascii="Arial" w:hAnsi="Arial" w:cs="Arial"/>
          <w:b/>
          <w:sz w:val="36"/>
          <w:szCs w:val="36"/>
        </w:rPr>
        <w:t>) ETHANOL LEAF EXTRACT ON RENAL FUNCTION AND TISSUE HOMOGENATE ANTIOXIDANT STATUS IN ALBINO RATS EXPOSED TO POTASSIUM BROMATE (KBRO</w:t>
      </w:r>
      <w:r w:rsidRPr="00DA1A87">
        <w:rPr>
          <w:rFonts w:ascii="Arial" w:hAnsi="Arial" w:cs="Arial"/>
          <w:b/>
          <w:sz w:val="36"/>
          <w:szCs w:val="36"/>
          <w:vertAlign w:val="subscript"/>
        </w:rPr>
        <w:t>3</w:t>
      </w:r>
      <w:r w:rsidRPr="00DA1A87">
        <w:rPr>
          <w:rFonts w:ascii="Arial" w:hAnsi="Arial" w:cs="Arial"/>
          <w:b/>
          <w:sz w:val="36"/>
          <w:szCs w:val="36"/>
        </w:rPr>
        <w:t>)</w:t>
      </w:r>
    </w:p>
    <w:p w14:paraId="728A23FA" w14:textId="77777777" w:rsidR="00A7460C" w:rsidRDefault="00A7460C" w:rsidP="002A5007">
      <w:pPr>
        <w:rPr>
          <w:rFonts w:ascii="Arial" w:hAnsi="Arial" w:cs="Arial"/>
          <w:b/>
          <w:szCs w:val="24"/>
        </w:rPr>
      </w:pPr>
    </w:p>
    <w:p w14:paraId="38933225" w14:textId="77777777" w:rsidR="00A7460C" w:rsidRDefault="00A7460C" w:rsidP="002A5007">
      <w:pPr>
        <w:rPr>
          <w:rFonts w:ascii="Arial" w:hAnsi="Arial" w:cs="Arial"/>
          <w:b/>
          <w:szCs w:val="24"/>
        </w:rPr>
      </w:pPr>
    </w:p>
    <w:p w14:paraId="01F786E4" w14:textId="77777777" w:rsidR="002A5007" w:rsidRPr="002A5007" w:rsidRDefault="002A5007" w:rsidP="002A5007">
      <w:pPr>
        <w:rPr>
          <w:rFonts w:ascii="Arial" w:hAnsi="Arial" w:cs="Arial"/>
          <w:b/>
          <w:szCs w:val="24"/>
        </w:rPr>
      </w:pPr>
      <w:r w:rsidRPr="002A5007">
        <w:rPr>
          <w:rFonts w:ascii="Arial" w:hAnsi="Arial" w:cs="Arial"/>
          <w:b/>
          <w:szCs w:val="24"/>
        </w:rPr>
        <w:t>ABSTRACT</w:t>
      </w:r>
    </w:p>
    <w:p w14:paraId="0FFE9D51" w14:textId="77777777" w:rsidR="001A4554" w:rsidRPr="009D3590" w:rsidRDefault="001A4554" w:rsidP="001A4554">
      <w:pPr>
        <w:spacing w:before="100" w:beforeAutospacing="1" w:after="100" w:afterAutospacing="1" w:line="240" w:lineRule="auto"/>
        <w:rPr>
          <w:rFonts w:ascii="Times New Roman" w:eastAsia="Times New Roman" w:hAnsi="Times New Roman" w:cs="Times New Roman"/>
          <w:sz w:val="24"/>
          <w:szCs w:val="24"/>
          <w:lang w:eastAsia="en-GB"/>
        </w:rPr>
      </w:pPr>
      <w:r w:rsidRPr="009D3590">
        <w:rPr>
          <w:rFonts w:ascii="Times New Roman" w:eastAsia="Times New Roman" w:hAnsi="Times New Roman" w:cs="Times New Roman"/>
          <w:sz w:val="24"/>
          <w:szCs w:val="24"/>
          <w:lang w:eastAsia="en-GB"/>
        </w:rPr>
        <w:t>Potassium bromate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is an oxidizing agent capable of inducing oxidative stress and renal dysfunction. This study evaluated the effects of an ethanol extract of </w:t>
      </w:r>
      <w:r w:rsidRPr="009D3590">
        <w:rPr>
          <w:rFonts w:ascii="Times New Roman" w:eastAsia="Times New Roman" w:hAnsi="Times New Roman" w:cs="Times New Roman"/>
          <w:i/>
          <w:iCs/>
          <w:sz w:val="24"/>
          <w:szCs w:val="24"/>
          <w:lang w:eastAsia="en-GB"/>
        </w:rPr>
        <w:t xml:space="preserve">Amaranthus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on renal biochemical indices and liver tissue antioxidant status in potassium bromate-exposed male Wistar rats. Thirty rats were assigned to six groups comprising a normal control, a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₃-treated group (50 mg/kg), three groups receiving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extract at 200, 400, or 800 mg/kg together with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and a vitamin C group (100 mg/kg) together with </w:t>
      </w:r>
      <w:proofErr w:type="spellStart"/>
      <w:r w:rsidRPr="009D3590">
        <w:rPr>
          <w:rFonts w:ascii="Times New Roman" w:eastAsia="Times New Roman" w:hAnsi="Times New Roman" w:cs="Times New Roman"/>
          <w:sz w:val="24"/>
          <w:szCs w:val="24"/>
          <w:lang w:eastAsia="en-GB"/>
        </w:rPr>
        <w:t>KBrO</w:t>
      </w:r>
      <w:proofErr w:type="spellEnd"/>
      <w:r w:rsidRPr="009D3590">
        <w:rPr>
          <w:rFonts w:ascii="Times New Roman" w:eastAsia="Times New Roman" w:hAnsi="Times New Roman" w:cs="Times New Roman"/>
          <w:sz w:val="24"/>
          <w:szCs w:val="24"/>
          <w:lang w:eastAsia="en-GB"/>
        </w:rPr>
        <w:t xml:space="preserve">₃. Treatments were administered orally for 14 days. Renal function indices, including urea, creatinine, sodium, potassium, chloride, and bicarbonate, were assessed, while glutathione, glutathione peroxidase, superoxide dismutase, catalase, and malondialdehyde were determined in liver tissue homogenates. Potassium bromate exposure was associated with increased urea, creatinine, sodium, chloride, and malondialdehyde levels and reductions in antioxidant indices compared with the control. Administration of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extract was associated with improvements in several renal biochemical indices and antioxidant parameters, with the higher doses generally producing values closer to those of the control group. Vitamin C also showed protective effects. These findings indicate that </w:t>
      </w:r>
      <w:r w:rsidRPr="009D3590">
        <w:rPr>
          <w:rFonts w:ascii="Times New Roman" w:eastAsia="Times New Roman" w:hAnsi="Times New Roman" w:cs="Times New Roman"/>
          <w:i/>
          <w:iCs/>
          <w:sz w:val="24"/>
          <w:szCs w:val="24"/>
          <w:lang w:eastAsia="en-GB"/>
        </w:rPr>
        <w:t xml:space="preserve">A. </w:t>
      </w:r>
      <w:proofErr w:type="spellStart"/>
      <w:r w:rsidRPr="009D3590">
        <w:rPr>
          <w:rFonts w:ascii="Times New Roman" w:eastAsia="Times New Roman" w:hAnsi="Times New Roman" w:cs="Times New Roman"/>
          <w:i/>
          <w:iCs/>
          <w:sz w:val="24"/>
          <w:szCs w:val="24"/>
          <w:lang w:eastAsia="en-GB"/>
        </w:rPr>
        <w:t>viridis</w:t>
      </w:r>
      <w:proofErr w:type="spellEnd"/>
      <w:r w:rsidRPr="009D3590">
        <w:rPr>
          <w:rFonts w:ascii="Times New Roman" w:eastAsia="Times New Roman" w:hAnsi="Times New Roman" w:cs="Times New Roman"/>
          <w:sz w:val="24"/>
          <w:szCs w:val="24"/>
          <w:lang w:eastAsia="en-GB"/>
        </w:rPr>
        <w:t xml:space="preserve"> ethanol extract may attenuate biochemical alterations associated with potassium bromate-induced oxidative stress under the experimental conditions used. Further studies are required to characterize the active constituents and establish the mechanisms and wider relevance of these observations.</w:t>
      </w:r>
    </w:p>
    <w:p w14:paraId="4EE8484D" w14:textId="67284CE8" w:rsidR="002A5007" w:rsidRDefault="002A5007" w:rsidP="002A5007">
      <w:pPr>
        <w:rPr>
          <w:rFonts w:ascii="Arial" w:hAnsi="Arial" w:cs="Arial"/>
          <w:sz w:val="24"/>
          <w:szCs w:val="24"/>
        </w:rPr>
      </w:pPr>
      <w:r w:rsidRPr="002A5007">
        <w:rPr>
          <w:rFonts w:ascii="Arial" w:hAnsi="Arial" w:cs="Arial"/>
          <w:b/>
          <w:sz w:val="20"/>
          <w:szCs w:val="24"/>
        </w:rPr>
        <w:t>Keywords</w:t>
      </w:r>
      <w:r w:rsidRPr="002A5007">
        <w:rPr>
          <w:rFonts w:ascii="Arial" w:hAnsi="Arial" w:cs="Arial"/>
          <w:sz w:val="20"/>
          <w:szCs w:val="24"/>
        </w:rPr>
        <w:t xml:space="preserve">: </w:t>
      </w:r>
      <w:r w:rsidR="001A3DFA" w:rsidRPr="001A3DFA">
        <w:rPr>
          <w:rFonts w:ascii="Arial" w:hAnsi="Arial" w:cs="Arial"/>
          <w:i/>
          <w:sz w:val="20"/>
          <w:szCs w:val="24"/>
        </w:rPr>
        <w:t xml:space="preserve">Amaranthus </w:t>
      </w:r>
      <w:proofErr w:type="spellStart"/>
      <w:r w:rsidR="001A3DFA" w:rsidRPr="001A3DFA">
        <w:rPr>
          <w:rFonts w:ascii="Arial" w:hAnsi="Arial" w:cs="Arial"/>
          <w:i/>
          <w:sz w:val="20"/>
          <w:szCs w:val="24"/>
        </w:rPr>
        <w:t>viridis</w:t>
      </w:r>
      <w:proofErr w:type="spellEnd"/>
      <w:r w:rsidR="001A3DFA" w:rsidRPr="001A3DFA">
        <w:rPr>
          <w:rFonts w:ascii="Arial" w:hAnsi="Arial" w:cs="Arial"/>
          <w:i/>
          <w:sz w:val="20"/>
          <w:szCs w:val="24"/>
        </w:rPr>
        <w:t>; potassium bromate; Wistar rats; renal function; urea; creatinine; electrolyte balance; oxidative stress; liver tissue homogenate; malondialdehyde; antioxidant enzymes.</w:t>
      </w:r>
    </w:p>
    <w:p w14:paraId="30E5E4E0" w14:textId="77777777" w:rsidR="002A5007" w:rsidRPr="002A5007" w:rsidRDefault="00B706E4" w:rsidP="002A5007">
      <w:pPr>
        <w:rPr>
          <w:rFonts w:ascii="Arial" w:hAnsi="Arial" w:cs="Arial"/>
          <w:b/>
          <w:szCs w:val="24"/>
        </w:rPr>
      </w:pPr>
      <w:r>
        <w:rPr>
          <w:rFonts w:ascii="Arial" w:hAnsi="Arial" w:cs="Arial"/>
          <w:b/>
          <w:szCs w:val="24"/>
        </w:rPr>
        <w:t xml:space="preserve">1. </w:t>
      </w:r>
      <w:r w:rsidR="002A5007" w:rsidRPr="002A5007">
        <w:rPr>
          <w:rFonts w:ascii="Arial" w:hAnsi="Arial" w:cs="Arial"/>
          <w:b/>
          <w:szCs w:val="24"/>
        </w:rPr>
        <w:t>INTRODUCTION</w:t>
      </w:r>
    </w:p>
    <w:p w14:paraId="7E8A3FF6" w14:textId="6C424E4C" w:rsidR="00742440" w:rsidRDefault="00000000">
      <w:pPr>
        <w:jc w:val="both"/>
        <w:rPr>
          <w:rFonts w:ascii="Arial" w:hAnsi="Arial" w:cs="Arial"/>
          <w:sz w:val="20"/>
          <w:szCs w:val="24"/>
        </w:rPr>
      </w:pPr>
      <w:r>
        <w:rPr>
          <w:rFonts w:ascii="Arial" w:hAnsi="Arial" w:cs="Arial"/>
          <w:sz w:val="20"/>
          <w:szCs w:val="24"/>
        </w:rPr>
        <w:t>Potassium bromate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is a potent oxidizing agent commonly used as a flour improver in the baking industry, but it has been associated with significant health risks due to its nephrotoxic and carcinogenic effects (Abali et al., 2023). Exposure to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has been shown to induce </w:t>
      </w:r>
      <w:proofErr w:type="spellStart"/>
      <w:r>
        <w:rPr>
          <w:rFonts w:ascii="Arial" w:hAnsi="Arial" w:cs="Arial"/>
          <w:sz w:val="20"/>
          <w:szCs w:val="24"/>
        </w:rPr>
        <w:t>haematoxicity</w:t>
      </w:r>
      <w:proofErr w:type="spellEnd"/>
      <w:r>
        <w:rPr>
          <w:rFonts w:ascii="Arial" w:hAnsi="Arial" w:cs="Arial"/>
          <w:sz w:val="20"/>
          <w:szCs w:val="24"/>
        </w:rPr>
        <w:t xml:space="preserve"> and oxidative stress, primarily targeting the kidneys and liver, where it causes cellular damage through the generation of reactive oxygen species (ROS) (Ujah et al., 2025).</w:t>
      </w:r>
      <w:r>
        <w:rPr>
          <w:rFonts w:ascii="Arial" w:hAnsi="Arial"/>
          <w:b/>
          <w:sz w:val="20"/>
          <w:highlight w:val="yellow"/>
        </w:rPr>
        <w:t xml:space="preserve"> </w:t>
      </w:r>
      <w:r w:rsidRPr="00B81744">
        <w:rPr>
          <w:rFonts w:ascii="Arial" w:hAnsi="Arial"/>
          <w:bCs/>
          <w:sz w:val="20"/>
          <w:highlight w:val="yellow"/>
        </w:rPr>
        <w:t>In a recent rat study, potassium bromate exposure was accompanied by changes in renal injury markers and oxidative-stress indices (Hassan et al., 2026).</w:t>
      </w:r>
      <w:r>
        <w:rPr>
          <w:rFonts w:ascii="Arial" w:hAnsi="Arial"/>
          <w:b/>
          <w:sz w:val="20"/>
          <w:highlight w:val="yellow"/>
        </w:rPr>
        <w:t xml:space="preserve"> </w:t>
      </w:r>
      <w:r>
        <w:rPr>
          <w:rFonts w:ascii="Arial" w:hAnsi="Arial" w:cs="Arial"/>
          <w:sz w:val="20"/>
          <w:szCs w:val="24"/>
        </w:rPr>
        <w:t>This oxidative imbalance impairs normal physiological function, leading to altered renal parameters and potential hepatic toxicity (Al-</w:t>
      </w:r>
      <w:proofErr w:type="spellStart"/>
      <w:r>
        <w:rPr>
          <w:rFonts w:ascii="Arial" w:hAnsi="Arial" w:cs="Arial"/>
          <w:sz w:val="20"/>
          <w:szCs w:val="24"/>
        </w:rPr>
        <w:t>Mareed</w:t>
      </w:r>
      <w:proofErr w:type="spellEnd"/>
      <w:r>
        <w:rPr>
          <w:rFonts w:ascii="Arial" w:hAnsi="Arial" w:cs="Arial"/>
          <w:sz w:val="20"/>
          <w:szCs w:val="24"/>
        </w:rPr>
        <w:t xml:space="preserve"> et al., 2022). Given </w:t>
      </w:r>
      <w:r>
        <w:rPr>
          <w:rFonts w:ascii="Arial" w:hAnsi="Arial" w:cs="Arial"/>
          <w:sz w:val="20"/>
          <w:szCs w:val="24"/>
          <w:highlight w:val="yellow"/>
        </w:rPr>
        <w:t>g</w:t>
      </w:r>
      <w:r>
        <w:rPr>
          <w:rFonts w:ascii="Arial" w:hAnsi="Arial" w:cs="Arial"/>
          <w:sz w:val="20"/>
          <w:szCs w:val="24"/>
        </w:rPr>
        <w:t>r</w:t>
      </w:r>
      <w:r>
        <w:rPr>
          <w:rFonts w:ascii="Arial" w:hAnsi="Arial" w:cs="Arial"/>
          <w:sz w:val="20"/>
          <w:szCs w:val="24"/>
          <w:highlight w:val="yellow"/>
        </w:rPr>
        <w:t>ow</w:t>
      </w:r>
      <w:r>
        <w:rPr>
          <w:rFonts w:ascii="Arial" w:hAnsi="Arial" w:cs="Arial"/>
          <w:sz w:val="20"/>
          <w:szCs w:val="24"/>
        </w:rPr>
        <w:t xml:space="preserve">ing concerns </w:t>
      </w:r>
      <w:r>
        <w:rPr>
          <w:rFonts w:ascii="Arial" w:hAnsi="Arial" w:cs="Arial"/>
          <w:sz w:val="20"/>
          <w:szCs w:val="24"/>
          <w:highlight w:val="yellow"/>
        </w:rPr>
        <w:t>ab</w:t>
      </w:r>
      <w:r>
        <w:rPr>
          <w:rFonts w:ascii="Arial" w:hAnsi="Arial" w:cs="Arial"/>
          <w:sz w:val="20"/>
          <w:szCs w:val="24"/>
        </w:rPr>
        <w:t>o</w:t>
      </w:r>
      <w:r>
        <w:rPr>
          <w:rFonts w:ascii="Arial" w:hAnsi="Arial" w:cs="Arial"/>
          <w:sz w:val="20"/>
          <w:szCs w:val="24"/>
          <w:highlight w:val="yellow"/>
        </w:rPr>
        <w:t>ut</w:t>
      </w:r>
      <w:r>
        <w:rPr>
          <w:rFonts w:ascii="Arial" w:hAnsi="Arial" w:cs="Arial"/>
          <w:sz w:val="20"/>
          <w:szCs w:val="24"/>
        </w:rPr>
        <w:t xml:space="preserv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's health implications, there is a growing interest in exploring natural substances with antioxidant properties to counteract its adverse </w:t>
      </w:r>
      <w:r>
        <w:rPr>
          <w:rFonts w:ascii="Arial" w:hAnsi="Arial" w:cs="Arial"/>
          <w:sz w:val="20"/>
          <w:szCs w:val="24"/>
        </w:rPr>
        <w:lastRenderedPageBreak/>
        <w:t xml:space="preserve">effects. Medicinal plants with strong antioxidant profiles are increasingly </w:t>
      </w:r>
      <w:proofErr w:type="spellStart"/>
      <w:r>
        <w:rPr>
          <w:rFonts w:ascii="Arial" w:hAnsi="Arial" w:cs="Arial"/>
          <w:sz w:val="20"/>
          <w:szCs w:val="24"/>
        </w:rPr>
        <w:t>recogni</w:t>
      </w:r>
      <w:r>
        <w:rPr>
          <w:rFonts w:ascii="Arial" w:hAnsi="Arial" w:cs="Arial"/>
          <w:sz w:val="20"/>
          <w:szCs w:val="24"/>
          <w:highlight w:val="yellow"/>
        </w:rPr>
        <w:t>s</w:t>
      </w:r>
      <w:r>
        <w:rPr>
          <w:rFonts w:ascii="Arial" w:hAnsi="Arial" w:cs="Arial"/>
          <w:sz w:val="20"/>
          <w:szCs w:val="24"/>
        </w:rPr>
        <w:t>ed</w:t>
      </w:r>
      <w:proofErr w:type="spellEnd"/>
      <w:r>
        <w:rPr>
          <w:rFonts w:ascii="Arial" w:hAnsi="Arial" w:cs="Arial"/>
          <w:sz w:val="20"/>
          <w:szCs w:val="24"/>
        </w:rPr>
        <w:t xml:space="preserve"> as potential therapeutic agents against chemically induced organ damage (Attah et al., 2021).</w:t>
      </w:r>
      <w:r>
        <w:rPr>
          <w:rFonts w:ascii="Arial" w:hAnsi="Arial"/>
          <w:b/>
          <w:sz w:val="20"/>
          <w:highlight w:val="yellow"/>
        </w:rPr>
        <w:t xml:space="preserve"> </w:t>
      </w:r>
      <w:r w:rsidRPr="00B81744">
        <w:rPr>
          <w:rFonts w:ascii="Arial" w:hAnsi="Arial"/>
          <w:bCs/>
          <w:sz w:val="20"/>
          <w:highlight w:val="yellow"/>
        </w:rPr>
        <w:t>A separate experimental study involving carbon tetrachloride-exposed Wistar rats assessed urea and creatinine alongside oxidative-stress markers when evaluating a plant extract (</w:t>
      </w:r>
      <w:proofErr w:type="spellStart"/>
      <w:r w:rsidRPr="00B81744">
        <w:rPr>
          <w:rFonts w:ascii="Arial" w:hAnsi="Arial"/>
          <w:bCs/>
          <w:sz w:val="20"/>
          <w:highlight w:val="yellow"/>
        </w:rPr>
        <w:t>Amakiri</w:t>
      </w:r>
      <w:proofErr w:type="spellEnd"/>
      <w:r w:rsidRPr="00B81744">
        <w:rPr>
          <w:rFonts w:ascii="Arial" w:hAnsi="Arial"/>
          <w:bCs/>
          <w:sz w:val="20"/>
          <w:highlight w:val="yellow"/>
        </w:rPr>
        <w:t xml:space="preserve"> et al., 2026)</w:t>
      </w:r>
      <w:r>
        <w:rPr>
          <w:rFonts w:ascii="Arial" w:hAnsi="Arial"/>
          <w:b/>
          <w:sz w:val="20"/>
          <w:highlight w:val="yellow"/>
        </w:rPr>
        <w:t>.</w:t>
      </w:r>
      <w:r>
        <w:rPr>
          <w:rFonts w:ascii="Arial" w:hAnsi="Arial" w:cs="Arial"/>
          <w:sz w:val="20"/>
          <w:szCs w:val="24"/>
        </w:rPr>
        <w:t xml:space="preserve"> Among these,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highlight w:val="yellow"/>
        </w:rPr>
        <w:t>,</w:t>
      </w:r>
      <w:r>
        <w:rPr>
          <w:rFonts w:ascii="Arial" w:hAnsi="Arial" w:cs="Arial"/>
          <w:sz w:val="20"/>
          <w:szCs w:val="24"/>
        </w:rPr>
        <w:t xml:space="preserve"> locally known as "Inine"</w:t>
      </w:r>
      <w:r>
        <w:rPr>
          <w:rFonts w:ascii="Arial" w:hAnsi="Arial" w:cs="Arial"/>
          <w:sz w:val="20"/>
          <w:szCs w:val="24"/>
          <w:highlight w:val="yellow"/>
        </w:rPr>
        <w:t>,</w:t>
      </w:r>
      <w:r>
        <w:rPr>
          <w:rFonts w:ascii="Arial" w:hAnsi="Arial" w:cs="Arial"/>
          <w:sz w:val="20"/>
          <w:szCs w:val="24"/>
        </w:rPr>
        <w:t xml:space="preserve"> is a leafy green vegetable rich in phytochemicals, including flavonoids, phenolic acids, and vitamins, which contribute to its antioxidant and anti-inflammatory activities (Sahoo et al., 2015).</w:t>
      </w:r>
      <w:r>
        <w:rPr>
          <w:rFonts w:ascii="Arial" w:hAnsi="Arial"/>
          <w:b/>
          <w:sz w:val="20"/>
          <w:highlight w:val="yellow"/>
        </w:rPr>
        <w:t xml:space="preserve"> </w:t>
      </w:r>
      <w:r w:rsidRPr="00B81744">
        <w:rPr>
          <w:rFonts w:ascii="Arial" w:hAnsi="Arial"/>
          <w:bCs/>
          <w:sz w:val="20"/>
          <w:highlight w:val="yellow"/>
        </w:rPr>
        <w:t xml:space="preserve">A comparative phytochemical investigation reported phenolic constituents and antioxidant activity in </w:t>
      </w:r>
      <w:r w:rsidRPr="00B81744">
        <w:rPr>
          <w:rFonts w:ascii="Arial" w:hAnsi="Arial"/>
          <w:bCs/>
          <w:i/>
          <w:sz w:val="20"/>
          <w:highlight w:val="yellow"/>
        </w:rPr>
        <w:t xml:space="preserve">Amaranthus </w:t>
      </w:r>
      <w:proofErr w:type="spellStart"/>
      <w:r w:rsidRPr="00B81744">
        <w:rPr>
          <w:rFonts w:ascii="Arial" w:hAnsi="Arial"/>
          <w:bCs/>
          <w:i/>
          <w:sz w:val="20"/>
          <w:highlight w:val="yellow"/>
        </w:rPr>
        <w:t>viridis</w:t>
      </w:r>
      <w:proofErr w:type="spellEnd"/>
      <w:r w:rsidRPr="00B81744">
        <w:rPr>
          <w:rFonts w:ascii="Arial" w:hAnsi="Arial"/>
          <w:bCs/>
          <w:sz w:val="20"/>
          <w:highlight w:val="yellow"/>
        </w:rPr>
        <w:t xml:space="preserve"> leaves (Faruq et al., 2024). A recent review also examined the phytochemical composition of </w:t>
      </w:r>
      <w:r w:rsidRPr="00B81744">
        <w:rPr>
          <w:rFonts w:ascii="Arial" w:hAnsi="Arial"/>
          <w:bCs/>
          <w:i/>
          <w:sz w:val="20"/>
          <w:highlight w:val="yellow"/>
        </w:rPr>
        <w:t xml:space="preserve">Amaranthus </w:t>
      </w:r>
      <w:proofErr w:type="spellStart"/>
      <w:r w:rsidRPr="00B81744">
        <w:rPr>
          <w:rFonts w:ascii="Arial" w:hAnsi="Arial"/>
          <w:bCs/>
          <w:i/>
          <w:sz w:val="20"/>
          <w:highlight w:val="yellow"/>
        </w:rPr>
        <w:t>viridis</w:t>
      </w:r>
      <w:proofErr w:type="spellEnd"/>
      <w:r w:rsidRPr="00B81744">
        <w:rPr>
          <w:rFonts w:ascii="Arial" w:hAnsi="Arial"/>
          <w:bCs/>
          <w:sz w:val="20"/>
          <w:highlight w:val="yellow"/>
        </w:rPr>
        <w:t xml:space="preserve"> and discussed limitations in interpreting and applying the available evidence (Jin et al., 2025).</w:t>
      </w:r>
      <w:r>
        <w:rPr>
          <w:rFonts w:ascii="Arial" w:hAnsi="Arial" w:cs="Arial"/>
          <w:sz w:val="20"/>
          <w:szCs w:val="24"/>
        </w:rPr>
        <w:t xml:space="preserve"> The plant has been traditionally used for a variety of medicinal purposes, </w:t>
      </w:r>
      <w:r>
        <w:rPr>
          <w:rFonts w:ascii="Arial" w:hAnsi="Arial" w:cs="Arial"/>
          <w:sz w:val="20"/>
          <w:szCs w:val="24"/>
          <w:highlight w:val="yellow"/>
        </w:rPr>
        <w:t>incl</w:t>
      </w:r>
      <w:r>
        <w:rPr>
          <w:rFonts w:ascii="Arial" w:hAnsi="Arial" w:cs="Arial"/>
          <w:sz w:val="20"/>
          <w:szCs w:val="24"/>
        </w:rPr>
        <w:t>u</w:t>
      </w:r>
      <w:r>
        <w:rPr>
          <w:rFonts w:ascii="Arial" w:hAnsi="Arial" w:cs="Arial"/>
          <w:sz w:val="20"/>
          <w:szCs w:val="24"/>
          <w:highlight w:val="yellow"/>
        </w:rPr>
        <w:t>ding</w:t>
      </w:r>
      <w:r>
        <w:rPr>
          <w:rFonts w:ascii="Arial" w:hAnsi="Arial" w:cs="Arial"/>
          <w:sz w:val="20"/>
          <w:szCs w:val="24"/>
        </w:rPr>
        <w:t xml:space="preserve"> wound healing, antidiabetic treatment, and immune support, and recent studies suggest that its bioactive compounds may confer protection against oxidative stress-related tissue damage (</w:t>
      </w:r>
      <w:proofErr w:type="spellStart"/>
      <w:r>
        <w:rPr>
          <w:rFonts w:ascii="Arial" w:hAnsi="Arial" w:cs="Arial"/>
          <w:sz w:val="20"/>
          <w:szCs w:val="24"/>
        </w:rPr>
        <w:t>Ogwu</w:t>
      </w:r>
      <w:proofErr w:type="spellEnd"/>
      <w:r>
        <w:rPr>
          <w:rFonts w:ascii="Arial" w:hAnsi="Arial" w:cs="Arial"/>
          <w:sz w:val="20"/>
          <w:szCs w:val="24"/>
        </w:rPr>
        <w:t xml:space="preserve"> et al., 2024; Ratliff et al., 2016). These properties make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a promising candidate for mitigating the harmful effects of environmental and chemical toxins like potassium bromate (Bello et al., 2018).</w:t>
      </w:r>
      <w:r>
        <w:rPr>
          <w:rFonts w:ascii="Arial" w:hAnsi="Arial"/>
          <w:b/>
          <w:sz w:val="20"/>
          <w:highlight w:val="yellow"/>
        </w:rPr>
        <w:t xml:space="preserve"> </w:t>
      </w:r>
      <w:r w:rsidRPr="00B81744">
        <w:rPr>
          <w:rFonts w:ascii="Arial" w:hAnsi="Arial"/>
          <w:bCs/>
          <w:sz w:val="20"/>
          <w:highlight w:val="yellow"/>
        </w:rPr>
        <w:t xml:space="preserve">An earlier investigation of ethanol leaf extract of </w:t>
      </w:r>
      <w:r w:rsidRPr="00B81744">
        <w:rPr>
          <w:rFonts w:ascii="Arial" w:hAnsi="Arial"/>
          <w:bCs/>
          <w:i/>
          <w:sz w:val="20"/>
          <w:highlight w:val="yellow"/>
        </w:rPr>
        <w:t xml:space="preserve">Amaranthus </w:t>
      </w:r>
      <w:proofErr w:type="spellStart"/>
      <w:r w:rsidRPr="00B81744">
        <w:rPr>
          <w:rFonts w:ascii="Arial" w:hAnsi="Arial"/>
          <w:bCs/>
          <w:i/>
          <w:sz w:val="20"/>
          <w:highlight w:val="yellow"/>
        </w:rPr>
        <w:t>viridis</w:t>
      </w:r>
      <w:proofErr w:type="spellEnd"/>
      <w:r w:rsidRPr="00B81744">
        <w:rPr>
          <w:rFonts w:ascii="Arial" w:hAnsi="Arial"/>
          <w:bCs/>
          <w:sz w:val="20"/>
          <w:highlight w:val="yellow"/>
        </w:rPr>
        <w:t xml:space="preserve"> documented in vitro radical-scavenging activity, but did not evaluate renal responses to potassium bromate exposure (</w:t>
      </w:r>
      <w:proofErr w:type="spellStart"/>
      <w:r w:rsidRPr="00B81744">
        <w:rPr>
          <w:rFonts w:ascii="Arial" w:hAnsi="Arial"/>
          <w:bCs/>
          <w:sz w:val="20"/>
          <w:highlight w:val="yellow"/>
        </w:rPr>
        <w:t>Omodamiro</w:t>
      </w:r>
      <w:proofErr w:type="spellEnd"/>
      <w:r w:rsidRPr="00B81744">
        <w:rPr>
          <w:rFonts w:ascii="Arial" w:hAnsi="Arial"/>
          <w:bCs/>
          <w:sz w:val="20"/>
          <w:highlight w:val="yellow"/>
        </w:rPr>
        <w:t xml:space="preserve"> et al., 201</w:t>
      </w:r>
      <w:r w:rsidR="002A57F5">
        <w:rPr>
          <w:rFonts w:ascii="Arial" w:hAnsi="Arial"/>
          <w:bCs/>
          <w:sz w:val="20"/>
          <w:highlight w:val="yellow"/>
        </w:rPr>
        <w:t>6</w:t>
      </w:r>
      <w:r w:rsidRPr="00B81744">
        <w:rPr>
          <w:rFonts w:ascii="Arial" w:hAnsi="Arial"/>
          <w:bCs/>
          <w:sz w:val="20"/>
          <w:highlight w:val="yellow"/>
        </w:rPr>
        <w:t>).</w:t>
      </w:r>
      <w:r>
        <w:rPr>
          <w:rFonts w:ascii="Arial" w:hAnsi="Arial" w:cs="Arial"/>
          <w:sz w:val="20"/>
          <w:szCs w:val="24"/>
        </w:rPr>
        <w:t xml:space="preserve"> The renal system, being highly susceptible to oxidative damage due to its extensive blood supply and role in filtering toxins, is often impaired by toxic agents such as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(Fouad et al., 2024; Das &amp; Das, 2016). This can lead to altered renal biomarkers, including elevated levels of urea and creatinine, as well as disturbances in electrolyte balance (</w:t>
      </w:r>
      <w:proofErr w:type="spellStart"/>
      <w:r>
        <w:rPr>
          <w:rFonts w:ascii="Arial" w:hAnsi="Arial" w:cs="Arial"/>
          <w:sz w:val="20"/>
          <w:szCs w:val="24"/>
        </w:rPr>
        <w:t>Vairetti</w:t>
      </w:r>
      <w:proofErr w:type="spellEnd"/>
      <w:r>
        <w:rPr>
          <w:rFonts w:ascii="Arial" w:hAnsi="Arial" w:cs="Arial"/>
          <w:sz w:val="20"/>
          <w:szCs w:val="24"/>
        </w:rPr>
        <w:t xml:space="preserve"> et al., 2021). Similarly, oxidative damage in the liver disrupts cellular functions and compromises key antioxidant </w:t>
      </w:r>
      <w:proofErr w:type="spellStart"/>
      <w:r>
        <w:rPr>
          <w:rFonts w:ascii="Arial" w:hAnsi="Arial" w:cs="Arial"/>
          <w:sz w:val="20"/>
          <w:szCs w:val="24"/>
        </w:rPr>
        <w:t>defen</w:t>
      </w:r>
      <w:r>
        <w:rPr>
          <w:rFonts w:ascii="Arial" w:hAnsi="Arial" w:cs="Arial"/>
          <w:sz w:val="20"/>
          <w:szCs w:val="24"/>
          <w:highlight w:val="yellow"/>
        </w:rPr>
        <w:t>c</w:t>
      </w:r>
      <w:r>
        <w:rPr>
          <w:rFonts w:ascii="Arial" w:hAnsi="Arial" w:cs="Arial"/>
          <w:sz w:val="20"/>
          <w:szCs w:val="24"/>
        </w:rPr>
        <w:t>es</w:t>
      </w:r>
      <w:proofErr w:type="spellEnd"/>
      <w:r>
        <w:rPr>
          <w:rFonts w:ascii="Arial" w:hAnsi="Arial" w:cs="Arial"/>
          <w:sz w:val="20"/>
          <w:szCs w:val="24"/>
        </w:rPr>
        <w:t>, notably glutathione (GSH), catalase (CAT), superoxide dismutase (SOD), and glutathione peroxidase (</w:t>
      </w:r>
      <w:proofErr w:type="spellStart"/>
      <w:r>
        <w:rPr>
          <w:rFonts w:ascii="Arial" w:hAnsi="Arial" w:cs="Arial"/>
          <w:sz w:val="20"/>
          <w:szCs w:val="24"/>
        </w:rPr>
        <w:t>GPx</w:t>
      </w:r>
      <w:proofErr w:type="spellEnd"/>
      <w:r>
        <w:rPr>
          <w:rFonts w:ascii="Arial" w:hAnsi="Arial" w:cs="Arial"/>
          <w:sz w:val="20"/>
          <w:szCs w:val="24"/>
        </w:rPr>
        <w:t>) (</w:t>
      </w:r>
      <w:proofErr w:type="spellStart"/>
      <w:r>
        <w:rPr>
          <w:rFonts w:ascii="Arial" w:hAnsi="Arial" w:cs="Arial"/>
          <w:sz w:val="20"/>
          <w:szCs w:val="24"/>
        </w:rPr>
        <w:t>Famurewa</w:t>
      </w:r>
      <w:proofErr w:type="spellEnd"/>
      <w:r>
        <w:rPr>
          <w:rFonts w:ascii="Arial" w:hAnsi="Arial" w:cs="Arial"/>
          <w:sz w:val="20"/>
          <w:szCs w:val="24"/>
        </w:rPr>
        <w:t xml:space="preserve"> et al., 2021). Liver lipid peroxidation, as indicated by increased malondialdehyde (MDA) levels, is a key marker of oxidative injury and can reflect the extent of cellular membrane damage (Dey &amp; Lakshmanan, 2013). </w:t>
      </w:r>
    </w:p>
    <w:p w14:paraId="18C4B15D" w14:textId="77777777" w:rsidR="00742440" w:rsidRDefault="00000000">
      <w:pPr>
        <w:spacing w:before="60" w:after="40"/>
        <w:jc w:val="both"/>
        <w:rPr>
          <w:rFonts w:ascii="Arial" w:hAnsi="Arial" w:cs="Arial"/>
          <w:sz w:val="20"/>
          <w:szCs w:val="24"/>
        </w:rPr>
      </w:pPr>
      <w:r>
        <w:rPr>
          <w:rFonts w:ascii="Arial" w:hAnsi="Arial" w:cs="Arial"/>
          <w:sz w:val="20"/>
          <w:szCs w:val="24"/>
        </w:rPr>
        <w:t xml:space="preserve">There is </w:t>
      </w:r>
      <w:r>
        <w:rPr>
          <w:rFonts w:ascii="Arial" w:hAnsi="Arial" w:cs="Arial"/>
          <w:sz w:val="20"/>
          <w:szCs w:val="24"/>
          <w:highlight w:val="yellow"/>
        </w:rPr>
        <w:t>a</w:t>
      </w:r>
      <w:r>
        <w:rPr>
          <w:rFonts w:ascii="Arial" w:hAnsi="Arial" w:cs="Arial"/>
          <w:sz w:val="20"/>
          <w:szCs w:val="24"/>
        </w:rPr>
        <w:t xml:space="preserve"> lack of comprehensive understanding of the protective effects of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against potassium bromate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)-induced nephrotoxicity and oxidative stress in the liver. </w:t>
      </w:r>
    </w:p>
    <w:p w14:paraId="4CD4ECF7" w14:textId="77777777" w:rsidR="00742440" w:rsidRDefault="00000000">
      <w:pPr>
        <w:spacing w:before="40" w:after="20"/>
        <w:jc w:val="both"/>
        <w:rPr>
          <w:rFonts w:ascii="Arial" w:hAnsi="Arial" w:cs="Arial"/>
          <w:sz w:val="20"/>
          <w:szCs w:val="24"/>
        </w:rPr>
      </w:pPr>
      <w:r>
        <w:rPr>
          <w:rFonts w:ascii="Arial" w:hAnsi="Arial"/>
          <w:b/>
          <w:sz w:val="20"/>
          <w:highlight w:val="yellow"/>
        </w:rPr>
        <w:t>Study objective</w:t>
      </w:r>
    </w:p>
    <w:p w14:paraId="1F9391B4" w14:textId="77777777" w:rsidR="00742440" w:rsidRDefault="00000000">
      <w:pPr>
        <w:spacing w:after="100"/>
        <w:jc w:val="both"/>
        <w:rPr>
          <w:rFonts w:ascii="Arial" w:hAnsi="Arial" w:cs="Arial"/>
          <w:sz w:val="20"/>
          <w:szCs w:val="24"/>
        </w:rPr>
      </w:pPr>
      <w:r>
        <w:rPr>
          <w:rFonts w:ascii="Arial" w:hAnsi="Arial" w:cs="Arial"/>
          <w:sz w:val="20"/>
          <w:szCs w:val="24"/>
        </w:rPr>
        <w:t xml:space="preserve">Thus, this study aims to evaluate the protective effects of ethanol leaf extract of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on renal function and liver tissue antioxidant status in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-intoxicated albino rats. By investigating renal parameters and liver antioxidant enzyme activities, this research seeks to determine whether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can attenuate the oxidative stress and nephrotoxicity induced by potassium bromate. The findings of this study could provide valuable insights into the therapeutic applications of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in combating oxidative stress and organ damage caused by toxic agents.</w:t>
      </w:r>
    </w:p>
    <w:p w14:paraId="7B497549" w14:textId="77777777" w:rsidR="002A5007" w:rsidRPr="00C949B0" w:rsidRDefault="00B706E4" w:rsidP="002A5007">
      <w:pPr>
        <w:rPr>
          <w:rFonts w:ascii="Arial" w:hAnsi="Arial" w:cs="Arial"/>
          <w:b/>
          <w:szCs w:val="24"/>
        </w:rPr>
      </w:pPr>
      <w:r w:rsidRPr="00C949B0">
        <w:rPr>
          <w:rFonts w:ascii="Arial" w:hAnsi="Arial" w:cs="Arial"/>
          <w:b/>
          <w:szCs w:val="24"/>
        </w:rPr>
        <w:t xml:space="preserve">2. </w:t>
      </w:r>
      <w:r w:rsidR="00C949B0" w:rsidRPr="00C949B0">
        <w:rPr>
          <w:rFonts w:ascii="Arial" w:hAnsi="Arial" w:cs="Arial"/>
          <w:b/>
          <w:szCs w:val="24"/>
        </w:rPr>
        <w:t xml:space="preserve">MATERIALS AND </w:t>
      </w:r>
      <w:r w:rsidRPr="00C949B0">
        <w:rPr>
          <w:rFonts w:ascii="Arial" w:hAnsi="Arial" w:cs="Arial"/>
          <w:b/>
          <w:szCs w:val="24"/>
        </w:rPr>
        <w:t>METHODS</w:t>
      </w:r>
    </w:p>
    <w:p w14:paraId="4C257BFD" w14:textId="77777777" w:rsidR="00C949B0" w:rsidRPr="00C949B0" w:rsidRDefault="00C949B0" w:rsidP="00C949B0">
      <w:pPr>
        <w:rPr>
          <w:rFonts w:ascii="Arial" w:hAnsi="Arial" w:cs="Arial"/>
          <w:b/>
          <w:sz w:val="20"/>
          <w:szCs w:val="24"/>
        </w:rPr>
      </w:pPr>
      <w:r>
        <w:rPr>
          <w:rFonts w:ascii="Arial" w:hAnsi="Arial" w:cs="Arial"/>
          <w:b/>
          <w:sz w:val="20"/>
          <w:szCs w:val="24"/>
        </w:rPr>
        <w:t xml:space="preserve">2.1 </w:t>
      </w:r>
      <w:r w:rsidRPr="00C949B0">
        <w:rPr>
          <w:rFonts w:ascii="Arial" w:hAnsi="Arial" w:cs="Arial"/>
          <w:b/>
          <w:sz w:val="20"/>
          <w:szCs w:val="24"/>
        </w:rPr>
        <w:t>Sample collection and preparation of plant material</w:t>
      </w:r>
    </w:p>
    <w:p w14:paraId="55126629" w14:textId="77777777" w:rsidR="00C949B0" w:rsidRPr="00C949B0" w:rsidRDefault="00C949B0" w:rsidP="00C949B0">
      <w:pPr>
        <w:jc w:val="both"/>
        <w:rPr>
          <w:rFonts w:ascii="Arial" w:hAnsi="Arial" w:cs="Arial"/>
          <w:sz w:val="20"/>
          <w:szCs w:val="24"/>
        </w:rPr>
      </w:pPr>
      <w:r>
        <w:rPr>
          <w:rFonts w:ascii="Arial" w:hAnsi="Arial" w:cs="Arial"/>
          <w:sz w:val="20"/>
          <w:szCs w:val="24"/>
        </w:rPr>
        <w:t xml:space="preserve">Fresh stems of </w:t>
      </w:r>
      <w:r>
        <w:rPr>
          <w:rFonts w:ascii="Arial" w:hAnsi="Arial" w:cs="Arial"/>
          <w:i/>
          <w:sz w:val="20"/>
          <w:szCs w:val="24"/>
        </w:rPr>
        <w:t xml:space="preserve">Amaranthus </w:t>
      </w:r>
      <w:proofErr w:type="spellStart"/>
      <w:r>
        <w:rPr>
          <w:rFonts w:ascii="Arial" w:hAnsi="Arial" w:cs="Arial"/>
          <w:i/>
          <w:sz w:val="20"/>
          <w:szCs w:val="24"/>
        </w:rPr>
        <w:t>viridis</w:t>
      </w:r>
      <w:proofErr w:type="spellEnd"/>
      <w:r>
        <w:rPr>
          <w:rFonts w:ascii="Arial" w:hAnsi="Arial" w:cs="Arial"/>
          <w:sz w:val="20"/>
          <w:szCs w:val="24"/>
        </w:rPr>
        <w:t xml:space="preserve"> (green leaf) were collected from</w:t>
      </w:r>
      <w:r>
        <w:rPr>
          <w:rFonts w:ascii="Arial" w:hAnsi="Arial" w:cs="Arial"/>
          <w:sz w:val="20"/>
          <w:szCs w:val="24"/>
          <w:highlight w:val="yellow"/>
        </w:rPr>
        <w:t xml:space="preserve"> the</w:t>
      </w:r>
      <w:r>
        <w:rPr>
          <w:rFonts w:ascii="Arial" w:hAnsi="Arial" w:cs="Arial"/>
          <w:sz w:val="20"/>
          <w:szCs w:val="24"/>
        </w:rPr>
        <w:t xml:space="preserve"> </w:t>
      </w:r>
      <w:proofErr w:type="spellStart"/>
      <w:r>
        <w:rPr>
          <w:rFonts w:ascii="Arial" w:hAnsi="Arial" w:cs="Arial"/>
          <w:sz w:val="20"/>
          <w:szCs w:val="24"/>
        </w:rPr>
        <w:t>Umudike</w:t>
      </w:r>
      <w:proofErr w:type="spellEnd"/>
      <w:r>
        <w:rPr>
          <w:rFonts w:ascii="Arial" w:hAnsi="Arial" w:cs="Arial"/>
          <w:sz w:val="20"/>
          <w:szCs w:val="24"/>
        </w:rPr>
        <w:t xml:space="preserve"> environment in </w:t>
      </w:r>
      <w:proofErr w:type="spellStart"/>
      <w:r>
        <w:rPr>
          <w:rFonts w:ascii="Arial" w:hAnsi="Arial" w:cs="Arial"/>
          <w:sz w:val="20"/>
          <w:szCs w:val="24"/>
        </w:rPr>
        <w:t>Ikwuano</w:t>
      </w:r>
      <w:proofErr w:type="spellEnd"/>
      <w:r>
        <w:rPr>
          <w:rFonts w:ascii="Arial" w:hAnsi="Arial" w:cs="Arial"/>
          <w:sz w:val="20"/>
          <w:szCs w:val="24"/>
        </w:rPr>
        <w:t xml:space="preserve"> Local Government Area of Abia State and were authenticated at the Department of Forestry, College of Natural Resources and Environmental Management, Michael Okpara University of Agriculture, </w:t>
      </w:r>
      <w:proofErr w:type="spellStart"/>
      <w:r>
        <w:rPr>
          <w:rFonts w:ascii="Arial" w:hAnsi="Arial" w:cs="Arial"/>
          <w:sz w:val="20"/>
          <w:szCs w:val="24"/>
        </w:rPr>
        <w:t>Umudike</w:t>
      </w:r>
      <w:proofErr w:type="spellEnd"/>
      <w:r>
        <w:rPr>
          <w:rFonts w:ascii="Arial" w:hAnsi="Arial" w:cs="Arial"/>
          <w:sz w:val="20"/>
          <w:szCs w:val="24"/>
        </w:rPr>
        <w:t>. The collected stems were chopped into smaller pi</w:t>
      </w:r>
      <w:r>
        <w:rPr>
          <w:rFonts w:ascii="Arial" w:hAnsi="Arial" w:cs="Arial"/>
          <w:sz w:val="20"/>
          <w:szCs w:val="24"/>
          <w:highlight w:val="yellow"/>
        </w:rPr>
        <w:t>e</w:t>
      </w:r>
      <w:r>
        <w:rPr>
          <w:rFonts w:ascii="Arial" w:hAnsi="Arial" w:cs="Arial"/>
          <w:sz w:val="20"/>
          <w:szCs w:val="24"/>
        </w:rPr>
        <w:t>ces and air</w:t>
      </w:r>
      <w:r>
        <w:rPr>
          <w:rFonts w:ascii="Arial" w:hAnsi="Arial" w:cs="Arial"/>
          <w:sz w:val="20"/>
          <w:szCs w:val="24"/>
          <w:highlight w:val="yellow"/>
        </w:rPr>
        <w:t>-</w:t>
      </w:r>
      <w:r>
        <w:rPr>
          <w:rFonts w:ascii="Arial" w:hAnsi="Arial" w:cs="Arial"/>
          <w:sz w:val="20"/>
          <w:szCs w:val="24"/>
        </w:rPr>
        <w:t xml:space="preserve">dried under shade on a laboratory bench over 48 days before being pulverized into powder using a locally made motor blender. The crude extract was prepared from the powdered material. The cold maceration technique was </w:t>
      </w:r>
      <w:r>
        <w:rPr>
          <w:rFonts w:ascii="Arial" w:hAnsi="Arial" w:cs="Arial"/>
          <w:sz w:val="20"/>
          <w:szCs w:val="24"/>
          <w:highlight w:val="yellow"/>
        </w:rPr>
        <w:t>us</w:t>
      </w:r>
      <w:r>
        <w:rPr>
          <w:rFonts w:ascii="Arial" w:hAnsi="Arial" w:cs="Arial"/>
          <w:sz w:val="20"/>
          <w:szCs w:val="24"/>
        </w:rPr>
        <w:t>ed t</w:t>
      </w:r>
      <w:r>
        <w:rPr>
          <w:rFonts w:ascii="Arial" w:hAnsi="Arial" w:cs="Arial"/>
          <w:sz w:val="20"/>
          <w:szCs w:val="24"/>
          <w:highlight w:val="yellow"/>
        </w:rPr>
        <w:t>o</w:t>
      </w:r>
      <w:r>
        <w:rPr>
          <w:rFonts w:ascii="Arial" w:hAnsi="Arial" w:cs="Arial"/>
          <w:sz w:val="20"/>
          <w:szCs w:val="24"/>
        </w:rPr>
        <w:t xml:space="preserve"> prepar</w:t>
      </w:r>
      <w:r>
        <w:rPr>
          <w:rFonts w:ascii="Arial" w:hAnsi="Arial" w:cs="Arial"/>
          <w:sz w:val="20"/>
          <w:szCs w:val="24"/>
          <w:highlight w:val="yellow"/>
        </w:rPr>
        <w:t xml:space="preserve">e </w:t>
      </w:r>
      <w:r>
        <w:rPr>
          <w:rFonts w:ascii="Arial" w:hAnsi="Arial" w:cs="Arial"/>
          <w:sz w:val="20"/>
          <w:szCs w:val="24"/>
        </w:rPr>
        <w:t>t</w:t>
      </w:r>
      <w:r>
        <w:rPr>
          <w:rFonts w:ascii="Arial" w:hAnsi="Arial" w:cs="Arial"/>
          <w:sz w:val="20"/>
          <w:szCs w:val="24"/>
          <w:highlight w:val="yellow"/>
        </w:rPr>
        <w:t>he</w:t>
      </w:r>
      <w:r>
        <w:rPr>
          <w:rFonts w:ascii="Arial" w:hAnsi="Arial" w:cs="Arial"/>
          <w:sz w:val="20"/>
          <w:szCs w:val="24"/>
        </w:rPr>
        <w:t xml:space="preserve"> plant extract. A </w:t>
      </w:r>
      <w:r>
        <w:rPr>
          <w:rFonts w:ascii="Arial" w:hAnsi="Arial" w:cs="Arial"/>
          <w:sz w:val="20"/>
          <w:szCs w:val="24"/>
          <w:highlight w:val="yellow"/>
        </w:rPr>
        <w:t>tot</w:t>
      </w:r>
      <w:r>
        <w:rPr>
          <w:rFonts w:ascii="Arial" w:hAnsi="Arial" w:cs="Arial"/>
          <w:sz w:val="20"/>
          <w:szCs w:val="24"/>
        </w:rPr>
        <w:t>a</w:t>
      </w:r>
      <w:r>
        <w:rPr>
          <w:rFonts w:ascii="Arial" w:hAnsi="Arial" w:cs="Arial"/>
          <w:sz w:val="20"/>
          <w:szCs w:val="24"/>
          <w:highlight w:val="yellow"/>
        </w:rPr>
        <w:t>l of</w:t>
      </w:r>
      <w:r>
        <w:rPr>
          <w:rFonts w:ascii="Arial" w:hAnsi="Arial" w:cs="Arial"/>
          <w:sz w:val="20"/>
          <w:szCs w:val="24"/>
        </w:rPr>
        <w:t xml:space="preserve"> 500 g of the powdered material was macerated in 2 </w:t>
      </w:r>
      <w:proofErr w:type="spellStart"/>
      <w:r>
        <w:rPr>
          <w:rFonts w:ascii="Arial" w:hAnsi="Arial" w:cs="Arial"/>
          <w:sz w:val="20"/>
          <w:szCs w:val="24"/>
        </w:rPr>
        <w:t>litres</w:t>
      </w:r>
      <w:proofErr w:type="spellEnd"/>
      <w:r>
        <w:rPr>
          <w:rFonts w:ascii="Arial" w:hAnsi="Arial" w:cs="Arial"/>
          <w:sz w:val="20"/>
          <w:szCs w:val="24"/>
        </w:rPr>
        <w:t xml:space="preserve"> of ethanol for 48 hours a</w:t>
      </w:r>
      <w:r>
        <w:rPr>
          <w:rFonts w:ascii="Arial" w:hAnsi="Arial" w:cs="Arial"/>
          <w:sz w:val="20"/>
          <w:szCs w:val="24"/>
          <w:highlight w:val="yellow"/>
        </w:rPr>
        <w:t>nd</w:t>
      </w:r>
      <w:r>
        <w:rPr>
          <w:rFonts w:ascii="Arial" w:hAnsi="Arial" w:cs="Arial"/>
          <w:sz w:val="20"/>
          <w:szCs w:val="24"/>
        </w:rPr>
        <w:t xml:space="preserve"> then filtered </w:t>
      </w:r>
      <w:r>
        <w:rPr>
          <w:rFonts w:ascii="Arial" w:hAnsi="Arial" w:cs="Arial"/>
          <w:sz w:val="20"/>
          <w:szCs w:val="24"/>
          <w:highlight w:val="yellow"/>
        </w:rPr>
        <w:t>t</w:t>
      </w:r>
      <w:r>
        <w:rPr>
          <w:rFonts w:ascii="Arial" w:hAnsi="Arial" w:cs="Arial"/>
          <w:sz w:val="20"/>
          <w:szCs w:val="24"/>
        </w:rPr>
        <w:t>wi</w:t>
      </w:r>
      <w:r>
        <w:rPr>
          <w:rFonts w:ascii="Arial" w:hAnsi="Arial" w:cs="Arial"/>
          <w:sz w:val="20"/>
          <w:szCs w:val="24"/>
          <w:highlight w:val="yellow"/>
        </w:rPr>
        <w:t>ce</w:t>
      </w:r>
      <w:r>
        <w:rPr>
          <w:rFonts w:ascii="Arial" w:hAnsi="Arial" w:cs="Arial"/>
          <w:sz w:val="20"/>
          <w:szCs w:val="24"/>
        </w:rPr>
        <w:t xml:space="preserve"> </w:t>
      </w:r>
      <w:r>
        <w:rPr>
          <w:rFonts w:ascii="Arial" w:hAnsi="Arial" w:cs="Arial"/>
          <w:sz w:val="20"/>
          <w:szCs w:val="24"/>
          <w:highlight w:val="yellow"/>
        </w:rPr>
        <w:t>using</w:t>
      </w:r>
      <w:r>
        <w:rPr>
          <w:rFonts w:ascii="Arial" w:hAnsi="Arial" w:cs="Arial"/>
          <w:sz w:val="20"/>
          <w:szCs w:val="24"/>
        </w:rPr>
        <w:t xml:space="preserve"> Whatman filter paper. The filtrate was concentrated to dryness in the laboratory oven at a low temperature (40</w:t>
      </w:r>
      <w:r>
        <w:rPr>
          <w:rFonts w:ascii="Arial" w:hAnsi="Arial" w:cs="Arial"/>
          <w:sz w:val="20"/>
          <w:szCs w:val="24"/>
          <w:vertAlign w:val="superscript"/>
        </w:rPr>
        <w:t>0</w:t>
      </w:r>
      <w:r>
        <w:rPr>
          <w:rFonts w:ascii="Arial" w:hAnsi="Arial" w:cs="Arial"/>
          <w:sz w:val="20"/>
          <w:szCs w:val="24"/>
        </w:rPr>
        <w:t>C) to obtain a dark green pasty extract which weighed 26.89 g and represented a</w:t>
      </w:r>
      <w:r>
        <w:rPr>
          <w:rFonts w:ascii="Arial" w:hAnsi="Arial" w:cs="Arial"/>
          <w:sz w:val="20"/>
          <w:szCs w:val="24"/>
          <w:highlight w:val="yellow"/>
        </w:rPr>
        <w:t>n</w:t>
      </w:r>
      <w:r>
        <w:rPr>
          <w:rFonts w:ascii="Arial" w:hAnsi="Arial" w:cs="Arial"/>
          <w:sz w:val="20"/>
          <w:szCs w:val="24"/>
        </w:rPr>
        <w:t xml:space="preserve"> extract yield</w:t>
      </w:r>
      <w:r>
        <w:rPr>
          <w:rFonts w:ascii="Arial" w:hAnsi="Arial" w:cs="Arial"/>
          <w:sz w:val="20"/>
          <w:szCs w:val="24"/>
          <w:highlight w:val="yellow"/>
        </w:rPr>
        <w:t xml:space="preserve"> of 5.38 %</w:t>
      </w:r>
      <w:r>
        <w:rPr>
          <w:rFonts w:ascii="Arial" w:hAnsi="Arial" w:cs="Arial"/>
          <w:sz w:val="20"/>
          <w:szCs w:val="24"/>
        </w:rPr>
        <w:t xml:space="preserve">. The process was repeated until a sufficient extract </w:t>
      </w:r>
      <w:r>
        <w:rPr>
          <w:rFonts w:ascii="Arial" w:hAnsi="Arial" w:cs="Arial"/>
          <w:sz w:val="20"/>
          <w:szCs w:val="24"/>
          <w:highlight w:val="yellow"/>
        </w:rPr>
        <w:t xml:space="preserve">was obtained </w:t>
      </w:r>
      <w:r>
        <w:rPr>
          <w:rFonts w:ascii="Arial" w:hAnsi="Arial" w:cs="Arial"/>
          <w:sz w:val="20"/>
          <w:szCs w:val="24"/>
        </w:rPr>
        <w:t xml:space="preserve">for the entire study. </w:t>
      </w:r>
    </w:p>
    <w:p w14:paraId="3DE61726"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 xml:space="preserve">Percentage yields in both cases were calculated using the formula: </w:t>
      </w:r>
    </w:p>
    <w:p w14:paraId="3F12E7FE" w14:textId="77777777" w:rsidR="00C949B0" w:rsidRPr="0018015F" w:rsidRDefault="00C949B0" w:rsidP="00C949B0">
      <w:pPr>
        <w:spacing w:after="0" w:line="360" w:lineRule="auto"/>
        <w:jc w:val="both"/>
        <w:rPr>
          <w:rFonts w:ascii="Times New Roman" w:eastAsia="Calibri" w:hAnsi="Times New Roman" w:cs="Times New Roman"/>
          <w:color w:val="000000"/>
          <w:sz w:val="24"/>
          <w:szCs w:val="24"/>
        </w:rPr>
      </w:pPr>
      <w:r w:rsidRPr="0018015F">
        <w:rPr>
          <w:rFonts w:ascii="Times New Roman" w:eastAsia="Calibri" w:hAnsi="Times New Roman" w:cs="Times New Roman"/>
          <w:color w:val="000000"/>
          <w:sz w:val="24"/>
          <w:szCs w:val="24"/>
        </w:rPr>
        <w:t xml:space="preserve">% yield = </w:t>
      </w:r>
      <w:r w:rsidRPr="0018015F">
        <w:rPr>
          <w:rFonts w:ascii="Times New Roman" w:eastAsia="Calibri" w:hAnsi="Times New Roman" w:cs="Times New Roman"/>
          <w:color w:val="000000"/>
          <w:sz w:val="24"/>
          <w:szCs w:val="24"/>
          <w:u w:val="single"/>
        </w:rPr>
        <w:t>Q</w:t>
      </w:r>
      <w:r w:rsidRPr="0018015F">
        <w:rPr>
          <w:rFonts w:ascii="Times New Roman" w:eastAsia="Calibri" w:hAnsi="Times New Roman" w:cs="Times New Roman"/>
          <w:color w:val="000000"/>
          <w:sz w:val="24"/>
          <w:szCs w:val="24"/>
        </w:rPr>
        <w:t xml:space="preserve">   x </w:t>
      </w:r>
      <w:r w:rsidRPr="0018015F">
        <w:rPr>
          <w:rFonts w:ascii="Times New Roman" w:eastAsia="Calibri" w:hAnsi="Times New Roman" w:cs="Times New Roman"/>
          <w:color w:val="000000"/>
          <w:sz w:val="24"/>
          <w:szCs w:val="24"/>
          <w:u w:val="single"/>
        </w:rPr>
        <w:t>100</w:t>
      </w:r>
    </w:p>
    <w:p w14:paraId="535AD749" w14:textId="77777777" w:rsidR="00C949B0" w:rsidRPr="00C949B0" w:rsidRDefault="00C949B0" w:rsidP="00C949B0">
      <w:pPr>
        <w:spacing w:after="0" w:line="360" w:lineRule="auto"/>
        <w:jc w:val="both"/>
        <w:rPr>
          <w:rFonts w:ascii="Times New Roman" w:eastAsia="Calibri" w:hAnsi="Times New Roman" w:cs="Times New Roman"/>
          <w:color w:val="000000"/>
          <w:sz w:val="24"/>
          <w:szCs w:val="24"/>
        </w:rPr>
      </w:pPr>
      <w:r w:rsidRPr="0018015F">
        <w:rPr>
          <w:rFonts w:ascii="Times New Roman" w:eastAsia="Calibri" w:hAnsi="Times New Roman" w:cs="Times New Roman"/>
          <w:color w:val="000000"/>
          <w:sz w:val="24"/>
          <w:szCs w:val="24"/>
        </w:rPr>
        <w:lastRenderedPageBreak/>
        <w:t xml:space="preserve">                 W       1</w:t>
      </w:r>
    </w:p>
    <w:p w14:paraId="5F01E774" w14:textId="77777777" w:rsidR="00C949B0" w:rsidRPr="00C949B0" w:rsidRDefault="00C949B0" w:rsidP="00C949B0">
      <w:pPr>
        <w:rPr>
          <w:rFonts w:ascii="Arial" w:hAnsi="Arial" w:cs="Arial"/>
          <w:sz w:val="20"/>
          <w:szCs w:val="24"/>
        </w:rPr>
      </w:pPr>
      <w:r w:rsidRPr="00C949B0">
        <w:rPr>
          <w:rFonts w:ascii="Arial" w:hAnsi="Arial" w:cs="Arial"/>
          <w:sz w:val="20"/>
          <w:szCs w:val="24"/>
        </w:rPr>
        <w:t xml:space="preserve">Where Q is weight of extract obtained after extraction and W is weight of pulverized plant material macerated in methanol. The extract was preserved in the refrigerator </w:t>
      </w:r>
      <w:r>
        <w:rPr>
          <w:rFonts w:ascii="Arial" w:hAnsi="Arial" w:cs="Arial"/>
          <w:sz w:val="20"/>
          <w:szCs w:val="24"/>
        </w:rPr>
        <w:t>at a low temperature until use.</w:t>
      </w:r>
    </w:p>
    <w:p w14:paraId="67194878" w14:textId="77777777" w:rsidR="00C949B0" w:rsidRPr="00C949B0" w:rsidRDefault="00C949B0" w:rsidP="00C949B0">
      <w:pPr>
        <w:rPr>
          <w:rFonts w:ascii="Arial" w:hAnsi="Arial" w:cs="Arial"/>
          <w:b/>
          <w:sz w:val="20"/>
          <w:szCs w:val="24"/>
        </w:rPr>
      </w:pPr>
      <w:r>
        <w:rPr>
          <w:rFonts w:ascii="Arial" w:hAnsi="Arial" w:cs="Arial"/>
          <w:b/>
          <w:sz w:val="20"/>
          <w:szCs w:val="24"/>
        </w:rPr>
        <w:t xml:space="preserve">2.2 </w:t>
      </w:r>
      <w:r w:rsidRPr="00C949B0">
        <w:rPr>
          <w:rFonts w:ascii="Arial" w:hAnsi="Arial" w:cs="Arial"/>
          <w:b/>
          <w:sz w:val="20"/>
          <w:szCs w:val="24"/>
        </w:rPr>
        <w:t xml:space="preserve">Experimental Design for </w:t>
      </w:r>
      <w:r>
        <w:rPr>
          <w:rFonts w:ascii="Arial" w:hAnsi="Arial" w:cs="Arial"/>
          <w:b/>
          <w:sz w:val="20"/>
          <w:szCs w:val="24"/>
        </w:rPr>
        <w:t>the Evaluation of the Effect of t</w:t>
      </w:r>
      <w:r w:rsidRPr="00C949B0">
        <w:rPr>
          <w:rFonts w:ascii="Arial" w:hAnsi="Arial" w:cs="Arial"/>
          <w:b/>
          <w:sz w:val="20"/>
          <w:szCs w:val="24"/>
        </w:rPr>
        <w:t>he Crude Extract</w:t>
      </w:r>
      <w:r>
        <w:rPr>
          <w:rFonts w:ascii="Arial" w:hAnsi="Arial" w:cs="Arial"/>
          <w:b/>
          <w:sz w:val="20"/>
          <w:szCs w:val="24"/>
        </w:rPr>
        <w:t xml:space="preserve"> of Green Leaf o</w:t>
      </w:r>
      <w:r w:rsidRPr="00C949B0">
        <w:rPr>
          <w:rFonts w:ascii="Arial" w:hAnsi="Arial" w:cs="Arial"/>
          <w:b/>
          <w:sz w:val="20"/>
          <w:szCs w:val="24"/>
        </w:rPr>
        <w:t>n Pota</w:t>
      </w:r>
      <w:r>
        <w:rPr>
          <w:rFonts w:ascii="Arial" w:hAnsi="Arial" w:cs="Arial"/>
          <w:b/>
          <w:sz w:val="20"/>
          <w:szCs w:val="24"/>
        </w:rPr>
        <w:t>ssium Bromate Induced Toxicity i</w:t>
      </w:r>
      <w:r w:rsidRPr="00C949B0">
        <w:rPr>
          <w:rFonts w:ascii="Arial" w:hAnsi="Arial" w:cs="Arial"/>
          <w:b/>
          <w:sz w:val="20"/>
          <w:szCs w:val="24"/>
        </w:rPr>
        <w:t>n Rats</w:t>
      </w:r>
    </w:p>
    <w:p w14:paraId="4FFE230C" w14:textId="77777777" w:rsidR="00C949B0" w:rsidRPr="00C949B0" w:rsidRDefault="00C949B0" w:rsidP="00C949B0">
      <w:pPr>
        <w:jc w:val="both"/>
        <w:rPr>
          <w:rFonts w:ascii="Arial" w:hAnsi="Arial" w:cs="Arial"/>
          <w:sz w:val="20"/>
          <w:szCs w:val="24"/>
        </w:rPr>
      </w:pPr>
      <w:r>
        <w:rPr>
          <w:rFonts w:ascii="Arial" w:hAnsi="Arial" w:cs="Arial"/>
          <w:sz w:val="20"/>
          <w:szCs w:val="24"/>
        </w:rPr>
        <w:t xml:space="preserve">Thirty (30) </w:t>
      </w:r>
      <w:proofErr w:type="gramStart"/>
      <w:r>
        <w:rPr>
          <w:rFonts w:ascii="Arial" w:hAnsi="Arial" w:cs="Arial"/>
          <w:sz w:val="20"/>
          <w:szCs w:val="24"/>
        </w:rPr>
        <w:t>adult</w:t>
      </w:r>
      <w:proofErr w:type="gramEnd"/>
      <w:r>
        <w:rPr>
          <w:rFonts w:ascii="Arial" w:hAnsi="Arial" w:cs="Arial"/>
          <w:sz w:val="20"/>
          <w:szCs w:val="24"/>
        </w:rPr>
        <w:t xml:space="preserve"> male </w:t>
      </w:r>
      <w:r>
        <w:rPr>
          <w:rFonts w:ascii="Arial" w:hAnsi="Arial" w:cs="Arial"/>
          <w:sz w:val="20"/>
          <w:szCs w:val="24"/>
          <w:highlight w:val="yellow"/>
        </w:rPr>
        <w:t>W</w:t>
      </w:r>
      <w:r>
        <w:rPr>
          <w:rFonts w:ascii="Arial" w:hAnsi="Arial" w:cs="Arial"/>
          <w:sz w:val="20"/>
          <w:szCs w:val="24"/>
        </w:rPr>
        <w:t>istar rats</w:t>
      </w:r>
      <w:r>
        <w:rPr>
          <w:rFonts w:ascii="Arial" w:hAnsi="Arial" w:cs="Arial"/>
          <w:sz w:val="20"/>
          <w:szCs w:val="24"/>
          <w:highlight w:val="yellow"/>
        </w:rPr>
        <w:t xml:space="preserve"> were</w:t>
      </w:r>
      <w:r>
        <w:rPr>
          <w:rFonts w:ascii="Arial" w:hAnsi="Arial" w:cs="Arial"/>
          <w:sz w:val="20"/>
          <w:szCs w:val="24"/>
        </w:rPr>
        <w:t xml:space="preserve"> assigned to 6 groups of 5 rats each </w:t>
      </w:r>
      <w:r>
        <w:rPr>
          <w:rFonts w:ascii="Arial" w:hAnsi="Arial" w:cs="Arial"/>
          <w:sz w:val="20"/>
          <w:szCs w:val="24"/>
          <w:highlight w:val="yellow"/>
        </w:rPr>
        <w:t>and</w:t>
      </w:r>
      <w:r>
        <w:rPr>
          <w:rFonts w:ascii="Arial" w:hAnsi="Arial" w:cs="Arial"/>
          <w:sz w:val="20"/>
          <w:szCs w:val="24"/>
        </w:rPr>
        <w:t xml:space="preserve"> treated a</w:t>
      </w:r>
      <w:r>
        <w:rPr>
          <w:rFonts w:ascii="Arial" w:hAnsi="Arial" w:cs="Arial"/>
          <w:sz w:val="20"/>
          <w:szCs w:val="24"/>
          <w:highlight w:val="yellow"/>
        </w:rPr>
        <w:t>s</w:t>
      </w:r>
      <w:r>
        <w:rPr>
          <w:rFonts w:ascii="Arial" w:hAnsi="Arial" w:cs="Arial"/>
          <w:sz w:val="20"/>
          <w:szCs w:val="24"/>
        </w:rPr>
        <w:t xml:space="preserve"> de</w:t>
      </w:r>
      <w:r>
        <w:rPr>
          <w:rFonts w:ascii="Arial" w:hAnsi="Arial" w:cs="Arial"/>
          <w:sz w:val="20"/>
          <w:szCs w:val="24"/>
          <w:highlight w:val="yellow"/>
        </w:rPr>
        <w:t>sc</w:t>
      </w:r>
      <w:r>
        <w:rPr>
          <w:rFonts w:ascii="Arial" w:hAnsi="Arial" w:cs="Arial"/>
          <w:sz w:val="20"/>
          <w:szCs w:val="24"/>
        </w:rPr>
        <w:t>r</w:t>
      </w:r>
      <w:r>
        <w:rPr>
          <w:rFonts w:ascii="Arial" w:hAnsi="Arial" w:cs="Arial"/>
          <w:sz w:val="20"/>
          <w:szCs w:val="24"/>
          <w:highlight w:val="yellow"/>
        </w:rPr>
        <w:t>ibed</w:t>
      </w:r>
      <w:r>
        <w:rPr>
          <w:rFonts w:ascii="Arial" w:hAnsi="Arial" w:cs="Arial"/>
          <w:sz w:val="20"/>
          <w:szCs w:val="24"/>
        </w:rPr>
        <w:t xml:space="preserve"> below:</w:t>
      </w:r>
    </w:p>
    <w:p w14:paraId="63935C13"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1:</w:t>
      </w:r>
      <w:r w:rsidRPr="00C949B0">
        <w:rPr>
          <w:rFonts w:ascii="Arial" w:hAnsi="Arial" w:cs="Arial"/>
          <w:sz w:val="20"/>
          <w:szCs w:val="24"/>
        </w:rPr>
        <w:tab/>
        <w:t xml:space="preserve">Normal control </w:t>
      </w:r>
    </w:p>
    <w:p w14:paraId="27402124"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2:</w:t>
      </w:r>
      <w:r w:rsidRPr="00C949B0">
        <w:rPr>
          <w:rFonts w:ascii="Arial" w:hAnsi="Arial" w:cs="Arial"/>
          <w:sz w:val="20"/>
          <w:szCs w:val="24"/>
        </w:rPr>
        <w:tab/>
        <w:t>Negative control (50 mg/kg of KBrO3 only)</w:t>
      </w:r>
    </w:p>
    <w:p w14:paraId="62442C8E"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3:</w:t>
      </w:r>
      <w:r w:rsidRPr="00C949B0">
        <w:rPr>
          <w:rFonts w:ascii="Arial" w:hAnsi="Arial" w:cs="Arial"/>
          <w:sz w:val="20"/>
          <w:szCs w:val="24"/>
        </w:rPr>
        <w:tab/>
        <w:t>Green leaf extract (200 mg/kg) + 50 mg/kg of KBrO3</w:t>
      </w:r>
    </w:p>
    <w:p w14:paraId="6C6E328D"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4:</w:t>
      </w:r>
      <w:r w:rsidRPr="00C949B0">
        <w:rPr>
          <w:rFonts w:ascii="Arial" w:hAnsi="Arial" w:cs="Arial"/>
          <w:sz w:val="20"/>
          <w:szCs w:val="24"/>
        </w:rPr>
        <w:tab/>
        <w:t>Green leaf extract (400 mg/kg) + 50 mg/kg of KBrO3</w:t>
      </w:r>
    </w:p>
    <w:p w14:paraId="5A964BCC"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5:</w:t>
      </w:r>
      <w:r w:rsidRPr="00C949B0">
        <w:rPr>
          <w:rFonts w:ascii="Arial" w:hAnsi="Arial" w:cs="Arial"/>
          <w:sz w:val="20"/>
          <w:szCs w:val="24"/>
        </w:rPr>
        <w:tab/>
        <w:t>Green leaf extract (800 mg/kg) + 50 mg/kg of KBrO3</w:t>
      </w:r>
    </w:p>
    <w:p w14:paraId="52E6C59F" w14:textId="77777777" w:rsidR="00C949B0" w:rsidRPr="00C949B0" w:rsidRDefault="00C949B0" w:rsidP="00C949B0">
      <w:pPr>
        <w:jc w:val="both"/>
        <w:rPr>
          <w:rFonts w:ascii="Arial" w:hAnsi="Arial" w:cs="Arial"/>
          <w:sz w:val="20"/>
          <w:szCs w:val="24"/>
        </w:rPr>
      </w:pPr>
      <w:r w:rsidRPr="00C949B0">
        <w:rPr>
          <w:rFonts w:ascii="Arial" w:hAnsi="Arial" w:cs="Arial"/>
          <w:sz w:val="20"/>
          <w:szCs w:val="24"/>
        </w:rPr>
        <w:t>Group 6:</w:t>
      </w:r>
      <w:r w:rsidRPr="00C949B0">
        <w:rPr>
          <w:rFonts w:ascii="Arial" w:hAnsi="Arial" w:cs="Arial"/>
          <w:sz w:val="20"/>
          <w:szCs w:val="24"/>
        </w:rPr>
        <w:tab/>
        <w:t>Vitamin C (100 mg/kg) + 50 mg/kg of KBrO3</w:t>
      </w:r>
    </w:p>
    <w:p w14:paraId="7A384FE8" w14:textId="77777777" w:rsidR="00C949B0" w:rsidRPr="00C949B0" w:rsidRDefault="00C949B0" w:rsidP="00C949B0">
      <w:pPr>
        <w:jc w:val="both"/>
        <w:rPr>
          <w:rFonts w:ascii="Arial" w:hAnsi="Arial" w:cs="Arial"/>
          <w:sz w:val="20"/>
          <w:szCs w:val="24"/>
        </w:rPr>
      </w:pPr>
      <w:r>
        <w:rPr>
          <w:rFonts w:ascii="Arial" w:hAnsi="Arial" w:cs="Arial"/>
          <w:sz w:val="20"/>
          <w:szCs w:val="24"/>
        </w:rPr>
        <w:t xml:space="preserve">All treatments were </w:t>
      </w:r>
      <w:r>
        <w:rPr>
          <w:rFonts w:ascii="Arial" w:hAnsi="Arial" w:cs="Arial"/>
          <w:sz w:val="20"/>
          <w:szCs w:val="24"/>
          <w:highlight w:val="yellow"/>
        </w:rPr>
        <w:t>adm</w:t>
      </w:r>
      <w:r>
        <w:rPr>
          <w:rFonts w:ascii="Arial" w:hAnsi="Arial" w:cs="Arial"/>
          <w:sz w:val="20"/>
          <w:szCs w:val="24"/>
        </w:rPr>
        <w:t>i</w:t>
      </w:r>
      <w:r>
        <w:rPr>
          <w:rFonts w:ascii="Arial" w:hAnsi="Arial" w:cs="Arial"/>
          <w:sz w:val="20"/>
          <w:szCs w:val="24"/>
          <w:highlight w:val="yellow"/>
        </w:rPr>
        <w:t>nis</w:t>
      </w:r>
      <w:r>
        <w:rPr>
          <w:rFonts w:ascii="Arial" w:hAnsi="Arial" w:cs="Arial"/>
          <w:sz w:val="20"/>
          <w:szCs w:val="24"/>
        </w:rPr>
        <w:t>te</w:t>
      </w:r>
      <w:r>
        <w:rPr>
          <w:rFonts w:ascii="Arial" w:hAnsi="Arial" w:cs="Arial"/>
          <w:sz w:val="20"/>
          <w:szCs w:val="24"/>
          <w:highlight w:val="yellow"/>
        </w:rPr>
        <w:t>red</w:t>
      </w:r>
      <w:r>
        <w:rPr>
          <w:rFonts w:ascii="Arial" w:hAnsi="Arial" w:cs="Arial"/>
          <w:sz w:val="20"/>
          <w:szCs w:val="24"/>
        </w:rPr>
        <w:t xml:space="preserve"> orall</w:t>
      </w:r>
      <w:r>
        <w:rPr>
          <w:rFonts w:ascii="Arial" w:hAnsi="Arial" w:cs="Arial"/>
          <w:sz w:val="20"/>
          <w:szCs w:val="24"/>
          <w:highlight w:val="yellow"/>
        </w:rPr>
        <w:t>y</w:t>
      </w:r>
      <w:r>
        <w:rPr>
          <w:rFonts w:ascii="Arial" w:hAnsi="Arial" w:cs="Arial"/>
          <w:sz w:val="20"/>
          <w:szCs w:val="24"/>
        </w:rPr>
        <w:t xml:space="preserve"> for 14 days. Body weights were </w:t>
      </w:r>
      <w:r>
        <w:rPr>
          <w:rFonts w:ascii="Arial" w:hAnsi="Arial" w:cs="Arial"/>
          <w:sz w:val="20"/>
          <w:szCs w:val="24"/>
          <w:highlight w:val="yellow"/>
        </w:rPr>
        <w:t>me</w:t>
      </w:r>
      <w:r>
        <w:rPr>
          <w:rFonts w:ascii="Arial" w:hAnsi="Arial" w:cs="Arial"/>
          <w:sz w:val="20"/>
          <w:szCs w:val="24"/>
        </w:rPr>
        <w:t>a</w:t>
      </w:r>
      <w:r>
        <w:rPr>
          <w:rFonts w:ascii="Arial" w:hAnsi="Arial" w:cs="Arial"/>
          <w:sz w:val="20"/>
          <w:szCs w:val="24"/>
          <w:highlight w:val="yellow"/>
        </w:rPr>
        <w:t>sur</w:t>
      </w:r>
      <w:r>
        <w:rPr>
          <w:rFonts w:ascii="Arial" w:hAnsi="Arial" w:cs="Arial"/>
          <w:sz w:val="20"/>
          <w:szCs w:val="24"/>
        </w:rPr>
        <w:t>e</w:t>
      </w:r>
      <w:r>
        <w:rPr>
          <w:rFonts w:ascii="Arial" w:hAnsi="Arial" w:cs="Arial"/>
          <w:sz w:val="20"/>
          <w:szCs w:val="24"/>
          <w:highlight w:val="yellow"/>
        </w:rPr>
        <w:t>d</w:t>
      </w:r>
      <w:r>
        <w:rPr>
          <w:rFonts w:ascii="Arial" w:hAnsi="Arial" w:cs="Arial"/>
          <w:sz w:val="20"/>
          <w:szCs w:val="24"/>
        </w:rPr>
        <w:t xml:space="preserve"> at the beginning and at the end of the treatment (i.e., days 1 and 14) using an electronic balance (DJ-A1000, China). At the end of the </w:t>
      </w:r>
      <w:r>
        <w:rPr>
          <w:rFonts w:ascii="Arial" w:hAnsi="Arial" w:cs="Arial"/>
          <w:sz w:val="20"/>
          <w:szCs w:val="24"/>
          <w:highlight w:val="yellow"/>
        </w:rPr>
        <w:t xml:space="preserve">treatment </w:t>
      </w:r>
      <w:r>
        <w:rPr>
          <w:rFonts w:ascii="Arial" w:hAnsi="Arial" w:cs="Arial"/>
          <w:sz w:val="20"/>
          <w:szCs w:val="24"/>
        </w:rPr>
        <w:t>period,</w:t>
      </w:r>
      <w:r>
        <w:rPr>
          <w:rFonts w:ascii="Arial" w:hAnsi="Arial" w:cs="Arial"/>
          <w:sz w:val="20"/>
          <w:szCs w:val="24"/>
          <w:highlight w:val="yellow"/>
        </w:rPr>
        <w:t xml:space="preserve"> the</w:t>
      </w:r>
      <w:r>
        <w:rPr>
          <w:rFonts w:ascii="Arial" w:hAnsi="Arial" w:cs="Arial"/>
          <w:sz w:val="20"/>
          <w:szCs w:val="24"/>
        </w:rPr>
        <w:t xml:space="preserve"> animals were sacrificed and blood and tissue samples were collected for the various analyses carried out.  </w:t>
      </w:r>
    </w:p>
    <w:p w14:paraId="5D5E6DBE" w14:textId="77777777" w:rsidR="00C949B0" w:rsidRPr="00C949B0" w:rsidRDefault="00C949B0" w:rsidP="00C949B0">
      <w:pPr>
        <w:rPr>
          <w:rFonts w:ascii="Arial" w:hAnsi="Arial" w:cs="Arial"/>
          <w:b/>
          <w:sz w:val="20"/>
          <w:szCs w:val="24"/>
        </w:rPr>
      </w:pPr>
      <w:r>
        <w:rPr>
          <w:rFonts w:ascii="Arial" w:hAnsi="Arial" w:cs="Arial"/>
          <w:b/>
          <w:sz w:val="20"/>
          <w:szCs w:val="24"/>
        </w:rPr>
        <w:t>2.3 Determination o</w:t>
      </w:r>
      <w:r w:rsidRPr="00C949B0">
        <w:rPr>
          <w:rFonts w:ascii="Arial" w:hAnsi="Arial" w:cs="Arial"/>
          <w:b/>
          <w:sz w:val="20"/>
          <w:szCs w:val="24"/>
        </w:rPr>
        <w:t>f Renal Function Parameters</w:t>
      </w:r>
    </w:p>
    <w:p w14:paraId="0AA4F29C" w14:textId="77777777" w:rsidR="00C949B0" w:rsidRPr="00C949B0" w:rsidRDefault="00C949B0" w:rsidP="00C949B0">
      <w:pPr>
        <w:rPr>
          <w:rFonts w:ascii="Arial" w:hAnsi="Arial" w:cs="Arial"/>
          <w:sz w:val="20"/>
          <w:szCs w:val="24"/>
        </w:rPr>
      </w:pPr>
      <w:r>
        <w:rPr>
          <w:rFonts w:ascii="Arial" w:hAnsi="Arial" w:cs="Arial"/>
          <w:sz w:val="20"/>
          <w:szCs w:val="24"/>
        </w:rPr>
        <w:t>Renal function parameters</w:t>
      </w:r>
      <w:r>
        <w:rPr>
          <w:rFonts w:ascii="Arial" w:hAnsi="Arial" w:cs="Arial"/>
          <w:sz w:val="20"/>
          <w:szCs w:val="24"/>
          <w:highlight w:val="yellow"/>
        </w:rPr>
        <w:t>,</w:t>
      </w:r>
      <w:r>
        <w:rPr>
          <w:rFonts w:ascii="Arial" w:hAnsi="Arial" w:cs="Arial"/>
          <w:sz w:val="20"/>
          <w:szCs w:val="24"/>
        </w:rPr>
        <w:t xml:space="preserve"> including urea, creatinine, sodium, chloride, potassium</w:t>
      </w:r>
      <w:r>
        <w:rPr>
          <w:rFonts w:ascii="Arial" w:hAnsi="Arial" w:cs="Arial"/>
          <w:sz w:val="20"/>
          <w:szCs w:val="24"/>
          <w:highlight w:val="yellow"/>
        </w:rPr>
        <w:t xml:space="preserve"> and</w:t>
      </w:r>
      <w:r>
        <w:rPr>
          <w:rFonts w:ascii="Arial" w:hAnsi="Arial" w:cs="Arial"/>
          <w:sz w:val="20"/>
          <w:szCs w:val="24"/>
        </w:rPr>
        <w:t xml:space="preserve"> bicarbonate, were determined </w:t>
      </w:r>
      <w:r>
        <w:rPr>
          <w:rFonts w:ascii="Arial" w:hAnsi="Arial" w:cs="Arial"/>
          <w:sz w:val="20"/>
          <w:szCs w:val="24"/>
          <w:highlight w:val="yellow"/>
        </w:rPr>
        <w:t>us</w:t>
      </w:r>
      <w:r>
        <w:rPr>
          <w:rFonts w:ascii="Arial" w:hAnsi="Arial" w:cs="Arial"/>
          <w:sz w:val="20"/>
          <w:szCs w:val="24"/>
        </w:rPr>
        <w:t xml:space="preserve">ing the methods described by </w:t>
      </w:r>
      <w:proofErr w:type="spellStart"/>
      <w:r>
        <w:rPr>
          <w:rFonts w:ascii="Arial" w:hAnsi="Arial" w:cs="Arial"/>
          <w:sz w:val="20"/>
          <w:szCs w:val="24"/>
        </w:rPr>
        <w:t>Nwalutu</w:t>
      </w:r>
      <w:proofErr w:type="spellEnd"/>
      <w:r>
        <w:rPr>
          <w:rFonts w:ascii="Arial" w:hAnsi="Arial" w:cs="Arial"/>
          <w:sz w:val="20"/>
          <w:szCs w:val="24"/>
        </w:rPr>
        <w:t xml:space="preserve"> (2011)</w:t>
      </w:r>
      <w:r>
        <w:rPr>
          <w:rFonts w:ascii="Arial" w:hAnsi="Arial" w:cs="Arial"/>
          <w:sz w:val="20"/>
          <w:szCs w:val="24"/>
          <w:highlight w:val="yellow"/>
        </w:rPr>
        <w:t>.</w:t>
      </w:r>
      <w:r>
        <w:rPr>
          <w:rFonts w:ascii="Arial" w:hAnsi="Arial" w:cs="Arial"/>
          <w:sz w:val="20"/>
          <w:szCs w:val="24"/>
        </w:rPr>
        <w:t xml:space="preserve">  </w:t>
      </w:r>
    </w:p>
    <w:p w14:paraId="74FC0351" w14:textId="77777777" w:rsidR="00C949B0" w:rsidRPr="00C949B0" w:rsidRDefault="00C949B0" w:rsidP="00C949B0">
      <w:pPr>
        <w:rPr>
          <w:rFonts w:ascii="Arial" w:hAnsi="Arial" w:cs="Arial"/>
          <w:b/>
          <w:sz w:val="20"/>
          <w:szCs w:val="24"/>
        </w:rPr>
      </w:pPr>
      <w:r>
        <w:rPr>
          <w:rFonts w:ascii="Arial" w:hAnsi="Arial" w:cs="Arial"/>
          <w:b/>
          <w:sz w:val="20"/>
          <w:szCs w:val="24"/>
        </w:rPr>
        <w:t xml:space="preserve">2.4 </w:t>
      </w:r>
      <w:r w:rsidRPr="00C949B0">
        <w:rPr>
          <w:rFonts w:ascii="Arial" w:hAnsi="Arial" w:cs="Arial"/>
          <w:b/>
          <w:sz w:val="20"/>
          <w:szCs w:val="24"/>
        </w:rPr>
        <w:t>Determination of antioxidant parameters in liver tissues</w:t>
      </w:r>
    </w:p>
    <w:p w14:paraId="0318208F" w14:textId="77777777" w:rsidR="00C949B0" w:rsidRPr="00C949B0" w:rsidRDefault="00C949B0" w:rsidP="00C949B0">
      <w:pPr>
        <w:rPr>
          <w:rFonts w:ascii="Arial" w:hAnsi="Arial" w:cs="Arial"/>
          <w:sz w:val="20"/>
          <w:szCs w:val="24"/>
        </w:rPr>
      </w:pPr>
      <w:r>
        <w:rPr>
          <w:rFonts w:ascii="Arial" w:hAnsi="Arial" w:cs="Arial"/>
          <w:sz w:val="20"/>
          <w:szCs w:val="24"/>
        </w:rPr>
        <w:t xml:space="preserve">Antioxidant parameters including glutathione (GSH), catalase, superoxide dismutase (SOD), glutathione peroxidase and malondialdehyde (MDA) were determined </w:t>
      </w:r>
      <w:r>
        <w:rPr>
          <w:rFonts w:ascii="Arial" w:hAnsi="Arial" w:cs="Arial"/>
          <w:sz w:val="20"/>
          <w:szCs w:val="24"/>
          <w:highlight w:val="yellow"/>
        </w:rPr>
        <w:t>i</w:t>
      </w:r>
      <w:r>
        <w:rPr>
          <w:rFonts w:ascii="Arial" w:hAnsi="Arial" w:cs="Arial"/>
          <w:sz w:val="20"/>
          <w:szCs w:val="24"/>
        </w:rPr>
        <w:t>n liver tissue homogenate</w:t>
      </w:r>
      <w:r>
        <w:rPr>
          <w:rFonts w:ascii="Arial" w:hAnsi="Arial" w:cs="Arial"/>
          <w:sz w:val="20"/>
          <w:szCs w:val="24"/>
          <w:highlight w:val="yellow"/>
        </w:rPr>
        <w:t>s</w:t>
      </w:r>
      <w:r>
        <w:rPr>
          <w:rFonts w:ascii="Arial" w:hAnsi="Arial" w:cs="Arial"/>
          <w:sz w:val="20"/>
          <w:szCs w:val="24"/>
        </w:rPr>
        <w:t xml:space="preserve"> prepared by </w:t>
      </w:r>
      <w:proofErr w:type="spellStart"/>
      <w:r>
        <w:rPr>
          <w:rFonts w:ascii="Arial" w:hAnsi="Arial" w:cs="Arial"/>
          <w:sz w:val="20"/>
          <w:szCs w:val="24"/>
        </w:rPr>
        <w:t>homogeni</w:t>
      </w:r>
      <w:r>
        <w:rPr>
          <w:rFonts w:ascii="Arial" w:hAnsi="Arial" w:cs="Arial"/>
          <w:sz w:val="20"/>
          <w:szCs w:val="24"/>
          <w:highlight w:val="yellow"/>
        </w:rPr>
        <w:t>s</w:t>
      </w:r>
      <w:r>
        <w:rPr>
          <w:rFonts w:ascii="Arial" w:hAnsi="Arial" w:cs="Arial"/>
          <w:sz w:val="20"/>
          <w:szCs w:val="24"/>
        </w:rPr>
        <w:t>ing</w:t>
      </w:r>
      <w:proofErr w:type="spellEnd"/>
      <w:r>
        <w:rPr>
          <w:rFonts w:ascii="Arial" w:hAnsi="Arial" w:cs="Arial"/>
          <w:sz w:val="20"/>
          <w:szCs w:val="24"/>
        </w:rPr>
        <w:t xml:space="preserve"> 1</w:t>
      </w:r>
      <w:r>
        <w:rPr>
          <w:rFonts w:ascii="Arial" w:hAnsi="Arial" w:cs="Arial"/>
          <w:sz w:val="20"/>
          <w:szCs w:val="24"/>
          <w:highlight w:val="yellow"/>
        </w:rPr>
        <w:t xml:space="preserve"> </w:t>
      </w:r>
      <w:r>
        <w:rPr>
          <w:rFonts w:ascii="Arial" w:hAnsi="Arial" w:cs="Arial"/>
          <w:sz w:val="20"/>
          <w:szCs w:val="24"/>
        </w:rPr>
        <w:t>g of liver tissue in 5</w:t>
      </w:r>
      <w:r>
        <w:rPr>
          <w:rFonts w:ascii="Arial" w:hAnsi="Arial" w:cs="Arial"/>
          <w:sz w:val="20"/>
          <w:szCs w:val="24"/>
          <w:highlight w:val="yellow"/>
        </w:rPr>
        <w:t xml:space="preserve"> </w:t>
      </w:r>
      <w:r>
        <w:rPr>
          <w:rFonts w:ascii="Arial" w:hAnsi="Arial" w:cs="Arial"/>
          <w:sz w:val="20"/>
          <w:szCs w:val="24"/>
        </w:rPr>
        <w:t>ml</w:t>
      </w:r>
      <w:r>
        <w:rPr>
          <w:rFonts w:ascii="Arial" w:hAnsi="Arial" w:cs="Arial"/>
          <w:sz w:val="20"/>
          <w:szCs w:val="24"/>
          <w:highlight w:val="yellow"/>
        </w:rPr>
        <w:t xml:space="preserve"> of</w:t>
      </w:r>
      <w:r>
        <w:rPr>
          <w:rFonts w:ascii="Arial" w:hAnsi="Arial" w:cs="Arial"/>
          <w:sz w:val="20"/>
          <w:szCs w:val="24"/>
        </w:rPr>
        <w:t xml:space="preserve"> phosphate buffer solution. The methods </w:t>
      </w:r>
      <w:r>
        <w:rPr>
          <w:rFonts w:ascii="Arial" w:hAnsi="Arial" w:cs="Arial"/>
          <w:sz w:val="20"/>
          <w:szCs w:val="24"/>
          <w:highlight w:val="yellow"/>
        </w:rPr>
        <w:t>de</w:t>
      </w:r>
      <w:r>
        <w:rPr>
          <w:rFonts w:ascii="Arial" w:hAnsi="Arial" w:cs="Arial"/>
          <w:sz w:val="20"/>
          <w:szCs w:val="24"/>
        </w:rPr>
        <w:t>s</w:t>
      </w:r>
      <w:r>
        <w:rPr>
          <w:rFonts w:ascii="Arial" w:hAnsi="Arial" w:cs="Arial"/>
          <w:sz w:val="20"/>
          <w:szCs w:val="24"/>
          <w:highlight w:val="yellow"/>
        </w:rPr>
        <w:t>crib</w:t>
      </w:r>
      <w:r>
        <w:rPr>
          <w:rFonts w:ascii="Arial" w:hAnsi="Arial" w:cs="Arial"/>
          <w:sz w:val="20"/>
          <w:szCs w:val="24"/>
        </w:rPr>
        <w:t>ed by Kanu et al. (2016) were adopted.</w:t>
      </w:r>
    </w:p>
    <w:p w14:paraId="4FA5B13D" w14:textId="77777777" w:rsidR="00C949B0" w:rsidRPr="00C949B0" w:rsidRDefault="00C949B0" w:rsidP="00C949B0">
      <w:pPr>
        <w:rPr>
          <w:rFonts w:ascii="Arial" w:hAnsi="Arial" w:cs="Arial"/>
          <w:b/>
          <w:sz w:val="20"/>
          <w:szCs w:val="24"/>
        </w:rPr>
      </w:pPr>
      <w:r>
        <w:rPr>
          <w:rFonts w:ascii="Arial" w:hAnsi="Arial" w:cs="Arial"/>
          <w:b/>
          <w:sz w:val="20"/>
          <w:szCs w:val="24"/>
        </w:rPr>
        <w:t xml:space="preserve">2.5 </w:t>
      </w:r>
      <w:r w:rsidRPr="00C949B0">
        <w:rPr>
          <w:rFonts w:ascii="Arial" w:hAnsi="Arial" w:cs="Arial"/>
          <w:b/>
          <w:sz w:val="20"/>
          <w:szCs w:val="24"/>
        </w:rPr>
        <w:t>Statistical analysis</w:t>
      </w:r>
    </w:p>
    <w:p w14:paraId="228D6035" w14:textId="77777777" w:rsidR="00C949B0" w:rsidRDefault="00C949B0" w:rsidP="00C949B0">
      <w:pPr>
        <w:rPr>
          <w:rFonts w:ascii="Arial" w:hAnsi="Arial" w:cs="Arial"/>
          <w:sz w:val="20"/>
          <w:szCs w:val="24"/>
        </w:rPr>
      </w:pPr>
      <w:r>
        <w:rPr>
          <w:rFonts w:ascii="Arial" w:hAnsi="Arial" w:cs="Arial"/>
          <w:sz w:val="20"/>
          <w:szCs w:val="24"/>
        </w:rPr>
        <w:t xml:space="preserve">Data obtained from the experiments were </w:t>
      </w:r>
      <w:proofErr w:type="spellStart"/>
      <w:r>
        <w:rPr>
          <w:rFonts w:ascii="Arial" w:hAnsi="Arial" w:cs="Arial"/>
          <w:sz w:val="20"/>
          <w:szCs w:val="24"/>
        </w:rPr>
        <w:t>analy</w:t>
      </w:r>
      <w:r>
        <w:rPr>
          <w:rFonts w:ascii="Arial" w:hAnsi="Arial" w:cs="Arial"/>
          <w:sz w:val="20"/>
          <w:szCs w:val="24"/>
          <w:highlight w:val="yellow"/>
        </w:rPr>
        <w:t>s</w:t>
      </w:r>
      <w:r>
        <w:rPr>
          <w:rFonts w:ascii="Arial" w:hAnsi="Arial" w:cs="Arial"/>
          <w:sz w:val="20"/>
          <w:szCs w:val="24"/>
        </w:rPr>
        <w:t>ed</w:t>
      </w:r>
      <w:proofErr w:type="spellEnd"/>
      <w:r>
        <w:rPr>
          <w:rFonts w:ascii="Arial" w:hAnsi="Arial" w:cs="Arial"/>
          <w:sz w:val="20"/>
          <w:szCs w:val="24"/>
          <w:highlight w:val="yellow"/>
        </w:rPr>
        <w:t>,</w:t>
      </w:r>
      <w:r>
        <w:rPr>
          <w:rFonts w:ascii="Arial" w:hAnsi="Arial" w:cs="Arial"/>
          <w:sz w:val="20"/>
          <w:szCs w:val="24"/>
        </w:rPr>
        <w:t xml:space="preserve"> and the results were expressed as</w:t>
      </w:r>
      <w:r>
        <w:rPr>
          <w:rFonts w:ascii="Arial" w:hAnsi="Arial" w:cs="Arial"/>
          <w:sz w:val="20"/>
          <w:szCs w:val="24"/>
          <w:highlight w:val="yellow"/>
        </w:rPr>
        <w:t xml:space="preserve"> the</w:t>
      </w:r>
      <w:r>
        <w:rPr>
          <w:rFonts w:ascii="Arial" w:hAnsi="Arial" w:cs="Arial"/>
          <w:sz w:val="20"/>
          <w:szCs w:val="24"/>
        </w:rPr>
        <w:t xml:space="preserve"> mean ± standard deviation (S.D). The result</w:t>
      </w:r>
      <w:r>
        <w:rPr>
          <w:rFonts w:ascii="Arial" w:hAnsi="Arial" w:cs="Arial"/>
          <w:sz w:val="20"/>
          <w:szCs w:val="24"/>
          <w:highlight w:val="yellow"/>
        </w:rPr>
        <w:t>s</w:t>
      </w:r>
      <w:r>
        <w:rPr>
          <w:rFonts w:ascii="Arial" w:hAnsi="Arial" w:cs="Arial"/>
          <w:sz w:val="20"/>
          <w:szCs w:val="24"/>
        </w:rPr>
        <w:t xml:space="preserve"> w</w:t>
      </w:r>
      <w:r>
        <w:rPr>
          <w:rFonts w:ascii="Arial" w:hAnsi="Arial" w:cs="Arial"/>
          <w:sz w:val="20"/>
          <w:szCs w:val="24"/>
          <w:highlight w:val="yellow"/>
        </w:rPr>
        <w:t>ere</w:t>
      </w:r>
      <w:r>
        <w:rPr>
          <w:rFonts w:ascii="Arial" w:hAnsi="Arial" w:cs="Arial"/>
          <w:sz w:val="20"/>
          <w:szCs w:val="24"/>
        </w:rPr>
        <w:t xml:space="preserve"> </w:t>
      </w:r>
      <w:proofErr w:type="spellStart"/>
      <w:r>
        <w:rPr>
          <w:rFonts w:ascii="Arial" w:hAnsi="Arial" w:cs="Arial"/>
          <w:sz w:val="20"/>
          <w:szCs w:val="24"/>
        </w:rPr>
        <w:t>analy</w:t>
      </w:r>
      <w:r>
        <w:rPr>
          <w:rFonts w:ascii="Arial" w:hAnsi="Arial" w:cs="Arial"/>
          <w:sz w:val="20"/>
          <w:szCs w:val="24"/>
          <w:highlight w:val="yellow"/>
        </w:rPr>
        <w:t>s</w:t>
      </w:r>
      <w:r>
        <w:rPr>
          <w:rFonts w:ascii="Arial" w:hAnsi="Arial" w:cs="Arial"/>
          <w:sz w:val="20"/>
          <w:szCs w:val="24"/>
        </w:rPr>
        <w:t>ed</w:t>
      </w:r>
      <w:proofErr w:type="spellEnd"/>
      <w:r>
        <w:rPr>
          <w:rFonts w:ascii="Arial" w:hAnsi="Arial" w:cs="Arial"/>
          <w:sz w:val="20"/>
          <w:szCs w:val="24"/>
        </w:rPr>
        <w:t xml:space="preserve"> using </w:t>
      </w:r>
      <w:r>
        <w:rPr>
          <w:rFonts w:ascii="Arial" w:hAnsi="Arial" w:cs="Arial"/>
          <w:sz w:val="20"/>
          <w:szCs w:val="24"/>
          <w:highlight w:val="yellow"/>
        </w:rPr>
        <w:t>o</w:t>
      </w:r>
      <w:r>
        <w:rPr>
          <w:rFonts w:ascii="Arial" w:hAnsi="Arial" w:cs="Arial"/>
          <w:sz w:val="20"/>
          <w:szCs w:val="24"/>
        </w:rPr>
        <w:t>ne</w:t>
      </w:r>
      <w:r>
        <w:rPr>
          <w:rFonts w:ascii="Arial" w:hAnsi="Arial" w:cs="Arial"/>
          <w:sz w:val="20"/>
          <w:szCs w:val="24"/>
          <w:highlight w:val="yellow"/>
        </w:rPr>
        <w:t>-w</w:t>
      </w:r>
      <w:r>
        <w:rPr>
          <w:rFonts w:ascii="Arial" w:hAnsi="Arial" w:cs="Arial"/>
          <w:sz w:val="20"/>
          <w:szCs w:val="24"/>
        </w:rPr>
        <w:t xml:space="preserve">ay </w:t>
      </w:r>
      <w:r>
        <w:rPr>
          <w:rFonts w:ascii="Arial" w:hAnsi="Arial" w:cs="Arial"/>
          <w:sz w:val="20"/>
          <w:szCs w:val="24"/>
          <w:highlight w:val="yellow"/>
        </w:rPr>
        <w:t>a</w:t>
      </w:r>
      <w:r>
        <w:rPr>
          <w:rFonts w:ascii="Arial" w:hAnsi="Arial" w:cs="Arial"/>
          <w:sz w:val="20"/>
          <w:szCs w:val="24"/>
        </w:rPr>
        <w:t xml:space="preserve">nalysis of </w:t>
      </w:r>
      <w:r>
        <w:rPr>
          <w:rFonts w:ascii="Arial" w:hAnsi="Arial" w:cs="Arial"/>
          <w:sz w:val="20"/>
          <w:szCs w:val="24"/>
          <w:highlight w:val="yellow"/>
        </w:rPr>
        <w:t>v</w:t>
      </w:r>
      <w:r>
        <w:rPr>
          <w:rFonts w:ascii="Arial" w:hAnsi="Arial" w:cs="Arial"/>
          <w:sz w:val="20"/>
          <w:szCs w:val="24"/>
        </w:rPr>
        <w:t>ariance (ANOVA) in</w:t>
      </w:r>
      <w:r>
        <w:rPr>
          <w:rFonts w:ascii="Arial" w:hAnsi="Arial" w:cs="Arial"/>
          <w:sz w:val="20"/>
          <w:szCs w:val="24"/>
          <w:highlight w:val="yellow"/>
        </w:rPr>
        <w:t xml:space="preserve"> the</w:t>
      </w:r>
      <w:r>
        <w:rPr>
          <w:rFonts w:ascii="Arial" w:hAnsi="Arial" w:cs="Arial"/>
          <w:sz w:val="20"/>
          <w:szCs w:val="24"/>
        </w:rPr>
        <w:t xml:space="preserve"> Statistical Package for Scientific Solution (SPSS, </w:t>
      </w:r>
      <w:r>
        <w:rPr>
          <w:rFonts w:ascii="Arial" w:hAnsi="Arial" w:cs="Arial"/>
          <w:sz w:val="20"/>
          <w:szCs w:val="24"/>
          <w:highlight w:val="yellow"/>
        </w:rPr>
        <w:t>v</w:t>
      </w:r>
      <w:r>
        <w:rPr>
          <w:rFonts w:ascii="Arial" w:hAnsi="Arial" w:cs="Arial"/>
          <w:sz w:val="20"/>
          <w:szCs w:val="24"/>
        </w:rPr>
        <w:t>ersion 20.0, IBM SPSS Inc</w:t>
      </w:r>
      <w:r>
        <w:rPr>
          <w:rFonts w:ascii="Arial" w:hAnsi="Arial" w:cs="Arial"/>
          <w:sz w:val="20"/>
          <w:szCs w:val="24"/>
          <w:highlight w:val="yellow"/>
        </w:rPr>
        <w:t>.</w:t>
      </w:r>
      <w:r>
        <w:rPr>
          <w:rFonts w:ascii="Arial" w:hAnsi="Arial" w:cs="Arial"/>
          <w:sz w:val="20"/>
          <w:szCs w:val="24"/>
        </w:rPr>
        <w:t xml:space="preserve">, Chicago, IL). Data were </w:t>
      </w:r>
      <w:proofErr w:type="spellStart"/>
      <w:r>
        <w:rPr>
          <w:rFonts w:ascii="Arial" w:hAnsi="Arial" w:cs="Arial"/>
          <w:sz w:val="20"/>
          <w:szCs w:val="24"/>
        </w:rPr>
        <w:t>analy</w:t>
      </w:r>
      <w:r>
        <w:rPr>
          <w:rFonts w:ascii="Arial" w:hAnsi="Arial" w:cs="Arial"/>
          <w:sz w:val="20"/>
          <w:szCs w:val="24"/>
          <w:highlight w:val="yellow"/>
        </w:rPr>
        <w:t>s</w:t>
      </w:r>
      <w:r>
        <w:rPr>
          <w:rFonts w:ascii="Arial" w:hAnsi="Arial" w:cs="Arial"/>
          <w:sz w:val="20"/>
          <w:szCs w:val="24"/>
        </w:rPr>
        <w:t>ed</w:t>
      </w:r>
      <w:proofErr w:type="spellEnd"/>
      <w:r>
        <w:rPr>
          <w:rFonts w:ascii="Arial" w:hAnsi="Arial" w:cs="Arial"/>
          <w:sz w:val="20"/>
          <w:szCs w:val="24"/>
        </w:rPr>
        <w:t xml:space="preserve"> using Duncan</w:t>
      </w:r>
      <w:r>
        <w:rPr>
          <w:rFonts w:ascii="Arial" w:hAnsi="Arial" w:cs="Arial"/>
          <w:sz w:val="20"/>
          <w:szCs w:val="24"/>
          <w:highlight w:val="yellow"/>
        </w:rPr>
        <w:t>’s</w:t>
      </w:r>
      <w:r>
        <w:rPr>
          <w:rFonts w:ascii="Arial" w:hAnsi="Arial" w:cs="Arial"/>
          <w:sz w:val="20"/>
          <w:szCs w:val="24"/>
        </w:rPr>
        <w:t xml:space="preserve"> </w:t>
      </w:r>
      <w:r>
        <w:rPr>
          <w:rFonts w:ascii="Arial" w:hAnsi="Arial" w:cs="Arial"/>
          <w:sz w:val="20"/>
          <w:szCs w:val="24"/>
          <w:highlight w:val="yellow"/>
        </w:rPr>
        <w:t>m</w:t>
      </w:r>
      <w:r>
        <w:rPr>
          <w:rFonts w:ascii="Arial" w:hAnsi="Arial" w:cs="Arial"/>
          <w:sz w:val="20"/>
          <w:szCs w:val="24"/>
        </w:rPr>
        <w:t xml:space="preserve">ultiple </w:t>
      </w:r>
      <w:r>
        <w:rPr>
          <w:rFonts w:ascii="Arial" w:hAnsi="Arial" w:cs="Arial"/>
          <w:sz w:val="20"/>
          <w:szCs w:val="24"/>
          <w:highlight w:val="yellow"/>
        </w:rPr>
        <w:t>r</w:t>
      </w:r>
      <w:r>
        <w:rPr>
          <w:rFonts w:ascii="Arial" w:hAnsi="Arial" w:cs="Arial"/>
          <w:sz w:val="20"/>
          <w:szCs w:val="24"/>
        </w:rPr>
        <w:t xml:space="preserve">ange </w:t>
      </w:r>
      <w:r>
        <w:rPr>
          <w:rFonts w:ascii="Arial" w:hAnsi="Arial" w:cs="Arial"/>
          <w:sz w:val="20"/>
          <w:szCs w:val="24"/>
          <w:highlight w:val="yellow"/>
        </w:rPr>
        <w:t>t</w:t>
      </w:r>
      <w:r>
        <w:rPr>
          <w:rFonts w:ascii="Arial" w:hAnsi="Arial" w:cs="Arial"/>
          <w:sz w:val="20"/>
          <w:szCs w:val="24"/>
        </w:rPr>
        <w:t xml:space="preserve">est, supplemented by </w:t>
      </w:r>
      <w:r>
        <w:rPr>
          <w:rFonts w:ascii="Arial" w:hAnsi="Arial" w:cs="Arial"/>
          <w:sz w:val="20"/>
          <w:szCs w:val="24"/>
          <w:highlight w:val="yellow"/>
        </w:rPr>
        <w:t>S</w:t>
      </w:r>
      <w:r>
        <w:rPr>
          <w:rFonts w:ascii="Arial" w:hAnsi="Arial" w:cs="Arial"/>
          <w:sz w:val="20"/>
          <w:szCs w:val="24"/>
        </w:rPr>
        <w:t>tudent</w:t>
      </w:r>
      <w:r>
        <w:rPr>
          <w:rFonts w:ascii="Arial" w:hAnsi="Arial" w:cs="Arial"/>
          <w:sz w:val="20"/>
          <w:szCs w:val="24"/>
          <w:highlight w:val="yellow"/>
        </w:rPr>
        <w:t>’s</w:t>
      </w:r>
      <w:r>
        <w:rPr>
          <w:rFonts w:ascii="Arial" w:hAnsi="Arial" w:cs="Arial"/>
          <w:sz w:val="20"/>
          <w:szCs w:val="24"/>
        </w:rPr>
        <w:t xml:space="preserve"> t-test for post</w:t>
      </w:r>
      <w:r>
        <w:rPr>
          <w:rFonts w:ascii="Arial" w:hAnsi="Arial" w:cs="Arial"/>
          <w:sz w:val="20"/>
          <w:szCs w:val="24"/>
          <w:highlight w:val="yellow"/>
        </w:rPr>
        <w:t xml:space="preserve"> </w:t>
      </w:r>
      <w:r>
        <w:rPr>
          <w:rFonts w:ascii="Arial" w:hAnsi="Arial" w:cs="Arial"/>
          <w:sz w:val="20"/>
          <w:szCs w:val="24"/>
        </w:rPr>
        <w:t xml:space="preserve">hoc comparisons of the means of the various dosages and fractions. P-values </w:t>
      </w:r>
      <w:r>
        <w:rPr>
          <w:rFonts w:ascii="Arial" w:hAnsi="Arial" w:cs="Arial"/>
          <w:sz w:val="20"/>
          <w:szCs w:val="24"/>
          <w:highlight w:val="yellow"/>
        </w:rPr>
        <w:t>be</w:t>
      </w:r>
      <w:r>
        <w:rPr>
          <w:rFonts w:ascii="Arial" w:hAnsi="Arial" w:cs="Arial"/>
          <w:sz w:val="20"/>
          <w:szCs w:val="24"/>
        </w:rPr>
        <w:t>l</w:t>
      </w:r>
      <w:r>
        <w:rPr>
          <w:rFonts w:ascii="Arial" w:hAnsi="Arial" w:cs="Arial"/>
          <w:sz w:val="20"/>
          <w:szCs w:val="24"/>
          <w:highlight w:val="yellow"/>
        </w:rPr>
        <w:t>ow</w:t>
      </w:r>
      <w:r>
        <w:rPr>
          <w:rFonts w:ascii="Arial" w:hAnsi="Arial" w:cs="Arial"/>
          <w:sz w:val="20"/>
          <w:szCs w:val="24"/>
        </w:rPr>
        <w:t xml:space="preserve"> 0.05 were considered</w:t>
      </w:r>
      <w:r>
        <w:rPr>
          <w:rFonts w:ascii="Arial" w:hAnsi="Arial" w:cs="Arial"/>
          <w:sz w:val="20"/>
          <w:szCs w:val="24"/>
          <w:highlight w:val="yellow"/>
        </w:rPr>
        <w:t xml:space="preserve"> to indicate</w:t>
      </w:r>
      <w:r>
        <w:rPr>
          <w:rFonts w:ascii="Arial" w:hAnsi="Arial" w:cs="Arial"/>
          <w:sz w:val="20"/>
          <w:szCs w:val="24"/>
        </w:rPr>
        <w:t xml:space="preserve"> statistically significant differen</w:t>
      </w:r>
      <w:r>
        <w:rPr>
          <w:rFonts w:ascii="Arial" w:hAnsi="Arial" w:cs="Arial"/>
          <w:sz w:val="20"/>
          <w:szCs w:val="24"/>
          <w:highlight w:val="yellow"/>
        </w:rPr>
        <w:t>ces</w:t>
      </w:r>
      <w:r>
        <w:rPr>
          <w:rFonts w:ascii="Arial" w:hAnsi="Arial" w:cs="Arial"/>
          <w:sz w:val="20"/>
          <w:szCs w:val="24"/>
        </w:rPr>
        <w:t xml:space="preserve"> between the test and control groups a</w:t>
      </w:r>
      <w:r>
        <w:rPr>
          <w:rFonts w:ascii="Arial" w:hAnsi="Arial" w:cs="Arial"/>
          <w:sz w:val="20"/>
          <w:szCs w:val="24"/>
          <w:highlight w:val="yellow"/>
        </w:rPr>
        <w:t>nd</w:t>
      </w:r>
      <w:r>
        <w:rPr>
          <w:rFonts w:ascii="Arial" w:hAnsi="Arial" w:cs="Arial"/>
          <w:sz w:val="20"/>
          <w:szCs w:val="24"/>
        </w:rPr>
        <w:t xml:space="preserve"> among</w:t>
      </w:r>
      <w:r>
        <w:rPr>
          <w:rFonts w:ascii="Arial" w:hAnsi="Arial" w:cs="Arial"/>
          <w:sz w:val="20"/>
          <w:szCs w:val="24"/>
          <w:highlight w:val="yellow"/>
        </w:rPr>
        <w:t xml:space="preserve"> the</w:t>
      </w:r>
      <w:r>
        <w:rPr>
          <w:rFonts w:ascii="Arial" w:hAnsi="Arial" w:cs="Arial"/>
          <w:sz w:val="20"/>
          <w:szCs w:val="24"/>
        </w:rPr>
        <w:t xml:space="preserve"> test groups for </w:t>
      </w:r>
      <w:r>
        <w:rPr>
          <w:rFonts w:ascii="Arial" w:hAnsi="Arial" w:cs="Arial"/>
          <w:sz w:val="20"/>
          <w:szCs w:val="24"/>
          <w:highlight w:val="yellow"/>
        </w:rPr>
        <w:t xml:space="preserve">the </w:t>
      </w:r>
      <w:r>
        <w:rPr>
          <w:rFonts w:ascii="Arial" w:hAnsi="Arial" w:cs="Arial"/>
          <w:sz w:val="20"/>
          <w:szCs w:val="24"/>
        </w:rPr>
        <w:t>measured value</w:t>
      </w:r>
      <w:r>
        <w:rPr>
          <w:rFonts w:ascii="Arial" w:hAnsi="Arial" w:cs="Arial"/>
          <w:sz w:val="20"/>
          <w:szCs w:val="24"/>
          <w:highlight w:val="yellow"/>
        </w:rPr>
        <w:t>s</w:t>
      </w:r>
      <w:r>
        <w:rPr>
          <w:rFonts w:ascii="Arial" w:hAnsi="Arial" w:cs="Arial"/>
          <w:sz w:val="20"/>
          <w:szCs w:val="24"/>
        </w:rPr>
        <w:t>.</w:t>
      </w:r>
    </w:p>
    <w:p w14:paraId="24B0A314" w14:textId="77777777" w:rsidR="00C949B0" w:rsidRDefault="00C949B0" w:rsidP="00C949B0">
      <w:pPr>
        <w:rPr>
          <w:rFonts w:ascii="Arial" w:hAnsi="Arial" w:cs="Arial"/>
          <w:sz w:val="20"/>
          <w:szCs w:val="24"/>
        </w:rPr>
      </w:pPr>
    </w:p>
    <w:p w14:paraId="276CF73B" w14:textId="77777777" w:rsidR="0031203E" w:rsidRDefault="0031203E" w:rsidP="00C949B0">
      <w:pPr>
        <w:rPr>
          <w:rFonts w:ascii="Arial" w:hAnsi="Arial" w:cs="Arial"/>
          <w:sz w:val="20"/>
          <w:szCs w:val="24"/>
        </w:rPr>
      </w:pPr>
    </w:p>
    <w:p w14:paraId="1A55586B" w14:textId="77777777" w:rsidR="0031203E" w:rsidRDefault="0031203E" w:rsidP="00C949B0">
      <w:pPr>
        <w:rPr>
          <w:rFonts w:ascii="Arial" w:hAnsi="Arial" w:cs="Arial"/>
          <w:sz w:val="20"/>
          <w:szCs w:val="24"/>
        </w:rPr>
      </w:pPr>
    </w:p>
    <w:p w14:paraId="572DCD5F" w14:textId="77777777" w:rsidR="0031203E" w:rsidRDefault="0031203E" w:rsidP="00C949B0">
      <w:pPr>
        <w:rPr>
          <w:rFonts w:ascii="Arial" w:hAnsi="Arial" w:cs="Arial"/>
          <w:sz w:val="20"/>
          <w:szCs w:val="24"/>
        </w:rPr>
      </w:pPr>
    </w:p>
    <w:p w14:paraId="132CA0D0" w14:textId="77777777" w:rsidR="0031203E" w:rsidRDefault="0031203E" w:rsidP="0031203E">
      <w:pPr>
        <w:spacing w:line="360" w:lineRule="auto"/>
        <w:jc w:val="both"/>
        <w:rPr>
          <w:rFonts w:ascii="Arial" w:hAnsi="Arial" w:cs="Arial"/>
          <w:b/>
          <w:bCs/>
          <w:szCs w:val="24"/>
        </w:rPr>
      </w:pPr>
      <w:r w:rsidRPr="0031203E">
        <w:rPr>
          <w:rFonts w:ascii="Arial" w:hAnsi="Arial" w:cs="Arial"/>
          <w:b/>
          <w:bCs/>
          <w:szCs w:val="24"/>
        </w:rPr>
        <w:t>3. RESULTS</w:t>
      </w:r>
    </w:p>
    <w:p w14:paraId="3222033C" w14:textId="77777777" w:rsidR="0031203E" w:rsidRPr="0031203E" w:rsidRDefault="0031203E" w:rsidP="0031203E">
      <w:pPr>
        <w:spacing w:line="360" w:lineRule="auto"/>
        <w:jc w:val="both"/>
        <w:rPr>
          <w:rFonts w:ascii="Arial" w:hAnsi="Arial" w:cs="Arial"/>
          <w:b/>
          <w:bCs/>
          <w:szCs w:val="24"/>
        </w:rPr>
      </w:pPr>
      <w:r>
        <w:rPr>
          <w:rFonts w:ascii="Arial" w:hAnsi="Arial" w:cs="Arial"/>
          <w:b/>
          <w:bCs/>
          <w:szCs w:val="24"/>
        </w:rPr>
        <w:lastRenderedPageBreak/>
        <w:t xml:space="preserve">3.1 </w:t>
      </w:r>
      <w:r w:rsidRPr="0031203E">
        <w:rPr>
          <w:rFonts w:ascii="Arial" w:hAnsi="Arial" w:cs="Arial"/>
          <w:b/>
        </w:rPr>
        <w:t>EFFECTS OF THE EXTRACT ON RENAL FUNCTION PARAMETERS IN POTASSIUM BROMATE TREATED RATS</w:t>
      </w:r>
    </w:p>
    <w:p w14:paraId="5DE2ED10" w14:textId="77777777" w:rsidR="0031203E" w:rsidRDefault="0031203E" w:rsidP="0031203E">
      <w:pPr>
        <w:spacing w:line="360" w:lineRule="auto"/>
        <w:jc w:val="both"/>
        <w:rPr>
          <w:rFonts w:ascii="Arial" w:hAnsi="Arial" w:cs="Arial"/>
          <w:sz w:val="20"/>
          <w:szCs w:val="24"/>
        </w:rPr>
      </w:pPr>
      <w:r>
        <w:rPr>
          <w:rFonts w:ascii="Arial" w:hAnsi="Arial" w:cs="Arial"/>
          <w:sz w:val="20"/>
          <w:szCs w:val="24"/>
        </w:rPr>
        <w:t xml:space="preserve">The findings in Table 1 display the effects of an </w:t>
      </w:r>
      <w:r>
        <w:rPr>
          <w:rFonts w:ascii="Arial" w:hAnsi="Arial" w:cs="Arial"/>
          <w:i/>
          <w:iCs/>
          <w:sz w:val="20"/>
          <w:szCs w:val="24"/>
        </w:rPr>
        <w:t>A</w:t>
      </w:r>
      <w:r>
        <w:rPr>
          <w:rFonts w:ascii="Arial" w:hAnsi="Arial" w:cs="Arial"/>
          <w:i/>
          <w:iCs/>
          <w:sz w:val="20"/>
          <w:szCs w:val="24"/>
          <w:highlight w:val="yellow"/>
        </w:rPr>
        <w:t xml:space="preserve">. </w:t>
      </w:r>
      <w:proofErr w:type="spellStart"/>
      <w:r>
        <w:rPr>
          <w:rFonts w:ascii="Arial" w:hAnsi="Arial" w:cs="Arial"/>
          <w:i/>
          <w:iCs/>
          <w:sz w:val="20"/>
          <w:szCs w:val="24"/>
          <w:highlight w:val="yellow"/>
        </w:rPr>
        <w:t>vi</w:t>
      </w:r>
      <w:r>
        <w:rPr>
          <w:rFonts w:ascii="Arial" w:hAnsi="Arial" w:cs="Arial"/>
          <w:i/>
          <w:iCs/>
          <w:sz w:val="20"/>
          <w:szCs w:val="24"/>
        </w:rPr>
        <w:t>r</w:t>
      </w:r>
      <w:r>
        <w:rPr>
          <w:rFonts w:ascii="Arial" w:hAnsi="Arial" w:cs="Arial"/>
          <w:i/>
          <w:iCs/>
          <w:sz w:val="20"/>
          <w:szCs w:val="24"/>
          <w:highlight w:val="yellow"/>
        </w:rPr>
        <w:t>idi</w:t>
      </w:r>
      <w:r>
        <w:rPr>
          <w:rFonts w:ascii="Arial" w:hAnsi="Arial" w:cs="Arial"/>
          <w:i/>
          <w:iCs/>
          <w:sz w:val="20"/>
          <w:szCs w:val="24"/>
        </w:rPr>
        <w:t>s</w:t>
      </w:r>
      <w:proofErr w:type="spellEnd"/>
      <w:r>
        <w:rPr>
          <w:rFonts w:ascii="Arial" w:hAnsi="Arial" w:cs="Arial"/>
          <w:sz w:val="20"/>
          <w:szCs w:val="24"/>
        </w:rPr>
        <w:t xml:space="preserve"> leaf extract on renal function in rats treated with potassium bromate (KBrO</w:t>
      </w:r>
      <w:r>
        <w:rPr>
          <w:rFonts w:ascii="Arial" w:hAnsi="Arial" w:cs="Arial"/>
          <w:sz w:val="20"/>
          <w:szCs w:val="24"/>
          <w:vertAlign w:val="subscript"/>
        </w:rPr>
        <w:t>3</w:t>
      </w:r>
      <w:r>
        <w:rPr>
          <w:rFonts w:ascii="Arial" w:hAnsi="Arial" w:cs="Arial"/>
          <w:sz w:val="20"/>
          <w:szCs w:val="24"/>
        </w:rPr>
        <w:t>). KBrO</w:t>
      </w:r>
      <w:r>
        <w:rPr>
          <w:rFonts w:ascii="Arial" w:hAnsi="Arial" w:cs="Arial"/>
          <w:sz w:val="20"/>
          <w:szCs w:val="24"/>
          <w:vertAlign w:val="subscript"/>
        </w:rPr>
        <w:t>3</w:t>
      </w:r>
      <w:r>
        <w:rPr>
          <w:rFonts w:ascii="Arial" w:hAnsi="Arial" w:cs="Arial"/>
          <w:sz w:val="20"/>
          <w:szCs w:val="24"/>
        </w:rPr>
        <w:t xml:space="preserve"> significantly elevated urea and creatinine levels, indicating kidney damage and altered electrolyte balance. Treatment with </w:t>
      </w:r>
      <w:r>
        <w:rPr>
          <w:rFonts w:ascii="Arial" w:hAnsi="Arial" w:cs="Arial"/>
          <w:sz w:val="20"/>
          <w:szCs w:val="24"/>
          <w:highlight w:val="yellow"/>
        </w:rPr>
        <w:t>v</w:t>
      </w:r>
      <w:r>
        <w:rPr>
          <w:rFonts w:ascii="Arial" w:hAnsi="Arial" w:cs="Arial"/>
          <w:sz w:val="20"/>
          <w:szCs w:val="24"/>
        </w:rPr>
        <w:t xml:space="preserve">itamin C or various doses of the </w:t>
      </w:r>
      <w:r>
        <w:rPr>
          <w:rFonts w:ascii="Arial" w:hAnsi="Arial" w:cs="Arial"/>
          <w:i/>
          <w:iCs/>
          <w:sz w:val="20"/>
          <w:szCs w:val="24"/>
        </w:rPr>
        <w:t>Amaranthus V</w:t>
      </w:r>
      <w:r>
        <w:rPr>
          <w:rFonts w:ascii="Arial" w:hAnsi="Arial" w:cs="Arial"/>
          <w:sz w:val="20"/>
          <w:szCs w:val="24"/>
        </w:rPr>
        <w:t xml:space="preserve">. leaf extract, particularly at higher </w:t>
      </w:r>
      <w:r>
        <w:rPr>
          <w:rFonts w:ascii="Arial" w:hAnsi="Arial" w:cs="Arial"/>
          <w:sz w:val="20"/>
          <w:szCs w:val="24"/>
          <w:highlight w:val="yellow"/>
        </w:rPr>
        <w:t>d</w:t>
      </w:r>
      <w:r>
        <w:rPr>
          <w:rFonts w:ascii="Arial" w:hAnsi="Arial" w:cs="Arial"/>
          <w:sz w:val="20"/>
          <w:szCs w:val="24"/>
        </w:rPr>
        <w:t>o</w:t>
      </w:r>
      <w:r>
        <w:rPr>
          <w:rFonts w:ascii="Arial" w:hAnsi="Arial" w:cs="Arial"/>
          <w:sz w:val="20"/>
          <w:szCs w:val="24"/>
          <w:highlight w:val="yellow"/>
        </w:rPr>
        <w:t>s</w:t>
      </w:r>
      <w:r>
        <w:rPr>
          <w:rFonts w:ascii="Arial" w:hAnsi="Arial" w:cs="Arial"/>
          <w:sz w:val="20"/>
          <w:szCs w:val="24"/>
        </w:rPr>
        <w:t>es (400 mg/kg and 800 mg/kg), showed a mitigating effect, bringing these parameters closer to control levels.</w:t>
      </w:r>
    </w:p>
    <w:p w14:paraId="65AD579A" w14:textId="77777777" w:rsidR="0031203E" w:rsidRPr="0031203E" w:rsidRDefault="0031203E" w:rsidP="0031203E">
      <w:pPr>
        <w:spacing w:line="360" w:lineRule="auto"/>
        <w:jc w:val="both"/>
        <w:rPr>
          <w:rFonts w:ascii="Arial" w:hAnsi="Arial" w:cs="Arial"/>
          <w:b/>
          <w:szCs w:val="24"/>
        </w:rPr>
      </w:pPr>
      <w:r w:rsidRPr="0031203E">
        <w:rPr>
          <w:rFonts w:ascii="Arial" w:hAnsi="Arial" w:cs="Arial"/>
          <w:b/>
          <w:szCs w:val="24"/>
        </w:rPr>
        <w:t>3.2</w:t>
      </w:r>
      <w:r w:rsidR="009A4DFD">
        <w:rPr>
          <w:rFonts w:ascii="Arial" w:hAnsi="Arial" w:cs="Arial"/>
          <w:b/>
          <w:szCs w:val="24"/>
        </w:rPr>
        <w:t xml:space="preserve"> </w:t>
      </w:r>
      <w:r w:rsidR="009A4DFD" w:rsidRPr="009A4DFD">
        <w:rPr>
          <w:rFonts w:ascii="Arial" w:hAnsi="Arial" w:cs="Arial"/>
          <w:b/>
          <w:szCs w:val="24"/>
        </w:rPr>
        <w:t>EFFECTS OF THE EXTRACT ON LIVER TISSUE HOMOGENATE ANTIOXIDANT STATUS IN POTASSIUM BROMATE TREATED RATS</w:t>
      </w:r>
    </w:p>
    <w:p w14:paraId="46069226" w14:textId="77777777" w:rsidR="0031203E" w:rsidRDefault="0031203E" w:rsidP="0031203E">
      <w:pPr>
        <w:spacing w:line="360" w:lineRule="auto"/>
        <w:jc w:val="both"/>
        <w:rPr>
          <w:rFonts w:ascii="Arial" w:hAnsi="Arial" w:cs="Arial"/>
          <w:sz w:val="20"/>
          <w:szCs w:val="24"/>
        </w:rPr>
      </w:pPr>
      <w:r>
        <w:rPr>
          <w:rFonts w:ascii="Arial" w:hAnsi="Arial" w:cs="Arial"/>
          <w:sz w:val="20"/>
          <w:szCs w:val="24"/>
        </w:rPr>
        <w:t xml:space="preserve">Table 2 presents the impact of an </w:t>
      </w:r>
      <w:r>
        <w:rPr>
          <w:rFonts w:ascii="Arial" w:hAnsi="Arial" w:cs="Arial"/>
          <w:i/>
          <w:sz w:val="20"/>
          <w:szCs w:val="24"/>
        </w:rPr>
        <w:t>A</w:t>
      </w:r>
      <w:r>
        <w:rPr>
          <w:rFonts w:ascii="Arial" w:hAnsi="Arial" w:cs="Arial"/>
          <w:i/>
          <w:sz w:val="20"/>
          <w:szCs w:val="24"/>
          <w:highlight w:val="yellow"/>
        </w:rPr>
        <w:t xml:space="preserve">. </w:t>
      </w:r>
      <w:proofErr w:type="spellStart"/>
      <w:r>
        <w:rPr>
          <w:rFonts w:ascii="Arial" w:hAnsi="Arial" w:cs="Arial"/>
          <w:i/>
          <w:sz w:val="20"/>
          <w:szCs w:val="24"/>
          <w:highlight w:val="yellow"/>
        </w:rPr>
        <w:t>vi</w:t>
      </w:r>
      <w:r>
        <w:rPr>
          <w:rFonts w:ascii="Arial" w:hAnsi="Arial" w:cs="Arial"/>
          <w:i/>
          <w:sz w:val="20"/>
          <w:szCs w:val="24"/>
        </w:rPr>
        <w:t>r</w:t>
      </w:r>
      <w:r>
        <w:rPr>
          <w:rFonts w:ascii="Arial" w:hAnsi="Arial" w:cs="Arial"/>
          <w:i/>
          <w:sz w:val="20"/>
          <w:szCs w:val="24"/>
          <w:highlight w:val="yellow"/>
        </w:rPr>
        <w:t>idi</w:t>
      </w:r>
      <w:r>
        <w:rPr>
          <w:rFonts w:ascii="Arial" w:hAnsi="Arial" w:cs="Arial"/>
          <w:i/>
          <w:sz w:val="20"/>
          <w:szCs w:val="24"/>
        </w:rPr>
        <w:t>s</w:t>
      </w:r>
      <w:proofErr w:type="spellEnd"/>
      <w:r>
        <w:rPr>
          <w:rFonts w:ascii="Arial" w:hAnsi="Arial" w:cs="Arial"/>
          <w:sz w:val="20"/>
          <w:szCs w:val="24"/>
        </w:rPr>
        <w:t xml:space="preserve"> leaf extract on liver tissue antioxidant status in rats exposed to potassium bromate (KBrO3). KBrO33 treatment significantly reduced key antioxidant m</w:t>
      </w:r>
      <w:r>
        <w:rPr>
          <w:rFonts w:ascii="Arial" w:hAnsi="Arial" w:cs="Arial"/>
          <w:sz w:val="20"/>
          <w:szCs w:val="24"/>
          <w:highlight w:val="yellow"/>
        </w:rPr>
        <w:t>ar</w:t>
      </w:r>
      <w:r>
        <w:rPr>
          <w:rFonts w:ascii="Arial" w:hAnsi="Arial" w:cs="Arial"/>
          <w:sz w:val="20"/>
          <w:szCs w:val="24"/>
        </w:rPr>
        <w:t>ke</w:t>
      </w:r>
      <w:r>
        <w:rPr>
          <w:rFonts w:ascii="Arial" w:hAnsi="Arial" w:cs="Arial"/>
          <w:sz w:val="20"/>
          <w:szCs w:val="24"/>
          <w:highlight w:val="yellow"/>
        </w:rPr>
        <w:t>rs, including</w:t>
      </w:r>
      <w:r>
        <w:rPr>
          <w:rFonts w:ascii="Arial" w:hAnsi="Arial" w:cs="Arial"/>
          <w:sz w:val="20"/>
          <w:szCs w:val="24"/>
        </w:rPr>
        <w:t xml:space="preserve"> GSH, </w:t>
      </w:r>
      <w:proofErr w:type="spellStart"/>
      <w:r>
        <w:rPr>
          <w:rFonts w:ascii="Arial" w:hAnsi="Arial" w:cs="Arial"/>
          <w:sz w:val="20"/>
          <w:szCs w:val="24"/>
        </w:rPr>
        <w:t>GPx</w:t>
      </w:r>
      <w:proofErr w:type="spellEnd"/>
      <w:r>
        <w:rPr>
          <w:rFonts w:ascii="Arial" w:hAnsi="Arial" w:cs="Arial"/>
          <w:sz w:val="20"/>
          <w:szCs w:val="24"/>
        </w:rPr>
        <w:t xml:space="preserve">, SOD and CAT, while markedly increasing MDA. Conversely, administration of </w:t>
      </w:r>
      <w:r>
        <w:rPr>
          <w:rFonts w:ascii="Arial" w:hAnsi="Arial" w:cs="Arial"/>
          <w:sz w:val="20"/>
          <w:szCs w:val="24"/>
          <w:highlight w:val="yellow"/>
        </w:rPr>
        <w:t>v</w:t>
      </w:r>
      <w:r>
        <w:rPr>
          <w:rFonts w:ascii="Arial" w:hAnsi="Arial" w:cs="Arial"/>
          <w:sz w:val="20"/>
          <w:szCs w:val="24"/>
        </w:rPr>
        <w:t xml:space="preserve">itamin C or the </w:t>
      </w:r>
      <w:r>
        <w:rPr>
          <w:rFonts w:ascii="Arial" w:hAnsi="Arial" w:cs="Arial"/>
          <w:i/>
          <w:sz w:val="20"/>
          <w:szCs w:val="24"/>
        </w:rPr>
        <w:t>Amaranthus V</w:t>
      </w:r>
      <w:r>
        <w:rPr>
          <w:rFonts w:ascii="Arial" w:hAnsi="Arial" w:cs="Arial"/>
          <w:sz w:val="20"/>
          <w:szCs w:val="24"/>
        </w:rPr>
        <w:t>. leaf extract, especially at higher doses, helped to restore these antioxidant levels and reduce MDA towards th</w:t>
      </w:r>
      <w:r>
        <w:rPr>
          <w:rFonts w:ascii="Arial" w:hAnsi="Arial" w:cs="Arial"/>
          <w:sz w:val="20"/>
          <w:szCs w:val="24"/>
          <w:highlight w:val="yellow"/>
        </w:rPr>
        <w:t>e value</w:t>
      </w:r>
      <w:r>
        <w:rPr>
          <w:rFonts w:ascii="Arial" w:hAnsi="Arial" w:cs="Arial"/>
          <w:sz w:val="20"/>
          <w:szCs w:val="24"/>
        </w:rPr>
        <w:t>s observed in the control group.</w:t>
      </w:r>
    </w:p>
    <w:p w14:paraId="0521A888" w14:textId="77777777" w:rsidR="009A4DFD" w:rsidRDefault="009A4DFD" w:rsidP="0031203E">
      <w:pPr>
        <w:spacing w:line="360" w:lineRule="auto"/>
        <w:jc w:val="both"/>
        <w:rPr>
          <w:rFonts w:ascii="Arial" w:hAnsi="Arial" w:cs="Arial"/>
          <w:sz w:val="20"/>
          <w:szCs w:val="24"/>
        </w:rPr>
      </w:pPr>
    </w:p>
    <w:p w14:paraId="774B0C05" w14:textId="77777777" w:rsidR="009A4DFD" w:rsidRDefault="009A4DFD" w:rsidP="0031203E">
      <w:pPr>
        <w:spacing w:line="360" w:lineRule="auto"/>
        <w:jc w:val="both"/>
        <w:rPr>
          <w:rFonts w:ascii="Arial" w:hAnsi="Arial" w:cs="Arial"/>
          <w:sz w:val="20"/>
          <w:szCs w:val="24"/>
        </w:rPr>
      </w:pPr>
    </w:p>
    <w:p w14:paraId="151918E0" w14:textId="77777777" w:rsidR="009A4DFD" w:rsidRDefault="009A4DFD" w:rsidP="0031203E">
      <w:pPr>
        <w:spacing w:line="360" w:lineRule="auto"/>
        <w:jc w:val="both"/>
        <w:rPr>
          <w:rFonts w:ascii="Arial" w:hAnsi="Arial" w:cs="Arial"/>
          <w:sz w:val="20"/>
          <w:szCs w:val="24"/>
        </w:rPr>
      </w:pPr>
    </w:p>
    <w:p w14:paraId="7EDC02FE" w14:textId="77777777" w:rsidR="009A4DFD" w:rsidRDefault="009A4DFD" w:rsidP="0031203E">
      <w:pPr>
        <w:spacing w:line="360" w:lineRule="auto"/>
        <w:jc w:val="both"/>
        <w:rPr>
          <w:rFonts w:ascii="Arial" w:hAnsi="Arial" w:cs="Arial"/>
          <w:sz w:val="20"/>
          <w:szCs w:val="24"/>
        </w:rPr>
      </w:pPr>
    </w:p>
    <w:p w14:paraId="596BBE43" w14:textId="77777777" w:rsidR="009A4DFD" w:rsidRDefault="009A4DFD" w:rsidP="0031203E">
      <w:pPr>
        <w:spacing w:line="360" w:lineRule="auto"/>
        <w:jc w:val="both"/>
        <w:rPr>
          <w:rFonts w:ascii="Arial" w:hAnsi="Arial" w:cs="Arial"/>
          <w:sz w:val="20"/>
          <w:szCs w:val="24"/>
        </w:rPr>
      </w:pPr>
    </w:p>
    <w:p w14:paraId="156EF113" w14:textId="77777777" w:rsidR="009A4DFD" w:rsidRDefault="009A4DFD" w:rsidP="0031203E">
      <w:pPr>
        <w:spacing w:line="360" w:lineRule="auto"/>
        <w:jc w:val="both"/>
        <w:rPr>
          <w:rFonts w:ascii="Arial" w:hAnsi="Arial" w:cs="Arial"/>
          <w:sz w:val="20"/>
          <w:szCs w:val="24"/>
        </w:rPr>
      </w:pPr>
    </w:p>
    <w:p w14:paraId="5C232C7C" w14:textId="77777777" w:rsidR="009A4DFD" w:rsidRDefault="009A4DFD" w:rsidP="0031203E">
      <w:pPr>
        <w:spacing w:line="360" w:lineRule="auto"/>
        <w:jc w:val="both"/>
        <w:rPr>
          <w:rFonts w:ascii="Arial" w:hAnsi="Arial" w:cs="Arial"/>
          <w:sz w:val="20"/>
          <w:szCs w:val="24"/>
        </w:rPr>
      </w:pPr>
    </w:p>
    <w:p w14:paraId="4C6E6EEE" w14:textId="77777777" w:rsidR="009A4DFD" w:rsidRDefault="009A4DFD" w:rsidP="0031203E">
      <w:pPr>
        <w:spacing w:line="360" w:lineRule="auto"/>
        <w:jc w:val="both"/>
        <w:rPr>
          <w:rFonts w:ascii="Arial" w:hAnsi="Arial" w:cs="Arial"/>
          <w:sz w:val="20"/>
          <w:szCs w:val="24"/>
        </w:rPr>
      </w:pPr>
    </w:p>
    <w:p w14:paraId="43A29127" w14:textId="77777777" w:rsidR="009A4DFD" w:rsidRDefault="009A4DFD" w:rsidP="0031203E">
      <w:pPr>
        <w:spacing w:line="360" w:lineRule="auto"/>
        <w:jc w:val="both"/>
        <w:rPr>
          <w:rFonts w:ascii="Arial" w:hAnsi="Arial" w:cs="Arial"/>
          <w:sz w:val="20"/>
          <w:szCs w:val="24"/>
        </w:rPr>
      </w:pPr>
    </w:p>
    <w:p w14:paraId="4EA76633" w14:textId="77777777" w:rsidR="009A4DFD" w:rsidRDefault="009A4DFD" w:rsidP="0031203E">
      <w:pPr>
        <w:spacing w:line="360" w:lineRule="auto"/>
        <w:jc w:val="both"/>
        <w:rPr>
          <w:rFonts w:ascii="Arial" w:hAnsi="Arial" w:cs="Arial"/>
          <w:sz w:val="20"/>
          <w:szCs w:val="24"/>
        </w:rPr>
      </w:pPr>
    </w:p>
    <w:p w14:paraId="070894FD" w14:textId="77777777" w:rsidR="009A4DFD" w:rsidRDefault="009A4DFD" w:rsidP="0031203E">
      <w:pPr>
        <w:spacing w:line="360" w:lineRule="auto"/>
        <w:jc w:val="both"/>
        <w:rPr>
          <w:rFonts w:ascii="Arial" w:hAnsi="Arial" w:cs="Arial"/>
          <w:sz w:val="20"/>
          <w:szCs w:val="24"/>
        </w:rPr>
      </w:pPr>
    </w:p>
    <w:p w14:paraId="6F4854F2" w14:textId="77777777" w:rsidR="009A4DFD" w:rsidRDefault="009A4DFD" w:rsidP="0031203E">
      <w:pPr>
        <w:spacing w:line="360" w:lineRule="auto"/>
        <w:jc w:val="both"/>
        <w:rPr>
          <w:rFonts w:ascii="Arial" w:hAnsi="Arial" w:cs="Arial"/>
          <w:sz w:val="20"/>
          <w:szCs w:val="24"/>
        </w:rPr>
      </w:pPr>
    </w:p>
    <w:p w14:paraId="44EFBA1B" w14:textId="77777777" w:rsidR="009A4DFD" w:rsidRPr="0031203E" w:rsidRDefault="009A4DFD" w:rsidP="0031203E">
      <w:pPr>
        <w:spacing w:line="360" w:lineRule="auto"/>
        <w:jc w:val="both"/>
        <w:rPr>
          <w:rFonts w:ascii="Arial" w:hAnsi="Arial" w:cs="Arial"/>
          <w:sz w:val="20"/>
          <w:szCs w:val="24"/>
        </w:rPr>
      </w:pPr>
    </w:p>
    <w:p w14:paraId="3BC370C1" w14:textId="77777777" w:rsidR="0031203E" w:rsidRPr="009A4DFD" w:rsidRDefault="0031203E" w:rsidP="0031203E">
      <w:pPr>
        <w:pStyle w:val="NoSpacing"/>
        <w:jc w:val="both"/>
        <w:rPr>
          <w:rFonts w:ascii="Arial" w:hAnsi="Arial" w:cs="Arial"/>
          <w:b/>
          <w:sz w:val="20"/>
          <w:szCs w:val="20"/>
        </w:rPr>
      </w:pPr>
      <w:r w:rsidRPr="009A4DFD">
        <w:rPr>
          <w:rFonts w:ascii="Arial" w:hAnsi="Arial" w:cs="Arial"/>
          <w:b/>
          <w:sz w:val="20"/>
          <w:szCs w:val="20"/>
        </w:rPr>
        <w:t>TABLE 1: EFFECTS OF THE EXTRACT ON RENAL FUNCTION PARAMETERS IN POTASSIUM BROMATE TREATED RATS</w:t>
      </w:r>
    </w:p>
    <w:tbl>
      <w:tblPr>
        <w:tblStyle w:val="ListTable6Colorful1"/>
        <w:tblW w:w="5000" w:type="pct"/>
        <w:tblLook w:val="04A0" w:firstRow="1" w:lastRow="0" w:firstColumn="1" w:lastColumn="0" w:noHBand="0" w:noVBand="1"/>
      </w:tblPr>
      <w:tblGrid>
        <w:gridCol w:w="1364"/>
        <w:gridCol w:w="1271"/>
        <w:gridCol w:w="1226"/>
        <w:gridCol w:w="1452"/>
        <w:gridCol w:w="1233"/>
        <w:gridCol w:w="1407"/>
        <w:gridCol w:w="1407"/>
      </w:tblGrid>
      <w:tr w:rsidR="0031203E" w:rsidRPr="009A4DFD" w14:paraId="658CCEA0" w14:textId="77777777" w:rsidTr="001A4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6" w:type="pct"/>
          </w:tcPr>
          <w:p w14:paraId="53C978E0" w14:textId="77777777" w:rsidR="0031203E" w:rsidRPr="009A4DFD" w:rsidRDefault="0031203E" w:rsidP="00EC6787">
            <w:pPr>
              <w:pStyle w:val="NoSpacing"/>
              <w:jc w:val="both"/>
              <w:rPr>
                <w:rFonts w:ascii="Arial" w:hAnsi="Arial" w:cs="Arial"/>
              </w:rPr>
            </w:pPr>
            <w:r w:rsidRPr="009A4DFD">
              <w:rPr>
                <w:rFonts w:ascii="Arial" w:hAnsi="Arial" w:cs="Arial"/>
              </w:rPr>
              <w:lastRenderedPageBreak/>
              <w:t>Treatment</w:t>
            </w:r>
          </w:p>
        </w:tc>
        <w:tc>
          <w:tcPr>
            <w:tcW w:w="631" w:type="pct"/>
          </w:tcPr>
          <w:p w14:paraId="732EFE44"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Urea (mg/dl)</w:t>
            </w:r>
          </w:p>
        </w:tc>
        <w:tc>
          <w:tcPr>
            <w:tcW w:w="589" w:type="pct"/>
          </w:tcPr>
          <w:p w14:paraId="6CDD6F2F"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Creatinine (mg/dl)</w:t>
            </w:r>
          </w:p>
        </w:tc>
        <w:tc>
          <w:tcPr>
            <w:tcW w:w="631" w:type="pct"/>
          </w:tcPr>
          <w:p w14:paraId="05FF6147"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Na</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631" w:type="pct"/>
          </w:tcPr>
          <w:p w14:paraId="3143965E"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K</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631" w:type="pct"/>
          </w:tcPr>
          <w:p w14:paraId="08EC691F"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Cl</w:t>
            </w:r>
            <w:r w:rsidRPr="009A4DFD">
              <w:rPr>
                <w:rFonts w:ascii="Arial" w:hAnsi="Arial" w:cs="Arial"/>
                <w:vertAlign w:val="superscript"/>
              </w:rPr>
              <w:t>-</w:t>
            </w:r>
            <w:r w:rsidRPr="009A4DFD">
              <w:rPr>
                <w:rFonts w:ascii="Arial" w:hAnsi="Arial" w:cs="Arial"/>
              </w:rPr>
              <w:t xml:space="preserve"> (</w:t>
            </w:r>
            <w:proofErr w:type="spellStart"/>
            <w:r w:rsidRPr="009A4DFD">
              <w:rPr>
                <w:rFonts w:ascii="Arial" w:hAnsi="Arial" w:cs="Arial"/>
              </w:rPr>
              <w:t>mEq</w:t>
            </w:r>
            <w:proofErr w:type="spellEnd"/>
            <w:r w:rsidRPr="009A4DFD">
              <w:rPr>
                <w:rFonts w:ascii="Arial" w:hAnsi="Arial" w:cs="Arial"/>
              </w:rPr>
              <w:t>/L)</w:t>
            </w:r>
          </w:p>
        </w:tc>
        <w:tc>
          <w:tcPr>
            <w:tcW w:w="749" w:type="pct"/>
          </w:tcPr>
          <w:p w14:paraId="70897CFC"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HCO</w:t>
            </w:r>
            <w:r w:rsidRPr="009A4DFD">
              <w:rPr>
                <w:rFonts w:ascii="Arial" w:hAnsi="Arial" w:cs="Arial"/>
                <w:vertAlign w:val="subscript"/>
              </w:rPr>
              <w:t>3</w:t>
            </w:r>
            <w:r w:rsidRPr="009A4DFD">
              <w:rPr>
                <w:rFonts w:ascii="Arial" w:hAnsi="Arial" w:cs="Arial"/>
                <w:vertAlign w:val="superscript"/>
              </w:rPr>
              <w:t>-</w:t>
            </w:r>
            <w:r w:rsidRPr="009A4DFD">
              <w:rPr>
                <w:rFonts w:ascii="Arial" w:hAnsi="Arial" w:cs="Arial"/>
              </w:rPr>
              <w:t>(mmol/L)</w:t>
            </w:r>
          </w:p>
        </w:tc>
      </w:tr>
      <w:tr w:rsidR="0031203E" w:rsidRPr="009A4DFD" w14:paraId="2737B4F3" w14:textId="77777777" w:rsidTr="001A4554">
        <w:trPr>
          <w:trHeight w:val="332"/>
        </w:trPr>
        <w:tc>
          <w:tcPr>
            <w:cnfStyle w:val="001000000000" w:firstRow="0" w:lastRow="0" w:firstColumn="1" w:lastColumn="0" w:oddVBand="0" w:evenVBand="0" w:oddHBand="0" w:evenHBand="0" w:firstRowFirstColumn="0" w:firstRowLastColumn="0" w:lastRowFirstColumn="0" w:lastRowLastColumn="0"/>
            <w:tcW w:w="1136" w:type="pct"/>
          </w:tcPr>
          <w:p w14:paraId="65DFAC5C" w14:textId="77777777" w:rsidR="0031203E" w:rsidRPr="009A4DFD" w:rsidRDefault="0031203E" w:rsidP="00EC6787">
            <w:pPr>
              <w:pStyle w:val="NoSpacing"/>
              <w:jc w:val="both"/>
              <w:rPr>
                <w:rFonts w:ascii="Arial" w:hAnsi="Arial" w:cs="Arial"/>
              </w:rPr>
            </w:pPr>
            <w:r w:rsidRPr="009A4DFD">
              <w:rPr>
                <w:rFonts w:ascii="Arial" w:hAnsi="Arial" w:cs="Arial"/>
              </w:rPr>
              <w:t>Control</w:t>
            </w:r>
          </w:p>
        </w:tc>
        <w:tc>
          <w:tcPr>
            <w:tcW w:w="631" w:type="pct"/>
          </w:tcPr>
          <w:p w14:paraId="50E4364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19.73±0.25</w:t>
            </w:r>
            <w:r w:rsidRPr="009A4DFD">
              <w:rPr>
                <w:rFonts w:ascii="Arial" w:hAnsi="Arial" w:cs="Arial"/>
                <w:color w:val="000000"/>
                <w:vertAlign w:val="superscript"/>
              </w:rPr>
              <w:t>a</w:t>
            </w:r>
          </w:p>
        </w:tc>
        <w:tc>
          <w:tcPr>
            <w:tcW w:w="589" w:type="pct"/>
          </w:tcPr>
          <w:p w14:paraId="5E02974F" w14:textId="77777777" w:rsidR="0031203E" w:rsidRPr="009A4DFD" w:rsidRDefault="0031203E" w:rsidP="00EC67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0.65±0.05</w:t>
            </w:r>
            <w:r w:rsidRPr="009A4DFD">
              <w:rPr>
                <w:rFonts w:ascii="Arial" w:hAnsi="Arial" w:cs="Arial"/>
                <w:color w:val="000000"/>
                <w:vertAlign w:val="superscript"/>
              </w:rPr>
              <w:t>a</w:t>
            </w:r>
          </w:p>
        </w:tc>
        <w:tc>
          <w:tcPr>
            <w:tcW w:w="631" w:type="pct"/>
          </w:tcPr>
          <w:p w14:paraId="24738BE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132.07</w:t>
            </w:r>
            <w:r w:rsidRPr="009A4DFD">
              <w:rPr>
                <w:rFonts w:ascii="Arial" w:hAnsi="Arial" w:cs="Arial"/>
                <w:color w:val="000000"/>
              </w:rPr>
              <w:t>±1.02</w:t>
            </w:r>
            <w:r w:rsidRPr="009A4DFD">
              <w:rPr>
                <w:rFonts w:ascii="Arial" w:hAnsi="Arial" w:cs="Arial"/>
                <w:color w:val="000000"/>
                <w:vertAlign w:val="superscript"/>
              </w:rPr>
              <w:t>a</w:t>
            </w:r>
          </w:p>
        </w:tc>
        <w:tc>
          <w:tcPr>
            <w:tcW w:w="631" w:type="pct"/>
          </w:tcPr>
          <w:p w14:paraId="7FCB5E28"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4.24±0.12</w:t>
            </w:r>
            <w:r w:rsidRPr="009A4DFD">
              <w:rPr>
                <w:rFonts w:ascii="Arial" w:hAnsi="Arial" w:cs="Arial"/>
                <w:color w:val="000000"/>
                <w:vertAlign w:val="superscript"/>
              </w:rPr>
              <w:t>a</w:t>
            </w:r>
          </w:p>
        </w:tc>
        <w:tc>
          <w:tcPr>
            <w:tcW w:w="631" w:type="pct"/>
          </w:tcPr>
          <w:p w14:paraId="37E80FA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88.90±1.13</w:t>
            </w:r>
            <w:r w:rsidRPr="009A4DFD">
              <w:rPr>
                <w:rFonts w:ascii="Arial" w:hAnsi="Arial" w:cs="Arial"/>
                <w:color w:val="000000"/>
                <w:vertAlign w:val="superscript"/>
              </w:rPr>
              <w:t>a</w:t>
            </w:r>
          </w:p>
        </w:tc>
        <w:tc>
          <w:tcPr>
            <w:tcW w:w="749" w:type="pct"/>
          </w:tcPr>
          <w:p w14:paraId="5CAE567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19.27</w:t>
            </w:r>
            <w:r w:rsidRPr="009A4DFD">
              <w:rPr>
                <w:rFonts w:ascii="Arial" w:hAnsi="Arial" w:cs="Arial"/>
                <w:color w:val="000000"/>
              </w:rPr>
              <w:t>±0.25</w:t>
            </w:r>
            <w:r w:rsidRPr="009A4DFD">
              <w:rPr>
                <w:rFonts w:ascii="Arial" w:hAnsi="Arial" w:cs="Arial"/>
                <w:color w:val="000000"/>
                <w:vertAlign w:val="superscript"/>
              </w:rPr>
              <w:t>a</w:t>
            </w:r>
          </w:p>
        </w:tc>
      </w:tr>
      <w:tr w:rsidR="0031203E" w:rsidRPr="009A4DFD" w14:paraId="124FA533" w14:textId="77777777" w:rsidTr="001A4554">
        <w:trPr>
          <w:trHeight w:val="603"/>
        </w:trPr>
        <w:tc>
          <w:tcPr>
            <w:cnfStyle w:val="001000000000" w:firstRow="0" w:lastRow="0" w:firstColumn="1" w:lastColumn="0" w:oddVBand="0" w:evenVBand="0" w:oddHBand="0" w:evenHBand="0" w:firstRowFirstColumn="0" w:firstRowLastColumn="0" w:lastRowFirstColumn="0" w:lastRowLastColumn="0"/>
            <w:tcW w:w="1136" w:type="pct"/>
          </w:tcPr>
          <w:p w14:paraId="1F259E14" w14:textId="77777777" w:rsidR="0031203E" w:rsidRPr="009A4DFD" w:rsidRDefault="0031203E" w:rsidP="00EC6787">
            <w:pPr>
              <w:pStyle w:val="NoSpacing"/>
              <w:jc w:val="both"/>
              <w:rPr>
                <w:rFonts w:ascii="Arial" w:hAnsi="Arial" w:cs="Arial"/>
              </w:rPr>
            </w:pPr>
            <w:r w:rsidRPr="009A4DFD">
              <w:rPr>
                <w:rFonts w:ascii="Arial" w:hAnsi="Arial" w:cs="Arial"/>
              </w:rPr>
              <w:t>KBrO</w:t>
            </w:r>
            <w:r w:rsidRPr="009A4DFD">
              <w:rPr>
                <w:rFonts w:ascii="Arial" w:hAnsi="Arial" w:cs="Arial"/>
                <w:vertAlign w:val="subscript"/>
              </w:rPr>
              <w:t>3</w:t>
            </w:r>
            <w:r w:rsidRPr="009A4DFD">
              <w:rPr>
                <w:rFonts w:ascii="Arial" w:hAnsi="Arial" w:cs="Arial"/>
              </w:rPr>
              <w:t xml:space="preserve"> (50 mg/kg)</w:t>
            </w:r>
          </w:p>
        </w:tc>
        <w:tc>
          <w:tcPr>
            <w:tcW w:w="631" w:type="pct"/>
          </w:tcPr>
          <w:p w14:paraId="012E29E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43.00±1.85</w:t>
            </w:r>
            <w:r w:rsidRPr="009A4DFD">
              <w:rPr>
                <w:rFonts w:ascii="Arial" w:hAnsi="Arial" w:cs="Arial"/>
                <w:color w:val="000000"/>
                <w:vertAlign w:val="superscript"/>
              </w:rPr>
              <w:t>e</w:t>
            </w:r>
          </w:p>
        </w:tc>
        <w:tc>
          <w:tcPr>
            <w:tcW w:w="589" w:type="pct"/>
          </w:tcPr>
          <w:p w14:paraId="630A451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1.48±0.06</w:t>
            </w:r>
            <w:r w:rsidRPr="009A4DFD">
              <w:rPr>
                <w:rFonts w:ascii="Arial" w:hAnsi="Arial" w:cs="Arial"/>
                <w:color w:val="000000"/>
                <w:vertAlign w:val="superscript"/>
              </w:rPr>
              <w:t>e</w:t>
            </w:r>
          </w:p>
        </w:tc>
        <w:tc>
          <w:tcPr>
            <w:tcW w:w="631" w:type="pct"/>
          </w:tcPr>
          <w:p w14:paraId="1C08F90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141.17</w:t>
            </w:r>
            <w:r w:rsidRPr="009A4DFD">
              <w:rPr>
                <w:rFonts w:ascii="Arial" w:hAnsi="Arial" w:cs="Arial"/>
                <w:color w:val="000000"/>
              </w:rPr>
              <w:t>±2.28</w:t>
            </w:r>
          </w:p>
        </w:tc>
        <w:tc>
          <w:tcPr>
            <w:tcW w:w="631" w:type="pct"/>
          </w:tcPr>
          <w:p w14:paraId="1F45F13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4.50±0.08</w:t>
            </w:r>
            <w:r w:rsidRPr="009A4DFD">
              <w:rPr>
                <w:rFonts w:ascii="Arial" w:hAnsi="Arial" w:cs="Arial"/>
                <w:color w:val="000000"/>
                <w:vertAlign w:val="superscript"/>
              </w:rPr>
              <w:t>b</w:t>
            </w:r>
          </w:p>
        </w:tc>
        <w:tc>
          <w:tcPr>
            <w:tcW w:w="631" w:type="pct"/>
          </w:tcPr>
          <w:p w14:paraId="5943678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92.33±0.45</w:t>
            </w:r>
            <w:r w:rsidRPr="009A4DFD">
              <w:rPr>
                <w:rFonts w:ascii="Arial" w:hAnsi="Arial" w:cs="Arial"/>
                <w:color w:val="000000"/>
                <w:vertAlign w:val="superscript"/>
              </w:rPr>
              <w:t>d</w:t>
            </w:r>
          </w:p>
        </w:tc>
        <w:tc>
          <w:tcPr>
            <w:tcW w:w="749" w:type="pct"/>
          </w:tcPr>
          <w:p w14:paraId="09E787C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20.50</w:t>
            </w:r>
            <w:r w:rsidRPr="009A4DFD">
              <w:rPr>
                <w:rFonts w:ascii="Arial" w:hAnsi="Arial" w:cs="Arial"/>
                <w:color w:val="000000"/>
              </w:rPr>
              <w:t>±0.36</w:t>
            </w:r>
            <w:r w:rsidRPr="009A4DFD">
              <w:rPr>
                <w:rFonts w:ascii="Arial" w:hAnsi="Arial" w:cs="Arial"/>
                <w:color w:val="000000"/>
                <w:vertAlign w:val="superscript"/>
              </w:rPr>
              <w:t>c</w:t>
            </w:r>
          </w:p>
        </w:tc>
      </w:tr>
      <w:tr w:rsidR="0031203E" w:rsidRPr="009A4DFD" w14:paraId="6772D3F2" w14:textId="77777777" w:rsidTr="001A4554">
        <w:trPr>
          <w:trHeight w:val="1170"/>
        </w:trPr>
        <w:tc>
          <w:tcPr>
            <w:cnfStyle w:val="001000000000" w:firstRow="0" w:lastRow="0" w:firstColumn="1" w:lastColumn="0" w:oddVBand="0" w:evenVBand="0" w:oddHBand="0" w:evenHBand="0" w:firstRowFirstColumn="0" w:firstRowLastColumn="0" w:lastRowFirstColumn="0" w:lastRowLastColumn="0"/>
            <w:tcW w:w="1136" w:type="pct"/>
          </w:tcPr>
          <w:p w14:paraId="14813DD7" w14:textId="77777777" w:rsidR="0031203E" w:rsidRPr="009A4DFD" w:rsidRDefault="0031203E" w:rsidP="00EC6787">
            <w:pPr>
              <w:pStyle w:val="NoSpacing"/>
              <w:jc w:val="both"/>
              <w:rPr>
                <w:rFonts w:ascii="Arial" w:hAnsi="Arial" w:cs="Arial"/>
              </w:rPr>
            </w:pPr>
            <w:r w:rsidRPr="009A4DFD">
              <w:rPr>
                <w:rFonts w:ascii="Arial" w:hAnsi="Arial" w:cs="Arial"/>
              </w:rPr>
              <w:t>Vit. C (100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3D2E304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35.20±1.40</w:t>
            </w:r>
            <w:r w:rsidRPr="009A4DFD">
              <w:rPr>
                <w:rFonts w:ascii="Arial" w:hAnsi="Arial" w:cs="Arial"/>
                <w:color w:val="000000"/>
                <w:vertAlign w:val="superscript"/>
              </w:rPr>
              <w:t>d</w:t>
            </w:r>
          </w:p>
        </w:tc>
        <w:tc>
          <w:tcPr>
            <w:tcW w:w="589" w:type="pct"/>
          </w:tcPr>
          <w:p w14:paraId="2FFFF9F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1.00±0.06</w:t>
            </w:r>
            <w:r w:rsidRPr="009A4DFD">
              <w:rPr>
                <w:rFonts w:ascii="Arial" w:hAnsi="Arial" w:cs="Arial"/>
                <w:color w:val="000000"/>
                <w:vertAlign w:val="superscript"/>
              </w:rPr>
              <w:t>d</w:t>
            </w:r>
          </w:p>
        </w:tc>
        <w:tc>
          <w:tcPr>
            <w:tcW w:w="631" w:type="pct"/>
          </w:tcPr>
          <w:p w14:paraId="0A24C26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136.00</w:t>
            </w:r>
            <w:r w:rsidRPr="009A4DFD">
              <w:rPr>
                <w:rFonts w:ascii="Arial" w:hAnsi="Arial" w:cs="Arial"/>
                <w:color w:val="000000"/>
              </w:rPr>
              <w:t>±</w:t>
            </w:r>
            <w:r w:rsidRPr="009A4DFD">
              <w:rPr>
                <w:rFonts w:ascii="Arial" w:hAnsi="Arial" w:cs="Arial"/>
              </w:rPr>
              <w:t>0.36</w:t>
            </w:r>
            <w:r w:rsidRPr="009A4DFD">
              <w:rPr>
                <w:rFonts w:ascii="Arial" w:hAnsi="Arial" w:cs="Arial"/>
                <w:vertAlign w:val="superscript"/>
              </w:rPr>
              <w:t>b</w:t>
            </w:r>
          </w:p>
        </w:tc>
        <w:tc>
          <w:tcPr>
            <w:tcW w:w="631" w:type="pct"/>
          </w:tcPr>
          <w:p w14:paraId="3F42F58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4.30±0.08</w:t>
            </w:r>
            <w:r w:rsidRPr="009A4DFD">
              <w:rPr>
                <w:rFonts w:ascii="Arial" w:hAnsi="Arial" w:cs="Arial"/>
                <w:color w:val="000000"/>
                <w:vertAlign w:val="superscript"/>
              </w:rPr>
              <w:t>ab</w:t>
            </w:r>
          </w:p>
        </w:tc>
        <w:tc>
          <w:tcPr>
            <w:tcW w:w="631" w:type="pct"/>
          </w:tcPr>
          <w:p w14:paraId="06D255E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91.23±0.70</w:t>
            </w:r>
            <w:r w:rsidRPr="009A4DFD">
              <w:rPr>
                <w:rFonts w:ascii="Arial" w:hAnsi="Arial" w:cs="Arial"/>
                <w:color w:val="000000"/>
                <w:vertAlign w:val="superscript"/>
              </w:rPr>
              <w:t>cd</w:t>
            </w:r>
          </w:p>
        </w:tc>
        <w:tc>
          <w:tcPr>
            <w:tcW w:w="749" w:type="pct"/>
          </w:tcPr>
          <w:p w14:paraId="4E35225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20.30</w:t>
            </w:r>
            <w:r w:rsidRPr="009A4DFD">
              <w:rPr>
                <w:rFonts w:ascii="Arial" w:hAnsi="Arial" w:cs="Arial"/>
                <w:color w:val="000000"/>
              </w:rPr>
              <w:t>±0.46</w:t>
            </w:r>
            <w:r w:rsidRPr="009A4DFD">
              <w:rPr>
                <w:rFonts w:ascii="Arial" w:hAnsi="Arial" w:cs="Arial"/>
                <w:color w:val="000000"/>
                <w:vertAlign w:val="superscript"/>
              </w:rPr>
              <w:t>bc</w:t>
            </w:r>
          </w:p>
        </w:tc>
      </w:tr>
      <w:tr w:rsidR="0031203E" w:rsidRPr="009A4DFD" w14:paraId="650EB5C6" w14:textId="77777777" w:rsidTr="001A4554">
        <w:trPr>
          <w:trHeight w:val="1440"/>
        </w:trPr>
        <w:tc>
          <w:tcPr>
            <w:cnfStyle w:val="001000000000" w:firstRow="0" w:lastRow="0" w:firstColumn="1" w:lastColumn="0" w:oddVBand="0" w:evenVBand="0" w:oddHBand="0" w:evenHBand="0" w:firstRowFirstColumn="0" w:firstRowLastColumn="0" w:lastRowFirstColumn="0" w:lastRowLastColumn="0"/>
            <w:tcW w:w="1136" w:type="pct"/>
          </w:tcPr>
          <w:p w14:paraId="3B39C62D"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(200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32748F5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27.47±0.90</w:t>
            </w:r>
            <w:r w:rsidRPr="009A4DFD">
              <w:rPr>
                <w:rFonts w:ascii="Arial" w:hAnsi="Arial" w:cs="Arial"/>
                <w:color w:val="000000"/>
                <w:vertAlign w:val="superscript"/>
              </w:rPr>
              <w:t>c</w:t>
            </w:r>
          </w:p>
        </w:tc>
        <w:tc>
          <w:tcPr>
            <w:tcW w:w="589" w:type="pct"/>
          </w:tcPr>
          <w:p w14:paraId="3CAB6155"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0.98±0.04</w:t>
            </w:r>
            <w:r w:rsidRPr="009A4DFD">
              <w:rPr>
                <w:rFonts w:ascii="Arial" w:hAnsi="Arial" w:cs="Arial"/>
                <w:color w:val="000000"/>
                <w:vertAlign w:val="superscript"/>
              </w:rPr>
              <w:t>cd</w:t>
            </w:r>
          </w:p>
        </w:tc>
        <w:tc>
          <w:tcPr>
            <w:tcW w:w="631" w:type="pct"/>
          </w:tcPr>
          <w:p w14:paraId="15C1CF3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135.40</w:t>
            </w:r>
            <w:r w:rsidRPr="009A4DFD">
              <w:rPr>
                <w:rFonts w:ascii="Arial" w:hAnsi="Arial" w:cs="Arial"/>
                <w:color w:val="000000"/>
              </w:rPr>
              <w:t>±</w:t>
            </w:r>
            <w:r w:rsidRPr="009A4DFD">
              <w:rPr>
                <w:rFonts w:ascii="Arial" w:hAnsi="Arial" w:cs="Arial"/>
              </w:rPr>
              <w:t>1.35</w:t>
            </w:r>
            <w:r w:rsidRPr="009A4DFD">
              <w:rPr>
                <w:rFonts w:ascii="Arial" w:hAnsi="Arial" w:cs="Arial"/>
                <w:vertAlign w:val="superscript"/>
              </w:rPr>
              <w:t>b</w:t>
            </w:r>
          </w:p>
        </w:tc>
        <w:tc>
          <w:tcPr>
            <w:tcW w:w="631" w:type="pct"/>
          </w:tcPr>
          <w:p w14:paraId="4737934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4.45±0.07</w:t>
            </w:r>
            <w:r w:rsidRPr="009A4DFD">
              <w:rPr>
                <w:rFonts w:ascii="Arial" w:hAnsi="Arial" w:cs="Arial"/>
                <w:color w:val="000000"/>
                <w:vertAlign w:val="superscript"/>
              </w:rPr>
              <w:t>ab</w:t>
            </w:r>
          </w:p>
        </w:tc>
        <w:tc>
          <w:tcPr>
            <w:tcW w:w="631" w:type="pct"/>
          </w:tcPr>
          <w:p w14:paraId="3A19CEE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90.93±1.07</w:t>
            </w:r>
            <w:r w:rsidRPr="009A4DFD">
              <w:rPr>
                <w:rFonts w:ascii="Arial" w:hAnsi="Arial" w:cs="Arial"/>
                <w:color w:val="000000"/>
                <w:vertAlign w:val="superscript"/>
              </w:rPr>
              <w:t>bcd</w:t>
            </w:r>
          </w:p>
        </w:tc>
        <w:tc>
          <w:tcPr>
            <w:tcW w:w="749" w:type="pct"/>
          </w:tcPr>
          <w:p w14:paraId="0B235208"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rPr>
              <w:t xml:space="preserve">  19.87</w:t>
            </w:r>
            <w:r w:rsidRPr="009A4DFD">
              <w:rPr>
                <w:rFonts w:ascii="Arial" w:hAnsi="Arial" w:cs="Arial"/>
                <w:color w:val="000000"/>
              </w:rPr>
              <w:t>±0.31</w:t>
            </w:r>
            <w:r w:rsidRPr="009A4DFD">
              <w:rPr>
                <w:rFonts w:ascii="Arial" w:hAnsi="Arial" w:cs="Arial"/>
                <w:color w:val="000000"/>
                <w:vertAlign w:val="superscript"/>
              </w:rPr>
              <w:t>abc</w:t>
            </w:r>
          </w:p>
        </w:tc>
      </w:tr>
      <w:tr w:rsidR="0031203E" w:rsidRPr="009A4DFD" w14:paraId="431968A2" w14:textId="77777777" w:rsidTr="001A4554">
        <w:trPr>
          <w:trHeight w:val="1350"/>
        </w:trPr>
        <w:tc>
          <w:tcPr>
            <w:cnfStyle w:val="001000000000" w:firstRow="0" w:lastRow="0" w:firstColumn="1" w:lastColumn="0" w:oddVBand="0" w:evenVBand="0" w:oddHBand="0" w:evenHBand="0" w:firstRowFirstColumn="0" w:firstRowLastColumn="0" w:lastRowFirstColumn="0" w:lastRowLastColumn="0"/>
            <w:tcW w:w="1136" w:type="pct"/>
          </w:tcPr>
          <w:p w14:paraId="006067F7"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(400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0D812BF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24.20±1.25</w:t>
            </w:r>
            <w:r w:rsidRPr="009A4DFD">
              <w:rPr>
                <w:rFonts w:ascii="Arial" w:hAnsi="Arial" w:cs="Arial"/>
                <w:color w:val="000000"/>
                <w:vertAlign w:val="superscript"/>
              </w:rPr>
              <w:t>b</w:t>
            </w:r>
          </w:p>
        </w:tc>
        <w:tc>
          <w:tcPr>
            <w:tcW w:w="589" w:type="pct"/>
          </w:tcPr>
          <w:p w14:paraId="2F7FCC1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0.90±0.04</w:t>
            </w:r>
            <w:r w:rsidRPr="009A4DFD">
              <w:rPr>
                <w:rFonts w:ascii="Arial" w:hAnsi="Arial" w:cs="Arial"/>
                <w:color w:val="000000"/>
                <w:vertAlign w:val="superscript"/>
              </w:rPr>
              <w:t>bc</w:t>
            </w:r>
          </w:p>
        </w:tc>
        <w:tc>
          <w:tcPr>
            <w:tcW w:w="631" w:type="pct"/>
          </w:tcPr>
          <w:p w14:paraId="54C65DA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133.70</w:t>
            </w:r>
            <w:r w:rsidRPr="009A4DFD">
              <w:rPr>
                <w:rFonts w:ascii="Arial" w:hAnsi="Arial" w:cs="Arial"/>
                <w:color w:val="000000"/>
              </w:rPr>
              <w:t>±0.95</w:t>
            </w:r>
            <w:r w:rsidRPr="009A4DFD">
              <w:rPr>
                <w:rFonts w:ascii="Arial" w:hAnsi="Arial" w:cs="Arial"/>
                <w:color w:val="000000"/>
                <w:vertAlign w:val="superscript"/>
              </w:rPr>
              <w:t>ab</w:t>
            </w:r>
          </w:p>
        </w:tc>
        <w:tc>
          <w:tcPr>
            <w:tcW w:w="631" w:type="pct"/>
          </w:tcPr>
          <w:p w14:paraId="5903383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4.41±0.17</w:t>
            </w:r>
            <w:r w:rsidRPr="009A4DFD">
              <w:rPr>
                <w:rFonts w:ascii="Arial" w:hAnsi="Arial" w:cs="Arial"/>
                <w:color w:val="000000"/>
                <w:vertAlign w:val="superscript"/>
              </w:rPr>
              <w:t>ab</w:t>
            </w:r>
          </w:p>
        </w:tc>
        <w:tc>
          <w:tcPr>
            <w:tcW w:w="631" w:type="pct"/>
          </w:tcPr>
          <w:p w14:paraId="6B90757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89.50±1.05</w:t>
            </w:r>
            <w:r w:rsidRPr="009A4DFD">
              <w:rPr>
                <w:rFonts w:ascii="Arial" w:hAnsi="Arial" w:cs="Arial"/>
                <w:color w:val="000000"/>
                <w:vertAlign w:val="superscript"/>
              </w:rPr>
              <w:t>ab</w:t>
            </w:r>
          </w:p>
        </w:tc>
        <w:tc>
          <w:tcPr>
            <w:tcW w:w="749" w:type="pct"/>
          </w:tcPr>
          <w:p w14:paraId="1FF6334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19.70</w:t>
            </w:r>
            <w:r w:rsidRPr="009A4DFD">
              <w:rPr>
                <w:rFonts w:ascii="Arial" w:hAnsi="Arial" w:cs="Arial"/>
                <w:color w:val="000000"/>
              </w:rPr>
              <w:t>±0.36</w:t>
            </w:r>
            <w:r w:rsidRPr="009A4DFD">
              <w:rPr>
                <w:rFonts w:ascii="Arial" w:hAnsi="Arial" w:cs="Arial"/>
                <w:color w:val="000000"/>
                <w:vertAlign w:val="superscript"/>
              </w:rPr>
              <w:t>ab</w:t>
            </w:r>
          </w:p>
        </w:tc>
      </w:tr>
      <w:tr w:rsidR="0031203E" w:rsidRPr="009A4DFD" w14:paraId="0E429DF9" w14:textId="77777777" w:rsidTr="001A4554">
        <w:trPr>
          <w:trHeight w:val="1440"/>
        </w:trPr>
        <w:tc>
          <w:tcPr>
            <w:cnfStyle w:val="001000000000" w:firstRow="0" w:lastRow="0" w:firstColumn="1" w:lastColumn="0" w:oddVBand="0" w:evenVBand="0" w:oddHBand="0" w:evenHBand="0" w:firstRowFirstColumn="0" w:firstRowLastColumn="0" w:lastRowFirstColumn="0" w:lastRowLastColumn="0"/>
            <w:tcW w:w="1136" w:type="pct"/>
          </w:tcPr>
          <w:p w14:paraId="40CFD9C8"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w:t>
            </w:r>
            <w:r w:rsidRPr="009A4DFD">
              <w:rPr>
                <w:rFonts w:ascii="Arial" w:hAnsi="Arial" w:cs="Arial"/>
                <w:i/>
              </w:rPr>
              <w:t xml:space="preserve"> </w:t>
            </w:r>
            <w:r w:rsidRPr="009A4DFD">
              <w:rPr>
                <w:rFonts w:ascii="Arial" w:hAnsi="Arial" w:cs="Arial"/>
              </w:rPr>
              <w:t>(800 mg/kg) + KBrO</w:t>
            </w:r>
            <w:r w:rsidRPr="009A4DFD">
              <w:rPr>
                <w:rFonts w:ascii="Arial" w:hAnsi="Arial" w:cs="Arial"/>
                <w:vertAlign w:val="subscript"/>
              </w:rPr>
              <w:t>3</w:t>
            </w:r>
            <w:r w:rsidRPr="009A4DFD">
              <w:rPr>
                <w:rFonts w:ascii="Arial" w:hAnsi="Arial" w:cs="Arial"/>
              </w:rPr>
              <w:t xml:space="preserve"> (50 mg/kg)</w:t>
            </w:r>
          </w:p>
        </w:tc>
        <w:tc>
          <w:tcPr>
            <w:tcW w:w="631" w:type="pct"/>
          </w:tcPr>
          <w:p w14:paraId="00E299B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23.90±0.92</w:t>
            </w:r>
            <w:r w:rsidRPr="009A4DFD">
              <w:rPr>
                <w:rFonts w:ascii="Arial" w:hAnsi="Arial" w:cs="Arial"/>
                <w:color w:val="000000"/>
                <w:vertAlign w:val="superscript"/>
              </w:rPr>
              <w:t>b</w:t>
            </w:r>
          </w:p>
        </w:tc>
        <w:tc>
          <w:tcPr>
            <w:tcW w:w="589" w:type="pct"/>
          </w:tcPr>
          <w:p w14:paraId="102F9C9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0.83±0.04</w:t>
            </w:r>
            <w:r w:rsidRPr="009A4DFD">
              <w:rPr>
                <w:rFonts w:ascii="Arial" w:hAnsi="Arial" w:cs="Arial"/>
                <w:color w:val="000000"/>
                <w:vertAlign w:val="superscript"/>
              </w:rPr>
              <w:t>b</w:t>
            </w:r>
          </w:p>
        </w:tc>
        <w:tc>
          <w:tcPr>
            <w:tcW w:w="631" w:type="pct"/>
          </w:tcPr>
          <w:p w14:paraId="0D97B6B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134.30</w:t>
            </w:r>
            <w:r w:rsidRPr="009A4DFD">
              <w:rPr>
                <w:rFonts w:ascii="Arial" w:hAnsi="Arial" w:cs="Arial"/>
                <w:color w:val="000000"/>
              </w:rPr>
              <w:t>±1.38</w:t>
            </w:r>
            <w:r w:rsidRPr="009A4DFD">
              <w:rPr>
                <w:rFonts w:ascii="Arial" w:hAnsi="Arial" w:cs="Arial"/>
                <w:color w:val="000000"/>
                <w:vertAlign w:val="superscript"/>
              </w:rPr>
              <w:t>ab</w:t>
            </w:r>
          </w:p>
          <w:p w14:paraId="10491F47"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p w14:paraId="604196A2"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631" w:type="pct"/>
          </w:tcPr>
          <w:p w14:paraId="4F3CB10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4.36±0.13</w:t>
            </w:r>
            <w:r w:rsidRPr="009A4DFD">
              <w:rPr>
                <w:rFonts w:ascii="Arial" w:hAnsi="Arial" w:cs="Arial"/>
                <w:color w:val="000000"/>
                <w:vertAlign w:val="superscript"/>
              </w:rPr>
              <w:t>ab</w:t>
            </w:r>
          </w:p>
        </w:tc>
        <w:tc>
          <w:tcPr>
            <w:tcW w:w="631" w:type="pct"/>
          </w:tcPr>
          <w:p w14:paraId="665F8E5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 xml:space="preserve">  89.97±0.82</w:t>
            </w:r>
            <w:r w:rsidRPr="009A4DFD">
              <w:rPr>
                <w:rFonts w:ascii="Arial" w:hAnsi="Arial" w:cs="Arial"/>
                <w:color w:val="000000"/>
                <w:vertAlign w:val="superscript"/>
              </w:rPr>
              <w:t>abc</w:t>
            </w:r>
          </w:p>
        </w:tc>
        <w:tc>
          <w:tcPr>
            <w:tcW w:w="749" w:type="pct"/>
          </w:tcPr>
          <w:p w14:paraId="7AE3852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19.57</w:t>
            </w:r>
            <w:r w:rsidRPr="009A4DFD">
              <w:rPr>
                <w:rFonts w:ascii="Arial" w:hAnsi="Arial" w:cs="Arial"/>
                <w:color w:val="000000"/>
              </w:rPr>
              <w:t>±</w:t>
            </w:r>
            <w:r w:rsidRPr="009A4DFD">
              <w:rPr>
                <w:rFonts w:ascii="Arial" w:hAnsi="Arial" w:cs="Arial"/>
              </w:rPr>
              <w:t>0.35</w:t>
            </w:r>
            <w:r w:rsidRPr="009A4DFD">
              <w:rPr>
                <w:rFonts w:ascii="Arial" w:hAnsi="Arial" w:cs="Arial"/>
                <w:vertAlign w:val="superscript"/>
              </w:rPr>
              <w:t>a</w:t>
            </w:r>
          </w:p>
          <w:p w14:paraId="057901B1" w14:textId="77777777" w:rsidR="0031203E" w:rsidRPr="009A4DFD" w:rsidRDefault="0031203E" w:rsidP="00EC6787">
            <w:pPr>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CB3158D" w14:textId="77777777" w:rsidR="0031203E" w:rsidRPr="009A4DFD" w:rsidRDefault="0031203E" w:rsidP="0031203E">
      <w:pPr>
        <w:pStyle w:val="NoSpacing"/>
        <w:spacing w:line="360" w:lineRule="auto"/>
        <w:jc w:val="both"/>
        <w:rPr>
          <w:rFonts w:ascii="Arial" w:hAnsi="Arial" w:cs="Arial"/>
          <w:bCs/>
          <w:sz w:val="20"/>
          <w:szCs w:val="20"/>
        </w:rPr>
      </w:pPr>
      <w:r w:rsidRPr="009A4DFD">
        <w:rPr>
          <w:rFonts w:ascii="Arial" w:eastAsia="Times New Roman" w:hAnsi="Arial" w:cs="Arial"/>
          <w:color w:val="000000"/>
          <w:sz w:val="20"/>
          <w:szCs w:val="20"/>
        </w:rPr>
        <w:t>Values are presented as mean ± standard deviation of replicated determination (n = 3). Means that the same column bearing different letter superscripts is statistically significantly different</w:t>
      </w:r>
    </w:p>
    <w:p w14:paraId="6D4E8F9F" w14:textId="77777777" w:rsidR="0031203E" w:rsidRDefault="0031203E" w:rsidP="0031203E">
      <w:pPr>
        <w:pStyle w:val="NoSpacing"/>
        <w:jc w:val="both"/>
        <w:rPr>
          <w:rFonts w:ascii="Times New Roman" w:hAnsi="Times New Roman" w:cs="Times New Roman"/>
          <w:bCs/>
          <w:sz w:val="24"/>
          <w:szCs w:val="24"/>
        </w:rPr>
      </w:pPr>
    </w:p>
    <w:p w14:paraId="79E8B8F3" w14:textId="77777777" w:rsidR="0031203E" w:rsidRPr="00D64739" w:rsidRDefault="0031203E" w:rsidP="0031203E">
      <w:pPr>
        <w:pStyle w:val="NoSpacing"/>
        <w:jc w:val="both"/>
        <w:rPr>
          <w:rFonts w:ascii="Times New Roman" w:hAnsi="Times New Roman" w:cs="Times New Roman"/>
          <w:bCs/>
          <w:sz w:val="24"/>
          <w:szCs w:val="24"/>
        </w:rPr>
      </w:pPr>
    </w:p>
    <w:p w14:paraId="700C3B95" w14:textId="77777777" w:rsidR="0031203E" w:rsidRDefault="0031203E" w:rsidP="0031203E">
      <w:pPr>
        <w:pStyle w:val="NoSpacing"/>
        <w:jc w:val="both"/>
        <w:rPr>
          <w:rFonts w:ascii="Times New Roman" w:hAnsi="Times New Roman" w:cs="Times New Roman"/>
          <w:b/>
          <w:sz w:val="24"/>
          <w:szCs w:val="24"/>
        </w:rPr>
      </w:pPr>
    </w:p>
    <w:p w14:paraId="2056C655" w14:textId="77777777" w:rsidR="0031203E" w:rsidRDefault="0031203E" w:rsidP="0031203E">
      <w:pPr>
        <w:pStyle w:val="NoSpacing"/>
        <w:jc w:val="both"/>
        <w:rPr>
          <w:rFonts w:ascii="Times New Roman" w:hAnsi="Times New Roman" w:cs="Times New Roman"/>
          <w:b/>
          <w:sz w:val="24"/>
          <w:szCs w:val="24"/>
        </w:rPr>
      </w:pPr>
    </w:p>
    <w:p w14:paraId="3C036074" w14:textId="77777777" w:rsidR="0031203E" w:rsidRDefault="0031203E" w:rsidP="0031203E">
      <w:pPr>
        <w:pStyle w:val="NoSpacing"/>
        <w:jc w:val="both"/>
        <w:rPr>
          <w:rFonts w:ascii="Times New Roman" w:hAnsi="Times New Roman" w:cs="Times New Roman"/>
          <w:b/>
          <w:sz w:val="24"/>
          <w:szCs w:val="24"/>
        </w:rPr>
      </w:pPr>
    </w:p>
    <w:p w14:paraId="6898171B" w14:textId="77777777" w:rsidR="0031203E" w:rsidRDefault="0031203E" w:rsidP="0031203E">
      <w:pPr>
        <w:pStyle w:val="NoSpacing"/>
        <w:jc w:val="both"/>
        <w:rPr>
          <w:rFonts w:ascii="Times New Roman" w:hAnsi="Times New Roman" w:cs="Times New Roman"/>
          <w:b/>
          <w:sz w:val="24"/>
          <w:szCs w:val="24"/>
        </w:rPr>
      </w:pPr>
    </w:p>
    <w:p w14:paraId="2DBB6643" w14:textId="77777777" w:rsidR="0031203E" w:rsidRDefault="009A4DFD" w:rsidP="009A4DFD">
      <w:pPr>
        <w:pStyle w:val="NoSpacing"/>
        <w:tabs>
          <w:tab w:val="left" w:pos="74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094EF10F" w14:textId="77777777" w:rsidR="009A4DFD" w:rsidRDefault="009A4DFD" w:rsidP="009A4DFD">
      <w:pPr>
        <w:pStyle w:val="NoSpacing"/>
        <w:tabs>
          <w:tab w:val="left" w:pos="7455"/>
        </w:tabs>
        <w:spacing w:line="360" w:lineRule="auto"/>
        <w:jc w:val="both"/>
        <w:rPr>
          <w:rFonts w:ascii="Times New Roman" w:hAnsi="Times New Roman" w:cs="Times New Roman"/>
          <w:bCs/>
          <w:sz w:val="24"/>
          <w:szCs w:val="24"/>
        </w:rPr>
      </w:pPr>
    </w:p>
    <w:p w14:paraId="34828253" w14:textId="77777777" w:rsidR="0031203E" w:rsidRDefault="0031203E" w:rsidP="0031203E">
      <w:pPr>
        <w:pStyle w:val="NoSpacing"/>
        <w:jc w:val="both"/>
        <w:rPr>
          <w:rFonts w:ascii="Times New Roman" w:hAnsi="Times New Roman" w:cs="Times New Roman"/>
          <w:bCs/>
          <w:sz w:val="24"/>
          <w:szCs w:val="24"/>
        </w:rPr>
      </w:pPr>
    </w:p>
    <w:p w14:paraId="0DCE74A2" w14:textId="77777777" w:rsidR="009A4DFD" w:rsidRDefault="009A4DFD" w:rsidP="0031203E">
      <w:pPr>
        <w:pStyle w:val="NoSpacing"/>
        <w:jc w:val="both"/>
        <w:rPr>
          <w:rFonts w:ascii="Times New Roman" w:hAnsi="Times New Roman" w:cs="Times New Roman"/>
          <w:bCs/>
          <w:sz w:val="24"/>
          <w:szCs w:val="24"/>
        </w:rPr>
      </w:pPr>
    </w:p>
    <w:p w14:paraId="445D3375" w14:textId="77777777" w:rsidR="009A4DFD" w:rsidRDefault="009A4DFD" w:rsidP="0031203E">
      <w:pPr>
        <w:pStyle w:val="NoSpacing"/>
        <w:jc w:val="both"/>
        <w:rPr>
          <w:rFonts w:ascii="Times New Roman" w:hAnsi="Times New Roman" w:cs="Times New Roman"/>
          <w:bCs/>
          <w:sz w:val="24"/>
          <w:szCs w:val="24"/>
        </w:rPr>
      </w:pPr>
    </w:p>
    <w:p w14:paraId="468BE9B8" w14:textId="77777777" w:rsidR="009A4DFD" w:rsidRDefault="009A4DFD" w:rsidP="0031203E">
      <w:pPr>
        <w:pStyle w:val="NoSpacing"/>
        <w:jc w:val="both"/>
        <w:rPr>
          <w:rFonts w:ascii="Times New Roman" w:hAnsi="Times New Roman" w:cs="Times New Roman"/>
          <w:bCs/>
          <w:sz w:val="24"/>
          <w:szCs w:val="24"/>
        </w:rPr>
      </w:pPr>
    </w:p>
    <w:p w14:paraId="00920600" w14:textId="77777777" w:rsidR="009A4DFD" w:rsidRDefault="009A4DFD" w:rsidP="0031203E">
      <w:pPr>
        <w:pStyle w:val="NoSpacing"/>
        <w:jc w:val="both"/>
        <w:rPr>
          <w:rFonts w:ascii="Times New Roman" w:hAnsi="Times New Roman" w:cs="Times New Roman"/>
          <w:bCs/>
          <w:sz w:val="24"/>
          <w:szCs w:val="24"/>
        </w:rPr>
      </w:pPr>
    </w:p>
    <w:p w14:paraId="7CFCCC6B" w14:textId="77777777" w:rsidR="009A4DFD" w:rsidRPr="002D5CF7" w:rsidRDefault="009A4DFD" w:rsidP="0031203E">
      <w:pPr>
        <w:pStyle w:val="NoSpacing"/>
        <w:jc w:val="both"/>
        <w:rPr>
          <w:rFonts w:ascii="Times New Roman" w:hAnsi="Times New Roman" w:cs="Times New Roman"/>
          <w:bCs/>
          <w:sz w:val="24"/>
          <w:szCs w:val="24"/>
        </w:rPr>
      </w:pPr>
    </w:p>
    <w:p w14:paraId="093B1B56" w14:textId="77777777" w:rsidR="0031203E" w:rsidRDefault="0031203E" w:rsidP="0031203E">
      <w:pPr>
        <w:pStyle w:val="NoSpacing"/>
        <w:jc w:val="both"/>
        <w:rPr>
          <w:rFonts w:ascii="Times New Roman" w:hAnsi="Times New Roman" w:cs="Times New Roman"/>
          <w:b/>
          <w:sz w:val="24"/>
          <w:szCs w:val="24"/>
        </w:rPr>
      </w:pPr>
    </w:p>
    <w:p w14:paraId="3B947800" w14:textId="77777777" w:rsidR="0031203E" w:rsidRPr="009A4DFD" w:rsidRDefault="0031203E" w:rsidP="0031203E">
      <w:pPr>
        <w:pStyle w:val="NoSpacing"/>
        <w:jc w:val="both"/>
        <w:rPr>
          <w:rFonts w:ascii="Arial" w:hAnsi="Arial" w:cs="Arial"/>
          <w:sz w:val="20"/>
          <w:szCs w:val="20"/>
        </w:rPr>
      </w:pPr>
      <w:bookmarkStart w:id="0" w:name="_Hlk208238835"/>
      <w:r w:rsidRPr="009A4DFD">
        <w:rPr>
          <w:rFonts w:ascii="Arial" w:hAnsi="Arial" w:cs="Arial"/>
          <w:b/>
          <w:sz w:val="20"/>
          <w:szCs w:val="20"/>
        </w:rPr>
        <w:t>TABLE 2: EFFECTS OF THE EXTRACT ON LIVER TISSUE HOMOGENATE ANTIOXIDANT STATUS IN POTASSIUM BROMATE TREATED RATS</w:t>
      </w:r>
    </w:p>
    <w:tbl>
      <w:tblPr>
        <w:tblStyle w:val="ListTable6Colorful1"/>
        <w:tblW w:w="9386" w:type="dxa"/>
        <w:tblLayout w:type="fixed"/>
        <w:tblLook w:val="04A0" w:firstRow="1" w:lastRow="0" w:firstColumn="1" w:lastColumn="0" w:noHBand="0" w:noVBand="1"/>
      </w:tblPr>
      <w:tblGrid>
        <w:gridCol w:w="1998"/>
        <w:gridCol w:w="1530"/>
        <w:gridCol w:w="1260"/>
        <w:gridCol w:w="1440"/>
        <w:gridCol w:w="1440"/>
        <w:gridCol w:w="1718"/>
      </w:tblGrid>
      <w:tr w:rsidR="0031203E" w:rsidRPr="009A4DFD" w14:paraId="67711EBC" w14:textId="77777777" w:rsidTr="00EC67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49CC75F6" w14:textId="77777777" w:rsidR="0031203E" w:rsidRPr="009A4DFD" w:rsidRDefault="0031203E" w:rsidP="00EC6787">
            <w:pPr>
              <w:pStyle w:val="NoSpacing"/>
              <w:jc w:val="both"/>
              <w:rPr>
                <w:rFonts w:ascii="Arial" w:hAnsi="Arial" w:cs="Arial"/>
              </w:rPr>
            </w:pPr>
            <w:r w:rsidRPr="009A4DFD">
              <w:rPr>
                <w:rFonts w:ascii="Arial" w:hAnsi="Arial" w:cs="Arial"/>
              </w:rPr>
              <w:lastRenderedPageBreak/>
              <w:t>Treatment</w:t>
            </w:r>
          </w:p>
        </w:tc>
        <w:tc>
          <w:tcPr>
            <w:tcW w:w="1530" w:type="dxa"/>
          </w:tcPr>
          <w:p w14:paraId="43D62FAA"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GSH (mg/g protein)</w:t>
            </w:r>
          </w:p>
        </w:tc>
        <w:tc>
          <w:tcPr>
            <w:tcW w:w="1260" w:type="dxa"/>
          </w:tcPr>
          <w:p w14:paraId="0AEF69AC"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 xml:space="preserve"> </w:t>
            </w:r>
            <w:proofErr w:type="spellStart"/>
            <w:r w:rsidRPr="009A4DFD">
              <w:rPr>
                <w:rFonts w:ascii="Arial" w:hAnsi="Arial" w:cs="Arial"/>
              </w:rPr>
              <w:t>GPx</w:t>
            </w:r>
            <w:proofErr w:type="spellEnd"/>
            <w:r w:rsidRPr="009A4DFD">
              <w:rPr>
                <w:rFonts w:ascii="Arial" w:hAnsi="Arial" w:cs="Arial"/>
              </w:rPr>
              <w:t xml:space="preserve"> (u/g protein)</w:t>
            </w:r>
          </w:p>
        </w:tc>
        <w:tc>
          <w:tcPr>
            <w:tcW w:w="1440" w:type="dxa"/>
          </w:tcPr>
          <w:p w14:paraId="1DB5A7F4"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SOD (u/g protein)</w:t>
            </w:r>
          </w:p>
        </w:tc>
        <w:tc>
          <w:tcPr>
            <w:tcW w:w="1440" w:type="dxa"/>
          </w:tcPr>
          <w:p w14:paraId="5CF90585"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CAT (u/g protein)</w:t>
            </w:r>
          </w:p>
        </w:tc>
        <w:tc>
          <w:tcPr>
            <w:tcW w:w="1718" w:type="dxa"/>
          </w:tcPr>
          <w:p w14:paraId="58559CE7" w14:textId="77777777" w:rsidR="0031203E" w:rsidRPr="009A4DFD" w:rsidRDefault="0031203E" w:rsidP="00EC6787">
            <w:pPr>
              <w:pStyle w:val="NoSpacing"/>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MDA (mmol/g protein)</w:t>
            </w:r>
          </w:p>
        </w:tc>
      </w:tr>
      <w:tr w:rsidR="0031203E" w:rsidRPr="009A4DFD" w14:paraId="15E4F333" w14:textId="77777777" w:rsidTr="00EC6787">
        <w:trPr>
          <w:trHeight w:val="485"/>
        </w:trPr>
        <w:tc>
          <w:tcPr>
            <w:cnfStyle w:val="001000000000" w:firstRow="0" w:lastRow="0" w:firstColumn="1" w:lastColumn="0" w:oddVBand="0" w:evenVBand="0" w:oddHBand="0" w:evenHBand="0" w:firstRowFirstColumn="0" w:firstRowLastColumn="0" w:lastRowFirstColumn="0" w:lastRowLastColumn="0"/>
            <w:tcW w:w="1998" w:type="dxa"/>
          </w:tcPr>
          <w:p w14:paraId="79B503CF" w14:textId="77777777" w:rsidR="0031203E" w:rsidRPr="009A4DFD" w:rsidRDefault="0031203E" w:rsidP="00EC6787">
            <w:pPr>
              <w:pStyle w:val="NoSpacing"/>
              <w:jc w:val="both"/>
              <w:rPr>
                <w:rFonts w:ascii="Arial" w:hAnsi="Arial" w:cs="Arial"/>
              </w:rPr>
            </w:pPr>
            <w:r w:rsidRPr="009A4DFD">
              <w:rPr>
                <w:rFonts w:ascii="Arial" w:hAnsi="Arial" w:cs="Arial"/>
              </w:rPr>
              <w:t>Control</w:t>
            </w:r>
          </w:p>
          <w:p w14:paraId="30602385" w14:textId="77777777" w:rsidR="0031203E" w:rsidRPr="009A4DFD" w:rsidRDefault="0031203E" w:rsidP="00EC6787">
            <w:pPr>
              <w:pStyle w:val="NoSpacing"/>
              <w:jc w:val="both"/>
              <w:rPr>
                <w:rFonts w:ascii="Arial" w:hAnsi="Arial" w:cs="Arial"/>
              </w:rPr>
            </w:pPr>
          </w:p>
        </w:tc>
        <w:tc>
          <w:tcPr>
            <w:tcW w:w="1530" w:type="dxa"/>
          </w:tcPr>
          <w:p w14:paraId="733F80F3"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7.20±0.21</w:t>
            </w:r>
            <w:r w:rsidRPr="009A4DFD">
              <w:rPr>
                <w:rFonts w:ascii="Arial" w:hAnsi="Arial" w:cs="Arial"/>
                <w:color w:val="000000"/>
                <w:vertAlign w:val="superscript"/>
              </w:rPr>
              <w:t>d</w:t>
            </w:r>
          </w:p>
        </w:tc>
        <w:tc>
          <w:tcPr>
            <w:tcW w:w="1260" w:type="dxa"/>
          </w:tcPr>
          <w:p w14:paraId="6642F01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30.23±2.10</w:t>
            </w:r>
            <w:r w:rsidRPr="009A4DFD">
              <w:rPr>
                <w:rFonts w:ascii="Arial" w:hAnsi="Arial" w:cs="Arial"/>
                <w:color w:val="000000"/>
                <w:vertAlign w:val="superscript"/>
              </w:rPr>
              <w:t>c</w:t>
            </w:r>
          </w:p>
        </w:tc>
        <w:tc>
          <w:tcPr>
            <w:tcW w:w="1440" w:type="dxa"/>
          </w:tcPr>
          <w:p w14:paraId="3101D8CF"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32.10±0.56</w:t>
            </w:r>
            <w:r w:rsidRPr="009A4DFD">
              <w:rPr>
                <w:rFonts w:ascii="Arial" w:hAnsi="Arial" w:cs="Arial"/>
                <w:color w:val="000000"/>
                <w:vertAlign w:val="superscript"/>
              </w:rPr>
              <w:t>c</w:t>
            </w:r>
          </w:p>
        </w:tc>
        <w:tc>
          <w:tcPr>
            <w:tcW w:w="1440" w:type="dxa"/>
          </w:tcPr>
          <w:p w14:paraId="2EE73BFE"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14.17±1.50</w:t>
            </w:r>
            <w:r w:rsidRPr="009A4DFD">
              <w:rPr>
                <w:rFonts w:ascii="Arial" w:hAnsi="Arial" w:cs="Arial"/>
                <w:color w:val="000000"/>
                <w:vertAlign w:val="superscript"/>
              </w:rPr>
              <w:t>b</w:t>
            </w:r>
          </w:p>
        </w:tc>
        <w:tc>
          <w:tcPr>
            <w:tcW w:w="1718" w:type="dxa"/>
          </w:tcPr>
          <w:p w14:paraId="77F53AF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0.33</w:t>
            </w:r>
            <w:r w:rsidRPr="009A4DFD">
              <w:rPr>
                <w:rFonts w:ascii="Arial" w:hAnsi="Arial" w:cs="Arial"/>
                <w:color w:val="000000"/>
              </w:rPr>
              <w:t>±0.04</w:t>
            </w:r>
            <w:r w:rsidRPr="009A4DFD">
              <w:rPr>
                <w:rFonts w:ascii="Arial" w:hAnsi="Arial" w:cs="Arial"/>
                <w:color w:val="000000"/>
                <w:vertAlign w:val="superscript"/>
              </w:rPr>
              <w:t>a</w:t>
            </w:r>
          </w:p>
        </w:tc>
      </w:tr>
      <w:tr w:rsidR="0031203E" w:rsidRPr="009A4DFD" w14:paraId="444CD017" w14:textId="77777777" w:rsidTr="00EC6787">
        <w:trPr>
          <w:trHeight w:val="648"/>
        </w:trPr>
        <w:tc>
          <w:tcPr>
            <w:cnfStyle w:val="001000000000" w:firstRow="0" w:lastRow="0" w:firstColumn="1" w:lastColumn="0" w:oddVBand="0" w:evenVBand="0" w:oddHBand="0" w:evenHBand="0" w:firstRowFirstColumn="0" w:firstRowLastColumn="0" w:lastRowFirstColumn="0" w:lastRowLastColumn="0"/>
            <w:tcW w:w="1998" w:type="dxa"/>
          </w:tcPr>
          <w:p w14:paraId="0B52A59A" w14:textId="77777777" w:rsidR="0031203E" w:rsidRPr="009A4DFD" w:rsidRDefault="0031203E" w:rsidP="00EC6787">
            <w:pPr>
              <w:pStyle w:val="NoSpacing"/>
              <w:jc w:val="both"/>
              <w:rPr>
                <w:rFonts w:ascii="Arial" w:hAnsi="Arial" w:cs="Arial"/>
              </w:rPr>
            </w:pPr>
            <w:r w:rsidRPr="009A4DFD">
              <w:rPr>
                <w:rFonts w:ascii="Arial" w:hAnsi="Arial" w:cs="Arial"/>
              </w:rPr>
              <w:t>KBrO</w:t>
            </w:r>
            <w:r w:rsidRPr="009A4DFD">
              <w:rPr>
                <w:rFonts w:ascii="Arial" w:hAnsi="Arial" w:cs="Arial"/>
                <w:vertAlign w:val="subscript"/>
              </w:rPr>
              <w:t>3</w:t>
            </w:r>
            <w:r w:rsidRPr="009A4DFD">
              <w:rPr>
                <w:rFonts w:ascii="Arial" w:hAnsi="Arial" w:cs="Arial"/>
              </w:rPr>
              <w:t xml:space="preserve"> (50</w:t>
            </w:r>
          </w:p>
          <w:p w14:paraId="7CA7AFA7" w14:textId="77777777" w:rsidR="0031203E" w:rsidRPr="009A4DFD" w:rsidRDefault="0031203E" w:rsidP="00EC6787">
            <w:pPr>
              <w:pStyle w:val="NoSpacing"/>
              <w:jc w:val="both"/>
              <w:rPr>
                <w:rFonts w:ascii="Arial" w:hAnsi="Arial" w:cs="Arial"/>
              </w:rPr>
            </w:pPr>
            <w:r w:rsidRPr="009A4DFD">
              <w:rPr>
                <w:rFonts w:ascii="Arial" w:hAnsi="Arial" w:cs="Arial"/>
              </w:rPr>
              <w:t xml:space="preserve"> mg/kg)</w:t>
            </w:r>
          </w:p>
        </w:tc>
        <w:tc>
          <w:tcPr>
            <w:tcW w:w="1530" w:type="dxa"/>
          </w:tcPr>
          <w:p w14:paraId="480A880A"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4.15±0.24</w:t>
            </w:r>
            <w:r w:rsidRPr="009A4DFD">
              <w:rPr>
                <w:rFonts w:ascii="Arial" w:hAnsi="Arial" w:cs="Arial"/>
                <w:color w:val="000000"/>
                <w:vertAlign w:val="superscript"/>
              </w:rPr>
              <w:t>a</w:t>
            </w:r>
          </w:p>
        </w:tc>
        <w:tc>
          <w:tcPr>
            <w:tcW w:w="1260" w:type="dxa"/>
          </w:tcPr>
          <w:p w14:paraId="5711B08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22.70±1.78</w:t>
            </w:r>
            <w:r w:rsidRPr="009A4DFD">
              <w:rPr>
                <w:rFonts w:ascii="Arial" w:hAnsi="Arial" w:cs="Arial"/>
                <w:color w:val="000000"/>
                <w:vertAlign w:val="superscript"/>
              </w:rPr>
              <w:t>a</w:t>
            </w:r>
          </w:p>
        </w:tc>
        <w:tc>
          <w:tcPr>
            <w:tcW w:w="1440" w:type="dxa"/>
          </w:tcPr>
          <w:p w14:paraId="5CAE6DD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27.40±0.95</w:t>
            </w:r>
            <w:r w:rsidRPr="009A4DFD">
              <w:rPr>
                <w:rFonts w:ascii="Arial" w:hAnsi="Arial" w:cs="Arial"/>
                <w:color w:val="000000"/>
                <w:vertAlign w:val="superscript"/>
              </w:rPr>
              <w:t>a</w:t>
            </w:r>
          </w:p>
        </w:tc>
        <w:tc>
          <w:tcPr>
            <w:tcW w:w="1440" w:type="dxa"/>
          </w:tcPr>
          <w:p w14:paraId="2AB94E9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10.50±0.36</w:t>
            </w:r>
            <w:r w:rsidRPr="009A4DFD">
              <w:rPr>
                <w:rFonts w:ascii="Arial" w:hAnsi="Arial" w:cs="Arial"/>
                <w:color w:val="000000"/>
                <w:vertAlign w:val="superscript"/>
              </w:rPr>
              <w:t>a</w:t>
            </w:r>
          </w:p>
        </w:tc>
        <w:tc>
          <w:tcPr>
            <w:tcW w:w="1718" w:type="dxa"/>
          </w:tcPr>
          <w:p w14:paraId="2208BD2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1.51</w:t>
            </w:r>
            <w:r w:rsidRPr="009A4DFD">
              <w:rPr>
                <w:rFonts w:ascii="Arial" w:hAnsi="Arial" w:cs="Arial"/>
                <w:color w:val="000000"/>
              </w:rPr>
              <w:t>±0.15</w:t>
            </w:r>
            <w:r w:rsidRPr="009A4DFD">
              <w:rPr>
                <w:rFonts w:ascii="Arial" w:hAnsi="Arial" w:cs="Arial"/>
                <w:color w:val="000000"/>
                <w:vertAlign w:val="superscript"/>
              </w:rPr>
              <w:t>d</w:t>
            </w:r>
          </w:p>
        </w:tc>
      </w:tr>
      <w:tr w:rsidR="0031203E" w:rsidRPr="009A4DFD" w14:paraId="0AD7EB37" w14:textId="77777777" w:rsidTr="00EC6787">
        <w:trPr>
          <w:trHeight w:val="1260"/>
        </w:trPr>
        <w:tc>
          <w:tcPr>
            <w:cnfStyle w:val="001000000000" w:firstRow="0" w:lastRow="0" w:firstColumn="1" w:lastColumn="0" w:oddVBand="0" w:evenVBand="0" w:oddHBand="0" w:evenHBand="0" w:firstRowFirstColumn="0" w:firstRowLastColumn="0" w:lastRowFirstColumn="0" w:lastRowLastColumn="0"/>
            <w:tcW w:w="1998" w:type="dxa"/>
          </w:tcPr>
          <w:p w14:paraId="51D7DD2B" w14:textId="77777777" w:rsidR="0031203E" w:rsidRPr="009A4DFD" w:rsidRDefault="0031203E" w:rsidP="00EC6787">
            <w:pPr>
              <w:pStyle w:val="NoSpacing"/>
              <w:jc w:val="both"/>
              <w:rPr>
                <w:rFonts w:ascii="Arial" w:hAnsi="Arial" w:cs="Arial"/>
              </w:rPr>
            </w:pPr>
            <w:r w:rsidRPr="009A4DFD">
              <w:rPr>
                <w:rFonts w:ascii="Arial" w:hAnsi="Arial" w:cs="Arial"/>
              </w:rPr>
              <w:t>Vit. C (100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614C9A2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5.10±0.11</w:t>
            </w:r>
            <w:r w:rsidRPr="009A4DFD">
              <w:rPr>
                <w:rFonts w:ascii="Arial" w:hAnsi="Arial" w:cs="Arial"/>
                <w:color w:val="000000"/>
                <w:vertAlign w:val="superscript"/>
              </w:rPr>
              <w:t>b</w:t>
            </w:r>
          </w:p>
        </w:tc>
        <w:tc>
          <w:tcPr>
            <w:tcW w:w="1260" w:type="dxa"/>
          </w:tcPr>
          <w:p w14:paraId="52C2BAB6"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26.70±1.11</w:t>
            </w:r>
            <w:r w:rsidRPr="009A4DFD">
              <w:rPr>
                <w:rFonts w:ascii="Arial" w:hAnsi="Arial" w:cs="Arial"/>
                <w:color w:val="000000"/>
                <w:vertAlign w:val="superscript"/>
              </w:rPr>
              <w:t>b</w:t>
            </w:r>
          </w:p>
        </w:tc>
        <w:tc>
          <w:tcPr>
            <w:tcW w:w="1440" w:type="dxa"/>
          </w:tcPr>
          <w:p w14:paraId="1381AB3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28.13±0.93</w:t>
            </w:r>
            <w:r w:rsidRPr="009A4DFD">
              <w:rPr>
                <w:rFonts w:ascii="Arial" w:hAnsi="Arial" w:cs="Arial"/>
                <w:color w:val="000000"/>
                <w:vertAlign w:val="superscript"/>
              </w:rPr>
              <w:t>ab</w:t>
            </w:r>
          </w:p>
        </w:tc>
        <w:tc>
          <w:tcPr>
            <w:tcW w:w="1440" w:type="dxa"/>
          </w:tcPr>
          <w:p w14:paraId="7092215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12.77±0.51</w:t>
            </w:r>
            <w:r w:rsidRPr="009A4DFD">
              <w:rPr>
                <w:rFonts w:ascii="Arial" w:hAnsi="Arial" w:cs="Arial"/>
                <w:color w:val="000000"/>
                <w:vertAlign w:val="superscript"/>
              </w:rPr>
              <w:t>b</w:t>
            </w:r>
          </w:p>
        </w:tc>
        <w:tc>
          <w:tcPr>
            <w:tcW w:w="1718" w:type="dxa"/>
          </w:tcPr>
          <w:p w14:paraId="3114ED14"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0.87</w:t>
            </w:r>
            <w:r w:rsidRPr="009A4DFD">
              <w:rPr>
                <w:rFonts w:ascii="Arial" w:hAnsi="Arial" w:cs="Arial"/>
                <w:color w:val="000000"/>
              </w:rPr>
              <w:t>±0.06</w:t>
            </w:r>
            <w:r w:rsidRPr="009A4DFD">
              <w:rPr>
                <w:rFonts w:ascii="Arial" w:hAnsi="Arial" w:cs="Arial"/>
                <w:color w:val="000000"/>
                <w:vertAlign w:val="superscript"/>
              </w:rPr>
              <w:t>c</w:t>
            </w:r>
          </w:p>
        </w:tc>
      </w:tr>
      <w:tr w:rsidR="0031203E" w:rsidRPr="009A4DFD" w14:paraId="483B39B2" w14:textId="77777777" w:rsidTr="00EC6787">
        <w:trPr>
          <w:trHeight w:val="1530"/>
        </w:trPr>
        <w:tc>
          <w:tcPr>
            <w:cnfStyle w:val="001000000000" w:firstRow="0" w:lastRow="0" w:firstColumn="1" w:lastColumn="0" w:oddVBand="0" w:evenVBand="0" w:oddHBand="0" w:evenHBand="0" w:firstRowFirstColumn="0" w:firstRowLastColumn="0" w:lastRowFirstColumn="0" w:lastRowLastColumn="0"/>
            <w:tcW w:w="1998" w:type="dxa"/>
          </w:tcPr>
          <w:p w14:paraId="18675362"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(200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4EF68522"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6.23±0.23</w:t>
            </w:r>
            <w:r w:rsidRPr="009A4DFD">
              <w:rPr>
                <w:rFonts w:ascii="Arial" w:hAnsi="Arial" w:cs="Arial"/>
                <w:color w:val="000000"/>
                <w:vertAlign w:val="superscript"/>
              </w:rPr>
              <w:t>c</w:t>
            </w:r>
          </w:p>
        </w:tc>
        <w:tc>
          <w:tcPr>
            <w:tcW w:w="1260" w:type="dxa"/>
          </w:tcPr>
          <w:p w14:paraId="625E3B7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28.40±0.95</w:t>
            </w:r>
            <w:r w:rsidRPr="009A4DFD">
              <w:rPr>
                <w:rFonts w:ascii="Arial" w:hAnsi="Arial" w:cs="Arial"/>
                <w:color w:val="000000"/>
                <w:vertAlign w:val="superscript"/>
              </w:rPr>
              <w:t>bc</w:t>
            </w:r>
          </w:p>
        </w:tc>
        <w:tc>
          <w:tcPr>
            <w:tcW w:w="1440" w:type="dxa"/>
          </w:tcPr>
          <w:p w14:paraId="541C6DC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28.87±1.10</w:t>
            </w:r>
            <w:r w:rsidRPr="009A4DFD">
              <w:rPr>
                <w:rFonts w:ascii="Arial" w:hAnsi="Arial" w:cs="Arial"/>
                <w:color w:val="000000"/>
                <w:vertAlign w:val="superscript"/>
              </w:rPr>
              <w:t>ab</w:t>
            </w:r>
          </w:p>
        </w:tc>
        <w:tc>
          <w:tcPr>
            <w:tcW w:w="1440" w:type="dxa"/>
          </w:tcPr>
          <w:p w14:paraId="61ACE09B"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12.97±0.40</w:t>
            </w:r>
            <w:r w:rsidRPr="009A4DFD">
              <w:rPr>
                <w:rFonts w:ascii="Arial" w:hAnsi="Arial" w:cs="Arial"/>
                <w:color w:val="000000"/>
                <w:vertAlign w:val="superscript"/>
              </w:rPr>
              <w:t>b</w:t>
            </w:r>
          </w:p>
        </w:tc>
        <w:tc>
          <w:tcPr>
            <w:tcW w:w="1718" w:type="dxa"/>
          </w:tcPr>
          <w:p w14:paraId="40318EA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0.79</w:t>
            </w:r>
            <w:r w:rsidRPr="009A4DFD">
              <w:rPr>
                <w:rFonts w:ascii="Arial" w:hAnsi="Arial" w:cs="Arial"/>
                <w:color w:val="000000"/>
              </w:rPr>
              <w:t>±0.04</w:t>
            </w:r>
            <w:r w:rsidRPr="009A4DFD">
              <w:rPr>
                <w:rFonts w:ascii="Arial" w:hAnsi="Arial" w:cs="Arial"/>
                <w:color w:val="000000"/>
                <w:vertAlign w:val="superscript"/>
              </w:rPr>
              <w:t>bc</w:t>
            </w:r>
          </w:p>
        </w:tc>
      </w:tr>
      <w:tr w:rsidR="0031203E" w:rsidRPr="009A4DFD" w14:paraId="32D0A4E8" w14:textId="77777777" w:rsidTr="00EC6787">
        <w:trPr>
          <w:trHeight w:val="1530"/>
        </w:trPr>
        <w:tc>
          <w:tcPr>
            <w:cnfStyle w:val="001000000000" w:firstRow="0" w:lastRow="0" w:firstColumn="1" w:lastColumn="0" w:oddVBand="0" w:evenVBand="0" w:oddHBand="0" w:evenHBand="0" w:firstRowFirstColumn="0" w:firstRowLastColumn="0" w:lastRowFirstColumn="0" w:lastRowLastColumn="0"/>
            <w:tcW w:w="1998" w:type="dxa"/>
          </w:tcPr>
          <w:p w14:paraId="23213A02"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 (400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4CBB181F"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6.51±0.25</w:t>
            </w:r>
            <w:r w:rsidRPr="009A4DFD">
              <w:rPr>
                <w:rFonts w:ascii="Arial" w:hAnsi="Arial" w:cs="Arial"/>
                <w:color w:val="000000"/>
                <w:vertAlign w:val="superscript"/>
              </w:rPr>
              <w:t>c</w:t>
            </w:r>
          </w:p>
        </w:tc>
        <w:tc>
          <w:tcPr>
            <w:tcW w:w="1260" w:type="dxa"/>
          </w:tcPr>
          <w:p w14:paraId="40993C59"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28.53±1.82</w:t>
            </w:r>
            <w:r w:rsidRPr="009A4DFD">
              <w:rPr>
                <w:rFonts w:ascii="Arial" w:hAnsi="Arial" w:cs="Arial"/>
                <w:color w:val="000000"/>
                <w:vertAlign w:val="superscript"/>
              </w:rPr>
              <w:t>bc</w:t>
            </w:r>
          </w:p>
        </w:tc>
        <w:tc>
          <w:tcPr>
            <w:tcW w:w="1440" w:type="dxa"/>
          </w:tcPr>
          <w:p w14:paraId="51ACE91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30.17±0.61</w:t>
            </w:r>
            <w:r w:rsidRPr="009A4DFD">
              <w:rPr>
                <w:rFonts w:ascii="Arial" w:hAnsi="Arial" w:cs="Arial"/>
                <w:color w:val="000000"/>
                <w:vertAlign w:val="superscript"/>
              </w:rPr>
              <w:t>ab</w:t>
            </w:r>
          </w:p>
        </w:tc>
        <w:tc>
          <w:tcPr>
            <w:tcW w:w="1440" w:type="dxa"/>
          </w:tcPr>
          <w:p w14:paraId="7175F6A2"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13.67±1.10</w:t>
            </w:r>
            <w:r w:rsidRPr="009A4DFD">
              <w:rPr>
                <w:rFonts w:ascii="Arial" w:hAnsi="Arial" w:cs="Arial"/>
                <w:color w:val="000000"/>
                <w:vertAlign w:val="superscript"/>
              </w:rPr>
              <w:t>b</w:t>
            </w:r>
          </w:p>
        </w:tc>
        <w:tc>
          <w:tcPr>
            <w:tcW w:w="1718" w:type="dxa"/>
          </w:tcPr>
          <w:p w14:paraId="55838D4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0.73</w:t>
            </w:r>
            <w:r w:rsidRPr="009A4DFD">
              <w:rPr>
                <w:rFonts w:ascii="Arial" w:hAnsi="Arial" w:cs="Arial"/>
                <w:color w:val="000000"/>
              </w:rPr>
              <w:t>±0.03</w:t>
            </w:r>
            <w:r w:rsidRPr="009A4DFD">
              <w:rPr>
                <w:rFonts w:ascii="Arial" w:hAnsi="Arial" w:cs="Arial"/>
                <w:color w:val="000000"/>
                <w:vertAlign w:val="superscript"/>
              </w:rPr>
              <w:t>b</w:t>
            </w:r>
          </w:p>
        </w:tc>
      </w:tr>
      <w:tr w:rsidR="0031203E" w:rsidRPr="009A4DFD" w14:paraId="480E2E2A" w14:textId="77777777" w:rsidTr="00EC6787">
        <w:trPr>
          <w:trHeight w:val="1170"/>
        </w:trPr>
        <w:tc>
          <w:tcPr>
            <w:cnfStyle w:val="001000000000" w:firstRow="0" w:lastRow="0" w:firstColumn="1" w:lastColumn="0" w:oddVBand="0" w:evenVBand="0" w:oddHBand="0" w:evenHBand="0" w:firstRowFirstColumn="0" w:firstRowLastColumn="0" w:lastRowFirstColumn="0" w:lastRowLastColumn="0"/>
            <w:tcW w:w="1998" w:type="dxa"/>
          </w:tcPr>
          <w:p w14:paraId="09531B45" w14:textId="77777777" w:rsidR="0031203E" w:rsidRPr="009A4DFD" w:rsidRDefault="0031203E" w:rsidP="00EC6787">
            <w:pPr>
              <w:pStyle w:val="NoSpacing"/>
              <w:jc w:val="both"/>
              <w:rPr>
                <w:rFonts w:ascii="Arial" w:hAnsi="Arial" w:cs="Arial"/>
              </w:rPr>
            </w:pPr>
            <w:r w:rsidRPr="009A4DFD">
              <w:rPr>
                <w:rFonts w:ascii="Arial" w:hAnsi="Arial" w:cs="Arial"/>
                <w:i/>
              </w:rPr>
              <w:t>Amaranthus V.</w:t>
            </w:r>
            <w:r w:rsidRPr="009A4DFD">
              <w:rPr>
                <w:rFonts w:ascii="Arial" w:hAnsi="Arial" w:cs="Arial"/>
              </w:rPr>
              <w:t xml:space="preserve"> leaf extract</w:t>
            </w:r>
            <w:r w:rsidRPr="009A4DFD">
              <w:rPr>
                <w:rFonts w:ascii="Arial" w:hAnsi="Arial" w:cs="Arial"/>
                <w:i/>
              </w:rPr>
              <w:t xml:space="preserve"> </w:t>
            </w:r>
            <w:r w:rsidRPr="009A4DFD">
              <w:rPr>
                <w:rFonts w:ascii="Arial" w:hAnsi="Arial" w:cs="Arial"/>
              </w:rPr>
              <w:t>(800 mg/kg) + KBrO</w:t>
            </w:r>
            <w:r w:rsidRPr="009A4DFD">
              <w:rPr>
                <w:rFonts w:ascii="Arial" w:hAnsi="Arial" w:cs="Arial"/>
                <w:vertAlign w:val="subscript"/>
              </w:rPr>
              <w:t>3</w:t>
            </w:r>
            <w:r w:rsidRPr="009A4DFD">
              <w:rPr>
                <w:rFonts w:ascii="Arial" w:hAnsi="Arial" w:cs="Arial"/>
              </w:rPr>
              <w:t xml:space="preserve"> (50 mg/kg)</w:t>
            </w:r>
          </w:p>
        </w:tc>
        <w:tc>
          <w:tcPr>
            <w:tcW w:w="1530" w:type="dxa"/>
          </w:tcPr>
          <w:p w14:paraId="5449E861"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6.98±0.36</w:t>
            </w:r>
            <w:r w:rsidRPr="009A4DFD">
              <w:rPr>
                <w:rFonts w:ascii="Arial" w:hAnsi="Arial" w:cs="Arial"/>
                <w:color w:val="000000"/>
                <w:vertAlign w:val="superscript"/>
              </w:rPr>
              <w:t>d</w:t>
            </w:r>
          </w:p>
        </w:tc>
        <w:tc>
          <w:tcPr>
            <w:tcW w:w="1260" w:type="dxa"/>
          </w:tcPr>
          <w:p w14:paraId="3264A190"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29.73±0.81</w:t>
            </w:r>
            <w:r w:rsidRPr="009A4DFD">
              <w:rPr>
                <w:rFonts w:ascii="Arial" w:hAnsi="Arial" w:cs="Arial"/>
                <w:color w:val="000000"/>
                <w:vertAlign w:val="superscript"/>
              </w:rPr>
              <w:t>c</w:t>
            </w:r>
          </w:p>
        </w:tc>
        <w:tc>
          <w:tcPr>
            <w:tcW w:w="1440" w:type="dxa"/>
          </w:tcPr>
          <w:p w14:paraId="5996E05C"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31.23±0.18</w:t>
            </w:r>
            <w:r w:rsidRPr="009A4DFD">
              <w:rPr>
                <w:rFonts w:ascii="Arial" w:hAnsi="Arial" w:cs="Arial"/>
                <w:color w:val="000000"/>
                <w:vertAlign w:val="superscript"/>
              </w:rPr>
              <w:t>c</w:t>
            </w:r>
          </w:p>
        </w:tc>
        <w:tc>
          <w:tcPr>
            <w:tcW w:w="1440" w:type="dxa"/>
          </w:tcPr>
          <w:p w14:paraId="0C2A1B77"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9A4DFD">
              <w:rPr>
                <w:rFonts w:ascii="Arial" w:hAnsi="Arial" w:cs="Arial"/>
                <w:color w:val="000000"/>
              </w:rPr>
              <w:t>13.90±0.95</w:t>
            </w:r>
            <w:r w:rsidRPr="009A4DFD">
              <w:rPr>
                <w:rFonts w:ascii="Arial" w:hAnsi="Arial" w:cs="Arial"/>
                <w:color w:val="000000"/>
                <w:vertAlign w:val="superscript"/>
              </w:rPr>
              <w:t>b</w:t>
            </w:r>
          </w:p>
        </w:tc>
        <w:tc>
          <w:tcPr>
            <w:tcW w:w="1718" w:type="dxa"/>
          </w:tcPr>
          <w:p w14:paraId="466C693D" w14:textId="77777777" w:rsidR="0031203E" w:rsidRPr="009A4DFD" w:rsidRDefault="0031203E" w:rsidP="00EC678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A4DFD">
              <w:rPr>
                <w:rFonts w:ascii="Arial" w:hAnsi="Arial" w:cs="Arial"/>
              </w:rPr>
              <w:t>0.74</w:t>
            </w:r>
            <w:r w:rsidRPr="009A4DFD">
              <w:rPr>
                <w:rFonts w:ascii="Arial" w:hAnsi="Arial" w:cs="Arial"/>
                <w:color w:val="000000"/>
              </w:rPr>
              <w:t>±0.04</w:t>
            </w:r>
            <w:r w:rsidRPr="009A4DFD">
              <w:rPr>
                <w:rFonts w:ascii="Arial" w:hAnsi="Arial" w:cs="Arial"/>
                <w:color w:val="000000"/>
                <w:vertAlign w:val="superscript"/>
              </w:rPr>
              <w:t>bc</w:t>
            </w:r>
          </w:p>
        </w:tc>
      </w:tr>
    </w:tbl>
    <w:bookmarkEnd w:id="0"/>
    <w:p w14:paraId="630DD567" w14:textId="77777777" w:rsidR="0031203E" w:rsidRPr="009A4DFD" w:rsidRDefault="0031203E" w:rsidP="0031203E">
      <w:pPr>
        <w:spacing w:after="0" w:line="360" w:lineRule="auto"/>
        <w:jc w:val="both"/>
        <w:rPr>
          <w:rFonts w:ascii="Arial" w:eastAsia="Times New Roman" w:hAnsi="Arial" w:cs="Arial"/>
          <w:color w:val="000000"/>
          <w:sz w:val="20"/>
          <w:szCs w:val="20"/>
        </w:rPr>
      </w:pPr>
      <w:r w:rsidRPr="009A4DFD">
        <w:rPr>
          <w:rFonts w:ascii="Arial" w:eastAsia="Times New Roman" w:hAnsi="Arial" w:cs="Arial"/>
          <w:color w:val="000000"/>
          <w:sz w:val="20"/>
          <w:szCs w:val="20"/>
        </w:rPr>
        <w:t>Values are presented as mean ± standard deviation of replicated determination (n = 3). Means in the same column bearing different letter superscripts are statistically significantly different.</w:t>
      </w:r>
    </w:p>
    <w:p w14:paraId="24C0A996" w14:textId="77777777" w:rsidR="0031203E" w:rsidRDefault="0031203E" w:rsidP="0031203E">
      <w:pPr>
        <w:spacing w:after="0" w:line="240" w:lineRule="auto"/>
        <w:jc w:val="both"/>
        <w:rPr>
          <w:rFonts w:ascii="Times New Roman" w:eastAsia="Times New Roman" w:hAnsi="Times New Roman" w:cs="Times New Roman"/>
          <w:color w:val="000000"/>
        </w:rPr>
      </w:pPr>
    </w:p>
    <w:p w14:paraId="0E3698D1" w14:textId="77777777" w:rsidR="0031203E" w:rsidRDefault="0031203E" w:rsidP="0031203E">
      <w:pPr>
        <w:spacing w:line="360" w:lineRule="auto"/>
        <w:jc w:val="both"/>
        <w:rPr>
          <w:rFonts w:ascii="Times New Roman" w:hAnsi="Times New Roman" w:cs="Times New Roman"/>
          <w:sz w:val="24"/>
          <w:szCs w:val="24"/>
        </w:rPr>
      </w:pPr>
    </w:p>
    <w:p w14:paraId="5F913BAD" w14:textId="77777777" w:rsidR="0031203E" w:rsidRDefault="0031203E" w:rsidP="00C949B0">
      <w:pPr>
        <w:rPr>
          <w:rFonts w:ascii="Arial" w:hAnsi="Arial" w:cs="Arial"/>
          <w:sz w:val="20"/>
          <w:szCs w:val="24"/>
        </w:rPr>
      </w:pPr>
    </w:p>
    <w:p w14:paraId="61AB4D10" w14:textId="77777777" w:rsidR="009A4DFD" w:rsidRDefault="009A4DFD" w:rsidP="00C949B0">
      <w:pPr>
        <w:rPr>
          <w:rFonts w:ascii="Arial" w:hAnsi="Arial" w:cs="Arial"/>
          <w:sz w:val="20"/>
          <w:szCs w:val="24"/>
        </w:rPr>
      </w:pPr>
    </w:p>
    <w:p w14:paraId="03B84A44" w14:textId="77777777" w:rsidR="009A4DFD" w:rsidRDefault="009A4DFD" w:rsidP="00C949B0">
      <w:pPr>
        <w:rPr>
          <w:rFonts w:ascii="Arial" w:hAnsi="Arial" w:cs="Arial"/>
          <w:sz w:val="20"/>
          <w:szCs w:val="24"/>
        </w:rPr>
      </w:pPr>
    </w:p>
    <w:p w14:paraId="5005B1F3" w14:textId="77777777" w:rsidR="009A4DFD" w:rsidRDefault="009A4DFD" w:rsidP="00C949B0">
      <w:pPr>
        <w:rPr>
          <w:rFonts w:ascii="Arial" w:hAnsi="Arial" w:cs="Arial"/>
          <w:sz w:val="20"/>
          <w:szCs w:val="24"/>
        </w:rPr>
      </w:pPr>
    </w:p>
    <w:p w14:paraId="0588874E" w14:textId="77777777" w:rsidR="009A4DFD" w:rsidRDefault="009A4DFD" w:rsidP="00C949B0">
      <w:pPr>
        <w:rPr>
          <w:rFonts w:ascii="Arial" w:hAnsi="Arial" w:cs="Arial"/>
          <w:sz w:val="20"/>
          <w:szCs w:val="24"/>
        </w:rPr>
      </w:pPr>
    </w:p>
    <w:p w14:paraId="61BB6E83" w14:textId="77777777" w:rsidR="009A4DFD" w:rsidRDefault="009A4DFD" w:rsidP="00C949B0">
      <w:pPr>
        <w:rPr>
          <w:rFonts w:ascii="Arial" w:hAnsi="Arial" w:cs="Arial"/>
          <w:sz w:val="20"/>
          <w:szCs w:val="24"/>
        </w:rPr>
      </w:pPr>
    </w:p>
    <w:p w14:paraId="6E8B73C0" w14:textId="77777777" w:rsidR="009A4DFD" w:rsidRDefault="009A4DFD" w:rsidP="00C949B0">
      <w:pPr>
        <w:rPr>
          <w:rFonts w:ascii="Arial" w:hAnsi="Arial" w:cs="Arial"/>
          <w:sz w:val="20"/>
          <w:szCs w:val="24"/>
        </w:rPr>
      </w:pPr>
    </w:p>
    <w:p w14:paraId="76E4769F" w14:textId="77777777" w:rsidR="009A4DFD" w:rsidRDefault="009A4DFD" w:rsidP="00C949B0">
      <w:pPr>
        <w:rPr>
          <w:rFonts w:ascii="Arial" w:hAnsi="Arial" w:cs="Arial"/>
          <w:sz w:val="20"/>
          <w:szCs w:val="24"/>
        </w:rPr>
      </w:pPr>
    </w:p>
    <w:p w14:paraId="35A7A4ED" w14:textId="77777777" w:rsidR="009A4DFD" w:rsidRDefault="009A4DFD" w:rsidP="00C949B0">
      <w:pPr>
        <w:rPr>
          <w:rFonts w:ascii="Arial" w:hAnsi="Arial" w:cs="Arial"/>
          <w:sz w:val="20"/>
          <w:szCs w:val="24"/>
        </w:rPr>
      </w:pPr>
    </w:p>
    <w:p w14:paraId="7B6EF8FA" w14:textId="77777777" w:rsidR="009A4DFD" w:rsidRPr="009A4DFD" w:rsidRDefault="009A4DFD" w:rsidP="009A4DFD">
      <w:pPr>
        <w:spacing w:line="360" w:lineRule="auto"/>
        <w:jc w:val="both"/>
        <w:rPr>
          <w:rFonts w:ascii="Arial" w:hAnsi="Arial" w:cs="Arial"/>
          <w:b/>
          <w:bCs/>
          <w:szCs w:val="24"/>
        </w:rPr>
      </w:pPr>
      <w:r w:rsidRPr="009A4DFD">
        <w:rPr>
          <w:rFonts w:ascii="Arial" w:hAnsi="Arial" w:cs="Arial"/>
          <w:b/>
          <w:bCs/>
          <w:szCs w:val="24"/>
        </w:rPr>
        <w:t xml:space="preserve">4. DISCUSSION </w:t>
      </w:r>
    </w:p>
    <w:p w14:paraId="6B5289B3" w14:textId="3D6FFE43" w:rsidR="009A4DFD" w:rsidRPr="009A4DFD" w:rsidRDefault="009A4DFD" w:rsidP="009A4DFD">
      <w:pPr>
        <w:spacing w:line="360" w:lineRule="auto"/>
        <w:jc w:val="both"/>
        <w:rPr>
          <w:rFonts w:ascii="Arial" w:hAnsi="Arial" w:cs="Arial"/>
          <w:sz w:val="24"/>
          <w:szCs w:val="24"/>
        </w:rPr>
      </w:pPr>
      <w:bookmarkStart w:id="1" w:name="_Hlk181558884"/>
      <w:bookmarkEnd w:id="1"/>
      <w:r>
        <w:rPr>
          <w:rFonts w:ascii="Arial" w:hAnsi="Arial" w:cs="Arial"/>
          <w:sz w:val="20"/>
          <w:szCs w:val="24"/>
        </w:rPr>
        <w:lastRenderedPageBreak/>
        <w:t>Urea, a nitrogenous waste product of protein metabolism, is primarily filtered by the kidneys (</w:t>
      </w:r>
      <w:proofErr w:type="spellStart"/>
      <w:r>
        <w:rPr>
          <w:rFonts w:ascii="Arial" w:eastAsia="SimSun" w:hAnsi="Arial" w:cs="Arial"/>
          <w:color w:val="222222"/>
          <w:sz w:val="20"/>
          <w:szCs w:val="24"/>
          <w:shd w:val="clear" w:color="auto" w:fill="FFFFFF"/>
        </w:rPr>
        <w:t>Adeyomoye</w:t>
      </w:r>
      <w:proofErr w:type="spellEnd"/>
      <w:r>
        <w:rPr>
          <w:rFonts w:ascii="Arial" w:eastAsia="SimSun" w:hAnsi="Arial" w:cs="Arial"/>
          <w:color w:val="222222"/>
          <w:sz w:val="20"/>
          <w:szCs w:val="24"/>
          <w:shd w:val="clear" w:color="auto" w:fill="FFFFFF"/>
        </w:rPr>
        <w:t xml:space="preserve"> </w:t>
      </w:r>
      <w:r>
        <w:rPr>
          <w:rFonts w:ascii="Arial" w:eastAsia="SimSun" w:hAnsi="Arial" w:cs="Arial"/>
          <w:i/>
          <w:color w:val="222222"/>
          <w:sz w:val="20"/>
          <w:szCs w:val="24"/>
          <w:shd w:val="clear" w:color="auto" w:fill="FFFFFF"/>
        </w:rPr>
        <w:t xml:space="preserve">et al., </w:t>
      </w:r>
      <w:r>
        <w:rPr>
          <w:rFonts w:ascii="Arial" w:eastAsia="SimSun" w:hAnsi="Arial" w:cs="Arial"/>
          <w:color w:val="222222"/>
          <w:sz w:val="20"/>
          <w:szCs w:val="24"/>
          <w:shd w:val="clear" w:color="auto" w:fill="FFFFFF"/>
        </w:rPr>
        <w:t>2022</w:t>
      </w:r>
      <w:r>
        <w:rPr>
          <w:rFonts w:ascii="Arial" w:hAnsi="Arial" w:cs="Arial"/>
          <w:sz w:val="20"/>
          <w:szCs w:val="24"/>
        </w:rPr>
        <w:t xml:space="preserve">). When urea levels are elevated, it often signals impaired renal function (Gowda </w:t>
      </w:r>
      <w:r>
        <w:rPr>
          <w:rFonts w:ascii="Arial" w:hAnsi="Arial" w:cs="Arial"/>
          <w:i/>
          <w:sz w:val="20"/>
          <w:szCs w:val="24"/>
        </w:rPr>
        <w:t xml:space="preserve">et al., </w:t>
      </w:r>
      <w:r>
        <w:rPr>
          <w:rFonts w:ascii="Arial" w:hAnsi="Arial" w:cs="Arial"/>
          <w:sz w:val="20"/>
          <w:szCs w:val="24"/>
        </w:rPr>
        <w:t>2010). Similarly, creatinine, a by</w:t>
      </w:r>
      <w:r>
        <w:rPr>
          <w:rFonts w:ascii="Arial" w:hAnsi="Arial" w:cs="Arial"/>
          <w:sz w:val="20"/>
          <w:szCs w:val="24"/>
          <w:highlight w:val="yellow"/>
        </w:rPr>
        <w:t>-</w:t>
      </w:r>
      <w:r>
        <w:rPr>
          <w:rFonts w:ascii="Arial" w:hAnsi="Arial" w:cs="Arial"/>
          <w:sz w:val="20"/>
          <w:szCs w:val="24"/>
        </w:rPr>
        <w:t xml:space="preserve">product of muscle metabolism excreted by the kidneys (Jain </w:t>
      </w:r>
      <w:r>
        <w:rPr>
          <w:rFonts w:ascii="Arial" w:hAnsi="Arial" w:cs="Arial"/>
          <w:i/>
          <w:sz w:val="20"/>
          <w:szCs w:val="24"/>
        </w:rPr>
        <w:t xml:space="preserve">et al., </w:t>
      </w:r>
      <w:r>
        <w:rPr>
          <w:rFonts w:ascii="Arial" w:hAnsi="Arial" w:cs="Arial"/>
          <w:sz w:val="20"/>
          <w:szCs w:val="24"/>
        </w:rPr>
        <w:t>2020), can indicate kidney dysfunction or a reduced glomerular filtration rate (GFR) when levels are e</w:t>
      </w:r>
      <w:r>
        <w:rPr>
          <w:rFonts w:ascii="Arial" w:hAnsi="Arial" w:cs="Arial"/>
          <w:sz w:val="20"/>
          <w:szCs w:val="24"/>
          <w:highlight w:val="yellow"/>
        </w:rPr>
        <w:t>levated</w:t>
      </w:r>
      <w:r>
        <w:rPr>
          <w:rFonts w:ascii="Arial" w:hAnsi="Arial" w:cs="Arial"/>
          <w:sz w:val="20"/>
          <w:szCs w:val="24"/>
        </w:rPr>
        <w:t xml:space="preserve"> (</w:t>
      </w:r>
      <w:proofErr w:type="spellStart"/>
      <w:r>
        <w:rPr>
          <w:rFonts w:ascii="Arial" w:hAnsi="Arial" w:cs="Arial"/>
          <w:sz w:val="20"/>
          <w:szCs w:val="24"/>
        </w:rPr>
        <w:t>Oluboyo</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 xml:space="preserve">2024). Sodium, a vital electrolyte, is essential for maintaining body fluid balance and supporting renal function (Ellison &amp; Farrar, 2018). Any alterations in sodium levels can serve as an indicator of kidney regulation problems (Hall, 2016). Potassium is crucial for muscle and nerve function (Lindinger &amp; Cairns, 2021). </w:t>
      </w:r>
      <w:r>
        <w:rPr>
          <w:rFonts w:ascii="Arial" w:hAnsi="Arial" w:cs="Arial"/>
          <w:sz w:val="20"/>
          <w:szCs w:val="24"/>
          <w:highlight w:val="yellow"/>
        </w:rPr>
        <w:t>The k</w:t>
      </w:r>
      <w:r>
        <w:rPr>
          <w:rFonts w:ascii="Arial" w:hAnsi="Arial" w:cs="Arial"/>
          <w:sz w:val="20"/>
          <w:szCs w:val="24"/>
        </w:rPr>
        <w:t>idneys regulate potassium levels, and deviations may be a</w:t>
      </w:r>
      <w:r>
        <w:rPr>
          <w:rFonts w:ascii="Arial" w:hAnsi="Arial" w:cs="Arial"/>
          <w:sz w:val="20"/>
          <w:szCs w:val="24"/>
          <w:highlight w:val="yellow"/>
        </w:rPr>
        <w:t>n</w:t>
      </w:r>
      <w:r>
        <w:rPr>
          <w:rFonts w:ascii="Arial" w:hAnsi="Arial" w:cs="Arial"/>
          <w:sz w:val="20"/>
          <w:szCs w:val="24"/>
        </w:rPr>
        <w:t xml:space="preserve"> i</w:t>
      </w:r>
      <w:r>
        <w:rPr>
          <w:rFonts w:ascii="Arial" w:hAnsi="Arial" w:cs="Arial"/>
          <w:sz w:val="20"/>
          <w:szCs w:val="24"/>
          <w:highlight w:val="yellow"/>
        </w:rPr>
        <w:t>ndicatio</w:t>
      </w:r>
      <w:r>
        <w:rPr>
          <w:rFonts w:ascii="Arial" w:hAnsi="Arial" w:cs="Arial"/>
          <w:sz w:val="20"/>
          <w:szCs w:val="24"/>
        </w:rPr>
        <w:t>n of renal impairment (Palmer &amp; Clegg, 2016). Chloride helps maintain acid-base balance and is regulated by the kidneys; abnormalities may as a result of electrolyte disturbances or kidney dysfunction (</w:t>
      </w:r>
      <w:proofErr w:type="spellStart"/>
      <w:r w:rsidR="002A57F5" w:rsidRPr="002A57F5">
        <w:rPr>
          <w:rFonts w:ascii="Arial" w:hAnsi="Arial" w:cs="Arial"/>
          <w:sz w:val="20"/>
          <w:szCs w:val="24"/>
        </w:rPr>
        <w:t>Okwuchukwu</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 xml:space="preserve">2024). Bicarbonate helps regulate blood </w:t>
      </w:r>
      <w:proofErr w:type="spellStart"/>
      <w:r>
        <w:rPr>
          <w:rFonts w:ascii="Arial" w:hAnsi="Arial" w:cs="Arial"/>
          <w:sz w:val="20"/>
          <w:szCs w:val="24"/>
        </w:rPr>
        <w:t>pH.</w:t>
      </w:r>
      <w:proofErr w:type="spellEnd"/>
      <w:r>
        <w:rPr>
          <w:rFonts w:ascii="Arial" w:hAnsi="Arial" w:cs="Arial"/>
          <w:sz w:val="20"/>
          <w:szCs w:val="24"/>
        </w:rPr>
        <w:t xml:space="preserve"> Changes in its levels can indicate renal dysfunction and metabolic imbalances (Nguyen-Khac </w:t>
      </w:r>
      <w:r>
        <w:rPr>
          <w:rFonts w:ascii="Arial" w:hAnsi="Arial" w:cs="Arial"/>
          <w:i/>
          <w:sz w:val="20"/>
          <w:szCs w:val="24"/>
        </w:rPr>
        <w:t xml:space="preserve">et al., </w:t>
      </w:r>
      <w:r>
        <w:rPr>
          <w:rFonts w:ascii="Arial" w:hAnsi="Arial" w:cs="Arial"/>
          <w:sz w:val="20"/>
          <w:szCs w:val="24"/>
        </w:rPr>
        <w:t>2008). Upon potassium bromate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administration at 50 mg/kg, significant increases in urea, creatinine, sodium, and chloride levels were observed, implying nephrotoxicity. Conversely, vitamin C and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leaf extract treatments (in doses of 200, 400, and 800 mg/kg) improved these parameters, with the highest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extract dose approaching control values, indicating a dose-dependent protective effect. Bicarbonate levels remained relatively stable across most groups, except for a slight increase in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-only treatment. The marked increases in urea, creatinine, sodium and chloride levels in the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group show the nephrotoxic effects of potassium bromate, </w:t>
      </w:r>
      <w:r>
        <w:rPr>
          <w:rFonts w:ascii="Arial" w:hAnsi="Arial" w:cs="Arial"/>
          <w:sz w:val="20"/>
          <w:szCs w:val="24"/>
          <w:highlight w:val="yellow"/>
        </w:rPr>
        <w:t>associate</w:t>
      </w:r>
      <w:r>
        <w:rPr>
          <w:rFonts w:ascii="Arial" w:hAnsi="Arial" w:cs="Arial"/>
          <w:sz w:val="20"/>
          <w:szCs w:val="24"/>
        </w:rPr>
        <w:t xml:space="preserve">d </w:t>
      </w:r>
      <w:r>
        <w:rPr>
          <w:rFonts w:ascii="Arial" w:hAnsi="Arial" w:cs="Arial"/>
          <w:sz w:val="20"/>
          <w:szCs w:val="24"/>
          <w:highlight w:val="yellow"/>
        </w:rPr>
        <w:t>wi</w:t>
      </w:r>
      <w:r>
        <w:rPr>
          <w:rFonts w:ascii="Arial" w:hAnsi="Arial" w:cs="Arial"/>
          <w:sz w:val="20"/>
          <w:szCs w:val="24"/>
        </w:rPr>
        <w:t>t</w:t>
      </w:r>
      <w:r>
        <w:rPr>
          <w:rFonts w:ascii="Arial" w:hAnsi="Arial" w:cs="Arial"/>
          <w:sz w:val="20"/>
          <w:szCs w:val="24"/>
          <w:highlight w:val="yellow"/>
        </w:rPr>
        <w:t>h</w:t>
      </w:r>
      <w:r>
        <w:rPr>
          <w:rFonts w:ascii="Arial" w:hAnsi="Arial" w:cs="Arial"/>
          <w:sz w:val="20"/>
          <w:szCs w:val="24"/>
        </w:rPr>
        <w:t xml:space="preserve"> oxidative stress and impaired renal function. The improvement in these markers following treatment with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extract indicates its possible nephroprotective effects (Khan </w:t>
      </w:r>
      <w:r>
        <w:rPr>
          <w:rFonts w:ascii="Arial" w:hAnsi="Arial" w:cs="Arial"/>
          <w:i/>
          <w:sz w:val="20"/>
          <w:szCs w:val="24"/>
        </w:rPr>
        <w:t xml:space="preserve">et al., </w:t>
      </w:r>
      <w:r>
        <w:rPr>
          <w:rFonts w:ascii="Arial" w:hAnsi="Arial" w:cs="Arial"/>
          <w:sz w:val="20"/>
          <w:szCs w:val="24"/>
        </w:rPr>
        <w:t xml:space="preserve">2012). This restoration of renal parameters implies that the antioxidants in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may counteract oxidative damage, helping to </w:t>
      </w:r>
      <w:proofErr w:type="spellStart"/>
      <w:r>
        <w:rPr>
          <w:rFonts w:ascii="Arial" w:hAnsi="Arial" w:cs="Arial"/>
          <w:sz w:val="20"/>
          <w:szCs w:val="24"/>
        </w:rPr>
        <w:t>stabili</w:t>
      </w:r>
      <w:r>
        <w:rPr>
          <w:rFonts w:ascii="Arial" w:hAnsi="Arial" w:cs="Arial"/>
          <w:sz w:val="20"/>
          <w:szCs w:val="24"/>
          <w:highlight w:val="yellow"/>
        </w:rPr>
        <w:t>s</w:t>
      </w:r>
      <w:r>
        <w:rPr>
          <w:rFonts w:ascii="Arial" w:hAnsi="Arial" w:cs="Arial"/>
          <w:sz w:val="20"/>
          <w:szCs w:val="24"/>
        </w:rPr>
        <w:t>e</w:t>
      </w:r>
      <w:proofErr w:type="spellEnd"/>
      <w:r>
        <w:rPr>
          <w:rFonts w:ascii="Arial" w:hAnsi="Arial" w:cs="Arial"/>
          <w:sz w:val="20"/>
          <w:szCs w:val="24"/>
        </w:rPr>
        <w:t xml:space="preserve"> renal function and electrolyte balance. The slight changes in bicarbonate suggest that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may also support acid-base balance, though less significantly than other markers</w:t>
      </w:r>
      <w:r>
        <w:rPr>
          <w:rFonts w:ascii="Arial" w:hAnsi="Arial" w:cs="Arial"/>
          <w:sz w:val="20"/>
          <w:szCs w:val="24"/>
          <w:vertAlign w:val="superscript"/>
        </w:rPr>
        <w:t xml:space="preserve"> </w:t>
      </w:r>
      <w:r>
        <w:rPr>
          <w:rFonts w:ascii="Arial" w:hAnsi="Arial" w:cs="Arial"/>
          <w:sz w:val="20"/>
          <w:szCs w:val="24"/>
        </w:rPr>
        <w:t xml:space="preserve">(Chemutai, 2016). This study's findings agree with previous research on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-induced nephrotoxicity, which has shown elevated urea, creatinine, sodium, and chloride levels as common indicators of kidney damage due to oxidative stress (</w:t>
      </w:r>
      <w:proofErr w:type="spellStart"/>
      <w:r>
        <w:rPr>
          <w:rFonts w:ascii="Arial" w:hAnsi="Arial" w:cs="Arial"/>
          <w:sz w:val="20"/>
          <w:szCs w:val="24"/>
        </w:rPr>
        <w:t>Ebhohimen</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 xml:space="preserve">2020). Studies have similarly documented vitamin C’s protective effects against renal toxicity by reducing oxidative stress markers (Ragab, 2018). Other studies on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have highlighted its antioxidant properties in reducing ROS, improving enzyme activity, and restoring normal tissue function in toxic conditions (Adegbola </w:t>
      </w:r>
      <w:r>
        <w:rPr>
          <w:rFonts w:ascii="Arial" w:hAnsi="Arial" w:cs="Arial"/>
          <w:i/>
          <w:sz w:val="20"/>
          <w:szCs w:val="24"/>
        </w:rPr>
        <w:t xml:space="preserve">et al., </w:t>
      </w:r>
      <w:r>
        <w:rPr>
          <w:rFonts w:ascii="Arial" w:hAnsi="Arial" w:cs="Arial"/>
          <w:sz w:val="20"/>
          <w:szCs w:val="24"/>
        </w:rPr>
        <w:t xml:space="preserve">2020). This consistency with prior research shows the nephroprotective efficacy of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particularly at higher doses</w:t>
      </w:r>
      <w:r>
        <w:rPr>
          <w:rFonts w:ascii="Arial" w:hAnsi="Arial" w:cs="Arial"/>
          <w:sz w:val="20"/>
          <w:szCs w:val="24"/>
          <w:highlight w:val="yellow"/>
        </w:rPr>
        <w:t>;</w:t>
      </w:r>
      <w:r>
        <w:rPr>
          <w:rFonts w:ascii="Arial" w:hAnsi="Arial" w:cs="Arial"/>
          <w:sz w:val="20"/>
          <w:szCs w:val="24"/>
        </w:rPr>
        <w:t xml:space="preserve"> thus</w:t>
      </w:r>
      <w:r>
        <w:rPr>
          <w:rFonts w:ascii="Arial" w:hAnsi="Arial" w:cs="Arial"/>
          <w:sz w:val="20"/>
          <w:szCs w:val="24"/>
          <w:highlight w:val="yellow"/>
        </w:rPr>
        <w:t>,</w:t>
      </w:r>
      <w:r>
        <w:rPr>
          <w:rFonts w:ascii="Arial" w:hAnsi="Arial" w:cs="Arial"/>
          <w:sz w:val="20"/>
          <w:szCs w:val="24"/>
        </w:rPr>
        <w:t xml:space="preserve"> it may be an effective natural agent against nephrotoxic agents like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GSH is a major antioxidant in cells, playing a crucial role in neutralizing reactive oxygen species (ROS) and maintaining redox balance (Coco-Bassey </w:t>
      </w:r>
      <w:r>
        <w:rPr>
          <w:rFonts w:ascii="Arial" w:hAnsi="Arial" w:cs="Arial"/>
          <w:i/>
          <w:sz w:val="20"/>
          <w:szCs w:val="24"/>
        </w:rPr>
        <w:t xml:space="preserve">et al., </w:t>
      </w:r>
      <w:r>
        <w:rPr>
          <w:rFonts w:ascii="Arial" w:hAnsi="Arial" w:cs="Arial"/>
          <w:sz w:val="20"/>
          <w:szCs w:val="24"/>
        </w:rPr>
        <w:t xml:space="preserve">2019). </w:t>
      </w:r>
      <w:proofErr w:type="spellStart"/>
      <w:r>
        <w:rPr>
          <w:rFonts w:ascii="Arial" w:hAnsi="Arial" w:cs="Arial"/>
          <w:sz w:val="20"/>
          <w:szCs w:val="24"/>
        </w:rPr>
        <w:t>GPx</w:t>
      </w:r>
      <w:proofErr w:type="spellEnd"/>
      <w:r>
        <w:rPr>
          <w:rFonts w:ascii="Arial" w:hAnsi="Arial" w:cs="Arial"/>
          <w:sz w:val="20"/>
          <w:szCs w:val="24"/>
        </w:rPr>
        <w:t xml:space="preserve"> is an enzyme that reduces lipid hydroperoxides and free hydrogen peroxide to water, using GSH as a substrate, thereby protecting cells from oxidative damage (Ighodaro &amp; </w:t>
      </w:r>
      <w:proofErr w:type="spellStart"/>
      <w:r>
        <w:rPr>
          <w:rFonts w:ascii="Arial" w:hAnsi="Arial" w:cs="Arial"/>
          <w:sz w:val="20"/>
          <w:szCs w:val="24"/>
        </w:rPr>
        <w:t>Akinloye</w:t>
      </w:r>
      <w:proofErr w:type="spellEnd"/>
      <w:r>
        <w:rPr>
          <w:rFonts w:ascii="Arial" w:hAnsi="Arial" w:cs="Arial"/>
          <w:sz w:val="20"/>
          <w:szCs w:val="24"/>
        </w:rPr>
        <w:t xml:space="preserve">, 2018). SOD catalyzes the dismutation of the superoxide anion into oxygen and hydrogen peroxide, providing critical protection against oxidative stress (Islam </w:t>
      </w:r>
      <w:r>
        <w:rPr>
          <w:rFonts w:ascii="Arial" w:hAnsi="Arial" w:cs="Arial"/>
          <w:i/>
          <w:sz w:val="20"/>
          <w:szCs w:val="24"/>
        </w:rPr>
        <w:t xml:space="preserve">et al., </w:t>
      </w:r>
      <w:r>
        <w:rPr>
          <w:rFonts w:ascii="Arial" w:hAnsi="Arial" w:cs="Arial"/>
          <w:sz w:val="20"/>
          <w:szCs w:val="24"/>
        </w:rPr>
        <w:t xml:space="preserve">2022). Catalase converts hydrogen peroxide into water and oxygen, preventing accumulation of harmful peroxides </w:t>
      </w:r>
      <w:r>
        <w:rPr>
          <w:rFonts w:ascii="Arial" w:hAnsi="Arial" w:cs="Arial"/>
          <w:sz w:val="20"/>
          <w:szCs w:val="24"/>
        </w:rPr>
        <w:lastRenderedPageBreak/>
        <w:t>in cells (</w:t>
      </w:r>
      <w:proofErr w:type="spellStart"/>
      <w:r w:rsidR="002A57F5" w:rsidRPr="002A57F5">
        <w:rPr>
          <w:rFonts w:ascii="Arial" w:hAnsi="Arial" w:cs="Arial"/>
          <w:sz w:val="20"/>
          <w:szCs w:val="24"/>
        </w:rPr>
        <w:t>Curieses</w:t>
      </w:r>
      <w:proofErr w:type="spellEnd"/>
      <w:r w:rsidR="002A57F5" w:rsidRPr="002A57F5">
        <w:rPr>
          <w:rFonts w:ascii="Arial" w:hAnsi="Arial" w:cs="Arial"/>
          <w:sz w:val="20"/>
          <w:szCs w:val="24"/>
        </w:rPr>
        <w:t xml:space="preserve"> </w:t>
      </w:r>
      <w:r>
        <w:rPr>
          <w:rFonts w:ascii="Arial" w:hAnsi="Arial" w:cs="Arial"/>
          <w:sz w:val="20"/>
          <w:szCs w:val="24"/>
        </w:rPr>
        <w:t xml:space="preserve">Andrés </w:t>
      </w:r>
      <w:r>
        <w:rPr>
          <w:rFonts w:ascii="Arial" w:hAnsi="Arial" w:cs="Arial"/>
          <w:i/>
          <w:sz w:val="20"/>
          <w:szCs w:val="24"/>
        </w:rPr>
        <w:t xml:space="preserve">et al., </w:t>
      </w:r>
      <w:r>
        <w:rPr>
          <w:rFonts w:ascii="Arial" w:hAnsi="Arial" w:cs="Arial"/>
          <w:sz w:val="20"/>
          <w:szCs w:val="24"/>
        </w:rPr>
        <w:t>2022). MDA is a byproduct of lipid peroxidation, serving as a marker of oxidative stress and cellular membrane damage (Carmo de Carvalho</w:t>
      </w:r>
      <w:r w:rsidR="002A57F5">
        <w:rPr>
          <w:rFonts w:ascii="Arial" w:hAnsi="Arial" w:cs="Arial"/>
          <w:sz w:val="20"/>
          <w:szCs w:val="24"/>
        </w:rPr>
        <w:t xml:space="preserve"> e</w:t>
      </w:r>
      <w:r>
        <w:rPr>
          <w:rFonts w:ascii="Arial" w:hAnsi="Arial" w:cs="Arial"/>
          <w:sz w:val="20"/>
          <w:szCs w:val="24"/>
        </w:rPr>
        <w:t xml:space="preserve"> </w:t>
      </w:r>
      <w:r>
        <w:rPr>
          <w:rFonts w:ascii="Arial" w:hAnsi="Arial" w:cs="Arial"/>
          <w:sz w:val="20"/>
          <w:szCs w:val="24"/>
          <w:highlight w:val="yellow"/>
        </w:rPr>
        <w:t xml:space="preserve">Martins </w:t>
      </w:r>
      <w:r>
        <w:rPr>
          <w:rFonts w:ascii="Arial" w:hAnsi="Arial" w:cs="Arial"/>
          <w:i/>
          <w:sz w:val="20"/>
          <w:szCs w:val="24"/>
        </w:rPr>
        <w:t xml:space="preserve">et al., </w:t>
      </w:r>
      <w:r>
        <w:rPr>
          <w:rFonts w:ascii="Arial" w:hAnsi="Arial" w:cs="Arial"/>
          <w:sz w:val="20"/>
          <w:szCs w:val="24"/>
        </w:rPr>
        <w:t>2022). Potassium bromate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administration significantly reduced antioxidant markers (GSH, </w:t>
      </w:r>
      <w:proofErr w:type="spellStart"/>
      <w:r>
        <w:rPr>
          <w:rFonts w:ascii="Arial" w:hAnsi="Arial" w:cs="Arial"/>
          <w:sz w:val="20"/>
          <w:szCs w:val="24"/>
        </w:rPr>
        <w:t>GPx</w:t>
      </w:r>
      <w:proofErr w:type="spellEnd"/>
      <w:r>
        <w:rPr>
          <w:rFonts w:ascii="Arial" w:hAnsi="Arial" w:cs="Arial"/>
          <w:sz w:val="20"/>
          <w:szCs w:val="24"/>
        </w:rPr>
        <w:t xml:space="preserve">, SOD, CAT) and increased MDA levels, indicating elevated oxidative stress and compromised antioxidant </w:t>
      </w:r>
      <w:proofErr w:type="spellStart"/>
      <w:r>
        <w:rPr>
          <w:rFonts w:ascii="Arial" w:hAnsi="Arial" w:cs="Arial"/>
          <w:sz w:val="20"/>
          <w:szCs w:val="24"/>
        </w:rPr>
        <w:t>defen</w:t>
      </w:r>
      <w:r>
        <w:rPr>
          <w:rFonts w:ascii="Arial" w:hAnsi="Arial" w:cs="Arial"/>
          <w:sz w:val="20"/>
          <w:szCs w:val="24"/>
          <w:highlight w:val="yellow"/>
        </w:rPr>
        <w:t>c</w:t>
      </w:r>
      <w:r>
        <w:rPr>
          <w:rFonts w:ascii="Arial" w:hAnsi="Arial" w:cs="Arial"/>
          <w:sz w:val="20"/>
          <w:szCs w:val="24"/>
        </w:rPr>
        <w:t>e</w:t>
      </w:r>
      <w:proofErr w:type="spellEnd"/>
      <w:r>
        <w:rPr>
          <w:rFonts w:ascii="Arial" w:hAnsi="Arial" w:cs="Arial"/>
          <w:sz w:val="20"/>
          <w:szCs w:val="24"/>
        </w:rPr>
        <w:t xml:space="preserve"> in liver tissues. Treatment with vitamin C and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leaf extract (at doses of 200, 400, and 800 mg/kg) enhanced antioxidant enzyme activities and decreased MDA levels, with the 800 mg/kg dose showing the most notable recovery, approaching control levels. The decrease in antioxidant markers and increase in MDA in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-treated rats underline the oxidative damage induced by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 leading to lipid peroxidation and impaired antioxidant </w:t>
      </w:r>
      <w:proofErr w:type="spellStart"/>
      <w:r>
        <w:rPr>
          <w:rFonts w:ascii="Arial" w:hAnsi="Arial" w:cs="Arial"/>
          <w:sz w:val="20"/>
          <w:szCs w:val="24"/>
        </w:rPr>
        <w:t>defen</w:t>
      </w:r>
      <w:r>
        <w:rPr>
          <w:rFonts w:ascii="Arial" w:hAnsi="Arial" w:cs="Arial"/>
          <w:sz w:val="20"/>
          <w:szCs w:val="24"/>
          <w:highlight w:val="yellow"/>
        </w:rPr>
        <w:t>c</w:t>
      </w:r>
      <w:r>
        <w:rPr>
          <w:rFonts w:ascii="Arial" w:hAnsi="Arial" w:cs="Arial"/>
          <w:sz w:val="20"/>
          <w:szCs w:val="24"/>
        </w:rPr>
        <w:t>es</w:t>
      </w:r>
      <w:proofErr w:type="spellEnd"/>
      <w:r>
        <w:rPr>
          <w:rFonts w:ascii="Arial" w:hAnsi="Arial" w:cs="Arial"/>
          <w:sz w:val="20"/>
          <w:szCs w:val="24"/>
        </w:rPr>
        <w:t xml:space="preserve"> (Al-</w:t>
      </w:r>
      <w:proofErr w:type="spellStart"/>
      <w:r>
        <w:rPr>
          <w:rFonts w:ascii="Arial" w:hAnsi="Arial" w:cs="Arial"/>
          <w:sz w:val="20"/>
          <w:szCs w:val="24"/>
        </w:rPr>
        <w:t>Mareed</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 xml:space="preserve">2022). The restoration of these markers by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extract implies a potent antioxidative effect, likely due to bioactive compounds that scavenge free radicals and bolster enzymatic defense systems. This implies that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extract can mitigate liver oxidative stress, reduce lipid peroxidation, and restore antioxidant enzyme activities, indicating its potential as a protective agent against oxidative damage (</w:t>
      </w:r>
      <w:proofErr w:type="spellStart"/>
      <w:r>
        <w:rPr>
          <w:rFonts w:ascii="Arial" w:hAnsi="Arial" w:cs="Arial"/>
          <w:sz w:val="20"/>
          <w:szCs w:val="24"/>
        </w:rPr>
        <w:t>Obruca</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 xml:space="preserve">2016). The findings are in agreement with existing studies on </w:t>
      </w:r>
      <w:proofErr w:type="spellStart"/>
      <w:r>
        <w:rPr>
          <w:rFonts w:ascii="Arial" w:hAnsi="Arial" w:cs="Arial"/>
          <w:sz w:val="20"/>
          <w:szCs w:val="24"/>
        </w:rPr>
        <w:t>KBrO</w:t>
      </w:r>
      <w:proofErr w:type="spellEnd"/>
      <w:r>
        <w:rPr>
          <w:rFonts w:ascii="Cambria Math" w:hAnsi="Cambria Math" w:cs="Cambria Math"/>
          <w:sz w:val="20"/>
          <w:szCs w:val="24"/>
        </w:rPr>
        <w:t>₃</w:t>
      </w:r>
      <w:r>
        <w:rPr>
          <w:rFonts w:ascii="Arial" w:hAnsi="Arial" w:cs="Arial"/>
          <w:sz w:val="20"/>
          <w:szCs w:val="24"/>
        </w:rPr>
        <w:t xml:space="preserve">-induced oxidative stress, which showed decreased levels of GSH, </w:t>
      </w:r>
      <w:proofErr w:type="spellStart"/>
      <w:r>
        <w:rPr>
          <w:rFonts w:ascii="Arial" w:hAnsi="Arial" w:cs="Arial"/>
          <w:sz w:val="20"/>
          <w:szCs w:val="24"/>
        </w:rPr>
        <w:t>GPx</w:t>
      </w:r>
      <w:proofErr w:type="spellEnd"/>
      <w:r>
        <w:rPr>
          <w:rFonts w:ascii="Arial" w:hAnsi="Arial" w:cs="Arial"/>
          <w:sz w:val="20"/>
          <w:szCs w:val="24"/>
        </w:rPr>
        <w:t xml:space="preserve">, SOD, and CAT, as well as increased MDA (El-Sherif </w:t>
      </w:r>
      <w:r>
        <w:rPr>
          <w:rFonts w:ascii="Arial" w:hAnsi="Arial" w:cs="Arial"/>
          <w:i/>
          <w:sz w:val="20"/>
          <w:szCs w:val="24"/>
        </w:rPr>
        <w:t xml:space="preserve">et al., </w:t>
      </w:r>
      <w:r>
        <w:rPr>
          <w:rFonts w:ascii="Arial" w:hAnsi="Arial" w:cs="Arial"/>
          <w:sz w:val="20"/>
          <w:szCs w:val="24"/>
        </w:rPr>
        <w:t xml:space="preserve">2022). Previous research on the protective role of vitamin C equally demonstrated its ability to enhance antioxidant </w:t>
      </w:r>
      <w:proofErr w:type="spellStart"/>
      <w:r>
        <w:rPr>
          <w:rFonts w:ascii="Arial" w:hAnsi="Arial" w:cs="Arial"/>
          <w:sz w:val="20"/>
          <w:szCs w:val="24"/>
        </w:rPr>
        <w:t>defen</w:t>
      </w:r>
      <w:r>
        <w:rPr>
          <w:rFonts w:ascii="Arial" w:hAnsi="Arial" w:cs="Arial"/>
          <w:sz w:val="20"/>
          <w:szCs w:val="24"/>
          <w:highlight w:val="yellow"/>
        </w:rPr>
        <w:t>c</w:t>
      </w:r>
      <w:r>
        <w:rPr>
          <w:rFonts w:ascii="Arial" w:hAnsi="Arial" w:cs="Arial"/>
          <w:sz w:val="20"/>
          <w:szCs w:val="24"/>
        </w:rPr>
        <w:t>e</w:t>
      </w:r>
      <w:proofErr w:type="spellEnd"/>
      <w:r>
        <w:rPr>
          <w:rFonts w:ascii="Arial" w:hAnsi="Arial" w:cs="Arial"/>
          <w:sz w:val="20"/>
          <w:szCs w:val="24"/>
        </w:rPr>
        <w:t xml:space="preserve"> and reduce lipid peroxidation in toxic conditions (El-Sherif </w:t>
      </w:r>
      <w:r>
        <w:rPr>
          <w:rFonts w:ascii="Arial" w:hAnsi="Arial" w:cs="Arial"/>
          <w:i/>
          <w:sz w:val="20"/>
          <w:szCs w:val="24"/>
        </w:rPr>
        <w:t xml:space="preserve">et al., </w:t>
      </w:r>
      <w:r>
        <w:rPr>
          <w:rFonts w:ascii="Arial" w:hAnsi="Arial" w:cs="Arial"/>
          <w:sz w:val="20"/>
          <w:szCs w:val="24"/>
        </w:rPr>
        <w:t xml:space="preserve">2022). Studies on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have also shown its rich antioxidant content, such as flavonoids and polyphenols, which effectively counter oxidative stress (Gandhi </w:t>
      </w:r>
      <w:r>
        <w:rPr>
          <w:rFonts w:ascii="Arial" w:hAnsi="Arial" w:cs="Arial"/>
          <w:i/>
          <w:sz w:val="20"/>
          <w:szCs w:val="24"/>
        </w:rPr>
        <w:t xml:space="preserve">et al., </w:t>
      </w:r>
      <w:r>
        <w:rPr>
          <w:rFonts w:ascii="Arial" w:hAnsi="Arial" w:cs="Arial"/>
          <w:sz w:val="20"/>
          <w:szCs w:val="24"/>
        </w:rPr>
        <w:t>202</w:t>
      </w:r>
      <w:r w:rsidR="002A57F5">
        <w:rPr>
          <w:rFonts w:ascii="Arial" w:hAnsi="Arial" w:cs="Arial"/>
          <w:sz w:val="20"/>
          <w:szCs w:val="24"/>
        </w:rPr>
        <w:t>1</w:t>
      </w:r>
      <w:r>
        <w:rPr>
          <w:rFonts w:ascii="Arial" w:hAnsi="Arial" w:cs="Arial"/>
          <w:sz w:val="20"/>
          <w:szCs w:val="24"/>
        </w:rPr>
        <w:t xml:space="preserve">). The observed dose-dependent improvement in antioxidant markers with </w:t>
      </w:r>
      <w:r>
        <w:rPr>
          <w:rFonts w:ascii="Arial" w:hAnsi="Arial" w:cs="Arial"/>
          <w:i/>
          <w:iCs/>
          <w:sz w:val="20"/>
          <w:szCs w:val="24"/>
        </w:rPr>
        <w:t xml:space="preserve">Amaranthus </w:t>
      </w:r>
      <w:proofErr w:type="spellStart"/>
      <w:r>
        <w:rPr>
          <w:rFonts w:ascii="Arial" w:hAnsi="Arial" w:cs="Arial"/>
          <w:i/>
          <w:iCs/>
          <w:sz w:val="20"/>
          <w:szCs w:val="24"/>
        </w:rPr>
        <w:t>viridis</w:t>
      </w:r>
      <w:proofErr w:type="spellEnd"/>
      <w:r>
        <w:rPr>
          <w:rFonts w:ascii="Arial" w:hAnsi="Arial" w:cs="Arial"/>
          <w:sz w:val="20"/>
          <w:szCs w:val="24"/>
        </w:rPr>
        <w:t xml:space="preserve"> extract is comparable to findings from other natural antioxidants, i</w:t>
      </w:r>
      <w:r>
        <w:rPr>
          <w:rFonts w:ascii="Arial" w:hAnsi="Arial" w:cs="Arial"/>
          <w:sz w:val="20"/>
          <w:szCs w:val="24"/>
          <w:highlight w:val="yellow"/>
        </w:rPr>
        <w:t>ndica</w:t>
      </w:r>
      <w:r>
        <w:rPr>
          <w:rFonts w:ascii="Arial" w:hAnsi="Arial" w:cs="Arial"/>
          <w:sz w:val="20"/>
          <w:szCs w:val="24"/>
        </w:rPr>
        <w:t>t</w:t>
      </w:r>
      <w:r>
        <w:rPr>
          <w:rFonts w:ascii="Arial" w:hAnsi="Arial" w:cs="Arial"/>
          <w:sz w:val="20"/>
          <w:szCs w:val="24"/>
          <w:highlight w:val="yellow"/>
        </w:rPr>
        <w:t>ing</w:t>
      </w:r>
      <w:r>
        <w:rPr>
          <w:rFonts w:ascii="Arial" w:hAnsi="Arial" w:cs="Arial"/>
          <w:sz w:val="20"/>
          <w:szCs w:val="24"/>
        </w:rPr>
        <w:t xml:space="preserve"> its </w:t>
      </w:r>
      <w:r>
        <w:rPr>
          <w:rFonts w:ascii="Arial" w:hAnsi="Arial" w:cs="Arial"/>
          <w:sz w:val="20"/>
          <w:szCs w:val="24"/>
          <w:highlight w:val="yellow"/>
        </w:rPr>
        <w:t>potenti</w:t>
      </w:r>
      <w:r>
        <w:rPr>
          <w:rFonts w:ascii="Arial" w:hAnsi="Arial" w:cs="Arial"/>
          <w:sz w:val="20"/>
          <w:szCs w:val="24"/>
        </w:rPr>
        <w:t>a</w:t>
      </w:r>
      <w:r>
        <w:rPr>
          <w:rFonts w:ascii="Arial" w:hAnsi="Arial" w:cs="Arial"/>
          <w:sz w:val="20"/>
          <w:szCs w:val="24"/>
          <w:highlight w:val="yellow"/>
        </w:rPr>
        <w:t>l</w:t>
      </w:r>
      <w:r>
        <w:rPr>
          <w:rFonts w:ascii="Arial" w:hAnsi="Arial" w:cs="Arial"/>
          <w:sz w:val="20"/>
          <w:szCs w:val="24"/>
        </w:rPr>
        <w:t xml:space="preserve"> to act as a therapeutic agent in managing oxidative damage (</w:t>
      </w:r>
      <w:proofErr w:type="spellStart"/>
      <w:r>
        <w:rPr>
          <w:rFonts w:ascii="Arial" w:hAnsi="Arial" w:cs="Arial"/>
          <w:sz w:val="20"/>
          <w:szCs w:val="24"/>
        </w:rPr>
        <w:t>Akbarirad</w:t>
      </w:r>
      <w:proofErr w:type="spellEnd"/>
      <w:r>
        <w:rPr>
          <w:rFonts w:ascii="Arial" w:hAnsi="Arial" w:cs="Arial"/>
          <w:sz w:val="20"/>
          <w:szCs w:val="24"/>
        </w:rPr>
        <w:t xml:space="preserve"> </w:t>
      </w:r>
      <w:r>
        <w:rPr>
          <w:rFonts w:ascii="Arial" w:hAnsi="Arial" w:cs="Arial"/>
          <w:i/>
          <w:sz w:val="20"/>
          <w:szCs w:val="24"/>
        </w:rPr>
        <w:t xml:space="preserve">et al., </w:t>
      </w:r>
      <w:r>
        <w:rPr>
          <w:rFonts w:ascii="Arial" w:hAnsi="Arial" w:cs="Arial"/>
          <w:sz w:val="20"/>
          <w:szCs w:val="24"/>
        </w:rPr>
        <w:t>2016).</w:t>
      </w:r>
    </w:p>
    <w:p w14:paraId="58799408" w14:textId="77777777" w:rsidR="009A4DFD" w:rsidRPr="009A4DFD" w:rsidRDefault="009A4DFD" w:rsidP="009A4DFD">
      <w:pPr>
        <w:spacing w:line="360" w:lineRule="auto"/>
        <w:jc w:val="both"/>
        <w:rPr>
          <w:rFonts w:ascii="Arial" w:hAnsi="Arial" w:cs="Arial"/>
          <w:b/>
          <w:bCs/>
          <w:szCs w:val="24"/>
        </w:rPr>
      </w:pPr>
      <w:r w:rsidRPr="009A4DFD">
        <w:rPr>
          <w:rFonts w:ascii="Arial" w:hAnsi="Arial" w:cs="Arial"/>
          <w:b/>
          <w:bCs/>
          <w:szCs w:val="24"/>
        </w:rPr>
        <w:t>5. CONCLUSION</w:t>
      </w:r>
    </w:p>
    <w:p w14:paraId="24EFE88F" w14:textId="77777777" w:rsidR="00B81744" w:rsidRDefault="00B81744" w:rsidP="00020436">
      <w:pPr>
        <w:jc w:val="both"/>
        <w:rPr>
          <w:rFonts w:ascii="Times New Roman" w:eastAsia="Times New Roman" w:hAnsi="Times New Roman" w:cs="Times New Roman"/>
          <w:sz w:val="24"/>
          <w:szCs w:val="24"/>
          <w:lang w:eastAsia="en-GB"/>
        </w:rPr>
      </w:pPr>
      <w:r w:rsidRPr="00B81744">
        <w:rPr>
          <w:rFonts w:ascii="Times New Roman" w:eastAsia="Times New Roman" w:hAnsi="Times New Roman" w:cs="Times New Roman"/>
          <w:sz w:val="24"/>
          <w:szCs w:val="24"/>
          <w:lang w:eastAsia="en-GB"/>
        </w:rPr>
        <w:t xml:space="preserve">This study evaluated the effects of an ethanol leaf extract of Amaranthus </w:t>
      </w:r>
      <w:proofErr w:type="spellStart"/>
      <w:r w:rsidRPr="00B81744">
        <w:rPr>
          <w:rFonts w:ascii="Times New Roman" w:eastAsia="Times New Roman" w:hAnsi="Times New Roman" w:cs="Times New Roman"/>
          <w:sz w:val="24"/>
          <w:szCs w:val="24"/>
          <w:lang w:eastAsia="en-GB"/>
        </w:rPr>
        <w:t>viridis</w:t>
      </w:r>
      <w:proofErr w:type="spellEnd"/>
      <w:r w:rsidRPr="00B81744">
        <w:rPr>
          <w:rFonts w:ascii="Times New Roman" w:eastAsia="Times New Roman" w:hAnsi="Times New Roman" w:cs="Times New Roman"/>
          <w:sz w:val="24"/>
          <w:szCs w:val="24"/>
          <w:lang w:eastAsia="en-GB"/>
        </w:rPr>
        <w:t xml:space="preserve"> on renal biochemical indices and liver tissue antioxidant status in male Wistar rats exposed to potassium bromate. Exposure to potassium bromate was associated with increased urea and creatinine concentrations, changes in selected electrolytes, reduced liver antioxidant indices and elevated malondialdehyde levels relative to the untreated control. Co-administration of the extract at 200, 400 and 800 mg/kg was associated with improvements in several of these measures, with the higher doses generally producing values nearer those of the control group. Vitamin C was also associated with attenuation of selected changes. Together, these observations are consistent with a possible protective biochemical effect of the extract under the conditions examined. However, the measured outcomes describe renal biochemical indices and liver antioxidant status; they do not, by themselves, establish the mechanism of action or demonstrate clinical efficacy. The findings should therefore be interpreted as preliminary experimental evidence. Additional studies are needed to </w:t>
      </w:r>
      <w:proofErr w:type="spellStart"/>
      <w:r w:rsidRPr="00B81744">
        <w:rPr>
          <w:rFonts w:ascii="Times New Roman" w:eastAsia="Times New Roman" w:hAnsi="Times New Roman" w:cs="Times New Roman"/>
          <w:sz w:val="24"/>
          <w:szCs w:val="24"/>
          <w:lang w:eastAsia="en-GB"/>
        </w:rPr>
        <w:t>characterise</w:t>
      </w:r>
      <w:proofErr w:type="spellEnd"/>
      <w:r w:rsidRPr="00B81744">
        <w:rPr>
          <w:rFonts w:ascii="Times New Roman" w:eastAsia="Times New Roman" w:hAnsi="Times New Roman" w:cs="Times New Roman"/>
          <w:sz w:val="24"/>
          <w:szCs w:val="24"/>
          <w:lang w:eastAsia="en-GB"/>
        </w:rPr>
        <w:t xml:space="preserve"> the extract constituents and investigate whether the observed biochemical responses are reproducible beyond the present experimental conditions.</w:t>
      </w:r>
    </w:p>
    <w:p w14:paraId="2253E4BB" w14:textId="0B2A4FC5" w:rsidR="00AC6FC2" w:rsidRDefault="00AC6FC2" w:rsidP="00020436">
      <w:pPr>
        <w:jc w:val="both"/>
        <w:rPr>
          <w:rFonts w:ascii="Times New Roman" w:eastAsia="Times New Roman" w:hAnsi="Times New Roman" w:cs="Times New Roman"/>
          <w:b/>
          <w:bCs/>
          <w:sz w:val="24"/>
          <w:szCs w:val="24"/>
          <w:lang w:eastAsia="en-GB"/>
        </w:rPr>
      </w:pPr>
      <w:r w:rsidRPr="00AC6FC2">
        <w:rPr>
          <w:rFonts w:ascii="Times New Roman" w:eastAsia="Times New Roman" w:hAnsi="Times New Roman" w:cs="Times New Roman"/>
          <w:b/>
          <w:bCs/>
          <w:sz w:val="24"/>
          <w:szCs w:val="24"/>
          <w:lang w:eastAsia="en-GB"/>
        </w:rPr>
        <w:t>Limitations</w:t>
      </w:r>
    </w:p>
    <w:p w14:paraId="78224F01" w14:textId="1818CED5" w:rsidR="00AC6FC2" w:rsidRPr="00AC6FC2" w:rsidRDefault="00AC6FC2" w:rsidP="00020436">
      <w:pPr>
        <w:jc w:val="both"/>
        <w:rPr>
          <w:rFonts w:ascii="Times New Roman" w:eastAsia="Times New Roman" w:hAnsi="Times New Roman" w:cs="Times New Roman"/>
          <w:b/>
          <w:bCs/>
          <w:sz w:val="24"/>
          <w:szCs w:val="24"/>
          <w:lang w:eastAsia="en-GB"/>
        </w:rPr>
      </w:pPr>
      <w:r>
        <w:lastRenderedPageBreak/>
        <w:t>The study was limited to male Wistar rats treated over a 14-day period, and its findings relate to the measured renal biochemical indices and antioxidant parameters in liver tissue homogenates. These endpoints do not establish the mechanisms underlying the observed changes or their longer-term significance. Consequently, the findings cannot be directly extrapolated to other experimental settings or to clinical use. Further work would be required to examine the active constituents and determine the broader relevance of the biochemical observations.</w:t>
      </w:r>
    </w:p>
    <w:p w14:paraId="2E515831" w14:textId="22D01CDC" w:rsidR="00020436" w:rsidRPr="00020436" w:rsidRDefault="00020436" w:rsidP="00020436">
      <w:pPr>
        <w:jc w:val="both"/>
        <w:rPr>
          <w:rFonts w:ascii="Arial" w:hAnsi="Arial" w:cs="Arial"/>
          <w:b/>
          <w:szCs w:val="24"/>
        </w:rPr>
      </w:pPr>
      <w:r w:rsidRPr="00020436">
        <w:rPr>
          <w:rFonts w:ascii="Arial" w:hAnsi="Arial" w:cs="Arial"/>
          <w:b/>
          <w:szCs w:val="24"/>
        </w:rPr>
        <w:t>COMPETING INTERESTS</w:t>
      </w:r>
    </w:p>
    <w:p w14:paraId="01B12B4B" w14:textId="77777777" w:rsidR="009A4DFD" w:rsidRPr="00020436" w:rsidRDefault="00020436" w:rsidP="00020436">
      <w:pPr>
        <w:jc w:val="both"/>
        <w:rPr>
          <w:rFonts w:ascii="Arial" w:hAnsi="Arial" w:cs="Arial"/>
          <w:sz w:val="20"/>
          <w:szCs w:val="24"/>
        </w:rPr>
      </w:pPr>
      <w:r w:rsidRPr="00020436">
        <w:rPr>
          <w:rFonts w:ascii="Arial" w:hAnsi="Arial" w:cs="Arial"/>
          <w:sz w:val="20"/>
          <w:szCs w:val="24"/>
        </w:rPr>
        <w:t>Authors have declared that no competing interests exist.</w:t>
      </w:r>
    </w:p>
    <w:p w14:paraId="04D68769" w14:textId="77777777" w:rsidR="00020436" w:rsidRPr="00020436" w:rsidRDefault="00020436" w:rsidP="00020436">
      <w:pPr>
        <w:jc w:val="both"/>
        <w:rPr>
          <w:rFonts w:ascii="Arial" w:hAnsi="Arial" w:cs="Arial"/>
          <w:b/>
          <w:szCs w:val="24"/>
        </w:rPr>
      </w:pPr>
      <w:r w:rsidRPr="00020436">
        <w:rPr>
          <w:rFonts w:ascii="Arial" w:hAnsi="Arial" w:cs="Arial"/>
          <w:b/>
          <w:szCs w:val="24"/>
        </w:rPr>
        <w:t>ETHICAL APPROVAL</w:t>
      </w:r>
    </w:p>
    <w:p w14:paraId="35156C3D" w14:textId="77777777" w:rsidR="00020436" w:rsidRDefault="00020436" w:rsidP="00020436">
      <w:pPr>
        <w:jc w:val="both"/>
        <w:rPr>
          <w:rFonts w:ascii="Arial" w:hAnsi="Arial" w:cs="Arial"/>
          <w:sz w:val="20"/>
          <w:szCs w:val="24"/>
        </w:rPr>
      </w:pPr>
      <w:r w:rsidRPr="00020436">
        <w:rPr>
          <w:rFonts w:ascii="Arial" w:hAnsi="Arial" w:cs="Arial"/>
          <w:sz w:val="20"/>
          <w:szCs w:val="24"/>
        </w:rPr>
        <w:t>This study was approved by the Research and Ethical Clearance Committee (RECC) of Enugu State University of Science &amp; Technology Enugu with approval Number ESUCOM/FBMS/ETR/2024/104. All procedures were performed in accordance with the principles of the 3Rs (Replacement, Reduction, and Refinement) and the guidelines of Animal Studies in Enugu State and Nigeria. The study was conducted with the aim of minimizing animal suffering and distress. The authors declare that they have complied with all relevant ethical standards, including the principles of animal welfare and the guidelines of Enugu State and Nigeria. The authors have no conflicts of interest to declare.</w:t>
      </w:r>
    </w:p>
    <w:p w14:paraId="11E62743" w14:textId="77777777" w:rsidR="006201F1" w:rsidRDefault="006201F1" w:rsidP="00020436">
      <w:pPr>
        <w:jc w:val="both"/>
        <w:rPr>
          <w:rFonts w:ascii="Arial" w:hAnsi="Arial" w:cs="Arial"/>
          <w:sz w:val="20"/>
          <w:szCs w:val="24"/>
        </w:rPr>
      </w:pPr>
    </w:p>
    <w:p w14:paraId="457CE807" w14:textId="77777777" w:rsidR="008F70F0" w:rsidRDefault="008F70F0" w:rsidP="008F70F0">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3DE3CF4" w14:textId="77777777" w:rsidR="008F70F0" w:rsidRDefault="008F70F0" w:rsidP="008F70F0">
      <w:pPr>
        <w:spacing w:after="0" w:line="240" w:lineRule="auto"/>
        <w:rPr>
          <w:rFonts w:ascii="Times New Roman" w:hAnsi="Times New Roman" w:cs="Times New Roman"/>
          <w:b/>
        </w:rPr>
      </w:pPr>
    </w:p>
    <w:p w14:paraId="5FD54E15" w14:textId="77777777" w:rsidR="008F70F0" w:rsidRPr="002D08AC" w:rsidRDefault="008F70F0" w:rsidP="008F70F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21559F" w14:textId="77777777" w:rsidR="008F70F0" w:rsidRDefault="008F70F0" w:rsidP="00020436">
      <w:pPr>
        <w:jc w:val="both"/>
        <w:rPr>
          <w:rFonts w:ascii="Arial" w:hAnsi="Arial" w:cs="Arial"/>
          <w:sz w:val="20"/>
          <w:szCs w:val="24"/>
        </w:rPr>
      </w:pPr>
    </w:p>
    <w:p w14:paraId="3ADE6E02" w14:textId="77777777" w:rsidR="00020436" w:rsidRDefault="00020436" w:rsidP="00020436">
      <w:pPr>
        <w:rPr>
          <w:rFonts w:ascii="Arial" w:hAnsi="Arial" w:cs="Arial"/>
          <w:b/>
          <w:bCs/>
          <w:szCs w:val="24"/>
        </w:rPr>
      </w:pPr>
      <w:r w:rsidRPr="00020436">
        <w:rPr>
          <w:rFonts w:ascii="Arial" w:hAnsi="Arial" w:cs="Arial"/>
          <w:b/>
          <w:bCs/>
          <w:szCs w:val="24"/>
        </w:rPr>
        <w:t>REFERENCES</w:t>
      </w:r>
    </w:p>
    <w:p w14:paraId="2312813E"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Abali, I. O., Nwobodo, M. U., Uche, C. L., </w:t>
      </w:r>
      <w:proofErr w:type="spellStart"/>
      <w:r w:rsidRPr="002A57F5">
        <w:rPr>
          <w:rFonts w:ascii="Times New Roman" w:eastAsia="Times New Roman" w:hAnsi="Times New Roman" w:cs="Times New Roman"/>
          <w:sz w:val="24"/>
          <w:szCs w:val="24"/>
        </w:rPr>
        <w:t>Otuka</w:t>
      </w:r>
      <w:proofErr w:type="spellEnd"/>
      <w:r w:rsidRPr="002A57F5">
        <w:rPr>
          <w:rFonts w:ascii="Times New Roman" w:eastAsia="Times New Roman" w:hAnsi="Times New Roman" w:cs="Times New Roman"/>
          <w:sz w:val="24"/>
          <w:szCs w:val="24"/>
        </w:rPr>
        <w:t xml:space="preserve">, O. A. I., Chikezie, K., Omole, O. R., </w:t>
      </w:r>
      <w:proofErr w:type="spellStart"/>
      <w:r w:rsidRPr="002A57F5">
        <w:rPr>
          <w:rFonts w:ascii="Times New Roman" w:eastAsia="Times New Roman" w:hAnsi="Times New Roman" w:cs="Times New Roman"/>
          <w:sz w:val="24"/>
          <w:szCs w:val="24"/>
        </w:rPr>
        <w:t>Ezirim</w:t>
      </w:r>
      <w:proofErr w:type="spellEnd"/>
      <w:r w:rsidRPr="002A57F5">
        <w:rPr>
          <w:rFonts w:ascii="Times New Roman" w:eastAsia="Times New Roman" w:hAnsi="Times New Roman" w:cs="Times New Roman"/>
          <w:sz w:val="24"/>
          <w:szCs w:val="24"/>
        </w:rPr>
        <w:t xml:space="preserve">, E. O., &amp; </w:t>
      </w:r>
      <w:proofErr w:type="spellStart"/>
      <w:r w:rsidRPr="002A57F5">
        <w:rPr>
          <w:rFonts w:ascii="Times New Roman" w:eastAsia="Times New Roman" w:hAnsi="Times New Roman" w:cs="Times New Roman"/>
          <w:sz w:val="24"/>
          <w:szCs w:val="24"/>
        </w:rPr>
        <w:t>Airaodion</w:t>
      </w:r>
      <w:proofErr w:type="spellEnd"/>
      <w:r w:rsidRPr="002A57F5">
        <w:rPr>
          <w:rFonts w:ascii="Times New Roman" w:eastAsia="Times New Roman" w:hAnsi="Times New Roman" w:cs="Times New Roman"/>
          <w:sz w:val="24"/>
          <w:szCs w:val="24"/>
        </w:rPr>
        <w:t xml:space="preserve">, A. I. (2023). Protective and curative potential of ethanol leaf extract of Corchorus </w:t>
      </w:r>
      <w:proofErr w:type="spellStart"/>
      <w:r w:rsidRPr="002A57F5">
        <w:rPr>
          <w:rFonts w:ascii="Times New Roman" w:eastAsia="Times New Roman" w:hAnsi="Times New Roman" w:cs="Times New Roman"/>
          <w:sz w:val="24"/>
          <w:szCs w:val="24"/>
        </w:rPr>
        <w:t>olitorius</w:t>
      </w:r>
      <w:proofErr w:type="spellEnd"/>
      <w:r w:rsidRPr="002A57F5">
        <w:rPr>
          <w:rFonts w:ascii="Times New Roman" w:eastAsia="Times New Roman" w:hAnsi="Times New Roman" w:cs="Times New Roman"/>
          <w:sz w:val="24"/>
          <w:szCs w:val="24"/>
        </w:rPr>
        <w:t xml:space="preserve"> against potassium bromate-induced renal toxicity. Asian Journal of Biochemistry, Genetics and Molecular Biology, 13(2), 37–46. </w:t>
      </w:r>
      <w:hyperlink r:id="rId7" w:history="1">
        <w:r w:rsidRPr="002A57F5">
          <w:rPr>
            <w:rFonts w:ascii="Times New Roman" w:eastAsia="Times New Roman" w:hAnsi="Times New Roman" w:cs="Times New Roman"/>
            <w:color w:val="0000FF"/>
            <w:sz w:val="24"/>
            <w:szCs w:val="24"/>
            <w:u w:val="single"/>
          </w:rPr>
          <w:t>https://doi.org/10.9734/ajbgmb/2023/v13i2291</w:t>
        </w:r>
      </w:hyperlink>
    </w:p>
    <w:p w14:paraId="17F4EAE3"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Adegbola, P. I., Adetutu, A., &amp; Olaniyi, T. D. (2020). Antioxidant activity of Amaranthus species from the </w:t>
      </w:r>
      <w:proofErr w:type="spellStart"/>
      <w:r w:rsidRPr="002A57F5">
        <w:rPr>
          <w:rFonts w:ascii="Times New Roman" w:eastAsia="Times New Roman" w:hAnsi="Times New Roman" w:cs="Times New Roman"/>
          <w:sz w:val="24"/>
          <w:szCs w:val="24"/>
        </w:rPr>
        <w:t>Amaranthaceae</w:t>
      </w:r>
      <w:proofErr w:type="spellEnd"/>
      <w:r w:rsidRPr="002A57F5">
        <w:rPr>
          <w:rFonts w:ascii="Times New Roman" w:eastAsia="Times New Roman" w:hAnsi="Times New Roman" w:cs="Times New Roman"/>
          <w:sz w:val="24"/>
          <w:szCs w:val="24"/>
        </w:rPr>
        <w:t xml:space="preserve"> family—A review. South African Journal of Botany, 133, 111–117. </w:t>
      </w:r>
      <w:hyperlink r:id="rId8" w:history="1">
        <w:r w:rsidRPr="002A57F5">
          <w:rPr>
            <w:rFonts w:ascii="Times New Roman" w:eastAsia="Times New Roman" w:hAnsi="Times New Roman" w:cs="Times New Roman"/>
            <w:color w:val="0000FF"/>
            <w:sz w:val="24"/>
            <w:szCs w:val="24"/>
            <w:u w:val="single"/>
          </w:rPr>
          <w:t>https://doi.org/10.1016/j.sajb.2020.07.003</w:t>
        </w:r>
      </w:hyperlink>
    </w:p>
    <w:p w14:paraId="29E3C542"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Adeyomoye</w:t>
      </w:r>
      <w:proofErr w:type="spellEnd"/>
      <w:r w:rsidRPr="002A57F5">
        <w:rPr>
          <w:rFonts w:ascii="Times New Roman" w:eastAsia="Times New Roman" w:hAnsi="Times New Roman" w:cs="Times New Roman"/>
          <w:sz w:val="24"/>
          <w:szCs w:val="24"/>
        </w:rPr>
        <w:t xml:space="preserve">, O. I., Akintayo, C. O., Omotuyi, K. P., &amp; Adewumi, A. N. (2022). The biological roles of urea: A review of preclinical studies. Indian Journal of Nephrology, 32(6), 539–545. </w:t>
      </w:r>
      <w:hyperlink r:id="rId9" w:history="1">
        <w:r w:rsidRPr="002A57F5">
          <w:rPr>
            <w:rFonts w:ascii="Times New Roman" w:eastAsia="Times New Roman" w:hAnsi="Times New Roman" w:cs="Times New Roman"/>
            <w:color w:val="0000FF"/>
            <w:sz w:val="24"/>
            <w:szCs w:val="24"/>
            <w:u w:val="single"/>
          </w:rPr>
          <w:t>https://doi.org/10.4103/ijn.ijn_88_21</w:t>
        </w:r>
      </w:hyperlink>
    </w:p>
    <w:p w14:paraId="221330B2" w14:textId="0C7A1979"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Akbarirad</w:t>
      </w:r>
      <w:proofErr w:type="spellEnd"/>
      <w:r w:rsidRPr="002A57F5">
        <w:rPr>
          <w:rFonts w:ascii="Times New Roman" w:eastAsia="Times New Roman" w:hAnsi="Times New Roman" w:cs="Times New Roman"/>
          <w:sz w:val="24"/>
          <w:szCs w:val="24"/>
        </w:rPr>
        <w:t xml:space="preserve">, H., Gohari Ardabili, A., </w:t>
      </w:r>
      <w:proofErr w:type="spellStart"/>
      <w:r w:rsidRPr="002A57F5">
        <w:rPr>
          <w:rFonts w:ascii="Times New Roman" w:eastAsia="Times New Roman" w:hAnsi="Times New Roman" w:cs="Times New Roman"/>
          <w:sz w:val="24"/>
          <w:szCs w:val="24"/>
        </w:rPr>
        <w:t>Kazemeini</w:t>
      </w:r>
      <w:proofErr w:type="spellEnd"/>
      <w:r w:rsidRPr="002A57F5">
        <w:rPr>
          <w:rFonts w:ascii="Times New Roman" w:eastAsia="Times New Roman" w:hAnsi="Times New Roman" w:cs="Times New Roman"/>
          <w:sz w:val="24"/>
          <w:szCs w:val="24"/>
        </w:rPr>
        <w:t xml:space="preserve">, S. M., &amp; Mousavi Khaneghah, A. (2016). An overview on some of important sources of natural antioxidants. International Food Research Journal, 23(3), 928–933. </w:t>
      </w:r>
    </w:p>
    <w:p w14:paraId="553FED96"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lastRenderedPageBreak/>
        <w:t>Al-</w:t>
      </w:r>
      <w:proofErr w:type="spellStart"/>
      <w:r w:rsidRPr="002A57F5">
        <w:rPr>
          <w:rFonts w:ascii="Times New Roman" w:eastAsia="Times New Roman" w:hAnsi="Times New Roman" w:cs="Times New Roman"/>
          <w:sz w:val="24"/>
          <w:szCs w:val="24"/>
        </w:rPr>
        <w:t>Mareed</w:t>
      </w:r>
      <w:proofErr w:type="spellEnd"/>
      <w:r w:rsidRPr="002A57F5">
        <w:rPr>
          <w:rFonts w:ascii="Times New Roman" w:eastAsia="Times New Roman" w:hAnsi="Times New Roman" w:cs="Times New Roman"/>
          <w:sz w:val="24"/>
          <w:szCs w:val="24"/>
        </w:rPr>
        <w:t>, A. A., Farah, M. A., Al-</w:t>
      </w:r>
      <w:proofErr w:type="spellStart"/>
      <w:r w:rsidRPr="002A57F5">
        <w:rPr>
          <w:rFonts w:ascii="Times New Roman" w:eastAsia="Times New Roman" w:hAnsi="Times New Roman" w:cs="Times New Roman"/>
          <w:sz w:val="24"/>
          <w:szCs w:val="24"/>
        </w:rPr>
        <w:t>Anazi</w:t>
      </w:r>
      <w:proofErr w:type="spellEnd"/>
      <w:r w:rsidRPr="002A57F5">
        <w:rPr>
          <w:rFonts w:ascii="Times New Roman" w:eastAsia="Times New Roman" w:hAnsi="Times New Roman" w:cs="Times New Roman"/>
          <w:sz w:val="24"/>
          <w:szCs w:val="24"/>
        </w:rPr>
        <w:t xml:space="preserve">, K. M., Hailan, W. A. Q., &amp; Ali, M. A. (2022). Potassium bromate-induced oxidative stress, genotoxicity, and cytotoxicity in the blood and liver cells of mice. Mutation Research/Genetic Toxicology and Environmental Mutagenesis, 878, Article 503481. </w:t>
      </w:r>
      <w:hyperlink r:id="rId10" w:history="1">
        <w:r w:rsidRPr="002A57F5">
          <w:rPr>
            <w:rFonts w:ascii="Times New Roman" w:eastAsia="Times New Roman" w:hAnsi="Times New Roman" w:cs="Times New Roman"/>
            <w:color w:val="0000FF"/>
            <w:sz w:val="24"/>
            <w:szCs w:val="24"/>
            <w:u w:val="single"/>
          </w:rPr>
          <w:t>https://doi.org/10.1016/j.mrgentox.2022.503481</w:t>
        </w:r>
      </w:hyperlink>
    </w:p>
    <w:p w14:paraId="108A73EE"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Amakiri</w:t>
      </w:r>
      <w:proofErr w:type="spellEnd"/>
      <w:r w:rsidRPr="002A57F5">
        <w:rPr>
          <w:rFonts w:ascii="Times New Roman" w:eastAsia="Times New Roman" w:hAnsi="Times New Roman" w:cs="Times New Roman"/>
          <w:sz w:val="24"/>
          <w:szCs w:val="24"/>
        </w:rPr>
        <w:t xml:space="preserve">, O. K., Owo, G. J., </w:t>
      </w:r>
      <w:proofErr w:type="spellStart"/>
      <w:r w:rsidRPr="002A57F5">
        <w:rPr>
          <w:rFonts w:ascii="Times New Roman" w:eastAsia="Times New Roman" w:hAnsi="Times New Roman" w:cs="Times New Roman"/>
          <w:sz w:val="24"/>
          <w:szCs w:val="24"/>
        </w:rPr>
        <w:t>Ezekwe</w:t>
      </w:r>
      <w:proofErr w:type="spellEnd"/>
      <w:r w:rsidRPr="002A57F5">
        <w:rPr>
          <w:rFonts w:ascii="Times New Roman" w:eastAsia="Times New Roman" w:hAnsi="Times New Roman" w:cs="Times New Roman"/>
          <w:sz w:val="24"/>
          <w:szCs w:val="24"/>
        </w:rPr>
        <w:t xml:space="preserve">, A. S., &amp; </w:t>
      </w:r>
      <w:proofErr w:type="spellStart"/>
      <w:r w:rsidRPr="002A57F5">
        <w:rPr>
          <w:rFonts w:ascii="Times New Roman" w:eastAsia="Times New Roman" w:hAnsi="Times New Roman" w:cs="Times New Roman"/>
          <w:sz w:val="24"/>
          <w:szCs w:val="24"/>
        </w:rPr>
        <w:t>Sukuba</w:t>
      </w:r>
      <w:proofErr w:type="spellEnd"/>
      <w:r w:rsidRPr="002A57F5">
        <w:rPr>
          <w:rFonts w:ascii="Times New Roman" w:eastAsia="Times New Roman" w:hAnsi="Times New Roman" w:cs="Times New Roman"/>
          <w:sz w:val="24"/>
          <w:szCs w:val="24"/>
        </w:rPr>
        <w:t xml:space="preserve">, A. (2026). Protective effects of the ethanolic pulp extract of </w:t>
      </w:r>
      <w:proofErr w:type="spellStart"/>
      <w:r w:rsidRPr="002A57F5">
        <w:rPr>
          <w:rFonts w:ascii="Times New Roman" w:eastAsia="Times New Roman" w:hAnsi="Times New Roman" w:cs="Times New Roman"/>
          <w:sz w:val="24"/>
          <w:szCs w:val="24"/>
        </w:rPr>
        <w:t>Lycium</w:t>
      </w:r>
      <w:proofErr w:type="spellEnd"/>
      <w:r w:rsidRPr="002A57F5">
        <w:rPr>
          <w:rFonts w:ascii="Times New Roman" w:eastAsia="Times New Roman" w:hAnsi="Times New Roman" w:cs="Times New Roman"/>
          <w:sz w:val="24"/>
          <w:szCs w:val="24"/>
        </w:rPr>
        <w:t xml:space="preserve"> </w:t>
      </w:r>
      <w:proofErr w:type="spellStart"/>
      <w:r w:rsidRPr="002A57F5">
        <w:rPr>
          <w:rFonts w:ascii="Times New Roman" w:eastAsia="Times New Roman" w:hAnsi="Times New Roman" w:cs="Times New Roman"/>
          <w:sz w:val="24"/>
          <w:szCs w:val="24"/>
        </w:rPr>
        <w:t>barbarum</w:t>
      </w:r>
      <w:proofErr w:type="spellEnd"/>
      <w:r w:rsidRPr="002A57F5">
        <w:rPr>
          <w:rFonts w:ascii="Times New Roman" w:eastAsia="Times New Roman" w:hAnsi="Times New Roman" w:cs="Times New Roman"/>
          <w:sz w:val="24"/>
          <w:szCs w:val="24"/>
        </w:rPr>
        <w:t xml:space="preserve"> (goji berry) on carbon tetrachloride-induced nephrotoxicity, cardiac dysfunction, and oxidative stress in Wistar rats. Asian Journal of Research in Biology, 9(1), 50–65. </w:t>
      </w:r>
      <w:hyperlink r:id="rId11" w:history="1">
        <w:r w:rsidRPr="002A57F5">
          <w:rPr>
            <w:rFonts w:ascii="Times New Roman" w:eastAsia="Times New Roman" w:hAnsi="Times New Roman" w:cs="Times New Roman"/>
            <w:color w:val="0000FF"/>
            <w:sz w:val="24"/>
            <w:szCs w:val="24"/>
            <w:u w:val="single"/>
          </w:rPr>
          <w:t>https://doi.org/10.56557/ajrib/2026/v9i166</w:t>
        </w:r>
      </w:hyperlink>
    </w:p>
    <w:p w14:paraId="2A8E1C2C"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Curieses</w:t>
      </w:r>
      <w:proofErr w:type="spellEnd"/>
      <w:r w:rsidRPr="002A57F5">
        <w:rPr>
          <w:rFonts w:ascii="Times New Roman" w:eastAsia="Times New Roman" w:hAnsi="Times New Roman" w:cs="Times New Roman"/>
          <w:sz w:val="24"/>
          <w:szCs w:val="24"/>
        </w:rPr>
        <w:t xml:space="preserve"> Andrés, C. M., Pérez de la Lastra, J. M., Andrés Juan, C., Plou, F. J., &amp; Pérez-</w:t>
      </w:r>
      <w:proofErr w:type="spellStart"/>
      <w:r w:rsidRPr="002A57F5">
        <w:rPr>
          <w:rFonts w:ascii="Times New Roman" w:eastAsia="Times New Roman" w:hAnsi="Times New Roman" w:cs="Times New Roman"/>
          <w:sz w:val="24"/>
          <w:szCs w:val="24"/>
        </w:rPr>
        <w:t>Lebeña</w:t>
      </w:r>
      <w:proofErr w:type="spellEnd"/>
      <w:r w:rsidRPr="002A57F5">
        <w:rPr>
          <w:rFonts w:ascii="Times New Roman" w:eastAsia="Times New Roman" w:hAnsi="Times New Roman" w:cs="Times New Roman"/>
          <w:sz w:val="24"/>
          <w:szCs w:val="24"/>
        </w:rPr>
        <w:t xml:space="preserve">, E. (2022). Chemistry of hydrogen peroxide formation and elimination in mammalian cells, and its role in various pathologies. Stresses, 2(3), 256–274. </w:t>
      </w:r>
      <w:hyperlink r:id="rId12" w:history="1">
        <w:r w:rsidRPr="002A57F5">
          <w:rPr>
            <w:rFonts w:ascii="Times New Roman" w:eastAsia="Times New Roman" w:hAnsi="Times New Roman" w:cs="Times New Roman"/>
            <w:color w:val="0000FF"/>
            <w:sz w:val="24"/>
            <w:szCs w:val="24"/>
            <w:u w:val="single"/>
          </w:rPr>
          <w:t>https://doi.org/10.3390/stresses2030019</w:t>
        </w:r>
      </w:hyperlink>
    </w:p>
    <w:p w14:paraId="0996581B"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Attah, A. F., Fagbemi, A. A., </w:t>
      </w:r>
      <w:proofErr w:type="spellStart"/>
      <w:r w:rsidRPr="002A57F5">
        <w:rPr>
          <w:rFonts w:ascii="Times New Roman" w:eastAsia="Times New Roman" w:hAnsi="Times New Roman" w:cs="Times New Roman"/>
          <w:sz w:val="24"/>
          <w:szCs w:val="24"/>
        </w:rPr>
        <w:t>Olubiyi</w:t>
      </w:r>
      <w:proofErr w:type="spellEnd"/>
      <w:r w:rsidRPr="002A57F5">
        <w:rPr>
          <w:rFonts w:ascii="Times New Roman" w:eastAsia="Times New Roman" w:hAnsi="Times New Roman" w:cs="Times New Roman"/>
          <w:sz w:val="24"/>
          <w:szCs w:val="24"/>
        </w:rPr>
        <w:t xml:space="preserve">, O., Dada-Adegbola, H., </w:t>
      </w:r>
      <w:proofErr w:type="spellStart"/>
      <w:r w:rsidRPr="002A57F5">
        <w:rPr>
          <w:rFonts w:ascii="Times New Roman" w:eastAsia="Times New Roman" w:hAnsi="Times New Roman" w:cs="Times New Roman"/>
          <w:sz w:val="24"/>
          <w:szCs w:val="24"/>
        </w:rPr>
        <w:t>Oluwadotun</w:t>
      </w:r>
      <w:proofErr w:type="spellEnd"/>
      <w:r w:rsidRPr="002A57F5">
        <w:rPr>
          <w:rFonts w:ascii="Times New Roman" w:eastAsia="Times New Roman" w:hAnsi="Times New Roman" w:cs="Times New Roman"/>
          <w:sz w:val="24"/>
          <w:szCs w:val="24"/>
        </w:rPr>
        <w:t xml:space="preserve">, A., </w:t>
      </w:r>
      <w:proofErr w:type="spellStart"/>
      <w:r w:rsidRPr="002A57F5">
        <w:rPr>
          <w:rFonts w:ascii="Times New Roman" w:eastAsia="Times New Roman" w:hAnsi="Times New Roman" w:cs="Times New Roman"/>
          <w:sz w:val="24"/>
          <w:szCs w:val="24"/>
        </w:rPr>
        <w:t>Elujoba</w:t>
      </w:r>
      <w:proofErr w:type="spellEnd"/>
      <w:r w:rsidRPr="002A57F5">
        <w:rPr>
          <w:rFonts w:ascii="Times New Roman" w:eastAsia="Times New Roman" w:hAnsi="Times New Roman" w:cs="Times New Roman"/>
          <w:sz w:val="24"/>
          <w:szCs w:val="24"/>
        </w:rPr>
        <w:t xml:space="preserve">, A., &amp; Babalola, C. P. (2021). Therapeutic potentials of antiviral plants used in traditional African medicine with COVID-19 in focus: A Nigerian perspective. Frontiers in Pharmacology, 12, Article 596855. </w:t>
      </w:r>
      <w:hyperlink r:id="rId13" w:history="1">
        <w:r w:rsidRPr="002A57F5">
          <w:rPr>
            <w:rFonts w:ascii="Times New Roman" w:eastAsia="Times New Roman" w:hAnsi="Times New Roman" w:cs="Times New Roman"/>
            <w:color w:val="0000FF"/>
            <w:sz w:val="24"/>
            <w:szCs w:val="24"/>
            <w:u w:val="single"/>
          </w:rPr>
          <w:t>https://doi.org/10.3389/fphar.2021.596855</w:t>
        </w:r>
      </w:hyperlink>
    </w:p>
    <w:p w14:paraId="67BECC90"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Bello, O. M., Abiodun, O. B., &amp; </w:t>
      </w:r>
      <w:proofErr w:type="spellStart"/>
      <w:r w:rsidRPr="002A57F5">
        <w:rPr>
          <w:rFonts w:ascii="Times New Roman" w:eastAsia="Times New Roman" w:hAnsi="Times New Roman" w:cs="Times New Roman"/>
          <w:sz w:val="24"/>
          <w:szCs w:val="24"/>
        </w:rPr>
        <w:t>Oguntoye</w:t>
      </w:r>
      <w:proofErr w:type="spellEnd"/>
      <w:r w:rsidRPr="002A57F5">
        <w:rPr>
          <w:rFonts w:ascii="Times New Roman" w:eastAsia="Times New Roman" w:hAnsi="Times New Roman" w:cs="Times New Roman"/>
          <w:sz w:val="24"/>
          <w:szCs w:val="24"/>
        </w:rPr>
        <w:t xml:space="preserve">, S. O. (2018). Insight into the ethnopharmacology, phytochemistry, pharmacology of </w:t>
      </w:r>
      <w:proofErr w:type="spellStart"/>
      <w:r w:rsidRPr="002A57F5">
        <w:rPr>
          <w:rFonts w:ascii="Times New Roman" w:eastAsia="Times New Roman" w:hAnsi="Times New Roman" w:cs="Times New Roman"/>
          <w:sz w:val="24"/>
          <w:szCs w:val="24"/>
        </w:rPr>
        <w:t>Launaea</w:t>
      </w:r>
      <w:proofErr w:type="spellEnd"/>
      <w:r w:rsidRPr="002A57F5">
        <w:rPr>
          <w:rFonts w:ascii="Times New Roman" w:eastAsia="Times New Roman" w:hAnsi="Times New Roman" w:cs="Times New Roman"/>
          <w:sz w:val="24"/>
          <w:szCs w:val="24"/>
        </w:rPr>
        <w:t xml:space="preserve"> </w:t>
      </w:r>
      <w:proofErr w:type="spellStart"/>
      <w:r w:rsidRPr="002A57F5">
        <w:rPr>
          <w:rFonts w:ascii="Times New Roman" w:eastAsia="Times New Roman" w:hAnsi="Times New Roman" w:cs="Times New Roman"/>
          <w:sz w:val="24"/>
          <w:szCs w:val="24"/>
        </w:rPr>
        <w:t>taraxacifolia</w:t>
      </w:r>
      <w:proofErr w:type="spellEnd"/>
      <w:r w:rsidRPr="002A57F5">
        <w:rPr>
          <w:rFonts w:ascii="Times New Roman" w:eastAsia="Times New Roman" w:hAnsi="Times New Roman" w:cs="Times New Roman"/>
          <w:sz w:val="24"/>
          <w:szCs w:val="24"/>
        </w:rPr>
        <w:t xml:space="preserve"> (Willd.) Amin ex C. Jeffrey as an underutilized vegetable from Nigeria: A review. The Annals of the University </w:t>
      </w:r>
      <w:proofErr w:type="spellStart"/>
      <w:r w:rsidRPr="002A57F5">
        <w:rPr>
          <w:rFonts w:ascii="Times New Roman" w:eastAsia="Times New Roman" w:hAnsi="Times New Roman" w:cs="Times New Roman"/>
          <w:sz w:val="24"/>
          <w:szCs w:val="24"/>
        </w:rPr>
        <w:t>Dunarea</w:t>
      </w:r>
      <w:proofErr w:type="spellEnd"/>
      <w:r w:rsidRPr="002A57F5">
        <w:rPr>
          <w:rFonts w:ascii="Times New Roman" w:eastAsia="Times New Roman" w:hAnsi="Times New Roman" w:cs="Times New Roman"/>
          <w:sz w:val="24"/>
          <w:szCs w:val="24"/>
        </w:rPr>
        <w:t xml:space="preserve"> de Jos of Galati, Fascicle VI – Food Technology, 42(2), 137–152. </w:t>
      </w:r>
      <w:hyperlink r:id="rId14" w:history="1">
        <w:r w:rsidRPr="002A57F5">
          <w:rPr>
            <w:rFonts w:ascii="Times New Roman" w:eastAsia="Times New Roman" w:hAnsi="Times New Roman" w:cs="Times New Roman"/>
            <w:color w:val="0000FF"/>
            <w:sz w:val="24"/>
            <w:szCs w:val="24"/>
            <w:u w:val="single"/>
          </w:rPr>
          <w:t>https://www.gup.ugal.ro/ugaljournals/index.php/food/article/view/1151</w:t>
        </w:r>
      </w:hyperlink>
    </w:p>
    <w:p w14:paraId="1DBA9877"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Carmo de Carvalho e Martins, M. D., da Silva Santos Oliveira, A. S., da Silva, L. A. A., Primo, M. G. S., &amp; de Carvalho Lira, V. B. (2022). Biological indicators of oxidative stress [malondialdehyde, catalase, glutathione peroxidase, and superoxide dismutase] and their application in nutrition. In V. B. Patel &amp; V. R. </w:t>
      </w:r>
      <w:proofErr w:type="spellStart"/>
      <w:r w:rsidRPr="002A57F5">
        <w:rPr>
          <w:rFonts w:ascii="Times New Roman" w:eastAsia="Times New Roman" w:hAnsi="Times New Roman" w:cs="Times New Roman"/>
          <w:sz w:val="24"/>
          <w:szCs w:val="24"/>
        </w:rPr>
        <w:t>Preedy</w:t>
      </w:r>
      <w:proofErr w:type="spellEnd"/>
      <w:r w:rsidRPr="002A57F5">
        <w:rPr>
          <w:rFonts w:ascii="Times New Roman" w:eastAsia="Times New Roman" w:hAnsi="Times New Roman" w:cs="Times New Roman"/>
          <w:sz w:val="24"/>
          <w:szCs w:val="24"/>
        </w:rPr>
        <w:t xml:space="preserve"> (Eds.), Biomarkers in nutrition (pp. 833–856). Springer. </w:t>
      </w:r>
      <w:hyperlink r:id="rId15" w:history="1">
        <w:r w:rsidRPr="002A57F5">
          <w:rPr>
            <w:rFonts w:ascii="Times New Roman" w:eastAsia="Times New Roman" w:hAnsi="Times New Roman" w:cs="Times New Roman"/>
            <w:color w:val="0000FF"/>
            <w:sz w:val="24"/>
            <w:szCs w:val="24"/>
            <w:u w:val="single"/>
          </w:rPr>
          <w:t>https://doi.org/10.1007/978-3-031-07389-2_49</w:t>
        </w:r>
      </w:hyperlink>
    </w:p>
    <w:p w14:paraId="4ED53D17"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Chemutai, J. (2016). Proximate and essential nutrients evaluation of two indigenous vegetables: </w:t>
      </w:r>
      <w:proofErr w:type="spellStart"/>
      <w:r w:rsidRPr="002A57F5">
        <w:rPr>
          <w:rFonts w:ascii="Times New Roman" w:eastAsia="Times New Roman" w:hAnsi="Times New Roman" w:cs="Times New Roman"/>
          <w:sz w:val="24"/>
          <w:szCs w:val="24"/>
        </w:rPr>
        <w:t>Commelina</w:t>
      </w:r>
      <w:proofErr w:type="spellEnd"/>
      <w:r w:rsidRPr="002A57F5">
        <w:rPr>
          <w:rFonts w:ascii="Times New Roman" w:eastAsia="Times New Roman" w:hAnsi="Times New Roman" w:cs="Times New Roman"/>
          <w:sz w:val="24"/>
          <w:szCs w:val="24"/>
        </w:rPr>
        <w:t xml:space="preserve"> </w:t>
      </w:r>
      <w:proofErr w:type="spellStart"/>
      <w:r w:rsidRPr="002A57F5">
        <w:rPr>
          <w:rFonts w:ascii="Times New Roman" w:eastAsia="Times New Roman" w:hAnsi="Times New Roman" w:cs="Times New Roman"/>
          <w:sz w:val="24"/>
          <w:szCs w:val="24"/>
        </w:rPr>
        <w:t>africana</w:t>
      </w:r>
      <w:proofErr w:type="spellEnd"/>
      <w:r w:rsidRPr="002A57F5">
        <w:rPr>
          <w:rFonts w:ascii="Times New Roman" w:eastAsia="Times New Roman" w:hAnsi="Times New Roman" w:cs="Times New Roman"/>
          <w:sz w:val="24"/>
          <w:szCs w:val="24"/>
        </w:rPr>
        <w:t xml:space="preserve"> and Amaranthus thunbergii from </w:t>
      </w:r>
      <w:proofErr w:type="spellStart"/>
      <w:r w:rsidRPr="002A57F5">
        <w:rPr>
          <w:rFonts w:ascii="Times New Roman" w:eastAsia="Times New Roman" w:hAnsi="Times New Roman" w:cs="Times New Roman"/>
          <w:sz w:val="24"/>
          <w:szCs w:val="24"/>
        </w:rPr>
        <w:t>Ainamoi</w:t>
      </w:r>
      <w:proofErr w:type="spellEnd"/>
      <w:r w:rsidRPr="002A57F5">
        <w:rPr>
          <w:rFonts w:ascii="Times New Roman" w:eastAsia="Times New Roman" w:hAnsi="Times New Roman" w:cs="Times New Roman"/>
          <w:sz w:val="24"/>
          <w:szCs w:val="24"/>
        </w:rPr>
        <w:t xml:space="preserve"> Division, Kericho County [Master's thesis, University of Eldoret]. University of Eldoret Institutional Repository. </w:t>
      </w:r>
      <w:hyperlink r:id="rId16" w:history="1">
        <w:r w:rsidRPr="002A57F5">
          <w:rPr>
            <w:rFonts w:ascii="Times New Roman" w:eastAsia="Times New Roman" w:hAnsi="Times New Roman" w:cs="Times New Roman"/>
            <w:color w:val="0000FF"/>
            <w:sz w:val="24"/>
            <w:szCs w:val="24"/>
            <w:u w:val="single"/>
          </w:rPr>
          <w:t>https://erepository.uoeld.ac.ke/bitstream/handle/123456789/911/CHEMUTAI%20JULIET.pdf?sequence=1</w:t>
        </w:r>
      </w:hyperlink>
    </w:p>
    <w:p w14:paraId="65957904"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Coco-Bassey, S. B., Asemota, E. A., </w:t>
      </w:r>
      <w:proofErr w:type="spellStart"/>
      <w:r w:rsidRPr="002A57F5">
        <w:rPr>
          <w:rFonts w:ascii="Times New Roman" w:eastAsia="Times New Roman" w:hAnsi="Times New Roman" w:cs="Times New Roman"/>
          <w:sz w:val="24"/>
          <w:szCs w:val="24"/>
        </w:rPr>
        <w:t>Okoroiwu</w:t>
      </w:r>
      <w:proofErr w:type="spellEnd"/>
      <w:r w:rsidRPr="002A57F5">
        <w:rPr>
          <w:rFonts w:ascii="Times New Roman" w:eastAsia="Times New Roman" w:hAnsi="Times New Roman" w:cs="Times New Roman"/>
          <w:sz w:val="24"/>
          <w:szCs w:val="24"/>
        </w:rPr>
        <w:t xml:space="preserve">, H. U., </w:t>
      </w:r>
      <w:proofErr w:type="spellStart"/>
      <w:r w:rsidRPr="002A57F5">
        <w:rPr>
          <w:rFonts w:ascii="Times New Roman" w:eastAsia="Times New Roman" w:hAnsi="Times New Roman" w:cs="Times New Roman"/>
          <w:sz w:val="24"/>
          <w:szCs w:val="24"/>
        </w:rPr>
        <w:t>Etura</w:t>
      </w:r>
      <w:proofErr w:type="spellEnd"/>
      <w:r w:rsidRPr="002A57F5">
        <w:rPr>
          <w:rFonts w:ascii="Times New Roman" w:eastAsia="Times New Roman" w:hAnsi="Times New Roman" w:cs="Times New Roman"/>
          <w:sz w:val="24"/>
          <w:szCs w:val="24"/>
        </w:rPr>
        <w:t xml:space="preserve">, J. E., </w:t>
      </w:r>
      <w:proofErr w:type="spellStart"/>
      <w:r w:rsidRPr="002A57F5">
        <w:rPr>
          <w:rFonts w:ascii="Times New Roman" w:eastAsia="Times New Roman" w:hAnsi="Times New Roman" w:cs="Times New Roman"/>
          <w:sz w:val="24"/>
          <w:szCs w:val="24"/>
        </w:rPr>
        <w:t>Efiong</w:t>
      </w:r>
      <w:proofErr w:type="spellEnd"/>
      <w:r w:rsidRPr="002A57F5">
        <w:rPr>
          <w:rFonts w:ascii="Times New Roman" w:eastAsia="Times New Roman" w:hAnsi="Times New Roman" w:cs="Times New Roman"/>
          <w:sz w:val="24"/>
          <w:szCs w:val="24"/>
        </w:rPr>
        <w:t xml:space="preserve">, E. E., Inyang, I. J., &amp; Uko, E. K. (2019). Glutathione, glutathione peroxidase and some hematological parameters of HIV-seropositive subjects attending clinic in University of Calabar teaching hospital, Calabar, Nigeria. BMC Infectious Diseases, 19, Article 944. </w:t>
      </w:r>
      <w:hyperlink r:id="rId17" w:history="1">
        <w:r w:rsidRPr="002A57F5">
          <w:rPr>
            <w:rFonts w:ascii="Times New Roman" w:eastAsia="Times New Roman" w:hAnsi="Times New Roman" w:cs="Times New Roman"/>
            <w:color w:val="0000FF"/>
            <w:sz w:val="24"/>
            <w:szCs w:val="24"/>
            <w:u w:val="single"/>
          </w:rPr>
          <w:t>https://doi.org/10.1186/s12879-019-4562-6</w:t>
        </w:r>
      </w:hyperlink>
    </w:p>
    <w:p w14:paraId="3250813F"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Das, S. (2016). Amaranths: The crop of great prospect. In Amaranthus: A promising crop of future (pp. 13–48). Springer. </w:t>
      </w:r>
      <w:hyperlink r:id="rId18" w:history="1">
        <w:r w:rsidRPr="002A57F5">
          <w:rPr>
            <w:rFonts w:ascii="Times New Roman" w:eastAsia="Times New Roman" w:hAnsi="Times New Roman" w:cs="Times New Roman"/>
            <w:color w:val="0000FF"/>
            <w:sz w:val="24"/>
            <w:szCs w:val="24"/>
            <w:u w:val="single"/>
          </w:rPr>
          <w:t>https://doi.org/10.1007/978-981-10-1469-7_3</w:t>
        </w:r>
      </w:hyperlink>
    </w:p>
    <w:p w14:paraId="557B0BDA"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lastRenderedPageBreak/>
        <w:t xml:space="preserve">Dey, A., &amp; Lakshmanan, J. (2013). The role of antioxidants and other agents in alleviating hyperglycemia mediated oxidative stress and injury in liver. Food &amp; Function, 4(8), 1148–1184. </w:t>
      </w:r>
      <w:hyperlink r:id="rId19" w:history="1">
        <w:r w:rsidRPr="002A57F5">
          <w:rPr>
            <w:rFonts w:ascii="Times New Roman" w:eastAsia="Times New Roman" w:hAnsi="Times New Roman" w:cs="Times New Roman"/>
            <w:color w:val="0000FF"/>
            <w:sz w:val="24"/>
            <w:szCs w:val="24"/>
            <w:u w:val="single"/>
          </w:rPr>
          <w:t>https://doi.org/10.1039/C3FO30317A</w:t>
        </w:r>
      </w:hyperlink>
    </w:p>
    <w:p w14:paraId="6C828C59"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Ebhohimen</w:t>
      </w:r>
      <w:proofErr w:type="spellEnd"/>
      <w:r w:rsidRPr="002A57F5">
        <w:rPr>
          <w:rFonts w:ascii="Times New Roman" w:eastAsia="Times New Roman" w:hAnsi="Times New Roman" w:cs="Times New Roman"/>
          <w:sz w:val="24"/>
          <w:szCs w:val="24"/>
        </w:rPr>
        <w:t xml:space="preserve">, I. E., </w:t>
      </w:r>
      <w:proofErr w:type="spellStart"/>
      <w:r w:rsidRPr="002A57F5">
        <w:rPr>
          <w:rFonts w:ascii="Times New Roman" w:eastAsia="Times New Roman" w:hAnsi="Times New Roman" w:cs="Times New Roman"/>
          <w:sz w:val="24"/>
          <w:szCs w:val="24"/>
        </w:rPr>
        <w:t>Ebhomielen</w:t>
      </w:r>
      <w:proofErr w:type="spellEnd"/>
      <w:r w:rsidRPr="002A57F5">
        <w:rPr>
          <w:rFonts w:ascii="Times New Roman" w:eastAsia="Times New Roman" w:hAnsi="Times New Roman" w:cs="Times New Roman"/>
          <w:sz w:val="24"/>
          <w:szCs w:val="24"/>
        </w:rPr>
        <w:t xml:space="preserve">, J. O., </w:t>
      </w:r>
      <w:proofErr w:type="spellStart"/>
      <w:r w:rsidRPr="002A57F5">
        <w:rPr>
          <w:rFonts w:ascii="Times New Roman" w:eastAsia="Times New Roman" w:hAnsi="Times New Roman" w:cs="Times New Roman"/>
          <w:sz w:val="24"/>
          <w:szCs w:val="24"/>
        </w:rPr>
        <w:t>Edemhanria</w:t>
      </w:r>
      <w:proofErr w:type="spellEnd"/>
      <w:r w:rsidRPr="002A57F5">
        <w:rPr>
          <w:rFonts w:ascii="Times New Roman" w:eastAsia="Times New Roman" w:hAnsi="Times New Roman" w:cs="Times New Roman"/>
          <w:sz w:val="24"/>
          <w:szCs w:val="24"/>
        </w:rPr>
        <w:t xml:space="preserve">, L., Osagie, A. O., &amp; Omoruyi, J. I. (2020). Effect of ethanol extract of </w:t>
      </w:r>
      <w:proofErr w:type="spellStart"/>
      <w:r w:rsidRPr="002A57F5">
        <w:rPr>
          <w:rFonts w:ascii="Times New Roman" w:eastAsia="Times New Roman" w:hAnsi="Times New Roman" w:cs="Times New Roman"/>
          <w:sz w:val="24"/>
          <w:szCs w:val="24"/>
        </w:rPr>
        <w:t>Aframomum</w:t>
      </w:r>
      <w:proofErr w:type="spellEnd"/>
      <w:r w:rsidRPr="002A57F5">
        <w:rPr>
          <w:rFonts w:ascii="Times New Roman" w:eastAsia="Times New Roman" w:hAnsi="Times New Roman" w:cs="Times New Roman"/>
          <w:sz w:val="24"/>
          <w:szCs w:val="24"/>
        </w:rPr>
        <w:t xml:space="preserve"> angustifolium seeds on potassium bromate induced liver and kidney damage in Wistar rats. Global Journal of Pure and Applied Sciences, 26(1), 1–8. </w:t>
      </w:r>
      <w:hyperlink r:id="rId20" w:history="1">
        <w:r w:rsidRPr="002A57F5">
          <w:rPr>
            <w:rFonts w:ascii="Times New Roman" w:eastAsia="Times New Roman" w:hAnsi="Times New Roman" w:cs="Times New Roman"/>
            <w:color w:val="0000FF"/>
            <w:sz w:val="24"/>
            <w:szCs w:val="24"/>
            <w:u w:val="single"/>
          </w:rPr>
          <w:t>https://doi.org/10.4314/gjpas.v26i1.1</w:t>
        </w:r>
      </w:hyperlink>
    </w:p>
    <w:p w14:paraId="674F3096"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El-Sherif, F., Radwan, R., &amp; </w:t>
      </w:r>
      <w:proofErr w:type="spellStart"/>
      <w:r w:rsidRPr="002A57F5">
        <w:rPr>
          <w:rFonts w:ascii="Times New Roman" w:eastAsia="Times New Roman" w:hAnsi="Times New Roman" w:cs="Times New Roman"/>
          <w:sz w:val="24"/>
          <w:szCs w:val="24"/>
        </w:rPr>
        <w:t>Khafagy</w:t>
      </w:r>
      <w:proofErr w:type="spellEnd"/>
      <w:r w:rsidRPr="002A57F5">
        <w:rPr>
          <w:rFonts w:ascii="Times New Roman" w:eastAsia="Times New Roman" w:hAnsi="Times New Roman" w:cs="Times New Roman"/>
          <w:sz w:val="24"/>
          <w:szCs w:val="24"/>
        </w:rPr>
        <w:t xml:space="preserve">, M. (2022). Potential effects of passion fruit (Passiflora edulis) against oxidative stress induced by potassium bromate in rats. Journal of Pharmaceutical Negative Results, 13(S07), 4538–4558. </w:t>
      </w:r>
      <w:hyperlink r:id="rId21" w:history="1">
        <w:r w:rsidRPr="002A57F5">
          <w:rPr>
            <w:rFonts w:ascii="Times New Roman" w:eastAsia="Times New Roman" w:hAnsi="Times New Roman" w:cs="Times New Roman"/>
            <w:color w:val="0000FF"/>
            <w:sz w:val="24"/>
            <w:szCs w:val="24"/>
            <w:u w:val="single"/>
          </w:rPr>
          <w:t>https://doi.org/10.47750/pnr.2022.13.S07.567</w:t>
        </w:r>
      </w:hyperlink>
    </w:p>
    <w:p w14:paraId="6407C6E0"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Ellison, D., &amp; Farrar, F. C. (2018). Kidney influence on fluid and electrolyte balance. Nursing Clinics of North America, 53(4), 469–480. </w:t>
      </w:r>
      <w:hyperlink r:id="rId22" w:history="1">
        <w:r w:rsidRPr="002A57F5">
          <w:rPr>
            <w:rFonts w:ascii="Times New Roman" w:eastAsia="Times New Roman" w:hAnsi="Times New Roman" w:cs="Times New Roman"/>
            <w:color w:val="0000FF"/>
            <w:sz w:val="24"/>
            <w:szCs w:val="24"/>
            <w:u w:val="single"/>
          </w:rPr>
          <w:t>https://doi.org/10.1016/j.cnur.2018.05.004</w:t>
        </w:r>
      </w:hyperlink>
    </w:p>
    <w:p w14:paraId="19657E28"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Famurewa</w:t>
      </w:r>
      <w:proofErr w:type="spellEnd"/>
      <w:r w:rsidRPr="002A57F5">
        <w:rPr>
          <w:rFonts w:ascii="Times New Roman" w:eastAsia="Times New Roman" w:hAnsi="Times New Roman" w:cs="Times New Roman"/>
          <w:sz w:val="24"/>
          <w:szCs w:val="24"/>
        </w:rPr>
        <w:t>, A. C., Ugwu-</w:t>
      </w:r>
      <w:proofErr w:type="spellStart"/>
      <w:r w:rsidRPr="002A57F5">
        <w:rPr>
          <w:rFonts w:ascii="Times New Roman" w:eastAsia="Times New Roman" w:hAnsi="Times New Roman" w:cs="Times New Roman"/>
          <w:sz w:val="24"/>
          <w:szCs w:val="24"/>
        </w:rPr>
        <w:t>Ejezie</w:t>
      </w:r>
      <w:proofErr w:type="spellEnd"/>
      <w:r w:rsidRPr="002A57F5">
        <w:rPr>
          <w:rFonts w:ascii="Times New Roman" w:eastAsia="Times New Roman" w:hAnsi="Times New Roman" w:cs="Times New Roman"/>
          <w:sz w:val="24"/>
          <w:szCs w:val="24"/>
        </w:rPr>
        <w:t xml:space="preserve">, C. S., </w:t>
      </w:r>
      <w:proofErr w:type="spellStart"/>
      <w:r w:rsidRPr="002A57F5">
        <w:rPr>
          <w:rFonts w:ascii="Times New Roman" w:eastAsia="Times New Roman" w:hAnsi="Times New Roman" w:cs="Times New Roman"/>
          <w:sz w:val="24"/>
          <w:szCs w:val="24"/>
        </w:rPr>
        <w:t>Iyare</w:t>
      </w:r>
      <w:proofErr w:type="spellEnd"/>
      <w:r w:rsidRPr="002A57F5">
        <w:rPr>
          <w:rFonts w:ascii="Times New Roman" w:eastAsia="Times New Roman" w:hAnsi="Times New Roman" w:cs="Times New Roman"/>
          <w:sz w:val="24"/>
          <w:szCs w:val="24"/>
        </w:rPr>
        <w:t xml:space="preserve">, E. E., </w:t>
      </w:r>
      <w:proofErr w:type="spellStart"/>
      <w:r w:rsidRPr="002A57F5">
        <w:rPr>
          <w:rFonts w:ascii="Times New Roman" w:eastAsia="Times New Roman" w:hAnsi="Times New Roman" w:cs="Times New Roman"/>
          <w:sz w:val="24"/>
          <w:szCs w:val="24"/>
        </w:rPr>
        <w:t>Folawiyo</w:t>
      </w:r>
      <w:proofErr w:type="spellEnd"/>
      <w:r w:rsidRPr="002A57F5">
        <w:rPr>
          <w:rFonts w:ascii="Times New Roman" w:eastAsia="Times New Roman" w:hAnsi="Times New Roman" w:cs="Times New Roman"/>
          <w:sz w:val="24"/>
          <w:szCs w:val="24"/>
        </w:rPr>
        <w:t xml:space="preserve">, A. M., </w:t>
      </w:r>
      <w:proofErr w:type="spellStart"/>
      <w:r w:rsidRPr="002A57F5">
        <w:rPr>
          <w:rFonts w:ascii="Times New Roman" w:eastAsia="Times New Roman" w:hAnsi="Times New Roman" w:cs="Times New Roman"/>
          <w:sz w:val="24"/>
          <w:szCs w:val="24"/>
        </w:rPr>
        <w:t>Maduagwuna</w:t>
      </w:r>
      <w:proofErr w:type="spellEnd"/>
      <w:r w:rsidRPr="002A57F5">
        <w:rPr>
          <w:rFonts w:ascii="Times New Roman" w:eastAsia="Times New Roman" w:hAnsi="Times New Roman" w:cs="Times New Roman"/>
          <w:sz w:val="24"/>
          <w:szCs w:val="24"/>
        </w:rPr>
        <w:t xml:space="preserve">, E. K., &amp; </w:t>
      </w:r>
      <w:proofErr w:type="spellStart"/>
      <w:r w:rsidRPr="002A57F5">
        <w:rPr>
          <w:rFonts w:ascii="Times New Roman" w:eastAsia="Times New Roman" w:hAnsi="Times New Roman" w:cs="Times New Roman"/>
          <w:sz w:val="24"/>
          <w:szCs w:val="24"/>
        </w:rPr>
        <w:t>Ejezie</w:t>
      </w:r>
      <w:proofErr w:type="spellEnd"/>
      <w:r w:rsidRPr="002A57F5">
        <w:rPr>
          <w:rFonts w:ascii="Times New Roman" w:eastAsia="Times New Roman" w:hAnsi="Times New Roman" w:cs="Times New Roman"/>
          <w:sz w:val="24"/>
          <w:szCs w:val="24"/>
        </w:rPr>
        <w:t xml:space="preserve">, F. E. (2021). Hepatoprotective effect of polyphenols isolated from virgin coconut oil against sub-chronic cadmium hepatotoxicity in rats is associated with improvement in antioxidant defense system. Drug and Chemical Toxicology, 44(4), 418–426. </w:t>
      </w:r>
      <w:hyperlink r:id="rId23" w:history="1">
        <w:r w:rsidRPr="002A57F5">
          <w:rPr>
            <w:rFonts w:ascii="Times New Roman" w:eastAsia="Times New Roman" w:hAnsi="Times New Roman" w:cs="Times New Roman"/>
            <w:color w:val="0000FF"/>
            <w:sz w:val="24"/>
            <w:szCs w:val="24"/>
            <w:u w:val="single"/>
          </w:rPr>
          <w:t>https://doi.org/10.1080/01480545.2019.1598428</w:t>
        </w:r>
      </w:hyperlink>
    </w:p>
    <w:p w14:paraId="65A584E5"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Faruq, M. O., Rahim, A., </w:t>
      </w:r>
      <w:proofErr w:type="spellStart"/>
      <w:r w:rsidRPr="002A57F5">
        <w:rPr>
          <w:rFonts w:ascii="Times New Roman" w:eastAsia="Times New Roman" w:hAnsi="Times New Roman" w:cs="Times New Roman"/>
          <w:sz w:val="24"/>
          <w:szCs w:val="24"/>
        </w:rPr>
        <w:t>Arifuzzaman</w:t>
      </w:r>
      <w:proofErr w:type="spellEnd"/>
      <w:r w:rsidRPr="002A57F5">
        <w:rPr>
          <w:rFonts w:ascii="Times New Roman" w:eastAsia="Times New Roman" w:hAnsi="Times New Roman" w:cs="Times New Roman"/>
          <w:sz w:val="24"/>
          <w:szCs w:val="24"/>
        </w:rPr>
        <w:t xml:space="preserve">, M., &amp; Ghosh, G. P. (2024). Phytochemicals screening, nutritional assessment and antioxidant activities of A.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L. and A. spinosus L. leaves: A comparative study. Journal of Agriculture and Food Research, 18, Article 101341. </w:t>
      </w:r>
      <w:hyperlink r:id="rId24" w:history="1">
        <w:r w:rsidRPr="002A57F5">
          <w:rPr>
            <w:rFonts w:ascii="Times New Roman" w:eastAsia="Times New Roman" w:hAnsi="Times New Roman" w:cs="Times New Roman"/>
            <w:color w:val="0000FF"/>
            <w:sz w:val="24"/>
            <w:szCs w:val="24"/>
            <w:u w:val="single"/>
          </w:rPr>
          <w:t>https://doi.org/10.1016/j.jafr.2024.101341</w:t>
        </w:r>
      </w:hyperlink>
    </w:p>
    <w:p w14:paraId="19E82028"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Fouad, M. S., Ghareeb, M. A., Hamed, A. A., Aidy, E. A., </w:t>
      </w:r>
      <w:proofErr w:type="spellStart"/>
      <w:r w:rsidRPr="002A57F5">
        <w:rPr>
          <w:rFonts w:ascii="Times New Roman" w:eastAsia="Times New Roman" w:hAnsi="Times New Roman" w:cs="Times New Roman"/>
          <w:sz w:val="24"/>
          <w:szCs w:val="24"/>
        </w:rPr>
        <w:t>Tabudravu</w:t>
      </w:r>
      <w:proofErr w:type="spellEnd"/>
      <w:r w:rsidRPr="002A57F5">
        <w:rPr>
          <w:rFonts w:ascii="Times New Roman" w:eastAsia="Times New Roman" w:hAnsi="Times New Roman" w:cs="Times New Roman"/>
          <w:sz w:val="24"/>
          <w:szCs w:val="24"/>
        </w:rPr>
        <w:t xml:space="preserve">, J., Sayed, A. M., </w:t>
      </w:r>
      <w:proofErr w:type="spellStart"/>
      <w:r w:rsidRPr="002A57F5">
        <w:rPr>
          <w:rFonts w:ascii="Times New Roman" w:eastAsia="Times New Roman" w:hAnsi="Times New Roman" w:cs="Times New Roman"/>
          <w:sz w:val="24"/>
          <w:szCs w:val="24"/>
        </w:rPr>
        <w:t>Tammam</w:t>
      </w:r>
      <w:proofErr w:type="spellEnd"/>
      <w:r w:rsidRPr="002A57F5">
        <w:rPr>
          <w:rFonts w:ascii="Times New Roman" w:eastAsia="Times New Roman" w:hAnsi="Times New Roman" w:cs="Times New Roman"/>
          <w:sz w:val="24"/>
          <w:szCs w:val="24"/>
        </w:rPr>
        <w:t xml:space="preserve">, M. A., &amp; </w:t>
      </w:r>
      <w:proofErr w:type="spellStart"/>
      <w:r w:rsidRPr="002A57F5">
        <w:rPr>
          <w:rFonts w:ascii="Times New Roman" w:eastAsia="Times New Roman" w:hAnsi="Times New Roman" w:cs="Times New Roman"/>
          <w:sz w:val="24"/>
          <w:szCs w:val="24"/>
        </w:rPr>
        <w:t>Mwaheb</w:t>
      </w:r>
      <w:proofErr w:type="spellEnd"/>
      <w:r w:rsidRPr="002A57F5">
        <w:rPr>
          <w:rFonts w:ascii="Times New Roman" w:eastAsia="Times New Roman" w:hAnsi="Times New Roman" w:cs="Times New Roman"/>
          <w:sz w:val="24"/>
          <w:szCs w:val="24"/>
        </w:rPr>
        <w:t xml:space="preserve">, M. A. (2024). Exploring the antioxidant, anticancer and antimicrobial potential of Amaranthus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L. collected from Fayoum depression: Phytochemical, and biological aspects. South African Journal of Botany, 166, 297–310. </w:t>
      </w:r>
      <w:hyperlink r:id="rId25" w:history="1">
        <w:r w:rsidRPr="002A57F5">
          <w:rPr>
            <w:rFonts w:ascii="Times New Roman" w:eastAsia="Times New Roman" w:hAnsi="Times New Roman" w:cs="Times New Roman"/>
            <w:color w:val="0000FF"/>
            <w:sz w:val="24"/>
            <w:szCs w:val="24"/>
            <w:u w:val="single"/>
          </w:rPr>
          <w:t>https://doi.org/10.1016/j.sajb.2024.01.047</w:t>
        </w:r>
      </w:hyperlink>
    </w:p>
    <w:p w14:paraId="792665A3"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Gandhi, P., Samarth, R. M., &amp; Peter, K. (2021). Bioactive compounds of amaranth (genus Amaranthus). In H. N. Murthy &amp; K. Y. Paek (Eds.), Bioactive compounds in underutilized vegetables and legumes (pp. 1–37). Springer. </w:t>
      </w:r>
      <w:hyperlink r:id="rId26" w:history="1">
        <w:r w:rsidRPr="002A57F5">
          <w:rPr>
            <w:rFonts w:ascii="Times New Roman" w:eastAsia="Times New Roman" w:hAnsi="Times New Roman" w:cs="Times New Roman"/>
            <w:color w:val="0000FF"/>
            <w:sz w:val="24"/>
            <w:szCs w:val="24"/>
            <w:u w:val="single"/>
          </w:rPr>
          <w:t>https://doi.org/10.1007/978-3-030-44578-2_3-1</w:t>
        </w:r>
      </w:hyperlink>
    </w:p>
    <w:p w14:paraId="5504C9CC"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Gowda, S., Desai, P. B., Kulkarni, S. S., Hull, V. V., Math, A. A. K., &amp; Vernekar, S. N. (2010). Markers of renal function tests. North American Journal of Medical Sciences, 2(4), 170–173. </w:t>
      </w:r>
      <w:hyperlink r:id="rId27" w:history="1">
        <w:r w:rsidRPr="002A57F5">
          <w:rPr>
            <w:rFonts w:ascii="Times New Roman" w:eastAsia="Times New Roman" w:hAnsi="Times New Roman" w:cs="Times New Roman"/>
            <w:color w:val="0000FF"/>
            <w:sz w:val="24"/>
            <w:szCs w:val="24"/>
            <w:u w:val="single"/>
          </w:rPr>
          <w:t>https://pubmed.ncbi.nlm.nih.gov/22624135/</w:t>
        </w:r>
      </w:hyperlink>
    </w:p>
    <w:p w14:paraId="33BE7AC4"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Hall, J. E. (2016). Renal dysfunction, rather than nonrenal vascular dysfunction, mediates salt-induced hypertension. Circulation, 133(9), 894–906. </w:t>
      </w:r>
      <w:hyperlink r:id="rId28" w:history="1">
        <w:r w:rsidRPr="002A57F5">
          <w:rPr>
            <w:rFonts w:ascii="Times New Roman" w:eastAsia="Times New Roman" w:hAnsi="Times New Roman" w:cs="Times New Roman"/>
            <w:color w:val="0000FF"/>
            <w:sz w:val="24"/>
            <w:szCs w:val="24"/>
            <w:u w:val="single"/>
          </w:rPr>
          <w:t>https://doi.org/10.1161/CIRCULATIONAHA.115.018526</w:t>
        </w:r>
      </w:hyperlink>
    </w:p>
    <w:p w14:paraId="2D787B02"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lastRenderedPageBreak/>
        <w:t xml:space="preserve">Hassan, I., </w:t>
      </w:r>
      <w:proofErr w:type="spellStart"/>
      <w:r w:rsidRPr="002A57F5">
        <w:rPr>
          <w:rFonts w:ascii="Times New Roman" w:eastAsia="Times New Roman" w:hAnsi="Times New Roman" w:cs="Times New Roman"/>
          <w:sz w:val="24"/>
          <w:szCs w:val="24"/>
        </w:rPr>
        <w:t>Ebaid</w:t>
      </w:r>
      <w:proofErr w:type="spellEnd"/>
      <w:r w:rsidRPr="002A57F5">
        <w:rPr>
          <w:rFonts w:ascii="Times New Roman" w:eastAsia="Times New Roman" w:hAnsi="Times New Roman" w:cs="Times New Roman"/>
          <w:sz w:val="24"/>
          <w:szCs w:val="24"/>
        </w:rPr>
        <w:t xml:space="preserve">, H., ul Islam, B., Al-Tamimi, J., </w:t>
      </w:r>
      <w:proofErr w:type="spellStart"/>
      <w:r w:rsidRPr="002A57F5">
        <w:rPr>
          <w:rFonts w:ascii="Times New Roman" w:eastAsia="Times New Roman" w:hAnsi="Times New Roman" w:cs="Times New Roman"/>
          <w:sz w:val="24"/>
          <w:szCs w:val="24"/>
        </w:rPr>
        <w:t>Abdelftah</w:t>
      </w:r>
      <w:proofErr w:type="spellEnd"/>
      <w:r w:rsidRPr="002A57F5">
        <w:rPr>
          <w:rFonts w:ascii="Times New Roman" w:eastAsia="Times New Roman" w:hAnsi="Times New Roman" w:cs="Times New Roman"/>
          <w:sz w:val="24"/>
          <w:szCs w:val="24"/>
        </w:rPr>
        <w:t xml:space="preserve">, Z., Aman, S., Alhazza, I. M., &amp; Awad, E. M. (2026). Mitigating effect of naringenin on potassium bromate-induced nephrotoxicity in vivo. Naunyn-Schmiedeberg's Archives of Pharmacology, 399, 15183–15197. </w:t>
      </w:r>
      <w:hyperlink r:id="rId29" w:history="1">
        <w:r w:rsidRPr="002A57F5">
          <w:rPr>
            <w:rFonts w:ascii="Times New Roman" w:eastAsia="Times New Roman" w:hAnsi="Times New Roman" w:cs="Times New Roman"/>
            <w:color w:val="0000FF"/>
            <w:sz w:val="24"/>
            <w:szCs w:val="24"/>
            <w:u w:val="single"/>
          </w:rPr>
          <w:t>https://doi.org/10.1007/s00210-026-05271-3</w:t>
        </w:r>
      </w:hyperlink>
    </w:p>
    <w:p w14:paraId="0213D259"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Ighodaro, O. M., &amp; </w:t>
      </w:r>
      <w:proofErr w:type="spellStart"/>
      <w:r w:rsidRPr="002A57F5">
        <w:rPr>
          <w:rFonts w:ascii="Times New Roman" w:eastAsia="Times New Roman" w:hAnsi="Times New Roman" w:cs="Times New Roman"/>
          <w:sz w:val="24"/>
          <w:szCs w:val="24"/>
        </w:rPr>
        <w:t>Akinloye</w:t>
      </w:r>
      <w:proofErr w:type="spellEnd"/>
      <w:r w:rsidRPr="002A57F5">
        <w:rPr>
          <w:rFonts w:ascii="Times New Roman" w:eastAsia="Times New Roman" w:hAnsi="Times New Roman" w:cs="Times New Roman"/>
          <w:sz w:val="24"/>
          <w:szCs w:val="24"/>
        </w:rPr>
        <w:t xml:space="preserve">, O. A. (2018). First line </w:t>
      </w:r>
      <w:proofErr w:type="spellStart"/>
      <w:r w:rsidRPr="002A57F5">
        <w:rPr>
          <w:rFonts w:ascii="Times New Roman" w:eastAsia="Times New Roman" w:hAnsi="Times New Roman" w:cs="Times New Roman"/>
          <w:sz w:val="24"/>
          <w:szCs w:val="24"/>
        </w:rPr>
        <w:t>defence</w:t>
      </w:r>
      <w:proofErr w:type="spellEnd"/>
      <w:r w:rsidRPr="002A57F5">
        <w:rPr>
          <w:rFonts w:ascii="Times New Roman" w:eastAsia="Times New Roman" w:hAnsi="Times New Roman" w:cs="Times New Roman"/>
          <w:sz w:val="24"/>
          <w:szCs w:val="24"/>
        </w:rPr>
        <w:t xml:space="preserve"> antioxidants-superoxide dismutase (SOD), catalase (CAT) and glutathione peroxidase (GPX): Their fundamental role in the entire antioxidant </w:t>
      </w:r>
      <w:proofErr w:type="spellStart"/>
      <w:r w:rsidRPr="002A57F5">
        <w:rPr>
          <w:rFonts w:ascii="Times New Roman" w:eastAsia="Times New Roman" w:hAnsi="Times New Roman" w:cs="Times New Roman"/>
          <w:sz w:val="24"/>
          <w:szCs w:val="24"/>
        </w:rPr>
        <w:t>defence</w:t>
      </w:r>
      <w:proofErr w:type="spellEnd"/>
      <w:r w:rsidRPr="002A57F5">
        <w:rPr>
          <w:rFonts w:ascii="Times New Roman" w:eastAsia="Times New Roman" w:hAnsi="Times New Roman" w:cs="Times New Roman"/>
          <w:sz w:val="24"/>
          <w:szCs w:val="24"/>
        </w:rPr>
        <w:t xml:space="preserve"> grid. Alexandria Journal of Medicine, 54(4), 287–293. </w:t>
      </w:r>
      <w:hyperlink r:id="rId30" w:history="1">
        <w:r w:rsidRPr="002A57F5">
          <w:rPr>
            <w:rFonts w:ascii="Times New Roman" w:eastAsia="Times New Roman" w:hAnsi="Times New Roman" w:cs="Times New Roman"/>
            <w:color w:val="0000FF"/>
            <w:sz w:val="24"/>
            <w:szCs w:val="24"/>
            <w:u w:val="single"/>
          </w:rPr>
          <w:t>https://doi.org/10.1016/j.ajme.2017.09.001</w:t>
        </w:r>
      </w:hyperlink>
    </w:p>
    <w:p w14:paraId="4D7952E8"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Islam, M. N., Rauf, A., Fahad, F. I., Emran, T. B., Mitra, S., Olatunde, A., Shariati, M. A., </w:t>
      </w:r>
      <w:proofErr w:type="spellStart"/>
      <w:r w:rsidRPr="002A57F5">
        <w:rPr>
          <w:rFonts w:ascii="Times New Roman" w:eastAsia="Times New Roman" w:hAnsi="Times New Roman" w:cs="Times New Roman"/>
          <w:sz w:val="24"/>
          <w:szCs w:val="24"/>
        </w:rPr>
        <w:t>Rebezov</w:t>
      </w:r>
      <w:proofErr w:type="spellEnd"/>
      <w:r w:rsidRPr="002A57F5">
        <w:rPr>
          <w:rFonts w:ascii="Times New Roman" w:eastAsia="Times New Roman" w:hAnsi="Times New Roman" w:cs="Times New Roman"/>
          <w:sz w:val="24"/>
          <w:szCs w:val="24"/>
        </w:rPr>
        <w:t xml:space="preserve">, M., Rengasamy, K. R. R., &amp; Mubarak, M. S. (2022). Superoxide dismutase: An updated review on its health benefits and industrial applications. Critical Reviews in Food Science and Nutrition, 62(26), 7282–7300. </w:t>
      </w:r>
      <w:hyperlink r:id="rId31" w:history="1">
        <w:r w:rsidRPr="002A57F5">
          <w:rPr>
            <w:rFonts w:ascii="Times New Roman" w:eastAsia="Times New Roman" w:hAnsi="Times New Roman" w:cs="Times New Roman"/>
            <w:color w:val="0000FF"/>
            <w:sz w:val="24"/>
            <w:szCs w:val="24"/>
            <w:u w:val="single"/>
          </w:rPr>
          <w:t>https://doi.org/10.1080/10408398.2021.1913400</w:t>
        </w:r>
      </w:hyperlink>
    </w:p>
    <w:p w14:paraId="426E7F6D"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Jain, A., Jain, R., &amp; Jain, S. (2020). Determination of blood creatinine. In Basic techniques in biochemistry, microbiology and molecular biology: Principles and techniques (pp. 201–203). Springer. </w:t>
      </w:r>
      <w:hyperlink r:id="rId32" w:history="1">
        <w:r w:rsidRPr="002A57F5">
          <w:rPr>
            <w:rFonts w:ascii="Times New Roman" w:eastAsia="Times New Roman" w:hAnsi="Times New Roman" w:cs="Times New Roman"/>
            <w:color w:val="0000FF"/>
            <w:sz w:val="24"/>
            <w:szCs w:val="24"/>
            <w:u w:val="single"/>
          </w:rPr>
          <w:t>https://doi.org/10.1007/978-1-4939-9861-6_46</w:t>
        </w:r>
      </w:hyperlink>
    </w:p>
    <w:p w14:paraId="241B4DB8"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Jin, Z., Yuan, H., Ruan, L., Lu, Y., Liu, M., Xie, B., Yan, Y., Jiang, L., Wen, W., Gao, M., &amp; Zhao, F. (2025). Unveiling the multifaceted potential of Amaranthus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L.: A review of its phytochemistry, pharmacology, and industrial applications. Trends in Food Science &amp; Technology, 159, Article 104967. </w:t>
      </w:r>
      <w:hyperlink r:id="rId33" w:history="1">
        <w:r w:rsidRPr="002A57F5">
          <w:rPr>
            <w:rFonts w:ascii="Times New Roman" w:eastAsia="Times New Roman" w:hAnsi="Times New Roman" w:cs="Times New Roman"/>
            <w:color w:val="0000FF"/>
            <w:sz w:val="24"/>
            <w:szCs w:val="24"/>
            <w:u w:val="single"/>
          </w:rPr>
          <w:t>https://doi.org/10.1016/j.tifs.2025.104967</w:t>
        </w:r>
      </w:hyperlink>
    </w:p>
    <w:p w14:paraId="46814C82"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Kanu, K. C., </w:t>
      </w:r>
      <w:proofErr w:type="spellStart"/>
      <w:r w:rsidRPr="002A57F5">
        <w:rPr>
          <w:rFonts w:ascii="Times New Roman" w:eastAsia="Times New Roman" w:hAnsi="Times New Roman" w:cs="Times New Roman"/>
          <w:sz w:val="24"/>
          <w:szCs w:val="24"/>
        </w:rPr>
        <w:t>Ijioma</w:t>
      </w:r>
      <w:proofErr w:type="spellEnd"/>
      <w:r w:rsidRPr="002A57F5">
        <w:rPr>
          <w:rFonts w:ascii="Times New Roman" w:eastAsia="Times New Roman" w:hAnsi="Times New Roman" w:cs="Times New Roman"/>
          <w:sz w:val="24"/>
          <w:szCs w:val="24"/>
        </w:rPr>
        <w:t xml:space="preserve">, S. N., &amp; </w:t>
      </w:r>
      <w:proofErr w:type="spellStart"/>
      <w:r w:rsidRPr="002A57F5">
        <w:rPr>
          <w:rFonts w:ascii="Times New Roman" w:eastAsia="Times New Roman" w:hAnsi="Times New Roman" w:cs="Times New Roman"/>
          <w:sz w:val="24"/>
          <w:szCs w:val="24"/>
        </w:rPr>
        <w:t>Atiata</w:t>
      </w:r>
      <w:proofErr w:type="spellEnd"/>
      <w:r w:rsidRPr="002A57F5">
        <w:rPr>
          <w:rFonts w:ascii="Times New Roman" w:eastAsia="Times New Roman" w:hAnsi="Times New Roman" w:cs="Times New Roman"/>
          <w:sz w:val="24"/>
          <w:szCs w:val="24"/>
        </w:rPr>
        <w:t xml:space="preserve">, O. (2016). </w:t>
      </w:r>
      <w:proofErr w:type="spellStart"/>
      <w:r w:rsidRPr="002A57F5">
        <w:rPr>
          <w:rFonts w:ascii="Times New Roman" w:eastAsia="Times New Roman" w:hAnsi="Times New Roman" w:cs="Times New Roman"/>
          <w:sz w:val="24"/>
          <w:szCs w:val="24"/>
        </w:rPr>
        <w:t>Haematological</w:t>
      </w:r>
      <w:proofErr w:type="spellEnd"/>
      <w:r w:rsidRPr="002A57F5">
        <w:rPr>
          <w:rFonts w:ascii="Times New Roman" w:eastAsia="Times New Roman" w:hAnsi="Times New Roman" w:cs="Times New Roman"/>
          <w:sz w:val="24"/>
          <w:szCs w:val="24"/>
        </w:rPr>
        <w:t xml:space="preserve">, biochemical and antioxidant changes in Wistar rats exposed to dichlorvos based insecticide formulation used in Southeast Nigeria. Toxics, 4(4), Article 28. </w:t>
      </w:r>
      <w:hyperlink r:id="rId34" w:history="1">
        <w:r w:rsidRPr="002A57F5">
          <w:rPr>
            <w:rFonts w:ascii="Times New Roman" w:eastAsia="Times New Roman" w:hAnsi="Times New Roman" w:cs="Times New Roman"/>
            <w:color w:val="0000FF"/>
            <w:sz w:val="24"/>
            <w:szCs w:val="24"/>
            <w:u w:val="single"/>
          </w:rPr>
          <w:t>https://doi.org/10.3390/toxics4040028</w:t>
        </w:r>
      </w:hyperlink>
    </w:p>
    <w:p w14:paraId="6960E7B3"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Khan, R. A., Khan, M. R., &amp; </w:t>
      </w:r>
      <w:proofErr w:type="spellStart"/>
      <w:r w:rsidRPr="002A57F5">
        <w:rPr>
          <w:rFonts w:ascii="Times New Roman" w:eastAsia="Times New Roman" w:hAnsi="Times New Roman" w:cs="Times New Roman"/>
          <w:sz w:val="24"/>
          <w:szCs w:val="24"/>
        </w:rPr>
        <w:t>Sahreen</w:t>
      </w:r>
      <w:proofErr w:type="spellEnd"/>
      <w:r w:rsidRPr="002A57F5">
        <w:rPr>
          <w:rFonts w:ascii="Times New Roman" w:eastAsia="Times New Roman" w:hAnsi="Times New Roman" w:cs="Times New Roman"/>
          <w:sz w:val="24"/>
          <w:szCs w:val="24"/>
        </w:rPr>
        <w:t xml:space="preserve">, S. (2012). Protective effects of rutin against potassium bromate induced nephrotoxicity in rats. BMC Complementary and Alternative Medicine, 12, Article 204. </w:t>
      </w:r>
      <w:hyperlink r:id="rId35" w:history="1">
        <w:r w:rsidRPr="002A57F5">
          <w:rPr>
            <w:rFonts w:ascii="Times New Roman" w:eastAsia="Times New Roman" w:hAnsi="Times New Roman" w:cs="Times New Roman"/>
            <w:color w:val="0000FF"/>
            <w:sz w:val="24"/>
            <w:szCs w:val="24"/>
            <w:u w:val="single"/>
          </w:rPr>
          <w:t>https://doi.org/10.1186/1472-6882-12-204</w:t>
        </w:r>
      </w:hyperlink>
    </w:p>
    <w:p w14:paraId="45A59B03"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Lindinger, M. I., &amp; Cairns, S. P. (2021). Regulation of muscle potassium: Exercise performance, fatigue and health implications. European Journal of Applied Physiology, 121(3), 721–748. </w:t>
      </w:r>
      <w:hyperlink r:id="rId36" w:history="1">
        <w:r w:rsidRPr="002A57F5">
          <w:rPr>
            <w:rFonts w:ascii="Times New Roman" w:eastAsia="Times New Roman" w:hAnsi="Times New Roman" w:cs="Times New Roman"/>
            <w:color w:val="0000FF"/>
            <w:sz w:val="24"/>
            <w:szCs w:val="24"/>
            <w:u w:val="single"/>
          </w:rPr>
          <w:t>https://doi.org/10.1007/s00421-020-04546-8</w:t>
        </w:r>
      </w:hyperlink>
    </w:p>
    <w:p w14:paraId="7D38ABE3"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Nguyen-Khac, E., Thevenot, T., Capron, D., </w:t>
      </w:r>
      <w:proofErr w:type="spellStart"/>
      <w:r w:rsidRPr="002A57F5">
        <w:rPr>
          <w:rFonts w:ascii="Times New Roman" w:eastAsia="Times New Roman" w:hAnsi="Times New Roman" w:cs="Times New Roman"/>
          <w:sz w:val="24"/>
          <w:szCs w:val="24"/>
        </w:rPr>
        <w:t>Dharancy</w:t>
      </w:r>
      <w:proofErr w:type="spellEnd"/>
      <w:r w:rsidRPr="002A57F5">
        <w:rPr>
          <w:rFonts w:ascii="Times New Roman" w:eastAsia="Times New Roman" w:hAnsi="Times New Roman" w:cs="Times New Roman"/>
          <w:sz w:val="24"/>
          <w:szCs w:val="24"/>
        </w:rPr>
        <w:t xml:space="preserve">, S., </w:t>
      </w:r>
      <w:proofErr w:type="spellStart"/>
      <w:r w:rsidRPr="002A57F5">
        <w:rPr>
          <w:rFonts w:ascii="Times New Roman" w:eastAsia="Times New Roman" w:hAnsi="Times New Roman" w:cs="Times New Roman"/>
          <w:sz w:val="24"/>
          <w:szCs w:val="24"/>
        </w:rPr>
        <w:t>Paupart</w:t>
      </w:r>
      <w:proofErr w:type="spellEnd"/>
      <w:r w:rsidRPr="002A57F5">
        <w:rPr>
          <w:rFonts w:ascii="Times New Roman" w:eastAsia="Times New Roman" w:hAnsi="Times New Roman" w:cs="Times New Roman"/>
          <w:sz w:val="24"/>
          <w:szCs w:val="24"/>
        </w:rPr>
        <w:t xml:space="preserve">, T., </w:t>
      </w:r>
      <w:proofErr w:type="spellStart"/>
      <w:r w:rsidRPr="002A57F5">
        <w:rPr>
          <w:rFonts w:ascii="Times New Roman" w:eastAsia="Times New Roman" w:hAnsi="Times New Roman" w:cs="Times New Roman"/>
          <w:sz w:val="24"/>
          <w:szCs w:val="24"/>
        </w:rPr>
        <w:t>Thabut</w:t>
      </w:r>
      <w:proofErr w:type="spellEnd"/>
      <w:r w:rsidRPr="002A57F5">
        <w:rPr>
          <w:rFonts w:ascii="Times New Roman" w:eastAsia="Times New Roman" w:hAnsi="Times New Roman" w:cs="Times New Roman"/>
          <w:sz w:val="24"/>
          <w:szCs w:val="24"/>
        </w:rPr>
        <w:t xml:space="preserve">, D., &amp; Tiry, C. (2008). Are ascitic electrolytes usable in cirrhotic patients? Correlation of sodium, potassium, chloride, urea, and creatinine concentrations in ascitic fluid and blood. European Journal of Internal Medicine, 19(8), 613–618. </w:t>
      </w:r>
      <w:hyperlink r:id="rId37" w:history="1">
        <w:r w:rsidRPr="002A57F5">
          <w:rPr>
            <w:rFonts w:ascii="Times New Roman" w:eastAsia="Times New Roman" w:hAnsi="Times New Roman" w:cs="Times New Roman"/>
            <w:color w:val="0000FF"/>
            <w:sz w:val="24"/>
            <w:szCs w:val="24"/>
            <w:u w:val="single"/>
          </w:rPr>
          <w:t>https://doi.org/10.1016/j.ejim.2007.07.011</w:t>
        </w:r>
      </w:hyperlink>
    </w:p>
    <w:p w14:paraId="02270F97"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Nwalutu</w:t>
      </w:r>
      <w:proofErr w:type="spellEnd"/>
      <w:r w:rsidRPr="002A57F5">
        <w:rPr>
          <w:rFonts w:ascii="Times New Roman" w:eastAsia="Times New Roman" w:hAnsi="Times New Roman" w:cs="Times New Roman"/>
          <w:sz w:val="24"/>
          <w:szCs w:val="24"/>
        </w:rPr>
        <w:t xml:space="preserve">, E. J. (2011). Liver and kidney function tests in experimental rats exposed to car paints and additive [Master's thesis, Nnamdi Azikiwe University]. Nnamdi Azikiwe University Institutional Repository. </w:t>
      </w:r>
      <w:hyperlink r:id="rId38" w:history="1">
        <w:r w:rsidRPr="002A57F5">
          <w:rPr>
            <w:rFonts w:ascii="Times New Roman" w:eastAsia="Times New Roman" w:hAnsi="Times New Roman" w:cs="Times New Roman"/>
            <w:color w:val="0000FF"/>
            <w:sz w:val="24"/>
            <w:szCs w:val="24"/>
            <w:u w:val="single"/>
          </w:rPr>
          <w:t>https://repository.unizik.edu.ng/handle/123456789/404</w:t>
        </w:r>
      </w:hyperlink>
    </w:p>
    <w:p w14:paraId="2F8DCB87"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lastRenderedPageBreak/>
        <w:t>Obruca</w:t>
      </w:r>
      <w:proofErr w:type="spellEnd"/>
      <w:r w:rsidRPr="002A57F5">
        <w:rPr>
          <w:rFonts w:ascii="Times New Roman" w:eastAsia="Times New Roman" w:hAnsi="Times New Roman" w:cs="Times New Roman"/>
          <w:sz w:val="24"/>
          <w:szCs w:val="24"/>
        </w:rPr>
        <w:t xml:space="preserve">, S., Sedlacek, P., </w:t>
      </w:r>
      <w:proofErr w:type="spellStart"/>
      <w:r w:rsidRPr="002A57F5">
        <w:rPr>
          <w:rFonts w:ascii="Times New Roman" w:eastAsia="Times New Roman" w:hAnsi="Times New Roman" w:cs="Times New Roman"/>
          <w:sz w:val="24"/>
          <w:szCs w:val="24"/>
        </w:rPr>
        <w:t>Mravec</w:t>
      </w:r>
      <w:proofErr w:type="spellEnd"/>
      <w:r w:rsidRPr="002A57F5">
        <w:rPr>
          <w:rFonts w:ascii="Times New Roman" w:eastAsia="Times New Roman" w:hAnsi="Times New Roman" w:cs="Times New Roman"/>
          <w:sz w:val="24"/>
          <w:szCs w:val="24"/>
        </w:rPr>
        <w:t xml:space="preserve">, F., Samek, O., &amp; </w:t>
      </w:r>
      <w:proofErr w:type="spellStart"/>
      <w:r w:rsidRPr="002A57F5">
        <w:rPr>
          <w:rFonts w:ascii="Times New Roman" w:eastAsia="Times New Roman" w:hAnsi="Times New Roman" w:cs="Times New Roman"/>
          <w:sz w:val="24"/>
          <w:szCs w:val="24"/>
        </w:rPr>
        <w:t>Marova</w:t>
      </w:r>
      <w:proofErr w:type="spellEnd"/>
      <w:r w:rsidRPr="002A57F5">
        <w:rPr>
          <w:rFonts w:ascii="Times New Roman" w:eastAsia="Times New Roman" w:hAnsi="Times New Roman" w:cs="Times New Roman"/>
          <w:sz w:val="24"/>
          <w:szCs w:val="24"/>
        </w:rPr>
        <w:t xml:space="preserve">, I. (2016). Evaluation of 3-hydroxybutyrate as an enzyme-protective agent against heating and oxidative damage and its potential role in stress response of poly(3-hydroxybutyrate) accumulating cells. Applied Microbiology and Biotechnology, 100, 1365–1376. </w:t>
      </w:r>
      <w:hyperlink r:id="rId39" w:history="1">
        <w:r w:rsidRPr="002A57F5">
          <w:rPr>
            <w:rFonts w:ascii="Times New Roman" w:eastAsia="Times New Roman" w:hAnsi="Times New Roman" w:cs="Times New Roman"/>
            <w:color w:val="0000FF"/>
            <w:sz w:val="24"/>
            <w:szCs w:val="24"/>
            <w:u w:val="single"/>
          </w:rPr>
          <w:t>https://doi.org/10.1007/s00253-015-7162-4</w:t>
        </w:r>
      </w:hyperlink>
    </w:p>
    <w:p w14:paraId="6DC5D24F"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Ogwu, M. C., Ogwu, H. I., &amp; Kosoe, E. A. (2024). Plants used in the management and treatment of cardiovascular diseases: Case study of the Benin people of Southern Nigeria. In S. C. Izah, M. C. Ogwu, &amp; M. Akram (Eds.), Herbal medicine phytochemistry: Applications and trends (pp. 1–31). Springer. </w:t>
      </w:r>
      <w:hyperlink r:id="rId40" w:history="1">
        <w:r w:rsidRPr="002A57F5">
          <w:rPr>
            <w:rFonts w:ascii="Times New Roman" w:eastAsia="Times New Roman" w:hAnsi="Times New Roman" w:cs="Times New Roman"/>
            <w:color w:val="0000FF"/>
            <w:sz w:val="24"/>
            <w:szCs w:val="24"/>
            <w:u w:val="single"/>
          </w:rPr>
          <w:t>https://doi.org/10.1007/978-3-031-21973-3_4-1</w:t>
        </w:r>
      </w:hyperlink>
    </w:p>
    <w:p w14:paraId="5922107E"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Oluboyo, A. O., </w:t>
      </w:r>
      <w:proofErr w:type="spellStart"/>
      <w:r w:rsidRPr="002A57F5">
        <w:rPr>
          <w:rFonts w:ascii="Times New Roman" w:eastAsia="Times New Roman" w:hAnsi="Times New Roman" w:cs="Times New Roman"/>
          <w:sz w:val="24"/>
          <w:szCs w:val="24"/>
        </w:rPr>
        <w:t>Omon</w:t>
      </w:r>
      <w:proofErr w:type="spellEnd"/>
      <w:r w:rsidRPr="002A57F5">
        <w:rPr>
          <w:rFonts w:ascii="Times New Roman" w:eastAsia="Times New Roman" w:hAnsi="Times New Roman" w:cs="Times New Roman"/>
          <w:sz w:val="24"/>
          <w:szCs w:val="24"/>
        </w:rPr>
        <w:t xml:space="preserve">, E. A., &amp; </w:t>
      </w:r>
      <w:proofErr w:type="spellStart"/>
      <w:r w:rsidRPr="002A57F5">
        <w:rPr>
          <w:rFonts w:ascii="Times New Roman" w:eastAsia="Times New Roman" w:hAnsi="Times New Roman" w:cs="Times New Roman"/>
          <w:sz w:val="24"/>
          <w:szCs w:val="24"/>
        </w:rPr>
        <w:t>Oluboyo</w:t>
      </w:r>
      <w:proofErr w:type="spellEnd"/>
      <w:r w:rsidRPr="002A57F5">
        <w:rPr>
          <w:rFonts w:ascii="Times New Roman" w:eastAsia="Times New Roman" w:hAnsi="Times New Roman" w:cs="Times New Roman"/>
          <w:sz w:val="24"/>
          <w:szCs w:val="24"/>
        </w:rPr>
        <w:t xml:space="preserve">, B. O. (2024). Evaluation of cardiac, liver and renal indices during a </w:t>
      </w:r>
      <w:proofErr w:type="gramStart"/>
      <w:r w:rsidRPr="002A57F5">
        <w:rPr>
          <w:rFonts w:ascii="Times New Roman" w:eastAsia="Times New Roman" w:hAnsi="Times New Roman" w:cs="Times New Roman"/>
          <w:sz w:val="24"/>
          <w:szCs w:val="24"/>
        </w:rPr>
        <w:t>short term</w:t>
      </w:r>
      <w:proofErr w:type="gramEnd"/>
      <w:r w:rsidRPr="002A57F5">
        <w:rPr>
          <w:rFonts w:ascii="Times New Roman" w:eastAsia="Times New Roman" w:hAnsi="Times New Roman" w:cs="Times New Roman"/>
          <w:sz w:val="24"/>
          <w:szCs w:val="24"/>
        </w:rPr>
        <w:t xml:space="preserve"> exercise among young male adults in Ado-Ekiti, Nigeria. Trends in Medical Research, 19(1), 124–135. </w:t>
      </w:r>
      <w:hyperlink r:id="rId41" w:history="1">
        <w:r w:rsidRPr="002A57F5">
          <w:rPr>
            <w:rFonts w:ascii="Times New Roman" w:eastAsia="Times New Roman" w:hAnsi="Times New Roman" w:cs="Times New Roman"/>
            <w:color w:val="0000FF"/>
            <w:sz w:val="24"/>
            <w:szCs w:val="24"/>
            <w:u w:val="single"/>
          </w:rPr>
          <w:t>https://doi.org/10.3923/tmr.2024.124.135</w:t>
        </w:r>
      </w:hyperlink>
    </w:p>
    <w:p w14:paraId="0ADF8BEA"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Omodamiro</w:t>
      </w:r>
      <w:proofErr w:type="spellEnd"/>
      <w:r w:rsidRPr="002A57F5">
        <w:rPr>
          <w:rFonts w:ascii="Times New Roman" w:eastAsia="Times New Roman" w:hAnsi="Times New Roman" w:cs="Times New Roman"/>
          <w:sz w:val="24"/>
          <w:szCs w:val="24"/>
        </w:rPr>
        <w:t xml:space="preserve">, O. D., Jimoh, M. A., &amp; </w:t>
      </w:r>
      <w:proofErr w:type="spellStart"/>
      <w:r w:rsidRPr="002A57F5">
        <w:rPr>
          <w:rFonts w:ascii="Times New Roman" w:eastAsia="Times New Roman" w:hAnsi="Times New Roman" w:cs="Times New Roman"/>
          <w:sz w:val="24"/>
          <w:szCs w:val="24"/>
        </w:rPr>
        <w:t>Ezurike</w:t>
      </w:r>
      <w:proofErr w:type="spellEnd"/>
      <w:r w:rsidRPr="002A57F5">
        <w:rPr>
          <w:rFonts w:ascii="Times New Roman" w:eastAsia="Times New Roman" w:hAnsi="Times New Roman" w:cs="Times New Roman"/>
          <w:sz w:val="24"/>
          <w:szCs w:val="24"/>
        </w:rPr>
        <w:t xml:space="preserve">, P. U. (2016). In vitro antioxidant activity and hypolipidemic effects of an ethanol extract of Amaranthus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leaves on hyperlipidemic Wistar albino rats. British Journal of Pharmaceutical Research, 9(6), 1–12. </w:t>
      </w:r>
      <w:hyperlink r:id="rId42" w:history="1">
        <w:r w:rsidRPr="002A57F5">
          <w:rPr>
            <w:rFonts w:ascii="Times New Roman" w:eastAsia="Times New Roman" w:hAnsi="Times New Roman" w:cs="Times New Roman"/>
            <w:color w:val="0000FF"/>
            <w:sz w:val="24"/>
            <w:szCs w:val="24"/>
            <w:u w:val="single"/>
          </w:rPr>
          <w:t>https://doi.org/10.9734/BJPR/2016/22124</w:t>
        </w:r>
      </w:hyperlink>
    </w:p>
    <w:p w14:paraId="5DA8BBB4"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Palmer, B. F., &amp; Clegg, D. J. (2016). Physiology and pathophysiology of potassium homeostasis. Advances in Physiology Education, 40(4), 480–490. </w:t>
      </w:r>
      <w:hyperlink r:id="rId43" w:history="1">
        <w:r w:rsidRPr="002A57F5">
          <w:rPr>
            <w:rFonts w:ascii="Times New Roman" w:eastAsia="Times New Roman" w:hAnsi="Times New Roman" w:cs="Times New Roman"/>
            <w:color w:val="0000FF"/>
            <w:sz w:val="24"/>
            <w:szCs w:val="24"/>
            <w:u w:val="single"/>
          </w:rPr>
          <w:t>https://doi.org/10.1152/advan.00121.2016</w:t>
        </w:r>
      </w:hyperlink>
    </w:p>
    <w:p w14:paraId="2D35DE7B"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Ragab, E. E. (2018). The possible protective effect of vitamin C on monosodium glutamate induced renal toxicity in male albino rats. Egyptian Journal of Histology, 41(4), 386–397. </w:t>
      </w:r>
      <w:hyperlink r:id="rId44" w:history="1">
        <w:r w:rsidRPr="002A57F5">
          <w:rPr>
            <w:rFonts w:ascii="Times New Roman" w:eastAsia="Times New Roman" w:hAnsi="Times New Roman" w:cs="Times New Roman"/>
            <w:color w:val="0000FF"/>
            <w:sz w:val="24"/>
            <w:szCs w:val="24"/>
            <w:u w:val="single"/>
          </w:rPr>
          <w:t>https://doi.org/10.21608/ejh.2019.28760</w:t>
        </w:r>
      </w:hyperlink>
    </w:p>
    <w:p w14:paraId="06A4D25A"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Ratliff, B. B., Abdulmahdi, W., Pawar, R., &amp; Wolin, M. S. (2016). Oxidant mechanisms in renal injury and disease. Antioxidants &amp; Redox Signaling, 25(3), 119–146. </w:t>
      </w:r>
      <w:hyperlink r:id="rId45" w:history="1">
        <w:r w:rsidRPr="002A57F5">
          <w:rPr>
            <w:rFonts w:ascii="Times New Roman" w:eastAsia="Times New Roman" w:hAnsi="Times New Roman" w:cs="Times New Roman"/>
            <w:color w:val="0000FF"/>
            <w:sz w:val="24"/>
            <w:szCs w:val="24"/>
            <w:u w:val="single"/>
          </w:rPr>
          <w:t>https://doi.org/10.1089/ars.2016.6665</w:t>
        </w:r>
      </w:hyperlink>
    </w:p>
    <w:p w14:paraId="7C268CFA"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Sahoo, H. B., Sahoo, S. K., Mishra, K., &amp; Sagar, R. (2015). Evaluation of the wound-healing potential of Amaranthus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(Linn.) in experimentally induced diabetic rats. International Journal of Nutrition, Pharmacology, Neurological Diseases, 5(2), 50–55. </w:t>
      </w:r>
      <w:hyperlink r:id="rId46" w:history="1">
        <w:r w:rsidRPr="002A57F5">
          <w:rPr>
            <w:rFonts w:ascii="Times New Roman" w:eastAsia="Times New Roman" w:hAnsi="Times New Roman" w:cs="Times New Roman"/>
            <w:color w:val="0000FF"/>
            <w:sz w:val="24"/>
            <w:szCs w:val="24"/>
            <w:u w:val="single"/>
          </w:rPr>
          <w:t>https://doi.org/10.4103/2231-0738.153792</w:t>
        </w:r>
      </w:hyperlink>
    </w:p>
    <w:p w14:paraId="6DFB3B31"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proofErr w:type="spellStart"/>
      <w:r w:rsidRPr="002A57F5">
        <w:rPr>
          <w:rFonts w:ascii="Times New Roman" w:eastAsia="Times New Roman" w:hAnsi="Times New Roman" w:cs="Times New Roman"/>
          <w:sz w:val="24"/>
          <w:szCs w:val="24"/>
        </w:rPr>
        <w:t>Okwuchukwu</w:t>
      </w:r>
      <w:proofErr w:type="spellEnd"/>
      <w:r w:rsidRPr="002A57F5">
        <w:rPr>
          <w:rFonts w:ascii="Times New Roman" w:eastAsia="Times New Roman" w:hAnsi="Times New Roman" w:cs="Times New Roman"/>
          <w:sz w:val="24"/>
          <w:szCs w:val="24"/>
        </w:rPr>
        <w:t xml:space="preserve">, J. C., Emmanuel, E. B., Eric, E. C., &amp; Kolawole, B. O. (2024). Assessing the effects of gas flaring on electrolyte (sodium and potassium) levels in pregnant women: A study from Bonny Island in the Niger Delta. Asian Journal of Basic Science &amp; Research, 6(4), 25–41. </w:t>
      </w:r>
      <w:hyperlink r:id="rId47" w:history="1">
        <w:r w:rsidRPr="002A57F5">
          <w:rPr>
            <w:rFonts w:ascii="Times New Roman" w:eastAsia="Times New Roman" w:hAnsi="Times New Roman" w:cs="Times New Roman"/>
            <w:color w:val="0000FF"/>
            <w:sz w:val="24"/>
            <w:szCs w:val="24"/>
            <w:u w:val="single"/>
          </w:rPr>
          <w:t>https://doi.org/10.38177/AJBSR.2024.6403</w:t>
        </w:r>
      </w:hyperlink>
    </w:p>
    <w:p w14:paraId="5079814C"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t xml:space="preserve">Ujah, I. I., Alor, G. S., </w:t>
      </w:r>
      <w:proofErr w:type="spellStart"/>
      <w:r w:rsidRPr="002A57F5">
        <w:rPr>
          <w:rFonts w:ascii="Times New Roman" w:eastAsia="Times New Roman" w:hAnsi="Times New Roman" w:cs="Times New Roman"/>
          <w:sz w:val="24"/>
          <w:szCs w:val="24"/>
        </w:rPr>
        <w:t>Achikanu</w:t>
      </w:r>
      <w:proofErr w:type="spellEnd"/>
      <w:r w:rsidRPr="002A57F5">
        <w:rPr>
          <w:rFonts w:ascii="Times New Roman" w:eastAsia="Times New Roman" w:hAnsi="Times New Roman" w:cs="Times New Roman"/>
          <w:sz w:val="24"/>
          <w:szCs w:val="24"/>
        </w:rPr>
        <w:t xml:space="preserve">, C. E., Ani, O. N., </w:t>
      </w:r>
      <w:proofErr w:type="spellStart"/>
      <w:r w:rsidRPr="002A57F5">
        <w:rPr>
          <w:rFonts w:ascii="Times New Roman" w:eastAsia="Times New Roman" w:hAnsi="Times New Roman" w:cs="Times New Roman"/>
          <w:sz w:val="24"/>
          <w:szCs w:val="24"/>
        </w:rPr>
        <w:t>Nsude</w:t>
      </w:r>
      <w:proofErr w:type="spellEnd"/>
      <w:r w:rsidRPr="002A57F5">
        <w:rPr>
          <w:rFonts w:ascii="Times New Roman" w:eastAsia="Times New Roman" w:hAnsi="Times New Roman" w:cs="Times New Roman"/>
          <w:sz w:val="24"/>
          <w:szCs w:val="24"/>
        </w:rPr>
        <w:t xml:space="preserve">, C. A., </w:t>
      </w:r>
      <w:proofErr w:type="spellStart"/>
      <w:r w:rsidRPr="002A57F5">
        <w:rPr>
          <w:rFonts w:ascii="Times New Roman" w:eastAsia="Times New Roman" w:hAnsi="Times New Roman" w:cs="Times New Roman"/>
          <w:sz w:val="24"/>
          <w:szCs w:val="24"/>
        </w:rPr>
        <w:t>Alozieuwa</w:t>
      </w:r>
      <w:proofErr w:type="spellEnd"/>
      <w:r w:rsidRPr="002A57F5">
        <w:rPr>
          <w:rFonts w:ascii="Times New Roman" w:eastAsia="Times New Roman" w:hAnsi="Times New Roman" w:cs="Times New Roman"/>
          <w:sz w:val="24"/>
          <w:szCs w:val="24"/>
        </w:rPr>
        <w:t xml:space="preserve">, U. B., Ugochukwu, J. I., </w:t>
      </w:r>
      <w:proofErr w:type="spellStart"/>
      <w:r w:rsidRPr="002A57F5">
        <w:rPr>
          <w:rFonts w:ascii="Times New Roman" w:eastAsia="Times New Roman" w:hAnsi="Times New Roman" w:cs="Times New Roman"/>
          <w:sz w:val="24"/>
          <w:szCs w:val="24"/>
        </w:rPr>
        <w:t>Akpata</w:t>
      </w:r>
      <w:proofErr w:type="spellEnd"/>
      <w:r w:rsidRPr="002A57F5">
        <w:rPr>
          <w:rFonts w:ascii="Times New Roman" w:eastAsia="Times New Roman" w:hAnsi="Times New Roman" w:cs="Times New Roman"/>
          <w:sz w:val="24"/>
          <w:szCs w:val="24"/>
        </w:rPr>
        <w:t xml:space="preserve">, E. I., Ude, J. C., </w:t>
      </w:r>
      <w:proofErr w:type="spellStart"/>
      <w:r w:rsidRPr="002A57F5">
        <w:rPr>
          <w:rFonts w:ascii="Times New Roman" w:eastAsia="Times New Roman" w:hAnsi="Times New Roman" w:cs="Times New Roman"/>
          <w:sz w:val="24"/>
          <w:szCs w:val="24"/>
        </w:rPr>
        <w:t>Onyishi</w:t>
      </w:r>
      <w:proofErr w:type="spellEnd"/>
      <w:r w:rsidRPr="002A57F5">
        <w:rPr>
          <w:rFonts w:ascii="Times New Roman" w:eastAsia="Times New Roman" w:hAnsi="Times New Roman" w:cs="Times New Roman"/>
          <w:sz w:val="24"/>
          <w:szCs w:val="24"/>
        </w:rPr>
        <w:t xml:space="preserve">, K. C., </w:t>
      </w:r>
      <w:proofErr w:type="spellStart"/>
      <w:r w:rsidRPr="002A57F5">
        <w:rPr>
          <w:rFonts w:ascii="Times New Roman" w:eastAsia="Times New Roman" w:hAnsi="Times New Roman" w:cs="Times New Roman"/>
          <w:sz w:val="24"/>
          <w:szCs w:val="24"/>
        </w:rPr>
        <w:t>Okpako</w:t>
      </w:r>
      <w:proofErr w:type="spellEnd"/>
      <w:r w:rsidRPr="002A57F5">
        <w:rPr>
          <w:rFonts w:ascii="Times New Roman" w:eastAsia="Times New Roman" w:hAnsi="Times New Roman" w:cs="Times New Roman"/>
          <w:sz w:val="24"/>
          <w:szCs w:val="24"/>
        </w:rPr>
        <w:t xml:space="preserve">, I. O., Okechukwu, C. O., Nneji, O. E., Ogbu, C. K., </w:t>
      </w:r>
      <w:proofErr w:type="spellStart"/>
      <w:r w:rsidRPr="002A57F5">
        <w:rPr>
          <w:rFonts w:ascii="Times New Roman" w:eastAsia="Times New Roman" w:hAnsi="Times New Roman" w:cs="Times New Roman"/>
          <w:sz w:val="24"/>
          <w:szCs w:val="24"/>
        </w:rPr>
        <w:t>Anieke</w:t>
      </w:r>
      <w:proofErr w:type="spellEnd"/>
      <w:r w:rsidRPr="002A57F5">
        <w:rPr>
          <w:rFonts w:ascii="Times New Roman" w:eastAsia="Times New Roman" w:hAnsi="Times New Roman" w:cs="Times New Roman"/>
          <w:sz w:val="24"/>
          <w:szCs w:val="24"/>
        </w:rPr>
        <w:t xml:space="preserve">, C. A., &amp; Ogbodo, O. P. (2025). Effect of ethanol extract of Amaranthus </w:t>
      </w:r>
      <w:proofErr w:type="spellStart"/>
      <w:r w:rsidRPr="002A57F5">
        <w:rPr>
          <w:rFonts w:ascii="Times New Roman" w:eastAsia="Times New Roman" w:hAnsi="Times New Roman" w:cs="Times New Roman"/>
          <w:sz w:val="24"/>
          <w:szCs w:val="24"/>
        </w:rPr>
        <w:t>viridis</w:t>
      </w:r>
      <w:proofErr w:type="spellEnd"/>
      <w:r w:rsidRPr="002A57F5">
        <w:rPr>
          <w:rFonts w:ascii="Times New Roman" w:eastAsia="Times New Roman" w:hAnsi="Times New Roman" w:cs="Times New Roman"/>
          <w:sz w:val="24"/>
          <w:szCs w:val="24"/>
        </w:rPr>
        <w:t xml:space="preserve"> (Inine) on potassium bromide-induced </w:t>
      </w:r>
      <w:proofErr w:type="spellStart"/>
      <w:r w:rsidRPr="002A57F5">
        <w:rPr>
          <w:rFonts w:ascii="Times New Roman" w:eastAsia="Times New Roman" w:hAnsi="Times New Roman" w:cs="Times New Roman"/>
          <w:sz w:val="24"/>
          <w:szCs w:val="24"/>
        </w:rPr>
        <w:t>haematoxicity</w:t>
      </w:r>
      <w:proofErr w:type="spellEnd"/>
      <w:r w:rsidRPr="002A57F5">
        <w:rPr>
          <w:rFonts w:ascii="Times New Roman" w:eastAsia="Times New Roman" w:hAnsi="Times New Roman" w:cs="Times New Roman"/>
          <w:sz w:val="24"/>
          <w:szCs w:val="24"/>
        </w:rPr>
        <w:t xml:space="preserve"> in Wistar rats. Tropical Journal of Natural Product Research, 9(2), 728–733. </w:t>
      </w:r>
      <w:hyperlink r:id="rId48" w:history="1">
        <w:r w:rsidRPr="002A57F5">
          <w:rPr>
            <w:rFonts w:ascii="Times New Roman" w:eastAsia="Times New Roman" w:hAnsi="Times New Roman" w:cs="Times New Roman"/>
            <w:color w:val="0000FF"/>
            <w:sz w:val="24"/>
            <w:szCs w:val="24"/>
            <w:u w:val="single"/>
          </w:rPr>
          <w:t>https://doi.org/10.26538/tjnpr/v9i2.40</w:t>
        </w:r>
      </w:hyperlink>
    </w:p>
    <w:p w14:paraId="606233FF" w14:textId="77777777" w:rsidR="002A57F5" w:rsidRPr="002A57F5" w:rsidRDefault="002A57F5" w:rsidP="002A57F5">
      <w:pPr>
        <w:spacing w:before="100" w:beforeAutospacing="1" w:after="100" w:afterAutospacing="1" w:line="240" w:lineRule="auto"/>
        <w:rPr>
          <w:rFonts w:ascii="Times New Roman" w:eastAsia="Times New Roman" w:hAnsi="Times New Roman" w:cs="Times New Roman"/>
          <w:sz w:val="24"/>
          <w:szCs w:val="24"/>
        </w:rPr>
      </w:pPr>
      <w:r w:rsidRPr="002A57F5">
        <w:rPr>
          <w:rFonts w:ascii="Times New Roman" w:eastAsia="Times New Roman" w:hAnsi="Times New Roman" w:cs="Times New Roman"/>
          <w:sz w:val="24"/>
          <w:szCs w:val="24"/>
        </w:rPr>
        <w:lastRenderedPageBreak/>
        <w:t xml:space="preserve">Vairetti, M., Di Pasqua, L. G., Cagna, M., Richelmi, P., Ferrigno, A., &amp; Berardo, C. (2021). Changes in glutathione content in liver diseases: An update. Antioxidants, 10(3), Article 364. </w:t>
      </w:r>
      <w:hyperlink r:id="rId49" w:history="1">
        <w:r w:rsidRPr="002A57F5">
          <w:rPr>
            <w:rFonts w:ascii="Times New Roman" w:eastAsia="Times New Roman" w:hAnsi="Times New Roman" w:cs="Times New Roman"/>
            <w:color w:val="0000FF"/>
            <w:sz w:val="24"/>
            <w:szCs w:val="24"/>
            <w:u w:val="single"/>
          </w:rPr>
          <w:t>https://doi.org/10.3390/antiox10030364</w:t>
        </w:r>
      </w:hyperlink>
    </w:p>
    <w:p w14:paraId="023ECC58" w14:textId="77777777" w:rsidR="002A57F5" w:rsidRPr="00020436" w:rsidRDefault="002A57F5" w:rsidP="00020436">
      <w:pPr>
        <w:rPr>
          <w:rFonts w:ascii="Arial" w:hAnsi="Arial" w:cs="Arial"/>
          <w:b/>
          <w:bCs/>
          <w:szCs w:val="24"/>
        </w:rPr>
      </w:pPr>
    </w:p>
    <w:sectPr w:rsidR="002A57F5" w:rsidRPr="00020436">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B7F7" w14:textId="77777777" w:rsidR="00D52E5B" w:rsidRDefault="00D52E5B" w:rsidP="00B706E4">
      <w:pPr>
        <w:spacing w:after="0" w:line="240" w:lineRule="auto"/>
      </w:pPr>
      <w:r>
        <w:separator/>
      </w:r>
    </w:p>
  </w:endnote>
  <w:endnote w:type="continuationSeparator" w:id="0">
    <w:p w14:paraId="0386DC6F" w14:textId="77777777" w:rsidR="00D52E5B" w:rsidRDefault="00D52E5B" w:rsidP="00B7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E913" w14:textId="77777777" w:rsidR="00A7460C" w:rsidRDefault="00A74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1B9C" w14:textId="77777777" w:rsidR="00A7460C" w:rsidRDefault="00A746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1A9C" w14:textId="77777777" w:rsidR="00A7460C" w:rsidRDefault="00A74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F9A1" w14:textId="77777777" w:rsidR="00D52E5B" w:rsidRDefault="00D52E5B" w:rsidP="00B706E4">
      <w:pPr>
        <w:spacing w:after="0" w:line="240" w:lineRule="auto"/>
      </w:pPr>
      <w:r>
        <w:separator/>
      </w:r>
    </w:p>
  </w:footnote>
  <w:footnote w:type="continuationSeparator" w:id="0">
    <w:p w14:paraId="48C7842F" w14:textId="77777777" w:rsidR="00D52E5B" w:rsidRDefault="00D52E5B" w:rsidP="00B7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2095" w14:textId="77777777" w:rsidR="00A7460C" w:rsidRDefault="00000000">
    <w:pPr>
      <w:pStyle w:val="Header"/>
    </w:pPr>
    <w:r>
      <w:rPr>
        <w:noProof/>
      </w:rPr>
      <w:pict w14:anchorId="63657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58B8" w14:textId="77777777" w:rsidR="00A7460C" w:rsidRDefault="00000000">
    <w:pPr>
      <w:pStyle w:val="Header"/>
    </w:pPr>
    <w:r>
      <w:rPr>
        <w:noProof/>
      </w:rPr>
      <w:pict w14:anchorId="20E78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D221" w14:textId="77777777" w:rsidR="00A7460C" w:rsidRDefault="00000000">
    <w:pPr>
      <w:pStyle w:val="Header"/>
    </w:pPr>
    <w:r>
      <w:rPr>
        <w:noProof/>
      </w:rPr>
      <w:pict w14:anchorId="6CB67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2493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03F79"/>
    <w:multiLevelType w:val="singleLevel"/>
    <w:tmpl w:val="67503F79"/>
    <w:lvl w:ilvl="0">
      <w:start w:val="1"/>
      <w:numFmt w:val="decimal"/>
      <w:suff w:val="space"/>
      <w:lvlText w:val="%1."/>
      <w:lvlJc w:val="left"/>
    </w:lvl>
  </w:abstractNum>
  <w:num w:numId="1" w16cid:durableId="145143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87"/>
    <w:rsid w:val="00020436"/>
    <w:rsid w:val="00041B27"/>
    <w:rsid w:val="00116D87"/>
    <w:rsid w:val="001257E8"/>
    <w:rsid w:val="001A3DFA"/>
    <w:rsid w:val="001A4554"/>
    <w:rsid w:val="001E055F"/>
    <w:rsid w:val="00277C56"/>
    <w:rsid w:val="002A5007"/>
    <w:rsid w:val="002A57F5"/>
    <w:rsid w:val="002E2ED1"/>
    <w:rsid w:val="00302C55"/>
    <w:rsid w:val="0031203E"/>
    <w:rsid w:val="006201F1"/>
    <w:rsid w:val="006344CB"/>
    <w:rsid w:val="00736D9D"/>
    <w:rsid w:val="00742440"/>
    <w:rsid w:val="00747331"/>
    <w:rsid w:val="00893826"/>
    <w:rsid w:val="00897FA2"/>
    <w:rsid w:val="008F535F"/>
    <w:rsid w:val="008F70F0"/>
    <w:rsid w:val="009772D9"/>
    <w:rsid w:val="009A4DFD"/>
    <w:rsid w:val="00A37720"/>
    <w:rsid w:val="00A606A6"/>
    <w:rsid w:val="00A7460C"/>
    <w:rsid w:val="00AC6FC2"/>
    <w:rsid w:val="00B706E4"/>
    <w:rsid w:val="00B81744"/>
    <w:rsid w:val="00BD03F1"/>
    <w:rsid w:val="00C11754"/>
    <w:rsid w:val="00C22C1E"/>
    <w:rsid w:val="00C949B0"/>
    <w:rsid w:val="00D0036C"/>
    <w:rsid w:val="00D52E5B"/>
    <w:rsid w:val="00DA1A87"/>
    <w:rsid w:val="00EE5741"/>
    <w:rsid w:val="00F00104"/>
    <w:rsid w:val="00F87973"/>
    <w:rsid w:val="00F9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86C73"/>
  <w15:chartTrackingRefBased/>
  <w15:docId w15:val="{17CDE5E7-85B3-44C2-B823-6EB22AF9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6E4"/>
  </w:style>
  <w:style w:type="paragraph" w:styleId="Footer">
    <w:name w:val="footer"/>
    <w:basedOn w:val="Normal"/>
    <w:link w:val="FooterChar"/>
    <w:uiPriority w:val="99"/>
    <w:unhideWhenUsed/>
    <w:rsid w:val="00B70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6E4"/>
  </w:style>
  <w:style w:type="paragraph" w:styleId="ListParagraph">
    <w:name w:val="List Paragraph"/>
    <w:basedOn w:val="Normal"/>
    <w:uiPriority w:val="34"/>
    <w:qFormat/>
    <w:rsid w:val="00B706E4"/>
    <w:pPr>
      <w:ind w:left="720"/>
      <w:contextualSpacing/>
    </w:pPr>
  </w:style>
  <w:style w:type="paragraph" w:styleId="NoSpacing">
    <w:name w:val="No Spacing"/>
    <w:uiPriority w:val="1"/>
    <w:qFormat/>
    <w:rsid w:val="0031203E"/>
    <w:pPr>
      <w:spacing w:after="0" w:line="240" w:lineRule="auto"/>
    </w:pPr>
    <w:rPr>
      <w:rFonts w:ascii="Calibri" w:eastAsia="Calibri" w:hAnsi="Calibri" w:cs="SimSun"/>
      <w14:ligatures w14:val="standardContextual"/>
    </w:rPr>
  </w:style>
  <w:style w:type="table" w:customStyle="1" w:styleId="ListTable6Colorful1">
    <w:name w:val="List Table 6 Colorful1"/>
    <w:basedOn w:val="TableNormal"/>
    <w:uiPriority w:val="51"/>
    <w:rsid w:val="0031203E"/>
    <w:pPr>
      <w:spacing w:after="0" w:line="240" w:lineRule="auto"/>
    </w:pPr>
    <w:rPr>
      <w:rFonts w:eastAsiaTheme="minorEastAsia"/>
      <w:color w:val="000000" w:themeColor="text1"/>
      <w:sz w:val="20"/>
      <w:szCs w:val="20"/>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qFormat/>
    <w:rsid w:val="00020436"/>
    <w:rPr>
      <w:color w:val="0563C1" w:themeColor="hyperlink"/>
      <w:u w:val="single"/>
    </w:rPr>
  </w:style>
  <w:style w:type="character" w:styleId="UnresolvedMention">
    <w:name w:val="Unresolved Mention"/>
    <w:basedOn w:val="DefaultParagraphFont"/>
    <w:uiPriority w:val="99"/>
    <w:semiHidden/>
    <w:unhideWhenUsed/>
    <w:rsid w:val="00116D87"/>
    <w:rPr>
      <w:color w:val="605E5C"/>
      <w:shd w:val="clear" w:color="auto" w:fill="E1DFDD"/>
    </w:rPr>
  </w:style>
  <w:style w:type="paragraph" w:customStyle="1" w:styleId="Author">
    <w:name w:val="Author"/>
    <w:basedOn w:val="Normal"/>
    <w:rsid w:val="00D0036C"/>
    <w:pPr>
      <w:spacing w:after="0" w:line="280" w:lineRule="exact"/>
      <w:jc w:val="right"/>
    </w:pPr>
    <w:rPr>
      <w:rFonts w:ascii="Helvetica" w:eastAsia="Times New Roman" w:hAnsi="Helvetica"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har.2021.596855?utm_source=chatgpt.com" TargetMode="External"/><Relationship Id="rId18" Type="http://schemas.openxmlformats.org/officeDocument/2006/relationships/hyperlink" Target="https://doi.org/10.1007/978-981-10-1469-7_3?utm_source=chatgpt.com" TargetMode="External"/><Relationship Id="rId26" Type="http://schemas.openxmlformats.org/officeDocument/2006/relationships/hyperlink" Target="https://doi.org/10.1007/978-3-030-44578-2_3-1?utm_source=chatgpt.com" TargetMode="External"/><Relationship Id="rId39" Type="http://schemas.openxmlformats.org/officeDocument/2006/relationships/hyperlink" Target="https://doi.org/10.1007/s00253-015-7162-4?utm_source=chatgpt.com" TargetMode="External"/><Relationship Id="rId21" Type="http://schemas.openxmlformats.org/officeDocument/2006/relationships/hyperlink" Target="https://doi.org/10.47750/pnr.2022.13.S07.567?utm_source=chatgpt.com" TargetMode="External"/><Relationship Id="rId34" Type="http://schemas.openxmlformats.org/officeDocument/2006/relationships/hyperlink" Target="https://doi.org/10.3390/toxics4040028?utm_source=chatgpt.com" TargetMode="External"/><Relationship Id="rId42" Type="http://schemas.openxmlformats.org/officeDocument/2006/relationships/hyperlink" Target="https://doi.org/10.9734/BJPR/2016/22124?utm_source=chatgpt.com" TargetMode="External"/><Relationship Id="rId47" Type="http://schemas.openxmlformats.org/officeDocument/2006/relationships/hyperlink" Target="https://doi.org/10.38177/AJBSR.2024.6403?utm_source=chatgpt.co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hyperlink" Target="https://doi.org/10.9734/ajbgmb/2023/v13i2291?utm_source=chatgpt.com" TargetMode="External"/><Relationship Id="rId2" Type="http://schemas.openxmlformats.org/officeDocument/2006/relationships/styles" Target="styles.xml"/><Relationship Id="rId16" Type="http://schemas.openxmlformats.org/officeDocument/2006/relationships/hyperlink" Target="https://erepository.uoeld.ac.ke/bitstream/handle/123456789/911/CHEMUTAI%20JULIET.pdf?sequence=1&amp;utm_source=chatgpt.com" TargetMode="External"/><Relationship Id="rId29" Type="http://schemas.openxmlformats.org/officeDocument/2006/relationships/hyperlink" Target="https://doi.org/10.1007/s00210-026-05271-3?utm_source=chatgpt.com" TargetMode="External"/><Relationship Id="rId11" Type="http://schemas.openxmlformats.org/officeDocument/2006/relationships/hyperlink" Target="https://doi.org/10.56557/ajrib/2026/v9i166?utm_source=chatgpt.com" TargetMode="External"/><Relationship Id="rId24" Type="http://schemas.openxmlformats.org/officeDocument/2006/relationships/hyperlink" Target="https://doi.org/10.1016/j.jafr.2024.101341?utm_source=chatgpt.com" TargetMode="External"/><Relationship Id="rId32" Type="http://schemas.openxmlformats.org/officeDocument/2006/relationships/hyperlink" Target="https://doi.org/10.1007/978-1-4939-9861-6_46?utm_source=chatgpt.com" TargetMode="External"/><Relationship Id="rId37" Type="http://schemas.openxmlformats.org/officeDocument/2006/relationships/hyperlink" Target="https://doi.org/10.1016/j.ejim.2007.07.011?utm_source=chatgpt.com" TargetMode="External"/><Relationship Id="rId40" Type="http://schemas.openxmlformats.org/officeDocument/2006/relationships/hyperlink" Target="https://doi.org/10.1007/978-3-031-21973-3_4-1?utm_source=chatgpt.com" TargetMode="External"/><Relationship Id="rId45" Type="http://schemas.openxmlformats.org/officeDocument/2006/relationships/hyperlink" Target="https://doi.org/10.1089/ars.2016.6665?utm_source=chatgpt.com" TargetMode="External"/><Relationship Id="rId53"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hyperlink" Target="https://doi.org/10.1039/C3FO30317A?utm_source=chatgpt.com" TargetMode="External"/><Relationship Id="rId4" Type="http://schemas.openxmlformats.org/officeDocument/2006/relationships/webSettings" Target="webSettings.xml"/><Relationship Id="rId9" Type="http://schemas.openxmlformats.org/officeDocument/2006/relationships/hyperlink" Target="https://doi.org/10.4103/ijn.ijn_88_21?utm_source=chatgpt.com" TargetMode="External"/><Relationship Id="rId14" Type="http://schemas.openxmlformats.org/officeDocument/2006/relationships/hyperlink" Target="https://www.gup.ugal.ro/ugaljournals/index.php/food/article/view/1151?utm_source=chatgpt.com" TargetMode="External"/><Relationship Id="rId22" Type="http://schemas.openxmlformats.org/officeDocument/2006/relationships/hyperlink" Target="https://doi.org/10.1016/j.cnur.2018.05.004?utm_source=chatgpt.com" TargetMode="External"/><Relationship Id="rId27" Type="http://schemas.openxmlformats.org/officeDocument/2006/relationships/hyperlink" Target="https://pubmed.ncbi.nlm.nih.gov/22624135/?utm_source=chatgpt.com" TargetMode="External"/><Relationship Id="rId30" Type="http://schemas.openxmlformats.org/officeDocument/2006/relationships/hyperlink" Target="https://doi.org/10.1016/j.ajme.2017.09.001?utm_source=chatgpt.com" TargetMode="External"/><Relationship Id="rId35" Type="http://schemas.openxmlformats.org/officeDocument/2006/relationships/hyperlink" Target="https://doi.org/10.1186/1472-6882-12-204?utm_source=chatgpt.com" TargetMode="External"/><Relationship Id="rId43" Type="http://schemas.openxmlformats.org/officeDocument/2006/relationships/hyperlink" Target="https://doi.org/10.1152/advan.00121.2016?utm_source=chatgpt.com" TargetMode="External"/><Relationship Id="rId48" Type="http://schemas.openxmlformats.org/officeDocument/2006/relationships/hyperlink" Target="https://doi.org/10.26538/tjnpr/v9i2.40?utm_source=chatgpt.com" TargetMode="External"/><Relationship Id="rId56" Type="http://schemas.openxmlformats.org/officeDocument/2006/relationships/fontTable" Target="fontTable.xml"/><Relationship Id="rId8" Type="http://schemas.openxmlformats.org/officeDocument/2006/relationships/hyperlink" Target="https://doi.org/10.1016/j.sajb.2020.07.003?utm_source=chatgpt.com" TargetMode="Externa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doi.org/10.3390/stresses2030019?utm_source=chatgpt.com" TargetMode="External"/><Relationship Id="rId17" Type="http://schemas.openxmlformats.org/officeDocument/2006/relationships/hyperlink" Target="https://doi.org/10.1186/s12879-019-4562-6?utm_source=chatgpt.com" TargetMode="External"/><Relationship Id="rId25" Type="http://schemas.openxmlformats.org/officeDocument/2006/relationships/hyperlink" Target="https://doi.org/10.1016/j.sajb.2024.01.047?utm_source=chatgpt.com" TargetMode="External"/><Relationship Id="rId33" Type="http://schemas.openxmlformats.org/officeDocument/2006/relationships/hyperlink" Target="https://doi.org/10.1016/j.tifs.2025.104967?utm_source=chatgpt.com" TargetMode="External"/><Relationship Id="rId38" Type="http://schemas.openxmlformats.org/officeDocument/2006/relationships/hyperlink" Target="https://repository.unizik.edu.ng/handle/123456789/404?utm_source=chatgpt.com" TargetMode="External"/><Relationship Id="rId46" Type="http://schemas.openxmlformats.org/officeDocument/2006/relationships/hyperlink" Target="https://doi.org/10.4103/2231-0738.153792?utm_source=chatgpt.com" TargetMode="External"/><Relationship Id="rId20" Type="http://schemas.openxmlformats.org/officeDocument/2006/relationships/hyperlink" Target="https://doi.org/10.4314/gjpas.v26i1.1?utm_source=chatgpt.com" TargetMode="External"/><Relationship Id="rId41" Type="http://schemas.openxmlformats.org/officeDocument/2006/relationships/hyperlink" Target="https://doi.org/10.3923/tmr.2024.124.135?utm_source=chatgpt.com" TargetMode="External"/><Relationship Id="rId54"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7/978-3-031-07389-2_49?utm_source=chatgpt.com" TargetMode="External"/><Relationship Id="rId23" Type="http://schemas.openxmlformats.org/officeDocument/2006/relationships/hyperlink" Target="https://doi.org/10.1080/01480545.2019.1598428?utm_source=chatgpt.com" TargetMode="External"/><Relationship Id="rId28" Type="http://schemas.openxmlformats.org/officeDocument/2006/relationships/hyperlink" Target="https://doi.org/10.1161/CIRCULATIONAHA.115.018526?utm_source=chatgpt.com" TargetMode="External"/><Relationship Id="rId36" Type="http://schemas.openxmlformats.org/officeDocument/2006/relationships/hyperlink" Target="https://doi.org/10.1007/s00421-020-04546-8?utm_source=chatgpt.com" TargetMode="External"/><Relationship Id="rId49" Type="http://schemas.openxmlformats.org/officeDocument/2006/relationships/hyperlink" Target="https://doi.org/10.3390/antiox10030364?utm_source=chatgpt.com" TargetMode="External"/><Relationship Id="rId57" Type="http://schemas.openxmlformats.org/officeDocument/2006/relationships/theme" Target="theme/theme1.xml"/><Relationship Id="rId10" Type="http://schemas.openxmlformats.org/officeDocument/2006/relationships/hyperlink" Target="https://doi.org/10.1016/j.mrgentox.2022.503481?utm_source=chatgpt.com" TargetMode="External"/><Relationship Id="rId31" Type="http://schemas.openxmlformats.org/officeDocument/2006/relationships/hyperlink" Target="https://doi.org/10.1080/10408398.2021.1913400?utm_source=chatgpt.com" TargetMode="External"/><Relationship Id="rId44" Type="http://schemas.openxmlformats.org/officeDocument/2006/relationships/hyperlink" Target="https://doi.org/10.21608/ejh.2019.28760?utm_source=chatgpt.com"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14</Pages>
  <Words>5801</Words>
  <Characters>33070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SDI 1087</cp:lastModifiedBy>
  <cp:revision>16</cp:revision>
  <dcterms:created xsi:type="dcterms:W3CDTF">2026-10-07T18:53:00Z</dcterms:created>
  <dcterms:modified xsi:type="dcterms:W3CDTF">2026-10-17T12:22:00Z</dcterms:modified>
</cp:coreProperties>
</file>